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53" w:rsidRDefault="00683CC9" w:rsidP="009038F0">
      <w:pPr>
        <w:spacing w:line="480" w:lineRule="auto"/>
        <w:jc w:val="center"/>
        <w:rPr>
          <w:lang w:val="en-IE"/>
        </w:rPr>
      </w:pPr>
      <w:bookmarkStart w:id="0" w:name="_GoBack"/>
      <w:bookmarkEnd w:id="0"/>
      <w:r>
        <w:rPr>
          <w:lang w:val="en-IE"/>
        </w:rPr>
        <w:t>12112621C.SOV</w:t>
      </w:r>
    </w:p>
    <w:p w:rsidR="00D17B53" w:rsidRPr="009038F0" w:rsidRDefault="00D17B53" w:rsidP="009038F0">
      <w:pPr>
        <w:spacing w:line="480" w:lineRule="auto"/>
        <w:jc w:val="center"/>
        <w:rPr>
          <w:b/>
          <w:sz w:val="36"/>
          <w:szCs w:val="36"/>
          <w:lang w:val="en-IE"/>
        </w:rPr>
      </w:pPr>
      <w:r w:rsidRPr="009038F0">
        <w:rPr>
          <w:b/>
          <w:sz w:val="36"/>
          <w:szCs w:val="36"/>
          <w:lang w:val="en-IE"/>
        </w:rPr>
        <w:t>How Housing Killed the Celtic Tiger:  Anatomy and Consequences of Ireland’s Housing Boom and Bust</w:t>
      </w:r>
    </w:p>
    <w:p w:rsidR="00D17B53" w:rsidRDefault="00D17B53" w:rsidP="009038F0">
      <w:pPr>
        <w:spacing w:line="480" w:lineRule="auto"/>
        <w:jc w:val="center"/>
        <w:rPr>
          <w:lang w:val="en-IE"/>
        </w:rPr>
      </w:pPr>
    </w:p>
    <w:p w:rsidR="00D17B53" w:rsidRDefault="00D17B53" w:rsidP="009038F0">
      <w:pPr>
        <w:spacing w:line="480" w:lineRule="auto"/>
        <w:jc w:val="center"/>
        <w:rPr>
          <w:lang w:val="en-IE"/>
        </w:rPr>
      </w:pPr>
      <w:r>
        <w:rPr>
          <w:lang w:val="en-IE"/>
        </w:rPr>
        <w:t>Dr Michelle Norris</w:t>
      </w:r>
    </w:p>
    <w:p w:rsidR="00D17B53" w:rsidRDefault="00D17B53" w:rsidP="009038F0">
      <w:pPr>
        <w:spacing w:line="480" w:lineRule="auto"/>
        <w:jc w:val="center"/>
        <w:rPr>
          <w:lang w:val="en-IE"/>
        </w:rPr>
      </w:pPr>
      <w:r>
        <w:rPr>
          <w:lang w:val="en-IE"/>
        </w:rPr>
        <w:t>Senior Lecturer</w:t>
      </w:r>
    </w:p>
    <w:p w:rsidR="00D17B53" w:rsidRDefault="00D17B53" w:rsidP="009038F0">
      <w:pPr>
        <w:spacing w:line="480" w:lineRule="auto"/>
        <w:jc w:val="center"/>
        <w:rPr>
          <w:lang w:val="en-IE"/>
        </w:rPr>
      </w:pPr>
      <w:r>
        <w:rPr>
          <w:lang w:val="en-IE"/>
        </w:rPr>
        <w:t>School of Applied Social Science</w:t>
      </w:r>
    </w:p>
    <w:p w:rsidR="00D17B53" w:rsidRDefault="00D17B53" w:rsidP="009038F0">
      <w:pPr>
        <w:spacing w:line="480" w:lineRule="auto"/>
        <w:jc w:val="center"/>
        <w:rPr>
          <w:lang w:val="en-IE"/>
        </w:rPr>
      </w:pPr>
      <w:r>
        <w:rPr>
          <w:lang w:val="en-IE"/>
        </w:rPr>
        <w:t>University College Dublin,</w:t>
      </w:r>
    </w:p>
    <w:p w:rsidR="00D17B53" w:rsidRDefault="00D17B53" w:rsidP="009038F0">
      <w:pPr>
        <w:spacing w:line="480" w:lineRule="auto"/>
        <w:jc w:val="center"/>
        <w:rPr>
          <w:lang w:val="en-IE"/>
        </w:rPr>
      </w:pPr>
      <w:r>
        <w:rPr>
          <w:lang w:val="en-IE"/>
        </w:rPr>
        <w:t>Belfield, Dublin 4,</w:t>
      </w:r>
    </w:p>
    <w:p w:rsidR="00D17B53" w:rsidRDefault="00D17B53" w:rsidP="009038F0">
      <w:pPr>
        <w:spacing w:line="480" w:lineRule="auto"/>
        <w:jc w:val="center"/>
        <w:rPr>
          <w:lang w:val="en-IE"/>
        </w:rPr>
      </w:pPr>
      <w:r>
        <w:rPr>
          <w:lang w:val="en-IE"/>
        </w:rPr>
        <w:t>Ireland</w:t>
      </w:r>
    </w:p>
    <w:p w:rsidR="00D17B53" w:rsidRDefault="00D17B53" w:rsidP="009038F0">
      <w:pPr>
        <w:spacing w:line="480" w:lineRule="auto"/>
        <w:jc w:val="center"/>
        <w:rPr>
          <w:lang w:val="en-IE"/>
        </w:rPr>
      </w:pPr>
      <w:r>
        <w:rPr>
          <w:lang w:val="en-IE"/>
        </w:rPr>
        <w:t>T:  0035317168203</w:t>
      </w:r>
    </w:p>
    <w:p w:rsidR="00D17B53" w:rsidRDefault="00D17B53" w:rsidP="009038F0">
      <w:pPr>
        <w:spacing w:line="480" w:lineRule="auto"/>
        <w:jc w:val="center"/>
        <w:rPr>
          <w:rFonts w:ascii="Arial" w:hAnsi="Arial" w:cs="Arial"/>
          <w:b/>
          <w:lang w:val="en-IE"/>
        </w:rPr>
      </w:pPr>
      <w:r>
        <w:rPr>
          <w:rFonts w:ascii="Arial" w:hAnsi="Arial" w:cs="Arial"/>
          <w:b/>
          <w:lang w:val="en-IE"/>
        </w:rPr>
        <w:t xml:space="preserve">E: </w:t>
      </w:r>
      <w:hyperlink r:id="rId8" w:history="1">
        <w:r w:rsidR="00372E0E" w:rsidRPr="00DA0EE4">
          <w:rPr>
            <w:rStyle w:val="Hyperlink"/>
            <w:rFonts w:ascii="Arial" w:hAnsi="Arial" w:cs="Arial"/>
            <w:b/>
            <w:lang w:val="en-IE"/>
          </w:rPr>
          <w:t>michelle.norris@ucd.ie</w:t>
        </w:r>
      </w:hyperlink>
    </w:p>
    <w:p w:rsidR="00372E0E" w:rsidRDefault="00372E0E" w:rsidP="009038F0">
      <w:pPr>
        <w:spacing w:line="480" w:lineRule="auto"/>
        <w:jc w:val="center"/>
        <w:rPr>
          <w:lang w:val="en-IE"/>
        </w:rPr>
      </w:pPr>
    </w:p>
    <w:p w:rsidR="00372E0E" w:rsidRDefault="00372E0E" w:rsidP="009038F0">
      <w:pPr>
        <w:spacing w:line="480" w:lineRule="auto"/>
        <w:jc w:val="center"/>
        <w:rPr>
          <w:lang w:val="en-IE"/>
        </w:rPr>
      </w:pPr>
      <w:r>
        <w:rPr>
          <w:lang w:val="en-IE"/>
        </w:rPr>
        <w:t>Dermot Coates</w:t>
      </w:r>
    </w:p>
    <w:p w:rsidR="00372E0E" w:rsidRDefault="00372E0E" w:rsidP="009038F0">
      <w:pPr>
        <w:spacing w:line="480" w:lineRule="auto"/>
        <w:jc w:val="center"/>
        <w:rPr>
          <w:lang w:val="en-IE"/>
        </w:rPr>
      </w:pPr>
      <w:r>
        <w:rPr>
          <w:lang w:val="en-IE"/>
        </w:rPr>
        <w:t>Economist</w:t>
      </w:r>
    </w:p>
    <w:p w:rsidR="00372E0E" w:rsidRDefault="00372E0E" w:rsidP="009038F0">
      <w:pPr>
        <w:spacing w:line="480" w:lineRule="auto"/>
        <w:jc w:val="center"/>
        <w:rPr>
          <w:lang w:val="en-IE"/>
        </w:rPr>
      </w:pPr>
      <w:r>
        <w:rPr>
          <w:lang w:val="en-IE"/>
        </w:rPr>
        <w:t>Housing and Sustainable Communities Agency,</w:t>
      </w:r>
    </w:p>
    <w:p w:rsidR="00372E0E" w:rsidRDefault="00372E0E" w:rsidP="009038F0">
      <w:pPr>
        <w:spacing w:line="480" w:lineRule="auto"/>
        <w:jc w:val="center"/>
        <w:rPr>
          <w:lang w:val="en-IE"/>
        </w:rPr>
      </w:pPr>
      <w:r>
        <w:rPr>
          <w:lang w:val="en-IE"/>
        </w:rPr>
        <w:t xml:space="preserve">Cumberland House, </w:t>
      </w:r>
      <w:proofErr w:type="spellStart"/>
      <w:r>
        <w:rPr>
          <w:lang w:val="en-IE"/>
        </w:rPr>
        <w:t>Fenian</w:t>
      </w:r>
      <w:proofErr w:type="spellEnd"/>
      <w:r>
        <w:rPr>
          <w:lang w:val="en-IE"/>
        </w:rPr>
        <w:t xml:space="preserve"> Street,</w:t>
      </w:r>
    </w:p>
    <w:p w:rsidR="00372E0E" w:rsidRDefault="00372E0E" w:rsidP="009038F0">
      <w:pPr>
        <w:spacing w:line="480" w:lineRule="auto"/>
        <w:jc w:val="center"/>
        <w:rPr>
          <w:lang w:val="en-IE"/>
        </w:rPr>
      </w:pPr>
      <w:r>
        <w:rPr>
          <w:lang w:val="en-IE"/>
        </w:rPr>
        <w:t>Dublin 2, Ireland</w:t>
      </w:r>
    </w:p>
    <w:p w:rsidR="00372E0E" w:rsidRDefault="00372E0E" w:rsidP="009038F0">
      <w:pPr>
        <w:spacing w:line="480" w:lineRule="auto"/>
        <w:jc w:val="center"/>
        <w:rPr>
          <w:lang w:val="en-IE"/>
        </w:rPr>
      </w:pPr>
      <w:r>
        <w:rPr>
          <w:lang w:val="en-IE"/>
        </w:rPr>
        <w:t>T: 00</w:t>
      </w:r>
      <w:r w:rsidRPr="00372E0E">
        <w:rPr>
          <w:lang w:val="en-IE"/>
        </w:rPr>
        <w:t>3531656 4100</w:t>
      </w:r>
    </w:p>
    <w:p w:rsidR="00372E0E" w:rsidRDefault="00372E0E" w:rsidP="009038F0">
      <w:pPr>
        <w:spacing w:line="480" w:lineRule="auto"/>
        <w:jc w:val="center"/>
        <w:rPr>
          <w:lang w:val="en-IE"/>
        </w:rPr>
      </w:pPr>
      <w:r>
        <w:rPr>
          <w:lang w:val="en-IE"/>
        </w:rPr>
        <w:t>E: dcoates@housing.ie</w:t>
      </w:r>
    </w:p>
    <w:p w:rsidR="00372E0E" w:rsidRDefault="00372E0E" w:rsidP="009038F0">
      <w:pPr>
        <w:spacing w:line="480" w:lineRule="auto"/>
        <w:jc w:val="center"/>
        <w:rPr>
          <w:lang w:val="en-IE"/>
        </w:rPr>
      </w:pPr>
    </w:p>
    <w:p w:rsidR="00D17B53" w:rsidRDefault="00D17B53" w:rsidP="009038F0">
      <w:pPr>
        <w:spacing w:line="480" w:lineRule="auto"/>
        <w:jc w:val="center"/>
        <w:rPr>
          <w:lang w:val="en-IE"/>
        </w:rPr>
      </w:pPr>
    </w:p>
    <w:p w:rsidR="00D17B53" w:rsidRDefault="00D17B53" w:rsidP="00E07404">
      <w:pPr>
        <w:rPr>
          <w:lang w:val="en-IE"/>
        </w:rPr>
      </w:pPr>
      <w:r>
        <w:rPr>
          <w:lang w:val="en-IE"/>
        </w:rPr>
        <w:br w:type="page"/>
      </w:r>
    </w:p>
    <w:p w:rsidR="0081792D" w:rsidRPr="009038F0" w:rsidRDefault="0081792D" w:rsidP="009038F0">
      <w:pPr>
        <w:spacing w:line="480" w:lineRule="auto"/>
        <w:jc w:val="both"/>
        <w:rPr>
          <w:b/>
          <w:sz w:val="32"/>
          <w:szCs w:val="32"/>
          <w:lang w:val="en-IE"/>
        </w:rPr>
      </w:pPr>
      <w:r w:rsidRPr="009038F0">
        <w:rPr>
          <w:b/>
          <w:sz w:val="32"/>
          <w:szCs w:val="32"/>
          <w:lang w:val="en-IE"/>
        </w:rPr>
        <w:lastRenderedPageBreak/>
        <w:t>How Housing Killed the Celtic Tiger:  Anatomy</w:t>
      </w:r>
      <w:r w:rsidR="007003AD" w:rsidRPr="009038F0">
        <w:rPr>
          <w:b/>
          <w:sz w:val="32"/>
          <w:szCs w:val="32"/>
          <w:lang w:val="en-IE"/>
        </w:rPr>
        <w:t xml:space="preserve"> and</w:t>
      </w:r>
      <w:r w:rsidRPr="009038F0">
        <w:rPr>
          <w:b/>
          <w:sz w:val="32"/>
          <w:szCs w:val="32"/>
          <w:lang w:val="en-IE"/>
        </w:rPr>
        <w:t xml:space="preserve"> Consequences of Ireland’s Housing Boom and Bust</w:t>
      </w:r>
    </w:p>
    <w:p w:rsidR="0081792D" w:rsidRDefault="0081792D" w:rsidP="009038F0">
      <w:pPr>
        <w:spacing w:line="480" w:lineRule="auto"/>
        <w:jc w:val="both"/>
      </w:pPr>
    </w:p>
    <w:p w:rsidR="0081792D" w:rsidRPr="0081792D" w:rsidRDefault="0081792D" w:rsidP="00F47196">
      <w:pPr>
        <w:spacing w:line="480" w:lineRule="auto"/>
        <w:ind w:left="720" w:right="720"/>
        <w:jc w:val="both"/>
        <w:rPr>
          <w:color w:val="000000"/>
        </w:rPr>
      </w:pPr>
      <w:r w:rsidRPr="00422A19">
        <w:t>Between 1996 and 2006, Ireland</w:t>
      </w:r>
      <w:r w:rsidR="00ED13F0" w:rsidRPr="00422A19">
        <w:t xml:space="preserve"> experienced unprecedented </w:t>
      </w:r>
      <w:r w:rsidR="00372E0E">
        <w:t>house price inflation</w:t>
      </w:r>
      <w:r w:rsidR="00422A19" w:rsidRPr="00422A19">
        <w:t>, driven by a</w:t>
      </w:r>
      <w:r w:rsidR="00ED13F0" w:rsidRPr="00422A19">
        <w:t xml:space="preserve"> </w:t>
      </w:r>
      <w:r w:rsidR="00422A19" w:rsidRPr="00422A19">
        <w:t>fourfold increase in</w:t>
      </w:r>
      <w:r w:rsidRPr="00422A19">
        <w:t xml:space="preserve"> the volume of outstanding private mortgage debt</w:t>
      </w:r>
      <w:r w:rsidR="00422A19" w:rsidRPr="00422A19">
        <w:t xml:space="preserve"> and accompanied by a radical growth in housing output</w:t>
      </w:r>
      <w:r w:rsidRPr="00422A19">
        <w:t>.  This arti</w:t>
      </w:r>
      <w:r w:rsidRPr="00422A19">
        <w:rPr>
          <w:color w:val="000000"/>
        </w:rPr>
        <w:t>cle outlines the most significant features of the housing boom and explains how it generated and disguised crucial risks in the macro economy</w:t>
      </w:r>
      <w:r w:rsidR="00372E0E">
        <w:rPr>
          <w:color w:val="000000"/>
        </w:rPr>
        <w:t xml:space="preserve"> and public finances</w:t>
      </w:r>
      <w:r w:rsidRPr="00422A19">
        <w:rPr>
          <w:color w:val="000000"/>
        </w:rPr>
        <w:t>, among mortgage</w:t>
      </w:r>
      <w:r w:rsidR="004541D8">
        <w:rPr>
          <w:color w:val="000000"/>
        </w:rPr>
        <w:t xml:space="preserve"> lenders</w:t>
      </w:r>
      <w:r w:rsidR="008B0B33" w:rsidRPr="00422A19">
        <w:rPr>
          <w:color w:val="000000"/>
        </w:rPr>
        <w:t xml:space="preserve"> </w:t>
      </w:r>
      <w:r w:rsidRPr="00422A19">
        <w:rPr>
          <w:color w:val="000000"/>
        </w:rPr>
        <w:t xml:space="preserve">and in the finances of individual households.  This is followed by an outline of the key features of the </w:t>
      </w:r>
      <w:r w:rsidR="00422A19">
        <w:rPr>
          <w:color w:val="000000"/>
        </w:rPr>
        <w:t xml:space="preserve">unwinding of the </w:t>
      </w:r>
      <w:r w:rsidRPr="00422A19">
        <w:rPr>
          <w:color w:val="000000"/>
        </w:rPr>
        <w:t xml:space="preserve">boom </w:t>
      </w:r>
      <w:r w:rsidR="00422A19">
        <w:rPr>
          <w:color w:val="000000"/>
        </w:rPr>
        <w:t xml:space="preserve">since </w:t>
      </w:r>
      <w:r w:rsidRPr="00422A19">
        <w:rPr>
          <w:color w:val="000000"/>
        </w:rPr>
        <w:t xml:space="preserve">and of its implications for the Irish economy, </w:t>
      </w:r>
      <w:r w:rsidR="004541D8">
        <w:rPr>
          <w:color w:val="000000"/>
        </w:rPr>
        <w:t>mortgage lender</w:t>
      </w:r>
      <w:r w:rsidRPr="00422A19">
        <w:rPr>
          <w:color w:val="000000"/>
        </w:rPr>
        <w:t xml:space="preserve">s and households.  The conclusions examine the lessons regarding appropriate regulatory and policy responses to a </w:t>
      </w:r>
      <w:r w:rsidR="00422A19">
        <w:rPr>
          <w:color w:val="000000"/>
        </w:rPr>
        <w:t xml:space="preserve">house price </w:t>
      </w:r>
      <w:r w:rsidRPr="00422A19">
        <w:rPr>
          <w:color w:val="000000"/>
        </w:rPr>
        <w:t>boom which arise from the Irish experience.</w:t>
      </w:r>
    </w:p>
    <w:p w:rsidR="0081792D" w:rsidRDefault="0081792D" w:rsidP="009038F0">
      <w:pPr>
        <w:spacing w:line="480" w:lineRule="auto"/>
        <w:jc w:val="both"/>
      </w:pPr>
    </w:p>
    <w:p w:rsidR="00D17B53" w:rsidRDefault="00D17B53" w:rsidP="009038F0">
      <w:pPr>
        <w:spacing w:line="480" w:lineRule="auto"/>
        <w:jc w:val="both"/>
      </w:pPr>
      <w:r w:rsidRPr="00583CD9">
        <w:rPr>
          <w:b/>
        </w:rPr>
        <w:t>Key words:</w:t>
      </w:r>
      <w:r>
        <w:t xml:space="preserve"> mortgage, credit crunch, housing finance.</w:t>
      </w:r>
    </w:p>
    <w:p w:rsidR="0081792D" w:rsidRDefault="0081792D" w:rsidP="009038F0">
      <w:pPr>
        <w:spacing w:line="480" w:lineRule="auto"/>
        <w:jc w:val="both"/>
      </w:pPr>
    </w:p>
    <w:p w:rsidR="009D7AC3" w:rsidRPr="002A5681" w:rsidRDefault="00D17B53" w:rsidP="009038F0">
      <w:pPr>
        <w:spacing w:line="480" w:lineRule="auto"/>
        <w:jc w:val="both"/>
        <w:rPr>
          <w:b/>
        </w:rPr>
      </w:pPr>
      <w:r>
        <w:t>1</w:t>
      </w:r>
      <w:r>
        <w:tab/>
      </w:r>
      <w:r w:rsidR="009D7AC3" w:rsidRPr="002A5681">
        <w:rPr>
          <w:b/>
        </w:rPr>
        <w:t>Introduction:</w:t>
      </w:r>
    </w:p>
    <w:p w:rsidR="007A58E6" w:rsidRDefault="007A58E6" w:rsidP="009038F0">
      <w:pPr>
        <w:spacing w:line="480" w:lineRule="auto"/>
        <w:jc w:val="both"/>
      </w:pPr>
      <w:r w:rsidRPr="00B76149">
        <w:t xml:space="preserve">From the mid 1990s, </w:t>
      </w:r>
      <w:r>
        <w:t xml:space="preserve">the </w:t>
      </w:r>
      <w:r w:rsidRPr="00B76149">
        <w:t xml:space="preserve">economic </w:t>
      </w:r>
      <w:r>
        <w:t>for</w:t>
      </w:r>
      <w:r w:rsidRPr="00B76149">
        <w:t xml:space="preserve">tunes </w:t>
      </w:r>
      <w:r>
        <w:t xml:space="preserve">of the Republic of Ireland </w:t>
      </w:r>
      <w:r w:rsidRPr="00B76149">
        <w:t xml:space="preserve">changed radically </w:t>
      </w:r>
      <w:r w:rsidR="00A70F07">
        <w:t>as the arrival of the ‘</w:t>
      </w:r>
      <w:r w:rsidR="002A5681">
        <w:t>C</w:t>
      </w:r>
      <w:r w:rsidR="00A70F07">
        <w:t xml:space="preserve">eltic tiger’ economic boom ended two decades of economic stagnation </w:t>
      </w:r>
      <w:r w:rsidR="005026BA">
        <w:t xml:space="preserve">and a much longer pattern of economic under-performance compared to the rest of </w:t>
      </w:r>
      <w:r w:rsidR="00DA0737">
        <w:t>north-</w:t>
      </w:r>
      <w:r w:rsidR="005026BA">
        <w:t xml:space="preserve">western Europe </w:t>
      </w:r>
      <w:r w:rsidRPr="00B76149">
        <w:t>(</w:t>
      </w:r>
      <w:r w:rsidR="00952AD3" w:rsidRPr="00B76149">
        <w:t xml:space="preserve">Kennedy </w:t>
      </w:r>
      <w:r w:rsidR="00952AD3">
        <w:rPr>
          <w:i/>
        </w:rPr>
        <w:t>et al</w:t>
      </w:r>
      <w:r w:rsidR="002A326D">
        <w:rPr>
          <w:i/>
        </w:rPr>
        <w:t>.</w:t>
      </w:r>
      <w:r w:rsidR="00952AD3">
        <w:rPr>
          <w:i/>
        </w:rPr>
        <w:t xml:space="preserve">, </w:t>
      </w:r>
      <w:r w:rsidR="00952AD3" w:rsidRPr="00B76149">
        <w:t>1988</w:t>
      </w:r>
      <w:r w:rsidRPr="00B76149">
        <w:t>).</w:t>
      </w:r>
      <w:r w:rsidR="00A70F07" w:rsidRPr="00A70F07">
        <w:t xml:space="preserve"> </w:t>
      </w:r>
      <w:r w:rsidR="00A70F07">
        <w:t xml:space="preserve"> Irish </w:t>
      </w:r>
      <w:r w:rsidRPr="00B76149">
        <w:t>G</w:t>
      </w:r>
      <w:r>
        <w:t>D</w:t>
      </w:r>
      <w:r w:rsidRPr="00B76149">
        <w:t xml:space="preserve">P per capita increased from </w:t>
      </w:r>
      <w:r>
        <w:t>14.8</w:t>
      </w:r>
      <w:r w:rsidRPr="00B76149">
        <w:t xml:space="preserve"> per cent below the EU15 average in 1995, to </w:t>
      </w:r>
      <w:r>
        <w:t>48</w:t>
      </w:r>
      <w:r w:rsidRPr="00B76149">
        <w:t xml:space="preserve"> per cent above</w:t>
      </w:r>
      <w:r w:rsidR="002A326D">
        <w:t xml:space="preserve"> the EU 15 average</w:t>
      </w:r>
      <w:r w:rsidRPr="00B76149">
        <w:t xml:space="preserve"> </w:t>
      </w:r>
      <w:r>
        <w:t>in 2006 and concurrently</w:t>
      </w:r>
      <w:r w:rsidR="00A70F07">
        <w:t>,</w:t>
      </w:r>
      <w:r>
        <w:t xml:space="preserve"> the unemployment rate fell from 10 per cent above the EU15 average to 45 per cent below</w:t>
      </w:r>
      <w:r w:rsidR="002A326D">
        <w:t xml:space="preserve"> this average</w:t>
      </w:r>
      <w:r>
        <w:t xml:space="preserve"> </w:t>
      </w:r>
      <w:r w:rsidRPr="00B76149">
        <w:t>(</w:t>
      </w:r>
      <w:proofErr w:type="spellStart"/>
      <w:r w:rsidRPr="00B76149">
        <w:t>Eurostat</w:t>
      </w:r>
      <w:proofErr w:type="spellEnd"/>
      <w:r w:rsidRPr="00B76149">
        <w:t xml:space="preserve">, </w:t>
      </w:r>
      <w:r>
        <w:t>various years</w:t>
      </w:r>
      <w:r w:rsidRPr="00B76149">
        <w:t xml:space="preserve">).  </w:t>
      </w:r>
      <w:r w:rsidR="005026BA">
        <w:t xml:space="preserve">There is little consensus </w:t>
      </w:r>
      <w:r w:rsidR="005356AD">
        <w:t>about the causes of this economic transformation</w:t>
      </w:r>
      <w:r w:rsidR="00857861">
        <w:t>.  It</w:t>
      </w:r>
      <w:r w:rsidR="005356AD">
        <w:t xml:space="preserve"> has been variously attributed to</w:t>
      </w:r>
      <w:r w:rsidR="005026BA">
        <w:t>:  the devaluation of the Irish currency in 1992; Ireland’s young population structure and high proportion of university graduates; low</w:t>
      </w:r>
      <w:r w:rsidR="005026BA" w:rsidRPr="00E2141F">
        <w:t xml:space="preserve"> labour</w:t>
      </w:r>
      <w:r w:rsidR="005026BA">
        <w:t xml:space="preserve"> costs and low taxes on corporate profits; the stimulus effects of EU Structural Fund expenditure and the corporatist Irish wage bargaining and public policy making system under the auspices of which employers, trade unions and </w:t>
      </w:r>
      <w:r w:rsidR="005026BA">
        <w:lastRenderedPageBreak/>
        <w:t xml:space="preserve">government </w:t>
      </w:r>
      <w:r w:rsidR="002A5681">
        <w:t>exchanged</w:t>
      </w:r>
      <w:r w:rsidR="005026BA">
        <w:t xml:space="preserve"> pay restraint for income tax decreases during the 1980s and 1990s (see: Barry</w:t>
      </w:r>
      <w:r w:rsidR="002A326D">
        <w:t>,</w:t>
      </w:r>
      <w:r w:rsidR="005026BA">
        <w:t xml:space="preserve"> 1999</w:t>
      </w:r>
      <w:r w:rsidR="007F0783">
        <w:t xml:space="preserve">; </w:t>
      </w:r>
      <w:r w:rsidR="007F0783" w:rsidRPr="00781949">
        <w:rPr>
          <w:color w:val="000000"/>
        </w:rPr>
        <w:t>Barry, 2002</w:t>
      </w:r>
      <w:r w:rsidR="005026BA" w:rsidRPr="009E58F3">
        <w:t>)</w:t>
      </w:r>
      <w:r w:rsidR="005026BA">
        <w:t xml:space="preserve">.  </w:t>
      </w:r>
      <w:r w:rsidR="005356AD">
        <w:t>However there is little doubt that the boom</w:t>
      </w:r>
      <w:r>
        <w:t xml:space="preserve"> had significant social implications.  For instance, between 1996 and 2006 t</w:t>
      </w:r>
      <w:r w:rsidRPr="00B76149">
        <w:t xml:space="preserve">he </w:t>
      </w:r>
      <w:r>
        <w:t xml:space="preserve">Irish </w:t>
      </w:r>
      <w:r w:rsidRPr="00B76149">
        <w:t xml:space="preserve">population rose by 17 per cent and the number of households expanded by 14 per cent (Central Statistics Office, 2007).  </w:t>
      </w:r>
    </w:p>
    <w:p w:rsidR="0081792D" w:rsidRDefault="0081792D" w:rsidP="009038F0">
      <w:pPr>
        <w:spacing w:line="480" w:lineRule="auto"/>
        <w:jc w:val="both"/>
      </w:pPr>
    </w:p>
    <w:p w:rsidR="00B15E9F" w:rsidRDefault="00250753" w:rsidP="009038F0">
      <w:pPr>
        <w:spacing w:line="480" w:lineRule="auto"/>
        <w:jc w:val="both"/>
      </w:pPr>
      <w:r>
        <w:t xml:space="preserve">The economic boom was accompanied by unprecedented </w:t>
      </w:r>
      <w:r w:rsidR="00C2311A">
        <w:t xml:space="preserve">house price inflation which jumped from </w:t>
      </w:r>
      <w:r w:rsidRPr="00A27D26">
        <w:t>8 per cent per annum between 1990 and 1993 to 22 per cent per annum between 1996 and 2002, and continued to rise albeit at a lower rate (12.7 per cent per annum) until 2006</w:t>
      </w:r>
      <w:r>
        <w:t xml:space="preserve"> (</w:t>
      </w:r>
      <w:r w:rsidRPr="00B76149">
        <w:t>Permanent TSB/ ESRI</w:t>
      </w:r>
      <w:r w:rsidR="00131757">
        <w:t>,</w:t>
      </w:r>
      <w:r w:rsidRPr="00B76149">
        <w:t xml:space="preserve"> various years)</w:t>
      </w:r>
      <w:r w:rsidRPr="00A27D26">
        <w:t>.</w:t>
      </w:r>
      <w:r w:rsidR="000253F0">
        <w:t xml:space="preserve">  </w:t>
      </w:r>
      <w:r w:rsidR="00BD6337">
        <w:t xml:space="preserve">This </w:t>
      </w:r>
      <w:r w:rsidR="000253F0">
        <w:t>house price boom paralleled</w:t>
      </w:r>
      <w:r w:rsidR="009222E2">
        <w:t xml:space="preserve">, but significantly outpaced, </w:t>
      </w:r>
      <w:r w:rsidR="000253F0">
        <w:t xml:space="preserve">similar developments in other </w:t>
      </w:r>
      <w:r w:rsidR="00FD7B9F">
        <w:t xml:space="preserve">western </w:t>
      </w:r>
      <w:r w:rsidR="00BD6337">
        <w:t xml:space="preserve">European </w:t>
      </w:r>
      <w:r w:rsidR="00FD7B9F">
        <w:t xml:space="preserve">countries </w:t>
      </w:r>
      <w:r w:rsidR="00BD6337">
        <w:t xml:space="preserve">and the USA </w:t>
      </w:r>
      <w:r w:rsidR="009222E2">
        <w:t>–</w:t>
      </w:r>
      <w:r w:rsidR="00857861">
        <w:t xml:space="preserve"> </w:t>
      </w:r>
      <w:r w:rsidR="009222E2">
        <w:t xml:space="preserve">nominal house price growth </w:t>
      </w:r>
      <w:r w:rsidR="00857861">
        <w:t xml:space="preserve">in Ireland </w:t>
      </w:r>
      <w:r w:rsidR="009222E2">
        <w:t>was just under twice the Euro area average between 1999 and 2007 (11.1 compared to 6.1 per cent</w:t>
      </w:r>
      <w:r w:rsidR="00AE508E">
        <w:t xml:space="preserve"> per annum</w:t>
      </w:r>
      <w:r w:rsidR="009222E2">
        <w:t xml:space="preserve"> according to the European Central Bank, </w:t>
      </w:r>
      <w:r w:rsidR="00D17B53">
        <w:t>2009).</w:t>
      </w:r>
    </w:p>
    <w:p w:rsidR="00B15E9F" w:rsidRDefault="00B15E9F" w:rsidP="009038F0">
      <w:pPr>
        <w:spacing w:line="480" w:lineRule="auto"/>
        <w:jc w:val="both"/>
      </w:pPr>
    </w:p>
    <w:p w:rsidR="00250753" w:rsidRDefault="0009781C" w:rsidP="009038F0">
      <w:pPr>
        <w:spacing w:line="480" w:lineRule="auto"/>
        <w:jc w:val="both"/>
      </w:pPr>
      <w:r>
        <w:t xml:space="preserve">The </w:t>
      </w:r>
      <w:r w:rsidR="00B15E9F">
        <w:t xml:space="preserve">particular </w:t>
      </w:r>
      <w:r>
        <w:t>strength</w:t>
      </w:r>
      <w:r w:rsidR="002A326D">
        <w:t xml:space="preserve"> of</w:t>
      </w:r>
      <w:r>
        <w:t xml:space="preserve"> </w:t>
      </w:r>
      <w:r w:rsidR="00B15E9F">
        <w:t xml:space="preserve">house price </w:t>
      </w:r>
      <w:r w:rsidR="00DA0737">
        <w:t>inflation</w:t>
      </w:r>
      <w:r w:rsidR="00B15E9F">
        <w:t xml:space="preserve"> in Ireland reflects both </w:t>
      </w:r>
      <w:r w:rsidR="00E00851">
        <w:t>the</w:t>
      </w:r>
      <w:r w:rsidR="00B15E9F">
        <w:t xml:space="preserve"> factors which </w:t>
      </w:r>
      <w:r w:rsidR="000B7FD7">
        <w:t>stimulated</w:t>
      </w:r>
      <w:r w:rsidR="00B15E9F">
        <w:t xml:space="preserve"> </w:t>
      </w:r>
      <w:r w:rsidR="00E00851">
        <w:t>concurrent</w:t>
      </w:r>
      <w:r w:rsidR="00B15E9F">
        <w:t xml:space="preserve"> </w:t>
      </w:r>
      <w:r w:rsidR="00B748A5">
        <w:t xml:space="preserve">property </w:t>
      </w:r>
      <w:r w:rsidR="00B15E9F">
        <w:t xml:space="preserve">bubbles elsewhere and </w:t>
      </w:r>
      <w:r w:rsidR="00E00851">
        <w:t xml:space="preserve">the influence of </w:t>
      </w:r>
      <w:r w:rsidR="00B15E9F">
        <w:t xml:space="preserve">distinctive domestic </w:t>
      </w:r>
      <w:r w:rsidR="00EA7DA4">
        <w:t>drivers</w:t>
      </w:r>
      <w:r w:rsidR="00B15E9F">
        <w:t>.  Th</w:t>
      </w:r>
      <w:r w:rsidR="00EA7DA4">
        <w:t>us</w:t>
      </w:r>
      <w:r w:rsidR="00B15E9F">
        <w:t xml:space="preserve"> credit growth was a </w:t>
      </w:r>
      <w:r w:rsidR="00E00851">
        <w:t xml:space="preserve">key </w:t>
      </w:r>
      <w:r w:rsidR="00DA0737">
        <w:t>stimulus</w:t>
      </w:r>
      <w:r w:rsidR="00B15E9F">
        <w:t xml:space="preserve">, as between 2000 and 2006 </w:t>
      </w:r>
      <w:r w:rsidR="00B15E9F" w:rsidRPr="00B15E9F">
        <w:t>outstanding private mortgage debt increased fourfold</w:t>
      </w:r>
      <w:r w:rsidR="00DA0737">
        <w:t xml:space="preserve"> in Ireland</w:t>
      </w:r>
      <w:r w:rsidR="00B15E9F">
        <w:t xml:space="preserve">, </w:t>
      </w:r>
      <w:r w:rsidR="00B15E9F" w:rsidRPr="00B15E9F">
        <w:t xml:space="preserve">the numbers of lenders and mortgage products expanded, </w:t>
      </w:r>
      <w:r w:rsidR="00B15E9F">
        <w:t xml:space="preserve">lending standards liberalized and </w:t>
      </w:r>
      <w:r w:rsidR="00B15E9F" w:rsidRPr="00B15E9F">
        <w:t xml:space="preserve">repayment terms </w:t>
      </w:r>
      <w:r w:rsidR="00B15E9F">
        <w:t>became</w:t>
      </w:r>
      <w:r w:rsidR="00B15E9F" w:rsidRPr="00B15E9F">
        <w:t xml:space="preserve"> more flexible</w:t>
      </w:r>
      <w:r w:rsidR="00B15E9F">
        <w:t xml:space="preserve"> </w:t>
      </w:r>
      <w:r w:rsidR="00B15E9F" w:rsidRPr="00B15E9F">
        <w:t>(</w:t>
      </w:r>
      <w:r w:rsidR="00B15E9F">
        <w:t xml:space="preserve">Doyle, 1999; </w:t>
      </w:r>
      <w:r w:rsidR="00B15E9F" w:rsidRPr="00B15E9F">
        <w:t xml:space="preserve">Murphy, 2004; Kelly </w:t>
      </w:r>
      <w:r w:rsidR="00991E4C">
        <w:t>and</w:t>
      </w:r>
      <w:r w:rsidR="00B15E9F" w:rsidRPr="00B15E9F">
        <w:t xml:space="preserve"> Everett, 2004). </w:t>
      </w:r>
      <w:r w:rsidR="00B15E9F">
        <w:t xml:space="preserve"> </w:t>
      </w:r>
      <w:r w:rsidR="000D66C0">
        <w:t>These d</w:t>
      </w:r>
      <w:r w:rsidR="000D66C0" w:rsidRPr="00B15E9F">
        <w:t>evelopments mirror changes in the mortgage markets of several other EU member</w:t>
      </w:r>
      <w:r w:rsidR="00583CD9">
        <w:t>s</w:t>
      </w:r>
      <w:r w:rsidR="000D66C0" w:rsidRPr="00B15E9F">
        <w:t>, particularly the southern countries such as Spain, Greece and Italy, but they were more extreme in Ireland than the EU norm (European Central Bank, 2009).</w:t>
      </w:r>
      <w:r w:rsidR="000D66C0">
        <w:t xml:space="preserve">  In </w:t>
      </w:r>
      <w:r w:rsidR="00E00851">
        <w:t xml:space="preserve">addition, domestic factors including </w:t>
      </w:r>
      <w:r w:rsidR="000D66C0">
        <w:t>population growth, rising numbers of households, rising average incomes</w:t>
      </w:r>
      <w:r w:rsidR="000B7FD7">
        <w:t xml:space="preserve"> </w:t>
      </w:r>
      <w:r w:rsidR="00E00851">
        <w:t xml:space="preserve">stimulated housing demand and therefore house price growth in Ireland </w:t>
      </w:r>
      <w:r w:rsidR="00857861">
        <w:t>(Bacon and Associates, 1998, 1999, 2000)</w:t>
      </w:r>
      <w:r w:rsidR="00211E15">
        <w:t>,</w:t>
      </w:r>
      <w:r w:rsidR="00857861">
        <w:t xml:space="preserve"> </w:t>
      </w:r>
      <w:r w:rsidR="00E00851">
        <w:t>as did</w:t>
      </w:r>
      <w:r w:rsidR="000B7FD7">
        <w:t xml:space="preserve"> a marked </w:t>
      </w:r>
      <w:r w:rsidR="0084418F">
        <w:t>growth</w:t>
      </w:r>
      <w:r w:rsidR="00EA7DA4">
        <w:t xml:space="preserve"> in the vacant dwellings which helps to explain why </w:t>
      </w:r>
      <w:r w:rsidR="0084418F">
        <w:t xml:space="preserve">a radical increase </w:t>
      </w:r>
      <w:r w:rsidR="00EA7DA4">
        <w:t>in house building</w:t>
      </w:r>
      <w:r w:rsidR="00857861">
        <w:t xml:space="preserve"> </w:t>
      </w:r>
      <w:r w:rsidR="00EA7DA4">
        <w:t>failed to dampen price inflation (</w:t>
      </w:r>
      <w:r w:rsidR="00EA7DA4" w:rsidRPr="00EA7DA4">
        <w:t xml:space="preserve">Norris </w:t>
      </w:r>
      <w:r w:rsidR="00EA7DA4">
        <w:t>and</w:t>
      </w:r>
      <w:r w:rsidR="00EA7DA4" w:rsidRPr="00EA7DA4">
        <w:t xml:space="preserve"> Shields, 2007).</w:t>
      </w:r>
    </w:p>
    <w:p w:rsidR="00A94DB0" w:rsidRDefault="00A94DB0" w:rsidP="009038F0">
      <w:pPr>
        <w:spacing w:line="480" w:lineRule="auto"/>
        <w:jc w:val="both"/>
      </w:pPr>
    </w:p>
    <w:p w:rsidR="0003349C" w:rsidRPr="009B0363" w:rsidRDefault="00AF7D92" w:rsidP="009038F0">
      <w:pPr>
        <w:spacing w:line="480" w:lineRule="auto"/>
        <w:jc w:val="both"/>
        <w:rPr>
          <w:color w:val="000000" w:themeColor="text1"/>
        </w:rPr>
      </w:pPr>
      <w:r>
        <w:lastRenderedPageBreak/>
        <w:t>As its title implies</w:t>
      </w:r>
      <w:r w:rsidR="002A5681">
        <w:t>,</w:t>
      </w:r>
      <w:r>
        <w:t xml:space="preserve"> this article describes the key features of the</w:t>
      </w:r>
      <w:r w:rsidRPr="00AF7D92">
        <w:t xml:space="preserve"> </w:t>
      </w:r>
      <w:r>
        <w:t xml:space="preserve">unprecedented boom in Ireland’s housing market which commenced in the mid 1990s and the equally dramatic </w:t>
      </w:r>
      <w:r w:rsidR="00FA0C28">
        <w:t>bust</w:t>
      </w:r>
      <w:r>
        <w:t xml:space="preserve"> which began in 2007.  </w:t>
      </w:r>
      <w:r w:rsidR="009950E7">
        <w:t xml:space="preserve">Despite the scale and </w:t>
      </w:r>
      <w:r w:rsidR="00AF781B">
        <w:t xml:space="preserve">significance </w:t>
      </w:r>
      <w:r w:rsidR="009950E7">
        <w:t xml:space="preserve">of the Irish housing bust, it has been subject to relatively little attention in the </w:t>
      </w:r>
      <w:r w:rsidR="00AF781B">
        <w:t>international research literature, therefore th</w:t>
      </w:r>
      <w:r w:rsidR="00D82DDC">
        <w:t xml:space="preserve">is case study fills a </w:t>
      </w:r>
      <w:r w:rsidR="00AF781B">
        <w:t xml:space="preserve">significant </w:t>
      </w:r>
      <w:r w:rsidR="00D82DDC">
        <w:t xml:space="preserve">information </w:t>
      </w:r>
      <w:r w:rsidR="00AF781B">
        <w:t xml:space="preserve">gap.  The purpose of </w:t>
      </w:r>
      <w:r w:rsidR="00D82DDC">
        <w:t xml:space="preserve">this </w:t>
      </w:r>
      <w:r w:rsidR="00096A70">
        <w:t>case study</w:t>
      </w:r>
      <w:r w:rsidR="00AF781B">
        <w:t xml:space="preserve"> i</w:t>
      </w:r>
      <w:r>
        <w:t xml:space="preserve">s </w:t>
      </w:r>
      <w:r w:rsidR="0084418F">
        <w:t xml:space="preserve">not </w:t>
      </w:r>
      <w:r>
        <w:t xml:space="preserve">to </w:t>
      </w:r>
      <w:r w:rsidR="007E7567">
        <w:t xml:space="preserve">further </w:t>
      </w:r>
      <w:r>
        <w:t xml:space="preserve">elucidate the </w:t>
      </w:r>
      <w:r w:rsidR="0084418F">
        <w:t>drivers of the boom</w:t>
      </w:r>
      <w:r>
        <w:t xml:space="preserve"> and bust</w:t>
      </w:r>
      <w:r w:rsidR="00547C5C">
        <w:t xml:space="preserve">, which </w:t>
      </w:r>
      <w:r w:rsidR="007E7567">
        <w:t xml:space="preserve">have been sketched above.  These </w:t>
      </w:r>
      <w:r w:rsidR="00E00851">
        <w:t xml:space="preserve">have </w:t>
      </w:r>
      <w:r w:rsidR="0084418F">
        <w:t>been extensively researched in Ireland</w:t>
      </w:r>
      <w:r w:rsidR="00D82DDC">
        <w:t xml:space="preserve">, </w:t>
      </w:r>
      <w:r w:rsidR="007E7567">
        <w:t>and there is a</w:t>
      </w:r>
      <w:r w:rsidR="00D82DDC">
        <w:t xml:space="preserve"> vast </w:t>
      </w:r>
      <w:r w:rsidR="0084418F">
        <w:t>international</w:t>
      </w:r>
      <w:r w:rsidR="00D82DDC">
        <w:t xml:space="preserve"> literature on this subject </w:t>
      </w:r>
      <w:r w:rsidR="00547C5C">
        <w:t>(</w:t>
      </w:r>
      <w:r w:rsidR="00857861">
        <w:t>see: Leung, 2004 and Gilchrist and Leahy, 200</w:t>
      </w:r>
      <w:r w:rsidR="00A87E4C">
        <w:t>2</w:t>
      </w:r>
      <w:r w:rsidR="00857861">
        <w:t xml:space="preserve"> for surveys of this literature)</w:t>
      </w:r>
      <w:r w:rsidR="00D82DDC">
        <w:t>.  Rather the article</w:t>
      </w:r>
      <w:r w:rsidR="00AF781B">
        <w:t xml:space="preserve"> </w:t>
      </w:r>
      <w:r w:rsidR="00E00851">
        <w:t xml:space="preserve">focuses on a </w:t>
      </w:r>
      <w:r w:rsidR="007E7567">
        <w:t>question</w:t>
      </w:r>
      <w:r w:rsidR="00E00851">
        <w:t xml:space="preserve"> which </w:t>
      </w:r>
      <w:r w:rsidR="00A87E4C">
        <w:t xml:space="preserve">has only recently received </w:t>
      </w:r>
      <w:r w:rsidR="00D17B53">
        <w:t xml:space="preserve">significant </w:t>
      </w:r>
      <w:r w:rsidR="00B748A5">
        <w:t xml:space="preserve">attention </w:t>
      </w:r>
      <w:r w:rsidR="00D82DDC">
        <w:t>from researchers</w:t>
      </w:r>
      <w:r w:rsidR="00E00851">
        <w:t xml:space="preserve"> – </w:t>
      </w:r>
      <w:r>
        <w:t>the</w:t>
      </w:r>
      <w:r w:rsidR="00AC77A5">
        <w:t xml:space="preserve"> </w:t>
      </w:r>
      <w:r w:rsidR="00E00851">
        <w:t xml:space="preserve">wider economic impact </w:t>
      </w:r>
      <w:r>
        <w:t xml:space="preserve">of housing </w:t>
      </w:r>
      <w:r w:rsidR="009950E7">
        <w:t xml:space="preserve">market </w:t>
      </w:r>
      <w:r w:rsidR="00D82DDC">
        <w:t>cycles</w:t>
      </w:r>
      <w:r>
        <w:t xml:space="preserve"> </w:t>
      </w:r>
      <w:r w:rsidR="00A87E4C" w:rsidRPr="00A72DBF">
        <w:t>(</w:t>
      </w:r>
      <w:r w:rsidR="00FC5C87" w:rsidRPr="00A72DBF">
        <w:t xml:space="preserve">Jaeger and </w:t>
      </w:r>
      <w:proofErr w:type="spellStart"/>
      <w:r w:rsidR="00FC5C87" w:rsidRPr="00A72DBF">
        <w:t>Schuknec</w:t>
      </w:r>
      <w:r w:rsidR="002A326D">
        <w:t>h</w:t>
      </w:r>
      <w:r w:rsidR="00FC5C87" w:rsidRPr="00A72DBF">
        <w:t>t</w:t>
      </w:r>
      <w:proofErr w:type="spellEnd"/>
      <w:r w:rsidR="00FC5C87" w:rsidRPr="00A72DBF">
        <w:t xml:space="preserve">, 2007; </w:t>
      </w:r>
      <w:proofErr w:type="spellStart"/>
      <w:r w:rsidR="00DF7D2C">
        <w:t>C</w:t>
      </w:r>
      <w:r w:rsidR="00257A85">
        <w:t>ecchetti</w:t>
      </w:r>
      <w:proofErr w:type="spellEnd"/>
      <w:r w:rsidR="00257A85">
        <w:t xml:space="preserve">, S. 2008; </w:t>
      </w:r>
      <w:proofErr w:type="spellStart"/>
      <w:r w:rsidR="00671F42" w:rsidRPr="00A72DBF">
        <w:t>Agnello</w:t>
      </w:r>
      <w:proofErr w:type="spellEnd"/>
      <w:r w:rsidR="00671F42" w:rsidRPr="00A72DBF">
        <w:t xml:space="preserve"> and </w:t>
      </w:r>
      <w:proofErr w:type="spellStart"/>
      <w:r w:rsidR="00671F42" w:rsidRPr="00A72DBF">
        <w:t>Schuknecht</w:t>
      </w:r>
      <w:proofErr w:type="spellEnd"/>
      <w:r w:rsidR="00671F42" w:rsidRPr="00A72DBF">
        <w:t>, 2011)</w:t>
      </w:r>
      <w:r w:rsidR="00B748A5" w:rsidRPr="00A72DBF">
        <w:t>.</w:t>
      </w:r>
      <w:r w:rsidR="00B748A5">
        <w:t xml:space="preserve">  </w:t>
      </w:r>
      <w:r w:rsidR="0003349C">
        <w:t>Thus, drawing on the</w:t>
      </w:r>
      <w:r w:rsidR="009950E7">
        <w:t xml:space="preserve"> </w:t>
      </w:r>
      <w:r w:rsidR="002A5681">
        <w:t xml:space="preserve">international </w:t>
      </w:r>
      <w:r w:rsidR="00D82DDC">
        <w:t>literature</w:t>
      </w:r>
      <w:r w:rsidR="009950E7">
        <w:t xml:space="preserve"> </w:t>
      </w:r>
      <w:r w:rsidR="00731734">
        <w:t xml:space="preserve">and a </w:t>
      </w:r>
      <w:r>
        <w:t xml:space="preserve">detailed </w:t>
      </w:r>
      <w:r w:rsidR="00731734">
        <w:t xml:space="preserve">description (rather than </w:t>
      </w:r>
      <w:r w:rsidR="00800EAD">
        <w:t>econometric</w:t>
      </w:r>
      <w:r w:rsidR="00731734">
        <w:t xml:space="preserve"> testing) of </w:t>
      </w:r>
      <w:r>
        <w:t xml:space="preserve">relevant </w:t>
      </w:r>
      <w:r w:rsidR="00731734">
        <w:t>trends in the Irish economy</w:t>
      </w:r>
      <w:r w:rsidR="006A4F0B">
        <w:t>,</w:t>
      </w:r>
      <w:r w:rsidR="00731734">
        <w:t xml:space="preserve"> mortgage </w:t>
      </w:r>
      <w:r w:rsidR="006A4F0B">
        <w:t>lending</w:t>
      </w:r>
      <w:r w:rsidR="00731734">
        <w:t xml:space="preserve"> and </w:t>
      </w:r>
      <w:r w:rsidR="006A4F0B">
        <w:t xml:space="preserve">the </w:t>
      </w:r>
      <w:r w:rsidR="00731734">
        <w:t>housing market</w:t>
      </w:r>
      <w:r>
        <w:t xml:space="preserve"> since the mid 1990s</w:t>
      </w:r>
      <w:r w:rsidR="00D17B53">
        <w:t>,</w:t>
      </w:r>
      <w:r w:rsidR="00671F42">
        <w:t xml:space="preserve"> </w:t>
      </w:r>
      <w:r w:rsidR="00B748A5">
        <w:t xml:space="preserve">we argue that </w:t>
      </w:r>
      <w:r w:rsidR="00A72DBF">
        <w:t xml:space="preserve">Ireland’s </w:t>
      </w:r>
      <w:r w:rsidR="00B748A5">
        <w:t>house price boom dr</w:t>
      </w:r>
      <w:r w:rsidR="007B0085" w:rsidRPr="00B76149">
        <w:t>ove</w:t>
      </w:r>
      <w:r w:rsidR="0081792D">
        <w:t>,</w:t>
      </w:r>
      <w:r w:rsidR="007B0085" w:rsidRPr="00B76149">
        <w:t xml:space="preserve"> </w:t>
      </w:r>
      <w:r w:rsidR="00744818">
        <w:t>but also masked</w:t>
      </w:r>
      <w:r w:rsidR="0081792D">
        <w:t>,</w:t>
      </w:r>
      <w:r w:rsidR="00744818">
        <w:t xml:space="preserve"> </w:t>
      </w:r>
      <w:r w:rsidR="00DB01C6">
        <w:t xml:space="preserve">severe </w:t>
      </w:r>
      <w:r w:rsidR="0062629B">
        <w:t>risks</w:t>
      </w:r>
      <w:r w:rsidR="00DB01C6">
        <w:t xml:space="preserve"> </w:t>
      </w:r>
      <w:r w:rsidR="00A72DBF">
        <w:t xml:space="preserve">in the </w:t>
      </w:r>
      <w:r w:rsidR="00F74390">
        <w:t>macro-</w:t>
      </w:r>
      <w:r w:rsidR="0007406E">
        <w:t>economy</w:t>
      </w:r>
      <w:r w:rsidR="00E00851">
        <w:t xml:space="preserve"> and</w:t>
      </w:r>
      <w:r w:rsidR="00D2473A">
        <w:t xml:space="preserve"> public finances</w:t>
      </w:r>
      <w:r w:rsidR="00E00851">
        <w:t xml:space="preserve">, the </w:t>
      </w:r>
      <w:r w:rsidR="0007406E">
        <w:t>banking system</w:t>
      </w:r>
      <w:r w:rsidR="00FF2163">
        <w:t xml:space="preserve"> and among households</w:t>
      </w:r>
      <w:r w:rsidR="009950E7">
        <w:t xml:space="preserve"> and was the primary cause of the </w:t>
      </w:r>
      <w:r w:rsidR="00F566F7">
        <w:t>‘</w:t>
      </w:r>
      <w:r w:rsidR="009950E7">
        <w:t>death</w:t>
      </w:r>
      <w:r w:rsidR="00F566F7">
        <w:t>’</w:t>
      </w:r>
      <w:r w:rsidR="009950E7">
        <w:t xml:space="preserve"> of the Celtic tiger.</w:t>
      </w:r>
      <w:r w:rsidR="00744818">
        <w:t xml:space="preserve">  </w:t>
      </w:r>
      <w:r w:rsidR="009950E7" w:rsidRPr="009950E7">
        <w:t>Th</w:t>
      </w:r>
      <w:r w:rsidR="009950E7">
        <w:t>erefore the Irish case</w:t>
      </w:r>
      <w:r w:rsidR="009950E7" w:rsidRPr="009950E7">
        <w:t xml:space="preserve"> supports the results of more conventional econometric research on housing booms which indicates that they generate particularly serious </w:t>
      </w:r>
      <w:r w:rsidR="00FA0C28">
        <w:t xml:space="preserve">wider </w:t>
      </w:r>
      <w:r w:rsidR="009950E7" w:rsidRPr="009950E7">
        <w:t>economic risks</w:t>
      </w:r>
      <w:r w:rsidR="00037FC0">
        <w:t xml:space="preserve"> (</w:t>
      </w:r>
      <w:proofErr w:type="spellStart"/>
      <w:r w:rsidR="00037FC0">
        <w:t>Cecchetti</w:t>
      </w:r>
      <w:proofErr w:type="spellEnd"/>
      <w:r w:rsidR="00037FC0">
        <w:t xml:space="preserve">, 2008; Case </w:t>
      </w:r>
      <w:r w:rsidR="00037FC0">
        <w:rPr>
          <w:i/>
        </w:rPr>
        <w:t xml:space="preserve">et al, </w:t>
      </w:r>
      <w:r w:rsidR="00037FC0">
        <w:t>2005; Case and Quigley, 2008)</w:t>
      </w:r>
      <w:r w:rsidR="009950E7">
        <w:t>.</w:t>
      </w:r>
      <w:r w:rsidR="00F566F7">
        <w:t xml:space="preserve">  </w:t>
      </w:r>
      <w:r w:rsidR="00D82DDC">
        <w:t xml:space="preserve">In view of this finding, a </w:t>
      </w:r>
      <w:r w:rsidR="00037FC0">
        <w:t xml:space="preserve">further </w:t>
      </w:r>
      <w:r w:rsidR="00F566F7">
        <w:t xml:space="preserve">objective of the article is to elucidate the lessons regarding the appropriate regulatory and policy responses which arise from the </w:t>
      </w:r>
      <w:r w:rsidR="00D82DDC">
        <w:t xml:space="preserve">Irish </w:t>
      </w:r>
      <w:r w:rsidR="00D82DDC" w:rsidRPr="009B0363">
        <w:t>case</w:t>
      </w:r>
      <w:r w:rsidR="00D82DDC" w:rsidRPr="009B0363">
        <w:rPr>
          <w:color w:val="000000" w:themeColor="text1"/>
        </w:rPr>
        <w:t>.</w:t>
      </w:r>
    </w:p>
    <w:p w:rsidR="009B0363" w:rsidRPr="009B0363" w:rsidRDefault="009B0363" w:rsidP="009038F0">
      <w:pPr>
        <w:spacing w:line="480" w:lineRule="auto"/>
        <w:jc w:val="both"/>
      </w:pPr>
    </w:p>
    <w:p w:rsidR="001B00A5" w:rsidRDefault="00D5132D" w:rsidP="009038F0">
      <w:pPr>
        <w:spacing w:line="480" w:lineRule="auto"/>
        <w:jc w:val="both"/>
      </w:pPr>
      <w:r w:rsidRPr="009B0363">
        <w:t>Th</w:t>
      </w:r>
      <w:r w:rsidR="00142CAC" w:rsidRPr="009B0363">
        <w:t>e discussion</w:t>
      </w:r>
      <w:r w:rsidR="00142CAC">
        <w:t xml:space="preserve"> of these issues presented here is</w:t>
      </w:r>
      <w:r w:rsidR="00142CAC" w:rsidRPr="004132F9">
        <w:t xml:space="preserve"> organised</w:t>
      </w:r>
      <w:r w:rsidR="00142CAC">
        <w:t xml:space="preserve"> into </w:t>
      </w:r>
      <w:r w:rsidR="00AC77A5">
        <w:t>three</w:t>
      </w:r>
      <w:r w:rsidR="00142CAC">
        <w:t xml:space="preserve"> further sections.  </w:t>
      </w:r>
      <w:r w:rsidR="00EC67F2">
        <w:t xml:space="preserve">The next section </w:t>
      </w:r>
      <w:r w:rsidR="00FE1FBE" w:rsidRPr="00CA5C9A">
        <w:t xml:space="preserve">outlines the most significant features of the housing boom and </w:t>
      </w:r>
      <w:r w:rsidR="001B00A5">
        <w:t>explains how</w:t>
      </w:r>
      <w:r w:rsidR="00A956F9">
        <w:t xml:space="preserve"> </w:t>
      </w:r>
      <w:r w:rsidR="003C588F">
        <w:t xml:space="preserve">it </w:t>
      </w:r>
      <w:r w:rsidR="00FE1FBE" w:rsidRPr="00CA5C9A">
        <w:t xml:space="preserve">generated </w:t>
      </w:r>
      <w:r w:rsidR="003847BA">
        <w:t xml:space="preserve">and disguised crucial risks </w:t>
      </w:r>
      <w:r w:rsidR="00123CF3" w:rsidRPr="00CA5C9A">
        <w:t>in the</w:t>
      </w:r>
      <w:r w:rsidR="00FE1FBE" w:rsidRPr="00CA5C9A">
        <w:t xml:space="preserve"> macro</w:t>
      </w:r>
      <w:r w:rsidR="002A326D">
        <w:t>-</w:t>
      </w:r>
      <w:r w:rsidR="00FE1FBE" w:rsidRPr="00CA5C9A">
        <w:t>economy</w:t>
      </w:r>
      <w:r w:rsidR="00EC67F2">
        <w:t xml:space="preserve"> and public finances</w:t>
      </w:r>
      <w:r w:rsidR="00123CF3" w:rsidRPr="00CA5C9A">
        <w:t xml:space="preserve">, among mortgage </w:t>
      </w:r>
      <w:r w:rsidR="00731734">
        <w:t>lenders</w:t>
      </w:r>
      <w:r w:rsidR="00844CA2">
        <w:t xml:space="preserve"> </w:t>
      </w:r>
      <w:r w:rsidR="00FE1FBE" w:rsidRPr="00CA5C9A">
        <w:t xml:space="preserve">and </w:t>
      </w:r>
      <w:r w:rsidR="003C588F">
        <w:t xml:space="preserve">in </w:t>
      </w:r>
      <w:r w:rsidR="00CA5C9A">
        <w:t xml:space="preserve">the </w:t>
      </w:r>
      <w:r w:rsidR="003C588F">
        <w:t>finances</w:t>
      </w:r>
      <w:r w:rsidR="00CA5C9A">
        <w:t xml:space="preserve"> of individual</w:t>
      </w:r>
      <w:r w:rsidR="00123CF3" w:rsidRPr="00CA5C9A">
        <w:t xml:space="preserve"> households</w:t>
      </w:r>
      <w:r w:rsidR="0006776D" w:rsidRPr="00CA5C9A">
        <w:t xml:space="preserve">.  </w:t>
      </w:r>
      <w:r w:rsidR="003C588F">
        <w:t xml:space="preserve">This is followed by an outline of the key features of the </w:t>
      </w:r>
      <w:r w:rsidR="006D41AB">
        <w:t xml:space="preserve">housing </w:t>
      </w:r>
      <w:r w:rsidR="003C588F">
        <w:t xml:space="preserve">bust </w:t>
      </w:r>
      <w:r w:rsidR="001B00A5">
        <w:t xml:space="preserve">which followed the boom </w:t>
      </w:r>
      <w:r w:rsidR="003C588F">
        <w:t>and of its implications for the</w:t>
      </w:r>
      <w:r w:rsidR="009C0542">
        <w:t xml:space="preserve"> </w:t>
      </w:r>
      <w:r w:rsidR="00844CA2">
        <w:t>macro-</w:t>
      </w:r>
      <w:r w:rsidR="009C0542">
        <w:t>economy,</w:t>
      </w:r>
      <w:r w:rsidR="003C588F">
        <w:t xml:space="preserve"> </w:t>
      </w:r>
      <w:r w:rsidR="00731734">
        <w:t>mortgage lenders</w:t>
      </w:r>
      <w:r w:rsidR="003C588F">
        <w:t xml:space="preserve"> and households</w:t>
      </w:r>
      <w:r w:rsidR="003C588F" w:rsidRPr="00ED13F0">
        <w:t xml:space="preserve">. </w:t>
      </w:r>
      <w:r w:rsidR="00CA5C9A" w:rsidRPr="00ED13F0">
        <w:t xml:space="preserve"> </w:t>
      </w:r>
      <w:r w:rsidR="007C082E" w:rsidRPr="00ED13F0">
        <w:t>The conclusions examine</w:t>
      </w:r>
      <w:r w:rsidR="0049130C" w:rsidRPr="00ED13F0">
        <w:t xml:space="preserve"> the </w:t>
      </w:r>
      <w:r w:rsidR="00C5735B" w:rsidRPr="00ED13F0">
        <w:t xml:space="preserve">lessons </w:t>
      </w:r>
      <w:r w:rsidR="00434A04" w:rsidRPr="00ED13F0">
        <w:t xml:space="preserve">regarding appropriate regulatory and policy responses to a </w:t>
      </w:r>
      <w:r w:rsidR="00ED13F0" w:rsidRPr="00ED13F0">
        <w:t>housing</w:t>
      </w:r>
      <w:r w:rsidR="00434A04" w:rsidRPr="00ED13F0">
        <w:t xml:space="preserve"> boom which arise</w:t>
      </w:r>
      <w:r w:rsidR="00DA0737">
        <w:t xml:space="preserve"> from the Irish case</w:t>
      </w:r>
      <w:r w:rsidR="0090367D" w:rsidRPr="00ED13F0">
        <w:t>.</w:t>
      </w:r>
    </w:p>
    <w:p w:rsidR="009B0363" w:rsidRDefault="009B0363">
      <w:pPr>
        <w:rPr>
          <w:b/>
        </w:rPr>
      </w:pPr>
      <w:r>
        <w:rPr>
          <w:b/>
        </w:rPr>
        <w:br w:type="page"/>
      </w:r>
    </w:p>
    <w:p w:rsidR="00945D83" w:rsidRPr="002A5681" w:rsidRDefault="00D17B53" w:rsidP="009038F0">
      <w:pPr>
        <w:spacing w:line="480" w:lineRule="auto"/>
        <w:jc w:val="both"/>
        <w:rPr>
          <w:b/>
        </w:rPr>
      </w:pPr>
      <w:r w:rsidRPr="002A5681">
        <w:rPr>
          <w:b/>
        </w:rPr>
        <w:lastRenderedPageBreak/>
        <w:t>2</w:t>
      </w:r>
      <w:r w:rsidRPr="002A5681">
        <w:rPr>
          <w:b/>
        </w:rPr>
        <w:tab/>
      </w:r>
      <w:r w:rsidR="00945D83" w:rsidRPr="002A5681">
        <w:rPr>
          <w:b/>
        </w:rPr>
        <w:t>The Housing Boom</w:t>
      </w:r>
    </w:p>
    <w:p w:rsidR="00945D83" w:rsidRDefault="00945D83" w:rsidP="009038F0">
      <w:pPr>
        <w:spacing w:line="480" w:lineRule="auto"/>
        <w:jc w:val="both"/>
      </w:pPr>
    </w:p>
    <w:p w:rsidR="00BA3631" w:rsidRPr="002A5681" w:rsidRDefault="00D17B53" w:rsidP="009038F0">
      <w:pPr>
        <w:spacing w:line="480" w:lineRule="auto"/>
        <w:jc w:val="both"/>
        <w:rPr>
          <w:i/>
        </w:rPr>
      </w:pPr>
      <w:r w:rsidRPr="002A5681">
        <w:rPr>
          <w:i/>
        </w:rPr>
        <w:t>2.1</w:t>
      </w:r>
      <w:r w:rsidRPr="002A5681">
        <w:rPr>
          <w:i/>
        </w:rPr>
        <w:tab/>
      </w:r>
      <w:r w:rsidR="00AF03D1" w:rsidRPr="002A5681">
        <w:rPr>
          <w:i/>
        </w:rPr>
        <w:t>Macro</w:t>
      </w:r>
      <w:r w:rsidR="002A326D" w:rsidRPr="002A5681">
        <w:rPr>
          <w:i/>
        </w:rPr>
        <w:t>-</w:t>
      </w:r>
      <w:r w:rsidR="000854F2" w:rsidRPr="002A5681">
        <w:rPr>
          <w:i/>
        </w:rPr>
        <w:t>Economy</w:t>
      </w:r>
    </w:p>
    <w:p w:rsidR="002B29FD" w:rsidRDefault="009D156B" w:rsidP="009038F0">
      <w:pPr>
        <w:spacing w:line="480" w:lineRule="auto"/>
        <w:jc w:val="both"/>
      </w:pPr>
      <w:r>
        <w:t>As mentioned above, the</w:t>
      </w:r>
      <w:r w:rsidR="00C527A9" w:rsidRPr="00A27D26">
        <w:t xml:space="preserve"> demand created by th</w:t>
      </w:r>
      <w:r w:rsidR="0052073A">
        <w:t>e</w:t>
      </w:r>
      <w:r w:rsidR="0052073A" w:rsidRPr="004132F9">
        <w:t xml:space="preserve"> </w:t>
      </w:r>
      <w:r w:rsidR="00E2141F" w:rsidRPr="004132F9">
        <w:t>Celtic</w:t>
      </w:r>
      <w:r w:rsidR="0052073A">
        <w:t xml:space="preserve"> tiger </w:t>
      </w:r>
      <w:r w:rsidR="00286D04">
        <w:t xml:space="preserve">era </w:t>
      </w:r>
      <w:r w:rsidR="00C527A9" w:rsidRPr="00A27D26">
        <w:t>e</w:t>
      </w:r>
      <w:r w:rsidR="000051AE" w:rsidRPr="00A27D26">
        <w:t>conomic</w:t>
      </w:r>
      <w:r w:rsidR="00C527A9" w:rsidRPr="00A27D26">
        <w:t>,</w:t>
      </w:r>
      <w:r w:rsidR="000051AE" w:rsidRPr="00A27D26">
        <w:t xml:space="preserve"> employment </w:t>
      </w:r>
      <w:r w:rsidR="00C527A9" w:rsidRPr="00A27D26">
        <w:t xml:space="preserve">and income </w:t>
      </w:r>
      <w:r w:rsidR="000051AE" w:rsidRPr="00A27D26">
        <w:t xml:space="preserve">growth began to </w:t>
      </w:r>
      <w:r w:rsidR="00843480" w:rsidRPr="00A27D26">
        <w:t>feed into house price</w:t>
      </w:r>
      <w:r w:rsidR="00C527A9" w:rsidRPr="00A27D26">
        <w:t>s</w:t>
      </w:r>
      <w:r w:rsidR="00843480" w:rsidRPr="00A27D26">
        <w:t xml:space="preserve"> </w:t>
      </w:r>
      <w:r w:rsidR="00286D04">
        <w:t>from the mid</w:t>
      </w:r>
      <w:r w:rsidR="00F74390">
        <w:t>-</w:t>
      </w:r>
      <w:r w:rsidR="00286D04">
        <w:t>1990s (</w:t>
      </w:r>
      <w:r>
        <w:t>see Figure 1</w:t>
      </w:r>
      <w:r w:rsidR="00843480" w:rsidRPr="00A27D26">
        <w:t>).</w:t>
      </w:r>
      <w:r w:rsidR="000051AE" w:rsidRPr="00A27D26">
        <w:t xml:space="preserve">  </w:t>
      </w:r>
      <w:r w:rsidR="003D4DDC">
        <w:t>1996 was the first year of significant inflation and between then and the peak in 2006, house prices increased by 292 per cent</w:t>
      </w:r>
      <w:r w:rsidR="00583CD9">
        <w:t xml:space="preserve"> in nominal terms</w:t>
      </w:r>
      <w:r w:rsidR="003D4DDC">
        <w:t>.</w:t>
      </w:r>
    </w:p>
    <w:p w:rsidR="003D4DDC" w:rsidRDefault="003D4DDC" w:rsidP="009038F0">
      <w:pPr>
        <w:spacing w:line="480" w:lineRule="auto"/>
        <w:jc w:val="both"/>
      </w:pPr>
    </w:p>
    <w:p w:rsidR="003D4DDC" w:rsidRPr="002A5681" w:rsidRDefault="003D4DDC" w:rsidP="009038F0">
      <w:pPr>
        <w:spacing w:line="480" w:lineRule="auto"/>
        <w:jc w:val="both"/>
        <w:rPr>
          <w:i/>
        </w:rPr>
      </w:pPr>
      <w:r w:rsidRPr="002A5681">
        <w:rPr>
          <w:i/>
        </w:rPr>
        <w:t>Figure 1 here</w:t>
      </w:r>
    </w:p>
    <w:p w:rsidR="002B29FD" w:rsidRDefault="002B29FD" w:rsidP="009038F0">
      <w:pPr>
        <w:spacing w:line="480" w:lineRule="auto"/>
        <w:jc w:val="both"/>
      </w:pPr>
    </w:p>
    <w:p w:rsidR="00991E4C" w:rsidRDefault="00323162" w:rsidP="009038F0">
      <w:pPr>
        <w:spacing w:line="480" w:lineRule="auto"/>
        <w:jc w:val="both"/>
      </w:pPr>
      <w:r>
        <w:t xml:space="preserve">Concerned about the implications of rising house prices for access </w:t>
      </w:r>
      <w:r w:rsidR="008F6E0B">
        <w:t>to the tenure which</w:t>
      </w:r>
      <w:r w:rsidR="00D17B53">
        <w:t>,</w:t>
      </w:r>
      <w:r w:rsidR="008F6E0B">
        <w:t xml:space="preserve"> </w:t>
      </w:r>
      <w:r w:rsidR="0039579E">
        <w:t>according to the 1991 census</w:t>
      </w:r>
      <w:r w:rsidR="00D17B53">
        <w:t>,</w:t>
      </w:r>
      <w:r w:rsidR="0039579E">
        <w:t xml:space="preserve"> </w:t>
      </w:r>
      <w:r w:rsidR="008F6E0B">
        <w:t>accommodate</w:t>
      </w:r>
      <w:r w:rsidR="00AC77A5">
        <w:t>d</w:t>
      </w:r>
      <w:r w:rsidR="008F6E0B">
        <w:t xml:space="preserve"> </w:t>
      </w:r>
      <w:r w:rsidR="00ED13F0" w:rsidRPr="00B76149">
        <w:t xml:space="preserve">80.2 per </w:t>
      </w:r>
      <w:r w:rsidR="00AC77A5">
        <w:t>cent of Irish households</w:t>
      </w:r>
      <w:r>
        <w:t xml:space="preserve">, the </w:t>
      </w:r>
      <w:r w:rsidR="00A87DBC">
        <w:t>government commissioned a series of economic analys</w:t>
      </w:r>
      <w:r w:rsidR="002A326D">
        <w:t>e</w:t>
      </w:r>
      <w:r w:rsidR="00A87DBC">
        <w:t xml:space="preserve">s of the housing market </w:t>
      </w:r>
      <w:r w:rsidR="00A87DBC" w:rsidRPr="00742089">
        <w:rPr>
          <w:color w:val="000000"/>
        </w:rPr>
        <w:t xml:space="preserve">(Bacon </w:t>
      </w:r>
      <w:r w:rsidR="00A87DBC">
        <w:rPr>
          <w:color w:val="000000"/>
        </w:rPr>
        <w:t>and</w:t>
      </w:r>
      <w:r w:rsidR="00A87DBC" w:rsidRPr="00742089">
        <w:rPr>
          <w:color w:val="000000"/>
        </w:rPr>
        <w:t xml:space="preserve"> Associates, 1998, 1999, 2000) </w:t>
      </w:r>
      <w:r w:rsidR="00A87DBC">
        <w:t xml:space="preserve">and introduced </w:t>
      </w:r>
      <w:r w:rsidR="006A5B52">
        <w:t xml:space="preserve">related </w:t>
      </w:r>
      <w:r w:rsidR="00DA0737">
        <w:t xml:space="preserve">policy </w:t>
      </w:r>
      <w:r w:rsidR="00A87DBC">
        <w:t xml:space="preserve">reforms (detailed in: </w:t>
      </w:r>
      <w:r w:rsidR="00A87DBC" w:rsidRPr="00A87DBC">
        <w:t>Department of the Environment and Local Government</w:t>
      </w:r>
      <w:r w:rsidR="00A87DBC">
        <w:t xml:space="preserve">, 1998, 1999, 2000).  </w:t>
      </w:r>
      <w:r w:rsidR="00991E4C">
        <w:t>These economic analyses identified under</w:t>
      </w:r>
      <w:r w:rsidR="00040DEF">
        <w:t>-</w:t>
      </w:r>
      <w:r w:rsidR="00991E4C">
        <w:t xml:space="preserve">supply of dwellings as a key driver of </w:t>
      </w:r>
      <w:r w:rsidR="00040DEF">
        <w:t xml:space="preserve">price </w:t>
      </w:r>
      <w:r w:rsidR="00991E4C">
        <w:t>inflation and</w:t>
      </w:r>
      <w:r w:rsidR="00040DEF">
        <w:t>,</w:t>
      </w:r>
      <w:r w:rsidR="00991E4C">
        <w:t xml:space="preserve"> in response</w:t>
      </w:r>
      <w:r w:rsidR="00040DEF">
        <w:t>,</w:t>
      </w:r>
      <w:r w:rsidR="00991E4C">
        <w:t xml:space="preserve"> government introduced a range of reforms to the planning system intended to </w:t>
      </w:r>
      <w:r w:rsidR="00040DEF">
        <w:t>increase housing output</w:t>
      </w:r>
      <w:r w:rsidR="00991E4C">
        <w:t>.  The relatively modest taxation measures intended to discourage residential landlords from buying dwellings which were proposed in the economic analyses were ignored by government, and the</w:t>
      </w:r>
      <w:r w:rsidR="008F6E0B">
        <w:t>se</w:t>
      </w:r>
      <w:r w:rsidR="00991E4C">
        <w:t xml:space="preserve"> analyses failed to examine the potential for controlling mortgage credit access in order to stem house price inflation</w:t>
      </w:r>
      <w:r w:rsidR="008F6E0B">
        <w:t xml:space="preserve">, </w:t>
      </w:r>
      <w:r w:rsidR="006B3B85">
        <w:t>and no action was taken by policy makers</w:t>
      </w:r>
      <w:r w:rsidR="008F6E0B">
        <w:t xml:space="preserve"> on this issue</w:t>
      </w:r>
      <w:r w:rsidR="00991E4C">
        <w:t xml:space="preserve"> (see: Norris and Shields, 200</w:t>
      </w:r>
      <w:r w:rsidR="008F6E0B">
        <w:t>7</w:t>
      </w:r>
      <w:r w:rsidR="00991E4C">
        <w:t>).</w:t>
      </w:r>
    </w:p>
    <w:p w:rsidR="00991E4C" w:rsidRDefault="00991E4C" w:rsidP="009038F0">
      <w:pPr>
        <w:spacing w:line="480" w:lineRule="auto"/>
        <w:jc w:val="both"/>
      </w:pPr>
    </w:p>
    <w:p w:rsidR="0057116C" w:rsidRDefault="006B3B85" w:rsidP="009038F0">
      <w:pPr>
        <w:spacing w:line="480" w:lineRule="auto"/>
        <w:jc w:val="both"/>
        <w:rPr>
          <w:color w:val="000000"/>
        </w:rPr>
      </w:pPr>
      <w:r>
        <w:t xml:space="preserve">Efforts </w:t>
      </w:r>
      <w:r w:rsidR="00991E4C">
        <w:t>to increase housing output were successful</w:t>
      </w:r>
      <w:r w:rsidR="00E25C74">
        <w:t xml:space="preserve"> – </w:t>
      </w:r>
      <w:proofErr w:type="gramStart"/>
      <w:r w:rsidR="00E25C74">
        <w:t>o</w:t>
      </w:r>
      <w:r w:rsidR="00D53331" w:rsidRPr="00A27D26">
        <w:t xml:space="preserve">utput </w:t>
      </w:r>
      <w:r w:rsidR="00E25C74">
        <w:t>grew</w:t>
      </w:r>
      <w:r w:rsidR="00D53331" w:rsidRPr="00A27D26">
        <w:t xml:space="preserve"> from </w:t>
      </w:r>
      <w:r w:rsidR="00D53331" w:rsidRPr="00A27D26">
        <w:rPr>
          <w:bCs/>
          <w:color w:val="000000"/>
          <w:lang w:val="en-IE" w:eastAsia="en-IE"/>
        </w:rPr>
        <w:t>33,725</w:t>
      </w:r>
      <w:r w:rsidR="00440921" w:rsidRPr="00A27D26">
        <w:t xml:space="preserve"> </w:t>
      </w:r>
      <w:r w:rsidR="00D53331" w:rsidRPr="00A27D26">
        <w:t xml:space="preserve">new dwellings in 1996 to </w:t>
      </w:r>
      <w:r w:rsidR="00E25C74">
        <w:t>49,812</w:t>
      </w:r>
      <w:r w:rsidR="004A16DE" w:rsidRPr="004A16DE">
        <w:t xml:space="preserve"> </w:t>
      </w:r>
      <w:r w:rsidR="004A16DE">
        <w:t>dwellings in 200</w:t>
      </w:r>
      <w:r w:rsidR="00E25C74">
        <w:t xml:space="preserve">0, but from the latter year </w:t>
      </w:r>
      <w:r w:rsidR="00991E4C">
        <w:t>it</w:t>
      </w:r>
      <w:r w:rsidR="00E25C74">
        <w:t xml:space="preserve"> expanded radically</w:t>
      </w:r>
      <w:r w:rsidR="004A16DE">
        <w:t xml:space="preserve"> to </w:t>
      </w:r>
      <w:r w:rsidR="00D53331" w:rsidRPr="00A27D26">
        <w:t>a high of 93,419 dwellings in 2006</w:t>
      </w:r>
      <w:r w:rsidR="00286D04">
        <w:t xml:space="preserve"> (see</w:t>
      </w:r>
      <w:proofErr w:type="gramEnd"/>
      <w:r w:rsidR="00286D04">
        <w:t xml:space="preserve"> </w:t>
      </w:r>
      <w:r w:rsidR="00991E4C">
        <w:t>Figure</w:t>
      </w:r>
      <w:r w:rsidR="007135E6">
        <w:t xml:space="preserve"> 2</w:t>
      </w:r>
      <w:r w:rsidR="00E25C74">
        <w:t>)</w:t>
      </w:r>
      <w:r w:rsidR="00D90333" w:rsidRPr="00A27D26">
        <w:t xml:space="preserve">. </w:t>
      </w:r>
      <w:r w:rsidR="00A27D26">
        <w:t xml:space="preserve"> To </w:t>
      </w:r>
      <w:r w:rsidR="00E25C74">
        <w:t>place</w:t>
      </w:r>
      <w:r w:rsidR="00A27D26">
        <w:t xml:space="preserve"> these </w:t>
      </w:r>
      <w:r w:rsidR="00583CD9">
        <w:t>figures</w:t>
      </w:r>
      <w:r w:rsidR="00A27D26">
        <w:t xml:space="preserve"> in context, in 2006 </w:t>
      </w:r>
      <w:r w:rsidR="006D1688">
        <w:t>the UK built just over twice the number of dwellings Ireland did (</w:t>
      </w:r>
      <w:r w:rsidR="000753FB">
        <w:t>209,000</w:t>
      </w:r>
      <w:r w:rsidR="00F06C80" w:rsidRPr="00F06C80">
        <w:t xml:space="preserve"> </w:t>
      </w:r>
      <w:r w:rsidR="006D1688">
        <w:t>units) for a population 15 times greater than that of Ireland (</w:t>
      </w:r>
      <w:r w:rsidR="00EE7F0D">
        <w:t>6</w:t>
      </w:r>
      <w:r w:rsidR="00F06C80" w:rsidRPr="00F06C80">
        <w:t>0 million</w:t>
      </w:r>
      <w:r w:rsidR="000753FB">
        <w:t xml:space="preserve">, compared </w:t>
      </w:r>
      <w:r w:rsidR="006D1688">
        <w:t xml:space="preserve">to </w:t>
      </w:r>
      <w:r w:rsidR="00CA6675">
        <w:t>4 million</w:t>
      </w:r>
      <w:r w:rsidR="006D1688">
        <w:t>)</w:t>
      </w:r>
      <w:r w:rsidR="000753FB">
        <w:t xml:space="preserve"> (European Mortgage Federation, various years)</w:t>
      </w:r>
      <w:r w:rsidR="006D1688">
        <w:t>.</w:t>
      </w:r>
      <w:r w:rsidR="00EA2BCA">
        <w:t xml:space="preserve">  However</w:t>
      </w:r>
      <w:r w:rsidR="002A326D">
        <w:t>,</w:t>
      </w:r>
      <w:r w:rsidR="00EA2BCA">
        <w:t xml:space="preserve"> increased output failed to </w:t>
      </w:r>
      <w:r w:rsidR="008F6E0B">
        <w:t xml:space="preserve">significantly </w:t>
      </w:r>
      <w:r w:rsidR="00EA2BCA">
        <w:t>moderate house price inflation because (i</w:t>
      </w:r>
      <w:r w:rsidR="00A55F97" w:rsidRPr="00742089">
        <w:rPr>
          <w:color w:val="000000"/>
        </w:rPr>
        <w:t xml:space="preserve">n addition to the expansion in </w:t>
      </w:r>
      <w:r w:rsidR="00742089" w:rsidRPr="00742089">
        <w:rPr>
          <w:color w:val="000000"/>
        </w:rPr>
        <w:t xml:space="preserve">mortgage </w:t>
      </w:r>
      <w:r w:rsidR="00A55F97" w:rsidRPr="00742089">
        <w:rPr>
          <w:color w:val="000000"/>
        </w:rPr>
        <w:t>credit, discussed below</w:t>
      </w:r>
      <w:r w:rsidR="00EA2BCA">
        <w:rPr>
          <w:color w:val="000000"/>
        </w:rPr>
        <w:t>)</w:t>
      </w:r>
      <w:r w:rsidR="00443DE7" w:rsidRPr="00742089">
        <w:rPr>
          <w:color w:val="000000"/>
        </w:rPr>
        <w:t xml:space="preserve"> a significant proportion of new dwellings were left vacant (vacancy rates increased by a </w:t>
      </w:r>
      <w:r w:rsidR="00443DE7" w:rsidRPr="00742089">
        <w:rPr>
          <w:color w:val="000000"/>
        </w:rPr>
        <w:lastRenderedPageBreak/>
        <w:t>third between 1996 and 2006) and</w:t>
      </w:r>
      <w:r>
        <w:rPr>
          <w:color w:val="000000"/>
        </w:rPr>
        <w:t>/or</w:t>
      </w:r>
      <w:r w:rsidR="00443DE7" w:rsidRPr="00742089">
        <w:rPr>
          <w:color w:val="000000"/>
        </w:rPr>
        <w:t xml:space="preserve"> were l</w:t>
      </w:r>
      <w:r w:rsidR="00EA2BCA">
        <w:rPr>
          <w:color w:val="000000"/>
        </w:rPr>
        <w:t xml:space="preserve">ocated outside the key population </w:t>
      </w:r>
      <w:r w:rsidR="00443DE7" w:rsidRPr="00742089">
        <w:rPr>
          <w:color w:val="000000"/>
        </w:rPr>
        <w:t>growth</w:t>
      </w:r>
      <w:r w:rsidR="00443DE7" w:rsidRPr="004132F9">
        <w:rPr>
          <w:color w:val="000000"/>
        </w:rPr>
        <w:t xml:space="preserve"> cen</w:t>
      </w:r>
      <w:r w:rsidR="00EA2BCA" w:rsidRPr="004132F9">
        <w:rPr>
          <w:color w:val="000000"/>
        </w:rPr>
        <w:t>tres</w:t>
      </w:r>
      <w:r w:rsidR="00EA2BCA">
        <w:rPr>
          <w:color w:val="000000"/>
        </w:rPr>
        <w:t xml:space="preserve"> (Fitz Gerald, 2005</w:t>
      </w:r>
      <w:r w:rsidR="00443DE7" w:rsidRPr="00742089">
        <w:rPr>
          <w:color w:val="000000"/>
        </w:rPr>
        <w:t xml:space="preserve">).  </w:t>
      </w:r>
    </w:p>
    <w:p w:rsidR="007135E6" w:rsidRDefault="007135E6" w:rsidP="009038F0">
      <w:pPr>
        <w:spacing w:line="480" w:lineRule="auto"/>
        <w:jc w:val="both"/>
        <w:rPr>
          <w:color w:val="000000"/>
        </w:rPr>
      </w:pPr>
    </w:p>
    <w:p w:rsidR="007135E6" w:rsidRPr="007135E6" w:rsidRDefault="007135E6" w:rsidP="009038F0">
      <w:pPr>
        <w:spacing w:line="480" w:lineRule="auto"/>
        <w:jc w:val="both"/>
        <w:rPr>
          <w:i/>
          <w:color w:val="000000"/>
        </w:rPr>
      </w:pPr>
      <w:r>
        <w:rPr>
          <w:i/>
          <w:color w:val="000000"/>
        </w:rPr>
        <w:t>Figure 2 here.</w:t>
      </w:r>
    </w:p>
    <w:p w:rsidR="0057116C" w:rsidRPr="00742089" w:rsidRDefault="0057116C" w:rsidP="009038F0">
      <w:pPr>
        <w:spacing w:line="480" w:lineRule="auto"/>
        <w:jc w:val="both"/>
      </w:pPr>
    </w:p>
    <w:p w:rsidR="00203807" w:rsidRDefault="00EA2BCA" w:rsidP="009038F0">
      <w:pPr>
        <w:spacing w:line="480" w:lineRule="auto"/>
        <w:jc w:val="both"/>
      </w:pPr>
      <w:r>
        <w:t xml:space="preserve">In addition, </w:t>
      </w:r>
      <w:r w:rsidR="00443DE7">
        <w:t xml:space="preserve">the building boom </w:t>
      </w:r>
      <w:r w:rsidR="00967797">
        <w:t xml:space="preserve">created </w:t>
      </w:r>
      <w:r w:rsidR="00443DE7">
        <w:t>a number of serious</w:t>
      </w:r>
      <w:r w:rsidR="00C21297">
        <w:t xml:space="preserve"> </w:t>
      </w:r>
      <w:r w:rsidR="00967797">
        <w:t xml:space="preserve">macro-economic </w:t>
      </w:r>
      <w:r w:rsidR="00CB287E">
        <w:t>distortions</w:t>
      </w:r>
      <w:r w:rsidR="00967797">
        <w:t xml:space="preserve">.  First, </w:t>
      </w:r>
      <w:r w:rsidR="0057494D">
        <w:t xml:space="preserve">construction came to account for </w:t>
      </w:r>
      <w:r w:rsidR="00AC7D8A">
        <w:t xml:space="preserve">an increasingly large proportion of national wealth.  </w:t>
      </w:r>
      <w:r w:rsidR="00CB287E">
        <w:t>It</w:t>
      </w:r>
      <w:r w:rsidR="00AC7D8A">
        <w:t xml:space="preserve"> accounted for 5.5 per cent of GNP in 199</w:t>
      </w:r>
      <w:r w:rsidR="00B06B05">
        <w:t>6</w:t>
      </w:r>
      <w:r w:rsidR="00AC7D8A">
        <w:t>, but this rose to 10.3 per c</w:t>
      </w:r>
      <w:r w:rsidR="00DC3437">
        <w:t>ent by 2006 (see Table 1)</w:t>
      </w:r>
      <w:r>
        <w:t xml:space="preserve"> and most</w:t>
      </w:r>
      <w:r w:rsidR="005E46C2">
        <w:t xml:space="preserve"> construction investment </w:t>
      </w:r>
      <w:r w:rsidR="00026E97">
        <w:t>(</w:t>
      </w:r>
      <w:r w:rsidR="0092418B">
        <w:t>62.6 per cent between 2002 and 2006)</w:t>
      </w:r>
      <w:r w:rsidR="00026E97">
        <w:t xml:space="preserve"> </w:t>
      </w:r>
      <w:r w:rsidR="005E46C2">
        <w:t>was on residential building</w:t>
      </w:r>
      <w:r w:rsidR="00026E97">
        <w:t xml:space="preserve"> </w:t>
      </w:r>
      <w:r w:rsidR="005E46C2">
        <w:t>(Central Statistics Office, 2008)</w:t>
      </w:r>
      <w:r w:rsidR="0092418B">
        <w:t>.  Second</w:t>
      </w:r>
      <w:r w:rsidR="0079580D">
        <w:t xml:space="preserve">, growing construction activity </w:t>
      </w:r>
      <w:r w:rsidR="00443DE7">
        <w:t>led to over reliance on</w:t>
      </w:r>
      <w:r w:rsidR="0079580D">
        <w:t xml:space="preserve"> constr</w:t>
      </w:r>
      <w:r w:rsidR="00B06B05">
        <w:t>uction employment</w:t>
      </w:r>
      <w:r w:rsidR="00B340E8">
        <w:t>.  Construction</w:t>
      </w:r>
      <w:r w:rsidR="00B06B05">
        <w:t xml:space="preserve"> accounted for 8.4 per cent of total employment in 1998 and 12.4 per cent in 2006</w:t>
      </w:r>
      <w:r w:rsidR="00B340E8">
        <w:t xml:space="preserve"> </w:t>
      </w:r>
      <w:r w:rsidR="00721579">
        <w:t xml:space="preserve">(see Table 1) </w:t>
      </w:r>
      <w:r w:rsidR="00B340E8">
        <w:t xml:space="preserve">and indirectly generated a further </w:t>
      </w:r>
      <w:r w:rsidR="00216C7D">
        <w:t>3 per cent of total employment in the former year and 5 per cent in the latter</w:t>
      </w:r>
      <w:r w:rsidR="00B06B05">
        <w:t xml:space="preserve"> </w:t>
      </w:r>
      <w:r w:rsidR="00721579">
        <w:t>(</w:t>
      </w:r>
      <w:r w:rsidR="00721579" w:rsidRPr="00721579">
        <w:t>DKM Economic Consultants</w:t>
      </w:r>
      <w:r w:rsidR="00721579">
        <w:t>,</w:t>
      </w:r>
      <w:r w:rsidR="00721579" w:rsidRPr="00721579">
        <w:t xml:space="preserve"> various years)</w:t>
      </w:r>
      <w:r w:rsidR="00721579">
        <w:t xml:space="preserve">. </w:t>
      </w:r>
      <w:r w:rsidR="00721579" w:rsidRPr="00721579">
        <w:t xml:space="preserve"> </w:t>
      </w:r>
      <w:r w:rsidR="00203807">
        <w:t>In contrast</w:t>
      </w:r>
      <w:r w:rsidR="00040DEF">
        <w:t>,</w:t>
      </w:r>
      <w:r w:rsidR="00203807">
        <w:t xml:space="preserve"> 8 per cent of the EU15 working age population worked in construction in 2006 </w:t>
      </w:r>
      <w:r w:rsidR="00203807" w:rsidRPr="004132F9">
        <w:t>(</w:t>
      </w:r>
      <w:proofErr w:type="spellStart"/>
      <w:r w:rsidR="00203807" w:rsidRPr="004132F9">
        <w:t>Eurostat</w:t>
      </w:r>
      <w:proofErr w:type="spellEnd"/>
      <w:r w:rsidR="00203807">
        <w:t xml:space="preserve">, various years).  </w:t>
      </w:r>
      <w:r w:rsidR="00A84F21">
        <w:t>Kelly (2009</w:t>
      </w:r>
      <w:r w:rsidR="002A326D">
        <w:t>:</w:t>
      </w:r>
      <w:r w:rsidR="00A84F21">
        <w:t xml:space="preserve"> 13) also argues that due to the rising</w:t>
      </w:r>
      <w:r w:rsidR="00A84F21" w:rsidRPr="00E2141F">
        <w:t xml:space="preserve"> labour</w:t>
      </w:r>
      <w:r w:rsidR="00A84F21">
        <w:t xml:space="preserve"> demand gene</w:t>
      </w:r>
      <w:r w:rsidR="00C21297">
        <w:t xml:space="preserve">rated by the </w:t>
      </w:r>
      <w:r w:rsidR="00203807">
        <w:t xml:space="preserve">Irish </w:t>
      </w:r>
      <w:r w:rsidR="00C21297">
        <w:t xml:space="preserve">construction boom </w:t>
      </w:r>
      <w:r w:rsidR="00F12CE3">
        <w:t xml:space="preserve">and rising housing costs due to house price inflation </w:t>
      </w:r>
      <w:r w:rsidR="00A84F21">
        <w:t xml:space="preserve">‘wage rates across the economy were driven up out of proportion to productivity growth, leading to a fall in international competitiveness’.  </w:t>
      </w:r>
      <w:r w:rsidR="00914CC9">
        <w:t xml:space="preserve">This trend is supported by the </w:t>
      </w:r>
      <w:r>
        <w:t xml:space="preserve">earnings </w:t>
      </w:r>
      <w:r w:rsidR="00914CC9">
        <w:t xml:space="preserve">data presented in Table 1 which reveals </w:t>
      </w:r>
      <w:r w:rsidR="00742089">
        <w:t xml:space="preserve">that </w:t>
      </w:r>
      <w:r w:rsidR="00914CC9">
        <w:t>average construction earnings</w:t>
      </w:r>
      <w:r w:rsidR="00742089">
        <w:t xml:space="preserve"> growth outpaced</w:t>
      </w:r>
      <w:r w:rsidR="009A2F7F">
        <w:t xml:space="preserve"> industrial earnings</w:t>
      </w:r>
      <w:r w:rsidR="00742089">
        <w:t xml:space="preserve"> </w:t>
      </w:r>
      <w:r w:rsidR="00384113">
        <w:t>growth</w:t>
      </w:r>
      <w:r w:rsidR="00742089">
        <w:t xml:space="preserve"> </w:t>
      </w:r>
      <w:r w:rsidR="009A2F7F">
        <w:t xml:space="preserve">between 1998 and 2002, but wage inflation in these two sectors </w:t>
      </w:r>
      <w:r w:rsidR="00742089">
        <w:t xml:space="preserve">converged </w:t>
      </w:r>
      <w:r w:rsidR="009A2F7F">
        <w:t>at around 4.4 per cent per annum between 2003 and 2006.  The other key macro</w:t>
      </w:r>
      <w:r w:rsidR="00180D09">
        <w:t>-</w:t>
      </w:r>
      <w:r w:rsidR="009A2F7F">
        <w:t xml:space="preserve">economic distortion </w:t>
      </w:r>
      <w:r w:rsidR="00CB287E">
        <w:t xml:space="preserve">associated with the housing boom </w:t>
      </w:r>
      <w:r w:rsidR="00684333">
        <w:t>relates to the public finances.</w:t>
      </w:r>
      <w:r w:rsidR="00180D09">
        <w:t xml:space="preserve">  </w:t>
      </w:r>
      <w:r w:rsidR="00FD4F89">
        <w:t xml:space="preserve">Receipts from </w:t>
      </w:r>
      <w:r w:rsidR="00BF7A7E">
        <w:t xml:space="preserve">residential </w:t>
      </w:r>
      <w:r w:rsidR="00120449">
        <w:t>property</w:t>
      </w:r>
      <w:r w:rsidR="00F74390">
        <w:t>-</w:t>
      </w:r>
      <w:r w:rsidR="00120449">
        <w:t xml:space="preserve">market related </w:t>
      </w:r>
      <w:r w:rsidR="00180D09">
        <w:t>tax</w:t>
      </w:r>
      <w:r w:rsidR="00FD4F89">
        <w:t>es</w:t>
      </w:r>
      <w:r w:rsidR="00180D09">
        <w:t xml:space="preserve"> </w:t>
      </w:r>
      <w:r w:rsidR="00120449">
        <w:t>(</w:t>
      </w:r>
      <w:r w:rsidR="00180D09">
        <w:t>stamp duties on house purchases</w:t>
      </w:r>
      <w:r w:rsidR="00BF7A7E">
        <w:t>, consumption tax (Value Added Tax) on new houses,</w:t>
      </w:r>
      <w:r w:rsidR="00180D09">
        <w:t xml:space="preserve"> </w:t>
      </w:r>
      <w:r w:rsidR="00384113">
        <w:t>tax</w:t>
      </w:r>
      <w:r w:rsidR="00BF7A7E">
        <w:t xml:space="preserve"> on the profits </w:t>
      </w:r>
      <w:r w:rsidR="00384113">
        <w:t>from</w:t>
      </w:r>
      <w:r w:rsidR="00BF7A7E">
        <w:t xml:space="preserve"> </w:t>
      </w:r>
      <w:r w:rsidR="00180D09">
        <w:t>house sales</w:t>
      </w:r>
      <w:r w:rsidR="00BF7A7E">
        <w:t xml:space="preserve"> and property taxes</w:t>
      </w:r>
      <w:r w:rsidR="00120449">
        <w:t>)</w:t>
      </w:r>
      <w:r w:rsidR="00180D09">
        <w:t xml:space="preserve"> </w:t>
      </w:r>
      <w:r w:rsidR="00FD4F89">
        <w:t>rose from €</w:t>
      </w:r>
      <w:r w:rsidR="00BF7A7E">
        <w:t>2.75 billion</w:t>
      </w:r>
      <w:r w:rsidR="00FD4F89">
        <w:t xml:space="preserve"> in 200</w:t>
      </w:r>
      <w:r w:rsidR="00BF7A7E">
        <w:t>2</w:t>
      </w:r>
      <w:r w:rsidR="00F12CE3">
        <w:t>, to a p</w:t>
      </w:r>
      <w:r w:rsidR="00FD4F89">
        <w:t>eak</w:t>
      </w:r>
      <w:r w:rsidR="00F12CE3">
        <w:t xml:space="preserve"> of</w:t>
      </w:r>
      <w:r w:rsidR="00FD4F89">
        <w:t xml:space="preserve"> €</w:t>
      </w:r>
      <w:r w:rsidR="00754450">
        <w:t>8</w:t>
      </w:r>
      <w:r w:rsidR="00FD4F89">
        <w:t>.</w:t>
      </w:r>
      <w:r w:rsidR="00754450">
        <w:t>1</w:t>
      </w:r>
      <w:r w:rsidR="00FD4F89">
        <w:t xml:space="preserve"> billion in 2006</w:t>
      </w:r>
      <w:r w:rsidR="00754450">
        <w:t xml:space="preserve"> (Addison-Smyth </w:t>
      </w:r>
      <w:r w:rsidR="008F6E0B">
        <w:t>and</w:t>
      </w:r>
      <w:r w:rsidR="00754450">
        <w:t xml:space="preserve"> </w:t>
      </w:r>
      <w:proofErr w:type="spellStart"/>
      <w:r w:rsidR="00754450">
        <w:t>McQuinn</w:t>
      </w:r>
      <w:proofErr w:type="spellEnd"/>
      <w:r w:rsidR="00754450">
        <w:t>, 2009)</w:t>
      </w:r>
      <w:r w:rsidR="00FD4F89">
        <w:t xml:space="preserve">.  </w:t>
      </w:r>
      <w:r w:rsidR="00754450">
        <w:t>During this period thi</w:t>
      </w:r>
      <w:r w:rsidR="00FD4F89">
        <w:t xml:space="preserve">s </w:t>
      </w:r>
      <w:r w:rsidR="00754450">
        <w:t xml:space="preserve">windfall </w:t>
      </w:r>
      <w:r w:rsidR="00FD4F89">
        <w:t xml:space="preserve">revenue facilitated a marked increase in public spending and also cuts </w:t>
      </w:r>
      <w:r w:rsidR="0057116C">
        <w:t xml:space="preserve">in </w:t>
      </w:r>
      <w:r w:rsidR="00754450">
        <w:t xml:space="preserve">income </w:t>
      </w:r>
      <w:r w:rsidR="00FD4F89">
        <w:t>taxes</w:t>
      </w:r>
      <w:r w:rsidR="00754450">
        <w:t>,</w:t>
      </w:r>
      <w:r w:rsidR="00FD4F89">
        <w:t xml:space="preserve"> which in turn </w:t>
      </w:r>
      <w:r w:rsidR="00754450">
        <w:t xml:space="preserve">further </w:t>
      </w:r>
      <w:r w:rsidR="00FD4F89">
        <w:t xml:space="preserve">increased reliance on </w:t>
      </w:r>
      <w:r w:rsidR="00384113">
        <w:t>property-</w:t>
      </w:r>
      <w:r w:rsidR="00FD4F89">
        <w:t>related taxes.  As Table 1</w:t>
      </w:r>
      <w:r w:rsidR="000073FB">
        <w:t xml:space="preserve"> </w:t>
      </w:r>
      <w:r w:rsidR="00FD4F89">
        <w:t xml:space="preserve">demonstrates, </w:t>
      </w:r>
      <w:r w:rsidR="00754450">
        <w:t>property related</w:t>
      </w:r>
      <w:r w:rsidR="00FD4F89">
        <w:t xml:space="preserve"> taxes accounted for </w:t>
      </w:r>
      <w:r w:rsidR="00754450">
        <w:t>8</w:t>
      </w:r>
      <w:r w:rsidR="00FD4F89">
        <w:t>.</w:t>
      </w:r>
      <w:r w:rsidR="00754450">
        <w:t>0</w:t>
      </w:r>
      <w:r w:rsidR="00FD4F89">
        <w:t xml:space="preserve"> per cent of total tax revenue in </w:t>
      </w:r>
      <w:r w:rsidR="00754450">
        <w:t>2002</w:t>
      </w:r>
      <w:r w:rsidR="00FD4F89">
        <w:t xml:space="preserve"> but this grew to 1</w:t>
      </w:r>
      <w:r w:rsidR="00754450">
        <w:t>5</w:t>
      </w:r>
      <w:r w:rsidR="00FD4F89">
        <w:t>.</w:t>
      </w:r>
      <w:r w:rsidR="00754450">
        <w:t>1</w:t>
      </w:r>
      <w:r w:rsidR="00FD4F89">
        <w:t xml:space="preserve"> per cent by 2</w:t>
      </w:r>
      <w:r w:rsidR="007D2035">
        <w:t>00</w:t>
      </w:r>
      <w:r w:rsidR="00FD4F89">
        <w:t>6, whi</w:t>
      </w:r>
      <w:r w:rsidR="00120449">
        <w:t>le</w:t>
      </w:r>
      <w:r w:rsidR="00FD4F89">
        <w:t xml:space="preserve"> income taxes fell from </w:t>
      </w:r>
      <w:r w:rsidR="00754450">
        <w:t>27</w:t>
      </w:r>
      <w:r w:rsidR="00FD4F89">
        <w:t>.</w:t>
      </w:r>
      <w:r w:rsidR="00754450">
        <w:t>5</w:t>
      </w:r>
      <w:r w:rsidR="00FD4F89">
        <w:t xml:space="preserve"> to 24.9 per cent of tax revenue concurrently.</w:t>
      </w:r>
    </w:p>
    <w:p w:rsidR="0057116C" w:rsidRPr="00EA2BCA" w:rsidRDefault="0057116C" w:rsidP="009038F0">
      <w:pPr>
        <w:spacing w:line="480" w:lineRule="auto"/>
        <w:jc w:val="both"/>
      </w:pPr>
    </w:p>
    <w:p w:rsidR="00EA2BCA" w:rsidRPr="000210A8" w:rsidRDefault="00EA2BCA" w:rsidP="009038F0">
      <w:pPr>
        <w:spacing w:line="480" w:lineRule="auto"/>
        <w:jc w:val="both"/>
        <w:rPr>
          <w:i/>
        </w:rPr>
      </w:pPr>
      <w:r w:rsidRPr="000210A8">
        <w:rPr>
          <w:i/>
        </w:rPr>
        <w:t>Table 1 here</w:t>
      </w:r>
    </w:p>
    <w:p w:rsidR="0057116C" w:rsidRPr="00EA2BCA" w:rsidRDefault="0057116C" w:rsidP="009038F0">
      <w:pPr>
        <w:spacing w:line="480" w:lineRule="auto"/>
        <w:jc w:val="both"/>
      </w:pPr>
    </w:p>
    <w:p w:rsidR="00817AC4" w:rsidRPr="000210A8" w:rsidRDefault="006B3B85" w:rsidP="009038F0">
      <w:pPr>
        <w:spacing w:line="480" w:lineRule="auto"/>
        <w:jc w:val="both"/>
        <w:rPr>
          <w:b/>
        </w:rPr>
      </w:pPr>
      <w:r w:rsidRPr="000210A8">
        <w:rPr>
          <w:b/>
        </w:rPr>
        <w:t>2.2</w:t>
      </w:r>
      <w:r w:rsidRPr="000210A8">
        <w:rPr>
          <w:b/>
        </w:rPr>
        <w:tab/>
      </w:r>
      <w:r w:rsidR="009E08C7" w:rsidRPr="000210A8">
        <w:rPr>
          <w:b/>
        </w:rPr>
        <w:t xml:space="preserve">Mortgage </w:t>
      </w:r>
      <w:r w:rsidR="00381759" w:rsidRPr="000210A8">
        <w:rPr>
          <w:b/>
        </w:rPr>
        <w:t>Lenders</w:t>
      </w:r>
    </w:p>
    <w:p w:rsidR="00D6115E" w:rsidRDefault="00A016DA" w:rsidP="009038F0">
      <w:pPr>
        <w:spacing w:line="480" w:lineRule="auto"/>
        <w:jc w:val="both"/>
      </w:pPr>
      <w:r>
        <w:t xml:space="preserve">Between </w:t>
      </w:r>
      <w:r w:rsidR="001741BF" w:rsidRPr="00B76149">
        <w:t xml:space="preserve">2000 and </w:t>
      </w:r>
      <w:r w:rsidR="00701C23">
        <w:t>2</w:t>
      </w:r>
      <w:r w:rsidR="001741BF" w:rsidRPr="00B76149">
        <w:t xml:space="preserve">007 mortgage credit outstanding </w:t>
      </w:r>
      <w:r w:rsidR="00D85D9C" w:rsidRPr="00B76149">
        <w:t xml:space="preserve">in Ireland </w:t>
      </w:r>
      <w:r w:rsidR="001741BF" w:rsidRPr="00B76149">
        <w:t xml:space="preserve">rose by </w:t>
      </w:r>
      <w:r w:rsidR="001025DD" w:rsidRPr="00B76149">
        <w:t>o</w:t>
      </w:r>
      <w:r w:rsidR="007E1211" w:rsidRPr="00B76149">
        <w:t>ver 300 per cent</w:t>
      </w:r>
      <w:r w:rsidR="0058638C">
        <w:t xml:space="preserve"> </w:t>
      </w:r>
      <w:r w:rsidR="000210A8">
        <w:t>(</w:t>
      </w:r>
      <w:r w:rsidR="00663691">
        <w:t>from 31.1 to 75.3 per cent of GDP</w:t>
      </w:r>
      <w:r w:rsidR="000210A8">
        <w:t>)</w:t>
      </w:r>
      <w:r w:rsidR="00FD4F89">
        <w:t xml:space="preserve"> </w:t>
      </w:r>
      <w:r w:rsidR="00EB089C">
        <w:t xml:space="preserve">(see Table </w:t>
      </w:r>
      <w:r w:rsidR="00760C6A">
        <w:t>2</w:t>
      </w:r>
      <w:r w:rsidR="00EB089C">
        <w:t>)</w:t>
      </w:r>
      <w:r w:rsidR="007E1211" w:rsidRPr="00B76149">
        <w:t xml:space="preserve">.  </w:t>
      </w:r>
      <w:r w:rsidR="00EB089C">
        <w:t xml:space="preserve">Although mortgage lending and private sector credit more broadly increased across the </w:t>
      </w:r>
      <w:r w:rsidR="00760C6A">
        <w:t>EU</w:t>
      </w:r>
      <w:r w:rsidR="00EB089C">
        <w:t xml:space="preserve"> and most </w:t>
      </w:r>
      <w:r w:rsidR="00D6115E">
        <w:t>developed countries concurrently, th</w:t>
      </w:r>
      <w:r w:rsidR="003D4219">
        <w:t xml:space="preserve">is trend was especially </w:t>
      </w:r>
      <w:r w:rsidR="00FF6EA7">
        <w:t xml:space="preserve">pronounced in Ireland </w:t>
      </w:r>
      <w:r w:rsidR="00D6115E">
        <w:t xml:space="preserve">(Doyle, 2009).  </w:t>
      </w:r>
      <w:r w:rsidR="00675624">
        <w:t xml:space="preserve">Between 2000 and 2007 </w:t>
      </w:r>
      <w:r w:rsidR="00D6115E">
        <w:t xml:space="preserve">outstanding mortgage credit in Ireland </w:t>
      </w:r>
      <w:r w:rsidR="00675624">
        <w:t xml:space="preserve">expanded by </w:t>
      </w:r>
      <w:r w:rsidR="00D6115E">
        <w:t xml:space="preserve">four times </w:t>
      </w:r>
      <w:r w:rsidR="00675624">
        <w:t xml:space="preserve">the rate of growth in </w:t>
      </w:r>
      <w:r w:rsidR="00D6115E">
        <w:t>the 27 current EU members (80.3 per cent)</w:t>
      </w:r>
      <w:r w:rsidR="00742089">
        <w:t xml:space="preserve">.  Consequently, in the latter year, </w:t>
      </w:r>
      <w:r w:rsidR="00D6115E">
        <w:t>the Irish mortgage debt to GDP ratio was over one third higher than the EU</w:t>
      </w:r>
      <w:r w:rsidR="00742089">
        <w:t>27</w:t>
      </w:r>
      <w:r w:rsidR="00D6115E">
        <w:t xml:space="preserve"> average </w:t>
      </w:r>
      <w:r w:rsidR="00833150">
        <w:t>of</w:t>
      </w:r>
      <w:r w:rsidR="00D6115E">
        <w:t xml:space="preserve"> 50.2 per cent </w:t>
      </w:r>
      <w:r w:rsidR="0058638C">
        <w:t xml:space="preserve">(see Table </w:t>
      </w:r>
      <w:r w:rsidR="00760C6A">
        <w:t>2</w:t>
      </w:r>
      <w:r w:rsidR="0058638C">
        <w:t xml:space="preserve">) </w:t>
      </w:r>
      <w:r w:rsidR="00D6115E">
        <w:t>(European Mortgag</w:t>
      </w:r>
      <w:r w:rsidR="00C1161C">
        <w:t>e Federation, various years).</w:t>
      </w:r>
    </w:p>
    <w:p w:rsidR="007C0FCA" w:rsidRDefault="007C0FCA" w:rsidP="009038F0">
      <w:pPr>
        <w:spacing w:line="480" w:lineRule="auto"/>
        <w:jc w:val="both"/>
      </w:pPr>
    </w:p>
    <w:p w:rsidR="001970C8" w:rsidRPr="000210A8" w:rsidRDefault="001970C8" w:rsidP="009038F0">
      <w:pPr>
        <w:spacing w:line="480" w:lineRule="auto"/>
        <w:jc w:val="both"/>
        <w:rPr>
          <w:i/>
        </w:rPr>
      </w:pPr>
      <w:r w:rsidRPr="000210A8">
        <w:rPr>
          <w:i/>
        </w:rPr>
        <w:t>Table 2 here</w:t>
      </w:r>
    </w:p>
    <w:p w:rsidR="001970C8" w:rsidRDefault="001970C8" w:rsidP="009038F0">
      <w:pPr>
        <w:spacing w:line="480" w:lineRule="auto"/>
        <w:jc w:val="both"/>
      </w:pPr>
    </w:p>
    <w:p w:rsidR="00440921" w:rsidRPr="00B76149" w:rsidRDefault="00D6115E" w:rsidP="009038F0">
      <w:pPr>
        <w:spacing w:line="480" w:lineRule="auto"/>
        <w:jc w:val="both"/>
      </w:pPr>
      <w:r w:rsidRPr="00B76149">
        <w:t xml:space="preserve">Table </w:t>
      </w:r>
      <w:r w:rsidR="00760C6A">
        <w:t>2</w:t>
      </w:r>
      <w:r w:rsidRPr="00B76149">
        <w:t xml:space="preserve"> reveals that this dramatic growth </w:t>
      </w:r>
      <w:r w:rsidR="000F4869">
        <w:t xml:space="preserve">in mortgage lending </w:t>
      </w:r>
      <w:r w:rsidRPr="00B76149">
        <w:t>was concentrated in the 2002 to 2005 period</w:t>
      </w:r>
      <w:r w:rsidR="00C1161C">
        <w:t>,</w:t>
      </w:r>
      <w:r w:rsidR="00DD48C7">
        <w:t xml:space="preserve"> when mortgage credit outstanding rose by 117 per cent</w:t>
      </w:r>
      <w:r w:rsidR="00C1161C">
        <w:t>,</w:t>
      </w:r>
      <w:r w:rsidR="00701EA8">
        <w:t xml:space="preserve"> and this </w:t>
      </w:r>
      <w:r w:rsidR="00440921">
        <w:t>development</w:t>
      </w:r>
      <w:r w:rsidR="00440921" w:rsidRPr="00B76149">
        <w:t xml:space="preserve"> was driven both by a rise in the number </w:t>
      </w:r>
      <w:r w:rsidR="004F6800">
        <w:t xml:space="preserve">and size </w:t>
      </w:r>
      <w:r w:rsidR="00440921" w:rsidRPr="00B76149">
        <w:t>of mortgages</w:t>
      </w:r>
      <w:r w:rsidR="004F6800">
        <w:t xml:space="preserve"> granted</w:t>
      </w:r>
      <w:r w:rsidR="00440921" w:rsidRPr="00B76149">
        <w:t xml:space="preserve">.  The number of mortgages granted per annum rose from 57,300 in 2000 to </w:t>
      </w:r>
      <w:r w:rsidR="00440921">
        <w:t xml:space="preserve">a peak of </w:t>
      </w:r>
      <w:r w:rsidR="00440921" w:rsidRPr="00B76149">
        <w:t xml:space="preserve">111,300 in 2006.  </w:t>
      </w:r>
      <w:r w:rsidR="00440921">
        <w:t>However, r</w:t>
      </w:r>
      <w:r w:rsidR="00440921" w:rsidRPr="00B76149">
        <w:t xml:space="preserve">esidential </w:t>
      </w:r>
      <w:r w:rsidR="00440921">
        <w:t>m</w:t>
      </w:r>
      <w:r w:rsidR="00440921" w:rsidRPr="00B76149">
        <w:t xml:space="preserve">ortgage </w:t>
      </w:r>
      <w:r w:rsidR="00440921">
        <w:t>d</w:t>
      </w:r>
      <w:r w:rsidR="00440921" w:rsidRPr="00B76149">
        <w:t xml:space="preserve">ebt per capita </w:t>
      </w:r>
      <w:r w:rsidR="00440921">
        <w:t>rose</w:t>
      </w:r>
      <w:r w:rsidR="00440921" w:rsidRPr="00B76149">
        <w:t xml:space="preserve"> </w:t>
      </w:r>
      <w:r w:rsidR="00440921">
        <w:t xml:space="preserve">even faster concurrently - </w:t>
      </w:r>
      <w:r w:rsidR="00440921" w:rsidRPr="00B76149">
        <w:t>from €8,620 to €</w:t>
      </w:r>
      <w:r w:rsidR="000F4869">
        <w:t>29,290</w:t>
      </w:r>
      <w:r w:rsidR="00440921" w:rsidRPr="00B76149">
        <w:t>.</w:t>
      </w:r>
    </w:p>
    <w:p w:rsidR="00440921" w:rsidRPr="00B76149" w:rsidRDefault="00440921" w:rsidP="009038F0">
      <w:pPr>
        <w:spacing w:line="480" w:lineRule="auto"/>
        <w:jc w:val="both"/>
      </w:pPr>
    </w:p>
    <w:p w:rsidR="00BD7D93" w:rsidRDefault="00D25BA4" w:rsidP="009038F0">
      <w:pPr>
        <w:spacing w:line="480" w:lineRule="auto"/>
        <w:jc w:val="both"/>
      </w:pPr>
      <w:r w:rsidRPr="00B76149">
        <w:t>The</w:t>
      </w:r>
      <w:r w:rsidR="00936FF6" w:rsidRPr="00B76149">
        <w:t xml:space="preserve"> </w:t>
      </w:r>
      <w:r w:rsidR="0059678D" w:rsidRPr="00B76149">
        <w:t>decline</w:t>
      </w:r>
      <w:r w:rsidR="003139A1" w:rsidRPr="00B76149">
        <w:t xml:space="preserve"> </w:t>
      </w:r>
      <w:r w:rsidR="0059678D" w:rsidRPr="00B76149">
        <w:t xml:space="preserve">in </w:t>
      </w:r>
      <w:r w:rsidR="00701C23">
        <w:t xml:space="preserve">mortgage </w:t>
      </w:r>
      <w:r w:rsidR="003139A1" w:rsidRPr="00B76149">
        <w:t>interest rates</w:t>
      </w:r>
      <w:r w:rsidR="00701C23" w:rsidRPr="00701C23">
        <w:t xml:space="preserve"> </w:t>
      </w:r>
      <w:r w:rsidR="00701C23">
        <w:t xml:space="preserve">was </w:t>
      </w:r>
      <w:r w:rsidR="00701C23" w:rsidRPr="00B76149">
        <w:t xml:space="preserve">key </w:t>
      </w:r>
      <w:r w:rsidR="00701C23">
        <w:t xml:space="preserve">to </w:t>
      </w:r>
      <w:r w:rsidR="00701C23" w:rsidRPr="00B76149">
        <w:t xml:space="preserve">enabling </w:t>
      </w:r>
      <w:r w:rsidR="00701C23">
        <w:t xml:space="preserve">this </w:t>
      </w:r>
      <w:r w:rsidR="00701C23" w:rsidRPr="00B76149">
        <w:t>radical growth in mortgage</w:t>
      </w:r>
      <w:r w:rsidR="00701C23">
        <w:t xml:space="preserve"> lending</w:t>
      </w:r>
      <w:r w:rsidR="00742089">
        <w:t xml:space="preserve"> because it </w:t>
      </w:r>
      <w:r w:rsidR="00701C23">
        <w:t>reduce</w:t>
      </w:r>
      <w:r w:rsidR="00742089">
        <w:t>d</w:t>
      </w:r>
      <w:r w:rsidR="00701C23">
        <w:t xml:space="preserve"> average mortgage servicing costs from 36 per </w:t>
      </w:r>
      <w:r w:rsidR="00742089">
        <w:t xml:space="preserve">to 31 </w:t>
      </w:r>
      <w:r w:rsidR="00701C23">
        <w:t xml:space="preserve">per cent </w:t>
      </w:r>
      <w:r w:rsidR="00742089">
        <w:t>of income between 2000 and</w:t>
      </w:r>
      <w:r w:rsidR="00701C23">
        <w:t xml:space="preserve"> 2006</w:t>
      </w:r>
      <w:r w:rsidR="00742089">
        <w:t>,</w:t>
      </w:r>
      <w:r w:rsidR="00701C23">
        <w:t xml:space="preserve"> despite marked </w:t>
      </w:r>
      <w:r w:rsidR="00742089">
        <w:t xml:space="preserve">concurrent </w:t>
      </w:r>
      <w:r w:rsidR="00701C23">
        <w:t xml:space="preserve">house price growth (see Table </w:t>
      </w:r>
      <w:r w:rsidR="001970C8">
        <w:t>2</w:t>
      </w:r>
      <w:r w:rsidR="00701C23">
        <w:t>).</w:t>
      </w:r>
      <w:r w:rsidR="000F4869">
        <w:t xml:space="preserve"> </w:t>
      </w:r>
      <w:r w:rsidR="00C1161C">
        <w:t>T</w:t>
      </w:r>
      <w:r w:rsidRPr="00B76149">
        <w:t>h</w:t>
      </w:r>
      <w:r w:rsidR="00701C23">
        <w:t xml:space="preserve">e mortgage interest rate </w:t>
      </w:r>
      <w:r w:rsidR="00742089">
        <w:t>reduction</w:t>
      </w:r>
      <w:r w:rsidRPr="00B76149">
        <w:t xml:space="preserve"> was significant in nominal terms, but </w:t>
      </w:r>
      <w:r w:rsidR="00044347" w:rsidRPr="00B76149">
        <w:t xml:space="preserve">its impact was </w:t>
      </w:r>
      <w:r w:rsidR="006623D2" w:rsidRPr="00B76149">
        <w:t xml:space="preserve">further </w:t>
      </w:r>
      <w:r w:rsidR="00044347" w:rsidRPr="00B76149">
        <w:t xml:space="preserve">magnified by </w:t>
      </w:r>
      <w:r w:rsidR="00BF3B92" w:rsidRPr="00B76149">
        <w:t xml:space="preserve">particularly low real interest rates </w:t>
      </w:r>
      <w:r w:rsidR="00044347" w:rsidRPr="00B76149">
        <w:t>(</w:t>
      </w:r>
      <w:r w:rsidR="00742089">
        <w:t xml:space="preserve">which averaged -0.9 per cent between </w:t>
      </w:r>
      <w:r w:rsidR="006623D2" w:rsidRPr="00B76149">
        <w:t>1999</w:t>
      </w:r>
      <w:r w:rsidR="00742089">
        <w:t xml:space="preserve"> and </w:t>
      </w:r>
      <w:r w:rsidR="006623D2" w:rsidRPr="00B76149">
        <w:t>2004) and a</w:t>
      </w:r>
      <w:r w:rsidR="00742089">
        <w:t>n</w:t>
      </w:r>
      <w:r w:rsidR="006623D2" w:rsidRPr="00B76149">
        <w:t xml:space="preserve"> historic context of high and volatile interest rates </w:t>
      </w:r>
      <w:r w:rsidR="004F6800">
        <w:t xml:space="preserve">in Ireland </w:t>
      </w:r>
      <w:r w:rsidR="006623D2" w:rsidRPr="00B76149">
        <w:t>(</w:t>
      </w:r>
      <w:proofErr w:type="spellStart"/>
      <w:r w:rsidR="006623D2" w:rsidRPr="00B76149">
        <w:t>Honohan</w:t>
      </w:r>
      <w:proofErr w:type="spellEnd"/>
      <w:r w:rsidR="006623D2" w:rsidRPr="00B76149">
        <w:t xml:space="preserve"> </w:t>
      </w:r>
      <w:r w:rsidR="001970C8">
        <w:t>and</w:t>
      </w:r>
      <w:r w:rsidR="006623D2" w:rsidRPr="00B76149">
        <w:t xml:space="preserve"> </w:t>
      </w:r>
      <w:proofErr w:type="spellStart"/>
      <w:r w:rsidR="006623D2" w:rsidRPr="00B76149">
        <w:t>Leddin</w:t>
      </w:r>
      <w:proofErr w:type="spellEnd"/>
      <w:r w:rsidR="006623D2" w:rsidRPr="00B76149">
        <w:t xml:space="preserve">, 2006).  </w:t>
      </w:r>
    </w:p>
    <w:p w:rsidR="00BD7D93" w:rsidRDefault="00BD7D93" w:rsidP="009038F0">
      <w:pPr>
        <w:spacing w:line="480" w:lineRule="auto"/>
        <w:jc w:val="both"/>
      </w:pPr>
    </w:p>
    <w:p w:rsidR="0039579E" w:rsidRDefault="00EF1821" w:rsidP="009038F0">
      <w:pPr>
        <w:spacing w:line="480" w:lineRule="auto"/>
        <w:jc w:val="both"/>
      </w:pPr>
      <w:r>
        <w:lastRenderedPageBreak/>
        <w:t xml:space="preserve">In common with several other </w:t>
      </w:r>
      <w:r w:rsidR="001970C8">
        <w:t>‘</w:t>
      </w:r>
      <w:r>
        <w:t>peripheral</w:t>
      </w:r>
      <w:r w:rsidR="001970C8">
        <w:t>’</w:t>
      </w:r>
      <w:r>
        <w:t xml:space="preserve"> EU members </w:t>
      </w:r>
      <w:r w:rsidR="0039579E">
        <w:t xml:space="preserve">where interest rates were traditionally high </w:t>
      </w:r>
      <w:r>
        <w:t xml:space="preserve">such as Greece, </w:t>
      </w:r>
      <w:r w:rsidR="00BD7D93">
        <w:t>Italy, Spain and Portugal, interest rate</w:t>
      </w:r>
      <w:r w:rsidR="00701C23">
        <w:t>s</w:t>
      </w:r>
      <w:r w:rsidR="00BD7D93">
        <w:t xml:space="preserve"> </w:t>
      </w:r>
      <w:r w:rsidR="004F6800">
        <w:t xml:space="preserve">fell due to </w:t>
      </w:r>
      <w:r w:rsidR="00865DD7" w:rsidRPr="00B76149">
        <w:t xml:space="preserve">entry to European Monetary Union </w:t>
      </w:r>
      <w:r w:rsidR="004F6800">
        <w:t xml:space="preserve">(EMU) </w:t>
      </w:r>
      <w:r w:rsidR="00936FF6" w:rsidRPr="00B76149">
        <w:t>in 1999</w:t>
      </w:r>
      <w:r w:rsidR="006623D2" w:rsidRPr="00B76149">
        <w:t xml:space="preserve">, </w:t>
      </w:r>
      <w:r>
        <w:t xml:space="preserve">and the </w:t>
      </w:r>
      <w:r w:rsidR="00675624">
        <w:t xml:space="preserve">resultant </w:t>
      </w:r>
      <w:r w:rsidR="00936FF6" w:rsidRPr="00B76149">
        <w:t xml:space="preserve">transfer of interest rate setting powers from </w:t>
      </w:r>
      <w:r w:rsidR="004F6800">
        <w:t>national central banks</w:t>
      </w:r>
      <w:r w:rsidR="00936FF6" w:rsidRPr="00B76149">
        <w:t xml:space="preserve"> to the European Central Bank</w:t>
      </w:r>
      <w:r>
        <w:t xml:space="preserve"> </w:t>
      </w:r>
      <w:r w:rsidR="00675624">
        <w:t xml:space="preserve">(ECB) </w:t>
      </w:r>
      <w:r>
        <w:t xml:space="preserve">(European Central Bank, 2009).  </w:t>
      </w:r>
      <w:r w:rsidR="002D569B">
        <w:t xml:space="preserve">However </w:t>
      </w:r>
      <w:r w:rsidR="00C7615B">
        <w:t xml:space="preserve">unusually intense </w:t>
      </w:r>
      <w:r w:rsidR="002D569B" w:rsidRPr="00B76149">
        <w:t>competition in the Irish mortgage market</w:t>
      </w:r>
      <w:r w:rsidR="009D545E">
        <w:t xml:space="preserve">, </w:t>
      </w:r>
      <w:r w:rsidR="00C7615B">
        <w:t>particularly after 2003</w:t>
      </w:r>
      <w:r w:rsidR="009D545E">
        <w:t xml:space="preserve">, </w:t>
      </w:r>
      <w:r w:rsidR="002D569B">
        <w:t xml:space="preserve">also played a key role in diving down interest rates and </w:t>
      </w:r>
      <w:r w:rsidR="008463A6">
        <w:t>in</w:t>
      </w:r>
      <w:r w:rsidR="008463A6" w:rsidRPr="008463A6">
        <w:t xml:space="preserve"> </w:t>
      </w:r>
      <w:r w:rsidR="002D569B" w:rsidRPr="008463A6">
        <w:t>liberalis</w:t>
      </w:r>
      <w:r w:rsidR="008463A6" w:rsidRPr="008463A6">
        <w:t>ing</w:t>
      </w:r>
      <w:r w:rsidR="002D569B">
        <w:t xml:space="preserve"> lending standards</w:t>
      </w:r>
      <w:r w:rsidR="009D545E">
        <w:t xml:space="preserve"> </w:t>
      </w:r>
      <w:r w:rsidR="008463A6">
        <w:t xml:space="preserve">which </w:t>
      </w:r>
      <w:r w:rsidR="006B3B85">
        <w:t>in turn</w:t>
      </w:r>
      <w:r w:rsidR="008463A6">
        <w:t xml:space="preserve"> contributed to growth in the number and the size of mortgages </w:t>
      </w:r>
      <w:r w:rsidR="009D545E">
        <w:t xml:space="preserve">(European Central Bank, 2009).  </w:t>
      </w:r>
    </w:p>
    <w:p w:rsidR="0039579E" w:rsidRDefault="0039579E" w:rsidP="009038F0">
      <w:pPr>
        <w:spacing w:line="480" w:lineRule="auto"/>
        <w:jc w:val="both"/>
      </w:pPr>
    </w:p>
    <w:p w:rsidR="00AE5A5E" w:rsidRDefault="001970C8" w:rsidP="009038F0">
      <w:pPr>
        <w:spacing w:line="480" w:lineRule="auto"/>
        <w:jc w:val="both"/>
      </w:pPr>
      <w:r>
        <w:t>Be</w:t>
      </w:r>
      <w:r w:rsidR="009D545E">
        <w:t xml:space="preserve">tween 2000 and 2010 the number of major </w:t>
      </w:r>
      <w:r w:rsidR="00381759">
        <w:t>mortgage lenders</w:t>
      </w:r>
      <w:r w:rsidR="009D545E">
        <w:t xml:space="preserve"> operating in the Irish market (</w:t>
      </w:r>
      <w:r w:rsidR="002B1D21">
        <w:t>i.e.</w:t>
      </w:r>
      <w:r w:rsidR="009D545E">
        <w:t xml:space="preserve"> registered with the Irish Central Bank) increased from </w:t>
      </w:r>
      <w:r w:rsidR="00C13B76">
        <w:t xml:space="preserve">12 </w:t>
      </w:r>
      <w:r w:rsidR="009D545E">
        <w:t xml:space="preserve">to </w:t>
      </w:r>
      <w:r w:rsidR="007324E4">
        <w:t>17</w:t>
      </w:r>
      <w:r w:rsidR="00CE69AB" w:rsidRPr="00B76149">
        <w:t xml:space="preserve"> (Central Bank, various years)</w:t>
      </w:r>
      <w:r w:rsidR="00AE5A5E" w:rsidRPr="00B76149">
        <w:t>.</w:t>
      </w:r>
      <w:r w:rsidR="00B62098" w:rsidRPr="00B76149">
        <w:t xml:space="preserve">  </w:t>
      </w:r>
      <w:r w:rsidR="007957FE" w:rsidRPr="00B76149">
        <w:t>Th</w:t>
      </w:r>
      <w:r w:rsidR="00156AE5">
        <w:t>is was due to</w:t>
      </w:r>
      <w:r w:rsidR="00F9085C">
        <w:t xml:space="preserve"> the entry of some Irish banks into the mortgage market for the first time, the establishment of </w:t>
      </w:r>
      <w:r w:rsidR="00AE5A5E" w:rsidRPr="00B76149">
        <w:t>specialist mortgage lend</w:t>
      </w:r>
      <w:r w:rsidR="00F9085C">
        <w:t xml:space="preserve">ing subsidiaries by existing Irish mortgage lenders and </w:t>
      </w:r>
      <w:r w:rsidR="00434E15">
        <w:t xml:space="preserve">the entry of </w:t>
      </w:r>
      <w:r w:rsidR="002A326D">
        <w:t xml:space="preserve">a </w:t>
      </w:r>
      <w:r w:rsidR="00AE5A5E" w:rsidRPr="00B76149">
        <w:t xml:space="preserve">number of foreign lenders </w:t>
      </w:r>
      <w:r w:rsidR="001B2FAA" w:rsidRPr="00B76149">
        <w:t xml:space="preserve">into the </w:t>
      </w:r>
      <w:r w:rsidR="00AE5A5E" w:rsidRPr="00B76149">
        <w:t>Irish market</w:t>
      </w:r>
      <w:r w:rsidR="00830F26">
        <w:t xml:space="preserve"> (</w:t>
      </w:r>
      <w:r w:rsidR="00156AE5">
        <w:t>eg:</w:t>
      </w:r>
      <w:r w:rsidR="00DD23EF">
        <w:t xml:space="preserve"> </w:t>
      </w:r>
      <w:r w:rsidR="00AE5A5E" w:rsidRPr="00B76149">
        <w:t xml:space="preserve">Bank of Scotland and </w:t>
      </w:r>
      <w:proofErr w:type="spellStart"/>
      <w:r w:rsidR="00AE5A5E" w:rsidRPr="00B76149">
        <w:t>Danske</w:t>
      </w:r>
      <w:proofErr w:type="spellEnd"/>
      <w:r w:rsidR="00AE5A5E" w:rsidRPr="00B76149">
        <w:t xml:space="preserve"> Bank A/S</w:t>
      </w:r>
      <w:r w:rsidR="00830F26">
        <w:t>)</w:t>
      </w:r>
      <w:r w:rsidR="00DD23EF">
        <w:t xml:space="preserve">.  In </w:t>
      </w:r>
      <w:r w:rsidR="007C4AA0">
        <w:t xml:space="preserve">2007 these foreign lenders accounted for </w:t>
      </w:r>
      <w:r w:rsidR="007324E4">
        <w:t>approximately</w:t>
      </w:r>
      <w:r w:rsidR="007C4AA0">
        <w:t xml:space="preserve"> 30 per cent of mortgage loans </w:t>
      </w:r>
      <w:r w:rsidR="007C4AA0" w:rsidRPr="005A4875">
        <w:rPr>
          <w:color w:val="000000"/>
        </w:rPr>
        <w:t>advanced in Ireland (</w:t>
      </w:r>
      <w:r w:rsidR="00006F44" w:rsidRPr="005A4875">
        <w:rPr>
          <w:color w:val="000000"/>
        </w:rPr>
        <w:t>European Central Bank</w:t>
      </w:r>
      <w:r w:rsidR="007C4AA0" w:rsidRPr="005A4875">
        <w:rPr>
          <w:i/>
          <w:color w:val="000000"/>
        </w:rPr>
        <w:t xml:space="preserve">, </w:t>
      </w:r>
      <w:r w:rsidR="007C4AA0" w:rsidRPr="005A4875">
        <w:rPr>
          <w:color w:val="000000"/>
        </w:rPr>
        <w:t>2009).</w:t>
      </w:r>
      <w:r w:rsidR="00D25AF3">
        <w:rPr>
          <w:color w:val="000000"/>
        </w:rPr>
        <w:t xml:space="preserve">  </w:t>
      </w:r>
      <w:r w:rsidR="00D25AF3">
        <w:t xml:space="preserve">This level of market penetration by foreign </w:t>
      </w:r>
      <w:r w:rsidR="00381759">
        <w:t>mortgage lenders is</w:t>
      </w:r>
      <w:r w:rsidR="00D25AF3">
        <w:t xml:space="preserve"> unusual in Europe</w:t>
      </w:r>
      <w:r w:rsidR="00830F26">
        <w:t xml:space="preserve"> -</w:t>
      </w:r>
      <w:r w:rsidR="00D25AF3">
        <w:t xml:space="preserve"> traditionally t</w:t>
      </w:r>
      <w:r w:rsidR="00C7615B">
        <w:t xml:space="preserve">hese institutions </w:t>
      </w:r>
      <w:r w:rsidR="00D25AF3">
        <w:t>have been reluctant to lend ‘across borders’ (</w:t>
      </w:r>
      <w:r w:rsidR="00186DE4">
        <w:t xml:space="preserve">Stephens, 2003).  In the Irish case, their penetration may reflect </w:t>
      </w:r>
      <w:r w:rsidR="008463A6">
        <w:t>similarities</w:t>
      </w:r>
      <w:r w:rsidR="00186DE4">
        <w:t xml:space="preserve"> between the Irish and British legal systems </w:t>
      </w:r>
      <w:r w:rsidR="00C7615B">
        <w:t>and also the lack of competition in the Irish mortgage market prior to 2000 and therefore its potentia</w:t>
      </w:r>
      <w:r w:rsidR="001514CB">
        <w:t>l for growth</w:t>
      </w:r>
      <w:r w:rsidR="00786752">
        <w:t xml:space="preserve"> (European Central Bank, 2009)</w:t>
      </w:r>
      <w:r w:rsidR="00C7615B">
        <w:t>.</w:t>
      </w:r>
    </w:p>
    <w:p w:rsidR="00C7615B" w:rsidRPr="005A4875" w:rsidRDefault="00C7615B" w:rsidP="009038F0">
      <w:pPr>
        <w:spacing w:line="480" w:lineRule="auto"/>
        <w:jc w:val="both"/>
      </w:pPr>
    </w:p>
    <w:p w:rsidR="0005170E" w:rsidRPr="005A4875" w:rsidRDefault="00B62098" w:rsidP="009038F0">
      <w:pPr>
        <w:spacing w:line="480" w:lineRule="auto"/>
        <w:jc w:val="both"/>
        <w:rPr>
          <w:color w:val="000000"/>
        </w:rPr>
      </w:pPr>
      <w:r w:rsidRPr="00B76149">
        <w:t xml:space="preserve">Although </w:t>
      </w:r>
      <w:r w:rsidR="00134CA4" w:rsidRPr="00B76149">
        <w:t>mortgage lending</w:t>
      </w:r>
      <w:r w:rsidR="008463A6">
        <w:t xml:space="preserve"> had already grown significantly in Ireland </w:t>
      </w:r>
      <w:r w:rsidR="00173BA2" w:rsidRPr="00B76149">
        <w:t>prior to this expansion in the number of lenders, the increased competition reinforced this trend</w:t>
      </w:r>
      <w:r w:rsidR="008463A6">
        <w:t>,</w:t>
      </w:r>
      <w:r w:rsidR="00173BA2" w:rsidRPr="00B76149">
        <w:t xml:space="preserve"> by </w:t>
      </w:r>
      <w:r w:rsidR="00B76149" w:rsidRPr="00B76149">
        <w:t>driving</w:t>
      </w:r>
      <w:r w:rsidR="00634C13" w:rsidRPr="00B76149">
        <w:t xml:space="preserve"> </w:t>
      </w:r>
      <w:r w:rsidR="00344D36" w:rsidRPr="00B76149">
        <w:t>financial</w:t>
      </w:r>
      <w:r w:rsidR="00634C13" w:rsidRPr="00B76149">
        <w:t xml:space="preserve"> product innovation</w:t>
      </w:r>
      <w:r w:rsidR="002F6657">
        <w:t xml:space="preserve"> and an associated </w:t>
      </w:r>
      <w:r w:rsidR="00E11341">
        <w:t>decline in lending standards</w:t>
      </w:r>
      <w:r w:rsidR="00634C13" w:rsidRPr="00B76149">
        <w:t xml:space="preserve">.  </w:t>
      </w:r>
      <w:r w:rsidR="00C54318" w:rsidRPr="00B76149">
        <w:t>For instance, the number of interest</w:t>
      </w:r>
      <w:r w:rsidR="00E40B87">
        <w:t>-</w:t>
      </w:r>
      <w:r w:rsidR="00C54318" w:rsidRPr="00B76149">
        <w:t>only mortgage</w:t>
      </w:r>
      <w:r w:rsidR="00B76149" w:rsidRPr="00B76149">
        <w:t xml:space="preserve"> products</w:t>
      </w:r>
      <w:r w:rsidR="008463A6">
        <w:t xml:space="preserve"> on the </w:t>
      </w:r>
      <w:r w:rsidR="00C54318" w:rsidRPr="00B76149">
        <w:t xml:space="preserve">market increased radically from 2004, </w:t>
      </w:r>
      <w:r w:rsidR="001514CB">
        <w:t>1</w:t>
      </w:r>
      <w:r w:rsidR="00522EC3">
        <w:t>00 per cent mortgages first became available at this time</w:t>
      </w:r>
      <w:r w:rsidR="00830F26">
        <w:t>,</w:t>
      </w:r>
      <w:r w:rsidR="00522EC3">
        <w:t xml:space="preserve"> as did </w:t>
      </w:r>
      <w:r w:rsidR="00F71390" w:rsidRPr="00B76149">
        <w:t>mort</w:t>
      </w:r>
      <w:r w:rsidR="0011434B" w:rsidRPr="00B76149">
        <w:t xml:space="preserve">gage equity withdrawal products (Hogan </w:t>
      </w:r>
      <w:r w:rsidR="001970C8">
        <w:t>and</w:t>
      </w:r>
      <w:r w:rsidR="0011434B" w:rsidRPr="00B76149">
        <w:t xml:space="preserve"> O’Sullivan, 2007; Doyle, 2009).</w:t>
      </w:r>
      <w:r w:rsidR="005E4732">
        <w:t xml:space="preserve">  </w:t>
      </w:r>
      <w:r w:rsidR="001514CB">
        <w:t xml:space="preserve">Thus unlike in the United States </w:t>
      </w:r>
      <w:r w:rsidR="0005170E">
        <w:t>the Irish housing boom was associated with a decline in lending standards among mainstream lenders rather than with the growth of a specialist sub</w:t>
      </w:r>
      <w:r w:rsidR="002F6657">
        <w:t>-</w:t>
      </w:r>
      <w:r w:rsidR="0005170E">
        <w:t xml:space="preserve">prime sector.  </w:t>
      </w:r>
      <w:r w:rsidR="00F9085C">
        <w:t xml:space="preserve">Although </w:t>
      </w:r>
      <w:r w:rsidR="0005170E" w:rsidRPr="005A4875">
        <w:rPr>
          <w:color w:val="000000"/>
        </w:rPr>
        <w:t xml:space="preserve">four sub-prime lenders </w:t>
      </w:r>
      <w:r w:rsidR="0005170E" w:rsidRPr="005A4875">
        <w:rPr>
          <w:color w:val="000000"/>
        </w:rPr>
        <w:lastRenderedPageBreak/>
        <w:t>entered the Irish market between 2004 and 2007</w:t>
      </w:r>
      <w:r w:rsidR="002966CE">
        <w:rPr>
          <w:color w:val="000000"/>
        </w:rPr>
        <w:t>,</w:t>
      </w:r>
      <w:r w:rsidR="0005170E" w:rsidRPr="005A4875">
        <w:rPr>
          <w:color w:val="000000"/>
        </w:rPr>
        <w:t xml:space="preserve"> </w:t>
      </w:r>
      <w:r w:rsidR="00F9085C">
        <w:rPr>
          <w:color w:val="000000"/>
        </w:rPr>
        <w:t xml:space="preserve">they accounted for only 0.5 per cent of mortgage lending by value in the latter year </w:t>
      </w:r>
      <w:r w:rsidR="0005170E" w:rsidRPr="005A4875">
        <w:rPr>
          <w:color w:val="000000"/>
        </w:rPr>
        <w:t>(Coates, 2008).</w:t>
      </w:r>
    </w:p>
    <w:p w:rsidR="00F9085C" w:rsidRDefault="00F9085C" w:rsidP="009038F0">
      <w:pPr>
        <w:spacing w:line="480" w:lineRule="auto"/>
        <w:jc w:val="both"/>
      </w:pPr>
    </w:p>
    <w:p w:rsidR="001514CB" w:rsidRDefault="0005170E" w:rsidP="009038F0">
      <w:pPr>
        <w:spacing w:line="480" w:lineRule="auto"/>
        <w:jc w:val="both"/>
      </w:pPr>
      <w:r>
        <w:t>In addition</w:t>
      </w:r>
      <w:r w:rsidR="00F9085C">
        <w:t>,</w:t>
      </w:r>
      <w:r>
        <w:t xml:space="preserve"> increased competition drove down interest rates by </w:t>
      </w:r>
      <w:r w:rsidR="00830F26">
        <w:t xml:space="preserve">forcing Irish </w:t>
      </w:r>
      <w:r w:rsidR="00381759">
        <w:t>mortgage lenders</w:t>
      </w:r>
      <w:r w:rsidR="00830F26">
        <w:t xml:space="preserve"> to reduce their </w:t>
      </w:r>
      <w:r w:rsidR="005E4732">
        <w:t>margins on mortgages</w:t>
      </w:r>
      <w:r w:rsidR="00830F26">
        <w:t xml:space="preserve"> significantly</w:t>
      </w:r>
      <w:r w:rsidR="002947E8">
        <w:t xml:space="preserve"> (</w:t>
      </w:r>
      <w:proofErr w:type="spellStart"/>
      <w:r w:rsidR="002947E8">
        <w:t>McElligott</w:t>
      </w:r>
      <w:proofErr w:type="spellEnd"/>
      <w:r w:rsidR="002947E8">
        <w:t>, 2007)</w:t>
      </w:r>
      <w:r w:rsidR="005E4732">
        <w:t xml:space="preserve">.  </w:t>
      </w:r>
      <w:r w:rsidR="00B16BB8">
        <w:t>An initial</w:t>
      </w:r>
      <w:r>
        <w:t xml:space="preserve"> round of cuts in these margins</w:t>
      </w:r>
      <w:r w:rsidR="001514CB">
        <w:t xml:space="preserve"> </w:t>
      </w:r>
      <w:r w:rsidR="00B16BB8">
        <w:t>was sparked by the entry of Bank of Scotland</w:t>
      </w:r>
      <w:r w:rsidR="008F141D">
        <w:t>,</w:t>
      </w:r>
      <w:r w:rsidR="00B16BB8">
        <w:t xml:space="preserve"> </w:t>
      </w:r>
      <w:r w:rsidR="00CE3799">
        <w:t xml:space="preserve">which </w:t>
      </w:r>
      <w:r w:rsidR="00B16BB8">
        <w:t xml:space="preserve">charged significantly lower margins than </w:t>
      </w:r>
      <w:r w:rsidR="00CE3799">
        <w:t xml:space="preserve">Irish </w:t>
      </w:r>
      <w:r w:rsidR="00381759">
        <w:t>mortgage lenders</w:t>
      </w:r>
      <w:r w:rsidR="00CE3799">
        <w:t xml:space="preserve"> at this time</w:t>
      </w:r>
      <w:r w:rsidR="00B16BB8">
        <w:t xml:space="preserve">.  These low margins were </w:t>
      </w:r>
      <w:r w:rsidR="003A669E">
        <w:t>copper fastened</w:t>
      </w:r>
      <w:r w:rsidR="00B16BB8">
        <w:t xml:space="preserve"> by t</w:t>
      </w:r>
      <w:r w:rsidR="001514CB">
        <w:t>he arrival of tracker mortgages</w:t>
      </w:r>
      <w:r w:rsidR="007324E4">
        <w:t>,</w:t>
      </w:r>
      <w:r w:rsidR="00B16BB8">
        <w:t xml:space="preserve"> fixed at a very low margin above ECB refinancing rates</w:t>
      </w:r>
      <w:r w:rsidR="00720B37">
        <w:t>,</w:t>
      </w:r>
      <w:r>
        <w:t xml:space="preserve"> </w:t>
      </w:r>
      <w:r w:rsidR="00720B37">
        <w:t>which</w:t>
      </w:r>
      <w:r>
        <w:t xml:space="preserve"> </w:t>
      </w:r>
      <w:r w:rsidR="00CE3799">
        <w:t>currently</w:t>
      </w:r>
      <w:r w:rsidR="00675624">
        <w:t xml:space="preserve"> </w:t>
      </w:r>
      <w:r w:rsidR="00B16BB8" w:rsidRPr="00B16BB8">
        <w:t>account for 60 per</w:t>
      </w:r>
      <w:r w:rsidR="00B16BB8">
        <w:t xml:space="preserve"> </w:t>
      </w:r>
      <w:r w:rsidR="00B16BB8" w:rsidRPr="00B16BB8">
        <w:t>cent of outstanding variable rate mortgage</w:t>
      </w:r>
      <w:r w:rsidR="00F5643F">
        <w:t>s</w:t>
      </w:r>
      <w:r w:rsidR="00B16BB8" w:rsidRPr="00B16BB8">
        <w:t xml:space="preserve"> </w:t>
      </w:r>
      <w:r w:rsidR="001514CB">
        <w:t xml:space="preserve">in Ireland </w:t>
      </w:r>
      <w:r w:rsidR="00B16BB8" w:rsidRPr="00B16BB8">
        <w:t>(</w:t>
      </w:r>
      <w:r w:rsidR="00B16BB8">
        <w:t>Doyle,</w:t>
      </w:r>
      <w:r w:rsidR="00B16BB8" w:rsidRPr="00B16BB8">
        <w:t xml:space="preserve"> 2009).</w:t>
      </w:r>
      <w:r>
        <w:t xml:space="preserve"> </w:t>
      </w:r>
    </w:p>
    <w:p w:rsidR="0005170E" w:rsidRDefault="0005170E" w:rsidP="009038F0">
      <w:pPr>
        <w:spacing w:line="480" w:lineRule="auto"/>
        <w:jc w:val="both"/>
      </w:pPr>
    </w:p>
    <w:p w:rsidR="00B16BB8" w:rsidRDefault="005B0201" w:rsidP="009038F0">
      <w:pPr>
        <w:spacing w:line="480" w:lineRule="auto"/>
        <w:jc w:val="both"/>
      </w:pPr>
      <w:r w:rsidRPr="00E32F31">
        <w:t>Concurrent</w:t>
      </w:r>
      <w:r w:rsidR="00CE3799">
        <w:t>ly</w:t>
      </w:r>
      <w:r w:rsidRPr="00E32F31">
        <w:t xml:space="preserve"> the </w:t>
      </w:r>
      <w:r w:rsidR="00C13B76" w:rsidRPr="00E32F31">
        <w:t xml:space="preserve">sources employed by </w:t>
      </w:r>
      <w:r w:rsidR="00381759">
        <w:t>mortgage lenders</w:t>
      </w:r>
      <w:r w:rsidR="00C13B76" w:rsidRPr="00E32F31">
        <w:t xml:space="preserve"> to fund mortgage lending changed</w:t>
      </w:r>
      <w:r w:rsidR="0093151B" w:rsidRPr="00E32F31">
        <w:t xml:space="preserve">, which </w:t>
      </w:r>
      <w:r w:rsidR="0005170E">
        <w:t xml:space="preserve">reinforced the institutional risks associated with the </w:t>
      </w:r>
      <w:r w:rsidR="008F141D">
        <w:t xml:space="preserve">decline in lending standards and </w:t>
      </w:r>
      <w:r w:rsidR="00675A2F">
        <w:t xml:space="preserve">profit </w:t>
      </w:r>
      <w:r w:rsidR="008F141D">
        <w:t>margins</w:t>
      </w:r>
      <w:r w:rsidR="00C13B76" w:rsidRPr="00E32F31">
        <w:t xml:space="preserve">.  </w:t>
      </w:r>
      <w:r w:rsidR="002947E8" w:rsidRPr="00D2566D">
        <w:t>Traditionally, retail deposits by households and private institutions were the principal funding source for Irish mortgage lenders</w:t>
      </w:r>
      <w:r w:rsidR="00675624">
        <w:t xml:space="preserve"> – they </w:t>
      </w:r>
      <w:r w:rsidR="00720B37">
        <w:t>provided</w:t>
      </w:r>
      <w:r w:rsidR="002947E8">
        <w:t xml:space="preserve"> 50.2 per cent of funding</w:t>
      </w:r>
      <w:r w:rsidR="00675624">
        <w:t xml:space="preserve"> in 2000 (see Table </w:t>
      </w:r>
      <w:r w:rsidR="00156AE5">
        <w:t>2</w:t>
      </w:r>
      <w:r w:rsidR="00675624">
        <w:t>)</w:t>
      </w:r>
      <w:r w:rsidR="002947E8" w:rsidRPr="00D2566D">
        <w:t xml:space="preserve">.  Although total retail deposits in Irish </w:t>
      </w:r>
      <w:r w:rsidR="00381759">
        <w:t>mortgage lenders</w:t>
      </w:r>
      <w:r w:rsidR="002947E8" w:rsidRPr="00D2566D">
        <w:t xml:space="preserve"> grew by 76.2 per cent between 2003 and 2007, lending expanded faster</w:t>
      </w:r>
      <w:r w:rsidR="00675624">
        <w:t>,</w:t>
      </w:r>
      <w:r w:rsidR="002947E8" w:rsidRPr="00D2566D">
        <w:t xml:space="preserve"> </w:t>
      </w:r>
      <w:r w:rsidR="002947E8">
        <w:t xml:space="preserve">resulting in a funding gap which was filled by borrowing from the wholesale </w:t>
      </w:r>
      <w:r w:rsidR="00502391">
        <w:t xml:space="preserve">money markets </w:t>
      </w:r>
      <w:r w:rsidR="00F5643F">
        <w:t xml:space="preserve">mainly </w:t>
      </w:r>
      <w:r w:rsidR="00502391">
        <w:t xml:space="preserve">via interbank lending </w:t>
      </w:r>
      <w:r w:rsidR="00F5643F">
        <w:t xml:space="preserve">but also from </w:t>
      </w:r>
      <w:r w:rsidR="00502391">
        <w:t xml:space="preserve">debt securities.  Reliance on these two funding sources grew </w:t>
      </w:r>
      <w:r w:rsidR="00CE3799">
        <w:t>from 30.2 per cent in 2000 to 53.7 per cent in 2006</w:t>
      </w:r>
      <w:r w:rsidR="00502391">
        <w:t xml:space="preserve"> (see Table </w:t>
      </w:r>
      <w:r w:rsidR="00156AE5">
        <w:t>2</w:t>
      </w:r>
      <w:r w:rsidR="00502391">
        <w:t xml:space="preserve">).  </w:t>
      </w:r>
      <w:r w:rsidR="00ED3B80">
        <w:t xml:space="preserve">The </w:t>
      </w:r>
      <w:r w:rsidR="004F6800">
        <w:t>increasing reliance on the wholesale markets</w:t>
      </w:r>
      <w:r w:rsidR="00ED3B80">
        <w:t xml:space="preserve"> was greatly facilitated by </w:t>
      </w:r>
      <w:proofErr w:type="spellStart"/>
      <w:r w:rsidR="00ED3B80">
        <w:t>Eurozone</w:t>
      </w:r>
      <w:proofErr w:type="spellEnd"/>
      <w:r w:rsidR="00ED3B80">
        <w:t xml:space="preserve"> membership which eliminated the exchange rate risk previously associated with </w:t>
      </w:r>
      <w:r w:rsidR="00720B37">
        <w:t>accessing</w:t>
      </w:r>
      <w:r w:rsidR="00ED3B80">
        <w:t xml:space="preserve"> </w:t>
      </w:r>
      <w:r w:rsidR="004F6800">
        <w:t xml:space="preserve">this finance </w:t>
      </w:r>
      <w:r w:rsidR="00D37A9A">
        <w:t>and</w:t>
      </w:r>
      <w:r w:rsidR="004F6800">
        <w:t>,</w:t>
      </w:r>
      <w:r w:rsidR="00D37A9A">
        <w:t xml:space="preserve"> by extension</w:t>
      </w:r>
      <w:r w:rsidR="004F6800">
        <w:t>,</w:t>
      </w:r>
      <w:r w:rsidR="00D37A9A">
        <w:t xml:space="preserve"> the need to cost this risk into the interest rates charged to customers (</w:t>
      </w:r>
      <w:proofErr w:type="spellStart"/>
      <w:r w:rsidR="00D37A9A">
        <w:t>Conefrey</w:t>
      </w:r>
      <w:proofErr w:type="spellEnd"/>
      <w:r w:rsidR="00D37A9A">
        <w:t xml:space="preserve"> </w:t>
      </w:r>
      <w:r w:rsidR="00156AE5">
        <w:t>and</w:t>
      </w:r>
      <w:r w:rsidR="00D37A9A">
        <w:t xml:space="preserve"> Fitz Gerald, 2010)</w:t>
      </w:r>
      <w:r w:rsidR="00ED3B80">
        <w:t xml:space="preserve">.  </w:t>
      </w:r>
      <w:r w:rsidR="00D22005">
        <w:t xml:space="preserve">A </w:t>
      </w:r>
      <w:r w:rsidR="00502391">
        <w:t xml:space="preserve">similar funding gap emerged in all </w:t>
      </w:r>
      <w:proofErr w:type="spellStart"/>
      <w:r w:rsidR="00502391">
        <w:t>Eurozone</w:t>
      </w:r>
      <w:proofErr w:type="spellEnd"/>
      <w:r w:rsidR="00502391">
        <w:t xml:space="preserve"> countries</w:t>
      </w:r>
      <w:r w:rsidR="00FB39E9">
        <w:t xml:space="preserve"> (</w:t>
      </w:r>
      <w:r w:rsidR="00720B37">
        <w:t>except</w:t>
      </w:r>
      <w:r w:rsidR="00502391">
        <w:t xml:space="preserve"> Germany</w:t>
      </w:r>
      <w:r w:rsidR="00FB39E9">
        <w:t>)</w:t>
      </w:r>
      <w:r w:rsidR="00502391">
        <w:t xml:space="preserve"> </w:t>
      </w:r>
      <w:r w:rsidR="00CE3799">
        <w:t>during this period</w:t>
      </w:r>
      <w:r w:rsidR="00502391">
        <w:t xml:space="preserve">, </w:t>
      </w:r>
      <w:r w:rsidR="00FB39E9">
        <w:t xml:space="preserve">but </w:t>
      </w:r>
      <w:r w:rsidR="00502391">
        <w:t xml:space="preserve">this gap was largest in countries such as </w:t>
      </w:r>
      <w:r w:rsidR="00502391" w:rsidRPr="00A26B2C">
        <w:t>Spain, Ireland, the Netherlands and</w:t>
      </w:r>
      <w:r w:rsidR="00502391">
        <w:t xml:space="preserve"> </w:t>
      </w:r>
      <w:r w:rsidR="00B16BB8" w:rsidRPr="00A26B2C">
        <w:t>Portugal</w:t>
      </w:r>
      <w:r w:rsidR="00B16BB8">
        <w:t xml:space="preserve"> which experienced the greatest </w:t>
      </w:r>
      <w:r w:rsidR="00675624">
        <w:t xml:space="preserve">concurrent </w:t>
      </w:r>
      <w:r w:rsidR="00B16BB8">
        <w:t>expansion in mor</w:t>
      </w:r>
      <w:r w:rsidR="00675624">
        <w:t xml:space="preserve">tgage lending </w:t>
      </w:r>
      <w:r w:rsidR="00D22005">
        <w:t>(European Central Bank, 2009)</w:t>
      </w:r>
      <w:r w:rsidR="00B16BB8">
        <w:t xml:space="preserve">.  </w:t>
      </w:r>
    </w:p>
    <w:p w:rsidR="00CC625E" w:rsidRDefault="00CC625E" w:rsidP="009038F0">
      <w:pPr>
        <w:spacing w:line="480" w:lineRule="auto"/>
        <w:jc w:val="both"/>
      </w:pPr>
    </w:p>
    <w:p w:rsidR="00D653F0" w:rsidRDefault="00CD4CAA" w:rsidP="009038F0">
      <w:pPr>
        <w:spacing w:line="480" w:lineRule="auto"/>
        <w:jc w:val="both"/>
      </w:pPr>
      <w:r>
        <w:t xml:space="preserve">Table </w:t>
      </w:r>
      <w:r w:rsidR="00156AE5">
        <w:t>2</w:t>
      </w:r>
      <w:r>
        <w:t xml:space="preserve"> demonstrates that the </w:t>
      </w:r>
      <w:r w:rsidR="00B40239">
        <w:t xml:space="preserve">structural risks </w:t>
      </w:r>
      <w:r w:rsidR="0091429F">
        <w:t xml:space="preserve">associated with the funding sources of the Irish </w:t>
      </w:r>
      <w:r w:rsidR="00B40239">
        <w:t>bank</w:t>
      </w:r>
      <w:r w:rsidR="0091429F">
        <w:t>s</w:t>
      </w:r>
      <w:r w:rsidR="00B40239">
        <w:t xml:space="preserve"> and </w:t>
      </w:r>
      <w:r w:rsidR="0091429F">
        <w:t xml:space="preserve">other </w:t>
      </w:r>
      <w:r w:rsidR="00381759">
        <w:t>mortgage lenders</w:t>
      </w:r>
      <w:r w:rsidR="00B40239">
        <w:t>,</w:t>
      </w:r>
      <w:r w:rsidR="00B16BB8">
        <w:t xml:space="preserve"> w</w:t>
      </w:r>
      <w:r w:rsidR="00FB39E9">
        <w:t>ere</w:t>
      </w:r>
      <w:r w:rsidR="00B16BB8">
        <w:t xml:space="preserve"> </w:t>
      </w:r>
      <w:r w:rsidR="00B40239">
        <w:t xml:space="preserve">further </w:t>
      </w:r>
      <w:r>
        <w:t xml:space="preserve">reinforced by </w:t>
      </w:r>
      <w:r w:rsidR="00675A2F">
        <w:t xml:space="preserve">their over-exposure </w:t>
      </w:r>
      <w:r w:rsidR="00CE3799">
        <w:t xml:space="preserve">to the </w:t>
      </w:r>
      <w:r w:rsidR="0090367D">
        <w:t xml:space="preserve">real estate sector of the </w:t>
      </w:r>
      <w:r w:rsidR="0090367D">
        <w:lastRenderedPageBreak/>
        <w:t xml:space="preserve">economy, including </w:t>
      </w:r>
      <w:r w:rsidR="00D33CC9">
        <w:t xml:space="preserve">not only </w:t>
      </w:r>
      <w:r w:rsidR="0090367D">
        <w:t>mortgage lending</w:t>
      </w:r>
      <w:r w:rsidR="00D33CC9">
        <w:t xml:space="preserve">, but also loans for property development and real estate acquisition.  </w:t>
      </w:r>
      <w:r w:rsidR="00823DC7">
        <w:t>In 2000 real</w:t>
      </w:r>
      <w:r w:rsidR="00192289">
        <w:t xml:space="preserve"> estate related lending </w:t>
      </w:r>
      <w:r w:rsidR="00B40239">
        <w:t xml:space="preserve">made up </w:t>
      </w:r>
      <w:r w:rsidR="00192289">
        <w:t xml:space="preserve">37.4 per cent of </w:t>
      </w:r>
      <w:r w:rsidR="004F52B0">
        <w:t xml:space="preserve">the </w:t>
      </w:r>
      <w:r w:rsidR="00192289">
        <w:t>total lending</w:t>
      </w:r>
      <w:r w:rsidR="001F4AF4">
        <w:t xml:space="preserve"> </w:t>
      </w:r>
      <w:r w:rsidR="00156AE5">
        <w:t>by</w:t>
      </w:r>
      <w:r w:rsidR="004F52B0">
        <w:t xml:space="preserve"> Irish </w:t>
      </w:r>
      <w:r w:rsidR="00381759">
        <w:t xml:space="preserve">mortgage lenders </w:t>
      </w:r>
      <w:r w:rsidR="001F4AF4">
        <w:t>but this</w:t>
      </w:r>
      <w:r w:rsidR="00192289">
        <w:t xml:space="preserve"> increased steadily as the decade progressed to a high of 72 per cent </w:t>
      </w:r>
      <w:r w:rsidR="002B1D21">
        <w:t>in</w:t>
      </w:r>
      <w:r w:rsidR="00192289">
        <w:t xml:space="preserve"> 2006.  </w:t>
      </w:r>
      <w:r w:rsidR="00D653F0">
        <w:t>A</w:t>
      </w:r>
      <w:r w:rsidR="001F4AF4">
        <w:t>n</w:t>
      </w:r>
      <w:r w:rsidR="00D653F0">
        <w:t xml:space="preserve"> </w:t>
      </w:r>
      <w:r w:rsidR="00AC35C4">
        <w:t xml:space="preserve">Irish </w:t>
      </w:r>
      <w:r w:rsidR="00D653F0">
        <w:t xml:space="preserve">Central Bank financial stability report published in </w:t>
      </w:r>
      <w:r w:rsidR="00FB39E9">
        <w:t>this year</w:t>
      </w:r>
      <w:r w:rsidR="00D653F0">
        <w:t xml:space="preserve"> raised concerns that the ‘</w:t>
      </w:r>
      <w:r w:rsidR="004F6800">
        <w:t>s</w:t>
      </w:r>
      <w:r w:rsidR="00D653F0">
        <w:t xml:space="preserve">hare of the banking sector’s loan book in property related lending continues to grow and is high by historic standards’ (Kearns </w:t>
      </w:r>
      <w:r w:rsidR="00156AE5">
        <w:t>and</w:t>
      </w:r>
      <w:r w:rsidR="00D653F0">
        <w:t xml:space="preserve"> Woods, 2006</w:t>
      </w:r>
      <w:r w:rsidR="002A326D">
        <w:t>:</w:t>
      </w:r>
      <w:r w:rsidR="00D653F0">
        <w:t xml:space="preserve"> 133)</w:t>
      </w:r>
      <w:r w:rsidR="00A869EE">
        <w:t xml:space="preserve">.  </w:t>
      </w:r>
      <w:r w:rsidR="00502391">
        <w:t>The fac</w:t>
      </w:r>
      <w:r w:rsidR="00A869EE">
        <w:t>t that in five of the thirteen credit institutions surveyed over 80 per cent of the loan book related to real estate in 2005</w:t>
      </w:r>
      <w:r w:rsidR="00502391">
        <w:t xml:space="preserve"> was </w:t>
      </w:r>
      <w:r w:rsidR="0091429F">
        <w:t xml:space="preserve">singled out as </w:t>
      </w:r>
      <w:r w:rsidR="00720B37">
        <w:t>a</w:t>
      </w:r>
      <w:r w:rsidR="0091429F">
        <w:t xml:space="preserve"> particular concern</w:t>
      </w:r>
      <w:r w:rsidR="00A869EE">
        <w:t>.</w:t>
      </w:r>
    </w:p>
    <w:p w:rsidR="002966CE" w:rsidRDefault="002966CE" w:rsidP="009038F0">
      <w:pPr>
        <w:spacing w:line="480" w:lineRule="auto"/>
        <w:jc w:val="both"/>
      </w:pPr>
    </w:p>
    <w:p w:rsidR="00940867" w:rsidRPr="009B0363" w:rsidRDefault="006B3B85" w:rsidP="009038F0">
      <w:pPr>
        <w:spacing w:line="480" w:lineRule="auto"/>
        <w:jc w:val="both"/>
        <w:rPr>
          <w:i/>
        </w:rPr>
      </w:pPr>
      <w:r w:rsidRPr="009B0363">
        <w:rPr>
          <w:i/>
        </w:rPr>
        <w:t>2.3</w:t>
      </w:r>
      <w:r w:rsidRPr="009B0363">
        <w:rPr>
          <w:i/>
        </w:rPr>
        <w:tab/>
      </w:r>
      <w:r w:rsidR="00940867" w:rsidRPr="009B0363">
        <w:rPr>
          <w:i/>
        </w:rPr>
        <w:t>Households</w:t>
      </w:r>
    </w:p>
    <w:p w:rsidR="000E0ECF" w:rsidRDefault="000946DA" w:rsidP="009038F0">
      <w:pPr>
        <w:spacing w:line="480" w:lineRule="auto"/>
        <w:jc w:val="both"/>
      </w:pPr>
      <w:r w:rsidRPr="00C57208">
        <w:t xml:space="preserve">Table </w:t>
      </w:r>
      <w:r w:rsidR="00156AE5">
        <w:t>3</w:t>
      </w:r>
      <w:r w:rsidRPr="00C57208">
        <w:t xml:space="preserve"> </w:t>
      </w:r>
      <w:r w:rsidR="000E0ECF" w:rsidRPr="00C57208">
        <w:t>reveals that the combination of rising house prices between 1996 and 2006</w:t>
      </w:r>
      <w:r w:rsidR="00720B37">
        <w:t xml:space="preserve"> and growth in lending during the </w:t>
      </w:r>
      <w:r w:rsidR="000E0ECF" w:rsidRPr="00C57208">
        <w:t>second half of that period had a number of significant implications for households’ access to mortgages and borrowing decisions.</w:t>
      </w:r>
      <w:r w:rsidR="000E0ECF">
        <w:t xml:space="preserve">  </w:t>
      </w:r>
    </w:p>
    <w:p w:rsidR="00615B21" w:rsidRDefault="00615B21" w:rsidP="009038F0">
      <w:pPr>
        <w:spacing w:line="480" w:lineRule="auto"/>
        <w:jc w:val="both"/>
      </w:pPr>
    </w:p>
    <w:p w:rsidR="00615B21" w:rsidRPr="009B0363" w:rsidRDefault="00615B21" w:rsidP="009038F0">
      <w:pPr>
        <w:spacing w:line="480" w:lineRule="auto"/>
        <w:jc w:val="both"/>
        <w:rPr>
          <w:i/>
        </w:rPr>
      </w:pPr>
      <w:proofErr w:type="gramStart"/>
      <w:r w:rsidRPr="009B0363">
        <w:rPr>
          <w:i/>
        </w:rPr>
        <w:t>Table 3 here.</w:t>
      </w:r>
      <w:proofErr w:type="gramEnd"/>
    </w:p>
    <w:p w:rsidR="000E0ECF" w:rsidRDefault="000E0ECF" w:rsidP="009038F0">
      <w:pPr>
        <w:spacing w:line="480" w:lineRule="auto"/>
        <w:jc w:val="both"/>
      </w:pPr>
    </w:p>
    <w:p w:rsidR="007468ED" w:rsidRPr="002429DC" w:rsidRDefault="000E0ECF" w:rsidP="009038F0">
      <w:pPr>
        <w:spacing w:line="480" w:lineRule="auto"/>
        <w:jc w:val="both"/>
      </w:pPr>
      <w:r>
        <w:t>D</w:t>
      </w:r>
      <w:r w:rsidR="00971A51" w:rsidRPr="002429DC">
        <w:t>espite the increase in affordability associated with interest rate</w:t>
      </w:r>
      <w:r>
        <w:t xml:space="preserve"> reductions from 2000</w:t>
      </w:r>
      <w:r w:rsidR="00971A51" w:rsidRPr="002429DC">
        <w:t xml:space="preserve">, the </w:t>
      </w:r>
      <w:r w:rsidR="002429DC">
        <w:t>marked</w:t>
      </w:r>
      <w:r w:rsidR="00971A51" w:rsidRPr="002429DC">
        <w:t xml:space="preserve"> rise in the house price to average industrial earnings ratio (from 6.0 to 9.9 between 1998 and 2006) </w:t>
      </w:r>
      <w:r w:rsidR="0091429F">
        <w:t>led to</w:t>
      </w:r>
      <w:r w:rsidR="00971A51" w:rsidRPr="002429DC">
        <w:t xml:space="preserve"> a decline in lending to home owners.  Home owners held 80.0 per cent of outstanding mortgages in 2004 but only 73.3 per cent in 2006.  As a result</w:t>
      </w:r>
      <w:r w:rsidR="002429DC" w:rsidRPr="002429DC">
        <w:t>,</w:t>
      </w:r>
      <w:r w:rsidR="00971A51" w:rsidRPr="002429DC">
        <w:t xml:space="preserve"> between 2002 and 2006 </w:t>
      </w:r>
      <w:r w:rsidR="002429DC" w:rsidRPr="002429DC">
        <w:t xml:space="preserve">owner occupation declined (from 79.7 to 77.2 per cent of households) </w:t>
      </w:r>
      <w:r w:rsidR="00971A51" w:rsidRPr="002429DC">
        <w:t>for the first ti</w:t>
      </w:r>
      <w:r w:rsidR="00C57208">
        <w:t>me in the history of the Irish S</w:t>
      </w:r>
      <w:r w:rsidR="00971A51" w:rsidRPr="002429DC">
        <w:t xml:space="preserve">tate, (Central Statistics Office, </w:t>
      </w:r>
      <w:proofErr w:type="gramStart"/>
      <w:r w:rsidR="00971A51" w:rsidRPr="002429DC">
        <w:t>various</w:t>
      </w:r>
      <w:proofErr w:type="gramEnd"/>
      <w:r w:rsidR="00971A51" w:rsidRPr="002429DC">
        <w:t xml:space="preserve"> years).</w:t>
      </w:r>
      <w:r w:rsidR="002429DC">
        <w:t xml:space="preserve">  The </w:t>
      </w:r>
      <w:r w:rsidR="004F52B0">
        <w:t xml:space="preserve">growth in new </w:t>
      </w:r>
      <w:r w:rsidR="002429DC">
        <w:t xml:space="preserve">mortgages </w:t>
      </w:r>
      <w:r w:rsidR="002429DC" w:rsidRPr="002429DC">
        <w:t>granted during the mid 2000s is the result of a marked rise in lending to</w:t>
      </w:r>
      <w:r w:rsidR="000D6C55" w:rsidRPr="002429DC">
        <w:t xml:space="preserve"> </w:t>
      </w:r>
      <w:r w:rsidR="00615B21">
        <w:t>private residential landlords</w:t>
      </w:r>
      <w:r>
        <w:t>.</w:t>
      </w:r>
      <w:r w:rsidR="000D6C55" w:rsidRPr="002429DC">
        <w:t xml:space="preserve">  </w:t>
      </w:r>
      <w:r w:rsidR="002429DC" w:rsidRPr="002429DC">
        <w:t>The proportion of outstanding mortgages held by this sector rose by 6.3 per cent between 2004 and 2006</w:t>
      </w:r>
      <w:r w:rsidR="00156AE5">
        <w:t xml:space="preserve"> (see Table 3)</w:t>
      </w:r>
      <w:r w:rsidR="0020028E" w:rsidRPr="002429DC">
        <w:t>.</w:t>
      </w:r>
    </w:p>
    <w:p w:rsidR="000D6C55" w:rsidRDefault="000D6C55" w:rsidP="009038F0">
      <w:pPr>
        <w:spacing w:line="480" w:lineRule="auto"/>
        <w:jc w:val="both"/>
      </w:pPr>
    </w:p>
    <w:p w:rsidR="003E0BD9" w:rsidRDefault="00940867" w:rsidP="009038F0">
      <w:pPr>
        <w:spacing w:line="480" w:lineRule="auto"/>
        <w:jc w:val="both"/>
      </w:pPr>
      <w:r w:rsidRPr="00B76149">
        <w:t xml:space="preserve">These data also </w:t>
      </w:r>
      <w:r>
        <w:t>confirm</w:t>
      </w:r>
      <w:r w:rsidRPr="00B76149">
        <w:t xml:space="preserve"> that the increase in the number of mortgages drawn down post 2000 was accompanied by an increase in the</w:t>
      </w:r>
      <w:r>
        <w:t>ir</w:t>
      </w:r>
      <w:r w:rsidRPr="00B76149">
        <w:t xml:space="preserve"> size.  </w:t>
      </w:r>
      <w:r w:rsidR="0091429F">
        <w:t>Loans</w:t>
      </w:r>
      <w:r w:rsidRPr="00B76149">
        <w:t xml:space="preserve"> of over €250,000 inc</w:t>
      </w:r>
      <w:r w:rsidR="0091429F">
        <w:t xml:space="preserve">reased from 2.3 per cent of new mortgages </w:t>
      </w:r>
      <w:r w:rsidRPr="00B76149">
        <w:t>in 2000</w:t>
      </w:r>
      <w:r w:rsidR="0091429F">
        <w:t>,</w:t>
      </w:r>
      <w:r w:rsidRPr="00B76149">
        <w:t xml:space="preserve"> to 41</w:t>
      </w:r>
      <w:r>
        <w:t xml:space="preserve"> </w:t>
      </w:r>
      <w:r w:rsidRPr="00B76149">
        <w:t>per cent in 2006.  One hundred per cent mortgages first became available</w:t>
      </w:r>
      <w:r>
        <w:t xml:space="preserve"> </w:t>
      </w:r>
      <w:r w:rsidRPr="00B76149">
        <w:t xml:space="preserve">around </w:t>
      </w:r>
      <w:r w:rsidRPr="00B76149">
        <w:lastRenderedPageBreak/>
        <w:t>2004 and between then and 2008 rose from 4 to 12 per</w:t>
      </w:r>
      <w:r w:rsidR="002429DC">
        <w:t xml:space="preserve"> </w:t>
      </w:r>
      <w:r w:rsidRPr="00B76149">
        <w:t xml:space="preserve">cent </w:t>
      </w:r>
      <w:r w:rsidR="0091429F">
        <w:t>of new</w:t>
      </w:r>
      <w:r w:rsidRPr="00B76149">
        <w:t xml:space="preserve"> mortgages granted. Furthermore, mortgages with terms of 30 years plus increased from 10 to 39 per cent of mortgages drawn</w:t>
      </w:r>
      <w:r w:rsidR="00DA73CB">
        <w:t>-</w:t>
      </w:r>
      <w:r w:rsidRPr="00B76149">
        <w:t>down during this period</w:t>
      </w:r>
      <w:r>
        <w:t xml:space="preserve"> </w:t>
      </w:r>
      <w:r w:rsidRPr="00B76149">
        <w:t>(Department of the Environment,</w:t>
      </w:r>
      <w:r w:rsidR="00156AE5">
        <w:t xml:space="preserve"> Community</w:t>
      </w:r>
      <w:r w:rsidRPr="00B76149">
        <w:t xml:space="preserve"> </w:t>
      </w:r>
      <w:r w:rsidR="00D13128">
        <w:t>&amp;</w:t>
      </w:r>
      <w:r w:rsidRPr="00B76149">
        <w:t xml:space="preserve"> Local Government, various years).  </w:t>
      </w:r>
      <w:r w:rsidR="003E0BD9" w:rsidRPr="00B76149">
        <w:t xml:space="preserve">The proportion of interest only mortgages also increased significantly between 2003 and 2007, and </w:t>
      </w:r>
      <w:r w:rsidR="000E0ECF">
        <w:t xml:space="preserve">according to </w:t>
      </w:r>
      <w:r w:rsidR="000E0ECF" w:rsidRPr="00B76149">
        <w:t>Duffy</w:t>
      </w:r>
      <w:r w:rsidR="000E0ECF">
        <w:t xml:space="preserve"> (</w:t>
      </w:r>
      <w:r w:rsidR="000E0ECF" w:rsidRPr="00B76149">
        <w:t>2009</w:t>
      </w:r>
      <w:r w:rsidR="000E0ECF">
        <w:t xml:space="preserve">) most of these </w:t>
      </w:r>
      <w:r w:rsidR="003E0BD9" w:rsidRPr="00B76149">
        <w:t xml:space="preserve">were taken up by </w:t>
      </w:r>
      <w:r w:rsidR="002429DC">
        <w:t xml:space="preserve">buy-to-let </w:t>
      </w:r>
      <w:r w:rsidR="00821A34">
        <w:t>investors</w:t>
      </w:r>
      <w:r w:rsidR="000E0ECF">
        <w:t>.</w:t>
      </w:r>
    </w:p>
    <w:p w:rsidR="007468ED" w:rsidRDefault="007468ED" w:rsidP="009038F0">
      <w:pPr>
        <w:spacing w:line="480" w:lineRule="auto"/>
        <w:jc w:val="both"/>
      </w:pPr>
    </w:p>
    <w:p w:rsidR="0039579E" w:rsidRPr="00B76149" w:rsidRDefault="0039579E" w:rsidP="009038F0">
      <w:pPr>
        <w:spacing w:line="480" w:lineRule="auto"/>
        <w:jc w:val="both"/>
      </w:pPr>
    </w:p>
    <w:p w:rsidR="001F4AF4" w:rsidRPr="007C74C8" w:rsidRDefault="00615B21" w:rsidP="009038F0">
      <w:pPr>
        <w:spacing w:line="480" w:lineRule="auto"/>
        <w:jc w:val="both"/>
        <w:rPr>
          <w:b/>
        </w:rPr>
      </w:pPr>
      <w:r w:rsidRPr="007C74C8">
        <w:rPr>
          <w:b/>
        </w:rPr>
        <w:t>3.</w:t>
      </w:r>
      <w:r w:rsidRPr="007C74C8">
        <w:rPr>
          <w:b/>
        </w:rPr>
        <w:tab/>
      </w:r>
      <w:r w:rsidR="000437C9" w:rsidRPr="007C74C8">
        <w:rPr>
          <w:b/>
        </w:rPr>
        <w:t>The Housing Bust</w:t>
      </w:r>
    </w:p>
    <w:p w:rsidR="001F4AF4" w:rsidRDefault="001F4AF4" w:rsidP="009038F0">
      <w:pPr>
        <w:spacing w:line="480" w:lineRule="auto"/>
        <w:jc w:val="both"/>
      </w:pPr>
    </w:p>
    <w:p w:rsidR="001F4AF4" w:rsidRPr="007C74C8" w:rsidRDefault="00615B21" w:rsidP="009038F0">
      <w:pPr>
        <w:spacing w:line="480" w:lineRule="auto"/>
        <w:jc w:val="both"/>
        <w:rPr>
          <w:i/>
        </w:rPr>
      </w:pPr>
      <w:r w:rsidRPr="007C74C8">
        <w:rPr>
          <w:i/>
        </w:rPr>
        <w:t>3.1</w:t>
      </w:r>
      <w:r w:rsidRPr="007C74C8">
        <w:rPr>
          <w:i/>
        </w:rPr>
        <w:tab/>
      </w:r>
      <w:r w:rsidR="001F4AF4" w:rsidRPr="007C74C8">
        <w:rPr>
          <w:i/>
        </w:rPr>
        <w:t>Macro Economy</w:t>
      </w:r>
    </w:p>
    <w:p w:rsidR="00C90D67" w:rsidRPr="00B76149" w:rsidRDefault="00697804" w:rsidP="009038F0">
      <w:pPr>
        <w:spacing w:line="480" w:lineRule="auto"/>
        <w:jc w:val="both"/>
      </w:pPr>
      <w:r>
        <w:t>Ireland’s h</w:t>
      </w:r>
      <w:r w:rsidR="00C90D67">
        <w:t xml:space="preserve">ouse price boom </w:t>
      </w:r>
      <w:r>
        <w:t xml:space="preserve">started to falter in </w:t>
      </w:r>
      <w:r w:rsidR="00AA1595">
        <w:t xml:space="preserve">early </w:t>
      </w:r>
      <w:r>
        <w:t xml:space="preserve">2007 and the </w:t>
      </w:r>
      <w:r w:rsidR="00C90D67" w:rsidRPr="00B76149">
        <w:t>most robust house price data available</w:t>
      </w:r>
      <w:r w:rsidR="00C90D67">
        <w:t xml:space="preserve">, presented in </w:t>
      </w:r>
      <w:r w:rsidR="001E3AEF">
        <w:t>Figure 1</w:t>
      </w:r>
      <w:r>
        <w:t>,</w:t>
      </w:r>
      <w:r w:rsidR="00C90D67" w:rsidRPr="00B76149">
        <w:t xml:space="preserve"> </w:t>
      </w:r>
      <w:proofErr w:type="gramStart"/>
      <w:r w:rsidR="00C90D67" w:rsidRPr="00B76149">
        <w:t>indicates</w:t>
      </w:r>
      <w:proofErr w:type="gramEnd"/>
      <w:r w:rsidR="00C90D67" w:rsidRPr="00B76149">
        <w:t xml:space="preserve"> that prices nationally f</w:t>
      </w:r>
      <w:r w:rsidR="00B437F9">
        <w:t>ell by 3</w:t>
      </w:r>
      <w:r w:rsidR="00615B21">
        <w:t>3</w:t>
      </w:r>
      <w:r w:rsidR="00B437F9">
        <w:t>.</w:t>
      </w:r>
      <w:r w:rsidR="00615B21">
        <w:t>7</w:t>
      </w:r>
      <w:r w:rsidR="00B437F9">
        <w:t xml:space="preserve"> per cent between this year and Q</w:t>
      </w:r>
      <w:r w:rsidR="00615B21">
        <w:t>4</w:t>
      </w:r>
      <w:r w:rsidR="00B437F9">
        <w:t xml:space="preserve"> 2010</w:t>
      </w:r>
      <w:r w:rsidR="00C90D67" w:rsidRPr="00B76149">
        <w:t xml:space="preserve">.  However, </w:t>
      </w:r>
      <w:r>
        <w:t>most</w:t>
      </w:r>
      <w:r w:rsidR="00C90D67" w:rsidRPr="00B76149">
        <w:t xml:space="preserve"> commentators </w:t>
      </w:r>
      <w:r>
        <w:t>agree that these</w:t>
      </w:r>
      <w:r w:rsidR="00C90D67" w:rsidRPr="00B76149">
        <w:t xml:space="preserve"> data underestimate the true extent of price decline </w:t>
      </w:r>
      <w:r>
        <w:t xml:space="preserve">which </w:t>
      </w:r>
      <w:r w:rsidR="00920932">
        <w:t>is closer to</w:t>
      </w:r>
      <w:r>
        <w:t xml:space="preserve"> </w:t>
      </w:r>
      <w:r w:rsidR="00A173BD">
        <w:t>45-</w:t>
      </w:r>
      <w:r w:rsidR="00B437F9">
        <w:t>50</w:t>
      </w:r>
      <w:r>
        <w:t xml:space="preserve"> per cent</w:t>
      </w:r>
      <w:r w:rsidR="00A24D0A">
        <w:t xml:space="preserve"> </w:t>
      </w:r>
      <w:r w:rsidR="00A24D0A" w:rsidRPr="00B76149">
        <w:t>(see: Duffy, 2009</w:t>
      </w:r>
      <w:r w:rsidR="00A24D0A">
        <w:t>)</w:t>
      </w:r>
      <w:r>
        <w:t>.  In addition</w:t>
      </w:r>
      <w:r w:rsidR="00D06137">
        <w:t>,</w:t>
      </w:r>
      <w:r>
        <w:t xml:space="preserve"> new house building declined </w:t>
      </w:r>
      <w:r w:rsidR="00920932">
        <w:t xml:space="preserve">by 65.2 per cent and </w:t>
      </w:r>
      <w:r w:rsidR="001E3AEF">
        <w:t>gross value added (</w:t>
      </w:r>
      <w:r>
        <w:t>GVA</w:t>
      </w:r>
      <w:r w:rsidR="001E3AEF">
        <w:t>)</w:t>
      </w:r>
      <w:r>
        <w:t xml:space="preserve"> from constr</w:t>
      </w:r>
      <w:r w:rsidR="00920932">
        <w:t xml:space="preserve">uction declined by </w:t>
      </w:r>
      <w:r w:rsidR="004F6BB3">
        <w:t>51.6 per cent</w:t>
      </w:r>
      <w:r w:rsidR="00920932">
        <w:t xml:space="preserve"> between 2007 and 2009</w:t>
      </w:r>
      <w:r w:rsidR="001E3AEF">
        <w:t xml:space="preserve"> (see Table 1)</w:t>
      </w:r>
      <w:r w:rsidR="00920932">
        <w:t>.</w:t>
      </w:r>
    </w:p>
    <w:p w:rsidR="00C90D67" w:rsidRDefault="00C90D67" w:rsidP="009038F0">
      <w:pPr>
        <w:spacing w:line="480" w:lineRule="auto"/>
        <w:jc w:val="both"/>
      </w:pPr>
    </w:p>
    <w:p w:rsidR="00E33CA1" w:rsidRDefault="009F7ED5" w:rsidP="009038F0">
      <w:pPr>
        <w:spacing w:line="480" w:lineRule="auto"/>
        <w:jc w:val="both"/>
      </w:pPr>
      <w:r>
        <w:t>The economic col</w:t>
      </w:r>
      <w:r w:rsidR="006D69FE">
        <w:t>l</w:t>
      </w:r>
      <w:r>
        <w:t>ap</w:t>
      </w:r>
      <w:r w:rsidR="006D69FE">
        <w:t>s</w:t>
      </w:r>
      <w:r>
        <w:t xml:space="preserve">e slightly lagged the housing market </w:t>
      </w:r>
      <w:r w:rsidR="00E76FE1">
        <w:t>crash</w:t>
      </w:r>
      <w:r>
        <w:t xml:space="preserve">. </w:t>
      </w:r>
      <w:r w:rsidR="00E33CA1" w:rsidRPr="00B76149">
        <w:t>G</w:t>
      </w:r>
      <w:r>
        <w:t>N</w:t>
      </w:r>
      <w:r w:rsidR="00E33CA1" w:rsidRPr="00B76149">
        <w:t>P grew by 5.</w:t>
      </w:r>
      <w:r>
        <w:t>7</w:t>
      </w:r>
      <w:r w:rsidR="00E33CA1" w:rsidRPr="00B76149">
        <w:t xml:space="preserve"> per cent in 2007, but </w:t>
      </w:r>
      <w:r w:rsidR="001F012E">
        <w:t xml:space="preserve">it </w:t>
      </w:r>
      <w:r w:rsidR="00A173BD">
        <w:t>declined</w:t>
      </w:r>
      <w:r w:rsidR="00E33CA1" w:rsidRPr="00B76149">
        <w:t xml:space="preserve"> by </w:t>
      </w:r>
      <w:r>
        <w:t>5</w:t>
      </w:r>
      <w:r w:rsidR="00E33CA1" w:rsidRPr="00B76149">
        <w:t>.</w:t>
      </w:r>
      <w:r>
        <w:t>0</w:t>
      </w:r>
      <w:r w:rsidR="00E33CA1" w:rsidRPr="00B76149">
        <w:t xml:space="preserve"> per cent in 2008 and by</w:t>
      </w:r>
      <w:r w:rsidR="00E33CA1">
        <w:t xml:space="preserve"> </w:t>
      </w:r>
      <w:r>
        <w:t>15</w:t>
      </w:r>
      <w:r w:rsidR="00E33CA1">
        <w:t>.</w:t>
      </w:r>
      <w:r>
        <w:t>2</w:t>
      </w:r>
      <w:r w:rsidR="001E3AEF">
        <w:t xml:space="preserve"> per cent in 2009</w:t>
      </w:r>
      <w:r w:rsidR="0039579E">
        <w:t xml:space="preserve"> - the largest contraction in any developed economy since the Great Depression</w:t>
      </w:r>
      <w:r w:rsidR="00E33CA1" w:rsidRPr="00B76149">
        <w:t xml:space="preserve">.  </w:t>
      </w:r>
      <w:r w:rsidR="006D69FE">
        <w:t xml:space="preserve">Employment </w:t>
      </w:r>
      <w:r w:rsidR="00A173BD">
        <w:t>fell</w:t>
      </w:r>
      <w:r w:rsidR="006D69FE">
        <w:t xml:space="preserve"> by 8.3 per cent between </w:t>
      </w:r>
      <w:r w:rsidR="0097122A">
        <w:t>2007 and 2009</w:t>
      </w:r>
      <w:r w:rsidR="00615B21">
        <w:t xml:space="preserve"> and</w:t>
      </w:r>
      <w:r w:rsidR="0097122A">
        <w:t xml:space="preserve"> the </w:t>
      </w:r>
      <w:r w:rsidR="004F44FD">
        <w:t>exchequer balance</w:t>
      </w:r>
      <w:r w:rsidR="00E33CA1" w:rsidRPr="00B76149">
        <w:t>,</w:t>
      </w:r>
      <w:r w:rsidR="00F54A8E">
        <w:t xml:space="preserve"> </w:t>
      </w:r>
      <w:r w:rsidR="00F54A8E" w:rsidRPr="00F54A8E">
        <w:t xml:space="preserve">which had been positive for most of the 1997-2007 period, </w:t>
      </w:r>
      <w:r w:rsidR="00E33CA1" w:rsidRPr="00B76149">
        <w:t xml:space="preserve">fell sharply to </w:t>
      </w:r>
      <w:r w:rsidR="004F44FD" w:rsidRPr="004F44FD">
        <w:t xml:space="preserve">-8.2% </w:t>
      </w:r>
      <w:r w:rsidR="00E33CA1" w:rsidRPr="00B76149">
        <w:t>per cent of G</w:t>
      </w:r>
      <w:r w:rsidR="004F44FD">
        <w:t>N</w:t>
      </w:r>
      <w:r w:rsidR="00E33CA1" w:rsidRPr="00B76149">
        <w:t xml:space="preserve">P in 2008 </w:t>
      </w:r>
      <w:r w:rsidR="00F12EAF">
        <w:t xml:space="preserve">and to -18.8 per cent in 2009 (see Table 1) </w:t>
      </w:r>
      <w:r w:rsidR="00E33CA1" w:rsidRPr="00B76149">
        <w:t>(Central Stat</w:t>
      </w:r>
      <w:r w:rsidR="00697804">
        <w:t>istics Office, various years).</w:t>
      </w:r>
      <w:r w:rsidR="00615B21">
        <w:t xml:space="preserve">  Thus in 2008 Ireland breeched the terms of the Stability and Growth Pact (which obliges E</w:t>
      </w:r>
      <w:r w:rsidR="00FB482C">
        <w:t>uro</w:t>
      </w:r>
      <w:r w:rsidR="00615B21">
        <w:t xml:space="preserve"> members to keep public debt below prescribed levels) for the first time since this agreement was adopted in 1997.</w:t>
      </w:r>
    </w:p>
    <w:p w:rsidR="00697804" w:rsidRDefault="00697804" w:rsidP="009038F0">
      <w:pPr>
        <w:spacing w:line="480" w:lineRule="auto"/>
        <w:jc w:val="both"/>
      </w:pPr>
    </w:p>
    <w:p w:rsidR="00697804" w:rsidRDefault="00697804" w:rsidP="009038F0">
      <w:pPr>
        <w:spacing w:line="480" w:lineRule="auto"/>
        <w:jc w:val="both"/>
      </w:pPr>
      <w:r>
        <w:t xml:space="preserve">The housing </w:t>
      </w:r>
      <w:r w:rsidR="00F12EAF">
        <w:t xml:space="preserve">market </w:t>
      </w:r>
      <w:r>
        <w:t xml:space="preserve">bust made a central contribution to the economic </w:t>
      </w:r>
      <w:r w:rsidR="00F241EF">
        <w:t xml:space="preserve">and fiscal </w:t>
      </w:r>
      <w:r w:rsidR="001F012E">
        <w:t>bust</w:t>
      </w:r>
      <w:r>
        <w:t xml:space="preserve"> and</w:t>
      </w:r>
      <w:r w:rsidR="00D06137">
        <w:t>,</w:t>
      </w:r>
      <w:r>
        <w:t xml:space="preserve"> of course</w:t>
      </w:r>
      <w:r w:rsidR="00D06137">
        <w:t>,</w:t>
      </w:r>
      <w:r>
        <w:t xml:space="preserve"> the latter </w:t>
      </w:r>
      <w:r w:rsidR="00260103">
        <w:t>subsequently helped to</w:t>
      </w:r>
      <w:r>
        <w:t xml:space="preserve"> reinforce the former.  </w:t>
      </w:r>
      <w:r w:rsidR="00907E96">
        <w:t>The data presented in Table 1 illustrates the direct relationship between the two busts</w:t>
      </w:r>
      <w:r w:rsidR="00720B37">
        <w:t>: th</w:t>
      </w:r>
      <w:r w:rsidR="001F012E">
        <w:t xml:space="preserve">e decline in </w:t>
      </w:r>
      <w:r w:rsidR="00615B21">
        <w:t>gross value added (</w:t>
      </w:r>
      <w:r w:rsidR="001F012E">
        <w:t>GVA</w:t>
      </w:r>
      <w:r w:rsidR="00615B21">
        <w:t>)</w:t>
      </w:r>
      <w:r w:rsidR="001F012E">
        <w:t xml:space="preserve"> from construction </w:t>
      </w:r>
      <w:r w:rsidR="007203D9">
        <w:t xml:space="preserve">accounted for </w:t>
      </w:r>
      <w:r w:rsidR="00D52BEF">
        <w:lastRenderedPageBreak/>
        <w:t>27.3 per cent of the decline in GNP between 2007 and 2009</w:t>
      </w:r>
      <w:r w:rsidR="007C74C8">
        <w:t xml:space="preserve"> and</w:t>
      </w:r>
      <w:r w:rsidR="00D52BEF">
        <w:t xml:space="preserve"> falling </w:t>
      </w:r>
      <w:r w:rsidR="00344E81">
        <w:t xml:space="preserve">construction </w:t>
      </w:r>
      <w:r w:rsidR="00D52BEF">
        <w:t xml:space="preserve">employment accounted for </w:t>
      </w:r>
      <w:r w:rsidR="00260103">
        <w:t xml:space="preserve">65.3 per cent of the decline in employment </w:t>
      </w:r>
      <w:r w:rsidR="00D457E6">
        <w:t>concurrently.  F</w:t>
      </w:r>
      <w:r w:rsidR="00907E96">
        <w:t xml:space="preserve">alling </w:t>
      </w:r>
      <w:r w:rsidR="00E76FE1">
        <w:t>revenue from residential property market related taxes</w:t>
      </w:r>
      <w:r w:rsidR="00907E96">
        <w:t xml:space="preserve"> </w:t>
      </w:r>
      <w:r w:rsidR="007D2035">
        <w:t xml:space="preserve">accounted for </w:t>
      </w:r>
      <w:r w:rsidR="00D457E6">
        <w:t>35.2</w:t>
      </w:r>
      <w:r w:rsidR="007D2035">
        <w:t xml:space="preserve"> per cent of the </w:t>
      </w:r>
      <w:r w:rsidR="00D06137">
        <w:t xml:space="preserve">contraction </w:t>
      </w:r>
      <w:r w:rsidR="007D2035">
        <w:t xml:space="preserve">in total tax revenue </w:t>
      </w:r>
      <w:r w:rsidR="00D457E6">
        <w:t>between 2007 and 2008</w:t>
      </w:r>
      <w:r w:rsidR="00260103">
        <w:t xml:space="preserve">.  </w:t>
      </w:r>
      <w:r w:rsidR="00720B37">
        <w:t>T</w:t>
      </w:r>
      <w:r w:rsidR="00216C7D">
        <w:t>he</w:t>
      </w:r>
      <w:r w:rsidR="00B340E8">
        <w:t xml:space="preserve"> </w:t>
      </w:r>
      <w:r w:rsidR="005B6BC4">
        <w:t>indirect macro-economic</w:t>
      </w:r>
      <w:r w:rsidR="00D84391">
        <w:t xml:space="preserve"> effect</w:t>
      </w:r>
      <w:r w:rsidR="005B6BC4">
        <w:t>s</w:t>
      </w:r>
      <w:r w:rsidR="00B340E8">
        <w:t xml:space="preserve"> of the construction bust </w:t>
      </w:r>
      <w:r w:rsidR="005B6BC4">
        <w:t>were</w:t>
      </w:r>
      <w:r w:rsidR="00B340E8">
        <w:t xml:space="preserve"> </w:t>
      </w:r>
      <w:r w:rsidR="00216C7D">
        <w:t>also significant</w:t>
      </w:r>
      <w:r w:rsidR="00B340E8">
        <w:t xml:space="preserve">.  </w:t>
      </w:r>
      <w:proofErr w:type="gramStart"/>
      <w:r w:rsidR="00720B37">
        <w:t>T</w:t>
      </w:r>
      <w:r w:rsidR="001E3AEF">
        <w:t xml:space="preserve">he loss of </w:t>
      </w:r>
      <w:r w:rsidR="00FC3046">
        <w:t>spin-off jobs from construction</w:t>
      </w:r>
      <w:r w:rsidR="00720B37">
        <w:t xml:space="preserve"> accounts for</w:t>
      </w:r>
      <w:r w:rsidR="00216C7D">
        <w:t xml:space="preserve"> </w:t>
      </w:r>
      <w:r w:rsidR="005B6BC4">
        <w:t xml:space="preserve">a </w:t>
      </w:r>
      <w:r w:rsidR="000F48E7">
        <w:t xml:space="preserve">further </w:t>
      </w:r>
      <w:r w:rsidR="005B6BC4">
        <w:t>26.1 per cent of the reduction in employment between 2007 and 200</w:t>
      </w:r>
      <w:r w:rsidR="00B553AC">
        <w:t>9</w:t>
      </w:r>
      <w:r w:rsidR="001E3AEF">
        <w:t xml:space="preserve"> (DKM Economic Consultants, various years)</w:t>
      </w:r>
      <w:r w:rsidR="005B6BC4">
        <w:t>.</w:t>
      </w:r>
      <w:proofErr w:type="gramEnd"/>
      <w:r w:rsidR="005B6BC4">
        <w:t xml:space="preserve">  </w:t>
      </w:r>
      <w:r w:rsidR="00810F32">
        <w:t>Th</w:t>
      </w:r>
      <w:r w:rsidR="00FB482C">
        <w:t xml:space="preserve">is contraction in </w:t>
      </w:r>
      <w:r w:rsidR="000F48E7">
        <w:t xml:space="preserve">employment </w:t>
      </w:r>
      <w:r w:rsidR="00FB482C">
        <w:t xml:space="preserve">obviously </w:t>
      </w:r>
      <w:r w:rsidR="000F48E7">
        <w:t xml:space="preserve">also </w:t>
      </w:r>
      <w:r w:rsidR="00FB482C">
        <w:t>contributed</w:t>
      </w:r>
      <w:r w:rsidR="000F48E7">
        <w:t xml:space="preserve"> to the 26.9 per cent fall in income tax revenue between 2007 and 2009.</w:t>
      </w:r>
    </w:p>
    <w:p w:rsidR="00E76FE1" w:rsidRDefault="00E76FE1" w:rsidP="009038F0">
      <w:pPr>
        <w:spacing w:line="480" w:lineRule="auto"/>
        <w:jc w:val="both"/>
      </w:pPr>
    </w:p>
    <w:p w:rsidR="00D06137" w:rsidRPr="00B76149" w:rsidRDefault="00000114" w:rsidP="009038F0">
      <w:pPr>
        <w:spacing w:line="480" w:lineRule="auto"/>
        <w:jc w:val="both"/>
      </w:pPr>
      <w:r>
        <w:t xml:space="preserve">The Irish government was one of the first in the EU to initiate an austerity programme in response to the fiscal crisis.  </w:t>
      </w:r>
      <w:r w:rsidR="00134024">
        <w:t>Two emergency budgets in 2008 introduced income tax increases and public spending cuts</w:t>
      </w:r>
      <w:r w:rsidR="0038615F">
        <w:t xml:space="preserve">, which were </w:t>
      </w:r>
      <w:r w:rsidR="001E3AEF">
        <w:t>followed</w:t>
      </w:r>
      <w:r w:rsidR="0038615F">
        <w:t xml:space="preserve"> by similar measures in </w:t>
      </w:r>
      <w:r w:rsidR="00134024">
        <w:t>2009</w:t>
      </w:r>
      <w:r w:rsidR="00EF03AD">
        <w:t xml:space="preserve"> and </w:t>
      </w:r>
      <w:r w:rsidR="005A7FDD">
        <w:t>as a result, total government expenditure contracted by 9.0 per cent between 2009 and 2010 (Central Statistics Office, various years)</w:t>
      </w:r>
      <w:r w:rsidR="00134024">
        <w:t xml:space="preserve">.  Unsurprisingly, these measures reinforced the radical drop </w:t>
      </w:r>
      <w:r w:rsidR="00061BEE">
        <w:t xml:space="preserve">in </w:t>
      </w:r>
      <w:r w:rsidR="005A7FDD">
        <w:t xml:space="preserve">GNP and </w:t>
      </w:r>
      <w:r w:rsidR="00061BEE">
        <w:t>consumer demand caused by the economic crisis</w:t>
      </w:r>
      <w:r w:rsidR="000E1049">
        <w:t>, but th</w:t>
      </w:r>
      <w:r w:rsidR="00061BEE">
        <w:t xml:space="preserve">ey proved </w:t>
      </w:r>
      <w:r w:rsidR="00B36820">
        <w:t>insufficient</w:t>
      </w:r>
      <w:r w:rsidR="00061BEE">
        <w:t xml:space="preserve"> to arrest the </w:t>
      </w:r>
      <w:r w:rsidR="00B36820">
        <w:t>stratospheric growth in Ireland’</w:t>
      </w:r>
      <w:r w:rsidR="005A7FDD">
        <w:t xml:space="preserve">s government debt </w:t>
      </w:r>
      <w:r w:rsidR="00A45B10">
        <w:t>due to the fiscal crisis and the government recapitalization of the bank</w:t>
      </w:r>
      <w:r w:rsidR="00D930DE">
        <w:t>ing sector, described below</w:t>
      </w:r>
      <w:r w:rsidR="005A7FDD">
        <w:t xml:space="preserve">.  </w:t>
      </w:r>
      <w:r w:rsidR="00D930DE">
        <w:t>Ireland’s general government debt grew from 24.8 to 65.6 per cent of GDP between 200</w:t>
      </w:r>
      <w:r w:rsidR="00FB482C">
        <w:t>7</w:t>
      </w:r>
      <w:r w:rsidR="00D930DE">
        <w:t xml:space="preserve"> and 2009 and by </w:t>
      </w:r>
      <w:r w:rsidR="000E1049">
        <w:t xml:space="preserve">late </w:t>
      </w:r>
      <w:r w:rsidR="00D930DE">
        <w:t xml:space="preserve">2010 interest rates on Irish government bonds rose to a level which forced the Irish government to </w:t>
      </w:r>
      <w:r w:rsidR="00F74390">
        <w:t xml:space="preserve">apply for </w:t>
      </w:r>
      <w:r w:rsidR="00D930DE">
        <w:t xml:space="preserve">emergency </w:t>
      </w:r>
      <w:r w:rsidR="00E01CC1">
        <w:t>loan</w:t>
      </w:r>
      <w:r w:rsidR="00D930DE">
        <w:t xml:space="preserve"> from the EU and IMF.</w:t>
      </w:r>
      <w:r w:rsidR="00E01CC1">
        <w:t xml:space="preserve">  A bailout package of €85 billion</w:t>
      </w:r>
      <w:r w:rsidR="008833A7">
        <w:t xml:space="preserve"> has been negotiated</w:t>
      </w:r>
      <w:r w:rsidR="00BF0E8E">
        <w:t xml:space="preserve">, </w:t>
      </w:r>
      <w:r w:rsidR="008833A7">
        <w:t xml:space="preserve">including a </w:t>
      </w:r>
      <w:r w:rsidR="00BF0E8E">
        <w:t xml:space="preserve">€17.5 billion </w:t>
      </w:r>
      <w:r w:rsidR="008833A7">
        <w:t xml:space="preserve">contribution </w:t>
      </w:r>
      <w:r w:rsidR="00F74390">
        <w:t>from the Irish State’s own sovereign wealth fund</w:t>
      </w:r>
      <w:r w:rsidR="003036D6">
        <w:t xml:space="preserve">.  </w:t>
      </w:r>
      <w:r w:rsidR="003C2C66">
        <w:t xml:space="preserve">58.8 per cent of this </w:t>
      </w:r>
      <w:r w:rsidR="000E1049">
        <w:t xml:space="preserve">package will finance </w:t>
      </w:r>
      <w:r w:rsidR="00BF0E8E">
        <w:t xml:space="preserve">public spending and its availability is dependent on the implementation of a four year programme of </w:t>
      </w:r>
      <w:r w:rsidR="000E1049">
        <w:t xml:space="preserve">further </w:t>
      </w:r>
      <w:r w:rsidR="00BF0E8E">
        <w:t>tax increases and public spending cuts</w:t>
      </w:r>
      <w:r w:rsidR="000E1049">
        <w:t xml:space="preserve"> (Government of Ireland, 2010).</w:t>
      </w:r>
    </w:p>
    <w:p w:rsidR="002236F0" w:rsidRDefault="002236F0" w:rsidP="009038F0">
      <w:pPr>
        <w:spacing w:line="480" w:lineRule="auto"/>
        <w:jc w:val="both"/>
      </w:pPr>
    </w:p>
    <w:p w:rsidR="001F4AF4" w:rsidRPr="007C74C8" w:rsidRDefault="00615B21" w:rsidP="009038F0">
      <w:pPr>
        <w:spacing w:line="480" w:lineRule="auto"/>
        <w:jc w:val="both"/>
        <w:rPr>
          <w:i/>
        </w:rPr>
      </w:pPr>
      <w:r w:rsidRPr="007C74C8">
        <w:rPr>
          <w:i/>
        </w:rPr>
        <w:t>3.2</w:t>
      </w:r>
      <w:r w:rsidRPr="007C74C8">
        <w:rPr>
          <w:i/>
        </w:rPr>
        <w:tab/>
      </w:r>
      <w:r w:rsidR="001654B5" w:rsidRPr="007C74C8">
        <w:rPr>
          <w:i/>
        </w:rPr>
        <w:t>Mortgage Lenders</w:t>
      </w:r>
    </w:p>
    <w:p w:rsidR="0052299B" w:rsidRDefault="00504461" w:rsidP="009038F0">
      <w:pPr>
        <w:spacing w:line="480" w:lineRule="auto"/>
        <w:jc w:val="both"/>
      </w:pPr>
      <w:r>
        <w:t>As the Irish housing market began to decline from 2007, the projected loan losses of Irish</w:t>
      </w:r>
      <w:r w:rsidR="001654B5">
        <w:t xml:space="preserve"> mortgage lenders</w:t>
      </w:r>
      <w:r>
        <w:t xml:space="preserve"> also grew and their capital was eroded as provisions exceeded operating incomes </w:t>
      </w:r>
      <w:r w:rsidR="001B0BB5">
        <w:t>and all except one reported large operating losses in 200</w:t>
      </w:r>
      <w:r w:rsidR="00D930DE">
        <w:t>8</w:t>
      </w:r>
      <w:r w:rsidR="001B0BB5">
        <w:t>/09</w:t>
      </w:r>
      <w:r>
        <w:t xml:space="preserve">.  Thus, </w:t>
      </w:r>
      <w:r w:rsidR="000E1049">
        <w:t xml:space="preserve">as </w:t>
      </w:r>
      <w:r>
        <w:t>concerns about their over-exposure to property loans increased</w:t>
      </w:r>
      <w:r w:rsidR="00BF0E8E">
        <w:t>,</w:t>
      </w:r>
      <w:r>
        <w:t xml:space="preserve"> </w:t>
      </w:r>
      <w:r w:rsidR="008E3AB3">
        <w:t xml:space="preserve">they experienced a flight of customer deposits and </w:t>
      </w:r>
      <w:r>
        <w:t xml:space="preserve">following the international </w:t>
      </w:r>
      <w:r w:rsidR="00D930DE">
        <w:t xml:space="preserve">credit crunch which emerged </w:t>
      </w:r>
      <w:r w:rsidR="00382F80">
        <w:lastRenderedPageBreak/>
        <w:t>first in 2007 but accelerated following</w:t>
      </w:r>
      <w:r w:rsidR="00D930DE">
        <w:t xml:space="preserve"> the collapse of </w:t>
      </w:r>
      <w:r>
        <w:t>Le</w:t>
      </w:r>
      <w:r w:rsidR="003D439E">
        <w:t>h</w:t>
      </w:r>
      <w:r>
        <w:t>man Brothers</w:t>
      </w:r>
      <w:r w:rsidR="00D930DE">
        <w:t xml:space="preserve"> in 2008,</w:t>
      </w:r>
      <w:r>
        <w:t xml:space="preserve"> Irish </w:t>
      </w:r>
      <w:r w:rsidR="001654B5">
        <w:t>mortgage lenders</w:t>
      </w:r>
      <w:r>
        <w:t xml:space="preserve"> </w:t>
      </w:r>
      <w:r w:rsidR="0052299B">
        <w:t xml:space="preserve">experienced significant difficulty in accessing </w:t>
      </w:r>
      <w:r w:rsidR="00D457E6">
        <w:t xml:space="preserve">the </w:t>
      </w:r>
      <w:r w:rsidR="0052299B">
        <w:t>wholesale money markets</w:t>
      </w:r>
      <w:r w:rsidR="00D457E6">
        <w:t xml:space="preserve"> (International Monetary Fund, 2010)</w:t>
      </w:r>
      <w:r w:rsidR="00721579">
        <w:t xml:space="preserve">.  </w:t>
      </w:r>
    </w:p>
    <w:p w:rsidR="0052299B" w:rsidRDefault="0052299B" w:rsidP="009038F0">
      <w:pPr>
        <w:spacing w:line="480" w:lineRule="auto"/>
        <w:jc w:val="both"/>
      </w:pPr>
    </w:p>
    <w:p w:rsidR="002236F0" w:rsidRDefault="00721579" w:rsidP="009038F0">
      <w:pPr>
        <w:spacing w:line="480" w:lineRule="auto"/>
        <w:jc w:val="both"/>
      </w:pPr>
      <w:r>
        <w:t>In response</w:t>
      </w:r>
      <w:r w:rsidR="00D457E6">
        <w:t>,</w:t>
      </w:r>
      <w:r>
        <w:t xml:space="preserve"> the Irish government introduced a </w:t>
      </w:r>
      <w:r w:rsidR="001B0BB5">
        <w:t>series</w:t>
      </w:r>
      <w:r>
        <w:t xml:space="preserve"> of </w:t>
      </w:r>
      <w:r w:rsidR="0052299B">
        <w:t xml:space="preserve">radical </w:t>
      </w:r>
      <w:r>
        <w:t>measures to</w:t>
      </w:r>
      <w:r w:rsidRPr="003A669E">
        <w:t xml:space="preserve"> stabilise</w:t>
      </w:r>
      <w:r>
        <w:t xml:space="preserve"> the banking sector.  These commenced </w:t>
      </w:r>
      <w:r w:rsidR="0052299B">
        <w:t>in</w:t>
      </w:r>
      <w:r>
        <w:t xml:space="preserve"> September</w:t>
      </w:r>
      <w:r w:rsidR="007D79EF">
        <w:t xml:space="preserve"> 2008</w:t>
      </w:r>
      <w:r>
        <w:t xml:space="preserve">, </w:t>
      </w:r>
      <w:r w:rsidR="00D457E6">
        <w:t xml:space="preserve">when it </w:t>
      </w:r>
      <w:r w:rsidR="008833A7">
        <w:t>g</w:t>
      </w:r>
      <w:r>
        <w:t>uarantee</w:t>
      </w:r>
      <w:r w:rsidR="008833A7">
        <w:t>d</w:t>
      </w:r>
      <w:r>
        <w:t xml:space="preserve"> the full value of all </w:t>
      </w:r>
      <w:r w:rsidRPr="009715DF">
        <w:t>deposits</w:t>
      </w:r>
      <w:r>
        <w:t xml:space="preserve">, </w:t>
      </w:r>
      <w:r w:rsidRPr="009715DF">
        <w:t>covered bonds</w:t>
      </w:r>
      <w:r>
        <w:t xml:space="preserve"> and</w:t>
      </w:r>
      <w:r w:rsidRPr="009715DF">
        <w:t xml:space="preserve"> senior debt and </w:t>
      </w:r>
      <w:r>
        <w:t xml:space="preserve">some categories of </w:t>
      </w:r>
      <w:r w:rsidRPr="009715DF">
        <w:t>su</w:t>
      </w:r>
      <w:r>
        <w:t>bordinated debt in all Irish</w:t>
      </w:r>
      <w:r w:rsidR="00F74390">
        <w:t>-</w:t>
      </w:r>
      <w:r>
        <w:t xml:space="preserve">headquartered </w:t>
      </w:r>
      <w:r w:rsidR="001654B5">
        <w:t>mortgage lenders</w:t>
      </w:r>
      <w:r>
        <w:t xml:space="preserve"> and their subsidiaries.  </w:t>
      </w:r>
      <w:r w:rsidR="00CE6A33">
        <w:t xml:space="preserve">Ireland was the first EU member to introduce a guarantee of this type and </w:t>
      </w:r>
      <w:r w:rsidR="001B0BB5">
        <w:t>its</w:t>
      </w:r>
      <w:r>
        <w:t xml:space="preserve"> </w:t>
      </w:r>
      <w:r w:rsidR="001B0BB5">
        <w:t xml:space="preserve">duration and scope were subsequently </w:t>
      </w:r>
      <w:r>
        <w:t xml:space="preserve">extended </w:t>
      </w:r>
      <w:r w:rsidR="001B0BB5">
        <w:t xml:space="preserve">on </w:t>
      </w:r>
      <w:r w:rsidR="006B0702">
        <w:t>several</w:t>
      </w:r>
      <w:r w:rsidR="001B0BB5">
        <w:t xml:space="preserve"> occasions </w:t>
      </w:r>
      <w:r>
        <w:t xml:space="preserve">(Department of Finance, 2008).  </w:t>
      </w:r>
      <w:r w:rsidR="001B0BB5">
        <w:t xml:space="preserve">In </w:t>
      </w:r>
      <w:r>
        <w:t xml:space="preserve">December 2008, the government </w:t>
      </w:r>
      <w:r w:rsidR="000E1049">
        <w:t>commenced</w:t>
      </w:r>
      <w:r>
        <w:t xml:space="preserve"> a recapitalization programme for all </w:t>
      </w:r>
      <w:r w:rsidR="00221C87">
        <w:t xml:space="preserve">except one of the six </w:t>
      </w:r>
      <w:r>
        <w:t>Irish</w:t>
      </w:r>
      <w:r w:rsidR="00F74390">
        <w:t>-</w:t>
      </w:r>
      <w:r>
        <w:t xml:space="preserve">headquartered </w:t>
      </w:r>
      <w:r w:rsidR="007C74C8">
        <w:t>banks</w:t>
      </w:r>
      <w:r w:rsidR="001654B5">
        <w:t xml:space="preserve"> </w:t>
      </w:r>
      <w:r>
        <w:t xml:space="preserve">which </w:t>
      </w:r>
      <w:r w:rsidR="000E1049">
        <w:t>was</w:t>
      </w:r>
      <w:r>
        <w:t xml:space="preserve"> implemented via the purchase of shares.  </w:t>
      </w:r>
      <w:r w:rsidR="00D930DE">
        <w:t xml:space="preserve">This was expanded </w:t>
      </w:r>
      <w:r w:rsidR="00BF0E8E">
        <w:t>incrementally</w:t>
      </w:r>
      <w:r w:rsidR="008E3AB3">
        <w:t xml:space="preserve"> </w:t>
      </w:r>
      <w:r w:rsidR="00D930DE">
        <w:t xml:space="preserve">over the following year </w:t>
      </w:r>
      <w:r w:rsidR="008E3AB3">
        <w:t xml:space="preserve">with the result that twos </w:t>
      </w:r>
      <w:r w:rsidR="001654B5">
        <w:t>mortgage lenders</w:t>
      </w:r>
      <w:r w:rsidR="008E3AB3">
        <w:t xml:space="preserve"> were fully nationalized and the </w:t>
      </w:r>
      <w:r w:rsidR="00BF0E8E">
        <w:t>S</w:t>
      </w:r>
      <w:r w:rsidR="008E3AB3">
        <w:t xml:space="preserve">tate </w:t>
      </w:r>
      <w:r w:rsidR="00BF0E8E">
        <w:t>took on</w:t>
      </w:r>
      <w:r w:rsidR="008E3AB3">
        <w:t xml:space="preserve"> </w:t>
      </w:r>
      <w:r w:rsidR="00BF0E8E">
        <w:t>substantial</w:t>
      </w:r>
      <w:r w:rsidR="008E3AB3">
        <w:t xml:space="preserve"> </w:t>
      </w:r>
      <w:r w:rsidR="00AE59D3">
        <w:t xml:space="preserve">majority </w:t>
      </w:r>
      <w:r w:rsidR="008E3AB3">
        <w:t>shareholdings in three</w:t>
      </w:r>
      <w:r>
        <w:t xml:space="preserve"> </w:t>
      </w:r>
      <w:r w:rsidR="00F74390">
        <w:t xml:space="preserve">others </w:t>
      </w:r>
      <w:r>
        <w:t xml:space="preserve">(National </w:t>
      </w:r>
      <w:r w:rsidR="00F74390">
        <w:t>Asset</w:t>
      </w:r>
      <w:r>
        <w:t xml:space="preserve"> Management Agency, 2009).  Als</w:t>
      </w:r>
      <w:r w:rsidR="001B0BB5">
        <w:t>o in 2009 the government</w:t>
      </w:r>
      <w:r>
        <w:t xml:space="preserve"> establish</w:t>
      </w:r>
      <w:r w:rsidR="001B0BB5">
        <w:t>ed</w:t>
      </w:r>
      <w:r>
        <w:t xml:space="preserve"> the National Treasur</w:t>
      </w:r>
      <w:r w:rsidR="00CE6A33">
        <w:t>y</w:t>
      </w:r>
      <w:r>
        <w:t xml:space="preserve"> Management Agency – a </w:t>
      </w:r>
      <w:r w:rsidR="001B0BB5">
        <w:t>‘bad bank’</w:t>
      </w:r>
      <w:r>
        <w:t xml:space="preserve"> tasked with acquiring</w:t>
      </w:r>
      <w:r w:rsidRPr="00D8011E">
        <w:t xml:space="preserve"> </w:t>
      </w:r>
      <w:r w:rsidR="002F727D">
        <w:t xml:space="preserve">most of </w:t>
      </w:r>
      <w:r>
        <w:t>the property</w:t>
      </w:r>
      <w:r w:rsidR="00F74390">
        <w:t>-</w:t>
      </w:r>
      <w:r>
        <w:t>development related loan books (including all loans of €5m</w:t>
      </w:r>
      <w:r w:rsidR="00F74390">
        <w:t>+</w:t>
      </w:r>
      <w:r>
        <w:t xml:space="preserve">, which collectively total </w:t>
      </w:r>
      <w:r w:rsidRPr="00D8011E">
        <w:t>€81 billion</w:t>
      </w:r>
      <w:r>
        <w:t>)</w:t>
      </w:r>
      <w:r w:rsidR="001B0BB5">
        <w:t xml:space="preserve"> of</w:t>
      </w:r>
      <w:r w:rsidRPr="00D8011E">
        <w:t xml:space="preserve"> </w:t>
      </w:r>
      <w:r w:rsidR="002F727D">
        <w:t xml:space="preserve">the </w:t>
      </w:r>
      <w:r w:rsidRPr="00D8011E">
        <w:t>five</w:t>
      </w:r>
      <w:r>
        <w:t xml:space="preserve"> banks </w:t>
      </w:r>
      <w:r w:rsidR="000E1049">
        <w:t xml:space="preserve">and building societies </w:t>
      </w:r>
      <w:r w:rsidR="00221C87">
        <w:t xml:space="preserve">which required recapitalization </w:t>
      </w:r>
      <w:r>
        <w:t>(Daly, 2010).  These were acquired at a discount</w:t>
      </w:r>
      <w:r w:rsidR="000E1049">
        <w:t xml:space="preserve"> (</w:t>
      </w:r>
      <w:r>
        <w:t>calculated on the current market value of the underlying loans</w:t>
      </w:r>
      <w:r w:rsidR="000E1049">
        <w:t>)</w:t>
      </w:r>
      <w:r>
        <w:t xml:space="preserve"> and in return </w:t>
      </w:r>
      <w:r w:rsidR="00BF0E8E">
        <w:t xml:space="preserve">the </w:t>
      </w:r>
      <w:r w:rsidR="001654B5">
        <w:t>mortgage lenders</w:t>
      </w:r>
      <w:r>
        <w:t xml:space="preserve"> were issued with government bonds </w:t>
      </w:r>
      <w:r w:rsidR="001B0BB5">
        <w:t>which could be used</w:t>
      </w:r>
      <w:r>
        <w:t xml:space="preserve"> as security to enable the</w:t>
      </w:r>
      <w:r w:rsidR="00BF0E8E">
        <w:t>m borrow f</w:t>
      </w:r>
      <w:r>
        <w:t xml:space="preserve">rom the ECB and the </w:t>
      </w:r>
      <w:r w:rsidR="001B0BB5">
        <w:t xml:space="preserve">wholesale money </w:t>
      </w:r>
      <w:r>
        <w:t>market</w:t>
      </w:r>
      <w:r w:rsidR="001B0BB5">
        <w:t>s</w:t>
      </w:r>
      <w:r w:rsidRPr="00567C4C">
        <w:t xml:space="preserve">. </w:t>
      </w:r>
      <w:r w:rsidR="00567C4C">
        <w:t xml:space="preserve"> </w:t>
      </w:r>
      <w:r w:rsidR="00666F9F">
        <w:t>However, despite these</w:t>
      </w:r>
      <w:r w:rsidR="007D0223">
        <w:t xml:space="preserve"> and several other</w:t>
      </w:r>
      <w:r w:rsidR="00666F9F">
        <w:t xml:space="preserve"> </w:t>
      </w:r>
      <w:r w:rsidR="007D0223">
        <w:t xml:space="preserve">support </w:t>
      </w:r>
      <w:r w:rsidR="00666F9F">
        <w:t xml:space="preserve">measures </w:t>
      </w:r>
      <w:r w:rsidR="002F345F">
        <w:t xml:space="preserve">Irish </w:t>
      </w:r>
      <w:r w:rsidR="001654B5">
        <w:t>mortgage lender</w:t>
      </w:r>
      <w:r w:rsidR="002F345F">
        <w:t xml:space="preserve">s </w:t>
      </w:r>
      <w:r w:rsidR="007C74C8">
        <w:t>remained</w:t>
      </w:r>
      <w:r w:rsidR="002236F0">
        <w:t xml:space="preserve"> effectively locked out of </w:t>
      </w:r>
      <w:r w:rsidR="002F345F">
        <w:t>wholesale money markets in 2009</w:t>
      </w:r>
      <w:r w:rsidR="00AE59D3">
        <w:t xml:space="preserve"> (International Monetary Fund, 2010)</w:t>
      </w:r>
      <w:r w:rsidR="002F345F">
        <w:t xml:space="preserve">.  </w:t>
      </w:r>
    </w:p>
    <w:p w:rsidR="002236F0" w:rsidRDefault="002236F0" w:rsidP="009038F0">
      <w:pPr>
        <w:spacing w:line="480" w:lineRule="auto"/>
        <w:jc w:val="both"/>
      </w:pPr>
    </w:p>
    <w:p w:rsidR="002F345F" w:rsidRDefault="002236F0" w:rsidP="009038F0">
      <w:pPr>
        <w:spacing w:line="480" w:lineRule="auto"/>
        <w:jc w:val="both"/>
        <w:rPr>
          <w:color w:val="000000"/>
        </w:rPr>
      </w:pPr>
      <w:r>
        <w:t xml:space="preserve">The failure to resolve the banking crisis, coupled with the high </w:t>
      </w:r>
      <w:r w:rsidR="000E1049">
        <w:t xml:space="preserve">exchequer </w:t>
      </w:r>
      <w:r>
        <w:t xml:space="preserve">costs of the recapitalization programme and the interlinking of sovereign and banking sector creditworthiness </w:t>
      </w:r>
      <w:r w:rsidR="00471EA2">
        <w:t xml:space="preserve">by </w:t>
      </w:r>
      <w:r>
        <w:t xml:space="preserve">the bank guarantee </w:t>
      </w:r>
      <w:r w:rsidR="00BF0E8E">
        <w:t>played a key role in undermining Ireland’s sovereign creditworthiness</w:t>
      </w:r>
      <w:r>
        <w:t>.  The</w:t>
      </w:r>
      <w:r w:rsidR="002F345F">
        <w:t xml:space="preserve"> Irish Government’s letter of request for </w:t>
      </w:r>
      <w:r w:rsidR="00BF0E8E">
        <w:t>emergency IMF/EU loan</w:t>
      </w:r>
      <w:r w:rsidR="00B624C6">
        <w:t xml:space="preserve"> explained ‘</w:t>
      </w:r>
      <w:r w:rsidR="002F345F">
        <w:t>At the root of the problem is the domestic banking system… The fragility of</w:t>
      </w:r>
      <w:r w:rsidR="00B624C6">
        <w:t>… [which]</w:t>
      </w:r>
      <w:r w:rsidR="002F345F">
        <w:t xml:space="preserve"> is undermining Ireland’s hard won economic credibility and adding a severe </w:t>
      </w:r>
      <w:r w:rsidR="002F345F">
        <w:lastRenderedPageBreak/>
        <w:t>burden to acute public finance challenges</w:t>
      </w:r>
      <w:r w:rsidR="00B624C6">
        <w:t xml:space="preserve">’ </w:t>
      </w:r>
      <w:r w:rsidR="008E3AB3">
        <w:t>(Government of Ireland, 2010</w:t>
      </w:r>
      <w:r w:rsidR="002A326D">
        <w:t>:</w:t>
      </w:r>
      <w:r w:rsidR="008E3AB3">
        <w:t xml:space="preserve"> 1). </w:t>
      </w:r>
      <w:r w:rsidR="00DC4338">
        <w:t>41</w:t>
      </w:r>
      <w:r w:rsidR="00BF0E8E">
        <w:t>.2</w:t>
      </w:r>
      <w:r w:rsidR="00DC4338">
        <w:t xml:space="preserve"> per cent of the </w:t>
      </w:r>
      <w:r w:rsidR="007C74C8">
        <w:t>‘</w:t>
      </w:r>
      <w:r w:rsidR="008E3AB3">
        <w:t>bailout</w:t>
      </w:r>
      <w:r w:rsidR="007C74C8">
        <w:t>’</w:t>
      </w:r>
      <w:r w:rsidR="008E3AB3">
        <w:t xml:space="preserve"> </w:t>
      </w:r>
      <w:r w:rsidR="00BF0E8E">
        <w:t>fund</w:t>
      </w:r>
      <w:r w:rsidR="008E3AB3">
        <w:t xml:space="preserve"> </w:t>
      </w:r>
      <w:r w:rsidR="006B0702">
        <w:t xml:space="preserve">mentioned above </w:t>
      </w:r>
      <w:r w:rsidR="007D0223">
        <w:t xml:space="preserve">has been earmarked for </w:t>
      </w:r>
      <w:r w:rsidR="00F94615">
        <w:t xml:space="preserve">banking sector </w:t>
      </w:r>
      <w:r w:rsidR="007D0223">
        <w:t>recapitalization</w:t>
      </w:r>
      <w:r w:rsidR="008E3AB3">
        <w:t>.</w:t>
      </w:r>
    </w:p>
    <w:p w:rsidR="00567C4C" w:rsidRDefault="00567C4C" w:rsidP="009038F0">
      <w:pPr>
        <w:spacing w:line="480" w:lineRule="auto"/>
        <w:jc w:val="both"/>
      </w:pPr>
    </w:p>
    <w:p w:rsidR="00082B82" w:rsidRDefault="00AA54BD" w:rsidP="009038F0">
      <w:pPr>
        <w:spacing w:line="480" w:lineRule="auto"/>
        <w:jc w:val="both"/>
      </w:pPr>
      <w:r>
        <w:t xml:space="preserve">The banking crisis also contributed to a dramatic fall in mortgage lending which further reinforced deflationary trends in the housing market.  </w:t>
      </w:r>
      <w:r w:rsidR="006B0702">
        <w:t>T</w:t>
      </w:r>
      <w:r w:rsidR="00231551">
        <w:t>he number of new mortgages granted fell from 111,300 in 2006 to 53,600 in 2008 and real</w:t>
      </w:r>
      <w:r w:rsidR="00F74390">
        <w:t>-</w:t>
      </w:r>
      <w:r w:rsidR="00231551">
        <w:t>estate related lending fell from 72.0 to 58.0 per cent of total lending concurrently</w:t>
      </w:r>
      <w:r w:rsidR="006B0702">
        <w:t xml:space="preserve"> (see Table 2)</w:t>
      </w:r>
      <w:r w:rsidR="00231551">
        <w:t xml:space="preserve">.  </w:t>
      </w:r>
      <w:r w:rsidR="00C45DDE">
        <w:t xml:space="preserve">This development was </w:t>
      </w:r>
      <w:r w:rsidR="00AE59D3">
        <w:t>related to</w:t>
      </w:r>
      <w:r w:rsidR="00C45DDE">
        <w:t xml:space="preserve"> the withdrawal of one </w:t>
      </w:r>
      <w:r w:rsidR="00AE59D3">
        <w:t>Irish</w:t>
      </w:r>
      <w:r w:rsidR="00382F80">
        <w:t xml:space="preserve"> </w:t>
      </w:r>
      <w:r w:rsidR="006E24D9">
        <w:t xml:space="preserve">and </w:t>
      </w:r>
      <w:r w:rsidR="00382F80">
        <w:t xml:space="preserve">several </w:t>
      </w:r>
      <w:r w:rsidR="006E24D9">
        <w:t xml:space="preserve">foreign headquartered </w:t>
      </w:r>
      <w:r w:rsidR="004541D8">
        <w:t>mortgage lender</w:t>
      </w:r>
      <w:r w:rsidR="006E24D9">
        <w:t>s from the Irish mortgage market</w:t>
      </w:r>
      <w:r w:rsidR="006B0702">
        <w:t xml:space="preserve"> (</w:t>
      </w:r>
      <w:r w:rsidR="000073FB">
        <w:t>Doyle</w:t>
      </w:r>
      <w:r w:rsidR="006B0702">
        <w:t>,</w:t>
      </w:r>
      <w:r w:rsidR="000073FB">
        <w:t xml:space="preserve"> 2009</w:t>
      </w:r>
      <w:r w:rsidR="006B0702">
        <w:t>)</w:t>
      </w:r>
      <w:r w:rsidR="00082B82">
        <w:t>.</w:t>
      </w:r>
      <w:r w:rsidR="006B0702">
        <w:t xml:space="preserve">  </w:t>
      </w:r>
      <w:r w:rsidR="00E968F6">
        <w:t xml:space="preserve">Notably, in a reversal of trends during the first half of the decade, since 2007 Irish </w:t>
      </w:r>
      <w:r w:rsidR="004541D8">
        <w:t>mortgage lender</w:t>
      </w:r>
      <w:r w:rsidR="00E968F6">
        <w:t xml:space="preserve">s have begun to increase the interest rates charged on existing and new variable rate mortgages in an effort to </w:t>
      </w:r>
      <w:r w:rsidR="00F94615">
        <w:t>improve t</w:t>
      </w:r>
      <w:r w:rsidR="00E968F6">
        <w:t>heir margins and rebuil</w:t>
      </w:r>
      <w:r w:rsidR="00F434AB">
        <w:t>d</w:t>
      </w:r>
      <w:r w:rsidR="00E968F6">
        <w:t xml:space="preserve"> their balance sheets.  It is this development, rather than an increase in ECB base rate</w:t>
      </w:r>
      <w:r w:rsidR="00471EA2">
        <w:t>,</w:t>
      </w:r>
      <w:r w:rsidR="00E968F6">
        <w:t xml:space="preserve"> which drove the increase in average interest rates on new mortgages between 2006 and 2008 </w:t>
      </w:r>
      <w:r w:rsidR="00AE59D3">
        <w:t xml:space="preserve">highlighted in </w:t>
      </w:r>
      <w:r w:rsidR="00E968F6">
        <w:t xml:space="preserve">Table </w:t>
      </w:r>
      <w:r w:rsidR="006B0702">
        <w:t>2</w:t>
      </w:r>
      <w:r w:rsidR="00AE59D3">
        <w:t>.</w:t>
      </w:r>
    </w:p>
    <w:p w:rsidR="000073FB" w:rsidRDefault="000073FB" w:rsidP="009038F0">
      <w:pPr>
        <w:spacing w:line="480" w:lineRule="auto"/>
        <w:jc w:val="both"/>
      </w:pPr>
    </w:p>
    <w:p w:rsidR="001F4AF4" w:rsidRPr="007C74C8" w:rsidRDefault="00AE59D3" w:rsidP="009038F0">
      <w:pPr>
        <w:spacing w:line="480" w:lineRule="auto"/>
        <w:jc w:val="both"/>
        <w:rPr>
          <w:i/>
        </w:rPr>
      </w:pPr>
      <w:r w:rsidRPr="007C74C8">
        <w:rPr>
          <w:i/>
        </w:rPr>
        <w:t>3.3</w:t>
      </w:r>
      <w:r w:rsidRPr="007C74C8">
        <w:rPr>
          <w:i/>
        </w:rPr>
        <w:tab/>
      </w:r>
      <w:r w:rsidR="001F4AF4" w:rsidRPr="007C74C8">
        <w:rPr>
          <w:i/>
        </w:rPr>
        <w:t>Households</w:t>
      </w:r>
    </w:p>
    <w:p w:rsidR="00AB0A50" w:rsidRDefault="00F94615" w:rsidP="009038F0">
      <w:pPr>
        <w:spacing w:line="480" w:lineRule="auto"/>
        <w:jc w:val="both"/>
      </w:pPr>
      <w:r>
        <w:t>Rapidly rising unemployment coupled with falling incomes among those in work due to tax increases and in many cases cuts in pay and/or working hours</w:t>
      </w:r>
      <w:r w:rsidR="00471EA2">
        <w:t xml:space="preserve">, coupled with interest rate increases </w:t>
      </w:r>
      <w:r>
        <w:t xml:space="preserve">have effected a marked rise in mortgage arrears.  </w:t>
      </w:r>
      <w:r w:rsidR="00FB5034">
        <w:t>3.3 per cent of mortgages were in arrears of over ninety days in September 2009, this increased to 4.1 per cent in March 2010 and to 5.</w:t>
      </w:r>
      <w:r w:rsidR="00AE59D3">
        <w:t>7</w:t>
      </w:r>
      <w:r w:rsidR="00FB5034">
        <w:t xml:space="preserve"> per cent in </w:t>
      </w:r>
      <w:r w:rsidR="00AE59D3">
        <w:t>December</w:t>
      </w:r>
      <w:r w:rsidR="00FB5034">
        <w:t xml:space="preserve"> 201</w:t>
      </w:r>
      <w:r w:rsidR="00582B90">
        <w:t>0</w:t>
      </w:r>
      <w:r w:rsidR="00FB5034">
        <w:t xml:space="preserve"> (Central Bank, 2010).</w:t>
      </w:r>
      <w:r>
        <w:t xml:space="preserve"> </w:t>
      </w:r>
      <w:r w:rsidR="005D32E6">
        <w:t xml:space="preserve"> </w:t>
      </w:r>
    </w:p>
    <w:p w:rsidR="00AB0A50" w:rsidRDefault="00AB0A50" w:rsidP="009038F0">
      <w:pPr>
        <w:spacing w:line="480" w:lineRule="auto"/>
        <w:jc w:val="both"/>
      </w:pPr>
    </w:p>
    <w:p w:rsidR="00373C38" w:rsidRDefault="00AB0A50" w:rsidP="009038F0">
      <w:pPr>
        <w:spacing w:line="480" w:lineRule="auto"/>
        <w:jc w:val="both"/>
      </w:pPr>
      <w:r>
        <w:t>F</w:t>
      </w:r>
      <w:r w:rsidR="005D32E6">
        <w:t xml:space="preserve">alling house prices have </w:t>
      </w:r>
      <w:r>
        <w:t xml:space="preserve">also </w:t>
      </w:r>
      <w:r w:rsidR="005D32E6">
        <w:t>had a very severe impact on household wea</w:t>
      </w:r>
      <w:r w:rsidR="00373C38">
        <w:t>l</w:t>
      </w:r>
      <w:r w:rsidR="005D32E6">
        <w:t xml:space="preserve">th – </w:t>
      </w:r>
      <w:r w:rsidR="00373C38">
        <w:t>the vast majority of which is made up of housing equity</w:t>
      </w:r>
      <w:r w:rsidR="005D32E6">
        <w:t>.</w:t>
      </w:r>
      <w:r w:rsidR="00373C38">
        <w:t xml:space="preserve">  </w:t>
      </w:r>
      <w:proofErr w:type="gramStart"/>
      <w:r w:rsidR="00373C38">
        <w:t xml:space="preserve">Using the house price data set out in </w:t>
      </w:r>
      <w:r w:rsidR="006B0702">
        <w:t>Figure 1</w:t>
      </w:r>
      <w:r w:rsidR="00373C38">
        <w:t xml:space="preserve"> </w:t>
      </w:r>
      <w:r w:rsidR="00373C38" w:rsidRPr="00373C38">
        <w:t xml:space="preserve">Duffy (2009) </w:t>
      </w:r>
      <w:r w:rsidR="00AD4234" w:rsidRPr="00373C38">
        <w:t>estimate</w:t>
      </w:r>
      <w:r w:rsidR="00AD4234">
        <w:t>s</w:t>
      </w:r>
      <w:r w:rsidR="00373C38" w:rsidRPr="00373C38">
        <w:t xml:space="preserve"> that 9 per cent of mortgage holders were in negative equity by end</w:t>
      </w:r>
      <w:r w:rsidR="00582B90">
        <w:t>-</w:t>
      </w:r>
      <w:r w:rsidR="00373C38" w:rsidRPr="00373C38">
        <w:t>2008.</w:t>
      </w:r>
      <w:proofErr w:type="gramEnd"/>
      <w:r w:rsidR="00373C38" w:rsidRPr="00373C38">
        <w:t xml:space="preserve"> This rose to 18 per cent by the end of 2009 and 30 per cent </w:t>
      </w:r>
      <w:r w:rsidR="0098238E">
        <w:t>by</w:t>
      </w:r>
      <w:r>
        <w:t xml:space="preserve"> end-</w:t>
      </w:r>
      <w:r w:rsidR="00373C38" w:rsidRPr="00373C38">
        <w:t xml:space="preserve">2010.  </w:t>
      </w:r>
      <w:r w:rsidR="001A014B">
        <w:t xml:space="preserve">This analysis </w:t>
      </w:r>
      <w:r w:rsidR="00373C38" w:rsidRPr="00373C38">
        <w:t>indicate</w:t>
      </w:r>
      <w:r w:rsidR="001A014B">
        <w:t>s</w:t>
      </w:r>
      <w:r w:rsidR="00373C38" w:rsidRPr="00373C38">
        <w:t xml:space="preserve"> </w:t>
      </w:r>
      <w:r w:rsidR="001A014B">
        <w:t>that levels of ne</w:t>
      </w:r>
      <w:r w:rsidR="00373C38" w:rsidRPr="00373C38">
        <w:t xml:space="preserve">gative equity in Ireland </w:t>
      </w:r>
      <w:r w:rsidR="001A014B">
        <w:t>are</w:t>
      </w:r>
      <w:r w:rsidR="00373C38" w:rsidRPr="00373C38">
        <w:t xml:space="preserve"> </w:t>
      </w:r>
      <w:r w:rsidR="001A014B">
        <w:t>sim</w:t>
      </w:r>
      <w:r w:rsidR="00373C38" w:rsidRPr="00373C38">
        <w:t xml:space="preserve">ilar to those in the US </w:t>
      </w:r>
      <w:r w:rsidR="001A014B">
        <w:t xml:space="preserve">(where </w:t>
      </w:r>
      <w:r w:rsidR="001A014B" w:rsidRPr="00373C38">
        <w:t xml:space="preserve">10 per cent of mortgages in single family dwellings were in negative equity </w:t>
      </w:r>
      <w:r w:rsidR="001A014B">
        <w:t xml:space="preserve">in 2008) </w:t>
      </w:r>
      <w:r w:rsidR="00373C38" w:rsidRPr="00373C38">
        <w:t>and the UK</w:t>
      </w:r>
      <w:r w:rsidR="001A014B">
        <w:t xml:space="preserve"> (</w:t>
      </w:r>
      <w:r w:rsidR="00373C38" w:rsidRPr="00373C38">
        <w:t xml:space="preserve">7 </w:t>
      </w:r>
      <w:r w:rsidR="001A014B">
        <w:t>to</w:t>
      </w:r>
      <w:r w:rsidR="00373C38" w:rsidRPr="00373C38">
        <w:t xml:space="preserve"> 11 per cent of owner occupier mortgage</w:t>
      </w:r>
      <w:r w:rsidR="001A014B">
        <w:t>s in the same year) (</w:t>
      </w:r>
      <w:proofErr w:type="spellStart"/>
      <w:r w:rsidR="001A014B" w:rsidRPr="001A014B">
        <w:t>Hellebrandt</w:t>
      </w:r>
      <w:proofErr w:type="spellEnd"/>
      <w:r w:rsidR="001A014B" w:rsidRPr="001A014B">
        <w:t xml:space="preserve">, </w:t>
      </w:r>
      <w:r w:rsidR="008B2B69">
        <w:rPr>
          <w:i/>
        </w:rPr>
        <w:t>et al</w:t>
      </w:r>
      <w:r w:rsidR="001A014B">
        <w:t>,</w:t>
      </w:r>
      <w:r w:rsidR="001A014B" w:rsidRPr="001A014B">
        <w:t xml:space="preserve"> 2009</w:t>
      </w:r>
      <w:r w:rsidR="001A014B">
        <w:t xml:space="preserve">; </w:t>
      </w:r>
      <w:r w:rsidR="00373C38" w:rsidRPr="00373C38">
        <w:t xml:space="preserve">Ellis, 2008).  </w:t>
      </w:r>
      <w:r>
        <w:t>However, Duffy’s (2009)</w:t>
      </w:r>
      <w:r w:rsidR="00373C38" w:rsidRPr="00373C38">
        <w:t xml:space="preserve"> estimates do not include mortgage top ups or interest only mortgages</w:t>
      </w:r>
      <w:r>
        <w:t xml:space="preserve"> </w:t>
      </w:r>
      <w:r w:rsidR="00B9410B">
        <w:t xml:space="preserve">and </w:t>
      </w:r>
      <w:r w:rsidR="00B9410B">
        <w:lastRenderedPageBreak/>
        <w:t xml:space="preserve">they are based on conservative estimates of scale of house price decline, </w:t>
      </w:r>
      <w:r w:rsidR="00382F80">
        <w:t xml:space="preserve">therefore </w:t>
      </w:r>
      <w:r w:rsidR="00B9410B">
        <w:t xml:space="preserve">negative equity is </w:t>
      </w:r>
      <w:r w:rsidR="00382F80">
        <w:t xml:space="preserve">probably </w:t>
      </w:r>
      <w:r w:rsidR="00B9410B">
        <w:t xml:space="preserve">more widespread than he suggests </w:t>
      </w:r>
      <w:r w:rsidR="00373C38" w:rsidRPr="00373C38">
        <w:t>.</w:t>
      </w:r>
    </w:p>
    <w:p w:rsidR="00373C38" w:rsidRDefault="00373C38" w:rsidP="009038F0">
      <w:pPr>
        <w:spacing w:line="480" w:lineRule="auto"/>
        <w:jc w:val="both"/>
      </w:pPr>
    </w:p>
    <w:p w:rsidR="00C12BB0" w:rsidRDefault="00B9410B" w:rsidP="009038F0">
      <w:pPr>
        <w:spacing w:line="480" w:lineRule="auto"/>
        <w:jc w:val="both"/>
      </w:pPr>
      <w:r>
        <w:t>Despite the high levels of mortgage arrears and negative equity</w:t>
      </w:r>
      <w:r w:rsidR="0098238E">
        <w:t>,</w:t>
      </w:r>
      <w:r>
        <w:t xml:space="preserve"> rates of repossessions of dwellings by lenders have remained low to date.  110 dwellings were repossessed or voluntarily surrendered by borrowers in Q4 2009 compared to 81 dwellings in Q4 2010 (Central Bank, 2010).  This is due principally to government </w:t>
      </w:r>
      <w:r w:rsidR="004410F6">
        <w:t>intervention</w:t>
      </w:r>
      <w:r>
        <w:t xml:space="preserve">.  Take up </w:t>
      </w:r>
      <w:r w:rsidRPr="001F7887">
        <w:t xml:space="preserve">of mortgage interest supplement – </w:t>
      </w:r>
      <w:r w:rsidR="00382F80">
        <w:t>the</w:t>
      </w:r>
      <w:r w:rsidRPr="001F7887">
        <w:t xml:space="preserve"> means</w:t>
      </w:r>
      <w:r w:rsidR="00382F80">
        <w:t>-</w:t>
      </w:r>
      <w:r w:rsidRPr="001F7887">
        <w:t xml:space="preserve">tested government </w:t>
      </w:r>
      <w:r w:rsidR="00174378">
        <w:t xml:space="preserve">housing </w:t>
      </w:r>
      <w:r w:rsidRPr="001F7887">
        <w:t>support for unemployed home owners</w:t>
      </w:r>
      <w:r>
        <w:t xml:space="preserve"> - </w:t>
      </w:r>
      <w:r w:rsidRPr="001F7887">
        <w:t xml:space="preserve">grew from </w:t>
      </w:r>
      <w:r w:rsidR="004410F6">
        <w:t>3,424</w:t>
      </w:r>
      <w:r w:rsidRPr="001F7887">
        <w:t xml:space="preserve"> households in 200</w:t>
      </w:r>
      <w:r w:rsidR="004410F6">
        <w:t>6</w:t>
      </w:r>
      <w:r w:rsidRPr="001F7887">
        <w:t xml:space="preserve"> to </w:t>
      </w:r>
      <w:r w:rsidR="00174378">
        <w:t>17,648</w:t>
      </w:r>
      <w:r w:rsidR="004410F6">
        <w:t xml:space="preserve"> in 20</w:t>
      </w:r>
      <w:r w:rsidR="00174378">
        <w:t>10</w:t>
      </w:r>
      <w:r w:rsidRPr="00B9410B">
        <w:t xml:space="preserve"> </w:t>
      </w:r>
      <w:r w:rsidR="004410F6">
        <w:t xml:space="preserve">(Department of Social Protection, various years).  </w:t>
      </w:r>
      <w:r w:rsidR="0098238E">
        <w:t>Also</w:t>
      </w:r>
      <w:r w:rsidR="004410F6">
        <w:t xml:space="preserve"> as part of the banking sector recapitalization programme in 2008, </w:t>
      </w:r>
      <w:r w:rsidR="00B26010">
        <w:t>mortgage lenders</w:t>
      </w:r>
      <w:r w:rsidR="004410F6">
        <w:t xml:space="preserve"> agreed not to repossess dwellings for twelve months after the first missed mortgage payment.  This repossessions </w:t>
      </w:r>
      <w:r w:rsidR="00816702">
        <w:t xml:space="preserve">moratorium </w:t>
      </w:r>
      <w:r w:rsidR="004410F6">
        <w:t>has recently been extended to five years in the case of home owners who can service at least two thirds of their mortgage interest payments</w:t>
      </w:r>
      <w:r w:rsidRPr="00B9410B">
        <w:t xml:space="preserve"> (</w:t>
      </w:r>
      <w:r w:rsidR="004410F6" w:rsidRPr="004410F6">
        <w:t>Mortgage Arrears and Personal Debt Expert Group</w:t>
      </w:r>
      <w:r w:rsidR="004410F6">
        <w:t>, 2010</w:t>
      </w:r>
      <w:r w:rsidRPr="00B9410B">
        <w:t xml:space="preserve">).  </w:t>
      </w:r>
      <w:r w:rsidR="00174378">
        <w:t xml:space="preserve">There is some disagreement about the likely </w:t>
      </w:r>
      <w:r w:rsidR="00582B90" w:rsidRPr="00E02020">
        <w:t>scale of future repossessions</w:t>
      </w:r>
      <w:r w:rsidR="00174378">
        <w:t xml:space="preserve"> in the absence of a significant economic up-turn</w:t>
      </w:r>
      <w:r w:rsidR="00582B90" w:rsidRPr="00E02020">
        <w:t xml:space="preserve">.  </w:t>
      </w:r>
      <w:r w:rsidR="0056767B" w:rsidRPr="00E02020">
        <w:t>Goldman Sachs Global Economics (2010</w:t>
      </w:r>
      <w:r w:rsidR="00E364B4" w:rsidRPr="00E02020">
        <w:t>: 5</w:t>
      </w:r>
      <w:r w:rsidR="0056767B" w:rsidRPr="00E02020">
        <w:t xml:space="preserve">) has estimated that Irish repossession rates would be four times higher in the absence of the moratorium and </w:t>
      </w:r>
      <w:r w:rsidR="00FD1DAB">
        <w:t xml:space="preserve">that </w:t>
      </w:r>
      <w:r w:rsidR="00E364B4" w:rsidRPr="00E02020">
        <w:t>‘</w:t>
      </w:r>
      <w:r w:rsidR="00FD1DAB">
        <w:t>…</w:t>
      </w:r>
      <w:r w:rsidR="00C12BB0" w:rsidRPr="00C12BB0">
        <w:t xml:space="preserve"> a reasonable</w:t>
      </w:r>
      <w:r w:rsidR="00E364B4">
        <w:t xml:space="preserve"> </w:t>
      </w:r>
      <w:r w:rsidR="00C12BB0" w:rsidRPr="00C12BB0">
        <w:t>(if cautious) cumulative rate of default over a five-year</w:t>
      </w:r>
      <w:r w:rsidR="00E364B4">
        <w:t xml:space="preserve"> </w:t>
      </w:r>
      <w:r w:rsidR="00C12BB0" w:rsidRPr="00C12BB0">
        <w:t>credit cycle might be as high as 3%-4%</w:t>
      </w:r>
      <w:r w:rsidR="00E364B4">
        <w:t xml:space="preserve">’. </w:t>
      </w:r>
      <w:r w:rsidR="00174378">
        <w:t>This default rate would</w:t>
      </w:r>
      <w:r w:rsidR="00E8027C">
        <w:t xml:space="preserve"> be similar to </w:t>
      </w:r>
      <w:r w:rsidR="00174378">
        <w:t>that</w:t>
      </w:r>
      <w:r w:rsidR="00E8027C">
        <w:t xml:space="preserve"> seen during the UK housing market bust in the early 1990s.  However</w:t>
      </w:r>
      <w:r w:rsidR="002A326D">
        <w:t>,</w:t>
      </w:r>
      <w:r w:rsidR="00E8027C">
        <w:t xml:space="preserve"> it is contradicted by Kelly (2009) who argues that the scale of Ireland’s housing market crash is similar to </w:t>
      </w:r>
      <w:r w:rsidR="000A5C26">
        <w:t xml:space="preserve">that currently underway in the United </w:t>
      </w:r>
      <w:proofErr w:type="gramStart"/>
      <w:r w:rsidR="000A5C26">
        <w:t>States,</w:t>
      </w:r>
      <w:proofErr w:type="gramEnd"/>
      <w:r w:rsidR="000A5C26">
        <w:t xml:space="preserve"> therefore US rates of default (8-9 per cent) are likely in Ireland.</w:t>
      </w:r>
      <w:r w:rsidR="00F54A8E">
        <w:t xml:space="preserve">  The veracity of these predictions is likely to be tested in the near future because in 2012 Irish government </w:t>
      </w:r>
      <w:r w:rsidR="007C74C8">
        <w:t xml:space="preserve">enacted </w:t>
      </w:r>
      <w:r w:rsidR="00F54A8E">
        <w:t>legislation which reforms the hitherto harsh personal insolvency regime</w:t>
      </w:r>
      <w:r w:rsidR="00D84C88">
        <w:t xml:space="preserve"> and it is likely that a significant number of distressed borrowers are nearing the end of the moratorium on repossessions period will be forced to avail of these new </w:t>
      </w:r>
      <w:r w:rsidR="00FD1DAB">
        <w:t xml:space="preserve">insolvency </w:t>
      </w:r>
      <w:r w:rsidR="00D84C88">
        <w:t>arrangements.</w:t>
      </w:r>
    </w:p>
    <w:p w:rsidR="00FD1DAB" w:rsidRDefault="00FD1DAB" w:rsidP="009038F0">
      <w:pPr>
        <w:spacing w:line="480" w:lineRule="auto"/>
        <w:jc w:val="both"/>
      </w:pPr>
    </w:p>
    <w:p w:rsidR="00FD1DAB" w:rsidRDefault="00FD1DAB" w:rsidP="009038F0">
      <w:pPr>
        <w:spacing w:line="480" w:lineRule="auto"/>
        <w:jc w:val="both"/>
      </w:pPr>
    </w:p>
    <w:p w:rsidR="009B0363" w:rsidRDefault="009B0363">
      <w:pPr>
        <w:rPr>
          <w:b/>
        </w:rPr>
      </w:pPr>
      <w:r>
        <w:rPr>
          <w:b/>
        </w:rPr>
        <w:br w:type="page"/>
      </w:r>
    </w:p>
    <w:p w:rsidR="005E4732" w:rsidRPr="007C74C8" w:rsidRDefault="00EE3F38" w:rsidP="009038F0">
      <w:pPr>
        <w:spacing w:line="480" w:lineRule="auto"/>
        <w:jc w:val="both"/>
        <w:rPr>
          <w:b/>
        </w:rPr>
      </w:pPr>
      <w:r w:rsidRPr="007C74C8">
        <w:rPr>
          <w:b/>
        </w:rPr>
        <w:lastRenderedPageBreak/>
        <w:t>4.</w:t>
      </w:r>
      <w:r w:rsidRPr="007C74C8">
        <w:rPr>
          <w:b/>
        </w:rPr>
        <w:tab/>
      </w:r>
      <w:r w:rsidR="00502391" w:rsidRPr="007C74C8">
        <w:rPr>
          <w:b/>
        </w:rPr>
        <w:t>Conclusions</w:t>
      </w:r>
    </w:p>
    <w:p w:rsidR="00502391" w:rsidRPr="00502391" w:rsidRDefault="00502391" w:rsidP="009038F0">
      <w:pPr>
        <w:spacing w:line="480" w:lineRule="auto"/>
        <w:jc w:val="both"/>
      </w:pPr>
    </w:p>
    <w:p w:rsidR="007250C1" w:rsidRDefault="00502391" w:rsidP="009038F0">
      <w:pPr>
        <w:spacing w:line="480" w:lineRule="auto"/>
        <w:jc w:val="both"/>
      </w:pPr>
      <w:r>
        <w:t xml:space="preserve">This </w:t>
      </w:r>
      <w:r w:rsidR="00C0763F">
        <w:t>article</w:t>
      </w:r>
      <w:r>
        <w:t xml:space="preserve"> has sketched the </w:t>
      </w:r>
      <w:r w:rsidR="001F4AF4">
        <w:t>anatomy</w:t>
      </w:r>
      <w:r>
        <w:t xml:space="preserve"> </w:t>
      </w:r>
      <w:r w:rsidR="00FD1DAB">
        <w:t xml:space="preserve">and economic impact of </w:t>
      </w:r>
      <w:r>
        <w:t xml:space="preserve">the </w:t>
      </w:r>
      <w:r w:rsidR="00D84C88">
        <w:t xml:space="preserve">house price boom which </w:t>
      </w:r>
      <w:r w:rsidR="001E5671">
        <w:t xml:space="preserve">emerged </w:t>
      </w:r>
      <w:r w:rsidR="0061155A">
        <w:t>in the mid 1990s following a radical reversal in Ireland’s long record of economic under-performance.  A</w:t>
      </w:r>
      <w:r w:rsidR="001E5671">
        <w:t>lthough</w:t>
      </w:r>
      <w:r w:rsidR="003364D4">
        <w:t xml:space="preserve"> economists </w:t>
      </w:r>
      <w:r w:rsidR="001E5671">
        <w:t xml:space="preserve">disagree on </w:t>
      </w:r>
      <w:r w:rsidR="0061155A">
        <w:t xml:space="preserve">how the </w:t>
      </w:r>
      <w:r w:rsidR="00573055">
        <w:t>C</w:t>
      </w:r>
      <w:r w:rsidR="0061155A">
        <w:t xml:space="preserve">eltic tiger boom should be interpreted </w:t>
      </w:r>
      <w:r w:rsidR="00BC1276">
        <w:t>(</w:t>
      </w:r>
      <w:r w:rsidR="007C74C8">
        <w:t>as</w:t>
      </w:r>
      <w:r w:rsidR="0061155A">
        <w:t xml:space="preserve"> a delayed convergence with the </w:t>
      </w:r>
      <w:r w:rsidR="00382F80">
        <w:t>north-</w:t>
      </w:r>
      <w:r w:rsidR="0061155A">
        <w:t>western European norm</w:t>
      </w:r>
      <w:r w:rsidR="007C74C8">
        <w:t xml:space="preserve"> or</w:t>
      </w:r>
      <w:r w:rsidR="00BC1276">
        <w:t xml:space="preserve"> a </w:t>
      </w:r>
      <w:r w:rsidR="0061155A">
        <w:t>regional boom</w:t>
      </w:r>
      <w:r w:rsidR="00BC1276">
        <w:t xml:space="preserve">) there is </w:t>
      </w:r>
      <w:r w:rsidR="007C74C8">
        <w:t xml:space="preserve">agreement </w:t>
      </w:r>
      <w:r w:rsidR="001E5671">
        <w:t xml:space="preserve">that </w:t>
      </w:r>
      <w:r w:rsidR="0061155A">
        <w:t>during the second half of the 1990s, Ireland enjoyed r</w:t>
      </w:r>
      <w:r w:rsidR="00C0763F">
        <w:t>eal gains in national wealth, employment and household disposable</w:t>
      </w:r>
      <w:r w:rsidR="006F3DD2">
        <w:t xml:space="preserve"> income</w:t>
      </w:r>
      <w:r w:rsidR="00BC1276">
        <w:t xml:space="preserve"> (Barry, 2002; Nolan </w:t>
      </w:r>
      <w:r w:rsidR="00BC1276">
        <w:rPr>
          <w:i/>
        </w:rPr>
        <w:t>et al</w:t>
      </w:r>
      <w:r w:rsidR="002A326D">
        <w:rPr>
          <w:i/>
        </w:rPr>
        <w:t>.</w:t>
      </w:r>
      <w:r w:rsidR="00EE3F38">
        <w:rPr>
          <w:i/>
        </w:rPr>
        <w:t xml:space="preserve"> </w:t>
      </w:r>
      <w:r w:rsidR="00BC1276">
        <w:t>2000)</w:t>
      </w:r>
      <w:r w:rsidR="006F3DD2">
        <w:t xml:space="preserve">.  </w:t>
      </w:r>
      <w:r w:rsidR="00800EAD">
        <w:t xml:space="preserve">The analysis presented </w:t>
      </w:r>
      <w:r w:rsidR="009E5442">
        <w:t>in this article</w:t>
      </w:r>
      <w:r w:rsidR="00800EAD">
        <w:t xml:space="preserve"> has not employed econometric testing to explore the relationship between Ireland’s housing boom and the death of the </w:t>
      </w:r>
      <w:r w:rsidR="00FA0C28">
        <w:t>C</w:t>
      </w:r>
      <w:r w:rsidR="00800EAD">
        <w:t>eltic tiger, however the data presented here do sugges</w:t>
      </w:r>
      <w:r w:rsidR="00D10FD4">
        <w:t>t</w:t>
      </w:r>
      <w:r w:rsidR="00800EAD">
        <w:t xml:space="preserve"> </w:t>
      </w:r>
      <w:r w:rsidR="003364D4">
        <w:t>that the housing boom played a</w:t>
      </w:r>
      <w:r w:rsidR="00600E9A">
        <w:t>n important</w:t>
      </w:r>
      <w:r w:rsidR="003364D4">
        <w:t xml:space="preserve"> role </w:t>
      </w:r>
      <w:r w:rsidR="001E5671">
        <w:t xml:space="preserve">in </w:t>
      </w:r>
      <w:r w:rsidR="00800EAD">
        <w:t xml:space="preserve">this development </w:t>
      </w:r>
      <w:r w:rsidR="0061155A">
        <w:t xml:space="preserve">by </w:t>
      </w:r>
      <w:r w:rsidR="001E5671">
        <w:t xml:space="preserve">generating </w:t>
      </w:r>
      <w:r w:rsidR="00C53188">
        <w:t>(</w:t>
      </w:r>
      <w:r w:rsidR="00EE3F38">
        <w:t>and</w:t>
      </w:r>
      <w:r w:rsidR="001E5671">
        <w:t xml:space="preserve"> disguising</w:t>
      </w:r>
      <w:r w:rsidR="00C53188">
        <w:t>)</w:t>
      </w:r>
      <w:r w:rsidR="001E5671">
        <w:t xml:space="preserve"> severe risks in the macro-economy and public finances, the banking system and households</w:t>
      </w:r>
      <w:r w:rsidR="0061155A">
        <w:t>’ finances</w:t>
      </w:r>
      <w:r w:rsidR="001E5671">
        <w:t xml:space="preserve">.  </w:t>
      </w:r>
      <w:r w:rsidR="006645D6">
        <w:t>From 2000, rising house prices and rents undermined economic competitiveness by driving wage inflation, but because</w:t>
      </w:r>
      <w:r w:rsidR="006645D6" w:rsidRPr="00B76149">
        <w:t xml:space="preserve"> public finances </w:t>
      </w:r>
      <w:r w:rsidR="006645D6">
        <w:t>were supporting property market related revenue and the job market was buttressed by construction employment it appeared deceptively healthy (O’Leary, 2010)</w:t>
      </w:r>
      <w:r w:rsidR="006645D6" w:rsidRPr="00B76149">
        <w:t xml:space="preserve">. </w:t>
      </w:r>
      <w:r w:rsidR="006645D6">
        <w:t xml:space="preserve"> Mortgage indebtedness increased radically but low interest rates kept repayments affordable and ready access to credit enabled further non-mortgage debt accumulation and rising consumption (Norris and Winston, 2009).  Banks became over exposed to property related lending via mortgages and construction industry lending and grew more reliant on inter-bank lending to fund these activities, but due to the property boom, their profits remained high (Kearns and Woods, 2006).  </w:t>
      </w:r>
      <w:r w:rsidR="00D10FD4">
        <w:t>D</w:t>
      </w:r>
      <w:r w:rsidR="006645D6">
        <w:t xml:space="preserve">ue to these developments, the public finances, banking system and households were </w:t>
      </w:r>
      <w:r w:rsidR="006645D6" w:rsidRPr="00B76149">
        <w:t xml:space="preserve">over-exposed to </w:t>
      </w:r>
      <w:r w:rsidR="006645D6">
        <w:t xml:space="preserve">potential </w:t>
      </w:r>
      <w:r w:rsidR="006645D6" w:rsidRPr="00B76149">
        <w:t>external macroeconomic shocks</w:t>
      </w:r>
      <w:r w:rsidR="006645D6">
        <w:t>, therefore the collapse in Irish house prices, housing output and mortgage lending following the international ‘credit crunch’ in 2007 is a central reason why the global financial crisis has had a particularly severe impact on this country</w:t>
      </w:r>
      <w:r w:rsidR="009B0363">
        <w:t xml:space="preserve"> (se Figure 2)</w:t>
      </w:r>
      <w:r w:rsidR="00D10FD4">
        <w:t>.</w:t>
      </w:r>
    </w:p>
    <w:p w:rsidR="009B0363" w:rsidRDefault="009B0363" w:rsidP="009038F0">
      <w:pPr>
        <w:spacing w:line="480" w:lineRule="auto"/>
        <w:jc w:val="both"/>
      </w:pPr>
    </w:p>
    <w:p w:rsidR="009B0363" w:rsidRPr="009B0363" w:rsidRDefault="009B0363" w:rsidP="009038F0">
      <w:pPr>
        <w:spacing w:line="480" w:lineRule="auto"/>
        <w:jc w:val="both"/>
        <w:rPr>
          <w:i/>
        </w:rPr>
      </w:pPr>
      <w:r>
        <w:rPr>
          <w:i/>
        </w:rPr>
        <w:t>Figure 2 here.</w:t>
      </w:r>
    </w:p>
    <w:p w:rsidR="007250C1" w:rsidRDefault="007250C1" w:rsidP="009038F0">
      <w:pPr>
        <w:spacing w:line="480" w:lineRule="auto"/>
        <w:jc w:val="both"/>
      </w:pPr>
    </w:p>
    <w:p w:rsidR="001C2AB8" w:rsidRDefault="00EE1CFF" w:rsidP="009038F0">
      <w:pPr>
        <w:spacing w:line="480" w:lineRule="auto"/>
        <w:jc w:val="both"/>
      </w:pPr>
      <w:r>
        <w:lastRenderedPageBreak/>
        <w:t>Th</w:t>
      </w:r>
      <w:r w:rsidR="00C14821">
        <w:t>is</w:t>
      </w:r>
      <w:r w:rsidR="007250C1">
        <w:t xml:space="preserve"> case </w:t>
      </w:r>
      <w:r w:rsidR="008369D9">
        <w:t xml:space="preserve">study of Ireland </w:t>
      </w:r>
      <w:r>
        <w:t xml:space="preserve">therefore </w:t>
      </w:r>
      <w:r w:rsidR="008369D9">
        <w:t>supports the results of more conventional econometric research on housing booms which indicates that they generate particularly serious economic risks</w:t>
      </w:r>
      <w:r w:rsidR="007250C1">
        <w:t>.  Housing assets are owned by a much larger proportion of household</w:t>
      </w:r>
      <w:r w:rsidR="00573055">
        <w:t xml:space="preserve"> wealth </w:t>
      </w:r>
      <w:r w:rsidR="007250C1">
        <w:t>than</w:t>
      </w:r>
      <w:r w:rsidR="00573055">
        <w:t>,</w:t>
      </w:r>
      <w:r w:rsidR="007250C1">
        <w:t xml:space="preserve"> for instance</w:t>
      </w:r>
      <w:r w:rsidR="00573055">
        <w:t>,</w:t>
      </w:r>
      <w:r w:rsidR="007250C1">
        <w:t xml:space="preserve"> equities, and house price</w:t>
      </w:r>
      <w:r w:rsidR="00143432">
        <w:t xml:space="preserve"> rises</w:t>
      </w:r>
      <w:r w:rsidR="007250C1">
        <w:t xml:space="preserve"> </w:t>
      </w:r>
      <w:r w:rsidR="00143432">
        <w:t>are</w:t>
      </w:r>
      <w:r w:rsidR="007250C1">
        <w:t xml:space="preserve"> more likely to be interpreted as a permanent change in wealth, therefore house price booms inspire particularly strong changes in </w:t>
      </w:r>
      <w:r w:rsidR="00896C44">
        <w:t xml:space="preserve">consumption </w:t>
      </w:r>
      <w:r w:rsidR="00EE64B2">
        <w:t>(</w:t>
      </w:r>
      <w:proofErr w:type="spellStart"/>
      <w:r w:rsidR="00EE64B2">
        <w:t>Cecchetti</w:t>
      </w:r>
      <w:proofErr w:type="spellEnd"/>
      <w:r w:rsidR="00EE64B2">
        <w:t xml:space="preserve">, 2008; </w:t>
      </w:r>
      <w:r w:rsidR="00DF7D2C">
        <w:t xml:space="preserve">Case </w:t>
      </w:r>
      <w:r w:rsidR="00DF7D2C">
        <w:rPr>
          <w:i/>
        </w:rPr>
        <w:t xml:space="preserve">et al, </w:t>
      </w:r>
      <w:r w:rsidR="00DF7D2C">
        <w:t>2005).</w:t>
      </w:r>
      <w:r w:rsidR="00FF47EA">
        <w:t xml:space="preserve">  Thus as Case and Quigley (2008) explain unwinding housing booms have negative impacts on household spending, employment and </w:t>
      </w:r>
      <w:r>
        <w:t xml:space="preserve">on </w:t>
      </w:r>
      <w:r w:rsidR="00FF47EA">
        <w:t>the</w:t>
      </w:r>
      <w:r w:rsidR="00FF47EA" w:rsidRPr="00E2141F">
        <w:t xml:space="preserve"> </w:t>
      </w:r>
      <w:proofErr w:type="spellStart"/>
      <w:r w:rsidR="002F60D9" w:rsidRPr="00E2141F">
        <w:t>profitabity</w:t>
      </w:r>
      <w:proofErr w:type="spellEnd"/>
      <w:r w:rsidR="00FF47EA">
        <w:t xml:space="preserve"> and in some cases viability of</w:t>
      </w:r>
      <w:r w:rsidR="00FF47EA" w:rsidRPr="002F60D9">
        <w:t xml:space="preserve"> </w:t>
      </w:r>
      <w:r w:rsidR="002F60D9" w:rsidRPr="002F60D9">
        <w:t>financial</w:t>
      </w:r>
      <w:r w:rsidR="00FF47EA">
        <w:t xml:space="preserve"> institutions.</w:t>
      </w:r>
      <w:r w:rsidR="00A269E2">
        <w:t xml:space="preserve">  </w:t>
      </w:r>
      <w:r w:rsidR="001C2AB8">
        <w:t>However</w:t>
      </w:r>
      <w:r w:rsidR="002A326D">
        <w:t>,</w:t>
      </w:r>
      <w:r w:rsidR="001C2AB8">
        <w:t xml:space="preserve"> t</w:t>
      </w:r>
      <w:r w:rsidR="00A269E2">
        <w:t xml:space="preserve">he </w:t>
      </w:r>
      <w:r w:rsidR="002F60D9">
        <w:t xml:space="preserve">impacts of Irish bust, as described in this </w:t>
      </w:r>
      <w:r w:rsidR="00C14821">
        <w:t>article</w:t>
      </w:r>
      <w:r w:rsidR="002F60D9">
        <w:t xml:space="preserve">, </w:t>
      </w:r>
      <w:r w:rsidR="00E034CC">
        <w:t>were</w:t>
      </w:r>
      <w:r w:rsidR="002F60D9">
        <w:t xml:space="preserve"> </w:t>
      </w:r>
      <w:r w:rsidR="00E034CC">
        <w:t xml:space="preserve">more widespread and serious than the </w:t>
      </w:r>
      <w:r w:rsidR="001C2AB8">
        <w:t xml:space="preserve">recent collapse of the US housing boom </w:t>
      </w:r>
      <w:r w:rsidR="00C14821">
        <w:t>Case and Quigley (2008)</w:t>
      </w:r>
      <w:r w:rsidR="008369D9">
        <w:t xml:space="preserve"> </w:t>
      </w:r>
      <w:r w:rsidR="001C2AB8">
        <w:t>examine</w:t>
      </w:r>
      <w:r w:rsidR="008369D9">
        <w:t xml:space="preserve">.  This is </w:t>
      </w:r>
      <w:r w:rsidR="00A269E2">
        <w:t xml:space="preserve">because </w:t>
      </w:r>
      <w:r w:rsidR="001C2AB8">
        <w:t xml:space="preserve">Ireland was unusual in that </w:t>
      </w:r>
      <w:r w:rsidR="008369D9">
        <w:t xml:space="preserve">galloping </w:t>
      </w:r>
      <w:r w:rsidR="001C2AB8">
        <w:t>house pr</w:t>
      </w:r>
      <w:r w:rsidR="008369D9">
        <w:t>ice inflation</w:t>
      </w:r>
      <w:r w:rsidR="001C2AB8">
        <w:t xml:space="preserve"> was accompanied by a particularly large increase in housi</w:t>
      </w:r>
      <w:r w:rsidR="008369D9">
        <w:t>ng output; the regulation of the Irish banking sector was weak and the Irish government failed to appreciate the short</w:t>
      </w:r>
      <w:r w:rsidR="00C14821">
        <w:t>-</w:t>
      </w:r>
      <w:r w:rsidR="008369D9">
        <w:t xml:space="preserve">term nature of the </w:t>
      </w:r>
      <w:r w:rsidR="00CD2B21">
        <w:t xml:space="preserve">property related </w:t>
      </w:r>
      <w:r w:rsidR="008369D9">
        <w:t xml:space="preserve">tax revenues and made permanent (or at least painful to reverse) current expenditure commitments on the basis of this revenue.  </w:t>
      </w:r>
      <w:r w:rsidR="00250E45">
        <w:t xml:space="preserve">In addition of course, </w:t>
      </w:r>
      <w:r w:rsidR="00BB7287">
        <w:t>factors outside the scope of this article, most notab</w:t>
      </w:r>
      <w:r w:rsidR="00CD2B21">
        <w:t>ly</w:t>
      </w:r>
      <w:r w:rsidR="00BB7287">
        <w:t xml:space="preserve"> the decision that all Irish banks would be saved by the state rather than be allowed to fail and the inability of this </w:t>
      </w:r>
      <w:proofErr w:type="spellStart"/>
      <w:r w:rsidR="00BB7287">
        <w:t>eurozone</w:t>
      </w:r>
      <w:proofErr w:type="spellEnd"/>
      <w:r w:rsidR="00BB7287">
        <w:t xml:space="preserve"> member to unilaterally devalue her curren</w:t>
      </w:r>
      <w:r w:rsidR="00C14821">
        <w:t>cy</w:t>
      </w:r>
      <w:r w:rsidR="00BB7287">
        <w:t xml:space="preserve">, were also </w:t>
      </w:r>
      <w:r w:rsidR="000B110A">
        <w:t xml:space="preserve">amplified the </w:t>
      </w:r>
      <w:r w:rsidR="00BB7287">
        <w:t xml:space="preserve">scale of the Ireland’s economic crash </w:t>
      </w:r>
      <w:r w:rsidR="007875D0">
        <w:t xml:space="preserve">(see: </w:t>
      </w:r>
      <w:proofErr w:type="spellStart"/>
      <w:r w:rsidR="007875D0" w:rsidRPr="007875D0">
        <w:t>Dellepiane</w:t>
      </w:r>
      <w:proofErr w:type="spellEnd"/>
      <w:r w:rsidR="007875D0" w:rsidRPr="007875D0">
        <w:t xml:space="preserve"> and </w:t>
      </w:r>
      <w:proofErr w:type="spellStart"/>
      <w:r w:rsidR="007875D0" w:rsidRPr="007875D0">
        <w:t>Hardiman</w:t>
      </w:r>
      <w:proofErr w:type="spellEnd"/>
      <w:r w:rsidR="007875D0">
        <w:t>, 2010)</w:t>
      </w:r>
      <w:r w:rsidR="000B110A">
        <w:t>.</w:t>
      </w:r>
    </w:p>
    <w:p w:rsidR="001C2AB8" w:rsidRDefault="001C2AB8" w:rsidP="009038F0">
      <w:pPr>
        <w:spacing w:line="480" w:lineRule="auto"/>
        <w:jc w:val="both"/>
      </w:pPr>
    </w:p>
    <w:p w:rsidR="00E5487F" w:rsidRDefault="007A6760" w:rsidP="009038F0">
      <w:pPr>
        <w:spacing w:line="480" w:lineRule="auto"/>
        <w:jc w:val="both"/>
      </w:pPr>
      <w:r>
        <w:t xml:space="preserve">The </w:t>
      </w:r>
      <w:r w:rsidR="001C2AB8">
        <w:t xml:space="preserve">seriousness of the </w:t>
      </w:r>
      <w:r w:rsidR="007875D0">
        <w:t xml:space="preserve">secondary </w:t>
      </w:r>
      <w:r w:rsidR="00C678A6">
        <w:t xml:space="preserve">impacts </w:t>
      </w:r>
      <w:r w:rsidR="00855035">
        <w:t>generated by</w:t>
      </w:r>
      <w:r w:rsidR="007875D0">
        <w:t xml:space="preserve"> Ireland’s housing bust</w:t>
      </w:r>
      <w:r w:rsidR="00C678A6">
        <w:t xml:space="preserve"> </w:t>
      </w:r>
      <w:r w:rsidR="00855035">
        <w:t xml:space="preserve">raises the issue of </w:t>
      </w:r>
      <w:r w:rsidR="00C678A6">
        <w:t xml:space="preserve">whether the housing boom </w:t>
      </w:r>
      <w:r w:rsidR="007875D0">
        <w:t xml:space="preserve">and associated risks </w:t>
      </w:r>
      <w:r w:rsidR="00250E45">
        <w:t xml:space="preserve">could have been </w:t>
      </w:r>
      <w:r w:rsidR="00C678A6">
        <w:t xml:space="preserve">more effectively </w:t>
      </w:r>
      <w:r w:rsidR="000B110A">
        <w:t xml:space="preserve">managed by government </w:t>
      </w:r>
      <w:r w:rsidR="00C678A6">
        <w:t xml:space="preserve">and, if so, </w:t>
      </w:r>
      <w:r w:rsidR="00250E45">
        <w:t>how</w:t>
      </w:r>
      <w:r w:rsidR="00C678A6">
        <w:t xml:space="preserve">.   Not surprisingly this </w:t>
      </w:r>
      <w:r w:rsidR="00855035">
        <w:t>topic</w:t>
      </w:r>
      <w:r w:rsidR="00C678A6">
        <w:t xml:space="preserve"> </w:t>
      </w:r>
      <w:r w:rsidR="000B110A">
        <w:t>is currently the subject of lively debate in Ireland</w:t>
      </w:r>
      <w:r w:rsidR="00855035">
        <w:t>.  A</w:t>
      </w:r>
      <w:r w:rsidR="003E577F">
        <w:t xml:space="preserve"> prominent theme in this debate relates to the</w:t>
      </w:r>
      <w:r w:rsidR="00C678A6">
        <w:t xml:space="preserve"> </w:t>
      </w:r>
      <w:r w:rsidR="000B110A">
        <w:t>failure of the Irish government to counter</w:t>
      </w:r>
      <w:r w:rsidR="00F35817">
        <w:t xml:space="preserve"> </w:t>
      </w:r>
      <w:r w:rsidR="00A81287">
        <w:t>the loss of</w:t>
      </w:r>
      <w:r w:rsidR="00BD4773">
        <w:t xml:space="preserve"> </w:t>
      </w:r>
      <w:r w:rsidR="00A81287">
        <w:t xml:space="preserve">national </w:t>
      </w:r>
      <w:r w:rsidR="00BD4773">
        <w:t>control o</w:t>
      </w:r>
      <w:r w:rsidR="00A81287">
        <w:t>ver</w:t>
      </w:r>
      <w:r w:rsidR="00BD4773">
        <w:t xml:space="preserve"> interest rates </w:t>
      </w:r>
      <w:r w:rsidR="003E577F">
        <w:t>following</w:t>
      </w:r>
      <w:r w:rsidR="00F35817">
        <w:t xml:space="preserve"> </w:t>
      </w:r>
      <w:r w:rsidR="00E3436F">
        <w:t>a</w:t>
      </w:r>
      <w:r w:rsidR="00F35817">
        <w:t xml:space="preserve">ccession </w:t>
      </w:r>
      <w:r w:rsidR="003E577F">
        <w:t>to Economic and Monetary Union</w:t>
      </w:r>
      <w:r w:rsidR="00F46074">
        <w:t xml:space="preserve"> </w:t>
      </w:r>
      <w:r w:rsidR="000B110A">
        <w:t xml:space="preserve">with alternative </w:t>
      </w:r>
      <w:r w:rsidR="00E3436F">
        <w:t>property market stabilization mechanism</w:t>
      </w:r>
      <w:r w:rsidR="000B110A">
        <w:t>s</w:t>
      </w:r>
      <w:r w:rsidR="00E5487F">
        <w:t xml:space="preserve"> </w:t>
      </w:r>
      <w:r w:rsidR="00F46074">
        <w:t>(</w:t>
      </w:r>
      <w:proofErr w:type="spellStart"/>
      <w:r w:rsidR="00F46074" w:rsidRPr="00B76149">
        <w:t>Ho</w:t>
      </w:r>
      <w:r w:rsidR="00F46074">
        <w:t>n</w:t>
      </w:r>
      <w:r w:rsidR="00F46074" w:rsidRPr="00B76149">
        <w:t>ohan</w:t>
      </w:r>
      <w:proofErr w:type="spellEnd"/>
      <w:r w:rsidR="00F46074" w:rsidRPr="00B76149">
        <w:t xml:space="preserve"> and </w:t>
      </w:r>
      <w:proofErr w:type="spellStart"/>
      <w:r w:rsidR="00F46074" w:rsidRPr="00B76149">
        <w:t>Leddin</w:t>
      </w:r>
      <w:proofErr w:type="spellEnd"/>
      <w:r w:rsidR="00F46074">
        <w:t xml:space="preserve">, </w:t>
      </w:r>
      <w:r w:rsidR="00F46074" w:rsidRPr="00B76149">
        <w:t>2006</w:t>
      </w:r>
      <w:r w:rsidR="00F46074">
        <w:t>)</w:t>
      </w:r>
      <w:r w:rsidR="002A326D">
        <w:t>.</w:t>
      </w:r>
      <w:r w:rsidR="002609E7">
        <w:t xml:space="preserve">  </w:t>
      </w:r>
      <w:proofErr w:type="spellStart"/>
      <w:r w:rsidR="00AD1A8A">
        <w:t>Conefrey</w:t>
      </w:r>
      <w:proofErr w:type="spellEnd"/>
      <w:r w:rsidR="00AD1A8A">
        <w:t xml:space="preserve"> and Fitz Gerald</w:t>
      </w:r>
      <w:r w:rsidR="00F46074">
        <w:t>’s</w:t>
      </w:r>
      <w:r w:rsidR="00AD1A8A">
        <w:t xml:space="preserve"> (2010) analysis of this issue</w:t>
      </w:r>
      <w:r w:rsidR="00AD1A8A" w:rsidRPr="00E5487F">
        <w:t xml:space="preserve"> </w:t>
      </w:r>
      <w:r w:rsidR="00E5487F">
        <w:t xml:space="preserve">criticises the </w:t>
      </w:r>
      <w:r w:rsidR="00F46074">
        <w:t>lack of</w:t>
      </w:r>
      <w:r w:rsidR="00FB02C7">
        <w:t xml:space="preserve"> </w:t>
      </w:r>
      <w:r w:rsidR="00E5487F">
        <w:t>a residential property tax in Ireland, because this deprived government of a key fiscal instrument to control house prices</w:t>
      </w:r>
      <w:r w:rsidR="00AD1A8A">
        <w:t xml:space="preserve">.  </w:t>
      </w:r>
      <w:r w:rsidR="009E68AF">
        <w:t>However, this</w:t>
      </w:r>
      <w:r w:rsidR="00E5487F">
        <w:t xml:space="preserve"> view is contradicted by a recent International Monetary Federation (2011</w:t>
      </w:r>
      <w:r w:rsidR="0054062A">
        <w:t>:</w:t>
      </w:r>
      <w:r w:rsidR="00E5487F">
        <w:t xml:space="preserve"> 5) </w:t>
      </w:r>
      <w:r w:rsidR="009E68AF">
        <w:t xml:space="preserve">report </w:t>
      </w:r>
      <w:r w:rsidR="00E5487F">
        <w:t>on managing real estate booms</w:t>
      </w:r>
      <w:r w:rsidR="002609E7">
        <w:t xml:space="preserve"> </w:t>
      </w:r>
      <w:r w:rsidR="00E5487F">
        <w:t>which concludes:</w:t>
      </w:r>
    </w:p>
    <w:p w:rsidR="00E5487F" w:rsidRDefault="00E5487F" w:rsidP="00662C48">
      <w:pPr>
        <w:spacing w:before="120" w:after="120"/>
        <w:ind w:left="720" w:right="720"/>
        <w:jc w:val="both"/>
      </w:pPr>
      <w:r w:rsidRPr="00E5487F">
        <w:lastRenderedPageBreak/>
        <w:t xml:space="preserve">Fiscal tools may be, in principle, effective. But, in practice, they would likely create distortions and are difficult to use in a cyclical fashion. </w:t>
      </w:r>
      <w:proofErr w:type="spellStart"/>
      <w:r w:rsidRPr="00E5487F">
        <w:t>Macroprudential</w:t>
      </w:r>
      <w:proofErr w:type="spellEnd"/>
      <w:r w:rsidRPr="00E5487F">
        <w:t xml:space="preserve"> tools (such as limits on loan-to</w:t>
      </w:r>
      <w:r>
        <w:t>-</w:t>
      </w:r>
      <w:r w:rsidRPr="00E5487F">
        <w:t>value ratios) are the best candidates to deal with the dangers associated with real estate booms as they can be aimed directly at curbing leverage and strengthening the financial sector.</w:t>
      </w:r>
    </w:p>
    <w:p w:rsidR="000B110A" w:rsidRDefault="007E7567" w:rsidP="009038F0">
      <w:pPr>
        <w:spacing w:line="480" w:lineRule="auto"/>
        <w:jc w:val="both"/>
      </w:pPr>
      <w:r>
        <w:t xml:space="preserve">Thus a key lesson arising from the Irish case </w:t>
      </w:r>
      <w:r w:rsidR="002F0ADD">
        <w:t xml:space="preserve">is the importance of the </w:t>
      </w:r>
      <w:r w:rsidR="00816AC8">
        <w:t>regulating lending standards in order</w:t>
      </w:r>
      <w:r w:rsidR="002F0ADD">
        <w:t xml:space="preserve"> to control housing bubbles.</w:t>
      </w:r>
    </w:p>
    <w:p w:rsidR="007E7567" w:rsidRDefault="007E7567" w:rsidP="009038F0">
      <w:pPr>
        <w:spacing w:line="480" w:lineRule="auto"/>
        <w:jc w:val="both"/>
      </w:pPr>
    </w:p>
    <w:p w:rsidR="009302C2" w:rsidRPr="009E1B50" w:rsidRDefault="009302C2" w:rsidP="009038F0">
      <w:pPr>
        <w:spacing w:line="480" w:lineRule="auto"/>
        <w:jc w:val="both"/>
      </w:pPr>
      <w:r>
        <w:t xml:space="preserve">The reasons for the Irish government’s failure to </w:t>
      </w:r>
      <w:r w:rsidR="002F0ADD">
        <w:t>do this</w:t>
      </w:r>
      <w:r>
        <w:t xml:space="preserve"> have also been extensively </w:t>
      </w:r>
      <w:r w:rsidR="009E68AF">
        <w:t>debated</w:t>
      </w:r>
      <w:r w:rsidR="001A4933">
        <w:t xml:space="preserve"> in the media and inspired </w:t>
      </w:r>
      <w:r w:rsidR="00176847">
        <w:t xml:space="preserve">a plethora of books by political commentators, but have been subject </w:t>
      </w:r>
      <w:r w:rsidR="001A4933">
        <w:t>to limited r</w:t>
      </w:r>
      <w:r w:rsidR="00176847">
        <w:t>o</w:t>
      </w:r>
      <w:r w:rsidR="001A4933">
        <w:t>bust research to date</w:t>
      </w:r>
      <w:r>
        <w:t xml:space="preserve">.  This research </w:t>
      </w:r>
      <w:r w:rsidR="001A4933">
        <w:t xml:space="preserve">which has been conducted </w:t>
      </w:r>
      <w:r w:rsidR="00176847">
        <w:t xml:space="preserve">blames </w:t>
      </w:r>
      <w:r w:rsidR="00131757">
        <w:t xml:space="preserve">both </w:t>
      </w:r>
      <w:r w:rsidR="00176847">
        <w:t xml:space="preserve">the design and implementation of </w:t>
      </w:r>
      <w:r w:rsidR="00CD2B21">
        <w:t xml:space="preserve">regulatory </w:t>
      </w:r>
      <w:r w:rsidR="00131757">
        <w:t>structur</w:t>
      </w:r>
      <w:r w:rsidR="00CD2B21">
        <w:t>es</w:t>
      </w:r>
      <w:r w:rsidR="008E52B3">
        <w:t xml:space="preserve"> </w:t>
      </w:r>
      <w:r w:rsidR="000B110A">
        <w:t>for this oversight</w:t>
      </w:r>
      <w:r w:rsidR="00176847">
        <w:t xml:space="preserve"> (</w:t>
      </w:r>
      <w:proofErr w:type="spellStart"/>
      <w:r w:rsidR="00EA7B8C">
        <w:t>Honohan</w:t>
      </w:r>
      <w:proofErr w:type="spellEnd"/>
      <w:r w:rsidR="00EA7B8C">
        <w:t xml:space="preserve">, 2010; </w:t>
      </w:r>
      <w:proofErr w:type="spellStart"/>
      <w:r w:rsidR="00176847" w:rsidRPr="009E1B50">
        <w:t>Regling</w:t>
      </w:r>
      <w:proofErr w:type="spellEnd"/>
      <w:r w:rsidR="00176847" w:rsidRPr="009E1B50">
        <w:t xml:space="preserve"> and Watson, 2010</w:t>
      </w:r>
      <w:r w:rsidR="00176847">
        <w:t>)</w:t>
      </w:r>
      <w:r>
        <w:t xml:space="preserve">.  </w:t>
      </w:r>
      <w:r w:rsidR="00CD2B21">
        <w:t>The former</w:t>
      </w:r>
      <w:r>
        <w:t xml:space="preserve"> were significantly reformed i</w:t>
      </w:r>
      <w:r w:rsidRPr="009E1B50">
        <w:t>n 2003</w:t>
      </w:r>
      <w:r>
        <w:t xml:space="preserve">, when </w:t>
      </w:r>
      <w:r w:rsidR="0054062A">
        <w:t>t</w:t>
      </w:r>
      <w:r w:rsidR="008E52B3">
        <w:t>he Central</w:t>
      </w:r>
      <w:r w:rsidRPr="009E1B50">
        <w:t xml:space="preserve"> Bank and Financial Services Regulatory Authority of Ireland</w:t>
      </w:r>
      <w:r>
        <w:t xml:space="preserve"> (CBFSRAI)</w:t>
      </w:r>
      <w:r w:rsidR="008E52B3">
        <w:t xml:space="preserve"> was established</w:t>
      </w:r>
      <w:r w:rsidRPr="009E1B50">
        <w:t xml:space="preserve">. </w:t>
      </w:r>
      <w:r>
        <w:t xml:space="preserve"> Thus </w:t>
      </w:r>
      <w:r w:rsidRPr="00C86484">
        <w:t xml:space="preserve">a non-supervising central bank </w:t>
      </w:r>
      <w:r>
        <w:t xml:space="preserve">and </w:t>
      </w:r>
      <w:r w:rsidRPr="00C86484">
        <w:t xml:space="preserve">a new Financial Regulator </w:t>
      </w:r>
      <w:r>
        <w:t xml:space="preserve">were combined within a single framework, overseen by one </w:t>
      </w:r>
      <w:r w:rsidRPr="00C86484">
        <w:t>board</w:t>
      </w:r>
      <w:r>
        <w:t xml:space="preserve">.  </w:t>
      </w:r>
      <w:r w:rsidRPr="00C86484">
        <w:t xml:space="preserve"> </w:t>
      </w:r>
      <w:r w:rsidR="008E52B3">
        <w:t xml:space="preserve">This was a compromise </w:t>
      </w:r>
      <w:r w:rsidRPr="009E1B50">
        <w:t xml:space="preserve">between </w:t>
      </w:r>
      <w:r>
        <w:t xml:space="preserve">the UK model of </w:t>
      </w:r>
      <w:r w:rsidRPr="009E1B50">
        <w:t xml:space="preserve">a non-supervising central bank </w:t>
      </w:r>
      <w:r w:rsidR="008E52B3">
        <w:t>and</w:t>
      </w:r>
      <w:r w:rsidRPr="009E1B50">
        <w:t xml:space="preserve"> separate financial regulator (the Bank of England and the Financial Services Authority) </w:t>
      </w:r>
      <w:r>
        <w:t>and the US</w:t>
      </w:r>
      <w:r w:rsidRPr="009E1B50">
        <w:t xml:space="preserve"> model </w:t>
      </w:r>
      <w:r w:rsidR="00CD2B21">
        <w:t>of a central bank responsible for bank supervision</w:t>
      </w:r>
      <w:r w:rsidRPr="009E1B50">
        <w:t xml:space="preserve"> (the Federal Reserve). </w:t>
      </w:r>
      <w:r>
        <w:t xml:space="preserve"> </w:t>
      </w:r>
      <w:r w:rsidR="008E52B3">
        <w:t xml:space="preserve">Irish government </w:t>
      </w:r>
      <w:r w:rsidR="00EA7B8C">
        <w:t>commissioned research on</w:t>
      </w:r>
      <w:r>
        <w:t xml:space="preserve"> </w:t>
      </w:r>
      <w:r w:rsidR="002A326D">
        <w:t xml:space="preserve">the </w:t>
      </w:r>
      <w:r>
        <w:t>banking crisis</w:t>
      </w:r>
      <w:r w:rsidR="008E52B3">
        <w:t xml:space="preserve"> concluded that this compromise structure sought</w:t>
      </w:r>
      <w:r w:rsidRPr="009E1B50">
        <w:t xml:space="preserve"> to deliver stronger banking competition and consumer protection </w:t>
      </w:r>
      <w:r>
        <w:t>but</w:t>
      </w:r>
      <w:r w:rsidRPr="009E1B50">
        <w:t xml:space="preserve"> fail</w:t>
      </w:r>
      <w:r>
        <w:t>ed to</w:t>
      </w:r>
      <w:r w:rsidRPr="009E1B50">
        <w:t xml:space="preserve"> focus </w:t>
      </w:r>
      <w:r>
        <w:t xml:space="preserve">sufficiently </w:t>
      </w:r>
      <w:r w:rsidRPr="009E1B50">
        <w:t xml:space="preserve">on </w:t>
      </w:r>
      <w:proofErr w:type="spellStart"/>
      <w:r w:rsidRPr="009E1B50">
        <w:t>macorprudential</w:t>
      </w:r>
      <w:proofErr w:type="spellEnd"/>
      <w:r w:rsidRPr="009E1B50">
        <w:t xml:space="preserve"> risk </w:t>
      </w:r>
      <w:r w:rsidR="009E657A">
        <w:t>(</w:t>
      </w:r>
      <w:r w:rsidR="00E2141F">
        <w:t>i.e.</w:t>
      </w:r>
      <w:r w:rsidR="009E657A">
        <w:t xml:space="preserve"> the stability </w:t>
      </w:r>
      <w:r w:rsidR="009E657A" w:rsidRPr="009E657A">
        <w:t>of the financial system as a whole</w:t>
      </w:r>
      <w:r w:rsidR="009E657A">
        <w:t>)</w:t>
      </w:r>
      <w:r w:rsidR="009E657A" w:rsidRPr="009E657A">
        <w:t xml:space="preserve"> </w:t>
      </w:r>
      <w:r w:rsidRPr="009E1B50">
        <w:t>(</w:t>
      </w:r>
      <w:proofErr w:type="spellStart"/>
      <w:r w:rsidRPr="009E1B50">
        <w:t>Regling</w:t>
      </w:r>
      <w:proofErr w:type="spellEnd"/>
      <w:r w:rsidRPr="009E1B50">
        <w:t xml:space="preserve"> and Watson, 2010</w:t>
      </w:r>
      <w:r w:rsidR="009E657A">
        <w:t xml:space="preserve">; </w:t>
      </w:r>
      <w:proofErr w:type="spellStart"/>
      <w:r w:rsidR="009E657A">
        <w:t>Borio</w:t>
      </w:r>
      <w:proofErr w:type="spellEnd"/>
      <w:r w:rsidR="009E657A">
        <w:t>, 2003</w:t>
      </w:r>
      <w:r w:rsidRPr="009E1B50">
        <w:t>).</w:t>
      </w:r>
      <w:r>
        <w:t xml:space="preserve">  </w:t>
      </w:r>
      <w:r w:rsidR="008E52B3">
        <w:t>A second government report on th</w:t>
      </w:r>
      <w:r w:rsidR="009E68AF">
        <w:t>is issue</w:t>
      </w:r>
      <w:r w:rsidR="008E52B3">
        <w:t xml:space="preserve"> indicates </w:t>
      </w:r>
      <w:r w:rsidR="009E68AF">
        <w:t xml:space="preserve">that </w:t>
      </w:r>
      <w:r w:rsidR="00EA7B8C">
        <w:t xml:space="preserve">inadequate </w:t>
      </w:r>
      <w:r w:rsidR="0037587B">
        <w:t>implementation of banking regulation further compounded these structural deficiencies:</w:t>
      </w:r>
    </w:p>
    <w:p w:rsidR="0037587B" w:rsidRDefault="009302C2" w:rsidP="00662C48">
      <w:pPr>
        <w:spacing w:after="120"/>
        <w:ind w:left="720" w:right="720"/>
        <w:jc w:val="both"/>
      </w:pPr>
      <w:r>
        <w:t>T</w:t>
      </w:r>
      <w:r w:rsidRPr="00593DB6">
        <w:t>he style of supervision adopted did not generate the most relevant or useful</w:t>
      </w:r>
      <w:r>
        <w:t xml:space="preserve"> </w:t>
      </w:r>
      <w:r w:rsidRPr="00593DB6">
        <w:t>information to anything near the extent required. By relying excessively on a</w:t>
      </w:r>
      <w:r>
        <w:t xml:space="preserve"> </w:t>
      </w:r>
      <w:r w:rsidRPr="00593DB6">
        <w:t>regulatory philosophy</w:t>
      </w:r>
      <w:r w:rsidRPr="00A76598">
        <w:t xml:space="preserve"> emphasising</w:t>
      </w:r>
      <w:r w:rsidRPr="00593DB6">
        <w:t xml:space="preserve"> process over outcomes, supervisory practice</w:t>
      </w:r>
      <w:r>
        <w:t xml:space="preserve"> </w:t>
      </w:r>
      <w:r w:rsidRPr="00593DB6">
        <w:t>focused on verifying governance and risk management models rather than attempting</w:t>
      </w:r>
      <w:r>
        <w:t xml:space="preserve"> </w:t>
      </w:r>
      <w:r w:rsidRPr="00593DB6">
        <w:t>an independent assessment of risk, whether on a line-by-line or whole-of-institution</w:t>
      </w:r>
      <w:r>
        <w:t xml:space="preserve"> </w:t>
      </w:r>
      <w:r w:rsidRPr="00593DB6">
        <w:t>basis. This approach involved a degree of complacency about the likely performance</w:t>
      </w:r>
      <w:r>
        <w:t xml:space="preserve"> </w:t>
      </w:r>
      <w:r w:rsidRPr="00593DB6">
        <w:t>of well-governed banks that proved unwarranted. It was not just a question of</w:t>
      </w:r>
      <w:r w:rsidRPr="00A76598">
        <w:t xml:space="preserve"> emphasising</w:t>
      </w:r>
      <w:r w:rsidRPr="00593DB6">
        <w:t xml:space="preserve"> principles over rules, it was the degree of trust that well-governed banks</w:t>
      </w:r>
      <w:r>
        <w:t xml:space="preserve"> </w:t>
      </w:r>
      <w:r w:rsidRPr="00593DB6">
        <w:t>could be relied upon to remain safe and sound</w:t>
      </w:r>
      <w:r w:rsidR="0037587B">
        <w:t xml:space="preserve"> </w:t>
      </w:r>
    </w:p>
    <w:p w:rsidR="009302C2" w:rsidRPr="009E1B50" w:rsidRDefault="0037587B" w:rsidP="00662C48">
      <w:pPr>
        <w:spacing w:after="120"/>
        <w:ind w:left="720" w:right="720"/>
        <w:jc w:val="both"/>
      </w:pPr>
      <w:r>
        <w:t>(</w:t>
      </w:r>
      <w:proofErr w:type="spellStart"/>
      <w:r>
        <w:t>Honohan</w:t>
      </w:r>
      <w:proofErr w:type="spellEnd"/>
      <w:r>
        <w:t>, 2010</w:t>
      </w:r>
      <w:r w:rsidR="002A326D">
        <w:t>:</w:t>
      </w:r>
      <w:r>
        <w:t xml:space="preserve"> 8).</w:t>
      </w:r>
    </w:p>
    <w:p w:rsidR="002F0ADD" w:rsidRDefault="002F0ADD" w:rsidP="009038F0">
      <w:pPr>
        <w:spacing w:line="480" w:lineRule="auto"/>
        <w:jc w:val="both"/>
      </w:pPr>
      <w:r>
        <w:t xml:space="preserve">Thus, </w:t>
      </w:r>
      <w:r w:rsidR="00816AC8">
        <w:t xml:space="preserve">in addition to the now very obvious dangers associated </w:t>
      </w:r>
      <w:r w:rsidR="000F7A81">
        <w:t xml:space="preserve">with </w:t>
      </w:r>
      <w:r w:rsidR="009E657A">
        <w:t>assuming</w:t>
      </w:r>
      <w:r w:rsidR="00111EFC">
        <w:t xml:space="preserve"> that banks are well-governed</w:t>
      </w:r>
      <w:r w:rsidR="00816AC8">
        <w:t xml:space="preserve">, two further </w:t>
      </w:r>
      <w:r w:rsidR="00D5017F">
        <w:t>policy</w:t>
      </w:r>
      <w:r w:rsidR="00816AC8">
        <w:t xml:space="preserve"> lessons which can be drawn from the Irish crisis, </w:t>
      </w:r>
      <w:r w:rsidR="009E657A">
        <w:t xml:space="preserve">these </w:t>
      </w:r>
      <w:r w:rsidR="00816AC8">
        <w:t xml:space="preserve">relate to the </w:t>
      </w:r>
      <w:r w:rsidR="008A7F29">
        <w:t xml:space="preserve">importance of </w:t>
      </w:r>
      <w:r w:rsidR="000F7A81">
        <w:lastRenderedPageBreak/>
        <w:t>ensuring that c</w:t>
      </w:r>
      <w:r w:rsidR="008A7F29">
        <w:t xml:space="preserve">ontrolling </w:t>
      </w:r>
      <w:proofErr w:type="spellStart"/>
      <w:r w:rsidR="008A7F29">
        <w:t>macroprudential</w:t>
      </w:r>
      <w:proofErr w:type="spellEnd"/>
      <w:r w:rsidR="008A7F29">
        <w:t xml:space="preserve"> risk </w:t>
      </w:r>
      <w:r w:rsidR="000F7A81">
        <w:t xml:space="preserve">is core to the mandate of banking regulators; that </w:t>
      </w:r>
      <w:r w:rsidR="009E657A">
        <w:t>regulators</w:t>
      </w:r>
      <w:r w:rsidR="000F7A81">
        <w:t xml:space="preserve"> </w:t>
      </w:r>
      <w:r w:rsidR="009E657A">
        <w:t xml:space="preserve">have </w:t>
      </w:r>
      <w:r w:rsidR="000F7A81">
        <w:t xml:space="preserve">the </w:t>
      </w:r>
      <w:r w:rsidR="009E657A">
        <w:t xml:space="preserve">numbers of skilled </w:t>
      </w:r>
      <w:r w:rsidR="000F7A81">
        <w:t>staff</w:t>
      </w:r>
      <w:r w:rsidR="009E657A">
        <w:t xml:space="preserve"> </w:t>
      </w:r>
      <w:r w:rsidR="000F7A81">
        <w:t xml:space="preserve">required to subject banks to the </w:t>
      </w:r>
      <w:r w:rsidR="009E657A">
        <w:t>intense</w:t>
      </w:r>
      <w:r w:rsidR="000F7A81">
        <w:t xml:space="preserve"> scrutiny required to </w:t>
      </w:r>
      <w:proofErr w:type="spellStart"/>
      <w:r w:rsidR="000F7A81">
        <w:t>fulfill</w:t>
      </w:r>
      <w:proofErr w:type="spellEnd"/>
      <w:r w:rsidR="000F7A81">
        <w:t xml:space="preserve"> this mandate.</w:t>
      </w:r>
      <w:r w:rsidR="009E657A">
        <w:t xml:space="preserve">  </w:t>
      </w:r>
      <w:r w:rsidR="000A0F52">
        <w:t xml:space="preserve">The political drivers of the </w:t>
      </w:r>
      <w:r w:rsidR="008A6A55">
        <w:t>Irish government</w:t>
      </w:r>
      <w:r w:rsidR="000A0F52">
        <w:t>’s failure to appreciate these lessons</w:t>
      </w:r>
      <w:r w:rsidR="008A6A55">
        <w:t xml:space="preserve"> during the </w:t>
      </w:r>
      <w:proofErr w:type="spellStart"/>
      <w:r w:rsidR="008A6A55">
        <w:t>celtic</w:t>
      </w:r>
      <w:proofErr w:type="spellEnd"/>
      <w:r w:rsidR="008A6A55">
        <w:t xml:space="preserve"> tiger boom and the role which the </w:t>
      </w:r>
      <w:r w:rsidR="000A0F52">
        <w:t>regulatory and policy ‘</w:t>
      </w:r>
      <w:r w:rsidR="008A6A55">
        <w:t xml:space="preserve">capture’ </w:t>
      </w:r>
      <w:r w:rsidR="000A0F52">
        <w:t>by</w:t>
      </w:r>
      <w:r w:rsidR="000A0F52" w:rsidRPr="007D36E2">
        <w:t xml:space="preserve"> </w:t>
      </w:r>
      <w:r w:rsidR="007D36E2" w:rsidRPr="007D36E2">
        <w:t>financial</w:t>
      </w:r>
      <w:r w:rsidR="000A0F52">
        <w:t xml:space="preserve"> </w:t>
      </w:r>
      <w:r w:rsidR="008A6A55">
        <w:t xml:space="preserve">industry played in this oversight, </w:t>
      </w:r>
      <w:r w:rsidR="0008652F">
        <w:t xml:space="preserve">have been much speculated upon, but require much more robust analysis before definitive conclusions can be drawn (see: </w:t>
      </w:r>
      <w:proofErr w:type="spellStart"/>
      <w:r w:rsidR="0008652F" w:rsidRPr="007875D0">
        <w:t>Dellepiane</w:t>
      </w:r>
      <w:proofErr w:type="spellEnd"/>
      <w:r w:rsidR="0008652F" w:rsidRPr="007875D0">
        <w:t xml:space="preserve"> and </w:t>
      </w:r>
      <w:proofErr w:type="spellStart"/>
      <w:r w:rsidR="0008652F" w:rsidRPr="007875D0">
        <w:t>Hardiman</w:t>
      </w:r>
      <w:proofErr w:type="spellEnd"/>
      <w:r w:rsidR="0008652F">
        <w:t>, 2010</w:t>
      </w:r>
      <w:r w:rsidR="00662C48">
        <w:t xml:space="preserve"> for preliminary comments</w:t>
      </w:r>
      <w:r w:rsidR="0008652F">
        <w:t>).</w:t>
      </w:r>
    </w:p>
    <w:p w:rsidR="002F0ADD" w:rsidRDefault="002F0ADD" w:rsidP="009038F0">
      <w:pPr>
        <w:spacing w:line="480" w:lineRule="auto"/>
        <w:jc w:val="both"/>
      </w:pPr>
    </w:p>
    <w:p w:rsidR="007A6C2F" w:rsidRDefault="0008652F" w:rsidP="009038F0">
      <w:pPr>
        <w:spacing w:line="480" w:lineRule="auto"/>
        <w:jc w:val="both"/>
      </w:pPr>
      <w:r>
        <w:t xml:space="preserve">Not all of the policy lessons arising from the death of the </w:t>
      </w:r>
      <w:proofErr w:type="spellStart"/>
      <w:r>
        <w:t>celtic</w:t>
      </w:r>
      <w:proofErr w:type="spellEnd"/>
      <w:r>
        <w:t xml:space="preserve"> tiger are domestic.  </w:t>
      </w:r>
      <w:proofErr w:type="spellStart"/>
      <w:r w:rsidR="00662C48" w:rsidRPr="007875D0">
        <w:t>Dellepiane</w:t>
      </w:r>
      <w:proofErr w:type="spellEnd"/>
      <w:r w:rsidR="00662C48" w:rsidRPr="007875D0">
        <w:t xml:space="preserve"> and </w:t>
      </w:r>
      <w:proofErr w:type="spellStart"/>
      <w:r w:rsidR="00662C48" w:rsidRPr="007875D0">
        <w:t>Hardiman</w:t>
      </w:r>
      <w:proofErr w:type="spellEnd"/>
      <w:r w:rsidR="00662C48">
        <w:t xml:space="preserve"> (2010) </w:t>
      </w:r>
      <w:r w:rsidR="0027024E">
        <w:t>argue that</w:t>
      </w:r>
      <w:r w:rsidR="00BB29DF">
        <w:t>, in</w:t>
      </w:r>
      <w:r w:rsidR="006B3D29">
        <w:t xml:space="preserve"> view of the massive one-off adjustment in interest rates and credit availability associated with economic and monetary union </w:t>
      </w:r>
      <w:r w:rsidR="00894042">
        <w:t xml:space="preserve">and growing domestic demand, </w:t>
      </w:r>
      <w:r w:rsidR="006B3D29">
        <w:t>it is unlikely that national policy interventions could have entirely eliminated the house price bubble.</w:t>
      </w:r>
      <w:r w:rsidR="0027024E">
        <w:t xml:space="preserve">  This </w:t>
      </w:r>
      <w:r>
        <w:t>view</w:t>
      </w:r>
      <w:r w:rsidR="0027024E">
        <w:t xml:space="preserve"> is supported by the </w:t>
      </w:r>
      <w:r w:rsidR="00573055">
        <w:t>strong</w:t>
      </w:r>
      <w:r w:rsidR="0027024E">
        <w:t xml:space="preserve"> credit growth and </w:t>
      </w:r>
      <w:r>
        <w:t>a</w:t>
      </w:r>
      <w:r w:rsidR="0027024E">
        <w:t xml:space="preserve">ssociated house price booms in </w:t>
      </w:r>
      <w:proofErr w:type="spellStart"/>
      <w:r>
        <w:t>Eurozone</w:t>
      </w:r>
      <w:proofErr w:type="spellEnd"/>
      <w:r>
        <w:t xml:space="preserve"> members such as Spa</w:t>
      </w:r>
      <w:r w:rsidR="009E68AF">
        <w:t xml:space="preserve">in, Greece and Italy, where </w:t>
      </w:r>
      <w:r w:rsidR="00662C48">
        <w:t xml:space="preserve">interest rates were </w:t>
      </w:r>
      <w:r w:rsidR="0027024E">
        <w:t xml:space="preserve">high and volatile </w:t>
      </w:r>
      <w:r w:rsidR="00573055">
        <w:t xml:space="preserve">prior to </w:t>
      </w:r>
      <w:r w:rsidR="0027024E">
        <w:t xml:space="preserve">EMU </w:t>
      </w:r>
      <w:r w:rsidR="00EB6966">
        <w:t>but</w:t>
      </w:r>
      <w:r w:rsidR="00B03EE8">
        <w:t>,</w:t>
      </w:r>
      <w:r w:rsidR="0027024E">
        <w:t xml:space="preserve"> unlike Ireland, </w:t>
      </w:r>
      <w:r w:rsidR="00F81DCB">
        <w:t xml:space="preserve">fiscal and credit regulation </w:t>
      </w:r>
      <w:r w:rsidR="00B23B9C">
        <w:t xml:space="preserve">measures </w:t>
      </w:r>
      <w:r w:rsidR="00B03EE8">
        <w:t xml:space="preserve">were </w:t>
      </w:r>
      <w:r w:rsidR="00B23B9C">
        <w:t xml:space="preserve">in place to stem house price inflation (European Central Bank, 2009).  </w:t>
      </w:r>
      <w:r w:rsidR="00215FF9">
        <w:t xml:space="preserve">Notably, despite the risks associated with the windfall tax revenues generated by the Irish property boom </w:t>
      </w:r>
      <w:r w:rsidR="00EB6966">
        <w:t xml:space="preserve">and interconnectedness of banking systems across the </w:t>
      </w:r>
      <w:proofErr w:type="spellStart"/>
      <w:r w:rsidR="00EB6966">
        <w:t>Eurozone</w:t>
      </w:r>
      <w:proofErr w:type="spellEnd"/>
      <w:r w:rsidR="00EB6966">
        <w:t xml:space="preserve"> </w:t>
      </w:r>
      <w:r w:rsidR="00DC3705">
        <w:t>(at least in retrospect)</w:t>
      </w:r>
      <w:r w:rsidR="009716E5">
        <w:t>,</w:t>
      </w:r>
      <w:r w:rsidR="00DC3705">
        <w:t xml:space="preserve"> the sustainability of tax revenue not factored into arrangements for the surveillance of </w:t>
      </w:r>
      <w:r w:rsidR="00215FF9">
        <w:t>EU</w:t>
      </w:r>
      <w:r w:rsidR="00DC3705">
        <w:t xml:space="preserve"> economies under the </w:t>
      </w:r>
      <w:r w:rsidR="00DC3705" w:rsidRPr="00AA650D">
        <w:t>Stability and Growth Pact</w:t>
      </w:r>
      <w:r w:rsidR="00EB6966">
        <w:t>, nor was the European Central Bank afforded any role in banking supervision</w:t>
      </w:r>
      <w:r w:rsidR="00DC3705">
        <w:t xml:space="preserve"> </w:t>
      </w:r>
      <w:r w:rsidR="00EB6966">
        <w:t xml:space="preserve">at the time of its establishment </w:t>
      </w:r>
      <w:r w:rsidR="00DC3705">
        <w:t>(O’Leary, 2010)</w:t>
      </w:r>
      <w:r w:rsidR="000A5C26">
        <w:t>.</w:t>
      </w:r>
      <w:r w:rsidR="00F30C1E">
        <w:t xml:space="preserve">  </w:t>
      </w:r>
      <w:r w:rsidR="00B7291E">
        <w:t>Thus</w:t>
      </w:r>
      <w:r w:rsidR="00EB6966">
        <w:t xml:space="preserve">, two further </w:t>
      </w:r>
      <w:proofErr w:type="gramStart"/>
      <w:r w:rsidR="00EB6966">
        <w:t>lesson</w:t>
      </w:r>
      <w:proofErr w:type="gramEnd"/>
      <w:r w:rsidR="00EB6966">
        <w:t xml:space="preserve"> arising from the Irish case relate to the </w:t>
      </w:r>
      <w:r w:rsidR="00573055">
        <w:t xml:space="preserve">need </w:t>
      </w:r>
      <w:r w:rsidR="00FC1198">
        <w:t>to strengthen arrangements for the surveillance of EU economies and to introduce pan</w:t>
      </w:r>
      <w:r w:rsidR="00573055">
        <w:t>-</w:t>
      </w:r>
      <w:r w:rsidR="00FC1198">
        <w:t>European banking sector supervision (</w:t>
      </w:r>
      <w:r w:rsidR="00B7291E">
        <w:t xml:space="preserve">eg. Lane, 2012).  </w:t>
      </w:r>
      <w:r w:rsidR="00FC1198">
        <w:t xml:space="preserve">The latter is currently under discussion, but the former has recently </w:t>
      </w:r>
      <w:r w:rsidR="00B03EE8">
        <w:t xml:space="preserve">been </w:t>
      </w:r>
      <w:r w:rsidR="00FC1198">
        <w:t xml:space="preserve">approved by most </w:t>
      </w:r>
      <w:proofErr w:type="spellStart"/>
      <w:r w:rsidR="00FC1198">
        <w:t>Eurozone</w:t>
      </w:r>
      <w:proofErr w:type="spellEnd"/>
      <w:r w:rsidR="00FC1198">
        <w:t xml:space="preserve"> members as part of the </w:t>
      </w:r>
      <w:r w:rsidR="00EB6966">
        <w:t xml:space="preserve">Treaty on Stability, Coordination and Governance (commonly known as the fiscal compact).  </w:t>
      </w:r>
      <w:r w:rsidR="00583CD9">
        <w:t>However, t</w:t>
      </w:r>
      <w:r w:rsidR="00B7291E">
        <w:t xml:space="preserve">he </w:t>
      </w:r>
      <w:r w:rsidR="001A15A7">
        <w:t xml:space="preserve">poor </w:t>
      </w:r>
      <w:r w:rsidR="00B7291E">
        <w:t xml:space="preserve">record to policing </w:t>
      </w:r>
      <w:r w:rsidR="001A15A7">
        <w:t xml:space="preserve">adherence to </w:t>
      </w:r>
      <w:r w:rsidR="00B7291E">
        <w:t>the Stability and Growth Pact</w:t>
      </w:r>
      <w:r w:rsidR="001A15A7">
        <w:t xml:space="preserve"> </w:t>
      </w:r>
      <w:r w:rsidR="009E68AF">
        <w:t>(</w:t>
      </w:r>
      <w:r w:rsidR="00B309B9">
        <w:t>the terms of which w</w:t>
      </w:r>
      <w:r w:rsidR="00B03EE8">
        <w:t>as</w:t>
      </w:r>
      <w:r w:rsidR="00B309B9">
        <w:t xml:space="preserve"> breeched by ten of the seventeen current Euro members prior to 2007) </w:t>
      </w:r>
      <w:r w:rsidR="001A15A7">
        <w:t xml:space="preserve">indicate that implementation of the fiscal compact will pose a </w:t>
      </w:r>
      <w:r w:rsidR="00C14821">
        <w:t xml:space="preserve">much </w:t>
      </w:r>
      <w:r w:rsidR="001A15A7">
        <w:t>greater challenge than its design.</w:t>
      </w:r>
    </w:p>
    <w:p w:rsidR="0054062A" w:rsidRDefault="0054062A" w:rsidP="00E07404">
      <w:pPr>
        <w:sectPr w:rsidR="0054062A" w:rsidSect="007A6C2F">
          <w:footerReference w:type="default" r:id="rId9"/>
          <w:pgSz w:w="11906" w:h="16838"/>
          <w:pgMar w:top="720" w:right="720" w:bottom="720" w:left="720" w:header="708" w:footer="708" w:gutter="0"/>
          <w:cols w:space="708"/>
          <w:docGrid w:linePitch="360"/>
        </w:sectPr>
      </w:pPr>
    </w:p>
    <w:p w:rsidR="007A6C2F" w:rsidRDefault="007A6C2F" w:rsidP="00E07404"/>
    <w:p w:rsidR="007A6C2F" w:rsidRPr="009038F0" w:rsidRDefault="007A6C2F" w:rsidP="00E07404">
      <w:pPr>
        <w:rPr>
          <w:i/>
        </w:rPr>
      </w:pPr>
      <w:r w:rsidRPr="009038F0">
        <w:rPr>
          <w:i/>
        </w:rPr>
        <w:t>Table 1</w:t>
      </w:r>
      <w:r w:rsidRPr="009038F0">
        <w:rPr>
          <w:i/>
        </w:rPr>
        <w:tab/>
        <w:t xml:space="preserve">Macroeconomic </w:t>
      </w:r>
      <w:proofErr w:type="gramStart"/>
      <w:r w:rsidRPr="009038F0">
        <w:rPr>
          <w:i/>
        </w:rPr>
        <w:t>Implications</w:t>
      </w:r>
      <w:proofErr w:type="gramEnd"/>
      <w:r w:rsidRPr="009038F0">
        <w:rPr>
          <w:i/>
        </w:rPr>
        <w:t xml:space="preserve"> of the Irish Housing Market Boom and Bust, 1996-2010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5"/>
        <w:gridCol w:w="1176"/>
        <w:gridCol w:w="1176"/>
        <w:gridCol w:w="1176"/>
        <w:gridCol w:w="1176"/>
        <w:gridCol w:w="1176"/>
        <w:gridCol w:w="1176"/>
        <w:gridCol w:w="1176"/>
        <w:gridCol w:w="1256"/>
      </w:tblGrid>
      <w:tr w:rsidR="007A6C2F" w:rsidRPr="00F44625" w:rsidTr="003D439E">
        <w:tc>
          <w:tcPr>
            <w:tcW w:w="3725" w:type="dxa"/>
          </w:tcPr>
          <w:p w:rsidR="007A6C2F" w:rsidRPr="00F44625" w:rsidRDefault="007A6C2F" w:rsidP="00E07404">
            <w:pPr>
              <w:rPr>
                <w:lang w:val="en-IE" w:eastAsia="en-IE"/>
              </w:rPr>
            </w:pPr>
          </w:p>
        </w:tc>
        <w:tc>
          <w:tcPr>
            <w:tcW w:w="1106" w:type="dxa"/>
          </w:tcPr>
          <w:p w:rsidR="007A6C2F" w:rsidRPr="00F44625" w:rsidRDefault="007A6C2F" w:rsidP="00E07404">
            <w:pPr>
              <w:rPr>
                <w:lang w:val="en-IE" w:eastAsia="en-IE"/>
              </w:rPr>
            </w:pPr>
            <w:r w:rsidRPr="00F44625">
              <w:rPr>
                <w:lang w:val="en-IE" w:eastAsia="en-IE"/>
              </w:rPr>
              <w:t>1996</w:t>
            </w:r>
          </w:p>
        </w:tc>
        <w:tc>
          <w:tcPr>
            <w:tcW w:w="1106" w:type="dxa"/>
          </w:tcPr>
          <w:p w:rsidR="007A6C2F" w:rsidRPr="00F44625" w:rsidRDefault="007A6C2F" w:rsidP="00E07404">
            <w:pPr>
              <w:rPr>
                <w:lang w:val="en-IE" w:eastAsia="en-IE"/>
              </w:rPr>
            </w:pPr>
            <w:r w:rsidRPr="00F44625">
              <w:rPr>
                <w:lang w:val="en-IE" w:eastAsia="en-IE"/>
              </w:rPr>
              <w:t>1998</w:t>
            </w:r>
          </w:p>
        </w:tc>
        <w:tc>
          <w:tcPr>
            <w:tcW w:w="1106" w:type="dxa"/>
            <w:vAlign w:val="bottom"/>
          </w:tcPr>
          <w:p w:rsidR="007A6C2F" w:rsidRPr="00F44625" w:rsidRDefault="007A6C2F" w:rsidP="00E07404">
            <w:pPr>
              <w:rPr>
                <w:lang w:val="en-IE" w:eastAsia="en-IE"/>
              </w:rPr>
            </w:pPr>
            <w:r w:rsidRPr="00F44625">
              <w:rPr>
                <w:lang w:val="en-IE" w:eastAsia="en-IE"/>
              </w:rPr>
              <w:t>2000</w:t>
            </w:r>
          </w:p>
        </w:tc>
        <w:tc>
          <w:tcPr>
            <w:tcW w:w="1106" w:type="dxa"/>
            <w:vAlign w:val="bottom"/>
          </w:tcPr>
          <w:p w:rsidR="007A6C2F" w:rsidRPr="00F44625" w:rsidRDefault="007A6C2F" w:rsidP="00E07404">
            <w:pPr>
              <w:rPr>
                <w:lang w:val="en-IE" w:eastAsia="en-IE"/>
              </w:rPr>
            </w:pPr>
            <w:r w:rsidRPr="00F44625">
              <w:rPr>
                <w:lang w:val="en-IE" w:eastAsia="en-IE"/>
              </w:rPr>
              <w:t>2002</w:t>
            </w:r>
          </w:p>
        </w:tc>
        <w:tc>
          <w:tcPr>
            <w:tcW w:w="1106" w:type="dxa"/>
            <w:vAlign w:val="bottom"/>
          </w:tcPr>
          <w:p w:rsidR="007A6C2F" w:rsidRPr="00F44625" w:rsidRDefault="007A6C2F" w:rsidP="00E07404">
            <w:pPr>
              <w:rPr>
                <w:lang w:val="en-IE" w:eastAsia="en-IE"/>
              </w:rPr>
            </w:pPr>
            <w:r w:rsidRPr="00F44625">
              <w:rPr>
                <w:lang w:val="en-IE" w:eastAsia="en-IE"/>
              </w:rPr>
              <w:t>2004</w:t>
            </w:r>
          </w:p>
        </w:tc>
        <w:tc>
          <w:tcPr>
            <w:tcW w:w="1106" w:type="dxa"/>
            <w:vAlign w:val="bottom"/>
          </w:tcPr>
          <w:p w:rsidR="007A6C2F" w:rsidRPr="00F44625" w:rsidRDefault="007A6C2F" w:rsidP="00E07404">
            <w:pPr>
              <w:rPr>
                <w:lang w:val="en-IE" w:eastAsia="en-IE"/>
              </w:rPr>
            </w:pPr>
            <w:r w:rsidRPr="00F44625">
              <w:rPr>
                <w:lang w:val="en-IE" w:eastAsia="en-IE"/>
              </w:rPr>
              <w:t>2006</w:t>
            </w:r>
          </w:p>
        </w:tc>
        <w:tc>
          <w:tcPr>
            <w:tcW w:w="1106" w:type="dxa"/>
            <w:vAlign w:val="bottom"/>
          </w:tcPr>
          <w:p w:rsidR="007A6C2F" w:rsidRPr="00F44625" w:rsidRDefault="007A6C2F" w:rsidP="00E07404">
            <w:pPr>
              <w:rPr>
                <w:lang w:val="en-IE" w:eastAsia="en-IE"/>
              </w:rPr>
            </w:pPr>
            <w:r w:rsidRPr="00F44625">
              <w:rPr>
                <w:lang w:val="en-IE" w:eastAsia="en-IE"/>
              </w:rPr>
              <w:t>2008</w:t>
            </w:r>
          </w:p>
        </w:tc>
        <w:tc>
          <w:tcPr>
            <w:tcW w:w="1106" w:type="dxa"/>
          </w:tcPr>
          <w:p w:rsidR="007A6C2F" w:rsidRPr="00F44625" w:rsidRDefault="007A6C2F" w:rsidP="00E07404">
            <w:pPr>
              <w:rPr>
                <w:lang w:val="en-IE" w:eastAsia="en-IE"/>
              </w:rPr>
            </w:pPr>
            <w:r w:rsidRPr="00F44625">
              <w:rPr>
                <w:lang w:val="en-IE" w:eastAsia="en-IE"/>
              </w:rPr>
              <w:t>2010</w:t>
            </w:r>
          </w:p>
        </w:tc>
      </w:tr>
      <w:tr w:rsidR="007A6C2F" w:rsidRPr="00F44625" w:rsidTr="003D439E">
        <w:tc>
          <w:tcPr>
            <w:tcW w:w="3725" w:type="dxa"/>
            <w:tcBorders>
              <w:bottom w:val="nil"/>
            </w:tcBorders>
          </w:tcPr>
          <w:p w:rsidR="007A6C2F" w:rsidRPr="00F44625" w:rsidRDefault="007A6C2F" w:rsidP="00E07404">
            <w:pPr>
              <w:rPr>
                <w:lang w:val="en-IE" w:eastAsia="en-IE"/>
              </w:rPr>
            </w:pPr>
            <w:r>
              <w:rPr>
                <w:lang w:val="en-IE" w:eastAsia="en-IE"/>
              </w:rPr>
              <w:t>Population (N)</w:t>
            </w:r>
          </w:p>
        </w:tc>
        <w:tc>
          <w:tcPr>
            <w:tcW w:w="1106" w:type="dxa"/>
            <w:tcBorders>
              <w:bottom w:val="nil"/>
            </w:tcBorders>
          </w:tcPr>
          <w:p w:rsidR="007A6C2F" w:rsidRPr="00F44625" w:rsidRDefault="007A6C2F" w:rsidP="00E07404">
            <w:r>
              <w:t>3,626,087</w:t>
            </w:r>
          </w:p>
        </w:tc>
        <w:tc>
          <w:tcPr>
            <w:tcW w:w="1106" w:type="dxa"/>
            <w:tcBorders>
              <w:bottom w:val="nil"/>
            </w:tcBorders>
            <w:vAlign w:val="bottom"/>
          </w:tcPr>
          <w:p w:rsidR="007A6C2F" w:rsidRPr="00F44625" w:rsidRDefault="007A6C2F" w:rsidP="00E07404">
            <w:proofErr w:type="spellStart"/>
            <w:r>
              <w:t>Nav</w:t>
            </w:r>
            <w:proofErr w:type="spellEnd"/>
          </w:p>
        </w:tc>
        <w:tc>
          <w:tcPr>
            <w:tcW w:w="1106" w:type="dxa"/>
            <w:tcBorders>
              <w:bottom w:val="nil"/>
            </w:tcBorders>
            <w:vAlign w:val="bottom"/>
          </w:tcPr>
          <w:p w:rsidR="007A6C2F" w:rsidRPr="00F44625" w:rsidRDefault="007A6C2F" w:rsidP="00E07404">
            <w:proofErr w:type="spellStart"/>
            <w:r>
              <w:t>Nav</w:t>
            </w:r>
            <w:proofErr w:type="spellEnd"/>
          </w:p>
        </w:tc>
        <w:tc>
          <w:tcPr>
            <w:tcW w:w="1106" w:type="dxa"/>
            <w:tcBorders>
              <w:bottom w:val="nil"/>
            </w:tcBorders>
            <w:vAlign w:val="bottom"/>
          </w:tcPr>
          <w:p w:rsidR="007A6C2F" w:rsidRPr="00F44625" w:rsidRDefault="007A6C2F" w:rsidP="00E07404">
            <w:r>
              <w:t>3,917,203</w:t>
            </w:r>
          </w:p>
        </w:tc>
        <w:tc>
          <w:tcPr>
            <w:tcW w:w="1106" w:type="dxa"/>
            <w:tcBorders>
              <w:bottom w:val="nil"/>
            </w:tcBorders>
            <w:vAlign w:val="bottom"/>
          </w:tcPr>
          <w:p w:rsidR="007A6C2F" w:rsidRPr="00F44625" w:rsidRDefault="007A6C2F" w:rsidP="00E07404">
            <w:proofErr w:type="spellStart"/>
            <w:r>
              <w:t>Nav</w:t>
            </w:r>
            <w:proofErr w:type="spellEnd"/>
          </w:p>
        </w:tc>
        <w:tc>
          <w:tcPr>
            <w:tcW w:w="1106" w:type="dxa"/>
            <w:tcBorders>
              <w:bottom w:val="nil"/>
            </w:tcBorders>
            <w:vAlign w:val="bottom"/>
          </w:tcPr>
          <w:p w:rsidR="007A6C2F" w:rsidRPr="00F44625" w:rsidRDefault="007A6C2F" w:rsidP="00E07404">
            <w:r>
              <w:t>4,239,849</w:t>
            </w:r>
          </w:p>
        </w:tc>
        <w:tc>
          <w:tcPr>
            <w:tcW w:w="1106" w:type="dxa"/>
            <w:tcBorders>
              <w:bottom w:val="nil"/>
            </w:tcBorders>
            <w:vAlign w:val="bottom"/>
          </w:tcPr>
          <w:p w:rsidR="007A6C2F" w:rsidRPr="00F44625" w:rsidRDefault="007A6C2F" w:rsidP="00E07404">
            <w:proofErr w:type="spellStart"/>
            <w:r>
              <w:t>Nav</w:t>
            </w:r>
            <w:proofErr w:type="spellEnd"/>
          </w:p>
        </w:tc>
        <w:tc>
          <w:tcPr>
            <w:tcW w:w="1106" w:type="dxa"/>
            <w:tcBorders>
              <w:bottom w:val="nil"/>
            </w:tcBorders>
          </w:tcPr>
          <w:p w:rsidR="007A6C2F" w:rsidRPr="00F44625" w:rsidRDefault="007A6C2F" w:rsidP="00E07404">
            <w:r w:rsidRPr="00223870">
              <w:t>4,588,252</w:t>
            </w:r>
            <w:r w:rsidRPr="00223870">
              <w:rPr>
                <w:vertAlign w:val="superscript"/>
              </w:rPr>
              <w:t>2</w:t>
            </w:r>
          </w:p>
        </w:tc>
      </w:tr>
      <w:tr w:rsidR="007A6C2F" w:rsidRPr="00F44625" w:rsidTr="003D439E">
        <w:tc>
          <w:tcPr>
            <w:tcW w:w="3725" w:type="dxa"/>
            <w:tcBorders>
              <w:bottom w:val="nil"/>
            </w:tcBorders>
          </w:tcPr>
          <w:p w:rsidR="007A6C2F" w:rsidRPr="00F44625" w:rsidRDefault="007A6C2F" w:rsidP="00E07404">
            <w:pPr>
              <w:rPr>
                <w:lang w:val="en-IE" w:eastAsia="en-IE"/>
              </w:rPr>
            </w:pPr>
            <w:r>
              <w:rPr>
                <w:lang w:val="en-IE" w:eastAsia="en-IE"/>
              </w:rPr>
              <w:t>Households (N)</w:t>
            </w:r>
          </w:p>
        </w:tc>
        <w:tc>
          <w:tcPr>
            <w:tcW w:w="1106" w:type="dxa"/>
            <w:tcBorders>
              <w:bottom w:val="nil"/>
            </w:tcBorders>
          </w:tcPr>
          <w:p w:rsidR="007A6C2F" w:rsidRPr="00F44625" w:rsidRDefault="007A6C2F" w:rsidP="00E07404">
            <w:r>
              <w:t>1,127,318</w:t>
            </w:r>
          </w:p>
        </w:tc>
        <w:tc>
          <w:tcPr>
            <w:tcW w:w="1106" w:type="dxa"/>
            <w:tcBorders>
              <w:bottom w:val="nil"/>
            </w:tcBorders>
            <w:vAlign w:val="bottom"/>
          </w:tcPr>
          <w:p w:rsidR="007A6C2F" w:rsidRPr="00F44625" w:rsidRDefault="007A6C2F" w:rsidP="00E07404">
            <w:proofErr w:type="spellStart"/>
            <w:r>
              <w:t>Nav</w:t>
            </w:r>
            <w:proofErr w:type="spellEnd"/>
          </w:p>
        </w:tc>
        <w:tc>
          <w:tcPr>
            <w:tcW w:w="1106" w:type="dxa"/>
            <w:tcBorders>
              <w:bottom w:val="nil"/>
            </w:tcBorders>
            <w:vAlign w:val="bottom"/>
          </w:tcPr>
          <w:p w:rsidR="007A6C2F" w:rsidRPr="00F44625" w:rsidRDefault="007A6C2F" w:rsidP="00E07404">
            <w:proofErr w:type="spellStart"/>
            <w:r>
              <w:t>Nav</w:t>
            </w:r>
            <w:proofErr w:type="spellEnd"/>
          </w:p>
        </w:tc>
        <w:tc>
          <w:tcPr>
            <w:tcW w:w="1106" w:type="dxa"/>
            <w:tcBorders>
              <w:bottom w:val="nil"/>
            </w:tcBorders>
            <w:vAlign w:val="bottom"/>
          </w:tcPr>
          <w:p w:rsidR="007A6C2F" w:rsidRPr="00F44625" w:rsidRDefault="007A6C2F" w:rsidP="00E07404">
            <w:r>
              <w:t>1,287,954</w:t>
            </w:r>
          </w:p>
        </w:tc>
        <w:tc>
          <w:tcPr>
            <w:tcW w:w="1106" w:type="dxa"/>
            <w:tcBorders>
              <w:bottom w:val="nil"/>
            </w:tcBorders>
            <w:vAlign w:val="bottom"/>
          </w:tcPr>
          <w:p w:rsidR="007A6C2F" w:rsidRPr="00F44625" w:rsidRDefault="007A6C2F" w:rsidP="00E07404">
            <w:proofErr w:type="spellStart"/>
            <w:r>
              <w:t>Nav</w:t>
            </w:r>
            <w:proofErr w:type="spellEnd"/>
          </w:p>
        </w:tc>
        <w:tc>
          <w:tcPr>
            <w:tcW w:w="1106" w:type="dxa"/>
            <w:tcBorders>
              <w:bottom w:val="nil"/>
            </w:tcBorders>
            <w:vAlign w:val="bottom"/>
          </w:tcPr>
          <w:p w:rsidR="007A6C2F" w:rsidRPr="00F44625" w:rsidRDefault="007A6C2F" w:rsidP="00E07404">
            <w:r>
              <w:t>1,469,521</w:t>
            </w:r>
          </w:p>
        </w:tc>
        <w:tc>
          <w:tcPr>
            <w:tcW w:w="1106" w:type="dxa"/>
            <w:tcBorders>
              <w:bottom w:val="nil"/>
            </w:tcBorders>
            <w:vAlign w:val="bottom"/>
          </w:tcPr>
          <w:p w:rsidR="007A6C2F" w:rsidRPr="00F44625" w:rsidRDefault="007A6C2F" w:rsidP="00E07404">
            <w:proofErr w:type="spellStart"/>
            <w:r>
              <w:t>Nav</w:t>
            </w:r>
            <w:proofErr w:type="spellEnd"/>
          </w:p>
        </w:tc>
        <w:tc>
          <w:tcPr>
            <w:tcW w:w="1106" w:type="dxa"/>
            <w:tcBorders>
              <w:bottom w:val="nil"/>
            </w:tcBorders>
          </w:tcPr>
          <w:p w:rsidR="007A6C2F" w:rsidRPr="00F44625" w:rsidRDefault="007A6C2F" w:rsidP="00E07404">
            <w:pPr>
              <w:rPr>
                <w:bCs/>
              </w:rPr>
            </w:pPr>
            <w:r>
              <w:rPr>
                <w:lang w:val="en-IE" w:eastAsia="en-IE"/>
              </w:rPr>
              <w:t>1,654,208</w:t>
            </w:r>
            <w:r w:rsidRPr="00223870">
              <w:rPr>
                <w:bCs/>
                <w:vertAlign w:val="superscript"/>
              </w:rPr>
              <w:t>2</w:t>
            </w:r>
          </w:p>
        </w:tc>
      </w:tr>
      <w:tr w:rsidR="007A6C2F" w:rsidRPr="00F44625" w:rsidTr="003D439E">
        <w:tc>
          <w:tcPr>
            <w:tcW w:w="3725" w:type="dxa"/>
            <w:tcBorders>
              <w:bottom w:val="nil"/>
            </w:tcBorders>
          </w:tcPr>
          <w:p w:rsidR="007A6C2F" w:rsidRPr="00F44625" w:rsidRDefault="007A6C2F" w:rsidP="00E07404">
            <w:pPr>
              <w:rPr>
                <w:lang w:val="en-IE" w:eastAsia="en-IE"/>
              </w:rPr>
            </w:pPr>
            <w:r w:rsidRPr="00F44625">
              <w:rPr>
                <w:lang w:val="en-IE" w:eastAsia="en-IE"/>
              </w:rPr>
              <w:t>GNP(€m)</w:t>
            </w:r>
          </w:p>
        </w:tc>
        <w:tc>
          <w:tcPr>
            <w:tcW w:w="1106" w:type="dxa"/>
            <w:tcBorders>
              <w:bottom w:val="nil"/>
            </w:tcBorders>
          </w:tcPr>
          <w:p w:rsidR="007A6C2F" w:rsidRPr="00F44625" w:rsidRDefault="007A6C2F" w:rsidP="00E07404">
            <w:r w:rsidRPr="00F44625">
              <w:t>51,906</w:t>
            </w:r>
          </w:p>
        </w:tc>
        <w:tc>
          <w:tcPr>
            <w:tcW w:w="1106" w:type="dxa"/>
            <w:tcBorders>
              <w:bottom w:val="nil"/>
            </w:tcBorders>
            <w:vAlign w:val="bottom"/>
          </w:tcPr>
          <w:p w:rsidR="007A6C2F" w:rsidRPr="00F44625" w:rsidRDefault="007A6C2F" w:rsidP="00E07404">
            <w:r w:rsidRPr="00F44625">
              <w:t>68,531</w:t>
            </w:r>
          </w:p>
        </w:tc>
        <w:tc>
          <w:tcPr>
            <w:tcW w:w="1106" w:type="dxa"/>
            <w:tcBorders>
              <w:bottom w:val="nil"/>
            </w:tcBorders>
            <w:vAlign w:val="bottom"/>
          </w:tcPr>
          <w:p w:rsidR="007A6C2F" w:rsidRPr="00F44625" w:rsidRDefault="007A6C2F" w:rsidP="00E07404">
            <w:r w:rsidRPr="00F44625">
              <w:t>89,530</w:t>
            </w:r>
          </w:p>
        </w:tc>
        <w:tc>
          <w:tcPr>
            <w:tcW w:w="1106" w:type="dxa"/>
            <w:tcBorders>
              <w:bottom w:val="nil"/>
            </w:tcBorders>
            <w:vAlign w:val="bottom"/>
          </w:tcPr>
          <w:p w:rsidR="007A6C2F" w:rsidRPr="00F44625" w:rsidRDefault="007A6C2F" w:rsidP="00E07404">
            <w:r w:rsidRPr="00F44625">
              <w:t>106,768</w:t>
            </w:r>
          </w:p>
        </w:tc>
        <w:tc>
          <w:tcPr>
            <w:tcW w:w="1106" w:type="dxa"/>
            <w:tcBorders>
              <w:bottom w:val="nil"/>
            </w:tcBorders>
            <w:vAlign w:val="bottom"/>
          </w:tcPr>
          <w:p w:rsidR="007A6C2F" w:rsidRPr="00F44625" w:rsidRDefault="007A6C2F" w:rsidP="00E07404">
            <w:r w:rsidRPr="00F44625">
              <w:t>126,465</w:t>
            </w:r>
          </w:p>
        </w:tc>
        <w:tc>
          <w:tcPr>
            <w:tcW w:w="1106" w:type="dxa"/>
            <w:tcBorders>
              <w:bottom w:val="nil"/>
            </w:tcBorders>
            <w:vAlign w:val="bottom"/>
          </w:tcPr>
          <w:p w:rsidR="007A6C2F" w:rsidRPr="00F44625" w:rsidRDefault="007A6C2F" w:rsidP="00E07404">
            <w:r w:rsidRPr="00F44625">
              <w:t>154,078</w:t>
            </w:r>
          </w:p>
        </w:tc>
        <w:tc>
          <w:tcPr>
            <w:tcW w:w="1106" w:type="dxa"/>
            <w:tcBorders>
              <w:bottom w:val="nil"/>
            </w:tcBorders>
            <w:vAlign w:val="bottom"/>
          </w:tcPr>
          <w:p w:rsidR="007A6C2F" w:rsidRPr="00F44625" w:rsidRDefault="007A6C2F" w:rsidP="00E07404">
            <w:r w:rsidRPr="00F44625">
              <w:t>154,672</w:t>
            </w:r>
          </w:p>
        </w:tc>
        <w:tc>
          <w:tcPr>
            <w:tcW w:w="1106" w:type="dxa"/>
            <w:tcBorders>
              <w:bottom w:val="nil"/>
            </w:tcBorders>
          </w:tcPr>
          <w:p w:rsidR="007A6C2F" w:rsidRPr="00F44625" w:rsidRDefault="007A6C2F" w:rsidP="00E07404">
            <w:r w:rsidRPr="00F44625">
              <w:t>125,728</w:t>
            </w:r>
          </w:p>
        </w:tc>
      </w:tr>
      <w:tr w:rsidR="007A6C2F" w:rsidRPr="00F44625" w:rsidTr="003D439E">
        <w:tc>
          <w:tcPr>
            <w:tcW w:w="3725" w:type="dxa"/>
            <w:tcBorders>
              <w:top w:val="nil"/>
            </w:tcBorders>
          </w:tcPr>
          <w:p w:rsidR="007A6C2F" w:rsidRPr="00F44625" w:rsidRDefault="007A6C2F" w:rsidP="00E07404">
            <w:pPr>
              <w:rPr>
                <w:lang w:val="en-IE" w:eastAsia="en-IE"/>
              </w:rPr>
            </w:pPr>
            <w:r w:rsidRPr="00F44625">
              <w:rPr>
                <w:lang w:val="en-IE" w:eastAsia="en-IE"/>
              </w:rPr>
              <w:t>Of which is gross value added from construction (€m)</w:t>
            </w:r>
          </w:p>
        </w:tc>
        <w:tc>
          <w:tcPr>
            <w:tcW w:w="1106" w:type="dxa"/>
            <w:tcBorders>
              <w:top w:val="nil"/>
            </w:tcBorders>
            <w:vAlign w:val="bottom"/>
          </w:tcPr>
          <w:p w:rsidR="007A6C2F" w:rsidRPr="00F44625" w:rsidRDefault="007A6C2F" w:rsidP="00E07404">
            <w:r w:rsidRPr="00F44625">
              <w:t>2,875</w:t>
            </w:r>
          </w:p>
        </w:tc>
        <w:tc>
          <w:tcPr>
            <w:tcW w:w="1106" w:type="dxa"/>
            <w:tcBorders>
              <w:top w:val="nil"/>
            </w:tcBorders>
            <w:vAlign w:val="bottom"/>
          </w:tcPr>
          <w:p w:rsidR="007A6C2F" w:rsidRPr="00F44625" w:rsidRDefault="007A6C2F" w:rsidP="00E07404">
            <w:r w:rsidRPr="00F44625">
              <w:t>4,270</w:t>
            </w:r>
          </w:p>
        </w:tc>
        <w:tc>
          <w:tcPr>
            <w:tcW w:w="1106" w:type="dxa"/>
            <w:tcBorders>
              <w:top w:val="nil"/>
            </w:tcBorders>
            <w:vAlign w:val="bottom"/>
          </w:tcPr>
          <w:p w:rsidR="007A6C2F" w:rsidRPr="00F44625" w:rsidRDefault="007A6C2F" w:rsidP="00E07404">
            <w:r w:rsidRPr="00F44625">
              <w:t>7,008</w:t>
            </w:r>
          </w:p>
        </w:tc>
        <w:tc>
          <w:tcPr>
            <w:tcW w:w="1106" w:type="dxa"/>
            <w:tcBorders>
              <w:top w:val="nil"/>
            </w:tcBorders>
            <w:vAlign w:val="bottom"/>
          </w:tcPr>
          <w:p w:rsidR="007A6C2F" w:rsidRPr="00F44625" w:rsidRDefault="007A6C2F" w:rsidP="00E07404">
            <w:r w:rsidRPr="00F44625">
              <w:t>8,966</w:t>
            </w:r>
          </w:p>
        </w:tc>
        <w:tc>
          <w:tcPr>
            <w:tcW w:w="1106" w:type="dxa"/>
            <w:tcBorders>
              <w:top w:val="nil"/>
            </w:tcBorders>
            <w:vAlign w:val="bottom"/>
          </w:tcPr>
          <w:p w:rsidR="007A6C2F" w:rsidRPr="00F44625" w:rsidRDefault="007A6C2F" w:rsidP="00E07404">
            <w:r w:rsidRPr="00F44625">
              <w:t>11,813</w:t>
            </w:r>
          </w:p>
        </w:tc>
        <w:tc>
          <w:tcPr>
            <w:tcW w:w="1106" w:type="dxa"/>
            <w:tcBorders>
              <w:top w:val="nil"/>
            </w:tcBorders>
            <w:vAlign w:val="bottom"/>
          </w:tcPr>
          <w:p w:rsidR="007A6C2F" w:rsidRPr="00F44625" w:rsidRDefault="007A6C2F" w:rsidP="00E07404">
            <w:r w:rsidRPr="00F44625">
              <w:t>15,924</w:t>
            </w:r>
          </w:p>
        </w:tc>
        <w:tc>
          <w:tcPr>
            <w:tcW w:w="1106" w:type="dxa"/>
            <w:tcBorders>
              <w:top w:val="nil"/>
            </w:tcBorders>
            <w:vAlign w:val="bottom"/>
          </w:tcPr>
          <w:p w:rsidR="007A6C2F" w:rsidRPr="00F44625" w:rsidRDefault="007A6C2F" w:rsidP="00E07404">
            <w:r w:rsidRPr="00F44625">
              <w:t>12,297</w:t>
            </w:r>
          </w:p>
        </w:tc>
        <w:tc>
          <w:tcPr>
            <w:tcW w:w="1106" w:type="dxa"/>
            <w:tcBorders>
              <w:top w:val="nil"/>
            </w:tcBorders>
            <w:vAlign w:val="bottom"/>
          </w:tcPr>
          <w:p w:rsidR="007A6C2F" w:rsidRPr="00F44625" w:rsidRDefault="007A6C2F" w:rsidP="00E07404">
            <w:proofErr w:type="spellStart"/>
            <w:r>
              <w:t>Nav</w:t>
            </w:r>
            <w:proofErr w:type="spellEnd"/>
          </w:p>
        </w:tc>
      </w:tr>
      <w:tr w:rsidR="007A6C2F" w:rsidRPr="00F44625" w:rsidTr="003D439E">
        <w:tc>
          <w:tcPr>
            <w:tcW w:w="3725" w:type="dxa"/>
            <w:tcBorders>
              <w:bottom w:val="nil"/>
            </w:tcBorders>
          </w:tcPr>
          <w:p w:rsidR="007A6C2F" w:rsidRPr="00F44625" w:rsidRDefault="007A6C2F" w:rsidP="00E07404">
            <w:pPr>
              <w:rPr>
                <w:lang w:val="en-IE" w:eastAsia="en-IE"/>
              </w:rPr>
            </w:pPr>
            <w:r w:rsidRPr="00F44625">
              <w:rPr>
                <w:lang w:val="en-IE" w:eastAsia="en-IE"/>
              </w:rPr>
              <w:t>Employment (N)</w:t>
            </w:r>
          </w:p>
        </w:tc>
        <w:tc>
          <w:tcPr>
            <w:tcW w:w="1106" w:type="dxa"/>
            <w:tcBorders>
              <w:bottom w:val="nil"/>
            </w:tcBorders>
          </w:tcPr>
          <w:p w:rsidR="007A6C2F" w:rsidRPr="00F44625" w:rsidRDefault="007A6C2F" w:rsidP="00E07404">
            <w:r w:rsidRPr="00F44625">
              <w:t>1,328,500</w:t>
            </w:r>
          </w:p>
        </w:tc>
        <w:tc>
          <w:tcPr>
            <w:tcW w:w="1106" w:type="dxa"/>
            <w:tcBorders>
              <w:bottom w:val="nil"/>
            </w:tcBorders>
          </w:tcPr>
          <w:p w:rsidR="007A6C2F" w:rsidRPr="00F44625" w:rsidRDefault="007A6C2F" w:rsidP="00E07404">
            <w:r w:rsidRPr="00F44625">
              <w:t>1,505,500</w:t>
            </w:r>
          </w:p>
        </w:tc>
        <w:tc>
          <w:tcPr>
            <w:tcW w:w="1106" w:type="dxa"/>
            <w:tcBorders>
              <w:bottom w:val="nil"/>
            </w:tcBorders>
            <w:vAlign w:val="bottom"/>
          </w:tcPr>
          <w:p w:rsidR="007A6C2F" w:rsidRPr="00F44625" w:rsidRDefault="007A6C2F" w:rsidP="00E07404">
            <w:r w:rsidRPr="00F44625">
              <w:t>1,684,100</w:t>
            </w:r>
          </w:p>
        </w:tc>
        <w:tc>
          <w:tcPr>
            <w:tcW w:w="1106" w:type="dxa"/>
            <w:tcBorders>
              <w:bottom w:val="nil"/>
            </w:tcBorders>
            <w:vAlign w:val="bottom"/>
          </w:tcPr>
          <w:p w:rsidR="007A6C2F" w:rsidRPr="00F44625" w:rsidRDefault="007A6C2F" w:rsidP="00E07404">
            <w:r w:rsidRPr="00F44625">
              <w:t>1,768,500</w:t>
            </w:r>
          </w:p>
        </w:tc>
        <w:tc>
          <w:tcPr>
            <w:tcW w:w="1106" w:type="dxa"/>
            <w:tcBorders>
              <w:bottom w:val="nil"/>
            </w:tcBorders>
            <w:vAlign w:val="bottom"/>
          </w:tcPr>
          <w:p w:rsidR="007A6C2F" w:rsidRPr="00F44625" w:rsidRDefault="007A6C2F" w:rsidP="00E07404">
            <w:pPr>
              <w:rPr>
                <w:lang w:val="en-IE" w:eastAsia="en-IE"/>
              </w:rPr>
            </w:pPr>
            <w:r w:rsidRPr="00F44625">
              <w:rPr>
                <w:lang w:val="en-IE" w:eastAsia="en-IE"/>
              </w:rPr>
              <w:t>1,852,200</w:t>
            </w:r>
          </w:p>
        </w:tc>
        <w:tc>
          <w:tcPr>
            <w:tcW w:w="1106" w:type="dxa"/>
            <w:tcBorders>
              <w:bottom w:val="nil"/>
            </w:tcBorders>
            <w:vAlign w:val="bottom"/>
          </w:tcPr>
          <w:p w:rsidR="007A6C2F" w:rsidRPr="00F44625" w:rsidRDefault="007A6C2F" w:rsidP="00E07404">
            <w:pPr>
              <w:rPr>
                <w:lang w:val="en-IE" w:eastAsia="en-IE"/>
              </w:rPr>
            </w:pPr>
            <w:r w:rsidRPr="00F44625">
              <w:rPr>
                <w:lang w:val="en-IE" w:eastAsia="en-IE"/>
              </w:rPr>
              <w:t>2,034,900</w:t>
            </w:r>
          </w:p>
        </w:tc>
        <w:tc>
          <w:tcPr>
            <w:tcW w:w="1106" w:type="dxa"/>
            <w:tcBorders>
              <w:bottom w:val="nil"/>
            </w:tcBorders>
            <w:vAlign w:val="bottom"/>
          </w:tcPr>
          <w:p w:rsidR="007A6C2F" w:rsidRPr="00F44625" w:rsidRDefault="007A6C2F" w:rsidP="00E07404">
            <w:pPr>
              <w:rPr>
                <w:lang w:val="en-IE" w:eastAsia="en-IE"/>
              </w:rPr>
            </w:pPr>
            <w:r w:rsidRPr="00F44625">
              <w:rPr>
                <w:lang w:val="en-IE" w:eastAsia="en-IE"/>
              </w:rPr>
              <w:t>2,112,800</w:t>
            </w:r>
          </w:p>
        </w:tc>
        <w:tc>
          <w:tcPr>
            <w:tcW w:w="1106" w:type="dxa"/>
            <w:tcBorders>
              <w:bottom w:val="nil"/>
            </w:tcBorders>
          </w:tcPr>
          <w:p w:rsidR="007A6C2F" w:rsidRPr="00F44625" w:rsidRDefault="007A6C2F" w:rsidP="00E07404">
            <w:pPr>
              <w:rPr>
                <w:lang w:val="en-IE" w:eastAsia="en-IE"/>
              </w:rPr>
            </w:pPr>
            <w:r w:rsidRPr="003C77AF">
              <w:rPr>
                <w:lang w:val="en-IE" w:eastAsia="en-IE"/>
              </w:rPr>
              <w:t>1,895,100</w:t>
            </w:r>
          </w:p>
        </w:tc>
      </w:tr>
      <w:tr w:rsidR="007A6C2F" w:rsidRPr="00F44625" w:rsidTr="003D439E">
        <w:tc>
          <w:tcPr>
            <w:tcW w:w="3725" w:type="dxa"/>
            <w:tcBorders>
              <w:top w:val="nil"/>
            </w:tcBorders>
          </w:tcPr>
          <w:p w:rsidR="007A6C2F" w:rsidRPr="00F44625" w:rsidRDefault="007A6C2F" w:rsidP="00E07404">
            <w:pPr>
              <w:rPr>
                <w:lang w:val="en-IE" w:eastAsia="en-IE"/>
              </w:rPr>
            </w:pPr>
            <w:r w:rsidRPr="00F44625">
              <w:rPr>
                <w:lang w:val="en-IE" w:eastAsia="en-IE"/>
              </w:rPr>
              <w:t>Of which is in construction (N)</w:t>
            </w:r>
          </w:p>
        </w:tc>
        <w:tc>
          <w:tcPr>
            <w:tcW w:w="1106" w:type="dxa"/>
            <w:tcBorders>
              <w:top w:val="nil"/>
            </w:tcBorders>
          </w:tcPr>
          <w:p w:rsidR="007A6C2F" w:rsidRPr="00F44625" w:rsidRDefault="007A6C2F" w:rsidP="00E07404">
            <w:proofErr w:type="spellStart"/>
            <w:r>
              <w:t>Nav</w:t>
            </w:r>
            <w:proofErr w:type="spellEnd"/>
          </w:p>
        </w:tc>
        <w:tc>
          <w:tcPr>
            <w:tcW w:w="1106" w:type="dxa"/>
            <w:tcBorders>
              <w:top w:val="nil"/>
            </w:tcBorders>
            <w:vAlign w:val="bottom"/>
          </w:tcPr>
          <w:p w:rsidR="007A6C2F" w:rsidRPr="00F44625" w:rsidRDefault="007A6C2F" w:rsidP="00E07404">
            <w:r w:rsidRPr="00F44625">
              <w:t>126,100</w:t>
            </w:r>
          </w:p>
        </w:tc>
        <w:tc>
          <w:tcPr>
            <w:tcW w:w="1106" w:type="dxa"/>
            <w:tcBorders>
              <w:top w:val="nil"/>
            </w:tcBorders>
            <w:vAlign w:val="bottom"/>
          </w:tcPr>
          <w:p w:rsidR="007A6C2F" w:rsidRPr="00F44625" w:rsidRDefault="007A6C2F" w:rsidP="00E07404">
            <w:r w:rsidRPr="00F44625">
              <w:t>166,200</w:t>
            </w:r>
          </w:p>
        </w:tc>
        <w:tc>
          <w:tcPr>
            <w:tcW w:w="1106" w:type="dxa"/>
            <w:tcBorders>
              <w:top w:val="nil"/>
            </w:tcBorders>
            <w:vAlign w:val="bottom"/>
          </w:tcPr>
          <w:p w:rsidR="007A6C2F" w:rsidRPr="00F44625" w:rsidRDefault="007A6C2F" w:rsidP="00E07404">
            <w:r w:rsidRPr="00F44625">
              <w:t>182,200</w:t>
            </w:r>
          </w:p>
        </w:tc>
        <w:tc>
          <w:tcPr>
            <w:tcW w:w="1106" w:type="dxa"/>
            <w:tcBorders>
              <w:top w:val="nil"/>
            </w:tcBorders>
            <w:vAlign w:val="bottom"/>
          </w:tcPr>
          <w:p w:rsidR="007A6C2F" w:rsidRPr="00F44625" w:rsidRDefault="007A6C2F" w:rsidP="00E07404">
            <w:pPr>
              <w:rPr>
                <w:lang w:val="en-IE" w:eastAsia="en-IE"/>
              </w:rPr>
            </w:pPr>
            <w:r w:rsidRPr="00F44625">
              <w:rPr>
                <w:lang w:val="en-IE" w:eastAsia="en-IE"/>
              </w:rPr>
              <w:t>206,000</w:t>
            </w:r>
          </w:p>
        </w:tc>
        <w:tc>
          <w:tcPr>
            <w:tcW w:w="1106" w:type="dxa"/>
            <w:tcBorders>
              <w:top w:val="nil"/>
            </w:tcBorders>
            <w:vAlign w:val="bottom"/>
          </w:tcPr>
          <w:p w:rsidR="007A6C2F" w:rsidRPr="00F44625" w:rsidRDefault="007A6C2F" w:rsidP="00E07404">
            <w:pPr>
              <w:rPr>
                <w:lang w:val="en-IE" w:eastAsia="en-IE"/>
              </w:rPr>
            </w:pPr>
            <w:r w:rsidRPr="00F44625">
              <w:rPr>
                <w:lang w:val="en-IE" w:eastAsia="en-IE"/>
              </w:rPr>
              <w:t>241,400</w:t>
            </w:r>
          </w:p>
        </w:tc>
        <w:tc>
          <w:tcPr>
            <w:tcW w:w="1106" w:type="dxa"/>
            <w:tcBorders>
              <w:top w:val="nil"/>
            </w:tcBorders>
            <w:vAlign w:val="bottom"/>
          </w:tcPr>
          <w:p w:rsidR="007A6C2F" w:rsidRPr="00F44625" w:rsidRDefault="007A6C2F" w:rsidP="00E07404">
            <w:pPr>
              <w:rPr>
                <w:lang w:val="en-IE" w:eastAsia="en-IE"/>
              </w:rPr>
            </w:pPr>
            <w:r w:rsidRPr="00F44625">
              <w:rPr>
                <w:lang w:val="en-IE" w:eastAsia="en-IE"/>
              </w:rPr>
              <w:t>241,400</w:t>
            </w:r>
          </w:p>
        </w:tc>
        <w:tc>
          <w:tcPr>
            <w:tcW w:w="1106" w:type="dxa"/>
            <w:tcBorders>
              <w:top w:val="nil"/>
            </w:tcBorders>
          </w:tcPr>
          <w:p w:rsidR="007A6C2F" w:rsidRPr="00F44625" w:rsidRDefault="007A6C2F" w:rsidP="00E07404">
            <w:pPr>
              <w:rPr>
                <w:lang w:val="en-IE" w:eastAsia="en-IE"/>
              </w:rPr>
            </w:pPr>
            <w:r w:rsidRPr="003C77AF">
              <w:rPr>
                <w:lang w:val="en-IE" w:eastAsia="en-IE"/>
              </w:rPr>
              <w:t>125,300</w:t>
            </w:r>
          </w:p>
        </w:tc>
      </w:tr>
      <w:tr w:rsidR="007A6C2F" w:rsidRPr="00F44625" w:rsidTr="003D439E">
        <w:tc>
          <w:tcPr>
            <w:tcW w:w="3725" w:type="dxa"/>
          </w:tcPr>
          <w:p w:rsidR="007A6C2F" w:rsidRPr="00F44625" w:rsidRDefault="007A6C2F" w:rsidP="00E07404">
            <w:pPr>
              <w:rPr>
                <w:lang w:val="en-IE" w:eastAsia="en-IE"/>
              </w:rPr>
            </w:pPr>
            <w:r w:rsidRPr="00F44625">
              <w:rPr>
                <w:lang w:val="en-IE" w:eastAsia="en-IE"/>
              </w:rPr>
              <w:t>Mean annual industrial earnings (€)</w:t>
            </w:r>
          </w:p>
        </w:tc>
        <w:tc>
          <w:tcPr>
            <w:tcW w:w="1106" w:type="dxa"/>
          </w:tcPr>
          <w:p w:rsidR="007A6C2F" w:rsidRPr="00F44625" w:rsidRDefault="007A6C2F" w:rsidP="00E07404">
            <w:r w:rsidRPr="00F44625">
              <w:t>18,726</w:t>
            </w:r>
          </w:p>
        </w:tc>
        <w:tc>
          <w:tcPr>
            <w:tcW w:w="1106" w:type="dxa"/>
            <w:vAlign w:val="bottom"/>
          </w:tcPr>
          <w:p w:rsidR="007A6C2F" w:rsidRPr="00F44625" w:rsidRDefault="007A6C2F" w:rsidP="00E07404">
            <w:r w:rsidRPr="00F44625">
              <w:t>20,153</w:t>
            </w:r>
          </w:p>
        </w:tc>
        <w:tc>
          <w:tcPr>
            <w:tcW w:w="1106" w:type="dxa"/>
            <w:vAlign w:val="bottom"/>
          </w:tcPr>
          <w:p w:rsidR="007A6C2F" w:rsidRPr="00F44625" w:rsidRDefault="007A6C2F" w:rsidP="00E07404">
            <w:r w:rsidRPr="00F44625">
              <w:t>22,683</w:t>
            </w:r>
          </w:p>
        </w:tc>
        <w:tc>
          <w:tcPr>
            <w:tcW w:w="1106" w:type="dxa"/>
            <w:vAlign w:val="bottom"/>
          </w:tcPr>
          <w:p w:rsidR="007A6C2F" w:rsidRPr="00F44625" w:rsidRDefault="007A6C2F" w:rsidP="00E07404">
            <w:r w:rsidRPr="00F44625">
              <w:t>26,079</w:t>
            </w:r>
          </w:p>
        </w:tc>
        <w:tc>
          <w:tcPr>
            <w:tcW w:w="1106" w:type="dxa"/>
            <w:vAlign w:val="bottom"/>
          </w:tcPr>
          <w:p w:rsidR="007A6C2F" w:rsidRPr="00F44625" w:rsidRDefault="007A6C2F" w:rsidP="00E07404">
            <w:pPr>
              <w:rPr>
                <w:lang w:val="en-IE" w:eastAsia="en-IE"/>
              </w:rPr>
            </w:pPr>
            <w:r w:rsidRPr="00F44625">
              <w:rPr>
                <w:lang w:val="en-IE" w:eastAsia="en-IE"/>
              </w:rPr>
              <w:t>29,160</w:t>
            </w:r>
          </w:p>
        </w:tc>
        <w:tc>
          <w:tcPr>
            <w:tcW w:w="1106" w:type="dxa"/>
            <w:vAlign w:val="bottom"/>
          </w:tcPr>
          <w:p w:rsidR="007A6C2F" w:rsidRPr="00F44625" w:rsidRDefault="007A6C2F" w:rsidP="00E07404">
            <w:pPr>
              <w:rPr>
                <w:lang w:val="en-IE" w:eastAsia="en-IE"/>
              </w:rPr>
            </w:pPr>
            <w:r w:rsidRPr="00F44625">
              <w:rPr>
                <w:lang w:val="en-IE" w:eastAsia="en-IE"/>
              </w:rPr>
              <w:t>31,263</w:t>
            </w:r>
          </w:p>
        </w:tc>
        <w:tc>
          <w:tcPr>
            <w:tcW w:w="1106" w:type="dxa"/>
            <w:vAlign w:val="bottom"/>
          </w:tcPr>
          <w:p w:rsidR="007A6C2F" w:rsidRPr="00F44625" w:rsidRDefault="007A6C2F" w:rsidP="00E07404">
            <w:pPr>
              <w:rPr>
                <w:lang w:val="en-IE" w:eastAsia="en-IE"/>
              </w:rPr>
            </w:pPr>
            <w:r w:rsidRPr="00F44625">
              <w:rPr>
                <w:lang w:val="en-IE" w:eastAsia="en-IE"/>
              </w:rPr>
              <w:t>33,736</w:t>
            </w:r>
          </w:p>
        </w:tc>
        <w:tc>
          <w:tcPr>
            <w:tcW w:w="1106" w:type="dxa"/>
          </w:tcPr>
          <w:p w:rsidR="007A6C2F" w:rsidRPr="00F44625" w:rsidRDefault="00BB4553" w:rsidP="00E07404">
            <w:pPr>
              <w:rPr>
                <w:lang w:val="en-IE" w:eastAsia="en-IE"/>
              </w:rPr>
            </w:pPr>
            <w:proofErr w:type="spellStart"/>
            <w:r>
              <w:rPr>
                <w:lang w:val="en-IE" w:eastAsia="en-IE"/>
              </w:rPr>
              <w:t>Nav</w:t>
            </w:r>
            <w:proofErr w:type="spellEnd"/>
          </w:p>
        </w:tc>
      </w:tr>
      <w:tr w:rsidR="007A6C2F" w:rsidRPr="00F44625" w:rsidTr="00460387">
        <w:tc>
          <w:tcPr>
            <w:tcW w:w="3725" w:type="dxa"/>
          </w:tcPr>
          <w:p w:rsidR="007A6C2F" w:rsidRPr="00F44625" w:rsidRDefault="007A6C2F" w:rsidP="00E07404">
            <w:pPr>
              <w:rPr>
                <w:lang w:val="en-IE" w:eastAsia="en-IE"/>
              </w:rPr>
            </w:pPr>
            <w:r w:rsidRPr="00F44625">
              <w:rPr>
                <w:lang w:val="en-IE" w:eastAsia="en-IE"/>
              </w:rPr>
              <w:t>Mean annual construction earnings (€)</w:t>
            </w:r>
          </w:p>
        </w:tc>
        <w:tc>
          <w:tcPr>
            <w:tcW w:w="1106" w:type="dxa"/>
            <w:vAlign w:val="bottom"/>
          </w:tcPr>
          <w:p w:rsidR="007A6C2F" w:rsidRPr="00F44625" w:rsidRDefault="007A6C2F" w:rsidP="00E07404">
            <w:r w:rsidRPr="00F44625">
              <w:t>19,729</w:t>
            </w:r>
          </w:p>
        </w:tc>
        <w:tc>
          <w:tcPr>
            <w:tcW w:w="1106" w:type="dxa"/>
            <w:vAlign w:val="bottom"/>
          </w:tcPr>
          <w:p w:rsidR="007A6C2F" w:rsidRPr="00F44625" w:rsidRDefault="007A6C2F" w:rsidP="00E07404">
            <w:r w:rsidRPr="00F44625">
              <w:t>23,054</w:t>
            </w:r>
          </w:p>
        </w:tc>
        <w:tc>
          <w:tcPr>
            <w:tcW w:w="1106" w:type="dxa"/>
            <w:vAlign w:val="bottom"/>
          </w:tcPr>
          <w:p w:rsidR="007A6C2F" w:rsidRPr="00F44625" w:rsidRDefault="007A6C2F" w:rsidP="00E07404">
            <w:r w:rsidRPr="00F44625">
              <w:t>28,066</w:t>
            </w:r>
          </w:p>
        </w:tc>
        <w:tc>
          <w:tcPr>
            <w:tcW w:w="1106" w:type="dxa"/>
            <w:vAlign w:val="bottom"/>
          </w:tcPr>
          <w:p w:rsidR="007A6C2F" w:rsidRPr="00F44625" w:rsidRDefault="007A6C2F" w:rsidP="00E07404">
            <w:r w:rsidRPr="00F44625">
              <w:t>33,523</w:t>
            </w:r>
          </w:p>
        </w:tc>
        <w:tc>
          <w:tcPr>
            <w:tcW w:w="1106" w:type="dxa"/>
            <w:vAlign w:val="bottom"/>
          </w:tcPr>
          <w:p w:rsidR="007A6C2F" w:rsidRPr="00F44625" w:rsidRDefault="007A6C2F" w:rsidP="00E07404">
            <w:pPr>
              <w:rPr>
                <w:lang w:val="en-IE" w:eastAsia="en-IE"/>
              </w:rPr>
            </w:pPr>
            <w:r w:rsidRPr="00F44625">
              <w:rPr>
                <w:lang w:val="en-IE" w:eastAsia="en-IE"/>
              </w:rPr>
              <w:t>36,601</w:t>
            </w:r>
          </w:p>
        </w:tc>
        <w:tc>
          <w:tcPr>
            <w:tcW w:w="1106" w:type="dxa"/>
            <w:vAlign w:val="bottom"/>
          </w:tcPr>
          <w:p w:rsidR="007A6C2F" w:rsidRPr="00F44625" w:rsidRDefault="007A6C2F" w:rsidP="00E07404">
            <w:pPr>
              <w:rPr>
                <w:lang w:val="en-IE" w:eastAsia="en-IE"/>
              </w:rPr>
            </w:pPr>
            <w:r w:rsidRPr="00F44625">
              <w:rPr>
                <w:lang w:val="en-IE" w:eastAsia="en-IE"/>
              </w:rPr>
              <w:t>39,884</w:t>
            </w:r>
          </w:p>
        </w:tc>
        <w:tc>
          <w:tcPr>
            <w:tcW w:w="1106" w:type="dxa"/>
            <w:vAlign w:val="bottom"/>
          </w:tcPr>
          <w:p w:rsidR="007A6C2F" w:rsidRPr="00F44625" w:rsidRDefault="007A6C2F" w:rsidP="00E07404">
            <w:pPr>
              <w:rPr>
                <w:lang w:val="en-IE" w:eastAsia="en-IE"/>
              </w:rPr>
            </w:pPr>
            <w:r w:rsidRPr="00F44625">
              <w:rPr>
                <w:lang w:val="en-IE" w:eastAsia="en-IE"/>
              </w:rPr>
              <w:t>42,718</w:t>
            </w:r>
          </w:p>
        </w:tc>
        <w:tc>
          <w:tcPr>
            <w:tcW w:w="1106" w:type="dxa"/>
            <w:vAlign w:val="bottom"/>
          </w:tcPr>
          <w:p w:rsidR="007A6C2F" w:rsidRPr="00F44625" w:rsidRDefault="007A6C2F" w:rsidP="00E07404">
            <w:pPr>
              <w:rPr>
                <w:lang w:val="en-IE" w:eastAsia="en-IE"/>
              </w:rPr>
            </w:pPr>
            <w:r w:rsidRPr="00965380">
              <w:rPr>
                <w:lang w:val="en-IE" w:eastAsia="en-IE"/>
              </w:rPr>
              <w:t>37,150</w:t>
            </w:r>
          </w:p>
        </w:tc>
      </w:tr>
      <w:tr w:rsidR="007A6C2F" w:rsidRPr="00505E36" w:rsidTr="003D439E">
        <w:tc>
          <w:tcPr>
            <w:tcW w:w="3725" w:type="dxa"/>
            <w:tcBorders>
              <w:bottom w:val="nil"/>
            </w:tcBorders>
          </w:tcPr>
          <w:p w:rsidR="007A6C2F" w:rsidRPr="00505E36" w:rsidRDefault="007A6C2F" w:rsidP="00E07404">
            <w:pPr>
              <w:rPr>
                <w:lang w:val="en-IE" w:eastAsia="en-IE"/>
              </w:rPr>
            </w:pPr>
            <w:r w:rsidRPr="00505E36">
              <w:rPr>
                <w:lang w:val="en-IE" w:eastAsia="en-IE"/>
              </w:rPr>
              <w:t>Total tax revenue (€m)</w:t>
            </w:r>
          </w:p>
        </w:tc>
        <w:tc>
          <w:tcPr>
            <w:tcW w:w="1106" w:type="dxa"/>
            <w:tcBorders>
              <w:bottom w:val="nil"/>
            </w:tcBorders>
          </w:tcPr>
          <w:p w:rsidR="007A6C2F" w:rsidRPr="00505E36" w:rsidRDefault="007A6C2F" w:rsidP="00E07404">
            <w:r w:rsidRPr="00505E36">
              <w:t>18,187</w:t>
            </w:r>
          </w:p>
        </w:tc>
        <w:tc>
          <w:tcPr>
            <w:tcW w:w="1106" w:type="dxa"/>
            <w:tcBorders>
              <w:bottom w:val="nil"/>
            </w:tcBorders>
          </w:tcPr>
          <w:p w:rsidR="007A6C2F" w:rsidRPr="00505E36" w:rsidRDefault="007A6C2F" w:rsidP="00E07404">
            <w:r w:rsidRPr="00505E36">
              <w:t>23,381</w:t>
            </w:r>
          </w:p>
        </w:tc>
        <w:tc>
          <w:tcPr>
            <w:tcW w:w="1106" w:type="dxa"/>
            <w:tcBorders>
              <w:bottom w:val="nil"/>
            </w:tcBorders>
            <w:vAlign w:val="bottom"/>
          </w:tcPr>
          <w:p w:rsidR="007A6C2F" w:rsidRPr="00505E36" w:rsidRDefault="007A6C2F" w:rsidP="00E07404">
            <w:r w:rsidRPr="00505E36">
              <w:t>30,947</w:t>
            </w:r>
          </w:p>
        </w:tc>
        <w:tc>
          <w:tcPr>
            <w:tcW w:w="1106" w:type="dxa"/>
            <w:tcBorders>
              <w:bottom w:val="nil"/>
            </w:tcBorders>
            <w:vAlign w:val="bottom"/>
          </w:tcPr>
          <w:p w:rsidR="007A6C2F" w:rsidRPr="00505E36" w:rsidRDefault="007A6C2F" w:rsidP="00E07404">
            <w:r w:rsidRPr="00505E36">
              <w:t>34,346</w:t>
            </w:r>
          </w:p>
        </w:tc>
        <w:tc>
          <w:tcPr>
            <w:tcW w:w="1106" w:type="dxa"/>
            <w:tcBorders>
              <w:bottom w:val="nil"/>
            </w:tcBorders>
            <w:vAlign w:val="bottom"/>
          </w:tcPr>
          <w:p w:rsidR="007A6C2F" w:rsidRPr="00505E36" w:rsidRDefault="007A6C2F" w:rsidP="00E07404">
            <w:pPr>
              <w:rPr>
                <w:lang w:val="en-IE" w:eastAsia="en-IE"/>
              </w:rPr>
            </w:pPr>
            <w:r w:rsidRPr="00505E36">
              <w:rPr>
                <w:lang w:val="en-IE" w:eastAsia="en-IE"/>
              </w:rPr>
              <w:t>41,805</w:t>
            </w:r>
          </w:p>
        </w:tc>
        <w:tc>
          <w:tcPr>
            <w:tcW w:w="1106" w:type="dxa"/>
            <w:tcBorders>
              <w:bottom w:val="nil"/>
            </w:tcBorders>
            <w:vAlign w:val="bottom"/>
          </w:tcPr>
          <w:p w:rsidR="007A6C2F" w:rsidRPr="00505E36" w:rsidRDefault="007A6C2F" w:rsidP="00E07404">
            <w:pPr>
              <w:rPr>
                <w:lang w:val="en-IE" w:eastAsia="en-IE"/>
              </w:rPr>
            </w:pPr>
            <w:r w:rsidRPr="00505E36">
              <w:rPr>
                <w:lang w:val="en-IE" w:eastAsia="en-IE"/>
              </w:rPr>
              <w:t>53,787</w:t>
            </w:r>
          </w:p>
        </w:tc>
        <w:tc>
          <w:tcPr>
            <w:tcW w:w="1106" w:type="dxa"/>
            <w:tcBorders>
              <w:bottom w:val="nil"/>
            </w:tcBorders>
            <w:vAlign w:val="bottom"/>
          </w:tcPr>
          <w:p w:rsidR="007A6C2F" w:rsidRPr="00505E36" w:rsidRDefault="007A6C2F" w:rsidP="00E07404">
            <w:pPr>
              <w:rPr>
                <w:lang w:val="en-IE" w:eastAsia="en-IE"/>
              </w:rPr>
            </w:pPr>
            <w:r w:rsidRPr="00505E36">
              <w:rPr>
                <w:lang w:val="en-IE" w:eastAsia="en-IE"/>
              </w:rPr>
              <w:t>50</w:t>
            </w:r>
            <w:r w:rsidR="002B0F52">
              <w:rPr>
                <w:lang w:val="en-IE" w:eastAsia="en-IE"/>
              </w:rPr>
              <w:t>,714</w:t>
            </w:r>
          </w:p>
        </w:tc>
        <w:tc>
          <w:tcPr>
            <w:tcW w:w="1106" w:type="dxa"/>
            <w:tcBorders>
              <w:bottom w:val="nil"/>
            </w:tcBorders>
          </w:tcPr>
          <w:p w:rsidR="007A6C2F" w:rsidRPr="00505E36" w:rsidRDefault="002B0F52" w:rsidP="00E07404">
            <w:pPr>
              <w:rPr>
                <w:lang w:val="en-IE" w:eastAsia="en-IE"/>
              </w:rPr>
            </w:pPr>
            <w:r>
              <w:rPr>
                <w:lang w:val="en-IE" w:eastAsia="en-IE"/>
              </w:rPr>
              <w:t>42,279</w:t>
            </w:r>
          </w:p>
        </w:tc>
      </w:tr>
      <w:tr w:rsidR="007A6C2F" w:rsidRPr="00505E36" w:rsidTr="003D439E">
        <w:tc>
          <w:tcPr>
            <w:tcW w:w="3725" w:type="dxa"/>
            <w:tcBorders>
              <w:top w:val="nil"/>
              <w:bottom w:val="nil"/>
            </w:tcBorders>
          </w:tcPr>
          <w:p w:rsidR="007A6C2F" w:rsidRPr="00505E36" w:rsidRDefault="007A6C2F" w:rsidP="00E07404">
            <w:pPr>
              <w:rPr>
                <w:lang w:val="en-IE" w:eastAsia="en-IE"/>
              </w:rPr>
            </w:pPr>
            <w:r w:rsidRPr="00505E36">
              <w:rPr>
                <w:lang w:val="en-IE" w:eastAsia="en-IE"/>
              </w:rPr>
              <w:t>Of which is from residential property related taxes (%)</w:t>
            </w:r>
            <w:r w:rsidRPr="00505E36">
              <w:rPr>
                <w:vertAlign w:val="superscript"/>
                <w:lang w:val="en-IE" w:eastAsia="en-IE"/>
              </w:rPr>
              <w:t>1</w:t>
            </w:r>
          </w:p>
        </w:tc>
        <w:tc>
          <w:tcPr>
            <w:tcW w:w="1106" w:type="dxa"/>
            <w:tcBorders>
              <w:top w:val="nil"/>
              <w:bottom w:val="nil"/>
            </w:tcBorders>
            <w:vAlign w:val="bottom"/>
          </w:tcPr>
          <w:p w:rsidR="007A6C2F" w:rsidRPr="00505E36" w:rsidRDefault="007A6C2F" w:rsidP="00E07404">
            <w:proofErr w:type="spellStart"/>
            <w:r w:rsidRPr="00505E36">
              <w:t>Nav</w:t>
            </w:r>
            <w:proofErr w:type="spellEnd"/>
          </w:p>
        </w:tc>
        <w:tc>
          <w:tcPr>
            <w:tcW w:w="1106" w:type="dxa"/>
            <w:tcBorders>
              <w:top w:val="nil"/>
              <w:bottom w:val="nil"/>
            </w:tcBorders>
            <w:vAlign w:val="bottom"/>
          </w:tcPr>
          <w:p w:rsidR="007A6C2F" w:rsidRPr="00505E36" w:rsidRDefault="007A6C2F" w:rsidP="00E07404">
            <w:proofErr w:type="spellStart"/>
            <w:r w:rsidRPr="00505E36">
              <w:t>Nav</w:t>
            </w:r>
            <w:proofErr w:type="spellEnd"/>
          </w:p>
        </w:tc>
        <w:tc>
          <w:tcPr>
            <w:tcW w:w="1106" w:type="dxa"/>
            <w:tcBorders>
              <w:top w:val="nil"/>
              <w:bottom w:val="nil"/>
            </w:tcBorders>
            <w:vAlign w:val="bottom"/>
          </w:tcPr>
          <w:p w:rsidR="007A6C2F" w:rsidRPr="00505E36" w:rsidRDefault="007A6C2F" w:rsidP="00E07404">
            <w:proofErr w:type="spellStart"/>
            <w:r w:rsidRPr="00505E36">
              <w:t>Nav</w:t>
            </w:r>
            <w:proofErr w:type="spellEnd"/>
          </w:p>
        </w:tc>
        <w:tc>
          <w:tcPr>
            <w:tcW w:w="1106" w:type="dxa"/>
            <w:tcBorders>
              <w:top w:val="nil"/>
              <w:bottom w:val="nil"/>
            </w:tcBorders>
            <w:vAlign w:val="bottom"/>
          </w:tcPr>
          <w:p w:rsidR="007A6C2F" w:rsidRPr="00505E36" w:rsidRDefault="007A6C2F" w:rsidP="00E07404">
            <w:pPr>
              <w:rPr>
                <w:lang w:val="en-IE" w:eastAsia="en-IE"/>
              </w:rPr>
            </w:pPr>
            <w:r w:rsidRPr="00505E36">
              <w:rPr>
                <w:lang w:val="en-IE" w:eastAsia="en-IE"/>
              </w:rPr>
              <w:t>8.0</w:t>
            </w:r>
          </w:p>
        </w:tc>
        <w:tc>
          <w:tcPr>
            <w:tcW w:w="1106" w:type="dxa"/>
            <w:tcBorders>
              <w:top w:val="nil"/>
              <w:bottom w:val="nil"/>
            </w:tcBorders>
            <w:vAlign w:val="bottom"/>
          </w:tcPr>
          <w:p w:rsidR="007A6C2F" w:rsidRPr="00505E36" w:rsidRDefault="007A6C2F" w:rsidP="00E07404">
            <w:pPr>
              <w:rPr>
                <w:lang w:val="en-IE" w:eastAsia="en-IE"/>
              </w:rPr>
            </w:pPr>
            <w:r w:rsidRPr="00505E36">
              <w:rPr>
                <w:lang w:val="en-IE" w:eastAsia="en-IE"/>
              </w:rPr>
              <w:t>10.9</w:t>
            </w:r>
          </w:p>
        </w:tc>
        <w:tc>
          <w:tcPr>
            <w:tcW w:w="1106" w:type="dxa"/>
            <w:tcBorders>
              <w:top w:val="nil"/>
              <w:bottom w:val="nil"/>
            </w:tcBorders>
            <w:vAlign w:val="bottom"/>
          </w:tcPr>
          <w:p w:rsidR="007A6C2F" w:rsidRPr="00505E36" w:rsidRDefault="007A6C2F" w:rsidP="00E07404">
            <w:pPr>
              <w:rPr>
                <w:lang w:val="en-IE" w:eastAsia="en-IE"/>
              </w:rPr>
            </w:pPr>
            <w:r w:rsidRPr="00505E36">
              <w:rPr>
                <w:lang w:val="en-IE" w:eastAsia="en-IE"/>
              </w:rPr>
              <w:t>15.1</w:t>
            </w:r>
          </w:p>
        </w:tc>
        <w:tc>
          <w:tcPr>
            <w:tcW w:w="1106" w:type="dxa"/>
            <w:tcBorders>
              <w:top w:val="nil"/>
              <w:bottom w:val="nil"/>
            </w:tcBorders>
            <w:vAlign w:val="bottom"/>
          </w:tcPr>
          <w:p w:rsidR="007A6C2F" w:rsidRPr="00505E36" w:rsidRDefault="007A6C2F" w:rsidP="00E07404">
            <w:pPr>
              <w:rPr>
                <w:lang w:val="en-IE" w:eastAsia="en-IE"/>
              </w:rPr>
            </w:pPr>
            <w:r w:rsidRPr="00505E36">
              <w:rPr>
                <w:lang w:val="en-IE" w:eastAsia="en-IE"/>
              </w:rPr>
              <w:t>10.7</w:t>
            </w:r>
          </w:p>
        </w:tc>
        <w:tc>
          <w:tcPr>
            <w:tcW w:w="1106" w:type="dxa"/>
            <w:tcBorders>
              <w:top w:val="nil"/>
              <w:bottom w:val="nil"/>
            </w:tcBorders>
          </w:tcPr>
          <w:p w:rsidR="007A6C2F" w:rsidRPr="00505E36" w:rsidRDefault="007A6C2F" w:rsidP="00E07404">
            <w:pPr>
              <w:rPr>
                <w:lang w:val="en-IE" w:eastAsia="en-IE"/>
              </w:rPr>
            </w:pPr>
          </w:p>
          <w:p w:rsidR="007A6C2F" w:rsidRPr="00505E36" w:rsidRDefault="007A6C2F" w:rsidP="00E07404">
            <w:pPr>
              <w:rPr>
                <w:lang w:val="en-IE" w:eastAsia="en-IE"/>
              </w:rPr>
            </w:pPr>
            <w:proofErr w:type="spellStart"/>
            <w:r w:rsidRPr="00505E36">
              <w:rPr>
                <w:lang w:val="en-IE" w:eastAsia="en-IE"/>
              </w:rPr>
              <w:t>Nav</w:t>
            </w:r>
            <w:proofErr w:type="spellEnd"/>
          </w:p>
        </w:tc>
      </w:tr>
      <w:tr w:rsidR="007A6C2F" w:rsidRPr="00505E36" w:rsidTr="003D439E">
        <w:tc>
          <w:tcPr>
            <w:tcW w:w="3725" w:type="dxa"/>
            <w:tcBorders>
              <w:top w:val="nil"/>
            </w:tcBorders>
          </w:tcPr>
          <w:p w:rsidR="007A6C2F" w:rsidRPr="00505E36" w:rsidRDefault="007A6C2F" w:rsidP="00E07404">
            <w:pPr>
              <w:rPr>
                <w:lang w:val="en-IE" w:eastAsia="en-IE"/>
              </w:rPr>
            </w:pPr>
            <w:r w:rsidRPr="00505E36">
              <w:rPr>
                <w:lang w:val="en-IE" w:eastAsia="en-IE"/>
              </w:rPr>
              <w:t>Of which is from income taxes (%)</w:t>
            </w:r>
          </w:p>
        </w:tc>
        <w:tc>
          <w:tcPr>
            <w:tcW w:w="1106" w:type="dxa"/>
            <w:tcBorders>
              <w:top w:val="nil"/>
            </w:tcBorders>
          </w:tcPr>
          <w:p w:rsidR="007A6C2F" w:rsidRPr="00505E36" w:rsidRDefault="007A6C2F" w:rsidP="00E07404">
            <w:r w:rsidRPr="00505E36">
              <w:t>35.0</w:t>
            </w:r>
          </w:p>
        </w:tc>
        <w:tc>
          <w:tcPr>
            <w:tcW w:w="1106" w:type="dxa"/>
            <w:tcBorders>
              <w:top w:val="nil"/>
            </w:tcBorders>
          </w:tcPr>
          <w:p w:rsidR="007A6C2F" w:rsidRPr="00505E36" w:rsidRDefault="007A6C2F" w:rsidP="00E07404">
            <w:r w:rsidRPr="00505E36">
              <w:t>29.8</w:t>
            </w:r>
          </w:p>
        </w:tc>
        <w:tc>
          <w:tcPr>
            <w:tcW w:w="1106" w:type="dxa"/>
            <w:tcBorders>
              <w:top w:val="nil"/>
            </w:tcBorders>
            <w:vAlign w:val="bottom"/>
          </w:tcPr>
          <w:p w:rsidR="007A6C2F" w:rsidRPr="00505E36" w:rsidRDefault="007A6C2F" w:rsidP="00E07404">
            <w:r w:rsidRPr="00505E36">
              <w:t>28.2</w:t>
            </w:r>
          </w:p>
        </w:tc>
        <w:tc>
          <w:tcPr>
            <w:tcW w:w="1106" w:type="dxa"/>
            <w:tcBorders>
              <w:top w:val="nil"/>
            </w:tcBorders>
            <w:vAlign w:val="bottom"/>
          </w:tcPr>
          <w:p w:rsidR="007A6C2F" w:rsidRPr="00505E36" w:rsidRDefault="007A6C2F" w:rsidP="00E07404">
            <w:pPr>
              <w:rPr>
                <w:lang w:val="en-IE" w:eastAsia="en-IE"/>
              </w:rPr>
            </w:pPr>
            <w:r w:rsidRPr="00505E36">
              <w:rPr>
                <w:lang w:val="en-IE" w:eastAsia="en-IE"/>
              </w:rPr>
              <w:t>27.5</w:t>
            </w:r>
          </w:p>
        </w:tc>
        <w:tc>
          <w:tcPr>
            <w:tcW w:w="1106" w:type="dxa"/>
            <w:tcBorders>
              <w:top w:val="nil"/>
            </w:tcBorders>
            <w:vAlign w:val="bottom"/>
          </w:tcPr>
          <w:p w:rsidR="007A6C2F" w:rsidRPr="00505E36" w:rsidRDefault="007A6C2F" w:rsidP="00E07404">
            <w:pPr>
              <w:rPr>
                <w:lang w:val="en-IE" w:eastAsia="en-IE"/>
              </w:rPr>
            </w:pPr>
            <w:r w:rsidRPr="00505E36">
              <w:rPr>
                <w:lang w:val="en-IE" w:eastAsia="en-IE"/>
              </w:rPr>
              <w:t>27.3</w:t>
            </w:r>
          </w:p>
        </w:tc>
        <w:tc>
          <w:tcPr>
            <w:tcW w:w="1106" w:type="dxa"/>
            <w:tcBorders>
              <w:top w:val="nil"/>
            </w:tcBorders>
            <w:vAlign w:val="bottom"/>
          </w:tcPr>
          <w:p w:rsidR="007A6C2F" w:rsidRPr="00505E36" w:rsidRDefault="007A6C2F" w:rsidP="00E07404">
            <w:pPr>
              <w:rPr>
                <w:lang w:val="en-IE" w:eastAsia="en-IE"/>
              </w:rPr>
            </w:pPr>
            <w:r w:rsidRPr="00505E36">
              <w:rPr>
                <w:lang w:val="en-IE" w:eastAsia="en-IE"/>
              </w:rPr>
              <w:t>24.9</w:t>
            </w:r>
          </w:p>
        </w:tc>
        <w:tc>
          <w:tcPr>
            <w:tcW w:w="1106" w:type="dxa"/>
            <w:tcBorders>
              <w:top w:val="nil"/>
            </w:tcBorders>
            <w:vAlign w:val="bottom"/>
          </w:tcPr>
          <w:p w:rsidR="007A6C2F" w:rsidRPr="00505E36" w:rsidRDefault="007A6C2F" w:rsidP="00E07404">
            <w:pPr>
              <w:rPr>
                <w:lang w:val="en-IE" w:eastAsia="en-IE"/>
              </w:rPr>
            </w:pPr>
            <w:r w:rsidRPr="00505E36">
              <w:rPr>
                <w:lang w:val="en-IE" w:eastAsia="en-IE"/>
              </w:rPr>
              <w:t>27.7</w:t>
            </w:r>
          </w:p>
        </w:tc>
        <w:tc>
          <w:tcPr>
            <w:tcW w:w="1106" w:type="dxa"/>
            <w:tcBorders>
              <w:top w:val="nil"/>
            </w:tcBorders>
          </w:tcPr>
          <w:p w:rsidR="007A6C2F" w:rsidRPr="00505E36" w:rsidRDefault="007A6C2F" w:rsidP="00E07404">
            <w:pPr>
              <w:rPr>
                <w:lang w:val="en-IE" w:eastAsia="en-IE"/>
              </w:rPr>
            </w:pPr>
            <w:proofErr w:type="spellStart"/>
            <w:r w:rsidRPr="00505E36">
              <w:rPr>
                <w:lang w:val="en-IE" w:eastAsia="en-IE"/>
              </w:rPr>
              <w:t>Nav</w:t>
            </w:r>
            <w:proofErr w:type="spellEnd"/>
          </w:p>
        </w:tc>
      </w:tr>
    </w:tbl>
    <w:p w:rsidR="007A6C2F" w:rsidRPr="00505E36" w:rsidRDefault="007A6C2F" w:rsidP="00E07404">
      <w:r w:rsidRPr="00505E36">
        <w:t xml:space="preserve">Note:  all monetary data are at current prices.  </w:t>
      </w:r>
      <w:proofErr w:type="spellStart"/>
      <w:r w:rsidRPr="00505E36">
        <w:t>Nav</w:t>
      </w:r>
      <w:proofErr w:type="spellEnd"/>
      <w:r w:rsidRPr="00505E36">
        <w:t xml:space="preserve"> means not available.  </w:t>
      </w:r>
      <w:r w:rsidRPr="00505E36">
        <w:rPr>
          <w:rFonts w:eastAsia="Times New Roman"/>
          <w:color w:val="000000"/>
          <w:vertAlign w:val="superscript"/>
          <w:lang w:val="en-IE" w:eastAsia="en-IE"/>
        </w:rPr>
        <w:t>1</w:t>
      </w:r>
      <w:r w:rsidRPr="00505E36">
        <w:t xml:space="preserve">: calculated using Addison-Smyth &amp; </w:t>
      </w:r>
      <w:proofErr w:type="spellStart"/>
      <w:r w:rsidRPr="00505E36">
        <w:t>McQuinn’s</w:t>
      </w:r>
      <w:proofErr w:type="spellEnd"/>
      <w:r w:rsidRPr="00505E36">
        <w:t xml:space="preserve"> (2009) estimates.  </w:t>
      </w:r>
      <w:proofErr w:type="gramStart"/>
      <w:r w:rsidRPr="00505E36">
        <w:rPr>
          <w:bCs/>
          <w:sz w:val="20"/>
          <w:szCs w:val="20"/>
          <w:vertAlign w:val="superscript"/>
        </w:rPr>
        <w:t>2</w:t>
      </w:r>
      <w:r w:rsidRPr="00505E36">
        <w:t>:  2011 data.</w:t>
      </w:r>
      <w:proofErr w:type="gramEnd"/>
    </w:p>
    <w:p w:rsidR="007A6C2F" w:rsidRPr="00505E36" w:rsidRDefault="007A6C2F" w:rsidP="00E07404">
      <w:r w:rsidRPr="00505E36">
        <w:t>Source:  Central Bank (Various Years), Central Statistics Office (various years).</w:t>
      </w:r>
    </w:p>
    <w:p w:rsidR="007A6C2F" w:rsidRPr="00505E36" w:rsidRDefault="007A6C2F" w:rsidP="00E07404"/>
    <w:p w:rsidR="007A6C2F" w:rsidRPr="009038F0" w:rsidRDefault="007A6C2F" w:rsidP="00E07404">
      <w:pPr>
        <w:rPr>
          <w:i/>
        </w:rPr>
      </w:pPr>
      <w:r w:rsidRPr="009038F0">
        <w:rPr>
          <w:i/>
        </w:rPr>
        <w:t>Table 2</w:t>
      </w:r>
      <w:r w:rsidRPr="009038F0">
        <w:rPr>
          <w:i/>
        </w:rPr>
        <w:tab/>
        <w:t>Banking and Credit Implications of the Irish Housing Market Boom and Bust, 1996-2010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7"/>
        <w:gridCol w:w="1077"/>
        <w:gridCol w:w="1077"/>
        <w:gridCol w:w="1077"/>
        <w:gridCol w:w="1077"/>
        <w:gridCol w:w="1077"/>
        <w:gridCol w:w="1077"/>
        <w:gridCol w:w="1077"/>
        <w:gridCol w:w="1077"/>
      </w:tblGrid>
      <w:tr w:rsidR="007A6C2F" w:rsidRPr="00505E36" w:rsidTr="003D439E">
        <w:tc>
          <w:tcPr>
            <w:tcW w:w="3867" w:type="dxa"/>
          </w:tcPr>
          <w:p w:rsidR="007A6C2F" w:rsidRPr="00505E36" w:rsidRDefault="007A6C2F" w:rsidP="00E07404">
            <w:pPr>
              <w:rPr>
                <w:lang w:val="en-IE" w:eastAsia="en-IE"/>
              </w:rPr>
            </w:pPr>
          </w:p>
        </w:tc>
        <w:tc>
          <w:tcPr>
            <w:tcW w:w="1077" w:type="dxa"/>
          </w:tcPr>
          <w:p w:rsidR="007A6C2F" w:rsidRPr="00505E36" w:rsidRDefault="007A6C2F" w:rsidP="00E07404">
            <w:pPr>
              <w:rPr>
                <w:lang w:val="en-IE" w:eastAsia="en-IE"/>
              </w:rPr>
            </w:pPr>
            <w:r w:rsidRPr="00505E36">
              <w:rPr>
                <w:lang w:val="en-IE" w:eastAsia="en-IE"/>
              </w:rPr>
              <w:t>1996</w:t>
            </w:r>
          </w:p>
        </w:tc>
        <w:tc>
          <w:tcPr>
            <w:tcW w:w="1077" w:type="dxa"/>
          </w:tcPr>
          <w:p w:rsidR="007A6C2F" w:rsidRPr="00505E36" w:rsidRDefault="007A6C2F" w:rsidP="00E07404">
            <w:pPr>
              <w:rPr>
                <w:lang w:val="en-IE" w:eastAsia="en-IE"/>
              </w:rPr>
            </w:pPr>
            <w:r w:rsidRPr="00505E36">
              <w:rPr>
                <w:lang w:val="en-IE" w:eastAsia="en-IE"/>
              </w:rPr>
              <w:t>1998</w:t>
            </w:r>
          </w:p>
        </w:tc>
        <w:tc>
          <w:tcPr>
            <w:tcW w:w="1077" w:type="dxa"/>
            <w:vAlign w:val="bottom"/>
          </w:tcPr>
          <w:p w:rsidR="007A6C2F" w:rsidRPr="00505E36" w:rsidRDefault="007A6C2F" w:rsidP="00E07404">
            <w:pPr>
              <w:rPr>
                <w:lang w:val="en-IE" w:eastAsia="en-IE"/>
              </w:rPr>
            </w:pPr>
            <w:r w:rsidRPr="00505E36">
              <w:rPr>
                <w:lang w:val="en-IE" w:eastAsia="en-IE"/>
              </w:rPr>
              <w:t>2000</w:t>
            </w:r>
          </w:p>
        </w:tc>
        <w:tc>
          <w:tcPr>
            <w:tcW w:w="1077" w:type="dxa"/>
            <w:vAlign w:val="bottom"/>
          </w:tcPr>
          <w:p w:rsidR="007A6C2F" w:rsidRPr="00505E36" w:rsidRDefault="007A6C2F" w:rsidP="00E07404">
            <w:pPr>
              <w:rPr>
                <w:lang w:val="en-IE" w:eastAsia="en-IE"/>
              </w:rPr>
            </w:pPr>
            <w:r w:rsidRPr="00505E36">
              <w:rPr>
                <w:lang w:val="en-IE" w:eastAsia="en-IE"/>
              </w:rPr>
              <w:t>2002</w:t>
            </w:r>
          </w:p>
        </w:tc>
        <w:tc>
          <w:tcPr>
            <w:tcW w:w="1077" w:type="dxa"/>
            <w:vAlign w:val="bottom"/>
          </w:tcPr>
          <w:p w:rsidR="007A6C2F" w:rsidRPr="00505E36" w:rsidRDefault="007A6C2F" w:rsidP="00E07404">
            <w:pPr>
              <w:rPr>
                <w:lang w:val="en-IE" w:eastAsia="en-IE"/>
              </w:rPr>
            </w:pPr>
            <w:r w:rsidRPr="00505E36">
              <w:rPr>
                <w:lang w:val="en-IE" w:eastAsia="en-IE"/>
              </w:rPr>
              <w:t>2004</w:t>
            </w:r>
          </w:p>
        </w:tc>
        <w:tc>
          <w:tcPr>
            <w:tcW w:w="1077" w:type="dxa"/>
            <w:vAlign w:val="bottom"/>
          </w:tcPr>
          <w:p w:rsidR="007A6C2F" w:rsidRPr="00505E36" w:rsidRDefault="007A6C2F" w:rsidP="00E07404">
            <w:pPr>
              <w:rPr>
                <w:lang w:val="en-IE" w:eastAsia="en-IE"/>
              </w:rPr>
            </w:pPr>
            <w:r w:rsidRPr="00505E36">
              <w:rPr>
                <w:lang w:val="en-IE" w:eastAsia="en-IE"/>
              </w:rPr>
              <w:t>2006</w:t>
            </w:r>
          </w:p>
        </w:tc>
        <w:tc>
          <w:tcPr>
            <w:tcW w:w="1077" w:type="dxa"/>
            <w:vAlign w:val="bottom"/>
          </w:tcPr>
          <w:p w:rsidR="007A6C2F" w:rsidRPr="00505E36" w:rsidRDefault="007A6C2F" w:rsidP="00E07404">
            <w:pPr>
              <w:rPr>
                <w:lang w:val="en-IE" w:eastAsia="en-IE"/>
              </w:rPr>
            </w:pPr>
            <w:r w:rsidRPr="00505E36">
              <w:rPr>
                <w:lang w:val="en-IE" w:eastAsia="en-IE"/>
              </w:rPr>
              <w:t>2008</w:t>
            </w:r>
          </w:p>
        </w:tc>
        <w:tc>
          <w:tcPr>
            <w:tcW w:w="1077" w:type="dxa"/>
          </w:tcPr>
          <w:p w:rsidR="007A6C2F" w:rsidRPr="00505E36" w:rsidRDefault="007A6C2F" w:rsidP="00E07404">
            <w:pPr>
              <w:rPr>
                <w:lang w:val="en-IE" w:eastAsia="en-IE"/>
              </w:rPr>
            </w:pPr>
            <w:r w:rsidRPr="00505E36">
              <w:rPr>
                <w:lang w:val="en-IE" w:eastAsia="en-IE"/>
              </w:rPr>
              <w:t>2010</w:t>
            </w:r>
          </w:p>
        </w:tc>
      </w:tr>
      <w:tr w:rsidR="007A6C2F" w:rsidRPr="00505E36" w:rsidTr="003D439E">
        <w:tc>
          <w:tcPr>
            <w:tcW w:w="3867" w:type="dxa"/>
          </w:tcPr>
          <w:p w:rsidR="007A6C2F" w:rsidRPr="00505E36" w:rsidRDefault="007A6C2F" w:rsidP="00E07404">
            <w:pPr>
              <w:rPr>
                <w:lang w:val="en-IE" w:eastAsia="en-IE"/>
              </w:rPr>
            </w:pPr>
            <w:r w:rsidRPr="00505E36">
              <w:rPr>
                <w:lang w:val="en-IE" w:eastAsia="en-IE"/>
              </w:rPr>
              <w:t>Mortgage credit outstanding (€m)</w:t>
            </w:r>
          </w:p>
        </w:tc>
        <w:tc>
          <w:tcPr>
            <w:tcW w:w="1077" w:type="dxa"/>
            <w:vAlign w:val="bottom"/>
          </w:tcPr>
          <w:p w:rsidR="007A6C2F" w:rsidRPr="00505E36" w:rsidRDefault="007A6C2F" w:rsidP="00E07404">
            <w:proofErr w:type="spellStart"/>
            <w:r w:rsidRPr="00505E36">
              <w:t>Nav</w:t>
            </w:r>
            <w:proofErr w:type="spellEnd"/>
          </w:p>
        </w:tc>
        <w:tc>
          <w:tcPr>
            <w:tcW w:w="1077" w:type="dxa"/>
            <w:vAlign w:val="bottom"/>
          </w:tcPr>
          <w:p w:rsidR="007A6C2F" w:rsidRPr="00505E36" w:rsidRDefault="007A6C2F" w:rsidP="00E07404">
            <w:proofErr w:type="spellStart"/>
            <w:r w:rsidRPr="00505E36">
              <w:t>Nav</w:t>
            </w:r>
            <w:proofErr w:type="spellEnd"/>
          </w:p>
        </w:tc>
        <w:tc>
          <w:tcPr>
            <w:tcW w:w="1077" w:type="dxa"/>
            <w:vAlign w:val="bottom"/>
          </w:tcPr>
          <w:p w:rsidR="007A6C2F" w:rsidRPr="00505E36" w:rsidRDefault="007A6C2F" w:rsidP="00E07404">
            <w:r w:rsidRPr="00505E36">
              <w:t>29,474</w:t>
            </w:r>
          </w:p>
        </w:tc>
        <w:tc>
          <w:tcPr>
            <w:tcW w:w="1077" w:type="dxa"/>
            <w:vAlign w:val="bottom"/>
          </w:tcPr>
          <w:p w:rsidR="007A6C2F" w:rsidRPr="00505E36" w:rsidRDefault="007A6C2F" w:rsidP="00E07404">
            <w:r w:rsidRPr="00505E36">
              <w:t>43,416</w:t>
            </w:r>
          </w:p>
        </w:tc>
        <w:tc>
          <w:tcPr>
            <w:tcW w:w="1077" w:type="dxa"/>
            <w:vAlign w:val="bottom"/>
          </w:tcPr>
          <w:p w:rsidR="007A6C2F" w:rsidRPr="00505E36" w:rsidRDefault="007A6C2F" w:rsidP="00E07404">
            <w:pPr>
              <w:rPr>
                <w:lang w:val="en-IE" w:eastAsia="en-IE"/>
              </w:rPr>
            </w:pPr>
            <w:r w:rsidRPr="00505E36">
              <w:rPr>
                <w:lang w:val="en-IE" w:eastAsia="en-IE"/>
              </w:rPr>
              <w:t>73,120</w:t>
            </w:r>
          </w:p>
        </w:tc>
        <w:tc>
          <w:tcPr>
            <w:tcW w:w="1077" w:type="dxa"/>
            <w:vAlign w:val="bottom"/>
          </w:tcPr>
          <w:p w:rsidR="007A6C2F" w:rsidRPr="00505E36" w:rsidRDefault="007A6C2F" w:rsidP="00E07404">
            <w:pPr>
              <w:rPr>
                <w:lang w:val="en-IE" w:eastAsia="en-IE"/>
              </w:rPr>
            </w:pPr>
            <w:r w:rsidRPr="00505E36">
              <w:rPr>
                <w:lang w:val="en-IE" w:eastAsia="en-IE"/>
              </w:rPr>
              <w:t>110,602</w:t>
            </w:r>
          </w:p>
        </w:tc>
        <w:tc>
          <w:tcPr>
            <w:tcW w:w="1077" w:type="dxa"/>
            <w:vAlign w:val="bottom"/>
          </w:tcPr>
          <w:p w:rsidR="007A6C2F" w:rsidRPr="00505E36" w:rsidRDefault="007A6C2F" w:rsidP="00E07404">
            <w:pPr>
              <w:rPr>
                <w:lang w:val="en-IE" w:eastAsia="en-IE"/>
              </w:rPr>
            </w:pPr>
            <w:r w:rsidRPr="00505E36">
              <w:rPr>
                <w:lang w:val="en-IE" w:eastAsia="en-IE"/>
              </w:rPr>
              <w:t>114,290</w:t>
            </w:r>
          </w:p>
        </w:tc>
        <w:tc>
          <w:tcPr>
            <w:tcW w:w="1077" w:type="dxa"/>
          </w:tcPr>
          <w:p w:rsidR="007A6C2F" w:rsidRPr="00505E36" w:rsidRDefault="007A6C2F" w:rsidP="00E07404">
            <w:pPr>
              <w:rPr>
                <w:lang w:val="en-IE" w:eastAsia="en-IE"/>
              </w:rPr>
            </w:pPr>
            <w:r w:rsidRPr="00505E36">
              <w:rPr>
                <w:lang w:val="en-IE" w:eastAsia="en-IE"/>
              </w:rPr>
              <w:t>108,282</w:t>
            </w:r>
            <w:r w:rsidRPr="00505E36">
              <w:rPr>
                <w:vertAlign w:val="superscript"/>
              </w:rPr>
              <w:t>1</w:t>
            </w:r>
          </w:p>
        </w:tc>
      </w:tr>
      <w:tr w:rsidR="007A6C2F" w:rsidRPr="00505E36" w:rsidTr="003D439E">
        <w:tc>
          <w:tcPr>
            <w:tcW w:w="3867" w:type="dxa"/>
          </w:tcPr>
          <w:p w:rsidR="007A6C2F" w:rsidRPr="00505E36" w:rsidRDefault="007A6C2F" w:rsidP="00E07404">
            <w:pPr>
              <w:rPr>
                <w:lang w:val="en-IE" w:eastAsia="en-IE"/>
              </w:rPr>
            </w:pPr>
            <w:r w:rsidRPr="00505E36">
              <w:rPr>
                <w:lang w:val="en-IE" w:eastAsia="en-IE"/>
              </w:rPr>
              <w:t>Mortgage debt to GDP ratio (%)</w:t>
            </w:r>
          </w:p>
        </w:tc>
        <w:tc>
          <w:tcPr>
            <w:tcW w:w="1077" w:type="dxa"/>
            <w:vAlign w:val="bottom"/>
          </w:tcPr>
          <w:p w:rsidR="007A6C2F" w:rsidRPr="00505E36" w:rsidRDefault="007A6C2F" w:rsidP="00E07404">
            <w:proofErr w:type="spellStart"/>
            <w:r w:rsidRPr="00505E36">
              <w:t>Nav</w:t>
            </w:r>
            <w:proofErr w:type="spellEnd"/>
          </w:p>
        </w:tc>
        <w:tc>
          <w:tcPr>
            <w:tcW w:w="1077" w:type="dxa"/>
            <w:vAlign w:val="bottom"/>
          </w:tcPr>
          <w:p w:rsidR="007A6C2F" w:rsidRPr="00505E36" w:rsidRDefault="007A6C2F" w:rsidP="00E07404">
            <w:proofErr w:type="spellStart"/>
            <w:r w:rsidRPr="00505E36">
              <w:t>Nav</w:t>
            </w:r>
            <w:proofErr w:type="spellEnd"/>
          </w:p>
        </w:tc>
        <w:tc>
          <w:tcPr>
            <w:tcW w:w="1077" w:type="dxa"/>
            <w:vAlign w:val="bottom"/>
          </w:tcPr>
          <w:p w:rsidR="007A6C2F" w:rsidRPr="00505E36" w:rsidRDefault="007A6C2F" w:rsidP="00E07404">
            <w:r w:rsidRPr="00505E36">
              <w:t>31.1</w:t>
            </w:r>
          </w:p>
        </w:tc>
        <w:tc>
          <w:tcPr>
            <w:tcW w:w="1077" w:type="dxa"/>
            <w:vAlign w:val="bottom"/>
          </w:tcPr>
          <w:p w:rsidR="007A6C2F" w:rsidRPr="00505E36" w:rsidRDefault="007A6C2F" w:rsidP="00E07404">
            <w:r w:rsidRPr="00505E36">
              <w:t>36.3</w:t>
            </w:r>
          </w:p>
        </w:tc>
        <w:tc>
          <w:tcPr>
            <w:tcW w:w="1077" w:type="dxa"/>
            <w:vAlign w:val="bottom"/>
          </w:tcPr>
          <w:p w:rsidR="007A6C2F" w:rsidRPr="00505E36" w:rsidRDefault="007A6C2F" w:rsidP="00E07404">
            <w:pPr>
              <w:rPr>
                <w:lang w:val="en-IE" w:eastAsia="en-IE"/>
              </w:rPr>
            </w:pPr>
            <w:r w:rsidRPr="00505E36">
              <w:rPr>
                <w:lang w:val="en-IE" w:eastAsia="en-IE"/>
              </w:rPr>
              <w:t>55.2</w:t>
            </w:r>
          </w:p>
        </w:tc>
        <w:tc>
          <w:tcPr>
            <w:tcW w:w="1077" w:type="dxa"/>
            <w:vAlign w:val="bottom"/>
          </w:tcPr>
          <w:p w:rsidR="007A6C2F" w:rsidRPr="00505E36" w:rsidRDefault="007A6C2F" w:rsidP="00E07404">
            <w:pPr>
              <w:rPr>
                <w:lang w:val="en-IE" w:eastAsia="en-IE"/>
              </w:rPr>
            </w:pPr>
            <w:r w:rsidRPr="00505E36">
              <w:rPr>
                <w:lang w:val="en-IE" w:eastAsia="en-IE"/>
              </w:rPr>
              <w:t>70.1</w:t>
            </w:r>
          </w:p>
        </w:tc>
        <w:tc>
          <w:tcPr>
            <w:tcW w:w="1077" w:type="dxa"/>
            <w:vAlign w:val="bottom"/>
          </w:tcPr>
          <w:p w:rsidR="007A6C2F" w:rsidRPr="00505E36" w:rsidRDefault="007A6C2F" w:rsidP="00E07404">
            <w:pPr>
              <w:rPr>
                <w:lang w:val="en-IE" w:eastAsia="en-IE"/>
              </w:rPr>
            </w:pPr>
            <w:r w:rsidRPr="00505E36">
              <w:rPr>
                <w:lang w:val="en-IE" w:eastAsia="en-IE"/>
              </w:rPr>
              <w:t>80.0</w:t>
            </w:r>
          </w:p>
        </w:tc>
        <w:tc>
          <w:tcPr>
            <w:tcW w:w="1077" w:type="dxa"/>
          </w:tcPr>
          <w:p w:rsidR="007A6C2F" w:rsidRPr="00505E36" w:rsidRDefault="007A6C2F" w:rsidP="00E07404">
            <w:pPr>
              <w:rPr>
                <w:lang w:val="en-IE" w:eastAsia="en-IE"/>
              </w:rPr>
            </w:pPr>
            <w:proofErr w:type="spellStart"/>
            <w:r w:rsidRPr="00505E36">
              <w:rPr>
                <w:lang w:val="en-IE" w:eastAsia="en-IE"/>
              </w:rPr>
              <w:t>Nav</w:t>
            </w:r>
            <w:proofErr w:type="spellEnd"/>
          </w:p>
        </w:tc>
      </w:tr>
      <w:tr w:rsidR="007A6C2F" w:rsidRPr="00505E36" w:rsidTr="003D439E">
        <w:tc>
          <w:tcPr>
            <w:tcW w:w="3867" w:type="dxa"/>
          </w:tcPr>
          <w:p w:rsidR="007A6C2F" w:rsidRPr="00505E36" w:rsidRDefault="007A6C2F" w:rsidP="00E07404">
            <w:pPr>
              <w:rPr>
                <w:lang w:val="en-IE" w:eastAsia="en-IE"/>
              </w:rPr>
            </w:pPr>
            <w:r w:rsidRPr="00505E36">
              <w:rPr>
                <w:lang w:val="en-IE" w:eastAsia="en-IE"/>
              </w:rPr>
              <w:t>New mortgages (N)</w:t>
            </w:r>
          </w:p>
        </w:tc>
        <w:tc>
          <w:tcPr>
            <w:tcW w:w="1077" w:type="dxa"/>
          </w:tcPr>
          <w:p w:rsidR="007A6C2F" w:rsidRPr="00505E36" w:rsidRDefault="007A6C2F" w:rsidP="00E07404">
            <w:r w:rsidRPr="00505E36">
              <w:t>56,000</w:t>
            </w:r>
          </w:p>
        </w:tc>
        <w:tc>
          <w:tcPr>
            <w:tcW w:w="1077" w:type="dxa"/>
          </w:tcPr>
          <w:p w:rsidR="007A6C2F" w:rsidRPr="00505E36" w:rsidRDefault="007A6C2F" w:rsidP="00E07404">
            <w:r w:rsidRPr="00505E36">
              <w:t>61,400</w:t>
            </w:r>
          </w:p>
        </w:tc>
        <w:tc>
          <w:tcPr>
            <w:tcW w:w="1077" w:type="dxa"/>
            <w:vAlign w:val="bottom"/>
          </w:tcPr>
          <w:p w:rsidR="007A6C2F" w:rsidRPr="00505E36" w:rsidRDefault="007A6C2F" w:rsidP="00E07404">
            <w:r w:rsidRPr="00505E36">
              <w:t>74,300</w:t>
            </w:r>
          </w:p>
        </w:tc>
        <w:tc>
          <w:tcPr>
            <w:tcW w:w="1077" w:type="dxa"/>
            <w:vAlign w:val="bottom"/>
          </w:tcPr>
          <w:p w:rsidR="007A6C2F" w:rsidRPr="00505E36" w:rsidRDefault="007A6C2F" w:rsidP="00E07404">
            <w:r w:rsidRPr="00505E36">
              <w:t>79,300</w:t>
            </w:r>
          </w:p>
        </w:tc>
        <w:tc>
          <w:tcPr>
            <w:tcW w:w="1077" w:type="dxa"/>
            <w:vAlign w:val="bottom"/>
          </w:tcPr>
          <w:p w:rsidR="007A6C2F" w:rsidRPr="00505E36" w:rsidRDefault="007A6C2F" w:rsidP="00E07404">
            <w:pPr>
              <w:rPr>
                <w:lang w:val="en-IE" w:eastAsia="en-IE"/>
              </w:rPr>
            </w:pPr>
            <w:r w:rsidRPr="00505E36">
              <w:rPr>
                <w:lang w:val="en-IE" w:eastAsia="en-IE"/>
              </w:rPr>
              <w:t>98,700</w:t>
            </w:r>
          </w:p>
        </w:tc>
        <w:tc>
          <w:tcPr>
            <w:tcW w:w="1077" w:type="dxa"/>
            <w:vAlign w:val="bottom"/>
          </w:tcPr>
          <w:p w:rsidR="007A6C2F" w:rsidRPr="00505E36" w:rsidRDefault="007A6C2F" w:rsidP="00E07404">
            <w:pPr>
              <w:rPr>
                <w:lang w:val="en-IE" w:eastAsia="en-IE"/>
              </w:rPr>
            </w:pPr>
            <w:r w:rsidRPr="00505E36">
              <w:rPr>
                <w:lang w:val="en-IE" w:eastAsia="en-IE"/>
              </w:rPr>
              <w:t>111,300</w:t>
            </w:r>
          </w:p>
        </w:tc>
        <w:tc>
          <w:tcPr>
            <w:tcW w:w="1077" w:type="dxa"/>
            <w:vAlign w:val="bottom"/>
          </w:tcPr>
          <w:p w:rsidR="007A6C2F" w:rsidRPr="00505E36" w:rsidRDefault="007A6C2F" w:rsidP="00E07404">
            <w:pPr>
              <w:rPr>
                <w:lang w:val="en-IE" w:eastAsia="en-IE"/>
              </w:rPr>
            </w:pPr>
            <w:r w:rsidRPr="00505E36">
              <w:rPr>
                <w:lang w:val="en-IE" w:eastAsia="en-IE"/>
              </w:rPr>
              <w:t>53,600</w:t>
            </w:r>
          </w:p>
        </w:tc>
        <w:tc>
          <w:tcPr>
            <w:tcW w:w="1077" w:type="dxa"/>
          </w:tcPr>
          <w:p w:rsidR="007A6C2F" w:rsidRPr="00505E36" w:rsidRDefault="0076695A" w:rsidP="00E07404">
            <w:pPr>
              <w:rPr>
                <w:lang w:val="en-IE" w:eastAsia="en-IE"/>
              </w:rPr>
            </w:pPr>
            <w:r w:rsidRPr="0076695A">
              <w:rPr>
                <w:lang w:val="en-IE" w:eastAsia="en-IE"/>
              </w:rPr>
              <w:t>18,382</w:t>
            </w:r>
          </w:p>
        </w:tc>
      </w:tr>
      <w:tr w:rsidR="007A6C2F" w:rsidRPr="00505E36" w:rsidTr="003D439E">
        <w:tc>
          <w:tcPr>
            <w:tcW w:w="3867" w:type="dxa"/>
          </w:tcPr>
          <w:p w:rsidR="007A6C2F" w:rsidRPr="00505E36" w:rsidRDefault="007A6C2F" w:rsidP="00E07404">
            <w:pPr>
              <w:rPr>
                <w:lang w:val="en-IE" w:eastAsia="en-IE"/>
              </w:rPr>
            </w:pPr>
            <w:r w:rsidRPr="00505E36">
              <w:rPr>
                <w:lang w:val="en-IE" w:eastAsia="en-IE"/>
              </w:rPr>
              <w:t>Mortgage debt per capita (€)</w:t>
            </w:r>
          </w:p>
        </w:tc>
        <w:tc>
          <w:tcPr>
            <w:tcW w:w="1077" w:type="dxa"/>
          </w:tcPr>
          <w:p w:rsidR="007A6C2F" w:rsidRPr="00505E36" w:rsidRDefault="007A6C2F" w:rsidP="00E07404">
            <w:r w:rsidRPr="00505E36">
              <w:t>3,830</w:t>
            </w:r>
          </w:p>
        </w:tc>
        <w:tc>
          <w:tcPr>
            <w:tcW w:w="1077" w:type="dxa"/>
          </w:tcPr>
          <w:p w:rsidR="007A6C2F" w:rsidRPr="00505E36" w:rsidRDefault="007A6C2F" w:rsidP="00E07404">
            <w:r w:rsidRPr="00505E36">
              <w:t>5,650</w:t>
            </w:r>
          </w:p>
        </w:tc>
        <w:tc>
          <w:tcPr>
            <w:tcW w:w="1077" w:type="dxa"/>
            <w:vAlign w:val="bottom"/>
          </w:tcPr>
          <w:p w:rsidR="007A6C2F" w:rsidRPr="00505E36" w:rsidRDefault="007A6C2F" w:rsidP="00E07404">
            <w:r w:rsidRPr="00505E36">
              <w:t>8,620</w:t>
            </w:r>
          </w:p>
        </w:tc>
        <w:tc>
          <w:tcPr>
            <w:tcW w:w="1077" w:type="dxa"/>
            <w:vAlign w:val="bottom"/>
          </w:tcPr>
          <w:p w:rsidR="007A6C2F" w:rsidRPr="00505E36" w:rsidRDefault="007A6C2F" w:rsidP="00E07404">
            <w:r w:rsidRPr="00505E36">
              <w:t>12,110</w:t>
            </w:r>
          </w:p>
        </w:tc>
        <w:tc>
          <w:tcPr>
            <w:tcW w:w="1077" w:type="dxa"/>
            <w:vAlign w:val="bottom"/>
          </w:tcPr>
          <w:p w:rsidR="007A6C2F" w:rsidRPr="00505E36" w:rsidRDefault="007A6C2F" w:rsidP="00E07404">
            <w:pPr>
              <w:rPr>
                <w:lang w:val="en-IE" w:eastAsia="en-IE"/>
              </w:rPr>
            </w:pPr>
            <w:r w:rsidRPr="00505E36">
              <w:rPr>
                <w:lang w:val="en-IE" w:eastAsia="en-IE"/>
              </w:rPr>
              <w:t>19,120</w:t>
            </w:r>
          </w:p>
        </w:tc>
        <w:tc>
          <w:tcPr>
            <w:tcW w:w="1077" w:type="dxa"/>
            <w:vAlign w:val="bottom"/>
          </w:tcPr>
          <w:p w:rsidR="007A6C2F" w:rsidRPr="00505E36" w:rsidRDefault="007A6C2F" w:rsidP="00E07404">
            <w:pPr>
              <w:rPr>
                <w:lang w:val="en-IE" w:eastAsia="en-IE"/>
              </w:rPr>
            </w:pPr>
            <w:r w:rsidRPr="00505E36">
              <w:rPr>
                <w:lang w:val="en-IE" w:eastAsia="en-IE"/>
              </w:rPr>
              <w:t>29,290</w:t>
            </w:r>
          </w:p>
        </w:tc>
        <w:tc>
          <w:tcPr>
            <w:tcW w:w="1077" w:type="dxa"/>
            <w:vAlign w:val="bottom"/>
          </w:tcPr>
          <w:p w:rsidR="007A6C2F" w:rsidRPr="00505E36" w:rsidRDefault="007A6C2F" w:rsidP="00E07404">
            <w:pPr>
              <w:rPr>
                <w:lang w:val="en-IE" w:eastAsia="en-IE"/>
              </w:rPr>
            </w:pPr>
            <w:r w:rsidRPr="00505E36">
              <w:rPr>
                <w:lang w:val="en-IE" w:eastAsia="en-IE"/>
              </w:rPr>
              <w:t>33,750</w:t>
            </w:r>
          </w:p>
        </w:tc>
        <w:tc>
          <w:tcPr>
            <w:tcW w:w="1077" w:type="dxa"/>
          </w:tcPr>
          <w:p w:rsidR="007A6C2F" w:rsidRPr="00505E36" w:rsidRDefault="007A6C2F" w:rsidP="00E07404">
            <w:pPr>
              <w:rPr>
                <w:lang w:val="en-IE" w:eastAsia="en-IE"/>
              </w:rPr>
            </w:pPr>
            <w:r w:rsidRPr="00505E36">
              <w:rPr>
                <w:lang w:val="en-IE" w:eastAsia="en-IE"/>
              </w:rPr>
              <w:t>30,400</w:t>
            </w:r>
          </w:p>
        </w:tc>
      </w:tr>
      <w:tr w:rsidR="007A6C2F" w:rsidRPr="00505E36" w:rsidTr="003D439E">
        <w:tc>
          <w:tcPr>
            <w:tcW w:w="3867" w:type="dxa"/>
          </w:tcPr>
          <w:p w:rsidR="007A6C2F" w:rsidRPr="00505E36" w:rsidRDefault="007A6C2F" w:rsidP="00E07404">
            <w:pPr>
              <w:rPr>
                <w:rFonts w:eastAsia="Times New Roman"/>
                <w:color w:val="000000"/>
                <w:lang w:val="en-IE" w:eastAsia="en-IE"/>
              </w:rPr>
            </w:pPr>
            <w:r w:rsidRPr="00505E36">
              <w:t>Interest rates on new Mortgages</w:t>
            </w:r>
          </w:p>
        </w:tc>
        <w:tc>
          <w:tcPr>
            <w:tcW w:w="1077" w:type="dxa"/>
          </w:tcPr>
          <w:p w:rsidR="007A6C2F" w:rsidRPr="00505E36" w:rsidRDefault="007A6C2F" w:rsidP="00E07404">
            <w:r w:rsidRPr="00505E36">
              <w:t>7.10</w:t>
            </w:r>
          </w:p>
        </w:tc>
        <w:tc>
          <w:tcPr>
            <w:tcW w:w="1077" w:type="dxa"/>
          </w:tcPr>
          <w:p w:rsidR="007A6C2F" w:rsidRPr="00505E36" w:rsidRDefault="007A6C2F" w:rsidP="00E07404">
            <w:r w:rsidRPr="00505E36">
              <w:t>6.00</w:t>
            </w:r>
          </w:p>
        </w:tc>
        <w:tc>
          <w:tcPr>
            <w:tcW w:w="1077" w:type="dxa"/>
            <w:vAlign w:val="bottom"/>
          </w:tcPr>
          <w:p w:rsidR="007A6C2F" w:rsidRPr="00505E36" w:rsidRDefault="007A6C2F" w:rsidP="00E07404">
            <w:r w:rsidRPr="00505E36">
              <w:t>6.17</w:t>
            </w:r>
          </w:p>
        </w:tc>
        <w:tc>
          <w:tcPr>
            <w:tcW w:w="1077" w:type="dxa"/>
            <w:vAlign w:val="bottom"/>
          </w:tcPr>
          <w:p w:rsidR="007A6C2F" w:rsidRPr="00505E36" w:rsidRDefault="007A6C2F" w:rsidP="00E07404">
            <w:r w:rsidRPr="00505E36">
              <w:t>4.69</w:t>
            </w:r>
          </w:p>
        </w:tc>
        <w:tc>
          <w:tcPr>
            <w:tcW w:w="1077" w:type="dxa"/>
            <w:vAlign w:val="bottom"/>
          </w:tcPr>
          <w:p w:rsidR="007A6C2F" w:rsidRPr="00505E36" w:rsidRDefault="007A6C2F" w:rsidP="00E07404">
            <w:pPr>
              <w:rPr>
                <w:lang w:val="en-IE" w:eastAsia="en-IE"/>
              </w:rPr>
            </w:pPr>
            <w:r w:rsidRPr="00505E36">
              <w:rPr>
                <w:lang w:val="en-IE" w:eastAsia="en-IE"/>
              </w:rPr>
              <w:t>3.47</w:t>
            </w:r>
          </w:p>
        </w:tc>
        <w:tc>
          <w:tcPr>
            <w:tcW w:w="1077" w:type="dxa"/>
            <w:vAlign w:val="bottom"/>
          </w:tcPr>
          <w:p w:rsidR="007A6C2F" w:rsidRPr="00505E36" w:rsidRDefault="007A6C2F" w:rsidP="00E07404">
            <w:pPr>
              <w:rPr>
                <w:lang w:val="en-IE" w:eastAsia="en-IE"/>
              </w:rPr>
            </w:pPr>
            <w:r w:rsidRPr="00505E36">
              <w:rPr>
                <w:lang w:val="en-IE" w:eastAsia="en-IE"/>
              </w:rPr>
              <w:t>4.57</w:t>
            </w:r>
          </w:p>
        </w:tc>
        <w:tc>
          <w:tcPr>
            <w:tcW w:w="1077" w:type="dxa"/>
            <w:vAlign w:val="bottom"/>
          </w:tcPr>
          <w:p w:rsidR="007A6C2F" w:rsidRPr="00505E36" w:rsidRDefault="007A6C2F" w:rsidP="00E07404">
            <w:pPr>
              <w:rPr>
                <w:lang w:val="en-IE" w:eastAsia="en-IE"/>
              </w:rPr>
            </w:pPr>
            <w:r w:rsidRPr="00505E36">
              <w:rPr>
                <w:lang w:val="en-IE" w:eastAsia="en-IE"/>
              </w:rPr>
              <w:t>4.33</w:t>
            </w:r>
          </w:p>
        </w:tc>
        <w:tc>
          <w:tcPr>
            <w:tcW w:w="1077" w:type="dxa"/>
          </w:tcPr>
          <w:p w:rsidR="007A6C2F" w:rsidRPr="00505E36" w:rsidRDefault="007A6C2F" w:rsidP="00E07404">
            <w:pPr>
              <w:rPr>
                <w:lang w:val="en-IE" w:eastAsia="en-IE"/>
              </w:rPr>
            </w:pPr>
            <w:r w:rsidRPr="00505E36">
              <w:rPr>
                <w:lang w:val="en-IE" w:eastAsia="en-IE"/>
              </w:rPr>
              <w:t>3.01</w:t>
            </w:r>
          </w:p>
        </w:tc>
      </w:tr>
      <w:tr w:rsidR="007A6C2F" w:rsidRPr="00505E36" w:rsidTr="003D439E">
        <w:tc>
          <w:tcPr>
            <w:tcW w:w="3867" w:type="dxa"/>
            <w:tcBorders>
              <w:bottom w:val="nil"/>
            </w:tcBorders>
          </w:tcPr>
          <w:p w:rsidR="007A6C2F" w:rsidRPr="00505E36" w:rsidRDefault="007A6C2F" w:rsidP="00E07404">
            <w:r w:rsidRPr="00505E36">
              <w:t>% of MFI’s funding generated from:</w:t>
            </w:r>
          </w:p>
        </w:tc>
        <w:tc>
          <w:tcPr>
            <w:tcW w:w="1077" w:type="dxa"/>
            <w:tcBorders>
              <w:bottom w:val="nil"/>
            </w:tcBorders>
          </w:tcPr>
          <w:p w:rsidR="007A6C2F" w:rsidRPr="00505E36" w:rsidRDefault="007A6C2F" w:rsidP="00E07404"/>
        </w:tc>
        <w:tc>
          <w:tcPr>
            <w:tcW w:w="1077" w:type="dxa"/>
            <w:tcBorders>
              <w:bottom w:val="nil"/>
            </w:tcBorders>
          </w:tcPr>
          <w:p w:rsidR="007A6C2F" w:rsidRPr="00505E36" w:rsidRDefault="007A6C2F" w:rsidP="00E07404"/>
        </w:tc>
        <w:tc>
          <w:tcPr>
            <w:tcW w:w="1077" w:type="dxa"/>
            <w:tcBorders>
              <w:bottom w:val="nil"/>
            </w:tcBorders>
            <w:vAlign w:val="bottom"/>
          </w:tcPr>
          <w:p w:rsidR="007A6C2F" w:rsidRPr="00505E36" w:rsidRDefault="007A6C2F" w:rsidP="00E07404"/>
        </w:tc>
        <w:tc>
          <w:tcPr>
            <w:tcW w:w="1077" w:type="dxa"/>
            <w:tcBorders>
              <w:bottom w:val="nil"/>
            </w:tcBorders>
            <w:vAlign w:val="bottom"/>
          </w:tcPr>
          <w:p w:rsidR="007A6C2F" w:rsidRPr="00505E36" w:rsidRDefault="007A6C2F" w:rsidP="00E07404"/>
        </w:tc>
        <w:tc>
          <w:tcPr>
            <w:tcW w:w="1077" w:type="dxa"/>
            <w:tcBorders>
              <w:bottom w:val="nil"/>
            </w:tcBorders>
            <w:vAlign w:val="bottom"/>
          </w:tcPr>
          <w:p w:rsidR="007A6C2F" w:rsidRPr="00505E36" w:rsidRDefault="007A6C2F" w:rsidP="00E07404">
            <w:pPr>
              <w:rPr>
                <w:lang w:val="en-IE" w:eastAsia="en-IE"/>
              </w:rPr>
            </w:pPr>
          </w:p>
        </w:tc>
        <w:tc>
          <w:tcPr>
            <w:tcW w:w="1077" w:type="dxa"/>
            <w:tcBorders>
              <w:bottom w:val="nil"/>
            </w:tcBorders>
            <w:vAlign w:val="bottom"/>
          </w:tcPr>
          <w:p w:rsidR="007A6C2F" w:rsidRPr="00505E36" w:rsidRDefault="007A6C2F" w:rsidP="00E07404">
            <w:pPr>
              <w:rPr>
                <w:lang w:val="en-IE" w:eastAsia="en-IE"/>
              </w:rPr>
            </w:pPr>
          </w:p>
        </w:tc>
        <w:tc>
          <w:tcPr>
            <w:tcW w:w="1077" w:type="dxa"/>
            <w:tcBorders>
              <w:bottom w:val="nil"/>
            </w:tcBorders>
            <w:vAlign w:val="bottom"/>
          </w:tcPr>
          <w:p w:rsidR="007A6C2F" w:rsidRPr="00505E36" w:rsidRDefault="007A6C2F" w:rsidP="00E07404">
            <w:pPr>
              <w:rPr>
                <w:lang w:val="en-IE" w:eastAsia="en-IE"/>
              </w:rPr>
            </w:pPr>
          </w:p>
        </w:tc>
        <w:tc>
          <w:tcPr>
            <w:tcW w:w="1077" w:type="dxa"/>
            <w:tcBorders>
              <w:bottom w:val="nil"/>
            </w:tcBorders>
          </w:tcPr>
          <w:p w:rsidR="007A6C2F" w:rsidRPr="00505E36" w:rsidRDefault="007A6C2F" w:rsidP="00E07404">
            <w:pPr>
              <w:rPr>
                <w:lang w:val="en-IE" w:eastAsia="en-IE"/>
              </w:rPr>
            </w:pPr>
          </w:p>
        </w:tc>
      </w:tr>
      <w:tr w:rsidR="007A6C2F" w:rsidRPr="00505E36" w:rsidTr="003D439E">
        <w:tc>
          <w:tcPr>
            <w:tcW w:w="3867" w:type="dxa"/>
            <w:tcBorders>
              <w:top w:val="nil"/>
              <w:bottom w:val="nil"/>
            </w:tcBorders>
          </w:tcPr>
          <w:p w:rsidR="007A6C2F" w:rsidRPr="00505E36" w:rsidRDefault="007A6C2F" w:rsidP="00E07404">
            <w:r w:rsidRPr="00505E36">
              <w:t>Private sector deposits</w:t>
            </w:r>
          </w:p>
        </w:tc>
        <w:tc>
          <w:tcPr>
            <w:tcW w:w="1077" w:type="dxa"/>
            <w:tcBorders>
              <w:top w:val="nil"/>
              <w:bottom w:val="nil"/>
            </w:tcBorders>
          </w:tcPr>
          <w:p w:rsidR="007A6C2F" w:rsidRPr="00505E36" w:rsidRDefault="007A6C2F" w:rsidP="00E07404">
            <w:proofErr w:type="spellStart"/>
            <w:r w:rsidRPr="00505E36">
              <w:t>Nav</w:t>
            </w:r>
            <w:proofErr w:type="spellEnd"/>
          </w:p>
        </w:tc>
        <w:tc>
          <w:tcPr>
            <w:tcW w:w="1077" w:type="dxa"/>
            <w:tcBorders>
              <w:top w:val="nil"/>
              <w:bottom w:val="nil"/>
            </w:tcBorders>
          </w:tcPr>
          <w:p w:rsidR="007A6C2F" w:rsidRPr="00505E36" w:rsidRDefault="007A6C2F" w:rsidP="00E07404">
            <w:proofErr w:type="spellStart"/>
            <w:r w:rsidRPr="00505E36">
              <w:t>Nav</w:t>
            </w:r>
            <w:proofErr w:type="spellEnd"/>
          </w:p>
        </w:tc>
        <w:tc>
          <w:tcPr>
            <w:tcW w:w="1077" w:type="dxa"/>
            <w:tcBorders>
              <w:top w:val="nil"/>
              <w:bottom w:val="nil"/>
            </w:tcBorders>
            <w:vAlign w:val="bottom"/>
          </w:tcPr>
          <w:p w:rsidR="007A6C2F" w:rsidRPr="00505E36" w:rsidRDefault="007A6C2F" w:rsidP="00E07404">
            <w:r w:rsidRPr="00505E36">
              <w:t>50.2</w:t>
            </w:r>
          </w:p>
        </w:tc>
        <w:tc>
          <w:tcPr>
            <w:tcW w:w="1077" w:type="dxa"/>
            <w:tcBorders>
              <w:top w:val="nil"/>
              <w:bottom w:val="nil"/>
            </w:tcBorders>
            <w:vAlign w:val="bottom"/>
          </w:tcPr>
          <w:p w:rsidR="007A6C2F" w:rsidRPr="00505E36" w:rsidRDefault="007A6C2F" w:rsidP="00E07404">
            <w:r w:rsidRPr="00505E36">
              <w:t>48.8</w:t>
            </w:r>
          </w:p>
        </w:tc>
        <w:tc>
          <w:tcPr>
            <w:tcW w:w="1077" w:type="dxa"/>
            <w:tcBorders>
              <w:top w:val="nil"/>
              <w:bottom w:val="nil"/>
            </w:tcBorders>
            <w:vAlign w:val="bottom"/>
          </w:tcPr>
          <w:p w:rsidR="007A6C2F" w:rsidRPr="00505E36" w:rsidRDefault="007A6C2F" w:rsidP="00E07404">
            <w:pPr>
              <w:rPr>
                <w:lang w:val="en-IE" w:eastAsia="en-IE"/>
              </w:rPr>
            </w:pPr>
            <w:r w:rsidRPr="00505E36">
              <w:rPr>
                <w:lang w:val="en-IE" w:eastAsia="en-IE"/>
              </w:rPr>
              <w:t>38.7</w:t>
            </w:r>
          </w:p>
        </w:tc>
        <w:tc>
          <w:tcPr>
            <w:tcW w:w="1077" w:type="dxa"/>
            <w:tcBorders>
              <w:top w:val="nil"/>
              <w:bottom w:val="nil"/>
            </w:tcBorders>
            <w:vAlign w:val="bottom"/>
          </w:tcPr>
          <w:p w:rsidR="007A6C2F" w:rsidRPr="00505E36" w:rsidRDefault="007A6C2F" w:rsidP="00E07404">
            <w:pPr>
              <w:rPr>
                <w:lang w:val="en-IE" w:eastAsia="en-IE"/>
              </w:rPr>
            </w:pPr>
            <w:r w:rsidRPr="00505E36">
              <w:rPr>
                <w:lang w:val="en-IE" w:eastAsia="en-IE"/>
              </w:rPr>
              <w:t>32.1</w:t>
            </w:r>
          </w:p>
        </w:tc>
        <w:tc>
          <w:tcPr>
            <w:tcW w:w="1077" w:type="dxa"/>
            <w:tcBorders>
              <w:top w:val="nil"/>
              <w:bottom w:val="nil"/>
            </w:tcBorders>
            <w:vAlign w:val="bottom"/>
          </w:tcPr>
          <w:p w:rsidR="007A6C2F" w:rsidRPr="00505E36" w:rsidRDefault="007A6C2F" w:rsidP="00E07404">
            <w:pPr>
              <w:rPr>
                <w:lang w:val="en-IE" w:eastAsia="en-IE"/>
              </w:rPr>
            </w:pPr>
            <w:r w:rsidRPr="00505E36">
              <w:rPr>
                <w:lang w:val="en-IE" w:eastAsia="en-IE"/>
              </w:rPr>
              <w:t>26.0</w:t>
            </w:r>
          </w:p>
        </w:tc>
        <w:tc>
          <w:tcPr>
            <w:tcW w:w="1077" w:type="dxa"/>
            <w:tcBorders>
              <w:top w:val="nil"/>
              <w:bottom w:val="nil"/>
            </w:tcBorders>
          </w:tcPr>
          <w:p w:rsidR="007A6C2F" w:rsidRPr="00505E36" w:rsidRDefault="007A6C2F" w:rsidP="00E07404">
            <w:pPr>
              <w:rPr>
                <w:lang w:val="en-IE" w:eastAsia="en-IE"/>
              </w:rPr>
            </w:pPr>
            <w:proofErr w:type="spellStart"/>
            <w:r w:rsidRPr="00505E36">
              <w:rPr>
                <w:lang w:val="en-IE" w:eastAsia="en-IE"/>
              </w:rPr>
              <w:t>Nav</w:t>
            </w:r>
            <w:proofErr w:type="spellEnd"/>
          </w:p>
        </w:tc>
      </w:tr>
      <w:tr w:rsidR="007A6C2F" w:rsidRPr="00505E36" w:rsidTr="003D439E">
        <w:tc>
          <w:tcPr>
            <w:tcW w:w="3867" w:type="dxa"/>
            <w:tcBorders>
              <w:top w:val="nil"/>
            </w:tcBorders>
          </w:tcPr>
          <w:p w:rsidR="007A6C2F" w:rsidRPr="00505E36" w:rsidRDefault="007A6C2F" w:rsidP="00E07404">
            <w:r w:rsidRPr="00505E36">
              <w:t xml:space="preserve">Inter-bank lending and debt securities </w:t>
            </w:r>
          </w:p>
        </w:tc>
        <w:tc>
          <w:tcPr>
            <w:tcW w:w="1077" w:type="dxa"/>
            <w:tcBorders>
              <w:top w:val="nil"/>
            </w:tcBorders>
          </w:tcPr>
          <w:p w:rsidR="007A6C2F" w:rsidRPr="00505E36" w:rsidRDefault="007A6C2F" w:rsidP="00E07404">
            <w:proofErr w:type="spellStart"/>
            <w:r w:rsidRPr="00505E36">
              <w:t>Nav</w:t>
            </w:r>
            <w:proofErr w:type="spellEnd"/>
          </w:p>
        </w:tc>
        <w:tc>
          <w:tcPr>
            <w:tcW w:w="1077" w:type="dxa"/>
            <w:tcBorders>
              <w:top w:val="nil"/>
            </w:tcBorders>
          </w:tcPr>
          <w:p w:rsidR="007A6C2F" w:rsidRPr="00505E36" w:rsidRDefault="007A6C2F" w:rsidP="00E07404">
            <w:proofErr w:type="spellStart"/>
            <w:r w:rsidRPr="00505E36">
              <w:t>Nav</w:t>
            </w:r>
            <w:proofErr w:type="spellEnd"/>
          </w:p>
        </w:tc>
        <w:tc>
          <w:tcPr>
            <w:tcW w:w="1077" w:type="dxa"/>
            <w:tcBorders>
              <w:top w:val="nil"/>
            </w:tcBorders>
            <w:vAlign w:val="bottom"/>
          </w:tcPr>
          <w:p w:rsidR="007A6C2F" w:rsidRPr="00505E36" w:rsidRDefault="007A6C2F" w:rsidP="00E07404">
            <w:r w:rsidRPr="00505E36">
              <w:t>30.2</w:t>
            </w:r>
          </w:p>
        </w:tc>
        <w:tc>
          <w:tcPr>
            <w:tcW w:w="1077" w:type="dxa"/>
            <w:tcBorders>
              <w:top w:val="nil"/>
            </w:tcBorders>
            <w:vAlign w:val="bottom"/>
          </w:tcPr>
          <w:p w:rsidR="007A6C2F" w:rsidRPr="00505E36" w:rsidRDefault="007A6C2F" w:rsidP="00E07404">
            <w:r w:rsidRPr="00505E36">
              <w:t>32.5</w:t>
            </w:r>
          </w:p>
        </w:tc>
        <w:tc>
          <w:tcPr>
            <w:tcW w:w="1077" w:type="dxa"/>
            <w:tcBorders>
              <w:top w:val="nil"/>
            </w:tcBorders>
            <w:vAlign w:val="bottom"/>
          </w:tcPr>
          <w:p w:rsidR="007A6C2F" w:rsidRPr="00505E36" w:rsidRDefault="007A6C2F" w:rsidP="00E07404">
            <w:pPr>
              <w:rPr>
                <w:lang w:val="en-IE" w:eastAsia="en-IE"/>
              </w:rPr>
            </w:pPr>
            <w:r w:rsidRPr="00505E36">
              <w:rPr>
                <w:lang w:val="en-IE" w:eastAsia="en-IE"/>
              </w:rPr>
              <w:t>46.0</w:t>
            </w:r>
          </w:p>
        </w:tc>
        <w:tc>
          <w:tcPr>
            <w:tcW w:w="1077" w:type="dxa"/>
            <w:tcBorders>
              <w:top w:val="nil"/>
            </w:tcBorders>
            <w:vAlign w:val="bottom"/>
          </w:tcPr>
          <w:p w:rsidR="007A6C2F" w:rsidRPr="00505E36" w:rsidRDefault="007A6C2F" w:rsidP="00E07404">
            <w:pPr>
              <w:rPr>
                <w:lang w:val="en-IE" w:eastAsia="en-IE"/>
              </w:rPr>
            </w:pPr>
            <w:r w:rsidRPr="00505E36">
              <w:rPr>
                <w:lang w:val="en-IE" w:eastAsia="en-IE"/>
              </w:rPr>
              <w:t>53.5</w:t>
            </w:r>
          </w:p>
        </w:tc>
        <w:tc>
          <w:tcPr>
            <w:tcW w:w="1077" w:type="dxa"/>
            <w:tcBorders>
              <w:top w:val="nil"/>
            </w:tcBorders>
            <w:vAlign w:val="bottom"/>
          </w:tcPr>
          <w:p w:rsidR="007A6C2F" w:rsidRPr="00505E36" w:rsidRDefault="007A6C2F" w:rsidP="00E07404">
            <w:pPr>
              <w:rPr>
                <w:lang w:val="en-IE" w:eastAsia="en-IE"/>
              </w:rPr>
            </w:pPr>
            <w:r w:rsidRPr="00505E36">
              <w:rPr>
                <w:lang w:val="en-IE" w:eastAsia="en-IE"/>
              </w:rPr>
              <w:t>56.6</w:t>
            </w:r>
          </w:p>
        </w:tc>
        <w:tc>
          <w:tcPr>
            <w:tcW w:w="1077" w:type="dxa"/>
            <w:tcBorders>
              <w:top w:val="nil"/>
            </w:tcBorders>
          </w:tcPr>
          <w:p w:rsidR="007A6C2F" w:rsidRPr="00505E36" w:rsidRDefault="007A6C2F" w:rsidP="00E07404">
            <w:pPr>
              <w:rPr>
                <w:lang w:val="en-IE" w:eastAsia="en-IE"/>
              </w:rPr>
            </w:pPr>
            <w:proofErr w:type="spellStart"/>
            <w:r w:rsidRPr="00505E36">
              <w:rPr>
                <w:lang w:val="en-IE" w:eastAsia="en-IE"/>
              </w:rPr>
              <w:t>Nav</w:t>
            </w:r>
            <w:proofErr w:type="spellEnd"/>
          </w:p>
        </w:tc>
      </w:tr>
      <w:tr w:rsidR="007A6C2F" w:rsidRPr="00F44625" w:rsidTr="003D439E">
        <w:tc>
          <w:tcPr>
            <w:tcW w:w="3867" w:type="dxa"/>
          </w:tcPr>
          <w:p w:rsidR="007A6C2F" w:rsidRPr="00505E36" w:rsidRDefault="007A6C2F" w:rsidP="00E07404">
            <w:pPr>
              <w:rPr>
                <w:lang w:val="en-IE" w:eastAsia="en-IE"/>
              </w:rPr>
            </w:pPr>
            <w:r w:rsidRPr="00505E36">
              <w:rPr>
                <w:lang w:val="en-IE" w:eastAsia="en-IE"/>
              </w:rPr>
              <w:t>Real estate related lending as a % of total</w:t>
            </w:r>
          </w:p>
        </w:tc>
        <w:tc>
          <w:tcPr>
            <w:tcW w:w="1077" w:type="dxa"/>
            <w:vAlign w:val="bottom"/>
          </w:tcPr>
          <w:p w:rsidR="007A6C2F" w:rsidRPr="00505E36" w:rsidRDefault="007A6C2F" w:rsidP="00E07404">
            <w:proofErr w:type="spellStart"/>
            <w:r w:rsidRPr="00505E36">
              <w:t>Nav</w:t>
            </w:r>
            <w:proofErr w:type="spellEnd"/>
          </w:p>
        </w:tc>
        <w:tc>
          <w:tcPr>
            <w:tcW w:w="1077" w:type="dxa"/>
            <w:vAlign w:val="bottom"/>
          </w:tcPr>
          <w:p w:rsidR="007A6C2F" w:rsidRPr="00505E36" w:rsidRDefault="007A6C2F" w:rsidP="00E07404">
            <w:proofErr w:type="spellStart"/>
            <w:r w:rsidRPr="00505E36">
              <w:t>Nav</w:t>
            </w:r>
            <w:proofErr w:type="spellEnd"/>
          </w:p>
        </w:tc>
        <w:tc>
          <w:tcPr>
            <w:tcW w:w="1077" w:type="dxa"/>
            <w:vAlign w:val="bottom"/>
          </w:tcPr>
          <w:p w:rsidR="007A6C2F" w:rsidRPr="00505E36" w:rsidRDefault="007A6C2F" w:rsidP="00E07404">
            <w:r w:rsidRPr="00505E36">
              <w:t>37.4</w:t>
            </w:r>
          </w:p>
        </w:tc>
        <w:tc>
          <w:tcPr>
            <w:tcW w:w="1077" w:type="dxa"/>
            <w:vAlign w:val="bottom"/>
          </w:tcPr>
          <w:p w:rsidR="007A6C2F" w:rsidRPr="00505E36" w:rsidRDefault="007A6C2F" w:rsidP="00E07404">
            <w:r w:rsidRPr="00505E36">
              <w:t>43.3</w:t>
            </w:r>
          </w:p>
        </w:tc>
        <w:tc>
          <w:tcPr>
            <w:tcW w:w="1077" w:type="dxa"/>
            <w:vAlign w:val="bottom"/>
          </w:tcPr>
          <w:p w:rsidR="007A6C2F" w:rsidRPr="00505E36" w:rsidRDefault="007A6C2F" w:rsidP="00E07404">
            <w:pPr>
              <w:rPr>
                <w:lang w:val="en-IE" w:eastAsia="en-IE"/>
              </w:rPr>
            </w:pPr>
            <w:r w:rsidRPr="00505E36">
              <w:rPr>
                <w:lang w:val="en-IE" w:eastAsia="en-IE"/>
              </w:rPr>
              <w:t>54.4</w:t>
            </w:r>
          </w:p>
        </w:tc>
        <w:tc>
          <w:tcPr>
            <w:tcW w:w="1077" w:type="dxa"/>
            <w:vAlign w:val="bottom"/>
          </w:tcPr>
          <w:p w:rsidR="007A6C2F" w:rsidRPr="00505E36" w:rsidRDefault="007A6C2F" w:rsidP="00E07404">
            <w:pPr>
              <w:rPr>
                <w:lang w:val="en-IE" w:eastAsia="en-IE"/>
              </w:rPr>
            </w:pPr>
            <w:r w:rsidRPr="00505E36">
              <w:rPr>
                <w:lang w:val="en-IE" w:eastAsia="en-IE"/>
              </w:rPr>
              <w:t>72.0</w:t>
            </w:r>
          </w:p>
        </w:tc>
        <w:tc>
          <w:tcPr>
            <w:tcW w:w="1077" w:type="dxa"/>
            <w:vAlign w:val="bottom"/>
          </w:tcPr>
          <w:p w:rsidR="007A6C2F" w:rsidRPr="00505E36" w:rsidRDefault="007A6C2F" w:rsidP="00E07404">
            <w:pPr>
              <w:rPr>
                <w:lang w:val="en-IE" w:eastAsia="en-IE"/>
              </w:rPr>
            </w:pPr>
            <w:r w:rsidRPr="00505E36">
              <w:rPr>
                <w:lang w:val="en-IE" w:eastAsia="en-IE"/>
              </w:rPr>
              <w:t>58.0</w:t>
            </w:r>
          </w:p>
        </w:tc>
        <w:tc>
          <w:tcPr>
            <w:tcW w:w="1077" w:type="dxa"/>
            <w:vAlign w:val="bottom"/>
          </w:tcPr>
          <w:p w:rsidR="007A6C2F" w:rsidRPr="00F44625" w:rsidRDefault="007A6C2F" w:rsidP="00E07404">
            <w:pPr>
              <w:rPr>
                <w:lang w:val="en-IE" w:eastAsia="en-IE"/>
              </w:rPr>
            </w:pPr>
            <w:proofErr w:type="spellStart"/>
            <w:r w:rsidRPr="00505E36">
              <w:rPr>
                <w:lang w:val="en-IE" w:eastAsia="en-IE"/>
              </w:rPr>
              <w:t>Nav</w:t>
            </w:r>
            <w:proofErr w:type="spellEnd"/>
          </w:p>
        </w:tc>
      </w:tr>
    </w:tbl>
    <w:p w:rsidR="007A6C2F" w:rsidRPr="001B602F" w:rsidRDefault="007A6C2F" w:rsidP="00E07404">
      <w:r w:rsidRPr="001B602F">
        <w:t xml:space="preserve">Note:  all monetary data are at current prices.  </w:t>
      </w:r>
      <w:proofErr w:type="spellStart"/>
      <w:r w:rsidRPr="001B602F">
        <w:t>Nav</w:t>
      </w:r>
      <w:proofErr w:type="spellEnd"/>
      <w:r w:rsidRPr="001B602F">
        <w:t xml:space="preserve"> means not available. </w:t>
      </w:r>
      <w:r w:rsidRPr="001B602F">
        <w:rPr>
          <w:vertAlign w:val="superscript"/>
        </w:rPr>
        <w:t>1</w:t>
      </w:r>
      <w:r w:rsidRPr="001B602F">
        <w:t>:  includes first 11 months only.</w:t>
      </w:r>
    </w:p>
    <w:p w:rsidR="007A6C2F" w:rsidRDefault="007A6C2F" w:rsidP="00E07404">
      <w:r w:rsidRPr="001B602F">
        <w:t>Source:  Central Bank (Various Years).</w:t>
      </w:r>
    </w:p>
    <w:p w:rsidR="007A6C2F" w:rsidRPr="009038F0" w:rsidRDefault="007A6C2F" w:rsidP="00E07404">
      <w:pPr>
        <w:rPr>
          <w:i/>
        </w:rPr>
      </w:pPr>
      <w:r>
        <w:br w:type="page"/>
      </w:r>
      <w:r w:rsidRPr="009038F0">
        <w:rPr>
          <w:i/>
        </w:rPr>
        <w:lastRenderedPageBreak/>
        <w:t>Table 3</w:t>
      </w:r>
      <w:r w:rsidRPr="009038F0">
        <w:rPr>
          <w:i/>
        </w:rPr>
        <w:tab/>
        <w:t>Household Implications of the Irish Housing Market Boom and Bust, 1996-2010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1"/>
        <w:gridCol w:w="907"/>
        <w:gridCol w:w="907"/>
        <w:gridCol w:w="907"/>
        <w:gridCol w:w="907"/>
        <w:gridCol w:w="907"/>
        <w:gridCol w:w="907"/>
        <w:gridCol w:w="907"/>
        <w:gridCol w:w="907"/>
      </w:tblGrid>
      <w:tr w:rsidR="007A6C2F" w:rsidRPr="00F44625" w:rsidTr="003D439E">
        <w:tc>
          <w:tcPr>
            <w:tcW w:w="4401" w:type="dxa"/>
          </w:tcPr>
          <w:p w:rsidR="007A6C2F" w:rsidRPr="00F44625" w:rsidRDefault="007A6C2F" w:rsidP="00E07404">
            <w:pPr>
              <w:rPr>
                <w:lang w:val="en-IE" w:eastAsia="en-IE"/>
              </w:rPr>
            </w:pPr>
          </w:p>
        </w:tc>
        <w:tc>
          <w:tcPr>
            <w:tcW w:w="907" w:type="dxa"/>
          </w:tcPr>
          <w:p w:rsidR="007A6C2F" w:rsidRPr="00F44625" w:rsidRDefault="007A6C2F" w:rsidP="00E07404">
            <w:pPr>
              <w:rPr>
                <w:lang w:val="en-IE" w:eastAsia="en-IE"/>
              </w:rPr>
            </w:pPr>
            <w:r w:rsidRPr="00F44625">
              <w:rPr>
                <w:lang w:val="en-IE" w:eastAsia="en-IE"/>
              </w:rPr>
              <w:t>1996</w:t>
            </w:r>
          </w:p>
        </w:tc>
        <w:tc>
          <w:tcPr>
            <w:tcW w:w="907" w:type="dxa"/>
          </w:tcPr>
          <w:p w:rsidR="007A6C2F" w:rsidRPr="00F44625" w:rsidRDefault="007A6C2F" w:rsidP="00E07404">
            <w:pPr>
              <w:rPr>
                <w:lang w:val="en-IE" w:eastAsia="en-IE"/>
              </w:rPr>
            </w:pPr>
            <w:r w:rsidRPr="00F44625">
              <w:rPr>
                <w:lang w:val="en-IE" w:eastAsia="en-IE"/>
              </w:rPr>
              <w:t>1998</w:t>
            </w:r>
          </w:p>
        </w:tc>
        <w:tc>
          <w:tcPr>
            <w:tcW w:w="907" w:type="dxa"/>
            <w:vAlign w:val="bottom"/>
          </w:tcPr>
          <w:p w:rsidR="007A6C2F" w:rsidRPr="00F44625" w:rsidRDefault="007A6C2F" w:rsidP="00E07404">
            <w:pPr>
              <w:rPr>
                <w:lang w:val="en-IE" w:eastAsia="en-IE"/>
              </w:rPr>
            </w:pPr>
            <w:r w:rsidRPr="00F44625">
              <w:rPr>
                <w:lang w:val="en-IE" w:eastAsia="en-IE"/>
              </w:rPr>
              <w:t>2000</w:t>
            </w:r>
          </w:p>
        </w:tc>
        <w:tc>
          <w:tcPr>
            <w:tcW w:w="907" w:type="dxa"/>
            <w:vAlign w:val="bottom"/>
          </w:tcPr>
          <w:p w:rsidR="007A6C2F" w:rsidRPr="00F44625" w:rsidRDefault="007A6C2F" w:rsidP="00E07404">
            <w:pPr>
              <w:rPr>
                <w:lang w:val="en-IE" w:eastAsia="en-IE"/>
              </w:rPr>
            </w:pPr>
            <w:r w:rsidRPr="00F44625">
              <w:rPr>
                <w:lang w:val="en-IE" w:eastAsia="en-IE"/>
              </w:rPr>
              <w:t>2002</w:t>
            </w:r>
          </w:p>
        </w:tc>
        <w:tc>
          <w:tcPr>
            <w:tcW w:w="907" w:type="dxa"/>
            <w:vAlign w:val="bottom"/>
          </w:tcPr>
          <w:p w:rsidR="007A6C2F" w:rsidRPr="00F44625" w:rsidRDefault="007A6C2F" w:rsidP="00E07404">
            <w:pPr>
              <w:rPr>
                <w:lang w:val="en-IE" w:eastAsia="en-IE"/>
              </w:rPr>
            </w:pPr>
            <w:r w:rsidRPr="00F44625">
              <w:rPr>
                <w:lang w:val="en-IE" w:eastAsia="en-IE"/>
              </w:rPr>
              <w:t>2004</w:t>
            </w:r>
          </w:p>
        </w:tc>
        <w:tc>
          <w:tcPr>
            <w:tcW w:w="907" w:type="dxa"/>
            <w:vAlign w:val="bottom"/>
          </w:tcPr>
          <w:p w:rsidR="007A6C2F" w:rsidRPr="00F44625" w:rsidRDefault="007A6C2F" w:rsidP="00E07404">
            <w:pPr>
              <w:rPr>
                <w:lang w:val="en-IE" w:eastAsia="en-IE"/>
              </w:rPr>
            </w:pPr>
            <w:r w:rsidRPr="00F44625">
              <w:rPr>
                <w:lang w:val="en-IE" w:eastAsia="en-IE"/>
              </w:rPr>
              <w:t>2006</w:t>
            </w:r>
          </w:p>
        </w:tc>
        <w:tc>
          <w:tcPr>
            <w:tcW w:w="907" w:type="dxa"/>
            <w:vAlign w:val="bottom"/>
          </w:tcPr>
          <w:p w:rsidR="007A6C2F" w:rsidRPr="00F44625" w:rsidRDefault="007A6C2F" w:rsidP="00E07404">
            <w:pPr>
              <w:rPr>
                <w:lang w:val="en-IE" w:eastAsia="en-IE"/>
              </w:rPr>
            </w:pPr>
            <w:r w:rsidRPr="00F44625">
              <w:rPr>
                <w:lang w:val="en-IE" w:eastAsia="en-IE"/>
              </w:rPr>
              <w:t>2008</w:t>
            </w:r>
          </w:p>
        </w:tc>
        <w:tc>
          <w:tcPr>
            <w:tcW w:w="907" w:type="dxa"/>
          </w:tcPr>
          <w:p w:rsidR="007A6C2F" w:rsidRPr="00F44625" w:rsidRDefault="007A6C2F" w:rsidP="00E07404">
            <w:pPr>
              <w:rPr>
                <w:lang w:val="en-IE" w:eastAsia="en-IE"/>
              </w:rPr>
            </w:pPr>
            <w:r w:rsidRPr="00F44625">
              <w:rPr>
                <w:lang w:val="en-IE" w:eastAsia="en-IE"/>
              </w:rPr>
              <w:t>2010</w:t>
            </w:r>
          </w:p>
        </w:tc>
      </w:tr>
      <w:tr w:rsidR="007A6C2F" w:rsidRPr="00F44625" w:rsidTr="003D439E">
        <w:tc>
          <w:tcPr>
            <w:tcW w:w="4401" w:type="dxa"/>
          </w:tcPr>
          <w:p w:rsidR="007A6C2F" w:rsidRPr="00F44625" w:rsidRDefault="007A6C2F" w:rsidP="00E07404">
            <w:pPr>
              <w:rPr>
                <w:lang w:val="en-IE" w:eastAsia="en-IE"/>
              </w:rPr>
            </w:pPr>
            <w:r w:rsidRPr="00F44625">
              <w:rPr>
                <w:lang w:val="en-IE" w:eastAsia="en-IE"/>
              </w:rPr>
              <w:t>% of average income required to service a mortgage on an average priced dwelling</w:t>
            </w:r>
            <w:r>
              <w:rPr>
                <w:vertAlign w:val="superscript"/>
                <w:lang w:val="en-IE" w:eastAsia="en-IE"/>
              </w:rPr>
              <w:t>1</w:t>
            </w:r>
          </w:p>
        </w:tc>
        <w:tc>
          <w:tcPr>
            <w:tcW w:w="907" w:type="dxa"/>
            <w:vAlign w:val="bottom"/>
          </w:tcPr>
          <w:p w:rsidR="007A6C2F" w:rsidRPr="00F44625" w:rsidRDefault="007A6C2F" w:rsidP="00E07404">
            <w:r w:rsidRPr="00F44625">
              <w:t>23</w:t>
            </w:r>
          </w:p>
        </w:tc>
        <w:tc>
          <w:tcPr>
            <w:tcW w:w="907" w:type="dxa"/>
            <w:vAlign w:val="bottom"/>
          </w:tcPr>
          <w:p w:rsidR="007A6C2F" w:rsidRPr="00F44625" w:rsidRDefault="007A6C2F" w:rsidP="00E07404">
            <w:r w:rsidRPr="00F44625">
              <w:t>35</w:t>
            </w:r>
          </w:p>
        </w:tc>
        <w:tc>
          <w:tcPr>
            <w:tcW w:w="907" w:type="dxa"/>
            <w:vAlign w:val="bottom"/>
          </w:tcPr>
          <w:p w:rsidR="007A6C2F" w:rsidRPr="00F44625" w:rsidRDefault="007A6C2F" w:rsidP="00E07404">
            <w:r w:rsidRPr="00F44625">
              <w:t>36</w:t>
            </w:r>
          </w:p>
        </w:tc>
        <w:tc>
          <w:tcPr>
            <w:tcW w:w="907" w:type="dxa"/>
            <w:vAlign w:val="bottom"/>
          </w:tcPr>
          <w:p w:rsidR="007A6C2F" w:rsidRPr="00F44625" w:rsidRDefault="007A6C2F" w:rsidP="00E07404">
            <w:r w:rsidRPr="00F44625">
              <w:t>34</w:t>
            </w:r>
          </w:p>
        </w:tc>
        <w:tc>
          <w:tcPr>
            <w:tcW w:w="907" w:type="dxa"/>
            <w:vAlign w:val="bottom"/>
          </w:tcPr>
          <w:p w:rsidR="007A6C2F" w:rsidRPr="00F44625" w:rsidRDefault="007A6C2F" w:rsidP="00E07404">
            <w:pPr>
              <w:rPr>
                <w:lang w:val="en-IE" w:eastAsia="en-IE"/>
              </w:rPr>
            </w:pPr>
            <w:r w:rsidRPr="00F44625">
              <w:rPr>
                <w:lang w:val="en-IE" w:eastAsia="en-IE"/>
              </w:rPr>
              <w:t>25</w:t>
            </w:r>
          </w:p>
        </w:tc>
        <w:tc>
          <w:tcPr>
            <w:tcW w:w="907" w:type="dxa"/>
            <w:vAlign w:val="bottom"/>
          </w:tcPr>
          <w:p w:rsidR="007A6C2F" w:rsidRPr="00F44625" w:rsidRDefault="007A6C2F" w:rsidP="00E07404">
            <w:pPr>
              <w:rPr>
                <w:lang w:val="en-IE" w:eastAsia="en-IE"/>
              </w:rPr>
            </w:pPr>
            <w:r w:rsidRPr="00F44625">
              <w:rPr>
                <w:lang w:val="en-IE" w:eastAsia="en-IE"/>
              </w:rPr>
              <w:t>31</w:t>
            </w:r>
          </w:p>
        </w:tc>
        <w:tc>
          <w:tcPr>
            <w:tcW w:w="907" w:type="dxa"/>
            <w:vAlign w:val="bottom"/>
          </w:tcPr>
          <w:p w:rsidR="007A6C2F" w:rsidRPr="00F44625" w:rsidRDefault="007A6C2F" w:rsidP="00E07404">
            <w:pPr>
              <w:rPr>
                <w:lang w:val="en-IE" w:eastAsia="en-IE"/>
              </w:rPr>
            </w:pPr>
            <w:r w:rsidRPr="00F44625">
              <w:rPr>
                <w:lang w:val="en-IE" w:eastAsia="en-IE"/>
              </w:rPr>
              <w:t>29</w:t>
            </w:r>
          </w:p>
        </w:tc>
        <w:tc>
          <w:tcPr>
            <w:tcW w:w="907" w:type="dxa"/>
            <w:vAlign w:val="bottom"/>
          </w:tcPr>
          <w:p w:rsidR="007A6C2F" w:rsidRPr="00F44625" w:rsidRDefault="007A6C2F" w:rsidP="00E07404">
            <w:pPr>
              <w:rPr>
                <w:lang w:val="en-IE" w:eastAsia="en-IE"/>
              </w:rPr>
            </w:pPr>
            <w:proofErr w:type="spellStart"/>
            <w:r w:rsidRPr="00F44625">
              <w:rPr>
                <w:lang w:val="en-IE" w:eastAsia="en-IE"/>
              </w:rPr>
              <w:t>Nav</w:t>
            </w:r>
            <w:proofErr w:type="spellEnd"/>
          </w:p>
        </w:tc>
      </w:tr>
      <w:tr w:rsidR="007A6C2F" w:rsidRPr="00F44625" w:rsidTr="003D439E">
        <w:tc>
          <w:tcPr>
            <w:tcW w:w="4401" w:type="dxa"/>
          </w:tcPr>
          <w:p w:rsidR="007A6C2F" w:rsidRPr="00F44625" w:rsidRDefault="007A6C2F" w:rsidP="00E07404">
            <w:pPr>
              <w:rPr>
                <w:lang w:val="en-IE" w:eastAsia="en-IE"/>
              </w:rPr>
            </w:pPr>
            <w:r w:rsidRPr="00F44625">
              <w:rPr>
                <w:lang w:val="en-IE" w:eastAsia="en-IE"/>
              </w:rPr>
              <w:t>% of outstanding mortgages which are:</w:t>
            </w:r>
          </w:p>
        </w:tc>
        <w:tc>
          <w:tcPr>
            <w:tcW w:w="907" w:type="dxa"/>
          </w:tcPr>
          <w:p w:rsidR="007A6C2F" w:rsidRPr="00F44625" w:rsidRDefault="007A6C2F" w:rsidP="00E07404"/>
        </w:tc>
        <w:tc>
          <w:tcPr>
            <w:tcW w:w="907" w:type="dxa"/>
          </w:tcPr>
          <w:p w:rsidR="007A6C2F" w:rsidRPr="00F44625" w:rsidRDefault="007A6C2F" w:rsidP="00E07404"/>
        </w:tc>
        <w:tc>
          <w:tcPr>
            <w:tcW w:w="907" w:type="dxa"/>
            <w:vAlign w:val="bottom"/>
          </w:tcPr>
          <w:p w:rsidR="007A6C2F" w:rsidRPr="00F44625" w:rsidRDefault="007A6C2F" w:rsidP="00E07404"/>
        </w:tc>
        <w:tc>
          <w:tcPr>
            <w:tcW w:w="907" w:type="dxa"/>
            <w:vAlign w:val="bottom"/>
          </w:tcPr>
          <w:p w:rsidR="007A6C2F" w:rsidRPr="00F44625" w:rsidRDefault="007A6C2F" w:rsidP="00E07404"/>
        </w:tc>
        <w:tc>
          <w:tcPr>
            <w:tcW w:w="907" w:type="dxa"/>
            <w:vAlign w:val="bottom"/>
          </w:tcPr>
          <w:p w:rsidR="007A6C2F" w:rsidRPr="00F44625" w:rsidRDefault="007A6C2F" w:rsidP="00E07404">
            <w:pPr>
              <w:rPr>
                <w:lang w:val="en-IE" w:eastAsia="en-IE"/>
              </w:rPr>
            </w:pPr>
          </w:p>
        </w:tc>
        <w:tc>
          <w:tcPr>
            <w:tcW w:w="907" w:type="dxa"/>
            <w:vAlign w:val="bottom"/>
          </w:tcPr>
          <w:p w:rsidR="007A6C2F" w:rsidRPr="00F44625" w:rsidRDefault="007A6C2F" w:rsidP="00E07404">
            <w:pPr>
              <w:rPr>
                <w:lang w:val="en-IE" w:eastAsia="en-IE"/>
              </w:rPr>
            </w:pPr>
          </w:p>
        </w:tc>
        <w:tc>
          <w:tcPr>
            <w:tcW w:w="907" w:type="dxa"/>
            <w:vAlign w:val="bottom"/>
          </w:tcPr>
          <w:p w:rsidR="007A6C2F" w:rsidRPr="00F44625" w:rsidRDefault="007A6C2F" w:rsidP="00E07404">
            <w:pPr>
              <w:rPr>
                <w:lang w:val="en-IE" w:eastAsia="en-IE"/>
              </w:rPr>
            </w:pPr>
          </w:p>
        </w:tc>
        <w:tc>
          <w:tcPr>
            <w:tcW w:w="907" w:type="dxa"/>
          </w:tcPr>
          <w:p w:rsidR="007A6C2F" w:rsidRPr="00F44625" w:rsidRDefault="007A6C2F" w:rsidP="00E07404">
            <w:pPr>
              <w:rPr>
                <w:lang w:val="en-IE" w:eastAsia="en-IE"/>
              </w:rPr>
            </w:pPr>
          </w:p>
        </w:tc>
      </w:tr>
      <w:tr w:rsidR="007A6C2F" w:rsidRPr="00F44625" w:rsidTr="003D439E">
        <w:tc>
          <w:tcPr>
            <w:tcW w:w="4401" w:type="dxa"/>
          </w:tcPr>
          <w:p w:rsidR="007A6C2F" w:rsidRPr="00F44625" w:rsidRDefault="007A6C2F" w:rsidP="00E07404">
            <w:pPr>
              <w:rPr>
                <w:lang w:val="en-IE" w:eastAsia="en-IE"/>
              </w:rPr>
            </w:pPr>
            <w:r w:rsidRPr="00F44625">
              <w:rPr>
                <w:lang w:val="en-IE" w:eastAsia="en-IE"/>
              </w:rPr>
              <w:t>Fixed rate</w:t>
            </w:r>
          </w:p>
        </w:tc>
        <w:tc>
          <w:tcPr>
            <w:tcW w:w="907" w:type="dxa"/>
          </w:tcPr>
          <w:p w:rsidR="007A6C2F" w:rsidRPr="00F44625" w:rsidRDefault="007A6C2F" w:rsidP="00E07404">
            <w:proofErr w:type="spellStart"/>
            <w:r w:rsidRPr="00F44625">
              <w:t>Nav</w:t>
            </w:r>
            <w:proofErr w:type="spellEnd"/>
          </w:p>
        </w:tc>
        <w:tc>
          <w:tcPr>
            <w:tcW w:w="907" w:type="dxa"/>
          </w:tcPr>
          <w:p w:rsidR="007A6C2F" w:rsidRPr="00F44625" w:rsidRDefault="007A6C2F" w:rsidP="00E07404">
            <w:proofErr w:type="spellStart"/>
            <w:r w:rsidRPr="00F44625">
              <w:t>Nav</w:t>
            </w:r>
            <w:proofErr w:type="spellEnd"/>
          </w:p>
        </w:tc>
        <w:tc>
          <w:tcPr>
            <w:tcW w:w="907" w:type="dxa"/>
            <w:vAlign w:val="bottom"/>
          </w:tcPr>
          <w:p w:rsidR="007A6C2F" w:rsidRPr="00F44625" w:rsidRDefault="007A6C2F" w:rsidP="00E07404">
            <w:r w:rsidRPr="00F44625">
              <w:t>31.1</w:t>
            </w:r>
          </w:p>
        </w:tc>
        <w:tc>
          <w:tcPr>
            <w:tcW w:w="907" w:type="dxa"/>
            <w:vAlign w:val="bottom"/>
          </w:tcPr>
          <w:p w:rsidR="007A6C2F" w:rsidRPr="00F44625" w:rsidRDefault="007A6C2F" w:rsidP="00E07404">
            <w:r w:rsidRPr="00F44625">
              <w:t>23.7</w:t>
            </w:r>
          </w:p>
        </w:tc>
        <w:tc>
          <w:tcPr>
            <w:tcW w:w="907" w:type="dxa"/>
            <w:vAlign w:val="bottom"/>
          </w:tcPr>
          <w:p w:rsidR="007A6C2F" w:rsidRPr="00F44625" w:rsidRDefault="007A6C2F" w:rsidP="00E07404">
            <w:pPr>
              <w:rPr>
                <w:lang w:val="en-IE" w:eastAsia="en-IE"/>
              </w:rPr>
            </w:pPr>
            <w:r w:rsidRPr="00F44625">
              <w:rPr>
                <w:lang w:val="en-IE" w:eastAsia="en-IE"/>
              </w:rPr>
              <w:t>17.2</w:t>
            </w:r>
          </w:p>
        </w:tc>
        <w:tc>
          <w:tcPr>
            <w:tcW w:w="907" w:type="dxa"/>
            <w:vAlign w:val="bottom"/>
          </w:tcPr>
          <w:p w:rsidR="007A6C2F" w:rsidRPr="00F44625" w:rsidRDefault="007A6C2F" w:rsidP="00E07404">
            <w:pPr>
              <w:rPr>
                <w:lang w:val="en-IE" w:eastAsia="en-IE"/>
              </w:rPr>
            </w:pPr>
            <w:r w:rsidRPr="00F44625">
              <w:rPr>
                <w:lang w:val="en-IE" w:eastAsia="en-IE"/>
              </w:rPr>
              <w:t>18.3</w:t>
            </w:r>
          </w:p>
        </w:tc>
        <w:tc>
          <w:tcPr>
            <w:tcW w:w="907" w:type="dxa"/>
            <w:vAlign w:val="bottom"/>
          </w:tcPr>
          <w:p w:rsidR="007A6C2F" w:rsidRPr="00F44625" w:rsidRDefault="007A6C2F" w:rsidP="00E07404">
            <w:pPr>
              <w:rPr>
                <w:lang w:val="en-IE" w:eastAsia="en-IE"/>
              </w:rPr>
            </w:pPr>
            <w:r w:rsidRPr="00F44625">
              <w:rPr>
                <w:lang w:val="en-IE" w:eastAsia="en-IE"/>
              </w:rPr>
              <w:t>20.0</w:t>
            </w:r>
          </w:p>
        </w:tc>
        <w:tc>
          <w:tcPr>
            <w:tcW w:w="907" w:type="dxa"/>
          </w:tcPr>
          <w:p w:rsidR="007A6C2F" w:rsidRPr="00F44625" w:rsidRDefault="007A6C2F" w:rsidP="00E07404">
            <w:pPr>
              <w:rPr>
                <w:lang w:val="en-IE" w:eastAsia="en-IE"/>
              </w:rPr>
            </w:pPr>
            <w:proofErr w:type="spellStart"/>
            <w:r w:rsidRPr="00F44625">
              <w:rPr>
                <w:lang w:val="en-IE" w:eastAsia="en-IE"/>
              </w:rPr>
              <w:t>Nav</w:t>
            </w:r>
            <w:proofErr w:type="spellEnd"/>
          </w:p>
        </w:tc>
      </w:tr>
      <w:tr w:rsidR="007A6C2F" w:rsidRPr="00F44625" w:rsidTr="003D439E">
        <w:tc>
          <w:tcPr>
            <w:tcW w:w="4401" w:type="dxa"/>
          </w:tcPr>
          <w:p w:rsidR="007A6C2F" w:rsidRPr="00F44625" w:rsidRDefault="007A6C2F" w:rsidP="00E07404">
            <w:pPr>
              <w:rPr>
                <w:lang w:val="en-IE" w:eastAsia="en-IE"/>
              </w:rPr>
            </w:pPr>
            <w:r w:rsidRPr="00F44625">
              <w:rPr>
                <w:lang w:val="en-IE" w:eastAsia="en-IE"/>
              </w:rPr>
              <w:t>For principal private residences</w:t>
            </w:r>
          </w:p>
        </w:tc>
        <w:tc>
          <w:tcPr>
            <w:tcW w:w="907" w:type="dxa"/>
          </w:tcPr>
          <w:p w:rsidR="007A6C2F" w:rsidRPr="00F44625" w:rsidRDefault="007A6C2F" w:rsidP="00E07404">
            <w:proofErr w:type="spellStart"/>
            <w:r w:rsidRPr="00F44625">
              <w:t>Nav</w:t>
            </w:r>
            <w:proofErr w:type="spellEnd"/>
          </w:p>
        </w:tc>
        <w:tc>
          <w:tcPr>
            <w:tcW w:w="907" w:type="dxa"/>
          </w:tcPr>
          <w:p w:rsidR="007A6C2F" w:rsidRPr="00F44625" w:rsidRDefault="007A6C2F" w:rsidP="00E07404">
            <w:proofErr w:type="spellStart"/>
            <w:r w:rsidRPr="00F44625">
              <w:t>Nav</w:t>
            </w:r>
            <w:proofErr w:type="spellEnd"/>
          </w:p>
        </w:tc>
        <w:tc>
          <w:tcPr>
            <w:tcW w:w="907" w:type="dxa"/>
          </w:tcPr>
          <w:p w:rsidR="007A6C2F" w:rsidRPr="00F44625" w:rsidRDefault="007A6C2F" w:rsidP="00E07404">
            <w:proofErr w:type="spellStart"/>
            <w:r w:rsidRPr="00F44625">
              <w:t>Nav</w:t>
            </w:r>
            <w:proofErr w:type="spellEnd"/>
          </w:p>
        </w:tc>
        <w:tc>
          <w:tcPr>
            <w:tcW w:w="907" w:type="dxa"/>
          </w:tcPr>
          <w:p w:rsidR="007A6C2F" w:rsidRPr="00F44625" w:rsidRDefault="007A6C2F" w:rsidP="00E07404">
            <w:proofErr w:type="spellStart"/>
            <w:r w:rsidRPr="00F44625">
              <w:t>Nav</w:t>
            </w:r>
            <w:proofErr w:type="spellEnd"/>
          </w:p>
        </w:tc>
        <w:tc>
          <w:tcPr>
            <w:tcW w:w="907" w:type="dxa"/>
            <w:vAlign w:val="bottom"/>
          </w:tcPr>
          <w:p w:rsidR="007A6C2F" w:rsidRPr="00F44625" w:rsidRDefault="007A6C2F" w:rsidP="00E07404">
            <w:pPr>
              <w:rPr>
                <w:lang w:val="en-IE" w:eastAsia="en-IE"/>
              </w:rPr>
            </w:pPr>
            <w:r w:rsidRPr="00F44625">
              <w:rPr>
                <w:lang w:val="en-IE" w:eastAsia="en-IE"/>
              </w:rPr>
              <w:t>80.0</w:t>
            </w:r>
          </w:p>
        </w:tc>
        <w:tc>
          <w:tcPr>
            <w:tcW w:w="907" w:type="dxa"/>
            <w:vAlign w:val="bottom"/>
          </w:tcPr>
          <w:p w:rsidR="007A6C2F" w:rsidRPr="00F44625" w:rsidRDefault="007A6C2F" w:rsidP="00E07404">
            <w:pPr>
              <w:rPr>
                <w:lang w:val="en-IE" w:eastAsia="en-IE"/>
              </w:rPr>
            </w:pPr>
            <w:r w:rsidRPr="00F44625">
              <w:rPr>
                <w:lang w:val="en-IE" w:eastAsia="en-IE"/>
              </w:rPr>
              <w:t>73.7</w:t>
            </w:r>
          </w:p>
        </w:tc>
        <w:tc>
          <w:tcPr>
            <w:tcW w:w="907" w:type="dxa"/>
            <w:vAlign w:val="bottom"/>
          </w:tcPr>
          <w:p w:rsidR="007A6C2F" w:rsidRPr="00F44625" w:rsidRDefault="007A6C2F" w:rsidP="00E07404">
            <w:pPr>
              <w:rPr>
                <w:lang w:val="en-IE" w:eastAsia="en-IE"/>
              </w:rPr>
            </w:pPr>
            <w:r w:rsidRPr="00F44625">
              <w:rPr>
                <w:lang w:val="en-IE" w:eastAsia="en-IE"/>
              </w:rPr>
              <w:t>71.9</w:t>
            </w:r>
          </w:p>
        </w:tc>
        <w:tc>
          <w:tcPr>
            <w:tcW w:w="907" w:type="dxa"/>
          </w:tcPr>
          <w:p w:rsidR="007A6C2F" w:rsidRPr="00F44625" w:rsidRDefault="007A6C2F" w:rsidP="00E07404">
            <w:pPr>
              <w:rPr>
                <w:lang w:val="en-IE" w:eastAsia="en-IE"/>
              </w:rPr>
            </w:pPr>
            <w:r w:rsidRPr="00F44625">
              <w:rPr>
                <w:lang w:val="en-IE" w:eastAsia="en-IE"/>
              </w:rPr>
              <w:t>72.8</w:t>
            </w:r>
            <w:r>
              <w:rPr>
                <w:vertAlign w:val="superscript"/>
                <w:lang w:val="en-IE" w:eastAsia="en-IE"/>
              </w:rPr>
              <w:t>2</w:t>
            </w:r>
          </w:p>
        </w:tc>
      </w:tr>
      <w:tr w:rsidR="007A6C2F" w:rsidRPr="00F44625" w:rsidTr="003D439E">
        <w:tc>
          <w:tcPr>
            <w:tcW w:w="4401" w:type="dxa"/>
          </w:tcPr>
          <w:p w:rsidR="007A6C2F" w:rsidRPr="00F44625" w:rsidRDefault="007A6C2F" w:rsidP="00E07404">
            <w:pPr>
              <w:rPr>
                <w:lang w:val="en-IE" w:eastAsia="en-IE"/>
              </w:rPr>
            </w:pPr>
            <w:r w:rsidRPr="00F44625">
              <w:rPr>
                <w:lang w:val="en-IE" w:eastAsia="en-IE"/>
              </w:rPr>
              <w:t>For buy-to-let dwellings</w:t>
            </w:r>
          </w:p>
        </w:tc>
        <w:tc>
          <w:tcPr>
            <w:tcW w:w="907" w:type="dxa"/>
          </w:tcPr>
          <w:p w:rsidR="007A6C2F" w:rsidRPr="00F44625" w:rsidRDefault="007A6C2F" w:rsidP="00E07404">
            <w:proofErr w:type="spellStart"/>
            <w:r w:rsidRPr="00F44625">
              <w:t>Nav</w:t>
            </w:r>
            <w:proofErr w:type="spellEnd"/>
          </w:p>
        </w:tc>
        <w:tc>
          <w:tcPr>
            <w:tcW w:w="907" w:type="dxa"/>
          </w:tcPr>
          <w:p w:rsidR="007A6C2F" w:rsidRPr="00F44625" w:rsidRDefault="007A6C2F" w:rsidP="00E07404">
            <w:proofErr w:type="spellStart"/>
            <w:r w:rsidRPr="00F44625">
              <w:t>Nav</w:t>
            </w:r>
            <w:proofErr w:type="spellEnd"/>
          </w:p>
        </w:tc>
        <w:tc>
          <w:tcPr>
            <w:tcW w:w="907" w:type="dxa"/>
          </w:tcPr>
          <w:p w:rsidR="007A6C2F" w:rsidRPr="00F44625" w:rsidRDefault="007A6C2F" w:rsidP="00E07404">
            <w:proofErr w:type="spellStart"/>
            <w:r w:rsidRPr="00F44625">
              <w:t>Nav</w:t>
            </w:r>
            <w:proofErr w:type="spellEnd"/>
          </w:p>
        </w:tc>
        <w:tc>
          <w:tcPr>
            <w:tcW w:w="907" w:type="dxa"/>
          </w:tcPr>
          <w:p w:rsidR="007A6C2F" w:rsidRPr="00F44625" w:rsidRDefault="007A6C2F" w:rsidP="00E07404">
            <w:proofErr w:type="spellStart"/>
            <w:r w:rsidRPr="00F44625">
              <w:t>Nav</w:t>
            </w:r>
            <w:proofErr w:type="spellEnd"/>
          </w:p>
        </w:tc>
        <w:tc>
          <w:tcPr>
            <w:tcW w:w="907" w:type="dxa"/>
            <w:vAlign w:val="bottom"/>
          </w:tcPr>
          <w:p w:rsidR="007A6C2F" w:rsidRPr="00F44625" w:rsidRDefault="007A6C2F" w:rsidP="00E07404">
            <w:pPr>
              <w:rPr>
                <w:lang w:val="en-IE" w:eastAsia="en-IE"/>
              </w:rPr>
            </w:pPr>
            <w:r w:rsidRPr="00F44625">
              <w:rPr>
                <w:lang w:val="en-IE" w:eastAsia="en-IE"/>
              </w:rPr>
              <w:t>18.8</w:t>
            </w:r>
          </w:p>
        </w:tc>
        <w:tc>
          <w:tcPr>
            <w:tcW w:w="907" w:type="dxa"/>
            <w:vAlign w:val="bottom"/>
          </w:tcPr>
          <w:p w:rsidR="007A6C2F" w:rsidRPr="00F44625" w:rsidRDefault="007A6C2F" w:rsidP="00E07404">
            <w:pPr>
              <w:rPr>
                <w:lang w:val="en-IE" w:eastAsia="en-IE"/>
              </w:rPr>
            </w:pPr>
            <w:r w:rsidRPr="00F44625">
              <w:rPr>
                <w:lang w:val="en-IE" w:eastAsia="en-IE"/>
              </w:rPr>
              <w:t>25.1</w:t>
            </w:r>
          </w:p>
        </w:tc>
        <w:tc>
          <w:tcPr>
            <w:tcW w:w="907" w:type="dxa"/>
            <w:vAlign w:val="bottom"/>
          </w:tcPr>
          <w:p w:rsidR="007A6C2F" w:rsidRPr="00F44625" w:rsidRDefault="007A6C2F" w:rsidP="00E07404">
            <w:pPr>
              <w:rPr>
                <w:lang w:val="en-IE" w:eastAsia="en-IE"/>
              </w:rPr>
            </w:pPr>
            <w:r w:rsidRPr="00F44625">
              <w:rPr>
                <w:lang w:val="en-IE" w:eastAsia="en-IE"/>
              </w:rPr>
              <w:t>26.9</w:t>
            </w:r>
          </w:p>
        </w:tc>
        <w:tc>
          <w:tcPr>
            <w:tcW w:w="907" w:type="dxa"/>
          </w:tcPr>
          <w:p w:rsidR="007A6C2F" w:rsidRPr="00F44625" w:rsidRDefault="007A6C2F" w:rsidP="00E07404">
            <w:pPr>
              <w:rPr>
                <w:lang w:val="en-IE" w:eastAsia="en-IE"/>
              </w:rPr>
            </w:pPr>
            <w:r w:rsidRPr="00F44625">
              <w:rPr>
                <w:lang w:val="en-IE" w:eastAsia="en-IE"/>
              </w:rPr>
              <w:t>26.1</w:t>
            </w:r>
            <w:r>
              <w:rPr>
                <w:vertAlign w:val="superscript"/>
                <w:lang w:val="en-IE" w:eastAsia="en-IE"/>
              </w:rPr>
              <w:t>2</w:t>
            </w:r>
          </w:p>
        </w:tc>
      </w:tr>
      <w:tr w:rsidR="007A6C2F" w:rsidRPr="00F44625" w:rsidTr="003D439E">
        <w:tc>
          <w:tcPr>
            <w:tcW w:w="4401" w:type="dxa"/>
          </w:tcPr>
          <w:p w:rsidR="007A6C2F" w:rsidRPr="00F44625" w:rsidRDefault="007A6C2F" w:rsidP="00E07404">
            <w:pPr>
              <w:rPr>
                <w:lang w:val="en-IE" w:eastAsia="en-IE"/>
              </w:rPr>
            </w:pPr>
            <w:r w:rsidRPr="00F44625">
              <w:rPr>
                <w:lang w:val="en-IE" w:eastAsia="en-IE"/>
              </w:rPr>
              <w:t>For holiday/second homes</w:t>
            </w:r>
          </w:p>
        </w:tc>
        <w:tc>
          <w:tcPr>
            <w:tcW w:w="907" w:type="dxa"/>
          </w:tcPr>
          <w:p w:rsidR="007A6C2F" w:rsidRPr="00F44625" w:rsidRDefault="007A6C2F" w:rsidP="00E07404">
            <w:proofErr w:type="spellStart"/>
            <w:r w:rsidRPr="00F44625">
              <w:t>Nav</w:t>
            </w:r>
            <w:proofErr w:type="spellEnd"/>
          </w:p>
        </w:tc>
        <w:tc>
          <w:tcPr>
            <w:tcW w:w="907" w:type="dxa"/>
          </w:tcPr>
          <w:p w:rsidR="007A6C2F" w:rsidRPr="00F44625" w:rsidRDefault="007A6C2F" w:rsidP="00E07404">
            <w:proofErr w:type="spellStart"/>
            <w:r w:rsidRPr="00F44625">
              <w:t>Nav</w:t>
            </w:r>
            <w:proofErr w:type="spellEnd"/>
          </w:p>
        </w:tc>
        <w:tc>
          <w:tcPr>
            <w:tcW w:w="907" w:type="dxa"/>
          </w:tcPr>
          <w:p w:rsidR="007A6C2F" w:rsidRPr="00F44625" w:rsidRDefault="007A6C2F" w:rsidP="00E07404">
            <w:proofErr w:type="spellStart"/>
            <w:r w:rsidRPr="00F44625">
              <w:t>Nav</w:t>
            </w:r>
            <w:proofErr w:type="spellEnd"/>
          </w:p>
        </w:tc>
        <w:tc>
          <w:tcPr>
            <w:tcW w:w="907" w:type="dxa"/>
          </w:tcPr>
          <w:p w:rsidR="007A6C2F" w:rsidRPr="00F44625" w:rsidRDefault="007A6C2F" w:rsidP="00E07404">
            <w:proofErr w:type="spellStart"/>
            <w:r w:rsidRPr="00F44625">
              <w:t>Nav</w:t>
            </w:r>
            <w:proofErr w:type="spellEnd"/>
          </w:p>
        </w:tc>
        <w:tc>
          <w:tcPr>
            <w:tcW w:w="907" w:type="dxa"/>
            <w:vAlign w:val="bottom"/>
          </w:tcPr>
          <w:p w:rsidR="007A6C2F" w:rsidRPr="00F44625" w:rsidRDefault="007A6C2F" w:rsidP="00E07404">
            <w:pPr>
              <w:rPr>
                <w:lang w:val="en-IE" w:eastAsia="en-IE"/>
              </w:rPr>
            </w:pPr>
            <w:r w:rsidRPr="00F44625">
              <w:rPr>
                <w:lang w:val="en-IE" w:eastAsia="en-IE"/>
              </w:rPr>
              <w:t>1.1</w:t>
            </w:r>
          </w:p>
        </w:tc>
        <w:tc>
          <w:tcPr>
            <w:tcW w:w="907" w:type="dxa"/>
            <w:vAlign w:val="bottom"/>
          </w:tcPr>
          <w:p w:rsidR="007A6C2F" w:rsidRPr="00F44625" w:rsidRDefault="007A6C2F" w:rsidP="00E07404">
            <w:pPr>
              <w:rPr>
                <w:lang w:val="en-IE" w:eastAsia="en-IE"/>
              </w:rPr>
            </w:pPr>
            <w:r w:rsidRPr="00F44625">
              <w:rPr>
                <w:lang w:val="en-IE" w:eastAsia="en-IE"/>
              </w:rPr>
              <w:t>1.2</w:t>
            </w:r>
          </w:p>
        </w:tc>
        <w:tc>
          <w:tcPr>
            <w:tcW w:w="907" w:type="dxa"/>
            <w:vAlign w:val="bottom"/>
          </w:tcPr>
          <w:p w:rsidR="007A6C2F" w:rsidRPr="00F44625" w:rsidRDefault="007A6C2F" w:rsidP="00E07404">
            <w:pPr>
              <w:rPr>
                <w:lang w:val="en-IE" w:eastAsia="en-IE"/>
              </w:rPr>
            </w:pPr>
            <w:r w:rsidRPr="00F44625">
              <w:rPr>
                <w:lang w:val="en-IE" w:eastAsia="en-IE"/>
              </w:rPr>
              <w:t>1.2</w:t>
            </w:r>
          </w:p>
        </w:tc>
        <w:tc>
          <w:tcPr>
            <w:tcW w:w="907" w:type="dxa"/>
          </w:tcPr>
          <w:p w:rsidR="007A6C2F" w:rsidRPr="00F44625" w:rsidRDefault="007A6C2F" w:rsidP="00E07404">
            <w:pPr>
              <w:rPr>
                <w:lang w:val="en-IE" w:eastAsia="en-IE"/>
              </w:rPr>
            </w:pPr>
            <w:r w:rsidRPr="00F44625">
              <w:rPr>
                <w:lang w:val="en-IE" w:eastAsia="en-IE"/>
              </w:rPr>
              <w:t>1.1</w:t>
            </w:r>
            <w:r>
              <w:rPr>
                <w:vertAlign w:val="superscript"/>
                <w:lang w:val="en-IE" w:eastAsia="en-IE"/>
              </w:rPr>
              <w:t>2</w:t>
            </w:r>
          </w:p>
        </w:tc>
      </w:tr>
      <w:tr w:rsidR="007A6C2F" w:rsidRPr="00F44625" w:rsidTr="003D439E">
        <w:tc>
          <w:tcPr>
            <w:tcW w:w="4401" w:type="dxa"/>
          </w:tcPr>
          <w:p w:rsidR="007A6C2F" w:rsidRPr="00F44625" w:rsidRDefault="007A6C2F" w:rsidP="00E07404">
            <w:pPr>
              <w:rPr>
                <w:lang w:val="en-IE" w:eastAsia="en-IE"/>
              </w:rPr>
            </w:pPr>
            <w:r w:rsidRPr="00F44625">
              <w:rPr>
                <w:lang w:val="en-IE" w:eastAsia="en-IE"/>
              </w:rPr>
              <w:t>% of new mortgages which are:</w:t>
            </w:r>
          </w:p>
        </w:tc>
        <w:tc>
          <w:tcPr>
            <w:tcW w:w="907" w:type="dxa"/>
          </w:tcPr>
          <w:p w:rsidR="007A6C2F" w:rsidRPr="00F44625" w:rsidRDefault="007A6C2F" w:rsidP="00E07404"/>
        </w:tc>
        <w:tc>
          <w:tcPr>
            <w:tcW w:w="907" w:type="dxa"/>
          </w:tcPr>
          <w:p w:rsidR="007A6C2F" w:rsidRPr="00F44625" w:rsidRDefault="007A6C2F" w:rsidP="00E07404"/>
        </w:tc>
        <w:tc>
          <w:tcPr>
            <w:tcW w:w="907" w:type="dxa"/>
            <w:vAlign w:val="bottom"/>
          </w:tcPr>
          <w:p w:rsidR="007A6C2F" w:rsidRPr="00F44625" w:rsidRDefault="007A6C2F" w:rsidP="00E07404"/>
        </w:tc>
        <w:tc>
          <w:tcPr>
            <w:tcW w:w="907" w:type="dxa"/>
            <w:vAlign w:val="bottom"/>
          </w:tcPr>
          <w:p w:rsidR="007A6C2F" w:rsidRPr="00F44625" w:rsidRDefault="007A6C2F" w:rsidP="00E07404"/>
        </w:tc>
        <w:tc>
          <w:tcPr>
            <w:tcW w:w="907" w:type="dxa"/>
            <w:vAlign w:val="bottom"/>
          </w:tcPr>
          <w:p w:rsidR="007A6C2F" w:rsidRPr="00F44625" w:rsidRDefault="007A6C2F" w:rsidP="00E07404">
            <w:pPr>
              <w:rPr>
                <w:lang w:val="en-IE" w:eastAsia="en-IE"/>
              </w:rPr>
            </w:pPr>
          </w:p>
        </w:tc>
        <w:tc>
          <w:tcPr>
            <w:tcW w:w="907" w:type="dxa"/>
            <w:vAlign w:val="bottom"/>
          </w:tcPr>
          <w:p w:rsidR="007A6C2F" w:rsidRPr="00F44625" w:rsidRDefault="007A6C2F" w:rsidP="00E07404">
            <w:pPr>
              <w:rPr>
                <w:lang w:val="en-IE" w:eastAsia="en-IE"/>
              </w:rPr>
            </w:pPr>
          </w:p>
        </w:tc>
        <w:tc>
          <w:tcPr>
            <w:tcW w:w="907" w:type="dxa"/>
            <w:vAlign w:val="bottom"/>
          </w:tcPr>
          <w:p w:rsidR="007A6C2F" w:rsidRPr="00F44625" w:rsidRDefault="007A6C2F" w:rsidP="00E07404">
            <w:pPr>
              <w:rPr>
                <w:lang w:val="en-IE" w:eastAsia="en-IE"/>
              </w:rPr>
            </w:pPr>
          </w:p>
        </w:tc>
        <w:tc>
          <w:tcPr>
            <w:tcW w:w="907" w:type="dxa"/>
          </w:tcPr>
          <w:p w:rsidR="007A6C2F" w:rsidRPr="00F44625" w:rsidRDefault="007A6C2F" w:rsidP="00E07404">
            <w:pPr>
              <w:rPr>
                <w:lang w:val="en-IE" w:eastAsia="en-IE"/>
              </w:rPr>
            </w:pPr>
          </w:p>
        </w:tc>
      </w:tr>
      <w:tr w:rsidR="007A6C2F" w:rsidRPr="00F44625" w:rsidTr="003D439E">
        <w:tc>
          <w:tcPr>
            <w:tcW w:w="4401" w:type="dxa"/>
          </w:tcPr>
          <w:p w:rsidR="007A6C2F" w:rsidRPr="00F44625" w:rsidRDefault="007A6C2F" w:rsidP="00E07404">
            <w:pPr>
              <w:rPr>
                <w:lang w:val="en-IE" w:eastAsia="en-IE"/>
              </w:rPr>
            </w:pPr>
            <w:r w:rsidRPr="00F44625">
              <w:rPr>
                <w:lang w:val="en-IE" w:eastAsia="en-IE"/>
              </w:rPr>
              <w:t>&gt;€250,000</w:t>
            </w:r>
          </w:p>
        </w:tc>
        <w:tc>
          <w:tcPr>
            <w:tcW w:w="907" w:type="dxa"/>
          </w:tcPr>
          <w:p w:rsidR="007A6C2F" w:rsidRPr="00F44625" w:rsidRDefault="007A6C2F" w:rsidP="00E07404">
            <w:proofErr w:type="spellStart"/>
            <w:r w:rsidRPr="00F44625">
              <w:t>Nav</w:t>
            </w:r>
            <w:proofErr w:type="spellEnd"/>
          </w:p>
        </w:tc>
        <w:tc>
          <w:tcPr>
            <w:tcW w:w="907" w:type="dxa"/>
          </w:tcPr>
          <w:p w:rsidR="007A6C2F" w:rsidRPr="00F44625" w:rsidRDefault="007A6C2F" w:rsidP="00E07404">
            <w:proofErr w:type="spellStart"/>
            <w:r w:rsidRPr="00F44625">
              <w:t>Nav</w:t>
            </w:r>
            <w:proofErr w:type="spellEnd"/>
          </w:p>
        </w:tc>
        <w:tc>
          <w:tcPr>
            <w:tcW w:w="907" w:type="dxa"/>
            <w:vAlign w:val="bottom"/>
          </w:tcPr>
          <w:p w:rsidR="007A6C2F" w:rsidRPr="00F44625" w:rsidRDefault="007A6C2F" w:rsidP="00E07404">
            <w:r w:rsidRPr="00F44625">
              <w:t>2.3</w:t>
            </w:r>
          </w:p>
        </w:tc>
        <w:tc>
          <w:tcPr>
            <w:tcW w:w="907" w:type="dxa"/>
            <w:vAlign w:val="bottom"/>
          </w:tcPr>
          <w:p w:rsidR="007A6C2F" w:rsidRPr="00F44625" w:rsidRDefault="007A6C2F" w:rsidP="00E07404">
            <w:r w:rsidRPr="00F44625">
              <w:t>5.9</w:t>
            </w:r>
          </w:p>
        </w:tc>
        <w:tc>
          <w:tcPr>
            <w:tcW w:w="907" w:type="dxa"/>
            <w:vAlign w:val="bottom"/>
          </w:tcPr>
          <w:p w:rsidR="007A6C2F" w:rsidRPr="00F44625" w:rsidRDefault="007A6C2F" w:rsidP="00E07404">
            <w:pPr>
              <w:rPr>
                <w:lang w:val="en-IE" w:eastAsia="en-IE"/>
              </w:rPr>
            </w:pPr>
            <w:r w:rsidRPr="00F44625">
              <w:rPr>
                <w:lang w:val="en-IE" w:eastAsia="en-IE"/>
              </w:rPr>
              <w:t>18.0</w:t>
            </w:r>
          </w:p>
        </w:tc>
        <w:tc>
          <w:tcPr>
            <w:tcW w:w="907" w:type="dxa"/>
            <w:vAlign w:val="bottom"/>
          </w:tcPr>
          <w:p w:rsidR="007A6C2F" w:rsidRPr="00F44625" w:rsidRDefault="007A6C2F" w:rsidP="00E07404">
            <w:pPr>
              <w:rPr>
                <w:lang w:val="en-IE" w:eastAsia="en-IE"/>
              </w:rPr>
            </w:pPr>
            <w:r w:rsidRPr="00F44625">
              <w:rPr>
                <w:lang w:val="en-IE" w:eastAsia="en-IE"/>
              </w:rPr>
              <w:t>37.0</w:t>
            </w:r>
          </w:p>
        </w:tc>
        <w:tc>
          <w:tcPr>
            <w:tcW w:w="907" w:type="dxa"/>
            <w:vAlign w:val="bottom"/>
          </w:tcPr>
          <w:p w:rsidR="007A6C2F" w:rsidRPr="00F44625" w:rsidRDefault="007A6C2F" w:rsidP="00E07404">
            <w:pPr>
              <w:rPr>
                <w:lang w:val="en-IE" w:eastAsia="en-IE"/>
              </w:rPr>
            </w:pPr>
            <w:r w:rsidRPr="00F44625">
              <w:rPr>
                <w:lang w:val="en-IE" w:eastAsia="en-IE"/>
              </w:rPr>
              <w:t>41.0</w:t>
            </w:r>
          </w:p>
        </w:tc>
        <w:tc>
          <w:tcPr>
            <w:tcW w:w="907" w:type="dxa"/>
          </w:tcPr>
          <w:p w:rsidR="007A6C2F" w:rsidRPr="00F44625" w:rsidRDefault="007A6C2F" w:rsidP="00E07404">
            <w:pPr>
              <w:rPr>
                <w:lang w:val="en-IE" w:eastAsia="en-IE"/>
              </w:rPr>
            </w:pPr>
            <w:proofErr w:type="spellStart"/>
            <w:r w:rsidRPr="00F44625">
              <w:rPr>
                <w:lang w:val="en-IE" w:eastAsia="en-IE"/>
              </w:rPr>
              <w:t>Nav</w:t>
            </w:r>
            <w:proofErr w:type="spellEnd"/>
          </w:p>
        </w:tc>
      </w:tr>
      <w:tr w:rsidR="007A6C2F" w:rsidRPr="00F44625" w:rsidTr="003D439E">
        <w:tc>
          <w:tcPr>
            <w:tcW w:w="4401" w:type="dxa"/>
          </w:tcPr>
          <w:p w:rsidR="007A6C2F" w:rsidRPr="00F44625" w:rsidRDefault="007A6C2F" w:rsidP="00E07404">
            <w:pPr>
              <w:rPr>
                <w:lang w:val="en-IE" w:eastAsia="en-IE"/>
              </w:rPr>
            </w:pPr>
            <w:r w:rsidRPr="00F44625">
              <w:rPr>
                <w:lang w:val="en-IE" w:eastAsia="en-IE"/>
              </w:rPr>
              <w:t>100% loans</w:t>
            </w:r>
          </w:p>
        </w:tc>
        <w:tc>
          <w:tcPr>
            <w:tcW w:w="907" w:type="dxa"/>
          </w:tcPr>
          <w:p w:rsidR="007A6C2F" w:rsidRPr="00F44625" w:rsidRDefault="007A6C2F" w:rsidP="00E07404">
            <w:proofErr w:type="spellStart"/>
            <w:r w:rsidRPr="00F44625">
              <w:t>Nav</w:t>
            </w:r>
            <w:proofErr w:type="spellEnd"/>
          </w:p>
        </w:tc>
        <w:tc>
          <w:tcPr>
            <w:tcW w:w="907" w:type="dxa"/>
          </w:tcPr>
          <w:p w:rsidR="007A6C2F" w:rsidRPr="00F44625" w:rsidRDefault="007A6C2F" w:rsidP="00E07404">
            <w:proofErr w:type="spellStart"/>
            <w:r w:rsidRPr="00F44625">
              <w:t>Nav</w:t>
            </w:r>
            <w:proofErr w:type="spellEnd"/>
          </w:p>
        </w:tc>
        <w:tc>
          <w:tcPr>
            <w:tcW w:w="907" w:type="dxa"/>
            <w:vAlign w:val="bottom"/>
          </w:tcPr>
          <w:p w:rsidR="007A6C2F" w:rsidRPr="00F44625" w:rsidRDefault="007A6C2F" w:rsidP="00E07404">
            <w:proofErr w:type="spellStart"/>
            <w:r w:rsidRPr="00F44625">
              <w:t>Nav</w:t>
            </w:r>
            <w:proofErr w:type="spellEnd"/>
          </w:p>
        </w:tc>
        <w:tc>
          <w:tcPr>
            <w:tcW w:w="907" w:type="dxa"/>
            <w:vAlign w:val="bottom"/>
          </w:tcPr>
          <w:p w:rsidR="007A6C2F" w:rsidRPr="00F44625" w:rsidRDefault="007A6C2F" w:rsidP="00E07404">
            <w:proofErr w:type="spellStart"/>
            <w:r w:rsidRPr="00F44625">
              <w:t>Nav</w:t>
            </w:r>
            <w:proofErr w:type="spellEnd"/>
          </w:p>
        </w:tc>
        <w:tc>
          <w:tcPr>
            <w:tcW w:w="907" w:type="dxa"/>
            <w:vAlign w:val="bottom"/>
          </w:tcPr>
          <w:p w:rsidR="007A6C2F" w:rsidRPr="00F44625" w:rsidRDefault="007A6C2F" w:rsidP="00E07404">
            <w:pPr>
              <w:rPr>
                <w:lang w:val="en-IE" w:eastAsia="en-IE"/>
              </w:rPr>
            </w:pPr>
            <w:r w:rsidRPr="00F44625">
              <w:rPr>
                <w:lang w:val="en-IE" w:eastAsia="en-IE"/>
              </w:rPr>
              <w:t>4.0</w:t>
            </w:r>
          </w:p>
        </w:tc>
        <w:tc>
          <w:tcPr>
            <w:tcW w:w="907" w:type="dxa"/>
            <w:vAlign w:val="bottom"/>
          </w:tcPr>
          <w:p w:rsidR="007A6C2F" w:rsidRPr="00F44625" w:rsidRDefault="007A6C2F" w:rsidP="00E07404">
            <w:pPr>
              <w:rPr>
                <w:lang w:val="en-IE" w:eastAsia="en-IE"/>
              </w:rPr>
            </w:pPr>
            <w:r w:rsidRPr="00F44625">
              <w:rPr>
                <w:lang w:val="en-IE" w:eastAsia="en-IE"/>
              </w:rPr>
              <w:t>14.0</w:t>
            </w:r>
          </w:p>
        </w:tc>
        <w:tc>
          <w:tcPr>
            <w:tcW w:w="907" w:type="dxa"/>
            <w:vAlign w:val="bottom"/>
          </w:tcPr>
          <w:p w:rsidR="007A6C2F" w:rsidRPr="00F44625" w:rsidRDefault="007A6C2F" w:rsidP="00E07404">
            <w:pPr>
              <w:rPr>
                <w:lang w:val="en-IE" w:eastAsia="en-IE"/>
              </w:rPr>
            </w:pPr>
            <w:r w:rsidRPr="00F44625">
              <w:rPr>
                <w:lang w:val="en-IE" w:eastAsia="en-IE"/>
              </w:rPr>
              <w:t>12.0</w:t>
            </w:r>
          </w:p>
        </w:tc>
        <w:tc>
          <w:tcPr>
            <w:tcW w:w="907" w:type="dxa"/>
          </w:tcPr>
          <w:p w:rsidR="007A6C2F" w:rsidRPr="00F44625" w:rsidRDefault="007A6C2F" w:rsidP="00E07404">
            <w:pPr>
              <w:rPr>
                <w:lang w:val="en-IE" w:eastAsia="en-IE"/>
              </w:rPr>
            </w:pPr>
            <w:proofErr w:type="spellStart"/>
            <w:r w:rsidRPr="00F44625">
              <w:rPr>
                <w:lang w:val="en-IE" w:eastAsia="en-IE"/>
              </w:rPr>
              <w:t>Nav</w:t>
            </w:r>
            <w:proofErr w:type="spellEnd"/>
          </w:p>
        </w:tc>
      </w:tr>
      <w:tr w:rsidR="007A6C2F" w:rsidRPr="00F44625" w:rsidTr="003D439E">
        <w:tc>
          <w:tcPr>
            <w:tcW w:w="4401" w:type="dxa"/>
          </w:tcPr>
          <w:p w:rsidR="007A6C2F" w:rsidRPr="00F44625" w:rsidRDefault="007A6C2F" w:rsidP="00E07404">
            <w:pPr>
              <w:rPr>
                <w:lang w:val="en-IE" w:eastAsia="en-IE"/>
              </w:rPr>
            </w:pPr>
            <w:r w:rsidRPr="00F44625">
              <w:rPr>
                <w:lang w:val="en-IE" w:eastAsia="en-IE"/>
              </w:rPr>
              <w:t>&gt;30 year term</w:t>
            </w:r>
          </w:p>
        </w:tc>
        <w:tc>
          <w:tcPr>
            <w:tcW w:w="907" w:type="dxa"/>
          </w:tcPr>
          <w:p w:rsidR="007A6C2F" w:rsidRPr="00F44625" w:rsidRDefault="007A6C2F" w:rsidP="00E07404">
            <w:proofErr w:type="spellStart"/>
            <w:r w:rsidRPr="00F44625">
              <w:t>Nav</w:t>
            </w:r>
            <w:proofErr w:type="spellEnd"/>
          </w:p>
        </w:tc>
        <w:tc>
          <w:tcPr>
            <w:tcW w:w="907" w:type="dxa"/>
          </w:tcPr>
          <w:p w:rsidR="007A6C2F" w:rsidRPr="00F44625" w:rsidRDefault="007A6C2F" w:rsidP="00E07404">
            <w:proofErr w:type="spellStart"/>
            <w:r w:rsidRPr="00F44625">
              <w:t>Nav</w:t>
            </w:r>
            <w:proofErr w:type="spellEnd"/>
          </w:p>
        </w:tc>
        <w:tc>
          <w:tcPr>
            <w:tcW w:w="907" w:type="dxa"/>
            <w:vAlign w:val="bottom"/>
          </w:tcPr>
          <w:p w:rsidR="007A6C2F" w:rsidRPr="00F44625" w:rsidRDefault="007A6C2F" w:rsidP="00E07404">
            <w:proofErr w:type="spellStart"/>
            <w:r w:rsidRPr="00F44625">
              <w:t>Nav</w:t>
            </w:r>
            <w:proofErr w:type="spellEnd"/>
          </w:p>
        </w:tc>
        <w:tc>
          <w:tcPr>
            <w:tcW w:w="907" w:type="dxa"/>
            <w:vAlign w:val="bottom"/>
          </w:tcPr>
          <w:p w:rsidR="007A6C2F" w:rsidRPr="00F44625" w:rsidRDefault="007A6C2F" w:rsidP="00E07404">
            <w:proofErr w:type="spellStart"/>
            <w:r w:rsidRPr="00F44625">
              <w:t>Nav</w:t>
            </w:r>
            <w:proofErr w:type="spellEnd"/>
          </w:p>
        </w:tc>
        <w:tc>
          <w:tcPr>
            <w:tcW w:w="907" w:type="dxa"/>
            <w:vAlign w:val="bottom"/>
          </w:tcPr>
          <w:p w:rsidR="007A6C2F" w:rsidRPr="00F44625" w:rsidRDefault="007A6C2F" w:rsidP="00E07404">
            <w:pPr>
              <w:rPr>
                <w:lang w:val="en-IE" w:eastAsia="en-IE"/>
              </w:rPr>
            </w:pPr>
            <w:r w:rsidRPr="00F44625">
              <w:rPr>
                <w:lang w:val="en-IE" w:eastAsia="en-IE"/>
              </w:rPr>
              <w:t>10.0</w:t>
            </w:r>
          </w:p>
        </w:tc>
        <w:tc>
          <w:tcPr>
            <w:tcW w:w="907" w:type="dxa"/>
            <w:vAlign w:val="bottom"/>
          </w:tcPr>
          <w:p w:rsidR="007A6C2F" w:rsidRPr="00F44625" w:rsidRDefault="007A6C2F" w:rsidP="00E07404">
            <w:pPr>
              <w:rPr>
                <w:lang w:val="en-IE" w:eastAsia="en-IE"/>
              </w:rPr>
            </w:pPr>
            <w:r w:rsidRPr="00F44625">
              <w:rPr>
                <w:lang w:val="en-IE" w:eastAsia="en-IE"/>
              </w:rPr>
              <w:t>31.0</w:t>
            </w:r>
          </w:p>
        </w:tc>
        <w:tc>
          <w:tcPr>
            <w:tcW w:w="907" w:type="dxa"/>
            <w:vAlign w:val="bottom"/>
          </w:tcPr>
          <w:p w:rsidR="007A6C2F" w:rsidRPr="00F44625" w:rsidRDefault="007A6C2F" w:rsidP="00E07404">
            <w:pPr>
              <w:rPr>
                <w:lang w:val="en-IE" w:eastAsia="en-IE"/>
              </w:rPr>
            </w:pPr>
            <w:r w:rsidRPr="00F44625">
              <w:rPr>
                <w:lang w:val="en-IE" w:eastAsia="en-IE"/>
              </w:rPr>
              <w:t>39.0</w:t>
            </w:r>
          </w:p>
        </w:tc>
        <w:tc>
          <w:tcPr>
            <w:tcW w:w="907" w:type="dxa"/>
          </w:tcPr>
          <w:p w:rsidR="007A6C2F" w:rsidRPr="00F44625" w:rsidRDefault="007A6C2F" w:rsidP="00E07404">
            <w:pPr>
              <w:rPr>
                <w:lang w:val="en-IE" w:eastAsia="en-IE"/>
              </w:rPr>
            </w:pPr>
            <w:proofErr w:type="spellStart"/>
            <w:r w:rsidRPr="00F44625">
              <w:rPr>
                <w:lang w:val="en-IE" w:eastAsia="en-IE"/>
              </w:rPr>
              <w:t>Nav</w:t>
            </w:r>
            <w:proofErr w:type="spellEnd"/>
          </w:p>
        </w:tc>
      </w:tr>
      <w:tr w:rsidR="007A6C2F" w:rsidRPr="00F44625" w:rsidTr="003D439E">
        <w:tc>
          <w:tcPr>
            <w:tcW w:w="4401" w:type="dxa"/>
          </w:tcPr>
          <w:p w:rsidR="007A6C2F" w:rsidRPr="00F44625" w:rsidRDefault="007A6C2F" w:rsidP="00E07404">
            <w:pPr>
              <w:rPr>
                <w:lang w:val="en-IE" w:eastAsia="en-IE"/>
              </w:rPr>
            </w:pPr>
            <w:r w:rsidRPr="00F44625">
              <w:rPr>
                <w:lang w:val="en-IE" w:eastAsia="en-IE"/>
              </w:rPr>
              <w:t>Interest only</w:t>
            </w:r>
          </w:p>
        </w:tc>
        <w:tc>
          <w:tcPr>
            <w:tcW w:w="907" w:type="dxa"/>
          </w:tcPr>
          <w:p w:rsidR="007A6C2F" w:rsidRPr="00F44625" w:rsidRDefault="007A6C2F" w:rsidP="00E07404">
            <w:proofErr w:type="spellStart"/>
            <w:r w:rsidRPr="00F44625">
              <w:t>Nav</w:t>
            </w:r>
            <w:proofErr w:type="spellEnd"/>
          </w:p>
        </w:tc>
        <w:tc>
          <w:tcPr>
            <w:tcW w:w="907" w:type="dxa"/>
          </w:tcPr>
          <w:p w:rsidR="007A6C2F" w:rsidRPr="00F44625" w:rsidRDefault="007A6C2F" w:rsidP="00E07404">
            <w:proofErr w:type="spellStart"/>
            <w:r w:rsidRPr="00F44625">
              <w:t>Nav</w:t>
            </w:r>
            <w:proofErr w:type="spellEnd"/>
          </w:p>
        </w:tc>
        <w:tc>
          <w:tcPr>
            <w:tcW w:w="907" w:type="dxa"/>
            <w:vAlign w:val="bottom"/>
          </w:tcPr>
          <w:p w:rsidR="007A6C2F" w:rsidRPr="00F44625" w:rsidRDefault="007A6C2F" w:rsidP="00E07404">
            <w:r w:rsidRPr="00F44625">
              <w:t>2.4</w:t>
            </w:r>
          </w:p>
        </w:tc>
        <w:tc>
          <w:tcPr>
            <w:tcW w:w="907" w:type="dxa"/>
            <w:vAlign w:val="bottom"/>
          </w:tcPr>
          <w:p w:rsidR="007A6C2F" w:rsidRPr="00F44625" w:rsidRDefault="007A6C2F" w:rsidP="00E07404">
            <w:r w:rsidRPr="00F44625">
              <w:t>2.7</w:t>
            </w:r>
          </w:p>
        </w:tc>
        <w:tc>
          <w:tcPr>
            <w:tcW w:w="907" w:type="dxa"/>
            <w:vAlign w:val="bottom"/>
          </w:tcPr>
          <w:p w:rsidR="007A6C2F" w:rsidRPr="00F44625" w:rsidRDefault="007A6C2F" w:rsidP="00E07404">
            <w:pPr>
              <w:rPr>
                <w:lang w:val="en-IE" w:eastAsia="en-IE"/>
              </w:rPr>
            </w:pPr>
            <w:r w:rsidRPr="00F44625">
              <w:rPr>
                <w:lang w:val="en-IE" w:eastAsia="en-IE"/>
              </w:rPr>
              <w:t>5.7</w:t>
            </w:r>
          </w:p>
        </w:tc>
        <w:tc>
          <w:tcPr>
            <w:tcW w:w="907" w:type="dxa"/>
            <w:vAlign w:val="bottom"/>
          </w:tcPr>
          <w:p w:rsidR="007A6C2F" w:rsidRPr="00F44625" w:rsidRDefault="007A6C2F" w:rsidP="00E07404">
            <w:pPr>
              <w:rPr>
                <w:lang w:val="en-IE" w:eastAsia="en-IE"/>
              </w:rPr>
            </w:pPr>
            <w:r w:rsidRPr="00F44625">
              <w:rPr>
                <w:lang w:val="en-IE" w:eastAsia="en-IE"/>
              </w:rPr>
              <w:t>12.6</w:t>
            </w:r>
          </w:p>
        </w:tc>
        <w:tc>
          <w:tcPr>
            <w:tcW w:w="907" w:type="dxa"/>
            <w:vAlign w:val="bottom"/>
          </w:tcPr>
          <w:p w:rsidR="007A6C2F" w:rsidRPr="00F44625" w:rsidRDefault="007A6C2F" w:rsidP="00E07404">
            <w:pPr>
              <w:rPr>
                <w:lang w:val="en-IE" w:eastAsia="en-IE"/>
              </w:rPr>
            </w:pPr>
            <w:proofErr w:type="spellStart"/>
            <w:r w:rsidRPr="00F44625">
              <w:rPr>
                <w:lang w:val="en-IE" w:eastAsia="en-IE"/>
              </w:rPr>
              <w:t>Nav</w:t>
            </w:r>
            <w:proofErr w:type="spellEnd"/>
          </w:p>
        </w:tc>
        <w:tc>
          <w:tcPr>
            <w:tcW w:w="907" w:type="dxa"/>
          </w:tcPr>
          <w:p w:rsidR="007A6C2F" w:rsidRPr="00F44625" w:rsidRDefault="007A6C2F" w:rsidP="00E07404">
            <w:pPr>
              <w:rPr>
                <w:lang w:val="en-IE" w:eastAsia="en-IE"/>
              </w:rPr>
            </w:pPr>
            <w:proofErr w:type="spellStart"/>
            <w:r w:rsidRPr="00F44625">
              <w:rPr>
                <w:lang w:val="en-IE" w:eastAsia="en-IE"/>
              </w:rPr>
              <w:t>Nav</w:t>
            </w:r>
            <w:proofErr w:type="spellEnd"/>
          </w:p>
        </w:tc>
      </w:tr>
    </w:tbl>
    <w:p w:rsidR="007A6C2F" w:rsidRPr="001B602F" w:rsidRDefault="007A6C2F" w:rsidP="00E07404">
      <w:r w:rsidRPr="001B602F">
        <w:t xml:space="preserve">Note:  all monetary data are at current prices.  </w:t>
      </w:r>
      <w:proofErr w:type="spellStart"/>
      <w:r w:rsidRPr="001B602F">
        <w:t>Nav</w:t>
      </w:r>
      <w:proofErr w:type="spellEnd"/>
      <w:r w:rsidRPr="001B602F">
        <w:t xml:space="preserve"> means not available. </w:t>
      </w:r>
      <w:r w:rsidRPr="001C5629">
        <w:rPr>
          <w:vertAlign w:val="superscript"/>
        </w:rPr>
        <w:t>1</w:t>
      </w:r>
      <w:r w:rsidRPr="001B602F">
        <w:t xml:space="preserve">: Data refer to two earner, married households, whose income = average industrial wage + average non-industrial wage.  Mortgage payments are on a 20 year mortgage for 90 per cent of the average new house price for that year, repaid at average mortgage rates for that year.  </w:t>
      </w:r>
      <w:r>
        <w:rPr>
          <w:vertAlign w:val="superscript"/>
        </w:rPr>
        <w:t>2</w:t>
      </w:r>
      <w:r w:rsidRPr="001B602F">
        <w:t>: includes the first 6 months only.</w:t>
      </w:r>
    </w:p>
    <w:p w:rsidR="007A6C2F" w:rsidRDefault="007A6C2F" w:rsidP="00E07404">
      <w:r w:rsidRPr="001B602F">
        <w:t xml:space="preserve">Source:  Department of the Environment, </w:t>
      </w:r>
      <w:r>
        <w:t>Community</w:t>
      </w:r>
      <w:r w:rsidRPr="001B602F">
        <w:t xml:space="preserve"> and Local Government (various years).</w:t>
      </w:r>
    </w:p>
    <w:p w:rsidR="007A6C2F" w:rsidRDefault="007A6C2F" w:rsidP="00E07404"/>
    <w:p w:rsidR="007A6C2F" w:rsidRDefault="007A6C2F" w:rsidP="00E07404">
      <w:pPr>
        <w:sectPr w:rsidR="007A6C2F" w:rsidSect="003D439E">
          <w:pgSz w:w="16838" w:h="11906" w:orient="landscape"/>
          <w:pgMar w:top="720" w:right="720" w:bottom="720" w:left="720" w:header="708" w:footer="708" w:gutter="0"/>
          <w:cols w:space="708"/>
          <w:docGrid w:linePitch="360"/>
        </w:sectPr>
      </w:pPr>
    </w:p>
    <w:p w:rsidR="007A6C2F" w:rsidRPr="00F47196" w:rsidRDefault="007A6C2F" w:rsidP="00E07404">
      <w:pPr>
        <w:rPr>
          <w:i/>
        </w:rPr>
      </w:pPr>
      <w:r w:rsidRPr="00F47196">
        <w:rPr>
          <w:i/>
        </w:rPr>
        <w:lastRenderedPageBreak/>
        <w:t>Figure 1</w:t>
      </w:r>
      <w:r w:rsidRPr="00F47196">
        <w:rPr>
          <w:i/>
        </w:rPr>
        <w:tab/>
        <w:t>Mean House Prices in Ireland</w:t>
      </w:r>
      <w:r w:rsidR="007135E6">
        <w:rPr>
          <w:i/>
        </w:rPr>
        <w:t xml:space="preserve"> (€)</w:t>
      </w:r>
      <w:r w:rsidRPr="00F47196">
        <w:rPr>
          <w:i/>
        </w:rPr>
        <w:t>, 1996-2010.</w:t>
      </w:r>
    </w:p>
    <w:bookmarkStart w:id="1" w:name="_MON_1389679471"/>
    <w:bookmarkStart w:id="2" w:name="_MON_1389679562"/>
    <w:bookmarkStart w:id="3" w:name="_MON_1389771645"/>
    <w:bookmarkEnd w:id="1"/>
    <w:bookmarkEnd w:id="2"/>
    <w:bookmarkEnd w:id="3"/>
    <w:bookmarkStart w:id="4" w:name="_MON_1389679457"/>
    <w:bookmarkEnd w:id="4"/>
    <w:p w:rsidR="007A6C2F" w:rsidRDefault="007135E6" w:rsidP="00E07404">
      <w:pPr>
        <w:rPr>
          <w:noProof/>
          <w:lang w:eastAsia="en-IE"/>
        </w:rPr>
      </w:pPr>
      <w:r w:rsidRPr="00C36622">
        <w:rPr>
          <w:noProof/>
          <w:lang w:eastAsia="en-IE"/>
        </w:rPr>
        <w:object w:dxaOrig="9766"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85pt;height:267.15pt" o:ole="">
            <v:imagedata r:id="rId10" o:title=""/>
          </v:shape>
          <o:OLEObject Type="Embed" ProgID="Excel.Sheet.12" ShapeID="_x0000_i1025" DrawAspect="Content" ObjectID="_1432378356" r:id="rId11"/>
        </w:object>
      </w:r>
      <w:r w:rsidR="007A6C2F" w:rsidRPr="000950AA">
        <w:rPr>
          <w:noProof/>
          <w:lang w:eastAsia="en-IE"/>
        </w:rPr>
        <w:t>Source: Permanent TSB/ESRI (various years); Department of the Environment, Community and Local Government (various years).</w:t>
      </w:r>
    </w:p>
    <w:p w:rsidR="007A6C2F" w:rsidRDefault="007A6C2F" w:rsidP="00E07404"/>
    <w:p w:rsidR="007A6C2F" w:rsidRPr="001B602F" w:rsidRDefault="007A6C2F" w:rsidP="00E07404"/>
    <w:p w:rsidR="00E2141F" w:rsidRDefault="00E2141F" w:rsidP="00E07404">
      <w:r>
        <w:br w:type="page"/>
      </w:r>
    </w:p>
    <w:p w:rsidR="00024820" w:rsidRPr="00F47196" w:rsidRDefault="00E2141F" w:rsidP="00024820">
      <w:pPr>
        <w:spacing w:after="120"/>
        <w:rPr>
          <w:i/>
        </w:rPr>
      </w:pPr>
      <w:r w:rsidRPr="003D5BE8">
        <w:rPr>
          <w:i/>
        </w:rPr>
        <w:lastRenderedPageBreak/>
        <w:t>Figure 2</w:t>
      </w:r>
      <w:r w:rsidRPr="003D5BE8">
        <w:rPr>
          <w:i/>
        </w:rPr>
        <w:tab/>
      </w:r>
      <w:r w:rsidR="00024820" w:rsidRPr="00F47196">
        <w:rPr>
          <w:i/>
        </w:rPr>
        <w:t>Housing Output in Ireland, 1996-2010.</w:t>
      </w:r>
    </w:p>
    <w:p w:rsidR="00024820" w:rsidRDefault="007135E6" w:rsidP="00024820">
      <w:pPr>
        <w:rPr>
          <w:noProof/>
          <w:lang w:eastAsia="en-IE"/>
        </w:rPr>
      </w:pPr>
      <w:r w:rsidRPr="00C36622">
        <w:rPr>
          <w:noProof/>
          <w:lang w:eastAsia="en-IE"/>
        </w:rPr>
        <w:object w:dxaOrig="9766" w:dyaOrig="3975">
          <v:shape id="_x0000_i1026" type="#_x0000_t75" style="width:488.85pt;height:267.15pt" o:ole="">
            <v:imagedata r:id="rId12" o:title=""/>
          </v:shape>
          <o:OLEObject Type="Embed" ProgID="Excel.Sheet.12" ShapeID="_x0000_i1026" DrawAspect="Content" ObjectID="_1432378357" r:id="rId13"/>
        </w:object>
      </w:r>
      <w:r w:rsidR="00024820" w:rsidRPr="000950AA">
        <w:rPr>
          <w:noProof/>
          <w:lang w:eastAsia="en-IE"/>
        </w:rPr>
        <w:t>Source: Permanent TSB/ESRI (various years); Department of the Environment, Community and Local Government (various years).</w:t>
      </w:r>
    </w:p>
    <w:p w:rsidR="00024820" w:rsidRDefault="00024820" w:rsidP="00024820"/>
    <w:p w:rsidR="003D5BE8" w:rsidRDefault="003D5BE8" w:rsidP="00E07404"/>
    <w:p w:rsidR="003D5BE8" w:rsidRDefault="003D5BE8" w:rsidP="00E07404"/>
    <w:p w:rsidR="003D5BE8" w:rsidRDefault="003D5BE8" w:rsidP="00E07404"/>
    <w:p w:rsidR="00E07404" w:rsidRPr="00E2141F" w:rsidRDefault="00E07404" w:rsidP="00E07404"/>
    <w:p w:rsidR="00EC072C" w:rsidRPr="002B0F52" w:rsidRDefault="00AB0483" w:rsidP="002B0F52">
      <w:pPr>
        <w:spacing w:after="120"/>
        <w:jc w:val="both"/>
        <w:rPr>
          <w:b/>
        </w:rPr>
      </w:pPr>
      <w:r>
        <w:br w:type="page"/>
      </w:r>
      <w:r w:rsidR="00976F1E" w:rsidRPr="002B0F52">
        <w:rPr>
          <w:b/>
        </w:rPr>
        <w:lastRenderedPageBreak/>
        <w:t>References:</w:t>
      </w:r>
    </w:p>
    <w:p w:rsidR="00445D26" w:rsidRPr="00754450" w:rsidRDefault="00445D26" w:rsidP="002B0F52">
      <w:pPr>
        <w:spacing w:after="120"/>
        <w:jc w:val="both"/>
      </w:pPr>
      <w:r w:rsidRPr="00754450">
        <w:t>Addison-Smyth</w:t>
      </w:r>
      <w:r>
        <w:t>, D</w:t>
      </w:r>
      <w:r w:rsidRPr="00754450">
        <w:t xml:space="preserve"> </w:t>
      </w:r>
      <w:r w:rsidR="002A326D">
        <w:t>and</w:t>
      </w:r>
      <w:r w:rsidRPr="00754450">
        <w:t xml:space="preserve"> </w:t>
      </w:r>
      <w:r w:rsidR="002A326D">
        <w:t xml:space="preserve">K. </w:t>
      </w:r>
      <w:proofErr w:type="spellStart"/>
      <w:r w:rsidRPr="00754450">
        <w:t>McQuinn</w:t>
      </w:r>
      <w:proofErr w:type="spellEnd"/>
      <w:r w:rsidR="002A326D">
        <w:t xml:space="preserve"> </w:t>
      </w:r>
      <w:r>
        <w:t xml:space="preserve">(2009), </w:t>
      </w:r>
      <w:r>
        <w:rPr>
          <w:i/>
        </w:rPr>
        <w:t>Quantifying Revenue Windfalls from the Irish Housing Market</w:t>
      </w:r>
      <w:r w:rsidR="002A326D">
        <w:rPr>
          <w:i/>
        </w:rPr>
        <w:t>,</w:t>
      </w:r>
      <w:r>
        <w:rPr>
          <w:i/>
        </w:rPr>
        <w:t xml:space="preserve"> </w:t>
      </w:r>
      <w:r>
        <w:t>Dublin</w:t>
      </w:r>
      <w:r w:rsidR="003E042D">
        <w:t>:</w:t>
      </w:r>
      <w:r w:rsidR="008B2B69">
        <w:t xml:space="preserve"> </w:t>
      </w:r>
      <w:r>
        <w:t>Central Bank</w:t>
      </w:r>
      <w:r w:rsidR="00FE210C">
        <w:t xml:space="preserve"> Paper</w:t>
      </w:r>
      <w:r>
        <w:t xml:space="preserve"> 10/RT/09.</w:t>
      </w:r>
    </w:p>
    <w:p w:rsidR="00A72DBF" w:rsidRPr="00A72DBF" w:rsidRDefault="00A72DBF" w:rsidP="002B0F52">
      <w:pPr>
        <w:spacing w:after="120"/>
        <w:jc w:val="both"/>
      </w:pPr>
      <w:proofErr w:type="spellStart"/>
      <w:r>
        <w:t>Agnello</w:t>
      </w:r>
      <w:proofErr w:type="spellEnd"/>
      <w:r>
        <w:t xml:space="preserve">, L and </w:t>
      </w:r>
      <w:r w:rsidR="002A326D">
        <w:t xml:space="preserve">L. </w:t>
      </w:r>
      <w:proofErr w:type="spellStart"/>
      <w:r>
        <w:t>Schuknecht</w:t>
      </w:r>
      <w:proofErr w:type="spellEnd"/>
      <w:r w:rsidR="002A326D">
        <w:t xml:space="preserve"> </w:t>
      </w:r>
      <w:r>
        <w:t xml:space="preserve">(2011), Booms and Busts in Housing Markets: determinants and implications, </w:t>
      </w:r>
      <w:r>
        <w:rPr>
          <w:i/>
        </w:rPr>
        <w:t xml:space="preserve">Journal of Housing Economics, </w:t>
      </w:r>
      <w:r w:rsidRPr="002A326D">
        <w:rPr>
          <w:b/>
        </w:rPr>
        <w:t>20</w:t>
      </w:r>
      <w:r w:rsidR="002A326D">
        <w:t>:</w:t>
      </w:r>
      <w:r>
        <w:t xml:space="preserve"> 171-190.</w:t>
      </w:r>
    </w:p>
    <w:p w:rsidR="00A55F97" w:rsidRDefault="00A55F97" w:rsidP="002B0F52">
      <w:pPr>
        <w:spacing w:after="120"/>
        <w:jc w:val="both"/>
      </w:pPr>
      <w:r w:rsidRPr="00A55F97">
        <w:t>Bacon, P</w:t>
      </w:r>
      <w:r>
        <w:t xml:space="preserve"> </w:t>
      </w:r>
      <w:r w:rsidR="002A326D">
        <w:t>and</w:t>
      </w:r>
      <w:r>
        <w:t xml:space="preserve"> Associates</w:t>
      </w:r>
      <w:r w:rsidRPr="00A55F97">
        <w:t xml:space="preserve"> (1998), </w:t>
      </w:r>
      <w:proofErr w:type="gramStart"/>
      <w:r w:rsidRPr="00A55F97">
        <w:rPr>
          <w:i/>
        </w:rPr>
        <w:t>An</w:t>
      </w:r>
      <w:proofErr w:type="gramEnd"/>
      <w:r w:rsidRPr="00A55F97">
        <w:rPr>
          <w:i/>
        </w:rPr>
        <w:t xml:space="preserve"> Economic Assessment of Recent House Price Developments</w:t>
      </w:r>
      <w:r w:rsidR="002A326D">
        <w:rPr>
          <w:i/>
        </w:rPr>
        <w:t>,</w:t>
      </w:r>
      <w:r w:rsidRPr="00A55F97">
        <w:t xml:space="preserve"> Dublin: Stationery Office.</w:t>
      </w:r>
    </w:p>
    <w:p w:rsidR="00A55F97" w:rsidRPr="00A55F97" w:rsidRDefault="00A55F97" w:rsidP="002B0F52">
      <w:pPr>
        <w:spacing w:after="120"/>
        <w:jc w:val="both"/>
      </w:pPr>
      <w:r w:rsidRPr="00A55F97">
        <w:t xml:space="preserve">Bacon, P. </w:t>
      </w:r>
      <w:r w:rsidR="002A326D">
        <w:t>and</w:t>
      </w:r>
      <w:r w:rsidRPr="00A55F97">
        <w:t xml:space="preserve"> </w:t>
      </w:r>
      <w:r>
        <w:t>Associates</w:t>
      </w:r>
      <w:r w:rsidRPr="00A55F97">
        <w:t xml:space="preserve"> (1999), </w:t>
      </w:r>
      <w:proofErr w:type="gramStart"/>
      <w:r w:rsidRPr="00A55F97">
        <w:rPr>
          <w:i/>
        </w:rPr>
        <w:t>The</w:t>
      </w:r>
      <w:proofErr w:type="gramEnd"/>
      <w:r w:rsidRPr="00A55F97">
        <w:rPr>
          <w:i/>
        </w:rPr>
        <w:t xml:space="preserve"> Housing Market: An Economic Review and Assessment</w:t>
      </w:r>
      <w:r w:rsidR="002A326D">
        <w:rPr>
          <w:i/>
        </w:rPr>
        <w:t>,</w:t>
      </w:r>
      <w:r w:rsidRPr="00A55F97">
        <w:t xml:space="preserve"> Dublin: Stationery Office.</w:t>
      </w:r>
    </w:p>
    <w:p w:rsidR="00A55F97" w:rsidRPr="00A55F97" w:rsidRDefault="00A55F97" w:rsidP="002B0F52">
      <w:pPr>
        <w:spacing w:after="120"/>
        <w:jc w:val="both"/>
      </w:pPr>
      <w:r w:rsidRPr="00A55F97">
        <w:t xml:space="preserve">Bacon, P. </w:t>
      </w:r>
      <w:r w:rsidR="002A326D">
        <w:t>and</w:t>
      </w:r>
      <w:r w:rsidRPr="00A55F97">
        <w:t xml:space="preserve"> </w:t>
      </w:r>
      <w:r>
        <w:t>Associates</w:t>
      </w:r>
      <w:r w:rsidRPr="00A55F97">
        <w:t xml:space="preserve"> (2000), </w:t>
      </w:r>
      <w:proofErr w:type="gramStart"/>
      <w:r w:rsidRPr="002B0F52">
        <w:rPr>
          <w:i/>
        </w:rPr>
        <w:t>The</w:t>
      </w:r>
      <w:proofErr w:type="gramEnd"/>
      <w:r w:rsidRPr="002B0F52">
        <w:rPr>
          <w:i/>
        </w:rPr>
        <w:t xml:space="preserve"> Housing Market in Ireland: An Economic Evaluation of Trends and Prospec</w:t>
      </w:r>
      <w:r w:rsidRPr="00A55F97">
        <w:t>ts</w:t>
      </w:r>
      <w:r w:rsidR="002A326D">
        <w:t>,</w:t>
      </w:r>
      <w:r w:rsidRPr="00A55F97">
        <w:t xml:space="preserve"> Dublin: Stationery Office.</w:t>
      </w:r>
    </w:p>
    <w:p w:rsidR="00445D26" w:rsidRPr="00781949" w:rsidRDefault="00445D26" w:rsidP="002B0F52">
      <w:pPr>
        <w:spacing w:after="120"/>
        <w:jc w:val="both"/>
      </w:pPr>
      <w:r w:rsidRPr="00781949">
        <w:t>Barry, F. (2002), The Celtic Tiger Era: Delayed Convergence or Regional Boom</w:t>
      </w:r>
      <w:proofErr w:type="gramStart"/>
      <w:r w:rsidRPr="00781949">
        <w:t>?</w:t>
      </w:r>
      <w:r w:rsidR="002A326D">
        <w:t>.</w:t>
      </w:r>
      <w:proofErr w:type="gramEnd"/>
      <w:r w:rsidRPr="00781949">
        <w:t xml:space="preserve"> </w:t>
      </w:r>
      <w:r w:rsidR="002A326D">
        <w:t xml:space="preserve">In: </w:t>
      </w:r>
      <w:r w:rsidRPr="00781949">
        <w:rPr>
          <w:i/>
        </w:rPr>
        <w:t>ESRI Quarterly Economic Commentary</w:t>
      </w:r>
      <w:r w:rsidRPr="00781949">
        <w:t xml:space="preserve">, </w:t>
      </w:r>
      <w:proofErr w:type="gramStart"/>
      <w:r w:rsidRPr="00781949">
        <w:t>Summer</w:t>
      </w:r>
      <w:proofErr w:type="gramEnd"/>
      <w:r w:rsidR="002A326D">
        <w:t>:</w:t>
      </w:r>
      <w:r w:rsidRPr="00781949">
        <w:t xml:space="preserve"> </w:t>
      </w:r>
      <w:r w:rsidR="00781949" w:rsidRPr="00781949">
        <w:t>36-42.</w:t>
      </w:r>
    </w:p>
    <w:p w:rsidR="00445D26" w:rsidRPr="00A35D07" w:rsidRDefault="00445D26" w:rsidP="002B0F52">
      <w:pPr>
        <w:spacing w:after="120"/>
        <w:jc w:val="both"/>
      </w:pPr>
      <w:r>
        <w:t>Barry, F</w:t>
      </w:r>
      <w:r w:rsidR="002A326D">
        <w:t>.</w:t>
      </w:r>
      <w:r>
        <w:t xml:space="preserve"> (</w:t>
      </w:r>
      <w:proofErr w:type="spellStart"/>
      <w:proofErr w:type="gramStart"/>
      <w:r>
        <w:t>ed</w:t>
      </w:r>
      <w:proofErr w:type="spellEnd"/>
      <w:proofErr w:type="gramEnd"/>
      <w:r>
        <w:t xml:space="preserve">) (1999), </w:t>
      </w:r>
      <w:r>
        <w:rPr>
          <w:i/>
        </w:rPr>
        <w:t>Understanding Ireland’s Economic Growth</w:t>
      </w:r>
      <w:r w:rsidR="002A326D">
        <w:rPr>
          <w:i/>
        </w:rPr>
        <w:t>,</w:t>
      </w:r>
      <w:r>
        <w:rPr>
          <w:i/>
        </w:rPr>
        <w:t xml:space="preserve"> </w:t>
      </w:r>
      <w:r>
        <w:t>Basingstoke: Macmillan.</w:t>
      </w:r>
    </w:p>
    <w:p w:rsidR="009E657A" w:rsidRDefault="009E657A" w:rsidP="002B0F52">
      <w:pPr>
        <w:spacing w:after="120"/>
        <w:jc w:val="both"/>
      </w:pPr>
      <w:proofErr w:type="spellStart"/>
      <w:r w:rsidRPr="009E657A">
        <w:t>Borio</w:t>
      </w:r>
      <w:proofErr w:type="spellEnd"/>
      <w:r w:rsidRPr="009E657A">
        <w:t xml:space="preserve">, C. (2003). </w:t>
      </w:r>
      <w:proofErr w:type="gramStart"/>
      <w:r w:rsidRPr="009E657A">
        <w:rPr>
          <w:i/>
        </w:rPr>
        <w:t>Towards a macro-prudential framework for financial supervision and regulation?</w:t>
      </w:r>
      <w:proofErr w:type="gramEnd"/>
      <w:r w:rsidRPr="009E657A">
        <w:t xml:space="preserve"> </w:t>
      </w:r>
      <w:r>
        <w:t xml:space="preserve">Basel:  Bank for International Settlements, </w:t>
      </w:r>
      <w:r w:rsidRPr="009E657A">
        <w:t>Working Papers No 128</w:t>
      </w:r>
    </w:p>
    <w:p w:rsidR="001C2AB8" w:rsidRPr="001C2AB8" w:rsidRDefault="001C2AB8" w:rsidP="002B0F52">
      <w:pPr>
        <w:spacing w:after="120"/>
        <w:jc w:val="both"/>
      </w:pPr>
      <w:r>
        <w:t xml:space="preserve">Case K </w:t>
      </w:r>
      <w:r w:rsidR="002A326D">
        <w:t>and J.</w:t>
      </w:r>
      <w:r>
        <w:t xml:space="preserve"> Quigley (2008)</w:t>
      </w:r>
      <w:r w:rsidR="002A326D">
        <w:t>,</w:t>
      </w:r>
      <w:r>
        <w:t xml:space="preserve"> How Housing Booms Unwind: income effects, wealth effects and feedbacks through</w:t>
      </w:r>
      <w:r w:rsidRPr="00B26010">
        <w:t xml:space="preserve"> </w:t>
      </w:r>
      <w:r w:rsidR="00B26010" w:rsidRPr="00B26010">
        <w:t>financial</w:t>
      </w:r>
      <w:r>
        <w:t xml:space="preserve"> markets, </w:t>
      </w:r>
      <w:r>
        <w:rPr>
          <w:i/>
        </w:rPr>
        <w:t xml:space="preserve">International Journal of Housing Policy, </w:t>
      </w:r>
      <w:r w:rsidRPr="002A326D">
        <w:rPr>
          <w:b/>
        </w:rPr>
        <w:t>8</w:t>
      </w:r>
      <w:r w:rsidR="002A326D">
        <w:t>:</w:t>
      </w:r>
      <w:r>
        <w:t xml:space="preserve"> 161-180.</w:t>
      </w:r>
    </w:p>
    <w:p w:rsidR="00DF7D2C" w:rsidRPr="00896C44" w:rsidRDefault="00DF7D2C" w:rsidP="002B0F52">
      <w:pPr>
        <w:spacing w:after="120"/>
        <w:jc w:val="both"/>
      </w:pPr>
      <w:r>
        <w:t xml:space="preserve">Case, </w:t>
      </w:r>
      <w:r w:rsidR="00896C44">
        <w:t xml:space="preserve">K, </w:t>
      </w:r>
      <w:r w:rsidR="002A326D">
        <w:t xml:space="preserve">J. </w:t>
      </w:r>
      <w:r>
        <w:t>Quigley</w:t>
      </w:r>
      <w:r w:rsidR="002A326D">
        <w:t xml:space="preserve"> and R.</w:t>
      </w:r>
      <w:r>
        <w:t xml:space="preserve"> </w:t>
      </w:r>
      <w:proofErr w:type="spellStart"/>
      <w:r>
        <w:t>Shiller</w:t>
      </w:r>
      <w:proofErr w:type="spellEnd"/>
      <w:r>
        <w:t xml:space="preserve"> (2005), </w:t>
      </w:r>
      <w:proofErr w:type="gramStart"/>
      <w:r w:rsidR="00896C44">
        <w:t>Comparing</w:t>
      </w:r>
      <w:proofErr w:type="gramEnd"/>
      <w:r w:rsidR="00896C44">
        <w:t xml:space="preserve"> the Wealth Effects: the stock market versus the housing market, </w:t>
      </w:r>
      <w:r w:rsidR="00896C44">
        <w:rPr>
          <w:i/>
        </w:rPr>
        <w:t xml:space="preserve">Advances in Macroeconomics, </w:t>
      </w:r>
      <w:r w:rsidR="00896C44" w:rsidRPr="002A326D">
        <w:rPr>
          <w:b/>
        </w:rPr>
        <w:t>5</w:t>
      </w:r>
      <w:r w:rsidR="002A326D">
        <w:t>:</w:t>
      </w:r>
      <w:r w:rsidR="00896C44">
        <w:t xml:space="preserve"> </w:t>
      </w:r>
      <w:r w:rsidR="00896C44">
        <w:rPr>
          <w:color w:val="222222"/>
          <w:shd w:val="clear" w:color="auto" w:fill="FFFFFF"/>
        </w:rPr>
        <w:t>1235-1235.</w:t>
      </w:r>
    </w:p>
    <w:p w:rsidR="00EE64B2" w:rsidRPr="00EE64B2" w:rsidRDefault="00EE64B2" w:rsidP="002B0F52">
      <w:pPr>
        <w:spacing w:after="120"/>
        <w:jc w:val="both"/>
      </w:pPr>
      <w:proofErr w:type="spellStart"/>
      <w:r>
        <w:t>Cecchetti</w:t>
      </w:r>
      <w:proofErr w:type="spellEnd"/>
      <w:r>
        <w:t>, S</w:t>
      </w:r>
      <w:r w:rsidR="002A326D">
        <w:t>.</w:t>
      </w:r>
      <w:r>
        <w:t xml:space="preserve"> (2008), Measuring the Economic Risks Posed by Asset Price Booms </w:t>
      </w:r>
      <w:r w:rsidR="007F46D6">
        <w:t>(</w:t>
      </w:r>
      <w:r>
        <w:t xml:space="preserve">in </w:t>
      </w:r>
      <w:r w:rsidR="007F46D6">
        <w:t xml:space="preserve">J. </w:t>
      </w:r>
      <w:r>
        <w:t>Campbell (</w:t>
      </w:r>
      <w:proofErr w:type="spellStart"/>
      <w:proofErr w:type="gramStart"/>
      <w:r>
        <w:t>ed</w:t>
      </w:r>
      <w:proofErr w:type="spellEnd"/>
      <w:proofErr w:type="gramEnd"/>
      <w:r>
        <w:t xml:space="preserve">), </w:t>
      </w:r>
      <w:r>
        <w:rPr>
          <w:i/>
        </w:rPr>
        <w:t>Asset Prices and Monetary Policy</w:t>
      </w:r>
      <w:r w:rsidR="000E5DBB">
        <w:rPr>
          <w:i/>
        </w:rPr>
        <w:t>,</w:t>
      </w:r>
      <w:r>
        <w:t xml:space="preserve"> Chicago: University of Chicago Press</w:t>
      </w:r>
      <w:r w:rsidR="000E5DBB">
        <w:t>: 4-39.</w:t>
      </w:r>
    </w:p>
    <w:p w:rsidR="00445D26" w:rsidRPr="00B76149" w:rsidRDefault="00445D26" w:rsidP="002B0F52">
      <w:pPr>
        <w:spacing w:after="120"/>
        <w:jc w:val="both"/>
      </w:pPr>
      <w:r w:rsidRPr="00B76149">
        <w:t xml:space="preserve">Central Bank (various years), </w:t>
      </w:r>
      <w:r w:rsidRPr="00C25932">
        <w:rPr>
          <w:i/>
        </w:rPr>
        <w:t>Quarterly Review</w:t>
      </w:r>
      <w:r w:rsidR="000E5DBB">
        <w:rPr>
          <w:i/>
        </w:rPr>
        <w:t>,</w:t>
      </w:r>
      <w:r w:rsidRPr="00B76149">
        <w:t xml:space="preserve"> Dublin: Central Bank.</w:t>
      </w:r>
    </w:p>
    <w:p w:rsidR="00445D26" w:rsidRDefault="00445D26" w:rsidP="002B0F52">
      <w:pPr>
        <w:spacing w:after="120"/>
        <w:jc w:val="both"/>
      </w:pPr>
      <w:r>
        <w:t xml:space="preserve">Central Bank (2010), </w:t>
      </w:r>
      <w:r w:rsidRPr="00FB5034">
        <w:t>Residential Mortgage Arrears and Repossessions Statistics</w:t>
      </w:r>
      <w:r w:rsidR="000E5DBB">
        <w:t>,</w:t>
      </w:r>
      <w:r>
        <w:t xml:space="preserve"> Dublin: Central Bank.</w:t>
      </w:r>
    </w:p>
    <w:p w:rsidR="00445D26" w:rsidRPr="00B76149" w:rsidRDefault="00445D26" w:rsidP="002B0F52">
      <w:pPr>
        <w:spacing w:after="120"/>
        <w:jc w:val="both"/>
      </w:pPr>
      <w:r w:rsidRPr="00B76149">
        <w:t xml:space="preserve">Central Statistics Office (2007), </w:t>
      </w:r>
      <w:r w:rsidRPr="00C25932">
        <w:rPr>
          <w:i/>
        </w:rPr>
        <w:t>Census 2006: Principal Demographic Results</w:t>
      </w:r>
      <w:r w:rsidR="00762B77">
        <w:rPr>
          <w:i/>
        </w:rPr>
        <w:t>,</w:t>
      </w:r>
      <w:r w:rsidRPr="00B76149">
        <w:t xml:space="preserve"> Dublin: Stationery Office.</w:t>
      </w:r>
    </w:p>
    <w:p w:rsidR="00445D26" w:rsidRPr="00B76149" w:rsidRDefault="00445D26" w:rsidP="002B0F52">
      <w:pPr>
        <w:spacing w:after="120"/>
        <w:jc w:val="both"/>
      </w:pPr>
      <w:r w:rsidRPr="00B76149">
        <w:t xml:space="preserve">Central Statistics Office, (various years), </w:t>
      </w:r>
      <w:r w:rsidR="00E3436F">
        <w:rPr>
          <w:i/>
        </w:rPr>
        <w:t>Statistical Yearbook</w:t>
      </w:r>
      <w:r w:rsidR="00762B77">
        <w:rPr>
          <w:i/>
        </w:rPr>
        <w:t>,</w:t>
      </w:r>
      <w:r w:rsidR="00E3436F">
        <w:rPr>
          <w:i/>
        </w:rPr>
        <w:t xml:space="preserve"> </w:t>
      </w:r>
      <w:r w:rsidRPr="00B76149">
        <w:t>Dublin: Stationery Office.</w:t>
      </w:r>
    </w:p>
    <w:p w:rsidR="00445D26" w:rsidRDefault="00445D26" w:rsidP="002B0F52">
      <w:pPr>
        <w:spacing w:after="120"/>
        <w:jc w:val="both"/>
      </w:pPr>
      <w:r>
        <w:t xml:space="preserve">Central Statistics Office (2008), </w:t>
      </w:r>
      <w:r w:rsidRPr="0092418B">
        <w:rPr>
          <w:i/>
        </w:rPr>
        <w:t>Construction and Housing in Ireland</w:t>
      </w:r>
      <w:r w:rsidR="00762B77">
        <w:rPr>
          <w:i/>
        </w:rPr>
        <w:t>,</w:t>
      </w:r>
      <w:r>
        <w:t xml:space="preserve"> Dublin: Stationery Office.</w:t>
      </w:r>
    </w:p>
    <w:p w:rsidR="00445D26" w:rsidRPr="005A4875" w:rsidRDefault="00445D26" w:rsidP="002B0F52">
      <w:pPr>
        <w:spacing w:after="120"/>
        <w:jc w:val="both"/>
      </w:pPr>
      <w:r w:rsidRPr="005A4875">
        <w:t xml:space="preserve">Coates, </w:t>
      </w:r>
      <w:r>
        <w:t>D</w:t>
      </w:r>
      <w:r w:rsidR="00762B77">
        <w:t>.</w:t>
      </w:r>
      <w:r>
        <w:t xml:space="preserve"> (</w:t>
      </w:r>
      <w:r w:rsidRPr="005A4875">
        <w:t>2008</w:t>
      </w:r>
      <w:r>
        <w:t xml:space="preserve">), </w:t>
      </w:r>
      <w:r w:rsidRPr="005A4875">
        <w:t>The Irish sub-prime residential mortgage sector:</w:t>
      </w:r>
      <w:r>
        <w:t xml:space="preserve"> </w:t>
      </w:r>
      <w:r w:rsidRPr="005A4875">
        <w:t>international lessons for an emerging market</w:t>
      </w:r>
      <w:r>
        <w:t xml:space="preserve">, </w:t>
      </w:r>
      <w:r>
        <w:rPr>
          <w:i/>
        </w:rPr>
        <w:t xml:space="preserve">Journal of Housing and the Built Environment, </w:t>
      </w:r>
      <w:r w:rsidRPr="00762B77">
        <w:rPr>
          <w:b/>
        </w:rPr>
        <w:t>23</w:t>
      </w:r>
      <w:r w:rsidR="00762B77">
        <w:t>:</w:t>
      </w:r>
      <w:r w:rsidR="007F46D6">
        <w:t xml:space="preserve"> </w:t>
      </w:r>
      <w:r w:rsidRPr="005A4875">
        <w:t>131–144.</w:t>
      </w:r>
    </w:p>
    <w:p w:rsidR="006B3D29" w:rsidRPr="00D13128" w:rsidRDefault="006B3D29" w:rsidP="002B0F52">
      <w:pPr>
        <w:spacing w:after="120"/>
        <w:jc w:val="both"/>
        <w:rPr>
          <w:smallCaps/>
        </w:rPr>
      </w:pPr>
      <w:proofErr w:type="spellStart"/>
      <w:r>
        <w:t>Conefrey</w:t>
      </w:r>
      <w:proofErr w:type="spellEnd"/>
      <w:r>
        <w:t>, T</w:t>
      </w:r>
      <w:r w:rsidR="00762B77">
        <w:t>.</w:t>
      </w:r>
      <w:r>
        <w:t xml:space="preserve"> </w:t>
      </w:r>
      <w:r w:rsidR="00762B77">
        <w:t xml:space="preserve">and J. </w:t>
      </w:r>
      <w:r>
        <w:t>Fitz Gerald (2010)</w:t>
      </w:r>
      <w:r w:rsidR="00762B77">
        <w:t>,</w:t>
      </w:r>
      <w:r>
        <w:t xml:space="preserve"> Managing Housing Bubbles in Regional Economies Under EMU: Ireland and Spain, </w:t>
      </w:r>
      <w:r>
        <w:rPr>
          <w:i/>
        </w:rPr>
        <w:t xml:space="preserve">National Institute Economic Review, </w:t>
      </w:r>
      <w:r w:rsidRPr="00762B77">
        <w:rPr>
          <w:b/>
        </w:rPr>
        <w:t>211</w:t>
      </w:r>
      <w:r w:rsidR="00762B77">
        <w:t>:</w:t>
      </w:r>
      <w:r w:rsidR="007F46D6">
        <w:t xml:space="preserve"> </w:t>
      </w:r>
      <w:r w:rsidRPr="00D13128">
        <w:t>91-108</w:t>
      </w:r>
      <w:r w:rsidR="00D13128" w:rsidRPr="00D13128">
        <w:t>.</w:t>
      </w:r>
    </w:p>
    <w:p w:rsidR="0037587B" w:rsidRPr="0037587B" w:rsidRDefault="0037587B" w:rsidP="002B0F52">
      <w:pPr>
        <w:spacing w:after="120"/>
        <w:jc w:val="both"/>
      </w:pPr>
      <w:proofErr w:type="spellStart"/>
      <w:r w:rsidRPr="007875D0">
        <w:t>Dellepiane</w:t>
      </w:r>
      <w:proofErr w:type="spellEnd"/>
      <w:r>
        <w:t>, S</w:t>
      </w:r>
      <w:r w:rsidR="00762B77">
        <w:t>.</w:t>
      </w:r>
      <w:r w:rsidRPr="007875D0">
        <w:t xml:space="preserve"> and </w:t>
      </w:r>
      <w:r w:rsidR="00762B77">
        <w:t xml:space="preserve">D. </w:t>
      </w:r>
      <w:proofErr w:type="spellStart"/>
      <w:r w:rsidRPr="007875D0">
        <w:t>Hardiman</w:t>
      </w:r>
      <w:proofErr w:type="spellEnd"/>
      <w:r>
        <w:t xml:space="preserve"> (June, 2010), </w:t>
      </w:r>
      <w:r w:rsidRPr="0037587B">
        <w:rPr>
          <w:i/>
        </w:rPr>
        <w:t>Governing the Irish Economy: From Boom to Bust</w:t>
      </w:r>
      <w:r w:rsidR="00762B77">
        <w:rPr>
          <w:i/>
        </w:rPr>
        <w:t>,</w:t>
      </w:r>
      <w:r>
        <w:t xml:space="preserve"> Paper Presented to the </w:t>
      </w:r>
      <w:r w:rsidRPr="0037587B">
        <w:t>ECPR Standing Group on Regulatory Governance</w:t>
      </w:r>
      <w:r>
        <w:t xml:space="preserve"> </w:t>
      </w:r>
      <w:r w:rsidRPr="0037587B">
        <w:t>Biennial Conference</w:t>
      </w:r>
      <w:r>
        <w:t>, Dublin.</w:t>
      </w:r>
    </w:p>
    <w:p w:rsidR="00445D26" w:rsidRPr="009715DF" w:rsidRDefault="00445D26" w:rsidP="002B0F52">
      <w:pPr>
        <w:spacing w:after="120"/>
        <w:jc w:val="both"/>
        <w:rPr>
          <w:i/>
        </w:rPr>
      </w:pPr>
      <w:r>
        <w:t xml:space="preserve">Department of Finance (2008), </w:t>
      </w:r>
      <w:r>
        <w:rPr>
          <w:i/>
        </w:rPr>
        <w:t xml:space="preserve">Credit Institutions (Financial </w:t>
      </w:r>
      <w:proofErr w:type="gramStart"/>
      <w:r>
        <w:rPr>
          <w:i/>
        </w:rPr>
        <w:t>Support )Scheme</w:t>
      </w:r>
      <w:proofErr w:type="gramEnd"/>
      <w:r>
        <w:rPr>
          <w:i/>
        </w:rPr>
        <w:t>, 2008</w:t>
      </w:r>
      <w:r w:rsidR="00762B77">
        <w:rPr>
          <w:i/>
        </w:rPr>
        <w:t>,</w:t>
      </w:r>
      <w:r>
        <w:rPr>
          <w:i/>
        </w:rPr>
        <w:t xml:space="preserve"> </w:t>
      </w:r>
      <w:r>
        <w:t>Dublin: Department of Finance.</w:t>
      </w:r>
      <w:r>
        <w:rPr>
          <w:i/>
        </w:rPr>
        <w:t xml:space="preserve"> </w:t>
      </w:r>
    </w:p>
    <w:p w:rsidR="00445D26" w:rsidRPr="00EC2DB4" w:rsidRDefault="00445D26" w:rsidP="002B0F52">
      <w:pPr>
        <w:spacing w:after="120"/>
        <w:jc w:val="both"/>
      </w:pPr>
      <w:r w:rsidRPr="00EC2DB4">
        <w:lastRenderedPageBreak/>
        <w:t>Department of Social Protection (</w:t>
      </w:r>
      <w:r>
        <w:t>various years</w:t>
      </w:r>
      <w:r w:rsidRPr="00EC2DB4">
        <w:t xml:space="preserve">), </w:t>
      </w:r>
      <w:r>
        <w:rPr>
          <w:i/>
        </w:rPr>
        <w:t>Statistical Information on Social Welfare Services</w:t>
      </w:r>
      <w:r w:rsidR="00762B77">
        <w:rPr>
          <w:i/>
        </w:rPr>
        <w:t>,</w:t>
      </w:r>
      <w:r w:rsidR="00781949">
        <w:t xml:space="preserve"> </w:t>
      </w:r>
      <w:r w:rsidRPr="00EC2DB4">
        <w:t>Dublin: Department of Social Protection.</w:t>
      </w:r>
    </w:p>
    <w:p w:rsidR="00445D26" w:rsidRPr="00B76149" w:rsidRDefault="00445D26" w:rsidP="002B0F52">
      <w:pPr>
        <w:spacing w:after="120"/>
        <w:jc w:val="both"/>
      </w:pPr>
      <w:r w:rsidRPr="00B76149">
        <w:t xml:space="preserve">Department of the Environment, </w:t>
      </w:r>
      <w:r w:rsidR="00A87DBC">
        <w:t>Community and</w:t>
      </w:r>
      <w:r w:rsidRPr="00B76149">
        <w:t xml:space="preserve"> Local Government (various years), </w:t>
      </w:r>
      <w:r w:rsidRPr="00C25932">
        <w:rPr>
          <w:i/>
        </w:rPr>
        <w:t>Annual Housing Statistics Bulletin</w:t>
      </w:r>
      <w:r w:rsidR="00762B77">
        <w:rPr>
          <w:i/>
        </w:rPr>
        <w:t>,</w:t>
      </w:r>
      <w:r w:rsidRPr="00B76149">
        <w:t xml:space="preserve"> Dublin: </w:t>
      </w:r>
      <w:proofErr w:type="spellStart"/>
      <w:r w:rsidRPr="00B76149">
        <w:t>D</w:t>
      </w:r>
      <w:r w:rsidR="007F46D6">
        <w:t>oECLG</w:t>
      </w:r>
      <w:proofErr w:type="spellEnd"/>
      <w:r w:rsidRPr="00B76149">
        <w:t>.</w:t>
      </w:r>
    </w:p>
    <w:p w:rsidR="00A87DBC" w:rsidRPr="00A87DBC" w:rsidRDefault="00A87DBC" w:rsidP="002B0F52">
      <w:pPr>
        <w:spacing w:after="120"/>
        <w:jc w:val="both"/>
      </w:pPr>
      <w:r w:rsidRPr="00A87DBC">
        <w:t>Department of the Environment and Local Government (1998)</w:t>
      </w:r>
      <w:r w:rsidR="00762B77">
        <w:t>,</w:t>
      </w:r>
      <w:r w:rsidRPr="00A87DBC">
        <w:t xml:space="preserve"> </w:t>
      </w:r>
      <w:r w:rsidRPr="00A87DBC">
        <w:rPr>
          <w:i/>
        </w:rPr>
        <w:t>Action on House Prices</w:t>
      </w:r>
      <w:r w:rsidR="00762B77">
        <w:rPr>
          <w:i/>
        </w:rPr>
        <w:t>,</w:t>
      </w:r>
      <w:r w:rsidRPr="00A87DBC">
        <w:t xml:space="preserve"> Dublin: </w:t>
      </w:r>
      <w:proofErr w:type="spellStart"/>
      <w:r w:rsidRPr="00A87DBC">
        <w:t>D</w:t>
      </w:r>
      <w:r w:rsidR="007F46D6">
        <w:t>oELG</w:t>
      </w:r>
      <w:proofErr w:type="spellEnd"/>
      <w:r w:rsidR="00762B77">
        <w:t>.</w:t>
      </w:r>
    </w:p>
    <w:p w:rsidR="00A87DBC" w:rsidRPr="00A87DBC" w:rsidRDefault="00A87DBC" w:rsidP="002B0F52">
      <w:pPr>
        <w:spacing w:after="120"/>
        <w:jc w:val="both"/>
      </w:pPr>
      <w:r w:rsidRPr="00A87DBC">
        <w:t>Department of the Environment and Local Government (1999)</w:t>
      </w:r>
      <w:r w:rsidR="00762B77">
        <w:t>,</w:t>
      </w:r>
      <w:r w:rsidRPr="00A87DBC">
        <w:t xml:space="preserve"> </w:t>
      </w:r>
      <w:r w:rsidRPr="00A87DBC">
        <w:rPr>
          <w:i/>
        </w:rPr>
        <w:t>Action on the Housing Market</w:t>
      </w:r>
      <w:r w:rsidR="00762B77">
        <w:rPr>
          <w:i/>
        </w:rPr>
        <w:t>,</w:t>
      </w:r>
      <w:r w:rsidRPr="00A87DBC">
        <w:t xml:space="preserve"> Dublin: </w:t>
      </w:r>
      <w:proofErr w:type="spellStart"/>
      <w:r w:rsidRPr="00A87DBC">
        <w:t>D</w:t>
      </w:r>
      <w:r w:rsidR="007F46D6">
        <w:t>oELG</w:t>
      </w:r>
      <w:proofErr w:type="spellEnd"/>
      <w:r w:rsidRPr="00A87DBC">
        <w:t>.</w:t>
      </w:r>
    </w:p>
    <w:p w:rsidR="00A87DBC" w:rsidRDefault="00A87DBC" w:rsidP="002B0F52">
      <w:pPr>
        <w:spacing w:after="120"/>
        <w:jc w:val="both"/>
      </w:pPr>
      <w:r w:rsidRPr="00A87DBC">
        <w:t>Department of the Environment and Local Government (2000)</w:t>
      </w:r>
      <w:r w:rsidR="00762B77">
        <w:t>,</w:t>
      </w:r>
      <w:r w:rsidRPr="00A87DBC">
        <w:t xml:space="preserve"> </w:t>
      </w:r>
      <w:r w:rsidRPr="00A87DBC">
        <w:rPr>
          <w:i/>
        </w:rPr>
        <w:t>Action on Housing</w:t>
      </w:r>
      <w:r w:rsidR="00762B77">
        <w:rPr>
          <w:i/>
        </w:rPr>
        <w:t>,</w:t>
      </w:r>
      <w:r w:rsidRPr="00A87DBC">
        <w:t xml:space="preserve"> Dublin: </w:t>
      </w:r>
      <w:proofErr w:type="spellStart"/>
      <w:r w:rsidRPr="00A87DBC">
        <w:t>D</w:t>
      </w:r>
      <w:r w:rsidR="007F46D6">
        <w:t>oELG</w:t>
      </w:r>
      <w:proofErr w:type="spellEnd"/>
      <w:r w:rsidRPr="00A87DBC">
        <w:t>.</w:t>
      </w:r>
    </w:p>
    <w:p w:rsidR="00445D26" w:rsidRDefault="00445D26" w:rsidP="002B0F52">
      <w:pPr>
        <w:spacing w:after="120"/>
        <w:jc w:val="both"/>
      </w:pPr>
      <w:r>
        <w:t>Daly, F (2010</w:t>
      </w:r>
      <w:r w:rsidR="007F46D6">
        <w:t>, June</w:t>
      </w:r>
      <w:r>
        <w:t xml:space="preserve">), </w:t>
      </w:r>
      <w:r w:rsidRPr="002B0F52">
        <w:rPr>
          <w:i/>
        </w:rPr>
        <w:t>NAMA – the objectives, progress and challenges</w:t>
      </w:r>
      <w:r w:rsidR="00762B77">
        <w:t>,</w:t>
      </w:r>
      <w:r>
        <w:t xml:space="preserve"> </w:t>
      </w:r>
      <w:r w:rsidR="00762B77">
        <w:t>P</w:t>
      </w:r>
      <w:r w:rsidR="007F46D6">
        <w:t>aper presented at</w:t>
      </w:r>
      <w:r>
        <w:t xml:space="preserve"> the </w:t>
      </w:r>
      <w:r w:rsidRPr="006B6864">
        <w:t>CPA Annual</w:t>
      </w:r>
      <w:r>
        <w:t xml:space="preserve"> Conference, Dublin.</w:t>
      </w:r>
    </w:p>
    <w:p w:rsidR="00445D26" w:rsidRPr="00216C7D" w:rsidRDefault="00445D26" w:rsidP="002B0F52">
      <w:pPr>
        <w:spacing w:after="120"/>
        <w:jc w:val="both"/>
      </w:pPr>
      <w:r>
        <w:t xml:space="preserve">DKM Economic Consultants (various years), </w:t>
      </w:r>
      <w:r>
        <w:rPr>
          <w:i/>
        </w:rPr>
        <w:t xml:space="preserve">Review of the Construction </w:t>
      </w:r>
      <w:r w:rsidR="002B1D21">
        <w:rPr>
          <w:i/>
        </w:rPr>
        <w:t>Industry</w:t>
      </w:r>
      <w:r>
        <w:rPr>
          <w:i/>
        </w:rPr>
        <w:t xml:space="preserve"> and Outlook</w:t>
      </w:r>
      <w:r w:rsidR="00762B77">
        <w:rPr>
          <w:i/>
        </w:rPr>
        <w:t>,</w:t>
      </w:r>
      <w:r>
        <w:rPr>
          <w:i/>
        </w:rPr>
        <w:t xml:space="preserve"> </w:t>
      </w:r>
      <w:r>
        <w:t xml:space="preserve">Dublin: </w:t>
      </w:r>
      <w:proofErr w:type="spellStart"/>
      <w:r>
        <w:t>D</w:t>
      </w:r>
      <w:r w:rsidR="007F46D6">
        <w:t>oECLG</w:t>
      </w:r>
      <w:proofErr w:type="spellEnd"/>
      <w:r>
        <w:t>.</w:t>
      </w:r>
    </w:p>
    <w:p w:rsidR="00445D26" w:rsidRPr="00CC28C8" w:rsidRDefault="00445D26" w:rsidP="002B0F52">
      <w:pPr>
        <w:spacing w:after="120"/>
        <w:jc w:val="both"/>
      </w:pPr>
      <w:r>
        <w:t>Doyle, N</w:t>
      </w:r>
      <w:r w:rsidR="00762B77">
        <w:t>.</w:t>
      </w:r>
      <w:r>
        <w:t xml:space="preserve"> (2009), Housing Finance Developments in Ireland, </w:t>
      </w:r>
      <w:r w:rsidRPr="00781949">
        <w:rPr>
          <w:i/>
        </w:rPr>
        <w:t>Central Bank Quarterly</w:t>
      </w:r>
      <w:r>
        <w:rPr>
          <w:i/>
        </w:rPr>
        <w:t xml:space="preserve"> Bulletin, </w:t>
      </w:r>
      <w:r w:rsidRPr="00762B77">
        <w:rPr>
          <w:b/>
        </w:rPr>
        <w:t>0</w:t>
      </w:r>
      <w:r w:rsidR="00762B77">
        <w:rPr>
          <w:b/>
        </w:rPr>
        <w:t>9:</w:t>
      </w:r>
      <w:r w:rsidR="007F46D6">
        <w:t xml:space="preserve"> </w:t>
      </w:r>
      <w:r>
        <w:t>75-88.</w:t>
      </w:r>
    </w:p>
    <w:p w:rsidR="00445D26" w:rsidRPr="00B76149" w:rsidRDefault="00445D26" w:rsidP="002B0F52">
      <w:pPr>
        <w:spacing w:after="120"/>
        <w:jc w:val="both"/>
      </w:pPr>
      <w:r w:rsidRPr="00B76149">
        <w:t>Duffy, D</w:t>
      </w:r>
      <w:r w:rsidR="00762B77">
        <w:t>.</w:t>
      </w:r>
      <w:r w:rsidRPr="00B76149">
        <w:t xml:space="preserve"> (2009), </w:t>
      </w:r>
      <w:r w:rsidRPr="00C25932">
        <w:rPr>
          <w:i/>
        </w:rPr>
        <w:t>Negative Equity in the Irish Housing Market</w:t>
      </w:r>
      <w:r w:rsidR="00762B77">
        <w:rPr>
          <w:i/>
        </w:rPr>
        <w:t>,</w:t>
      </w:r>
      <w:r w:rsidRPr="00B76149">
        <w:t xml:space="preserve"> Dublin: Economic </w:t>
      </w:r>
      <w:r w:rsidR="00D13128">
        <w:t>&amp;</w:t>
      </w:r>
      <w:r w:rsidRPr="00B76149">
        <w:t xml:space="preserve"> Social Research Institute Working Paper No 319.</w:t>
      </w:r>
    </w:p>
    <w:p w:rsidR="00445D26" w:rsidRDefault="00445D26" w:rsidP="002B0F52">
      <w:pPr>
        <w:spacing w:after="120"/>
        <w:jc w:val="both"/>
      </w:pPr>
      <w:r w:rsidRPr="003704C6">
        <w:t xml:space="preserve">Ellis, L. (2008), </w:t>
      </w:r>
      <w:proofErr w:type="gramStart"/>
      <w:r w:rsidRPr="003704C6">
        <w:t>How</w:t>
      </w:r>
      <w:proofErr w:type="gramEnd"/>
      <w:r w:rsidRPr="003704C6">
        <w:t xml:space="preserve"> many in negative equity? The role of mortgage contract characteristics, </w:t>
      </w:r>
      <w:r w:rsidRPr="003704C6">
        <w:rPr>
          <w:i/>
        </w:rPr>
        <w:t>Bank of International Settlements Quarterly Review</w:t>
      </w:r>
      <w:r w:rsidRPr="003704C6">
        <w:t>, December</w:t>
      </w:r>
      <w:r w:rsidR="00762B77">
        <w:t>:</w:t>
      </w:r>
      <w:r w:rsidRPr="003704C6">
        <w:t xml:space="preserve"> 81-90.</w:t>
      </w:r>
    </w:p>
    <w:p w:rsidR="00445D26" w:rsidRPr="001A6D6F" w:rsidRDefault="00445D26" w:rsidP="002B0F52">
      <w:pPr>
        <w:spacing w:after="120"/>
        <w:jc w:val="both"/>
      </w:pPr>
      <w:r>
        <w:t xml:space="preserve">European Central Bank (2009), </w:t>
      </w:r>
      <w:r>
        <w:rPr>
          <w:i/>
        </w:rPr>
        <w:t>Housing Finance in the Euro Area</w:t>
      </w:r>
      <w:r w:rsidR="00762B77">
        <w:rPr>
          <w:i/>
        </w:rPr>
        <w:t>,</w:t>
      </w:r>
      <w:r>
        <w:rPr>
          <w:i/>
        </w:rPr>
        <w:t xml:space="preserve"> </w:t>
      </w:r>
      <w:r>
        <w:t>Frankfurt: European Centr</w:t>
      </w:r>
      <w:r w:rsidR="00781949">
        <w:t>al Bank</w:t>
      </w:r>
      <w:r>
        <w:t>.</w:t>
      </w:r>
    </w:p>
    <w:p w:rsidR="00445D26" w:rsidRPr="00B76149" w:rsidRDefault="00445D26" w:rsidP="002B0F52">
      <w:pPr>
        <w:spacing w:after="120"/>
        <w:jc w:val="both"/>
      </w:pPr>
      <w:r w:rsidRPr="00B76149">
        <w:t xml:space="preserve">European Mortgage Federation (Various Years), </w:t>
      </w:r>
      <w:proofErr w:type="spellStart"/>
      <w:r w:rsidRPr="00C25932">
        <w:rPr>
          <w:i/>
        </w:rPr>
        <w:t>Hypostat</w:t>
      </w:r>
      <w:proofErr w:type="spellEnd"/>
      <w:r w:rsidR="00762B77">
        <w:rPr>
          <w:i/>
        </w:rPr>
        <w:t>,</w:t>
      </w:r>
      <w:r w:rsidRPr="00B76149">
        <w:t xml:space="preserve"> Brussels: European Mortgage Federation.</w:t>
      </w:r>
    </w:p>
    <w:p w:rsidR="00445D26" w:rsidRPr="004A3B1B" w:rsidRDefault="00445D26" w:rsidP="002B0F52">
      <w:pPr>
        <w:spacing w:after="120"/>
        <w:jc w:val="both"/>
      </w:pPr>
      <w:proofErr w:type="spellStart"/>
      <w:r>
        <w:t>Eurostat</w:t>
      </w:r>
      <w:proofErr w:type="spellEnd"/>
      <w:r>
        <w:t xml:space="preserve"> (various years), </w:t>
      </w:r>
      <w:r w:rsidRPr="002B0F52">
        <w:rPr>
          <w:i/>
        </w:rPr>
        <w:t>Population and Social Conditions Database: employment and social conditions theme</w:t>
      </w:r>
      <w:r w:rsidR="00762B77">
        <w:t>,</w:t>
      </w:r>
      <w:r>
        <w:t xml:space="preserve"> Luxembourg: </w:t>
      </w:r>
      <w:proofErr w:type="spellStart"/>
      <w:r>
        <w:t>Eurostat</w:t>
      </w:r>
      <w:proofErr w:type="spellEnd"/>
      <w:r>
        <w:t>.</w:t>
      </w:r>
    </w:p>
    <w:p w:rsidR="00445D26" w:rsidRDefault="00445D26" w:rsidP="002B0F52">
      <w:pPr>
        <w:spacing w:after="120"/>
        <w:jc w:val="both"/>
      </w:pPr>
      <w:r>
        <w:t>Fitz Gerald</w:t>
      </w:r>
      <w:r w:rsidRPr="001E4697">
        <w:t>, J. (2005)</w:t>
      </w:r>
      <w:r w:rsidR="00762B77">
        <w:t>,</w:t>
      </w:r>
      <w:r w:rsidRPr="001E4697">
        <w:t xml:space="preserve"> The Irish Housing Stock: Growth in Number of Vacant Dwellings, </w:t>
      </w:r>
      <w:r w:rsidRPr="001E4697">
        <w:rPr>
          <w:i/>
        </w:rPr>
        <w:t>Quarterly Economic Commentary</w:t>
      </w:r>
      <w:r w:rsidRPr="001E4697">
        <w:t xml:space="preserve">, </w:t>
      </w:r>
      <w:r>
        <w:t>Spring</w:t>
      </w:r>
      <w:r w:rsidR="00762B77">
        <w:t>:</w:t>
      </w:r>
      <w:r>
        <w:t xml:space="preserve"> </w:t>
      </w:r>
      <w:r w:rsidRPr="001E4697">
        <w:t>1-22.</w:t>
      </w:r>
    </w:p>
    <w:p w:rsidR="00121D91" w:rsidRDefault="00121D91" w:rsidP="002B0F52">
      <w:pPr>
        <w:spacing w:after="120"/>
        <w:jc w:val="both"/>
      </w:pPr>
      <w:r>
        <w:t>Gilchrist, S</w:t>
      </w:r>
      <w:r w:rsidR="00762B77">
        <w:t>.</w:t>
      </w:r>
      <w:r>
        <w:t xml:space="preserve"> and </w:t>
      </w:r>
      <w:r w:rsidR="00762B77">
        <w:t xml:space="preserve">J. </w:t>
      </w:r>
      <w:r>
        <w:t>Leahy (2002), M</w:t>
      </w:r>
      <w:r w:rsidR="00762B77">
        <w:t>onetary Policy and Asset Prices</w:t>
      </w:r>
      <w:r>
        <w:t xml:space="preserve">, </w:t>
      </w:r>
      <w:r>
        <w:rPr>
          <w:i/>
        </w:rPr>
        <w:t xml:space="preserve">Journal of Monetary Economics, </w:t>
      </w:r>
      <w:r w:rsidRPr="00762B77">
        <w:rPr>
          <w:b/>
        </w:rPr>
        <w:t>49</w:t>
      </w:r>
      <w:r w:rsidR="00762B77">
        <w:t xml:space="preserve"> </w:t>
      </w:r>
      <w:r>
        <w:t>(1): 75-94.</w:t>
      </w:r>
    </w:p>
    <w:p w:rsidR="00E02020" w:rsidRPr="00E02020" w:rsidRDefault="00E02020" w:rsidP="002B0F52">
      <w:pPr>
        <w:spacing w:after="120"/>
        <w:jc w:val="both"/>
      </w:pPr>
      <w:r w:rsidRPr="00E02020">
        <w:t>Goldman Sachs Global Economics (2010)</w:t>
      </w:r>
      <w:r>
        <w:t xml:space="preserve">, </w:t>
      </w:r>
      <w:r w:rsidRPr="00AC643E">
        <w:rPr>
          <w:i/>
        </w:rPr>
        <w:t>European Weekly Analyst Issue No: 10/40</w:t>
      </w:r>
      <w:r w:rsidR="00762B77">
        <w:rPr>
          <w:i/>
        </w:rPr>
        <w:t>,</w:t>
      </w:r>
      <w:r w:rsidR="00AC643E">
        <w:t xml:space="preserve"> London: Goldman Sachs.</w:t>
      </w:r>
    </w:p>
    <w:p w:rsidR="00445D26" w:rsidRPr="007D0223" w:rsidRDefault="00445D26" w:rsidP="002B0F52">
      <w:pPr>
        <w:spacing w:after="120"/>
        <w:jc w:val="both"/>
      </w:pPr>
      <w:r>
        <w:t>Government of Ireland (2010</w:t>
      </w:r>
      <w:r w:rsidRPr="002B0F52">
        <w:rPr>
          <w:i/>
        </w:rPr>
        <w:t>), EU/IMF Programme of Financial Stability Support for Ireland: programme documents</w:t>
      </w:r>
      <w:r w:rsidR="00762B77" w:rsidRPr="002B0F52">
        <w:rPr>
          <w:i/>
        </w:rPr>
        <w:t>,</w:t>
      </w:r>
      <w:r>
        <w:t xml:space="preserve"> </w:t>
      </w:r>
      <w:r w:rsidR="00781949">
        <w:t>Dublin: Stationery Office.</w:t>
      </w:r>
    </w:p>
    <w:p w:rsidR="00445D26" w:rsidRDefault="00445D26" w:rsidP="002B0F52">
      <w:pPr>
        <w:spacing w:after="120"/>
        <w:jc w:val="both"/>
      </w:pPr>
      <w:proofErr w:type="spellStart"/>
      <w:r w:rsidRPr="003704C6">
        <w:t>Hellebrandt</w:t>
      </w:r>
      <w:proofErr w:type="spellEnd"/>
      <w:r w:rsidRPr="003704C6">
        <w:t xml:space="preserve">, T., </w:t>
      </w:r>
      <w:r w:rsidR="00762B77">
        <w:t xml:space="preserve">S. </w:t>
      </w:r>
      <w:proofErr w:type="spellStart"/>
      <w:r w:rsidRPr="003704C6">
        <w:t>Kawar</w:t>
      </w:r>
      <w:proofErr w:type="spellEnd"/>
      <w:r w:rsidR="00762B77">
        <w:t xml:space="preserve"> and M.</w:t>
      </w:r>
      <w:r w:rsidRPr="003704C6">
        <w:t xml:space="preserve"> Waldron (2009), </w:t>
      </w:r>
      <w:proofErr w:type="gramStart"/>
      <w:r w:rsidRPr="003704C6">
        <w:t>The</w:t>
      </w:r>
      <w:proofErr w:type="gramEnd"/>
      <w:r w:rsidRPr="003704C6">
        <w:t xml:space="preserve"> economics and estimation of negative equity, </w:t>
      </w:r>
      <w:r w:rsidRPr="003704C6">
        <w:rPr>
          <w:i/>
        </w:rPr>
        <w:t>Bank of England Quarterly Review</w:t>
      </w:r>
      <w:r w:rsidRPr="003704C6">
        <w:t>, Quarter Two</w:t>
      </w:r>
      <w:r w:rsidR="00762B77">
        <w:t>:</w:t>
      </w:r>
      <w:r w:rsidRPr="003704C6">
        <w:t xml:space="preserve"> 110-121.</w:t>
      </w:r>
    </w:p>
    <w:p w:rsidR="00445D26" w:rsidRDefault="00445D26" w:rsidP="002B0F52">
      <w:pPr>
        <w:spacing w:after="120"/>
        <w:jc w:val="both"/>
      </w:pPr>
      <w:r w:rsidRPr="001D5F7B">
        <w:t xml:space="preserve">Hogan, V. </w:t>
      </w:r>
      <w:r w:rsidR="00762B77">
        <w:t xml:space="preserve">and P. </w:t>
      </w:r>
      <w:r w:rsidRPr="001D5F7B">
        <w:t>O’Sullivan</w:t>
      </w:r>
      <w:r>
        <w:t xml:space="preserve"> (2007), </w:t>
      </w:r>
      <w:r w:rsidRPr="001D5F7B">
        <w:t xml:space="preserve">Consumption and House Prices in Ireland, </w:t>
      </w:r>
      <w:r w:rsidRPr="002B0F52">
        <w:rPr>
          <w:i/>
        </w:rPr>
        <w:t>Quarterly Economic Commentary</w:t>
      </w:r>
      <w:r>
        <w:t xml:space="preserve">, </w:t>
      </w:r>
      <w:proofErr w:type="gramStart"/>
      <w:r w:rsidR="00310D4D">
        <w:t>Autumn</w:t>
      </w:r>
      <w:proofErr w:type="gramEnd"/>
      <w:r w:rsidR="00762B77">
        <w:t>:</w:t>
      </w:r>
      <w:r>
        <w:t xml:space="preserve"> </w:t>
      </w:r>
      <w:r w:rsidRPr="001D5F7B">
        <w:t>46-61.</w:t>
      </w:r>
    </w:p>
    <w:p w:rsidR="00445D26" w:rsidRDefault="00445D26" w:rsidP="002B0F52">
      <w:pPr>
        <w:spacing w:after="120"/>
        <w:jc w:val="both"/>
      </w:pPr>
      <w:proofErr w:type="spellStart"/>
      <w:r>
        <w:t>Honohan</w:t>
      </w:r>
      <w:proofErr w:type="spellEnd"/>
      <w:r>
        <w:t>, P</w:t>
      </w:r>
      <w:r w:rsidR="00762B77">
        <w:t>.</w:t>
      </w:r>
      <w:r>
        <w:t xml:space="preserve"> (2010), </w:t>
      </w:r>
      <w:proofErr w:type="gramStart"/>
      <w:r w:rsidRPr="002B0F52">
        <w:rPr>
          <w:i/>
        </w:rPr>
        <w:t>The</w:t>
      </w:r>
      <w:proofErr w:type="gramEnd"/>
      <w:r w:rsidRPr="002B0F52">
        <w:rPr>
          <w:i/>
        </w:rPr>
        <w:t xml:space="preserve"> Irish Banking Crisis - Regulatory and Financ</w:t>
      </w:r>
      <w:r w:rsidR="00762B77" w:rsidRPr="002B0F52">
        <w:rPr>
          <w:i/>
        </w:rPr>
        <w:t>ial Stability Policy, 2003-2008,</w:t>
      </w:r>
      <w:r w:rsidRPr="002B0F52">
        <w:rPr>
          <w:i/>
        </w:rPr>
        <w:t xml:space="preserve"> </w:t>
      </w:r>
      <w:r>
        <w:t>Dublin: C</w:t>
      </w:r>
      <w:r w:rsidR="00781949">
        <w:t>entral Bank.</w:t>
      </w:r>
    </w:p>
    <w:p w:rsidR="00445D26" w:rsidRPr="00B76149" w:rsidRDefault="00445D26" w:rsidP="002B0F52">
      <w:pPr>
        <w:spacing w:after="120"/>
        <w:jc w:val="both"/>
      </w:pPr>
      <w:proofErr w:type="spellStart"/>
      <w:r w:rsidRPr="00B76149">
        <w:lastRenderedPageBreak/>
        <w:t>Ho</w:t>
      </w:r>
      <w:r>
        <w:t>n</w:t>
      </w:r>
      <w:r w:rsidRPr="00B76149">
        <w:t>ohan</w:t>
      </w:r>
      <w:proofErr w:type="spellEnd"/>
      <w:r w:rsidRPr="00B76149">
        <w:t>, P</w:t>
      </w:r>
      <w:r w:rsidR="00762B77">
        <w:t xml:space="preserve">. and A. </w:t>
      </w:r>
      <w:proofErr w:type="spellStart"/>
      <w:r w:rsidRPr="00B76149">
        <w:t>Leddin</w:t>
      </w:r>
      <w:proofErr w:type="spellEnd"/>
      <w:r w:rsidR="00762B77">
        <w:t xml:space="preserve"> </w:t>
      </w:r>
      <w:r w:rsidRPr="00B76149">
        <w:t>(2006), Ireland in EMU: More Shocks, Less Insulation</w:t>
      </w:r>
      <w:proofErr w:type="gramStart"/>
      <w:r w:rsidRPr="00B76149">
        <w:t>?,</w:t>
      </w:r>
      <w:proofErr w:type="gramEnd"/>
      <w:r w:rsidRPr="00B76149">
        <w:t xml:space="preserve"> </w:t>
      </w:r>
      <w:r w:rsidRPr="00CC28C8">
        <w:rPr>
          <w:i/>
        </w:rPr>
        <w:t>Economic and Social Review</w:t>
      </w:r>
      <w:r w:rsidRPr="00B76149">
        <w:t xml:space="preserve">, </w:t>
      </w:r>
      <w:r w:rsidRPr="00762B77">
        <w:rPr>
          <w:b/>
        </w:rPr>
        <w:t>37</w:t>
      </w:r>
      <w:r w:rsidR="00762B77">
        <w:t>:</w:t>
      </w:r>
      <w:r w:rsidR="00781949">
        <w:t xml:space="preserve"> </w:t>
      </w:r>
      <w:r w:rsidRPr="00B76149">
        <w:t>263-294.</w:t>
      </w:r>
    </w:p>
    <w:p w:rsidR="00641E57" w:rsidRDefault="00641E57" w:rsidP="002B0F52">
      <w:pPr>
        <w:spacing w:after="120"/>
        <w:jc w:val="both"/>
      </w:pPr>
      <w:r>
        <w:t xml:space="preserve">International Monetary Fund (2010), </w:t>
      </w:r>
      <w:r w:rsidRPr="002B0F52">
        <w:rPr>
          <w:i/>
        </w:rPr>
        <w:t>Cross-Cutting Themes in Economies with Large Banking Systems</w:t>
      </w:r>
      <w:r w:rsidRPr="00641E57">
        <w:t>,</w:t>
      </w:r>
      <w:r>
        <w:t xml:space="preserve"> New York: IMF.</w:t>
      </w:r>
    </w:p>
    <w:p w:rsidR="00E5487F" w:rsidRDefault="00E5487F" w:rsidP="002B0F52">
      <w:pPr>
        <w:spacing w:after="120"/>
        <w:jc w:val="both"/>
      </w:pPr>
      <w:r>
        <w:t xml:space="preserve">International Monetary Fund (2011), </w:t>
      </w:r>
      <w:r w:rsidRPr="002B0F52">
        <w:rPr>
          <w:i/>
        </w:rPr>
        <w:t xml:space="preserve">Policies for </w:t>
      </w:r>
      <w:proofErr w:type="spellStart"/>
      <w:r w:rsidRPr="002B0F52">
        <w:rPr>
          <w:i/>
        </w:rPr>
        <w:t>Macrofinancial</w:t>
      </w:r>
      <w:proofErr w:type="spellEnd"/>
      <w:r w:rsidRPr="002B0F52">
        <w:rPr>
          <w:i/>
        </w:rPr>
        <w:t xml:space="preserve"> Stability: Options to Deal with Real Estate Booms</w:t>
      </w:r>
      <w:r w:rsidR="0034689E">
        <w:t>,</w:t>
      </w:r>
      <w:r>
        <w:t xml:space="preserve"> New York: IMF</w:t>
      </w:r>
      <w:r w:rsidR="00EE1CFF">
        <w:t>.</w:t>
      </w:r>
    </w:p>
    <w:p w:rsidR="00A72DBF" w:rsidRPr="00A72DBF" w:rsidRDefault="00A72DBF" w:rsidP="002B0F52">
      <w:pPr>
        <w:spacing w:after="120"/>
        <w:jc w:val="both"/>
      </w:pPr>
      <w:r>
        <w:t>Jaeger A</w:t>
      </w:r>
      <w:r w:rsidR="0034689E">
        <w:t>.</w:t>
      </w:r>
      <w:r>
        <w:t xml:space="preserve"> and </w:t>
      </w:r>
      <w:r w:rsidR="0034689E">
        <w:t xml:space="preserve">L. </w:t>
      </w:r>
      <w:proofErr w:type="spellStart"/>
      <w:r>
        <w:t>Schuknec</w:t>
      </w:r>
      <w:r w:rsidR="0034689E">
        <w:t>h</w:t>
      </w:r>
      <w:r>
        <w:t>t</w:t>
      </w:r>
      <w:proofErr w:type="spellEnd"/>
      <w:r>
        <w:t xml:space="preserve"> (2007), Boom-bust Phases In Asset Prices and Fiscal Policy Behaviour: theory and evidence, </w:t>
      </w:r>
      <w:r>
        <w:rPr>
          <w:i/>
        </w:rPr>
        <w:t xml:space="preserve">Emerging Markets, Finance and Trade, </w:t>
      </w:r>
      <w:r w:rsidRPr="0034689E">
        <w:rPr>
          <w:b/>
        </w:rPr>
        <w:t>43</w:t>
      </w:r>
      <w:r w:rsidR="0034689E">
        <w:t>:</w:t>
      </w:r>
      <w:r>
        <w:t xml:space="preserve"> 45-66.</w:t>
      </w:r>
    </w:p>
    <w:p w:rsidR="00445D26" w:rsidRPr="002947E8" w:rsidRDefault="00445D26" w:rsidP="002B0F52">
      <w:pPr>
        <w:spacing w:after="120"/>
        <w:jc w:val="both"/>
      </w:pPr>
      <w:r>
        <w:t>Kearns, A</w:t>
      </w:r>
      <w:r w:rsidR="0034689E">
        <w:t>. and M.</w:t>
      </w:r>
      <w:r>
        <w:t xml:space="preserve"> Woods (2006), The Concentration in Property-Related Lending – a Financial Stability Perspective</w:t>
      </w:r>
      <w:r w:rsidR="00B7291E">
        <w:t xml:space="preserve"> </w:t>
      </w:r>
      <w:r w:rsidR="00F3063F">
        <w:t>(I</w:t>
      </w:r>
      <w:r w:rsidR="00781949">
        <w:t xml:space="preserve">n </w:t>
      </w:r>
      <w:r>
        <w:t xml:space="preserve">Central Bank </w:t>
      </w:r>
      <w:r w:rsidR="00F3063F">
        <w:t>(</w:t>
      </w:r>
      <w:proofErr w:type="spellStart"/>
      <w:proofErr w:type="gramStart"/>
      <w:r w:rsidR="00F3063F">
        <w:t>ed</w:t>
      </w:r>
      <w:proofErr w:type="spellEnd"/>
      <w:proofErr w:type="gramEnd"/>
      <w:r w:rsidR="00F3063F">
        <w:t xml:space="preserve">) </w:t>
      </w:r>
      <w:r w:rsidRPr="002947E8">
        <w:rPr>
          <w:i/>
        </w:rPr>
        <w:t>Financial Stability Report, 2006</w:t>
      </w:r>
      <w:r w:rsidR="0034689E">
        <w:rPr>
          <w:i/>
        </w:rPr>
        <w:t>,</w:t>
      </w:r>
      <w:r w:rsidR="00F3063F">
        <w:t xml:space="preserve"> </w:t>
      </w:r>
      <w:r w:rsidR="00781949">
        <w:t>D</w:t>
      </w:r>
      <w:r w:rsidRPr="002947E8">
        <w:t>ublin: Central Bank</w:t>
      </w:r>
      <w:r w:rsidR="0034689E">
        <w:t>: pp. 133-144</w:t>
      </w:r>
      <w:r w:rsidRPr="002947E8">
        <w:t>.</w:t>
      </w:r>
    </w:p>
    <w:p w:rsidR="00445D26" w:rsidRDefault="00445D26" w:rsidP="002B0F52">
      <w:pPr>
        <w:spacing w:after="120"/>
        <w:jc w:val="both"/>
      </w:pPr>
      <w:proofErr w:type="gramStart"/>
      <w:r>
        <w:t>Kelly, J</w:t>
      </w:r>
      <w:r w:rsidR="0034689E">
        <w:t>. and M.</w:t>
      </w:r>
      <w:r>
        <w:t xml:space="preserve"> Everett (2004), </w:t>
      </w:r>
      <w:r w:rsidRPr="00D474FB">
        <w:t>Financial</w:t>
      </w:r>
      <w:r w:rsidRPr="003A669E">
        <w:t xml:space="preserve"> Liberalisation</w:t>
      </w:r>
      <w:r w:rsidRPr="00D474FB">
        <w:t xml:space="preserve"> and Economic</w:t>
      </w:r>
      <w:r>
        <w:t xml:space="preserve"> </w:t>
      </w:r>
      <w:r w:rsidRPr="00D474FB">
        <w:t>Growth in Ireland</w:t>
      </w:r>
      <w:r>
        <w:t xml:space="preserve">, </w:t>
      </w:r>
      <w:r w:rsidRPr="00781949">
        <w:rPr>
          <w:i/>
        </w:rPr>
        <w:t xml:space="preserve">Central Bank </w:t>
      </w:r>
      <w:r w:rsidRPr="00D474FB">
        <w:rPr>
          <w:i/>
        </w:rPr>
        <w:t>Quarterly Bulletin</w:t>
      </w:r>
      <w:r w:rsidRPr="00D474FB">
        <w:t xml:space="preserve">, </w:t>
      </w:r>
      <w:r w:rsidRPr="0034689E">
        <w:rPr>
          <w:b/>
        </w:rPr>
        <w:t>04</w:t>
      </w:r>
      <w:r w:rsidR="0034689E">
        <w:t>:</w:t>
      </w:r>
      <w:r w:rsidRPr="00D474FB">
        <w:t xml:space="preserve"> </w:t>
      </w:r>
      <w:r>
        <w:t>91-112</w:t>
      </w:r>
      <w:r w:rsidRPr="00D474FB">
        <w:t>.</w:t>
      </w:r>
      <w:proofErr w:type="gramEnd"/>
    </w:p>
    <w:p w:rsidR="00445D26" w:rsidRPr="00A242D4" w:rsidRDefault="00445D26" w:rsidP="002B0F52">
      <w:pPr>
        <w:spacing w:after="120"/>
        <w:jc w:val="both"/>
      </w:pPr>
      <w:r>
        <w:t>Kelly, M</w:t>
      </w:r>
      <w:r w:rsidR="0034689E">
        <w:t>.</w:t>
      </w:r>
      <w:r>
        <w:t xml:space="preserve"> (2009), </w:t>
      </w:r>
      <w:proofErr w:type="gramStart"/>
      <w:r>
        <w:rPr>
          <w:i/>
        </w:rPr>
        <w:t>The</w:t>
      </w:r>
      <w:proofErr w:type="gramEnd"/>
      <w:r>
        <w:rPr>
          <w:i/>
        </w:rPr>
        <w:t xml:space="preserve"> Irish Credit Bubble</w:t>
      </w:r>
      <w:r w:rsidR="0034689E">
        <w:rPr>
          <w:i/>
        </w:rPr>
        <w:t>,</w:t>
      </w:r>
      <w:r>
        <w:rPr>
          <w:i/>
        </w:rPr>
        <w:t xml:space="preserve"> </w:t>
      </w:r>
      <w:r>
        <w:t>Dublin: University College Dublin.</w:t>
      </w:r>
    </w:p>
    <w:p w:rsidR="00445D26" w:rsidRPr="00B76149" w:rsidRDefault="00445D26" w:rsidP="002B0F52">
      <w:pPr>
        <w:spacing w:after="120"/>
        <w:jc w:val="both"/>
      </w:pPr>
      <w:r w:rsidRPr="00B76149">
        <w:t>Kennedy, K</w:t>
      </w:r>
      <w:r w:rsidR="0034689E">
        <w:t>.</w:t>
      </w:r>
      <w:r w:rsidRPr="00B76149">
        <w:t xml:space="preserve">, </w:t>
      </w:r>
      <w:r w:rsidR="0034689E">
        <w:t xml:space="preserve">T. </w:t>
      </w:r>
      <w:proofErr w:type="spellStart"/>
      <w:r w:rsidRPr="00B76149">
        <w:t>Giblin</w:t>
      </w:r>
      <w:proofErr w:type="spellEnd"/>
      <w:r w:rsidR="0034689E">
        <w:t xml:space="preserve"> and</w:t>
      </w:r>
      <w:r w:rsidRPr="00B76149">
        <w:t xml:space="preserve"> </w:t>
      </w:r>
      <w:r w:rsidR="0034689E">
        <w:t xml:space="preserve">D. </w:t>
      </w:r>
      <w:r w:rsidRPr="00B76149">
        <w:t xml:space="preserve">McHugh (1988), </w:t>
      </w:r>
      <w:proofErr w:type="gramStart"/>
      <w:r w:rsidRPr="00CC28C8">
        <w:rPr>
          <w:i/>
        </w:rPr>
        <w:t>The</w:t>
      </w:r>
      <w:proofErr w:type="gramEnd"/>
      <w:r w:rsidRPr="00CC28C8">
        <w:rPr>
          <w:i/>
        </w:rPr>
        <w:t xml:space="preserve"> Economic Development of Ireland in the Twentieth Century</w:t>
      </w:r>
      <w:r w:rsidRPr="00B76149">
        <w:t>, London: Routledge.</w:t>
      </w:r>
    </w:p>
    <w:p w:rsidR="00B7291E" w:rsidRDefault="00B7291E" w:rsidP="002B0F52">
      <w:pPr>
        <w:spacing w:after="120"/>
        <w:jc w:val="both"/>
      </w:pPr>
      <w:proofErr w:type="gramStart"/>
      <w:r>
        <w:t>Lane, R</w:t>
      </w:r>
      <w:r w:rsidR="0034689E">
        <w:t>.</w:t>
      </w:r>
      <w:r>
        <w:t xml:space="preserve"> (January, 2012), Ireland and the Fiscal Compact, Paper Presented to the Dublin Economic Workshop conference Dublin.</w:t>
      </w:r>
      <w:proofErr w:type="gramEnd"/>
    </w:p>
    <w:p w:rsidR="00121D91" w:rsidRPr="00C735C2" w:rsidRDefault="00121D91" w:rsidP="002B0F52">
      <w:pPr>
        <w:spacing w:after="120"/>
        <w:jc w:val="both"/>
        <w:rPr>
          <w:color w:val="000000"/>
        </w:rPr>
      </w:pPr>
      <w:r>
        <w:t xml:space="preserve">Leung, </w:t>
      </w:r>
      <w:r w:rsidR="00C735C2">
        <w:t>C</w:t>
      </w:r>
      <w:r w:rsidR="0034689E">
        <w:t>.</w:t>
      </w:r>
      <w:r w:rsidR="00C735C2">
        <w:t xml:space="preserve"> (2004), Macroeconomics and Housing: a review of the literature, </w:t>
      </w:r>
      <w:r w:rsidR="00C735C2">
        <w:rPr>
          <w:i/>
        </w:rPr>
        <w:t xml:space="preserve">Journal of Housing Economics, </w:t>
      </w:r>
      <w:r w:rsidR="00C735C2" w:rsidRPr="0034689E">
        <w:rPr>
          <w:b/>
        </w:rPr>
        <w:t>13</w:t>
      </w:r>
      <w:r w:rsidR="0034689E">
        <w:t>:</w:t>
      </w:r>
      <w:r w:rsidR="00C735C2">
        <w:t xml:space="preserve"> 249-267.</w:t>
      </w:r>
    </w:p>
    <w:p w:rsidR="000616B4" w:rsidRPr="00CC28C8" w:rsidRDefault="000616B4" w:rsidP="002B0F52">
      <w:pPr>
        <w:spacing w:after="120"/>
        <w:jc w:val="both"/>
      </w:pPr>
      <w:proofErr w:type="spellStart"/>
      <w:r>
        <w:t>McElligott</w:t>
      </w:r>
      <w:proofErr w:type="spellEnd"/>
      <w:r>
        <w:t>, R</w:t>
      </w:r>
      <w:r w:rsidR="0034689E">
        <w:t>.</w:t>
      </w:r>
      <w:r>
        <w:t xml:space="preserve"> (2007), Irish Retail Interest Rates: Why do they differ from the rest of Europe</w:t>
      </w:r>
      <w:proofErr w:type="gramStart"/>
      <w:r>
        <w:t>?,</w:t>
      </w:r>
      <w:proofErr w:type="gramEnd"/>
      <w:r>
        <w:t xml:space="preserve"> </w:t>
      </w:r>
      <w:r w:rsidRPr="000616B4">
        <w:rPr>
          <w:i/>
        </w:rPr>
        <w:t>Central Bank</w:t>
      </w:r>
      <w:r>
        <w:t xml:space="preserve"> </w:t>
      </w:r>
      <w:r>
        <w:rPr>
          <w:i/>
        </w:rPr>
        <w:t xml:space="preserve">Quarterly Bulletin, </w:t>
      </w:r>
      <w:r w:rsidRPr="0034689E">
        <w:rPr>
          <w:b/>
        </w:rPr>
        <w:t>07</w:t>
      </w:r>
      <w:r w:rsidR="0034689E">
        <w:t>:</w:t>
      </w:r>
      <w:r w:rsidR="00522FF8">
        <w:t xml:space="preserve"> </w:t>
      </w:r>
      <w:r>
        <w:t>137-252.</w:t>
      </w:r>
    </w:p>
    <w:p w:rsidR="000616B4" w:rsidRPr="00B76149" w:rsidRDefault="000616B4" w:rsidP="002B0F52">
      <w:pPr>
        <w:spacing w:after="120"/>
        <w:jc w:val="both"/>
      </w:pPr>
      <w:proofErr w:type="gramStart"/>
      <w:r w:rsidRPr="00B76149">
        <w:t>Murphy, L</w:t>
      </w:r>
      <w:r w:rsidR="0034689E">
        <w:t>.</w:t>
      </w:r>
      <w:r w:rsidRPr="00B76149">
        <w:t xml:space="preserve"> (2004), Mortgage Finance and Housing Provision in Ireland, 1970- 90, </w:t>
      </w:r>
      <w:r w:rsidRPr="00CC28C8">
        <w:rPr>
          <w:i/>
        </w:rPr>
        <w:t>Urban Studies</w:t>
      </w:r>
      <w:r w:rsidRPr="00B76149">
        <w:t xml:space="preserve">, </w:t>
      </w:r>
      <w:r w:rsidRPr="0034689E">
        <w:rPr>
          <w:b/>
        </w:rPr>
        <w:t>32</w:t>
      </w:r>
      <w:r w:rsidR="0034689E">
        <w:t>:</w:t>
      </w:r>
      <w:r w:rsidR="00F3063F">
        <w:t xml:space="preserve"> </w:t>
      </w:r>
      <w:r w:rsidRPr="00B76149">
        <w:t>135-154.</w:t>
      </w:r>
      <w:proofErr w:type="gramEnd"/>
    </w:p>
    <w:p w:rsidR="00445D26" w:rsidRDefault="00445D26" w:rsidP="002B0F52">
      <w:pPr>
        <w:spacing w:after="120"/>
        <w:jc w:val="both"/>
      </w:pPr>
      <w:r>
        <w:t xml:space="preserve">National Treasury Management Agency (2008), </w:t>
      </w:r>
      <w:r w:rsidRPr="002B0F52">
        <w:rPr>
          <w:i/>
        </w:rPr>
        <w:t>Government Announcement on Recapitalisation, 21</w:t>
      </w:r>
      <w:r w:rsidRPr="002B0F52">
        <w:rPr>
          <w:i/>
          <w:vertAlign w:val="superscript"/>
        </w:rPr>
        <w:t>st</w:t>
      </w:r>
      <w:r w:rsidRPr="002B0F52">
        <w:rPr>
          <w:i/>
        </w:rPr>
        <w:t xml:space="preserve"> of December, 2008</w:t>
      </w:r>
      <w:r w:rsidR="0034689E">
        <w:t>,</w:t>
      </w:r>
      <w:r>
        <w:t xml:space="preserve"> Dublin: NTMA.</w:t>
      </w:r>
    </w:p>
    <w:p w:rsidR="00445D26" w:rsidRDefault="00445D26" w:rsidP="002B0F52">
      <w:pPr>
        <w:spacing w:after="120"/>
        <w:jc w:val="both"/>
      </w:pPr>
      <w:r>
        <w:t xml:space="preserve">National Treasury Management Agency (2009), </w:t>
      </w:r>
      <w:r w:rsidRPr="00355C56">
        <w:rPr>
          <w:i/>
        </w:rPr>
        <w:t>Minister’s Statement regarding Anglo Irish Bank</w:t>
      </w:r>
      <w:r>
        <w:rPr>
          <w:i/>
        </w:rPr>
        <w:t>, 2008</w:t>
      </w:r>
      <w:r w:rsidR="0034689E">
        <w:rPr>
          <w:i/>
        </w:rPr>
        <w:t>,</w:t>
      </w:r>
      <w:r>
        <w:rPr>
          <w:i/>
        </w:rPr>
        <w:t xml:space="preserve"> </w:t>
      </w:r>
      <w:r>
        <w:t>Dublin: NTMA, unpublished press release.</w:t>
      </w:r>
    </w:p>
    <w:p w:rsidR="00BC1276" w:rsidRPr="00BC1276" w:rsidRDefault="00BC1276" w:rsidP="002B0F52">
      <w:pPr>
        <w:spacing w:after="120"/>
        <w:jc w:val="both"/>
      </w:pPr>
      <w:r w:rsidRPr="00BC1276">
        <w:t xml:space="preserve">Nolan, </w:t>
      </w:r>
      <w:r>
        <w:t xml:space="preserve">B, </w:t>
      </w:r>
      <w:r w:rsidR="0034689E">
        <w:t xml:space="preserve">P. </w:t>
      </w:r>
      <w:r w:rsidRPr="00BC1276">
        <w:t>O'Connell</w:t>
      </w:r>
      <w:r w:rsidR="0034689E">
        <w:t xml:space="preserve"> and C.</w:t>
      </w:r>
      <w:r>
        <w:t xml:space="preserve"> </w:t>
      </w:r>
      <w:r w:rsidRPr="00BC1276">
        <w:t>Whelan</w:t>
      </w:r>
      <w:r>
        <w:t xml:space="preserve"> (</w:t>
      </w:r>
      <w:proofErr w:type="spellStart"/>
      <w:proofErr w:type="gramStart"/>
      <w:r>
        <w:t>eds</w:t>
      </w:r>
      <w:proofErr w:type="spellEnd"/>
      <w:proofErr w:type="gramEnd"/>
      <w:r>
        <w:t xml:space="preserve">) (2000), </w:t>
      </w:r>
      <w:r w:rsidRPr="00BC1276">
        <w:rPr>
          <w:i/>
        </w:rPr>
        <w:t>Bust to Boom? The Irish Experience of Growth and Inequality</w:t>
      </w:r>
      <w:r w:rsidR="0034689E">
        <w:rPr>
          <w:i/>
        </w:rPr>
        <w:t>,</w:t>
      </w:r>
      <w:r>
        <w:t xml:space="preserve"> Dublin: Institute of Public Administration.</w:t>
      </w:r>
    </w:p>
    <w:p w:rsidR="00445D26" w:rsidRDefault="00445D26" w:rsidP="002B0F52">
      <w:pPr>
        <w:spacing w:after="120"/>
        <w:jc w:val="both"/>
      </w:pPr>
      <w:r w:rsidRPr="000E377F">
        <w:t>Norris, M</w:t>
      </w:r>
      <w:r w:rsidR="0034689E">
        <w:t>.</w:t>
      </w:r>
      <w:r w:rsidR="00522FF8">
        <w:t xml:space="preserve"> </w:t>
      </w:r>
      <w:r w:rsidR="0034689E">
        <w:t>and P.</w:t>
      </w:r>
      <w:r w:rsidRPr="000E377F">
        <w:t xml:space="preserve"> </w:t>
      </w:r>
      <w:proofErr w:type="spellStart"/>
      <w:r w:rsidRPr="000E377F">
        <w:t>Shiels</w:t>
      </w:r>
      <w:proofErr w:type="spellEnd"/>
      <w:r w:rsidRPr="000E377F">
        <w:t xml:space="preserve"> (2007)</w:t>
      </w:r>
      <w:r w:rsidR="0034689E">
        <w:t>,</w:t>
      </w:r>
      <w:r w:rsidRPr="000E377F">
        <w:t xml:space="preserve"> Housing affordability in the Republic of Ireland: Is planning part of the problem or part of the solution</w:t>
      </w:r>
      <w:proofErr w:type="gramStart"/>
      <w:r w:rsidRPr="000E377F">
        <w:t>?</w:t>
      </w:r>
      <w:r w:rsidR="00522FF8">
        <w:t>,</w:t>
      </w:r>
      <w:proofErr w:type="gramEnd"/>
      <w:r w:rsidRPr="000E377F">
        <w:rPr>
          <w:i/>
        </w:rPr>
        <w:t xml:space="preserve"> Housing Studies</w:t>
      </w:r>
      <w:r w:rsidRPr="000E377F">
        <w:t xml:space="preserve">, </w:t>
      </w:r>
      <w:r w:rsidRPr="0034689E">
        <w:rPr>
          <w:b/>
        </w:rPr>
        <w:t>22</w:t>
      </w:r>
      <w:r w:rsidR="0034689E" w:rsidRPr="0034689E">
        <w:rPr>
          <w:b/>
        </w:rPr>
        <w:t>:</w:t>
      </w:r>
      <w:r w:rsidR="00F3063F">
        <w:t xml:space="preserve"> </w:t>
      </w:r>
      <w:r w:rsidRPr="000E377F">
        <w:t>45-62</w:t>
      </w:r>
      <w:r w:rsidR="0034689E">
        <w:t>.</w:t>
      </w:r>
    </w:p>
    <w:p w:rsidR="00445D26" w:rsidRDefault="00F3063F" w:rsidP="002B0F52">
      <w:pPr>
        <w:spacing w:after="120"/>
        <w:jc w:val="both"/>
      </w:pPr>
      <w:proofErr w:type="gramStart"/>
      <w:r w:rsidRPr="00F3063F">
        <w:t>Norris, M. and Winston, N. (2011)</w:t>
      </w:r>
      <w:r w:rsidR="00E45152">
        <w:t>,</w:t>
      </w:r>
      <w:r w:rsidRPr="00F3063F">
        <w:t xml:space="preserve"> Housing wealth, debt and stress before, during and after the Celtic Tiger</w:t>
      </w:r>
      <w:r w:rsidR="00E45152">
        <w:t>.</w:t>
      </w:r>
      <w:proofErr w:type="gramEnd"/>
      <w:r w:rsidRPr="00F3063F">
        <w:t xml:space="preserve"> In: R. Forrest (</w:t>
      </w:r>
      <w:proofErr w:type="spellStart"/>
      <w:proofErr w:type="gramStart"/>
      <w:r w:rsidRPr="00F3063F">
        <w:t>eds</w:t>
      </w:r>
      <w:proofErr w:type="spellEnd"/>
      <w:proofErr w:type="gramEnd"/>
      <w:r w:rsidRPr="00F3063F">
        <w:t xml:space="preserve">) </w:t>
      </w:r>
      <w:r w:rsidRPr="00E45152">
        <w:rPr>
          <w:i/>
        </w:rPr>
        <w:t>Housing Markets and the Global Financial Crisis</w:t>
      </w:r>
      <w:r w:rsidR="00E45152">
        <w:t xml:space="preserve">, </w:t>
      </w:r>
      <w:r w:rsidRPr="00F3063F">
        <w:t>Cheltenham: Edward Elg</w:t>
      </w:r>
      <w:r w:rsidR="00B26010">
        <w:t>ar</w:t>
      </w:r>
      <w:r w:rsidR="00E45152">
        <w:t>: 74-92</w:t>
      </w:r>
      <w:r w:rsidR="00445D26">
        <w:t>.</w:t>
      </w:r>
    </w:p>
    <w:p w:rsidR="00445D26" w:rsidRDefault="00445D26" w:rsidP="002B0F52">
      <w:pPr>
        <w:spacing w:after="120"/>
        <w:jc w:val="both"/>
      </w:pPr>
      <w:r>
        <w:t>O’Leary, J</w:t>
      </w:r>
      <w:r w:rsidR="00E45152">
        <w:t>.</w:t>
      </w:r>
      <w:r>
        <w:t xml:space="preserve"> (2010), </w:t>
      </w:r>
      <w:r w:rsidRPr="009E1B50">
        <w:t xml:space="preserve">External Surveillance of Irish Fiscal Policy </w:t>
      </w:r>
      <w:proofErr w:type="gramStart"/>
      <w:r w:rsidRPr="009E1B50">
        <w:t>During</w:t>
      </w:r>
      <w:proofErr w:type="gramEnd"/>
      <w:r w:rsidRPr="009E1B50">
        <w:t xml:space="preserve"> the Boom</w:t>
      </w:r>
      <w:r>
        <w:t xml:space="preserve">, </w:t>
      </w:r>
      <w:proofErr w:type="spellStart"/>
      <w:r>
        <w:t>Maynooth</w:t>
      </w:r>
      <w:proofErr w:type="spellEnd"/>
      <w:r>
        <w:t xml:space="preserve">: NUI </w:t>
      </w:r>
      <w:proofErr w:type="spellStart"/>
      <w:r>
        <w:t>Maynooth</w:t>
      </w:r>
      <w:proofErr w:type="spellEnd"/>
      <w:r w:rsidR="00E45152">
        <w:t>.</w:t>
      </w:r>
    </w:p>
    <w:p w:rsidR="00445D26" w:rsidRDefault="00445D26" w:rsidP="002B0F52">
      <w:pPr>
        <w:spacing w:after="120"/>
        <w:jc w:val="both"/>
      </w:pPr>
      <w:r w:rsidRPr="00B76149">
        <w:t xml:space="preserve">Permanent TSB/ ESRI (various years), </w:t>
      </w:r>
      <w:r w:rsidRPr="00CC28C8">
        <w:rPr>
          <w:i/>
        </w:rPr>
        <w:t>Permanent TSB/ ESRI House Price Index</w:t>
      </w:r>
      <w:r w:rsidRPr="00B76149">
        <w:t xml:space="preserve">, Dublin: Economic </w:t>
      </w:r>
      <w:r w:rsidR="00D13128">
        <w:t>&amp;</w:t>
      </w:r>
      <w:r w:rsidRPr="00B76149">
        <w:t xml:space="preserve"> Social Research Institute.</w:t>
      </w:r>
    </w:p>
    <w:p w:rsidR="00445D26" w:rsidRDefault="00445D26" w:rsidP="002B0F52">
      <w:pPr>
        <w:spacing w:after="120"/>
        <w:jc w:val="both"/>
      </w:pPr>
      <w:proofErr w:type="spellStart"/>
      <w:r w:rsidRPr="009E1B50">
        <w:t>Regling</w:t>
      </w:r>
      <w:proofErr w:type="spellEnd"/>
      <w:r>
        <w:t>, K</w:t>
      </w:r>
      <w:r w:rsidR="00E45152">
        <w:t>. and M.</w:t>
      </w:r>
      <w:r w:rsidRPr="009E1B50">
        <w:t xml:space="preserve"> Watson</w:t>
      </w:r>
      <w:r>
        <w:t xml:space="preserve"> (</w:t>
      </w:r>
      <w:r w:rsidRPr="009E1B50">
        <w:t>2010</w:t>
      </w:r>
      <w:r>
        <w:t xml:space="preserve">), </w:t>
      </w:r>
      <w:r w:rsidRPr="002B0F52">
        <w:rPr>
          <w:i/>
        </w:rPr>
        <w:t xml:space="preserve">A Preliminary Report on </w:t>
      </w:r>
      <w:r w:rsidR="00DB7A3D" w:rsidRPr="002B0F52">
        <w:rPr>
          <w:i/>
        </w:rPr>
        <w:t>t</w:t>
      </w:r>
      <w:r w:rsidRPr="002B0F52">
        <w:rPr>
          <w:i/>
        </w:rPr>
        <w:t>he Sources of Ireland’s Banking Crisis</w:t>
      </w:r>
      <w:r w:rsidR="00E45152">
        <w:t>,</w:t>
      </w:r>
      <w:r>
        <w:t xml:space="preserve"> </w:t>
      </w:r>
      <w:r w:rsidR="00522FF8">
        <w:t>Dublin: Stationery Office.</w:t>
      </w:r>
    </w:p>
    <w:p w:rsidR="00445D26" w:rsidRPr="00AC4912" w:rsidRDefault="00445D26" w:rsidP="002B0F52">
      <w:pPr>
        <w:spacing w:after="120"/>
        <w:jc w:val="both"/>
      </w:pPr>
      <w:r w:rsidRPr="00AC4912">
        <w:lastRenderedPageBreak/>
        <w:t xml:space="preserve">Mortgage Arrears </w:t>
      </w:r>
      <w:r w:rsidR="00E45152">
        <w:t>and</w:t>
      </w:r>
      <w:r w:rsidRPr="00AC4912">
        <w:t xml:space="preserve"> Personal Debt Expert Group (2010),</w:t>
      </w:r>
      <w:r>
        <w:t xml:space="preserve"> </w:t>
      </w:r>
      <w:r>
        <w:rPr>
          <w:i/>
        </w:rPr>
        <w:t>Final Report</w:t>
      </w:r>
      <w:r w:rsidR="00E45152">
        <w:rPr>
          <w:i/>
        </w:rPr>
        <w:t>,</w:t>
      </w:r>
      <w:r>
        <w:rPr>
          <w:i/>
        </w:rPr>
        <w:t xml:space="preserve"> </w:t>
      </w:r>
      <w:r>
        <w:t>Dublin: Department of Finance.</w:t>
      </w:r>
    </w:p>
    <w:p w:rsidR="00D25AF3" w:rsidRPr="00B76149" w:rsidRDefault="00445D26" w:rsidP="002B0F52">
      <w:pPr>
        <w:spacing w:after="120"/>
        <w:jc w:val="both"/>
      </w:pPr>
      <w:r w:rsidRPr="00D25AF3">
        <w:t xml:space="preserve">Stephens, M. (2003), Globalisation and housing finance systems in advanced and transition economies, </w:t>
      </w:r>
      <w:r w:rsidRPr="00D25AF3">
        <w:rPr>
          <w:i/>
        </w:rPr>
        <w:t>Urban Studies</w:t>
      </w:r>
      <w:r w:rsidRPr="00D25AF3">
        <w:t xml:space="preserve">, </w:t>
      </w:r>
      <w:r w:rsidRPr="00E45152">
        <w:rPr>
          <w:b/>
        </w:rPr>
        <w:t>40</w:t>
      </w:r>
      <w:r w:rsidR="00E45152">
        <w:t xml:space="preserve"> </w:t>
      </w:r>
      <w:r>
        <w:t>(</w:t>
      </w:r>
      <w:r w:rsidRPr="00D25AF3">
        <w:t>5-6</w:t>
      </w:r>
      <w:r>
        <w:t>)</w:t>
      </w:r>
      <w:r w:rsidR="00E45152">
        <w:t>:</w:t>
      </w:r>
      <w:r w:rsidRPr="00D25AF3">
        <w:t xml:space="preserve"> 1011-1026</w:t>
      </w:r>
      <w:r>
        <w:t>.</w:t>
      </w:r>
    </w:p>
    <w:sectPr w:rsidR="00D25AF3" w:rsidRPr="00B76149" w:rsidSect="00143B91">
      <w:footerReference w:type="default" r:id="rId14"/>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E84" w:rsidRDefault="00854E84" w:rsidP="00E07404">
      <w:r>
        <w:separator/>
      </w:r>
    </w:p>
  </w:endnote>
  <w:endnote w:type="continuationSeparator" w:id="0">
    <w:p w:rsidR="00854E84" w:rsidRDefault="00854E84" w:rsidP="00E07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450832"/>
      <w:docPartObj>
        <w:docPartGallery w:val="Page Numbers (Bottom of Page)"/>
        <w:docPartUnique/>
      </w:docPartObj>
    </w:sdtPr>
    <w:sdtContent>
      <w:p w:rsidR="0010702B" w:rsidRDefault="00C932FB" w:rsidP="00E07404">
        <w:pPr>
          <w:pStyle w:val="Footer"/>
        </w:pPr>
        <w:fldSimple w:instr="PAGE   \* MERGEFORMAT">
          <w:r w:rsidR="007135E6" w:rsidRPr="007135E6">
            <w:rPr>
              <w:noProof/>
              <w:lang w:val="nl-NL"/>
            </w:rPr>
            <w:t>1</w:t>
          </w:r>
        </w:fldSimple>
      </w:p>
    </w:sdtContent>
  </w:sdt>
  <w:p w:rsidR="0010702B" w:rsidRDefault="0010702B" w:rsidP="00E074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2B" w:rsidRDefault="00C932FB" w:rsidP="00E07404">
    <w:pPr>
      <w:pStyle w:val="Footer"/>
    </w:pPr>
    <w:fldSimple w:instr=" PAGE   \* MERGEFORMAT ">
      <w:r w:rsidR="007135E6">
        <w:rPr>
          <w:noProof/>
        </w:rPr>
        <w:t>22</w:t>
      </w:r>
    </w:fldSimple>
  </w:p>
  <w:p w:rsidR="0010702B" w:rsidRDefault="0010702B" w:rsidP="00E07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E84" w:rsidRDefault="00854E84" w:rsidP="00E07404">
      <w:r>
        <w:separator/>
      </w:r>
    </w:p>
  </w:footnote>
  <w:footnote w:type="continuationSeparator" w:id="0">
    <w:p w:rsidR="00854E84" w:rsidRDefault="00854E84" w:rsidP="00E07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00307"/>
    <w:multiLevelType w:val="hybridMultilevel"/>
    <w:tmpl w:val="C34E172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6C9211A"/>
    <w:multiLevelType w:val="hybridMultilevel"/>
    <w:tmpl w:val="4C68A9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7F22CCF"/>
    <w:multiLevelType w:val="hybridMultilevel"/>
    <w:tmpl w:val="976804D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9D5068D"/>
    <w:multiLevelType w:val="hybridMultilevel"/>
    <w:tmpl w:val="08F862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1FA0192"/>
    <w:multiLevelType w:val="hybridMultilevel"/>
    <w:tmpl w:val="C42C83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75B36EA"/>
    <w:multiLevelType w:val="multilevel"/>
    <w:tmpl w:val="44749086"/>
    <w:lvl w:ilvl="0">
      <w:start w:val="1"/>
      <w:numFmt w:val="decimal"/>
      <w:pStyle w:val="Heading1"/>
      <w:lvlText w:val="%1"/>
      <w:lvlJc w:val="left"/>
      <w:pPr>
        <w:tabs>
          <w:tab w:val="num" w:pos="720"/>
        </w:tabs>
        <w:ind w:left="360" w:hanging="360"/>
      </w:pPr>
      <w:rPr>
        <w:rFonts w:hint="default"/>
      </w:rPr>
    </w:lvl>
    <w:lvl w:ilvl="1">
      <w:start w:val="1"/>
      <w:numFmt w:val="decimal"/>
      <w:lvlText w:val="%1.%2"/>
      <w:lvlJc w:val="left"/>
      <w:pPr>
        <w:tabs>
          <w:tab w:val="num" w:pos="1080"/>
        </w:tabs>
        <w:ind w:left="432" w:hanging="432"/>
      </w:pPr>
      <w:rPr>
        <w:rFonts w:hint="default"/>
      </w:rPr>
    </w:lvl>
    <w:lvl w:ilvl="2">
      <w:start w:val="1"/>
      <w:numFmt w:val="decimal"/>
      <w:pStyle w:val="Heading3"/>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48117DE7"/>
    <w:multiLevelType w:val="hybridMultilevel"/>
    <w:tmpl w:val="1878F51A"/>
    <w:lvl w:ilvl="0" w:tplc="AC04C304">
      <w:start w:val="1"/>
      <w:numFmt w:val="bullet"/>
      <w:pStyle w:val="Bullets"/>
      <w:lvlText w:val=""/>
      <w:lvlJc w:val="left"/>
      <w:pPr>
        <w:tabs>
          <w:tab w:val="num" w:pos="1800"/>
        </w:tabs>
        <w:ind w:left="1800" w:hanging="360"/>
      </w:pPr>
      <w:rPr>
        <w:rFonts w:ascii="Wingdings" w:hAnsi="Wingdings" w:hint="default"/>
        <w:color w:val="003A7C"/>
        <w:szCs w:val="20"/>
      </w:rPr>
    </w:lvl>
    <w:lvl w:ilvl="1" w:tplc="18090003">
      <w:start w:val="1"/>
      <w:numFmt w:val="bullet"/>
      <w:lvlText w:val="o"/>
      <w:lvlJc w:val="left"/>
      <w:pPr>
        <w:tabs>
          <w:tab w:val="num" w:pos="2880"/>
        </w:tabs>
        <w:ind w:left="2880" w:hanging="360"/>
      </w:pPr>
      <w:rPr>
        <w:rFonts w:ascii="Courier New" w:hAnsi="Courier New" w:cs="Courier New" w:hint="default"/>
      </w:rPr>
    </w:lvl>
    <w:lvl w:ilvl="2" w:tplc="18090005" w:tentative="1">
      <w:start w:val="1"/>
      <w:numFmt w:val="bullet"/>
      <w:lvlText w:val=""/>
      <w:lvlJc w:val="left"/>
      <w:pPr>
        <w:tabs>
          <w:tab w:val="num" w:pos="3600"/>
        </w:tabs>
        <w:ind w:left="3600" w:hanging="360"/>
      </w:pPr>
      <w:rPr>
        <w:rFonts w:ascii="Wingdings" w:hAnsi="Wingdings" w:hint="default"/>
      </w:rPr>
    </w:lvl>
    <w:lvl w:ilvl="3" w:tplc="18090001" w:tentative="1">
      <w:start w:val="1"/>
      <w:numFmt w:val="bullet"/>
      <w:lvlText w:val=""/>
      <w:lvlJc w:val="left"/>
      <w:pPr>
        <w:tabs>
          <w:tab w:val="num" w:pos="4320"/>
        </w:tabs>
        <w:ind w:left="4320" w:hanging="360"/>
      </w:pPr>
      <w:rPr>
        <w:rFonts w:ascii="Symbol" w:hAnsi="Symbol" w:hint="default"/>
      </w:rPr>
    </w:lvl>
    <w:lvl w:ilvl="4" w:tplc="18090003" w:tentative="1">
      <w:start w:val="1"/>
      <w:numFmt w:val="bullet"/>
      <w:lvlText w:val="o"/>
      <w:lvlJc w:val="left"/>
      <w:pPr>
        <w:tabs>
          <w:tab w:val="num" w:pos="5040"/>
        </w:tabs>
        <w:ind w:left="5040" w:hanging="360"/>
      </w:pPr>
      <w:rPr>
        <w:rFonts w:ascii="Courier New" w:hAnsi="Courier New" w:cs="Courier New" w:hint="default"/>
      </w:rPr>
    </w:lvl>
    <w:lvl w:ilvl="5" w:tplc="18090005" w:tentative="1">
      <w:start w:val="1"/>
      <w:numFmt w:val="bullet"/>
      <w:lvlText w:val=""/>
      <w:lvlJc w:val="left"/>
      <w:pPr>
        <w:tabs>
          <w:tab w:val="num" w:pos="5760"/>
        </w:tabs>
        <w:ind w:left="5760" w:hanging="360"/>
      </w:pPr>
      <w:rPr>
        <w:rFonts w:ascii="Wingdings" w:hAnsi="Wingdings" w:hint="default"/>
      </w:rPr>
    </w:lvl>
    <w:lvl w:ilvl="6" w:tplc="18090001" w:tentative="1">
      <w:start w:val="1"/>
      <w:numFmt w:val="bullet"/>
      <w:lvlText w:val=""/>
      <w:lvlJc w:val="left"/>
      <w:pPr>
        <w:tabs>
          <w:tab w:val="num" w:pos="6480"/>
        </w:tabs>
        <w:ind w:left="6480" w:hanging="360"/>
      </w:pPr>
      <w:rPr>
        <w:rFonts w:ascii="Symbol" w:hAnsi="Symbol" w:hint="default"/>
      </w:rPr>
    </w:lvl>
    <w:lvl w:ilvl="7" w:tplc="18090003" w:tentative="1">
      <w:start w:val="1"/>
      <w:numFmt w:val="bullet"/>
      <w:lvlText w:val="o"/>
      <w:lvlJc w:val="left"/>
      <w:pPr>
        <w:tabs>
          <w:tab w:val="num" w:pos="7200"/>
        </w:tabs>
        <w:ind w:left="7200" w:hanging="360"/>
      </w:pPr>
      <w:rPr>
        <w:rFonts w:ascii="Courier New" w:hAnsi="Courier New" w:cs="Courier New" w:hint="default"/>
      </w:rPr>
    </w:lvl>
    <w:lvl w:ilvl="8" w:tplc="18090005" w:tentative="1">
      <w:start w:val="1"/>
      <w:numFmt w:val="bullet"/>
      <w:lvlText w:val=""/>
      <w:lvlJc w:val="left"/>
      <w:pPr>
        <w:tabs>
          <w:tab w:val="num" w:pos="7920"/>
        </w:tabs>
        <w:ind w:left="7920" w:hanging="360"/>
      </w:pPr>
      <w:rPr>
        <w:rFonts w:ascii="Wingdings" w:hAnsi="Wingdings" w:hint="default"/>
      </w:rPr>
    </w:lvl>
  </w:abstractNum>
  <w:abstractNum w:abstractNumId="7">
    <w:nsid w:val="55B0030D"/>
    <w:multiLevelType w:val="hybridMultilevel"/>
    <w:tmpl w:val="AF641D42"/>
    <w:lvl w:ilvl="0" w:tplc="1766E2E2">
      <w:numFmt w:val="bullet"/>
      <w:lvlText w:val="-"/>
      <w:lvlJc w:val="left"/>
      <w:pPr>
        <w:ind w:left="720" w:hanging="360"/>
      </w:pPr>
      <w:rPr>
        <w:rFonts w:ascii="Arial" w:eastAsia="SimSu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BD41168"/>
    <w:multiLevelType w:val="hybridMultilevel"/>
    <w:tmpl w:val="18B4F9C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1820E5"/>
    <w:multiLevelType w:val="hybridMultilevel"/>
    <w:tmpl w:val="71F08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F297F55"/>
    <w:multiLevelType w:val="hybridMultilevel"/>
    <w:tmpl w:val="86F842E4"/>
    <w:lvl w:ilvl="0" w:tplc="6018125A">
      <w:start w:val="65"/>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17044E8"/>
    <w:multiLevelType w:val="hybridMultilevel"/>
    <w:tmpl w:val="949C8C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4EA2895"/>
    <w:multiLevelType w:val="hybridMultilevel"/>
    <w:tmpl w:val="0AD293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07C1A5C"/>
    <w:multiLevelType w:val="hybridMultilevel"/>
    <w:tmpl w:val="E008586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782C11D7"/>
    <w:multiLevelType w:val="hybridMultilevel"/>
    <w:tmpl w:val="450AF674"/>
    <w:lvl w:ilvl="0" w:tplc="6018125A">
      <w:start w:val="65"/>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ECA512C"/>
    <w:multiLevelType w:val="hybridMultilevel"/>
    <w:tmpl w:val="797870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1"/>
  </w:num>
  <w:num w:numId="6">
    <w:abstractNumId w:val="11"/>
  </w:num>
  <w:num w:numId="7">
    <w:abstractNumId w:val="15"/>
  </w:num>
  <w:num w:numId="8">
    <w:abstractNumId w:val="12"/>
  </w:num>
  <w:num w:numId="9">
    <w:abstractNumId w:val="4"/>
  </w:num>
  <w:num w:numId="10">
    <w:abstractNumId w:val="14"/>
  </w:num>
  <w:num w:numId="11">
    <w:abstractNumId w:val="10"/>
  </w:num>
  <w:num w:numId="12">
    <w:abstractNumId w:val="13"/>
  </w:num>
  <w:num w:numId="13">
    <w:abstractNumId w:val="2"/>
  </w:num>
  <w:num w:numId="14">
    <w:abstractNumId w:val="0"/>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
  <w:rsids>
    <w:rsidRoot w:val="004044C7"/>
    <w:rsid w:val="00000114"/>
    <w:rsid w:val="000050B2"/>
    <w:rsid w:val="000051AE"/>
    <w:rsid w:val="00006805"/>
    <w:rsid w:val="00006813"/>
    <w:rsid w:val="00006F44"/>
    <w:rsid w:val="000073FB"/>
    <w:rsid w:val="000079EA"/>
    <w:rsid w:val="00010913"/>
    <w:rsid w:val="00012181"/>
    <w:rsid w:val="0001370F"/>
    <w:rsid w:val="00014E6D"/>
    <w:rsid w:val="00015308"/>
    <w:rsid w:val="000210A8"/>
    <w:rsid w:val="000235DF"/>
    <w:rsid w:val="00024820"/>
    <w:rsid w:val="000253F0"/>
    <w:rsid w:val="00026E97"/>
    <w:rsid w:val="00031472"/>
    <w:rsid w:val="000326F4"/>
    <w:rsid w:val="0003349C"/>
    <w:rsid w:val="00037FC0"/>
    <w:rsid w:val="00040957"/>
    <w:rsid w:val="00040DEF"/>
    <w:rsid w:val="00041A24"/>
    <w:rsid w:val="000437C9"/>
    <w:rsid w:val="00044347"/>
    <w:rsid w:val="0005170E"/>
    <w:rsid w:val="00054424"/>
    <w:rsid w:val="0005452C"/>
    <w:rsid w:val="000550BA"/>
    <w:rsid w:val="00056243"/>
    <w:rsid w:val="0005706F"/>
    <w:rsid w:val="000616B4"/>
    <w:rsid w:val="00061BEE"/>
    <w:rsid w:val="00063D7B"/>
    <w:rsid w:val="0006416E"/>
    <w:rsid w:val="00064676"/>
    <w:rsid w:val="00065535"/>
    <w:rsid w:val="000671E8"/>
    <w:rsid w:val="0006776D"/>
    <w:rsid w:val="00070F20"/>
    <w:rsid w:val="00071839"/>
    <w:rsid w:val="0007406E"/>
    <w:rsid w:val="000753FB"/>
    <w:rsid w:val="00080228"/>
    <w:rsid w:val="00080870"/>
    <w:rsid w:val="000814ED"/>
    <w:rsid w:val="00081BAD"/>
    <w:rsid w:val="00082B82"/>
    <w:rsid w:val="000854F2"/>
    <w:rsid w:val="00085666"/>
    <w:rsid w:val="0008652F"/>
    <w:rsid w:val="00086898"/>
    <w:rsid w:val="000944EE"/>
    <w:rsid w:val="000946DA"/>
    <w:rsid w:val="0009471E"/>
    <w:rsid w:val="00096A70"/>
    <w:rsid w:val="0009781C"/>
    <w:rsid w:val="000A0F52"/>
    <w:rsid w:val="000A110A"/>
    <w:rsid w:val="000A52D8"/>
    <w:rsid w:val="000A5C26"/>
    <w:rsid w:val="000B110A"/>
    <w:rsid w:val="000B300F"/>
    <w:rsid w:val="000B5333"/>
    <w:rsid w:val="000B78A9"/>
    <w:rsid w:val="000B7E5B"/>
    <w:rsid w:val="000B7FD7"/>
    <w:rsid w:val="000C4C36"/>
    <w:rsid w:val="000D28E8"/>
    <w:rsid w:val="000D66C0"/>
    <w:rsid w:val="000D6C55"/>
    <w:rsid w:val="000D7FBE"/>
    <w:rsid w:val="000E074B"/>
    <w:rsid w:val="000E0ECF"/>
    <w:rsid w:val="000E1049"/>
    <w:rsid w:val="000E18AA"/>
    <w:rsid w:val="000E377F"/>
    <w:rsid w:val="000E5DBB"/>
    <w:rsid w:val="000F382E"/>
    <w:rsid w:val="000F4869"/>
    <w:rsid w:val="000F48E7"/>
    <w:rsid w:val="000F5D75"/>
    <w:rsid w:val="000F7A81"/>
    <w:rsid w:val="001025DD"/>
    <w:rsid w:val="0010409D"/>
    <w:rsid w:val="00104754"/>
    <w:rsid w:val="0010702B"/>
    <w:rsid w:val="00107AE4"/>
    <w:rsid w:val="00111EFC"/>
    <w:rsid w:val="001128E0"/>
    <w:rsid w:val="00112CEC"/>
    <w:rsid w:val="0011434B"/>
    <w:rsid w:val="00120449"/>
    <w:rsid w:val="00121D91"/>
    <w:rsid w:val="00123CF3"/>
    <w:rsid w:val="00125AA8"/>
    <w:rsid w:val="00126915"/>
    <w:rsid w:val="0012721B"/>
    <w:rsid w:val="00131757"/>
    <w:rsid w:val="00132962"/>
    <w:rsid w:val="00134024"/>
    <w:rsid w:val="001342EE"/>
    <w:rsid w:val="00134B0C"/>
    <w:rsid w:val="00134CA4"/>
    <w:rsid w:val="0014091E"/>
    <w:rsid w:val="001429BD"/>
    <w:rsid w:val="00142CAC"/>
    <w:rsid w:val="00143432"/>
    <w:rsid w:val="00143B91"/>
    <w:rsid w:val="001514CB"/>
    <w:rsid w:val="001533D4"/>
    <w:rsid w:val="001567B7"/>
    <w:rsid w:val="00156AE5"/>
    <w:rsid w:val="001576FE"/>
    <w:rsid w:val="00161C73"/>
    <w:rsid w:val="00164C87"/>
    <w:rsid w:val="001654B5"/>
    <w:rsid w:val="00166C16"/>
    <w:rsid w:val="00170F1F"/>
    <w:rsid w:val="00173BA2"/>
    <w:rsid w:val="001741BF"/>
    <w:rsid w:val="00174378"/>
    <w:rsid w:val="00174906"/>
    <w:rsid w:val="001757F5"/>
    <w:rsid w:val="00176847"/>
    <w:rsid w:val="001807EC"/>
    <w:rsid w:val="00180A0A"/>
    <w:rsid w:val="00180D09"/>
    <w:rsid w:val="00185C25"/>
    <w:rsid w:val="00186891"/>
    <w:rsid w:val="00186DE4"/>
    <w:rsid w:val="00190B2D"/>
    <w:rsid w:val="00190E37"/>
    <w:rsid w:val="00192289"/>
    <w:rsid w:val="0019526C"/>
    <w:rsid w:val="00196390"/>
    <w:rsid w:val="00196B71"/>
    <w:rsid w:val="001970C8"/>
    <w:rsid w:val="001A014B"/>
    <w:rsid w:val="001A15A7"/>
    <w:rsid w:val="001A215A"/>
    <w:rsid w:val="001A4933"/>
    <w:rsid w:val="001A6D6F"/>
    <w:rsid w:val="001A7AE1"/>
    <w:rsid w:val="001B00A5"/>
    <w:rsid w:val="001B0BB5"/>
    <w:rsid w:val="001B2FAA"/>
    <w:rsid w:val="001C06CC"/>
    <w:rsid w:val="001C13D8"/>
    <w:rsid w:val="001C2AB8"/>
    <w:rsid w:val="001D5017"/>
    <w:rsid w:val="001D5F7B"/>
    <w:rsid w:val="001E0982"/>
    <w:rsid w:val="001E2BD6"/>
    <w:rsid w:val="001E3AEF"/>
    <w:rsid w:val="001E42DF"/>
    <w:rsid w:val="001E5671"/>
    <w:rsid w:val="001E621F"/>
    <w:rsid w:val="001E7EC0"/>
    <w:rsid w:val="001F012E"/>
    <w:rsid w:val="001F0536"/>
    <w:rsid w:val="001F4AF4"/>
    <w:rsid w:val="001F6C5C"/>
    <w:rsid w:val="001F7887"/>
    <w:rsid w:val="0020028E"/>
    <w:rsid w:val="00203807"/>
    <w:rsid w:val="002057BD"/>
    <w:rsid w:val="00207984"/>
    <w:rsid w:val="00207F15"/>
    <w:rsid w:val="00211E15"/>
    <w:rsid w:val="002122C8"/>
    <w:rsid w:val="002128F3"/>
    <w:rsid w:val="002137B8"/>
    <w:rsid w:val="00215FF9"/>
    <w:rsid w:val="0021623B"/>
    <w:rsid w:val="00216C7D"/>
    <w:rsid w:val="00216D8A"/>
    <w:rsid w:val="00220896"/>
    <w:rsid w:val="00221C87"/>
    <w:rsid w:val="002220C6"/>
    <w:rsid w:val="0022225C"/>
    <w:rsid w:val="00222717"/>
    <w:rsid w:val="002236F0"/>
    <w:rsid w:val="00231551"/>
    <w:rsid w:val="00232A4D"/>
    <w:rsid w:val="00233461"/>
    <w:rsid w:val="002354C2"/>
    <w:rsid w:val="00236434"/>
    <w:rsid w:val="002429DC"/>
    <w:rsid w:val="002445BC"/>
    <w:rsid w:val="00246E82"/>
    <w:rsid w:val="00250753"/>
    <w:rsid w:val="00250E45"/>
    <w:rsid w:val="00256CED"/>
    <w:rsid w:val="002576EE"/>
    <w:rsid w:val="00257A85"/>
    <w:rsid w:val="00260103"/>
    <w:rsid w:val="002609E7"/>
    <w:rsid w:val="00262A2F"/>
    <w:rsid w:val="00265946"/>
    <w:rsid w:val="0027024E"/>
    <w:rsid w:val="00274AE4"/>
    <w:rsid w:val="0027613D"/>
    <w:rsid w:val="00286D04"/>
    <w:rsid w:val="0029330B"/>
    <w:rsid w:val="002937C1"/>
    <w:rsid w:val="002947E8"/>
    <w:rsid w:val="002966CE"/>
    <w:rsid w:val="002A0352"/>
    <w:rsid w:val="002A326D"/>
    <w:rsid w:val="002A5681"/>
    <w:rsid w:val="002A5936"/>
    <w:rsid w:val="002A5D87"/>
    <w:rsid w:val="002A6DF0"/>
    <w:rsid w:val="002B0F52"/>
    <w:rsid w:val="002B1D21"/>
    <w:rsid w:val="002B29FD"/>
    <w:rsid w:val="002B4165"/>
    <w:rsid w:val="002C40FF"/>
    <w:rsid w:val="002C5580"/>
    <w:rsid w:val="002C6C82"/>
    <w:rsid w:val="002C7B92"/>
    <w:rsid w:val="002D0888"/>
    <w:rsid w:val="002D12FA"/>
    <w:rsid w:val="002D569B"/>
    <w:rsid w:val="002D76E6"/>
    <w:rsid w:val="002E1867"/>
    <w:rsid w:val="002E44BB"/>
    <w:rsid w:val="002E548D"/>
    <w:rsid w:val="002F0ADD"/>
    <w:rsid w:val="002F2625"/>
    <w:rsid w:val="002F345F"/>
    <w:rsid w:val="002F49FF"/>
    <w:rsid w:val="002F60D9"/>
    <w:rsid w:val="002F6657"/>
    <w:rsid w:val="002F727D"/>
    <w:rsid w:val="00300D3D"/>
    <w:rsid w:val="003036D6"/>
    <w:rsid w:val="00310D4D"/>
    <w:rsid w:val="003116E3"/>
    <w:rsid w:val="003139A1"/>
    <w:rsid w:val="00314EAF"/>
    <w:rsid w:val="00317198"/>
    <w:rsid w:val="0032066A"/>
    <w:rsid w:val="0032090F"/>
    <w:rsid w:val="003226D2"/>
    <w:rsid w:val="00323162"/>
    <w:rsid w:val="00323ACC"/>
    <w:rsid w:val="003252B8"/>
    <w:rsid w:val="00327F18"/>
    <w:rsid w:val="003318E3"/>
    <w:rsid w:val="003364D4"/>
    <w:rsid w:val="00344D36"/>
    <w:rsid w:val="00344E81"/>
    <w:rsid w:val="003461F3"/>
    <w:rsid w:val="0034689E"/>
    <w:rsid w:val="003532ED"/>
    <w:rsid w:val="00353DD5"/>
    <w:rsid w:val="003554B0"/>
    <w:rsid w:val="00355C56"/>
    <w:rsid w:val="003561DE"/>
    <w:rsid w:val="00356665"/>
    <w:rsid w:val="00356EA0"/>
    <w:rsid w:val="0035715E"/>
    <w:rsid w:val="0036011A"/>
    <w:rsid w:val="00361865"/>
    <w:rsid w:val="00363FB8"/>
    <w:rsid w:val="003672A6"/>
    <w:rsid w:val="00372E0E"/>
    <w:rsid w:val="00373C38"/>
    <w:rsid w:val="0037587B"/>
    <w:rsid w:val="00381759"/>
    <w:rsid w:val="00382F80"/>
    <w:rsid w:val="003840EE"/>
    <w:rsid w:val="00384113"/>
    <w:rsid w:val="003847BA"/>
    <w:rsid w:val="0038493B"/>
    <w:rsid w:val="0038615F"/>
    <w:rsid w:val="00387931"/>
    <w:rsid w:val="00394875"/>
    <w:rsid w:val="003949A1"/>
    <w:rsid w:val="0039579E"/>
    <w:rsid w:val="003A1A46"/>
    <w:rsid w:val="003A295A"/>
    <w:rsid w:val="003A30E2"/>
    <w:rsid w:val="003A669E"/>
    <w:rsid w:val="003B0BA9"/>
    <w:rsid w:val="003B6B8E"/>
    <w:rsid w:val="003C2A45"/>
    <w:rsid w:val="003C2C66"/>
    <w:rsid w:val="003C588F"/>
    <w:rsid w:val="003D125E"/>
    <w:rsid w:val="003D2A52"/>
    <w:rsid w:val="003D4219"/>
    <w:rsid w:val="003D439E"/>
    <w:rsid w:val="003D46D4"/>
    <w:rsid w:val="003D4DDC"/>
    <w:rsid w:val="003D5A58"/>
    <w:rsid w:val="003D5BE8"/>
    <w:rsid w:val="003E03A3"/>
    <w:rsid w:val="003E042D"/>
    <w:rsid w:val="003E0BD9"/>
    <w:rsid w:val="003E1AC5"/>
    <w:rsid w:val="003E577F"/>
    <w:rsid w:val="003F1110"/>
    <w:rsid w:val="004044C7"/>
    <w:rsid w:val="00407D6E"/>
    <w:rsid w:val="00407F41"/>
    <w:rsid w:val="00410A6D"/>
    <w:rsid w:val="00412AC0"/>
    <w:rsid w:val="004132F9"/>
    <w:rsid w:val="004150E1"/>
    <w:rsid w:val="00422A19"/>
    <w:rsid w:val="0042370C"/>
    <w:rsid w:val="00424775"/>
    <w:rsid w:val="004337F3"/>
    <w:rsid w:val="00434A04"/>
    <w:rsid w:val="00434E15"/>
    <w:rsid w:val="00440921"/>
    <w:rsid w:val="004410F6"/>
    <w:rsid w:val="00443DE7"/>
    <w:rsid w:val="0044451E"/>
    <w:rsid w:val="004455B3"/>
    <w:rsid w:val="00445D26"/>
    <w:rsid w:val="00446263"/>
    <w:rsid w:val="00447259"/>
    <w:rsid w:val="004541D8"/>
    <w:rsid w:val="00460387"/>
    <w:rsid w:val="00462EBC"/>
    <w:rsid w:val="00464B95"/>
    <w:rsid w:val="00464BE3"/>
    <w:rsid w:val="00465405"/>
    <w:rsid w:val="00465910"/>
    <w:rsid w:val="00465A8F"/>
    <w:rsid w:val="00467DC2"/>
    <w:rsid w:val="00471DE4"/>
    <w:rsid w:val="00471EA2"/>
    <w:rsid w:val="0047351F"/>
    <w:rsid w:val="00475B7E"/>
    <w:rsid w:val="00487A76"/>
    <w:rsid w:val="0049130C"/>
    <w:rsid w:val="00492CDB"/>
    <w:rsid w:val="004936B6"/>
    <w:rsid w:val="004A13AA"/>
    <w:rsid w:val="004A16DE"/>
    <w:rsid w:val="004A3B1B"/>
    <w:rsid w:val="004A472A"/>
    <w:rsid w:val="004C260D"/>
    <w:rsid w:val="004C71B6"/>
    <w:rsid w:val="004E3052"/>
    <w:rsid w:val="004E4204"/>
    <w:rsid w:val="004F43E2"/>
    <w:rsid w:val="004F44FD"/>
    <w:rsid w:val="004F52B0"/>
    <w:rsid w:val="004F6800"/>
    <w:rsid w:val="004F6BB3"/>
    <w:rsid w:val="00502391"/>
    <w:rsid w:val="005026BA"/>
    <w:rsid w:val="00504461"/>
    <w:rsid w:val="00515004"/>
    <w:rsid w:val="00515F9E"/>
    <w:rsid w:val="0052073A"/>
    <w:rsid w:val="0052299B"/>
    <w:rsid w:val="00522EC3"/>
    <w:rsid w:val="00522FF8"/>
    <w:rsid w:val="00532178"/>
    <w:rsid w:val="005356AD"/>
    <w:rsid w:val="0054062A"/>
    <w:rsid w:val="00547C5C"/>
    <w:rsid w:val="00547F84"/>
    <w:rsid w:val="00547FF6"/>
    <w:rsid w:val="00550F87"/>
    <w:rsid w:val="00553409"/>
    <w:rsid w:val="00556936"/>
    <w:rsid w:val="00557AAC"/>
    <w:rsid w:val="00561953"/>
    <w:rsid w:val="00566CA7"/>
    <w:rsid w:val="0056767B"/>
    <w:rsid w:val="005679BA"/>
    <w:rsid w:val="00567AA7"/>
    <w:rsid w:val="00567C4C"/>
    <w:rsid w:val="0057116C"/>
    <w:rsid w:val="00573055"/>
    <w:rsid w:val="0057494D"/>
    <w:rsid w:val="0057764B"/>
    <w:rsid w:val="00582B90"/>
    <w:rsid w:val="00583244"/>
    <w:rsid w:val="00583CD9"/>
    <w:rsid w:val="0058638C"/>
    <w:rsid w:val="00593978"/>
    <w:rsid w:val="00593DB6"/>
    <w:rsid w:val="00596701"/>
    <w:rsid w:val="0059678D"/>
    <w:rsid w:val="005A1802"/>
    <w:rsid w:val="005A4875"/>
    <w:rsid w:val="005A5BD6"/>
    <w:rsid w:val="005A7FDD"/>
    <w:rsid w:val="005B0201"/>
    <w:rsid w:val="005B514B"/>
    <w:rsid w:val="005B6BC4"/>
    <w:rsid w:val="005C4AF6"/>
    <w:rsid w:val="005C4CA7"/>
    <w:rsid w:val="005C5479"/>
    <w:rsid w:val="005D0D8D"/>
    <w:rsid w:val="005D265F"/>
    <w:rsid w:val="005D32E6"/>
    <w:rsid w:val="005E46C2"/>
    <w:rsid w:val="005E4732"/>
    <w:rsid w:val="005E4CDE"/>
    <w:rsid w:val="005F0E87"/>
    <w:rsid w:val="005F2CC6"/>
    <w:rsid w:val="005F50B1"/>
    <w:rsid w:val="005F5894"/>
    <w:rsid w:val="00600E9A"/>
    <w:rsid w:val="006065D8"/>
    <w:rsid w:val="006111FB"/>
    <w:rsid w:val="0061155A"/>
    <w:rsid w:val="006138F8"/>
    <w:rsid w:val="00615B21"/>
    <w:rsid w:val="0062629B"/>
    <w:rsid w:val="00634B90"/>
    <w:rsid w:val="00634C13"/>
    <w:rsid w:val="00641E57"/>
    <w:rsid w:val="00643DD3"/>
    <w:rsid w:val="0064603D"/>
    <w:rsid w:val="00650031"/>
    <w:rsid w:val="00650EAD"/>
    <w:rsid w:val="00657DFF"/>
    <w:rsid w:val="006623D2"/>
    <w:rsid w:val="00662C48"/>
    <w:rsid w:val="00663691"/>
    <w:rsid w:val="00663FA4"/>
    <w:rsid w:val="006645D6"/>
    <w:rsid w:val="006652A6"/>
    <w:rsid w:val="00666F9F"/>
    <w:rsid w:val="00667391"/>
    <w:rsid w:val="00671F42"/>
    <w:rsid w:val="00675120"/>
    <w:rsid w:val="00675624"/>
    <w:rsid w:val="00675A2F"/>
    <w:rsid w:val="00682AFE"/>
    <w:rsid w:val="00683CC9"/>
    <w:rsid w:val="00684333"/>
    <w:rsid w:val="0068538C"/>
    <w:rsid w:val="00687C2A"/>
    <w:rsid w:val="00697804"/>
    <w:rsid w:val="006A2E1C"/>
    <w:rsid w:val="006A4F0B"/>
    <w:rsid w:val="006A53DE"/>
    <w:rsid w:val="006A5B52"/>
    <w:rsid w:val="006A6BBD"/>
    <w:rsid w:val="006A76F0"/>
    <w:rsid w:val="006B0702"/>
    <w:rsid w:val="006B0F7F"/>
    <w:rsid w:val="006B3B85"/>
    <w:rsid w:val="006B3D29"/>
    <w:rsid w:val="006B400C"/>
    <w:rsid w:val="006B61F3"/>
    <w:rsid w:val="006B62B7"/>
    <w:rsid w:val="006B6864"/>
    <w:rsid w:val="006C4877"/>
    <w:rsid w:val="006D07E9"/>
    <w:rsid w:val="006D1239"/>
    <w:rsid w:val="006D1688"/>
    <w:rsid w:val="006D41AB"/>
    <w:rsid w:val="006D69FE"/>
    <w:rsid w:val="006D722E"/>
    <w:rsid w:val="006E24D9"/>
    <w:rsid w:val="006E4A30"/>
    <w:rsid w:val="006E4CE0"/>
    <w:rsid w:val="006E59E1"/>
    <w:rsid w:val="006E5A06"/>
    <w:rsid w:val="006F0D72"/>
    <w:rsid w:val="006F146D"/>
    <w:rsid w:val="006F3DD2"/>
    <w:rsid w:val="007003AD"/>
    <w:rsid w:val="00701803"/>
    <w:rsid w:val="00701C23"/>
    <w:rsid w:val="00701EA8"/>
    <w:rsid w:val="007050A2"/>
    <w:rsid w:val="007061B1"/>
    <w:rsid w:val="00706AE6"/>
    <w:rsid w:val="007075BD"/>
    <w:rsid w:val="007123B6"/>
    <w:rsid w:val="007135E6"/>
    <w:rsid w:val="00715195"/>
    <w:rsid w:val="00715C34"/>
    <w:rsid w:val="007203D9"/>
    <w:rsid w:val="00720B37"/>
    <w:rsid w:val="00721579"/>
    <w:rsid w:val="007220F6"/>
    <w:rsid w:val="00723408"/>
    <w:rsid w:val="007250C1"/>
    <w:rsid w:val="00731734"/>
    <w:rsid w:val="00731FBC"/>
    <w:rsid w:val="007324E4"/>
    <w:rsid w:val="00740FAD"/>
    <w:rsid w:val="00742089"/>
    <w:rsid w:val="00744818"/>
    <w:rsid w:val="007468ED"/>
    <w:rsid w:val="00751E62"/>
    <w:rsid w:val="00754450"/>
    <w:rsid w:val="007554C5"/>
    <w:rsid w:val="00757A85"/>
    <w:rsid w:val="00760C6A"/>
    <w:rsid w:val="007612BF"/>
    <w:rsid w:val="00762A3E"/>
    <w:rsid w:val="00762B77"/>
    <w:rsid w:val="0076695A"/>
    <w:rsid w:val="00766FE4"/>
    <w:rsid w:val="00771407"/>
    <w:rsid w:val="00781949"/>
    <w:rsid w:val="007829A6"/>
    <w:rsid w:val="00782D49"/>
    <w:rsid w:val="00786752"/>
    <w:rsid w:val="007869E9"/>
    <w:rsid w:val="007875D0"/>
    <w:rsid w:val="00790F09"/>
    <w:rsid w:val="00791A0E"/>
    <w:rsid w:val="00792942"/>
    <w:rsid w:val="007957FE"/>
    <w:rsid w:val="0079580D"/>
    <w:rsid w:val="007963D2"/>
    <w:rsid w:val="007A0A7D"/>
    <w:rsid w:val="007A58E6"/>
    <w:rsid w:val="007A6760"/>
    <w:rsid w:val="007A6C2F"/>
    <w:rsid w:val="007B0085"/>
    <w:rsid w:val="007B4FFE"/>
    <w:rsid w:val="007B7FA6"/>
    <w:rsid w:val="007C082E"/>
    <w:rsid w:val="007C0FCA"/>
    <w:rsid w:val="007C3904"/>
    <w:rsid w:val="007C4176"/>
    <w:rsid w:val="007C4AA0"/>
    <w:rsid w:val="007C6418"/>
    <w:rsid w:val="007C74C8"/>
    <w:rsid w:val="007D0223"/>
    <w:rsid w:val="007D2035"/>
    <w:rsid w:val="007D36E2"/>
    <w:rsid w:val="007D3BE2"/>
    <w:rsid w:val="007D3C3E"/>
    <w:rsid w:val="007D4963"/>
    <w:rsid w:val="007D5A7D"/>
    <w:rsid w:val="007D6C96"/>
    <w:rsid w:val="007D79EF"/>
    <w:rsid w:val="007E1211"/>
    <w:rsid w:val="007E7567"/>
    <w:rsid w:val="007F0379"/>
    <w:rsid w:val="007F0783"/>
    <w:rsid w:val="007F46D6"/>
    <w:rsid w:val="00800EAD"/>
    <w:rsid w:val="008024A5"/>
    <w:rsid w:val="00804744"/>
    <w:rsid w:val="00804EB3"/>
    <w:rsid w:val="0080730A"/>
    <w:rsid w:val="00810F32"/>
    <w:rsid w:val="00811BC1"/>
    <w:rsid w:val="008129AE"/>
    <w:rsid w:val="00815681"/>
    <w:rsid w:val="00816099"/>
    <w:rsid w:val="00816702"/>
    <w:rsid w:val="00816AC8"/>
    <w:rsid w:val="00817343"/>
    <w:rsid w:val="0081792D"/>
    <w:rsid w:val="00817AC4"/>
    <w:rsid w:val="00821A34"/>
    <w:rsid w:val="00823DC7"/>
    <w:rsid w:val="00830B43"/>
    <w:rsid w:val="00830F26"/>
    <w:rsid w:val="008317BF"/>
    <w:rsid w:val="008318D7"/>
    <w:rsid w:val="00833150"/>
    <w:rsid w:val="008336C7"/>
    <w:rsid w:val="00834C87"/>
    <w:rsid w:val="00836618"/>
    <w:rsid w:val="008369D9"/>
    <w:rsid w:val="008407B4"/>
    <w:rsid w:val="00842228"/>
    <w:rsid w:val="00842F37"/>
    <w:rsid w:val="00843480"/>
    <w:rsid w:val="0084365F"/>
    <w:rsid w:val="0084418F"/>
    <w:rsid w:val="00844CA2"/>
    <w:rsid w:val="008463A6"/>
    <w:rsid w:val="00847070"/>
    <w:rsid w:val="00854E84"/>
    <w:rsid w:val="00855035"/>
    <w:rsid w:val="0085507A"/>
    <w:rsid w:val="00857861"/>
    <w:rsid w:val="0086068C"/>
    <w:rsid w:val="00860A02"/>
    <w:rsid w:val="00861027"/>
    <w:rsid w:val="008629A4"/>
    <w:rsid w:val="0086531A"/>
    <w:rsid w:val="008657C4"/>
    <w:rsid w:val="00865DD7"/>
    <w:rsid w:val="00877542"/>
    <w:rsid w:val="0088093A"/>
    <w:rsid w:val="008833A7"/>
    <w:rsid w:val="00884117"/>
    <w:rsid w:val="008863E8"/>
    <w:rsid w:val="008874F1"/>
    <w:rsid w:val="00892B59"/>
    <w:rsid w:val="00894042"/>
    <w:rsid w:val="00896C44"/>
    <w:rsid w:val="008A0E1A"/>
    <w:rsid w:val="008A2A07"/>
    <w:rsid w:val="008A6A55"/>
    <w:rsid w:val="008A7F29"/>
    <w:rsid w:val="008B0B33"/>
    <w:rsid w:val="008B101D"/>
    <w:rsid w:val="008B2B69"/>
    <w:rsid w:val="008B4A01"/>
    <w:rsid w:val="008B4C43"/>
    <w:rsid w:val="008B5368"/>
    <w:rsid w:val="008C073D"/>
    <w:rsid w:val="008C3382"/>
    <w:rsid w:val="008C3C8B"/>
    <w:rsid w:val="008C59F7"/>
    <w:rsid w:val="008C64A0"/>
    <w:rsid w:val="008D24B2"/>
    <w:rsid w:val="008D267B"/>
    <w:rsid w:val="008D3945"/>
    <w:rsid w:val="008D562F"/>
    <w:rsid w:val="008D6F07"/>
    <w:rsid w:val="008E0B0F"/>
    <w:rsid w:val="008E0B19"/>
    <w:rsid w:val="008E3AB3"/>
    <w:rsid w:val="008E52B3"/>
    <w:rsid w:val="008E6F5E"/>
    <w:rsid w:val="008E784F"/>
    <w:rsid w:val="008E7D99"/>
    <w:rsid w:val="008F141D"/>
    <w:rsid w:val="008F6E0B"/>
    <w:rsid w:val="0090367D"/>
    <w:rsid w:val="009038F0"/>
    <w:rsid w:val="00905B7F"/>
    <w:rsid w:val="00907E96"/>
    <w:rsid w:val="009136D7"/>
    <w:rsid w:val="0091429F"/>
    <w:rsid w:val="00914CC9"/>
    <w:rsid w:val="0091761E"/>
    <w:rsid w:val="00920932"/>
    <w:rsid w:val="009222E2"/>
    <w:rsid w:val="0092418B"/>
    <w:rsid w:val="00926712"/>
    <w:rsid w:val="00926988"/>
    <w:rsid w:val="009302C2"/>
    <w:rsid w:val="0093151B"/>
    <w:rsid w:val="00936FF6"/>
    <w:rsid w:val="00937907"/>
    <w:rsid w:val="00940867"/>
    <w:rsid w:val="009414E9"/>
    <w:rsid w:val="00945D83"/>
    <w:rsid w:val="00946ADC"/>
    <w:rsid w:val="00950544"/>
    <w:rsid w:val="00950B43"/>
    <w:rsid w:val="0095261E"/>
    <w:rsid w:val="00952AD3"/>
    <w:rsid w:val="00952D42"/>
    <w:rsid w:val="0096138D"/>
    <w:rsid w:val="009617CA"/>
    <w:rsid w:val="00963BD2"/>
    <w:rsid w:val="00967797"/>
    <w:rsid w:val="00967FE6"/>
    <w:rsid w:val="0097122A"/>
    <w:rsid w:val="009715DF"/>
    <w:rsid w:val="009716E5"/>
    <w:rsid w:val="00971A51"/>
    <w:rsid w:val="009735BE"/>
    <w:rsid w:val="00976F1E"/>
    <w:rsid w:val="0097724E"/>
    <w:rsid w:val="0098238E"/>
    <w:rsid w:val="00984E81"/>
    <w:rsid w:val="00990187"/>
    <w:rsid w:val="00990B70"/>
    <w:rsid w:val="00991334"/>
    <w:rsid w:val="00991E4C"/>
    <w:rsid w:val="009920E2"/>
    <w:rsid w:val="009938E7"/>
    <w:rsid w:val="009950E7"/>
    <w:rsid w:val="009A2F7F"/>
    <w:rsid w:val="009A4A59"/>
    <w:rsid w:val="009B0363"/>
    <w:rsid w:val="009B1EF4"/>
    <w:rsid w:val="009B2CA9"/>
    <w:rsid w:val="009C0542"/>
    <w:rsid w:val="009C260C"/>
    <w:rsid w:val="009C30F7"/>
    <w:rsid w:val="009C3731"/>
    <w:rsid w:val="009C5A23"/>
    <w:rsid w:val="009C5ECE"/>
    <w:rsid w:val="009D0086"/>
    <w:rsid w:val="009D156B"/>
    <w:rsid w:val="009D545E"/>
    <w:rsid w:val="009D745E"/>
    <w:rsid w:val="009D7AC3"/>
    <w:rsid w:val="009E08C7"/>
    <w:rsid w:val="009E1B50"/>
    <w:rsid w:val="009E4285"/>
    <w:rsid w:val="009E5442"/>
    <w:rsid w:val="009E58F3"/>
    <w:rsid w:val="009E657A"/>
    <w:rsid w:val="009E68AF"/>
    <w:rsid w:val="009E799E"/>
    <w:rsid w:val="009F3BA7"/>
    <w:rsid w:val="009F7ED5"/>
    <w:rsid w:val="00A01604"/>
    <w:rsid w:val="00A016DA"/>
    <w:rsid w:val="00A0172E"/>
    <w:rsid w:val="00A04412"/>
    <w:rsid w:val="00A11675"/>
    <w:rsid w:val="00A13581"/>
    <w:rsid w:val="00A13ECC"/>
    <w:rsid w:val="00A15ADC"/>
    <w:rsid w:val="00A173BD"/>
    <w:rsid w:val="00A21518"/>
    <w:rsid w:val="00A2226E"/>
    <w:rsid w:val="00A242D4"/>
    <w:rsid w:val="00A24D0A"/>
    <w:rsid w:val="00A269E2"/>
    <w:rsid w:val="00A26B2C"/>
    <w:rsid w:val="00A26B36"/>
    <w:rsid w:val="00A27D26"/>
    <w:rsid w:val="00A34470"/>
    <w:rsid w:val="00A35207"/>
    <w:rsid w:val="00A45B10"/>
    <w:rsid w:val="00A47B3D"/>
    <w:rsid w:val="00A55303"/>
    <w:rsid w:val="00A55F97"/>
    <w:rsid w:val="00A571B3"/>
    <w:rsid w:val="00A57839"/>
    <w:rsid w:val="00A70F07"/>
    <w:rsid w:val="00A72DBF"/>
    <w:rsid w:val="00A74773"/>
    <w:rsid w:val="00A76598"/>
    <w:rsid w:val="00A8093B"/>
    <w:rsid w:val="00A81287"/>
    <w:rsid w:val="00A83B9A"/>
    <w:rsid w:val="00A84F21"/>
    <w:rsid w:val="00A86080"/>
    <w:rsid w:val="00A869EE"/>
    <w:rsid w:val="00A87DBC"/>
    <w:rsid w:val="00A87E4C"/>
    <w:rsid w:val="00A87EC4"/>
    <w:rsid w:val="00A90884"/>
    <w:rsid w:val="00A90BD2"/>
    <w:rsid w:val="00A94DB0"/>
    <w:rsid w:val="00A956F9"/>
    <w:rsid w:val="00A95D96"/>
    <w:rsid w:val="00AA1595"/>
    <w:rsid w:val="00AA4B99"/>
    <w:rsid w:val="00AA54BD"/>
    <w:rsid w:val="00AA650D"/>
    <w:rsid w:val="00AB027A"/>
    <w:rsid w:val="00AB0483"/>
    <w:rsid w:val="00AB0A50"/>
    <w:rsid w:val="00AB24DF"/>
    <w:rsid w:val="00AB2A5E"/>
    <w:rsid w:val="00AB4A12"/>
    <w:rsid w:val="00AB7C40"/>
    <w:rsid w:val="00AC35C4"/>
    <w:rsid w:val="00AC378A"/>
    <w:rsid w:val="00AC3800"/>
    <w:rsid w:val="00AC643E"/>
    <w:rsid w:val="00AC77A5"/>
    <w:rsid w:val="00AC7D8A"/>
    <w:rsid w:val="00AD09EE"/>
    <w:rsid w:val="00AD1A8A"/>
    <w:rsid w:val="00AD4234"/>
    <w:rsid w:val="00AD5523"/>
    <w:rsid w:val="00AD5DB6"/>
    <w:rsid w:val="00AD6317"/>
    <w:rsid w:val="00AE45E5"/>
    <w:rsid w:val="00AE508E"/>
    <w:rsid w:val="00AE59D3"/>
    <w:rsid w:val="00AE5A5E"/>
    <w:rsid w:val="00AF03D1"/>
    <w:rsid w:val="00AF1602"/>
    <w:rsid w:val="00AF334E"/>
    <w:rsid w:val="00AF781B"/>
    <w:rsid w:val="00AF7D92"/>
    <w:rsid w:val="00B03EE8"/>
    <w:rsid w:val="00B06B05"/>
    <w:rsid w:val="00B073D5"/>
    <w:rsid w:val="00B07C0F"/>
    <w:rsid w:val="00B136BC"/>
    <w:rsid w:val="00B15E9F"/>
    <w:rsid w:val="00B16BB8"/>
    <w:rsid w:val="00B20065"/>
    <w:rsid w:val="00B23664"/>
    <w:rsid w:val="00B23B9C"/>
    <w:rsid w:val="00B26010"/>
    <w:rsid w:val="00B27D05"/>
    <w:rsid w:val="00B309B9"/>
    <w:rsid w:val="00B3190D"/>
    <w:rsid w:val="00B340E8"/>
    <w:rsid w:val="00B36820"/>
    <w:rsid w:val="00B372A9"/>
    <w:rsid w:val="00B37989"/>
    <w:rsid w:val="00B40239"/>
    <w:rsid w:val="00B40FC3"/>
    <w:rsid w:val="00B41701"/>
    <w:rsid w:val="00B437F9"/>
    <w:rsid w:val="00B43E42"/>
    <w:rsid w:val="00B51133"/>
    <w:rsid w:val="00B53E04"/>
    <w:rsid w:val="00B553AC"/>
    <w:rsid w:val="00B573F2"/>
    <w:rsid w:val="00B609CB"/>
    <w:rsid w:val="00B615E3"/>
    <w:rsid w:val="00B62098"/>
    <w:rsid w:val="00B624C6"/>
    <w:rsid w:val="00B647EB"/>
    <w:rsid w:val="00B7291E"/>
    <w:rsid w:val="00B737A8"/>
    <w:rsid w:val="00B748A5"/>
    <w:rsid w:val="00B76149"/>
    <w:rsid w:val="00B80E52"/>
    <w:rsid w:val="00B81172"/>
    <w:rsid w:val="00B811BE"/>
    <w:rsid w:val="00B83A48"/>
    <w:rsid w:val="00B8568A"/>
    <w:rsid w:val="00B864CC"/>
    <w:rsid w:val="00B868F2"/>
    <w:rsid w:val="00B8749E"/>
    <w:rsid w:val="00B90B43"/>
    <w:rsid w:val="00B9410B"/>
    <w:rsid w:val="00BA1A75"/>
    <w:rsid w:val="00BA27A0"/>
    <w:rsid w:val="00BA3631"/>
    <w:rsid w:val="00BB1F0A"/>
    <w:rsid w:val="00BB29DF"/>
    <w:rsid w:val="00BB329F"/>
    <w:rsid w:val="00BB3500"/>
    <w:rsid w:val="00BB4553"/>
    <w:rsid w:val="00BB461A"/>
    <w:rsid w:val="00BB630E"/>
    <w:rsid w:val="00BB7287"/>
    <w:rsid w:val="00BB73BD"/>
    <w:rsid w:val="00BC01F6"/>
    <w:rsid w:val="00BC06E0"/>
    <w:rsid w:val="00BC1276"/>
    <w:rsid w:val="00BC4535"/>
    <w:rsid w:val="00BC7354"/>
    <w:rsid w:val="00BD4773"/>
    <w:rsid w:val="00BD6337"/>
    <w:rsid w:val="00BD7D93"/>
    <w:rsid w:val="00BE3409"/>
    <w:rsid w:val="00BE6F17"/>
    <w:rsid w:val="00BF0E8E"/>
    <w:rsid w:val="00BF3B92"/>
    <w:rsid w:val="00BF7A7E"/>
    <w:rsid w:val="00C0763F"/>
    <w:rsid w:val="00C10E1D"/>
    <w:rsid w:val="00C1161C"/>
    <w:rsid w:val="00C12BB0"/>
    <w:rsid w:val="00C13B76"/>
    <w:rsid w:val="00C14821"/>
    <w:rsid w:val="00C14C9F"/>
    <w:rsid w:val="00C150B3"/>
    <w:rsid w:val="00C20B93"/>
    <w:rsid w:val="00C21297"/>
    <w:rsid w:val="00C22332"/>
    <w:rsid w:val="00C2311A"/>
    <w:rsid w:val="00C25932"/>
    <w:rsid w:val="00C31E74"/>
    <w:rsid w:val="00C35640"/>
    <w:rsid w:val="00C35D7C"/>
    <w:rsid w:val="00C36622"/>
    <w:rsid w:val="00C40750"/>
    <w:rsid w:val="00C409E1"/>
    <w:rsid w:val="00C44FE8"/>
    <w:rsid w:val="00C45DDE"/>
    <w:rsid w:val="00C527A9"/>
    <w:rsid w:val="00C53188"/>
    <w:rsid w:val="00C54318"/>
    <w:rsid w:val="00C57208"/>
    <w:rsid w:val="00C5735B"/>
    <w:rsid w:val="00C63C13"/>
    <w:rsid w:val="00C6564A"/>
    <w:rsid w:val="00C678A6"/>
    <w:rsid w:val="00C725A2"/>
    <w:rsid w:val="00C735C2"/>
    <w:rsid w:val="00C7615B"/>
    <w:rsid w:val="00C77322"/>
    <w:rsid w:val="00C81E22"/>
    <w:rsid w:val="00C85AE8"/>
    <w:rsid w:val="00C86484"/>
    <w:rsid w:val="00C90D50"/>
    <w:rsid w:val="00C90D67"/>
    <w:rsid w:val="00C932FB"/>
    <w:rsid w:val="00C95302"/>
    <w:rsid w:val="00C9643E"/>
    <w:rsid w:val="00CA5C9A"/>
    <w:rsid w:val="00CA63A1"/>
    <w:rsid w:val="00CA6675"/>
    <w:rsid w:val="00CB1165"/>
    <w:rsid w:val="00CB287E"/>
    <w:rsid w:val="00CB629C"/>
    <w:rsid w:val="00CB7D52"/>
    <w:rsid w:val="00CC048A"/>
    <w:rsid w:val="00CC28C8"/>
    <w:rsid w:val="00CC625E"/>
    <w:rsid w:val="00CC73C5"/>
    <w:rsid w:val="00CD0A09"/>
    <w:rsid w:val="00CD24B2"/>
    <w:rsid w:val="00CD29E6"/>
    <w:rsid w:val="00CD2B21"/>
    <w:rsid w:val="00CD41FB"/>
    <w:rsid w:val="00CD4CAA"/>
    <w:rsid w:val="00CD6D2A"/>
    <w:rsid w:val="00CE09A2"/>
    <w:rsid w:val="00CE26E5"/>
    <w:rsid w:val="00CE3799"/>
    <w:rsid w:val="00CE3AB2"/>
    <w:rsid w:val="00CE69AB"/>
    <w:rsid w:val="00CE6A33"/>
    <w:rsid w:val="00CF7714"/>
    <w:rsid w:val="00CF7B9B"/>
    <w:rsid w:val="00D00FE1"/>
    <w:rsid w:val="00D03C31"/>
    <w:rsid w:val="00D06137"/>
    <w:rsid w:val="00D10FD4"/>
    <w:rsid w:val="00D13128"/>
    <w:rsid w:val="00D15499"/>
    <w:rsid w:val="00D17B53"/>
    <w:rsid w:val="00D207AB"/>
    <w:rsid w:val="00D20A2B"/>
    <w:rsid w:val="00D22005"/>
    <w:rsid w:val="00D2473A"/>
    <w:rsid w:val="00D2566D"/>
    <w:rsid w:val="00D25AF3"/>
    <w:rsid w:val="00D25BA4"/>
    <w:rsid w:val="00D308F0"/>
    <w:rsid w:val="00D31D31"/>
    <w:rsid w:val="00D32C9A"/>
    <w:rsid w:val="00D33CC9"/>
    <w:rsid w:val="00D37A9A"/>
    <w:rsid w:val="00D42557"/>
    <w:rsid w:val="00D457E6"/>
    <w:rsid w:val="00D474FB"/>
    <w:rsid w:val="00D5017F"/>
    <w:rsid w:val="00D5132D"/>
    <w:rsid w:val="00D51951"/>
    <w:rsid w:val="00D52ABB"/>
    <w:rsid w:val="00D52BEF"/>
    <w:rsid w:val="00D53331"/>
    <w:rsid w:val="00D54470"/>
    <w:rsid w:val="00D57B7C"/>
    <w:rsid w:val="00D6115E"/>
    <w:rsid w:val="00D62EA4"/>
    <w:rsid w:val="00D653F0"/>
    <w:rsid w:val="00D7325D"/>
    <w:rsid w:val="00D8011E"/>
    <w:rsid w:val="00D82702"/>
    <w:rsid w:val="00D82DDC"/>
    <w:rsid w:val="00D84391"/>
    <w:rsid w:val="00D84C88"/>
    <w:rsid w:val="00D85D9C"/>
    <w:rsid w:val="00D90333"/>
    <w:rsid w:val="00D930DE"/>
    <w:rsid w:val="00D960F2"/>
    <w:rsid w:val="00D9784B"/>
    <w:rsid w:val="00DA0737"/>
    <w:rsid w:val="00DA0806"/>
    <w:rsid w:val="00DA1079"/>
    <w:rsid w:val="00DA2459"/>
    <w:rsid w:val="00DA73CB"/>
    <w:rsid w:val="00DB01C6"/>
    <w:rsid w:val="00DB12F9"/>
    <w:rsid w:val="00DB16F3"/>
    <w:rsid w:val="00DB2C7D"/>
    <w:rsid w:val="00DB58A9"/>
    <w:rsid w:val="00DB7A3D"/>
    <w:rsid w:val="00DC1328"/>
    <w:rsid w:val="00DC3437"/>
    <w:rsid w:val="00DC3705"/>
    <w:rsid w:val="00DC4338"/>
    <w:rsid w:val="00DC541F"/>
    <w:rsid w:val="00DD23EF"/>
    <w:rsid w:val="00DD3FD3"/>
    <w:rsid w:val="00DD48C7"/>
    <w:rsid w:val="00DD587D"/>
    <w:rsid w:val="00DD7679"/>
    <w:rsid w:val="00DE47E4"/>
    <w:rsid w:val="00DE7F61"/>
    <w:rsid w:val="00DF0D4D"/>
    <w:rsid w:val="00DF0E18"/>
    <w:rsid w:val="00DF1BF5"/>
    <w:rsid w:val="00DF2DA7"/>
    <w:rsid w:val="00DF485C"/>
    <w:rsid w:val="00DF7D2C"/>
    <w:rsid w:val="00DF7D71"/>
    <w:rsid w:val="00E00851"/>
    <w:rsid w:val="00E01CC1"/>
    <w:rsid w:val="00E02020"/>
    <w:rsid w:val="00E034CC"/>
    <w:rsid w:val="00E03E5C"/>
    <w:rsid w:val="00E048D6"/>
    <w:rsid w:val="00E052A2"/>
    <w:rsid w:val="00E06A7E"/>
    <w:rsid w:val="00E07404"/>
    <w:rsid w:val="00E1074A"/>
    <w:rsid w:val="00E11341"/>
    <w:rsid w:val="00E176C3"/>
    <w:rsid w:val="00E21225"/>
    <w:rsid w:val="00E2141F"/>
    <w:rsid w:val="00E23A7C"/>
    <w:rsid w:val="00E25C74"/>
    <w:rsid w:val="00E26EF3"/>
    <w:rsid w:val="00E32F31"/>
    <w:rsid w:val="00E33B26"/>
    <w:rsid w:val="00E33CA1"/>
    <w:rsid w:val="00E3436F"/>
    <w:rsid w:val="00E34445"/>
    <w:rsid w:val="00E35BCA"/>
    <w:rsid w:val="00E364B4"/>
    <w:rsid w:val="00E40B87"/>
    <w:rsid w:val="00E45152"/>
    <w:rsid w:val="00E5487F"/>
    <w:rsid w:val="00E5716A"/>
    <w:rsid w:val="00E6038E"/>
    <w:rsid w:val="00E60ECF"/>
    <w:rsid w:val="00E62077"/>
    <w:rsid w:val="00E62731"/>
    <w:rsid w:val="00E73749"/>
    <w:rsid w:val="00E743B6"/>
    <w:rsid w:val="00E7549E"/>
    <w:rsid w:val="00E76FE1"/>
    <w:rsid w:val="00E8027C"/>
    <w:rsid w:val="00E85224"/>
    <w:rsid w:val="00E94B4F"/>
    <w:rsid w:val="00E968F6"/>
    <w:rsid w:val="00E96C66"/>
    <w:rsid w:val="00EA0B71"/>
    <w:rsid w:val="00EA2BCA"/>
    <w:rsid w:val="00EA505E"/>
    <w:rsid w:val="00EA7B8C"/>
    <w:rsid w:val="00EA7DA4"/>
    <w:rsid w:val="00EB0762"/>
    <w:rsid w:val="00EB089C"/>
    <w:rsid w:val="00EB0F1A"/>
    <w:rsid w:val="00EB420A"/>
    <w:rsid w:val="00EB6966"/>
    <w:rsid w:val="00EB760C"/>
    <w:rsid w:val="00EC05F2"/>
    <w:rsid w:val="00EC072C"/>
    <w:rsid w:val="00EC25B7"/>
    <w:rsid w:val="00EC27CC"/>
    <w:rsid w:val="00EC3EDE"/>
    <w:rsid w:val="00EC47AF"/>
    <w:rsid w:val="00EC67F2"/>
    <w:rsid w:val="00EC7150"/>
    <w:rsid w:val="00ED13F0"/>
    <w:rsid w:val="00ED3B80"/>
    <w:rsid w:val="00ED593C"/>
    <w:rsid w:val="00ED6454"/>
    <w:rsid w:val="00EE1CFF"/>
    <w:rsid w:val="00EE2850"/>
    <w:rsid w:val="00EE3F38"/>
    <w:rsid w:val="00EE51CF"/>
    <w:rsid w:val="00EE64B2"/>
    <w:rsid w:val="00EE6E29"/>
    <w:rsid w:val="00EE7F0D"/>
    <w:rsid w:val="00EF03AD"/>
    <w:rsid w:val="00EF0C3E"/>
    <w:rsid w:val="00EF1821"/>
    <w:rsid w:val="00EF6957"/>
    <w:rsid w:val="00F02AC7"/>
    <w:rsid w:val="00F0337A"/>
    <w:rsid w:val="00F03515"/>
    <w:rsid w:val="00F035D6"/>
    <w:rsid w:val="00F06C80"/>
    <w:rsid w:val="00F07486"/>
    <w:rsid w:val="00F12CE3"/>
    <w:rsid w:val="00F12EAF"/>
    <w:rsid w:val="00F14684"/>
    <w:rsid w:val="00F241EF"/>
    <w:rsid w:val="00F3063F"/>
    <w:rsid w:val="00F30C1E"/>
    <w:rsid w:val="00F33948"/>
    <w:rsid w:val="00F35817"/>
    <w:rsid w:val="00F35E25"/>
    <w:rsid w:val="00F36E9A"/>
    <w:rsid w:val="00F40122"/>
    <w:rsid w:val="00F42269"/>
    <w:rsid w:val="00F434AB"/>
    <w:rsid w:val="00F46074"/>
    <w:rsid w:val="00F460ED"/>
    <w:rsid w:val="00F47196"/>
    <w:rsid w:val="00F540F1"/>
    <w:rsid w:val="00F54A8E"/>
    <w:rsid w:val="00F5643F"/>
    <w:rsid w:val="00F566F7"/>
    <w:rsid w:val="00F640F8"/>
    <w:rsid w:val="00F71390"/>
    <w:rsid w:val="00F74278"/>
    <w:rsid w:val="00F74390"/>
    <w:rsid w:val="00F75B12"/>
    <w:rsid w:val="00F77AED"/>
    <w:rsid w:val="00F81DCB"/>
    <w:rsid w:val="00F858E6"/>
    <w:rsid w:val="00F9085C"/>
    <w:rsid w:val="00F94615"/>
    <w:rsid w:val="00F95301"/>
    <w:rsid w:val="00F97DB2"/>
    <w:rsid w:val="00FA0020"/>
    <w:rsid w:val="00FA0C28"/>
    <w:rsid w:val="00FA16CA"/>
    <w:rsid w:val="00FA236C"/>
    <w:rsid w:val="00FA454B"/>
    <w:rsid w:val="00FA54D1"/>
    <w:rsid w:val="00FA6755"/>
    <w:rsid w:val="00FB02C7"/>
    <w:rsid w:val="00FB39E9"/>
    <w:rsid w:val="00FB482C"/>
    <w:rsid w:val="00FB5034"/>
    <w:rsid w:val="00FB6864"/>
    <w:rsid w:val="00FB6EFA"/>
    <w:rsid w:val="00FC0374"/>
    <w:rsid w:val="00FC1198"/>
    <w:rsid w:val="00FC3046"/>
    <w:rsid w:val="00FC3F97"/>
    <w:rsid w:val="00FC5C87"/>
    <w:rsid w:val="00FC5FE2"/>
    <w:rsid w:val="00FD1DAB"/>
    <w:rsid w:val="00FD2713"/>
    <w:rsid w:val="00FD4038"/>
    <w:rsid w:val="00FD4F89"/>
    <w:rsid w:val="00FD70F5"/>
    <w:rsid w:val="00FD7B9F"/>
    <w:rsid w:val="00FE1FBE"/>
    <w:rsid w:val="00FE210C"/>
    <w:rsid w:val="00FE3D6E"/>
    <w:rsid w:val="00FE5DD3"/>
    <w:rsid w:val="00FF056B"/>
    <w:rsid w:val="00FF18C1"/>
    <w:rsid w:val="00FF2163"/>
    <w:rsid w:val="00FF47EA"/>
    <w:rsid w:val="00FF4B7C"/>
    <w:rsid w:val="00FF5764"/>
    <w:rsid w:val="00FF61BF"/>
    <w:rsid w:val="00FF698D"/>
    <w:rsid w:val="00FF6B19"/>
    <w:rsid w:val="00FF6EA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none [2732]" stroke="f">
      <v:fill color="none [2732]" opacity="0"/>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20"/>
    <w:rPr>
      <w:sz w:val="24"/>
      <w:szCs w:val="24"/>
      <w:lang w:val="en-GB" w:eastAsia="zh-CN"/>
    </w:rPr>
  </w:style>
  <w:style w:type="paragraph" w:styleId="Heading1">
    <w:name w:val="heading 1"/>
    <w:aliases w:val="h1"/>
    <w:basedOn w:val="Normal"/>
    <w:next w:val="Normal"/>
    <w:link w:val="Heading1Char"/>
    <w:qFormat/>
    <w:rsid w:val="00E6038E"/>
    <w:pPr>
      <w:keepNext/>
      <w:pageBreakBefore/>
      <w:numPr>
        <w:numId w:val="1"/>
      </w:numPr>
      <w:tabs>
        <w:tab w:val="clear" w:pos="720"/>
        <w:tab w:val="num" w:pos="360"/>
      </w:tabs>
      <w:spacing w:after="240" w:line="288" w:lineRule="auto"/>
      <w:outlineLvl w:val="0"/>
    </w:pPr>
    <w:rPr>
      <w:rFonts w:ascii="Arial" w:eastAsia="Times New Roman" w:hAnsi="Arial" w:cs="Arial"/>
      <w:b/>
      <w:bCs/>
      <w:caps/>
      <w:color w:val="003A7C"/>
      <w:kern w:val="32"/>
      <w:sz w:val="36"/>
      <w:szCs w:val="36"/>
      <w:lang w:val="en-IE" w:eastAsia="en-US"/>
    </w:rPr>
  </w:style>
  <w:style w:type="paragraph" w:styleId="Heading2">
    <w:name w:val="heading 2"/>
    <w:basedOn w:val="Normal"/>
    <w:next w:val="Normal"/>
    <w:qFormat/>
    <w:rsid w:val="00E6038E"/>
    <w:pPr>
      <w:keepNext/>
      <w:spacing w:before="240" w:after="60"/>
      <w:outlineLvl w:val="1"/>
    </w:pPr>
    <w:rPr>
      <w:rFonts w:ascii="Arial" w:hAnsi="Arial" w:cs="Arial"/>
      <w:b/>
      <w:bCs/>
      <w:i/>
      <w:iCs/>
      <w:sz w:val="28"/>
      <w:szCs w:val="28"/>
    </w:rPr>
  </w:style>
  <w:style w:type="paragraph" w:styleId="Heading3">
    <w:name w:val="heading 3"/>
    <w:aliases w:val="Minor,Heading 3 Char"/>
    <w:basedOn w:val="Normal"/>
    <w:next w:val="Normal"/>
    <w:autoRedefine/>
    <w:qFormat/>
    <w:rsid w:val="00E6038E"/>
    <w:pPr>
      <w:keepNext/>
      <w:numPr>
        <w:ilvl w:val="2"/>
        <w:numId w:val="1"/>
      </w:numPr>
      <w:spacing w:before="240" w:after="240" w:line="288" w:lineRule="auto"/>
      <w:ind w:left="2160" w:hanging="360"/>
      <w:outlineLvl w:val="2"/>
    </w:pPr>
    <w:rPr>
      <w:rFonts w:ascii="Arial" w:eastAsia="Times New Roman" w:hAnsi="Arial" w:cs="Arial"/>
      <w:b/>
      <w:bCs/>
      <w:i/>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paragraph">
    <w:name w:val="Number paragraph"/>
    <w:basedOn w:val="Heading2"/>
    <w:autoRedefine/>
    <w:rsid w:val="00B76149"/>
    <w:pPr>
      <w:keepNext w:val="0"/>
      <w:tabs>
        <w:tab w:val="left" w:pos="426"/>
      </w:tabs>
      <w:spacing w:before="0" w:after="0" w:line="480" w:lineRule="auto"/>
      <w:jc w:val="both"/>
      <w:outlineLvl w:val="9"/>
    </w:pPr>
    <w:rPr>
      <w:rFonts w:eastAsia="Times New Roman"/>
      <w:bCs w:val="0"/>
      <w:i w:val="0"/>
      <w:sz w:val="24"/>
      <w:szCs w:val="24"/>
      <w:lang w:eastAsia="en-US"/>
    </w:rPr>
  </w:style>
  <w:style w:type="paragraph" w:customStyle="1" w:styleId="SubHeading">
    <w:name w:val="Sub Heading"/>
    <w:basedOn w:val="Normal"/>
    <w:autoRedefine/>
    <w:rsid w:val="00865DD7"/>
    <w:pPr>
      <w:spacing w:line="480" w:lineRule="auto"/>
      <w:jc w:val="both"/>
    </w:pPr>
    <w:rPr>
      <w:rFonts w:ascii="Arial" w:eastAsia="Times New Roman" w:hAnsi="Arial"/>
      <w:i/>
      <w:lang w:val="en-IE" w:eastAsia="en-US"/>
    </w:rPr>
  </w:style>
  <w:style w:type="paragraph" w:customStyle="1" w:styleId="CharCharCharCharChar">
    <w:name w:val="Char Char Char Char Char"/>
    <w:basedOn w:val="Normal"/>
    <w:next w:val="Normal"/>
    <w:rsid w:val="00E6038E"/>
    <w:pPr>
      <w:spacing w:after="160" w:line="240" w:lineRule="exact"/>
    </w:pPr>
    <w:rPr>
      <w:rFonts w:ascii="Tahoma" w:eastAsia="Times New Roman" w:hAnsi="Tahoma" w:cs="Arial"/>
      <w:sz w:val="22"/>
      <w:szCs w:val="22"/>
      <w:lang w:eastAsia="en-US"/>
    </w:rPr>
  </w:style>
  <w:style w:type="paragraph" w:styleId="FootnoteText">
    <w:name w:val="footnote text"/>
    <w:basedOn w:val="Normal"/>
    <w:semiHidden/>
    <w:rsid w:val="00E6038E"/>
    <w:pPr>
      <w:spacing w:before="60" w:after="60" w:line="288" w:lineRule="auto"/>
      <w:jc w:val="both"/>
    </w:pPr>
    <w:rPr>
      <w:rFonts w:ascii="Arial" w:eastAsia="Times New Roman" w:hAnsi="Arial"/>
      <w:sz w:val="20"/>
      <w:szCs w:val="20"/>
      <w:lang w:val="en-IE" w:eastAsia="en-US"/>
    </w:rPr>
  </w:style>
  <w:style w:type="character" w:styleId="FootnoteReference">
    <w:name w:val="footnote reference"/>
    <w:basedOn w:val="DefaultParagraphFont"/>
    <w:semiHidden/>
    <w:rsid w:val="00E6038E"/>
    <w:rPr>
      <w:vertAlign w:val="superscript"/>
    </w:rPr>
  </w:style>
  <w:style w:type="paragraph" w:customStyle="1" w:styleId="BulletsCharCharCharCharCharCharCharChar">
    <w:name w:val="Bullets Char Char Char Char Char Char Char Char"/>
    <w:basedOn w:val="Normal"/>
    <w:link w:val="BulletsCharCharCharCharCharCharCharCharChar"/>
    <w:rsid w:val="00E6038E"/>
    <w:pPr>
      <w:tabs>
        <w:tab w:val="num" w:pos="927"/>
      </w:tabs>
      <w:spacing w:before="60" w:after="60" w:line="288" w:lineRule="auto"/>
      <w:ind w:left="927" w:hanging="360"/>
      <w:jc w:val="both"/>
    </w:pPr>
    <w:rPr>
      <w:rFonts w:ascii="Arial" w:hAnsi="Arial"/>
      <w:bCs/>
      <w:iCs/>
      <w:lang w:val="en-IE" w:eastAsia="en-US"/>
    </w:rPr>
  </w:style>
  <w:style w:type="character" w:customStyle="1" w:styleId="BulletsCharCharCharCharCharCharCharCharChar">
    <w:name w:val="Bullets Char Char Char Char Char Char Char Char Char"/>
    <w:basedOn w:val="DefaultParagraphFont"/>
    <w:link w:val="BulletsCharCharCharCharCharCharCharChar"/>
    <w:rsid w:val="00E6038E"/>
    <w:rPr>
      <w:rFonts w:ascii="Arial" w:eastAsia="SimSun" w:hAnsi="Arial"/>
      <w:bCs/>
      <w:iCs/>
      <w:sz w:val="24"/>
      <w:szCs w:val="24"/>
      <w:lang w:val="en-IE" w:eastAsia="en-US" w:bidi="ar-SA"/>
    </w:rPr>
  </w:style>
  <w:style w:type="paragraph" w:customStyle="1" w:styleId="Bullets">
    <w:name w:val="Bullets"/>
    <w:basedOn w:val="Normal"/>
    <w:rsid w:val="00394875"/>
    <w:pPr>
      <w:numPr>
        <w:numId w:val="2"/>
      </w:numPr>
      <w:spacing w:before="60" w:after="60" w:line="288" w:lineRule="auto"/>
      <w:jc w:val="both"/>
    </w:pPr>
    <w:rPr>
      <w:rFonts w:ascii="Arial" w:eastAsia="Times New Roman" w:hAnsi="Arial"/>
      <w:bCs/>
      <w:iCs/>
      <w:sz w:val="20"/>
      <w:szCs w:val="20"/>
      <w:lang w:val="en-IE" w:eastAsia="en-US"/>
    </w:rPr>
  </w:style>
  <w:style w:type="paragraph" w:customStyle="1" w:styleId="NumberparagraphChar">
    <w:name w:val="Number paragraph Char"/>
    <w:basedOn w:val="Heading2"/>
    <w:autoRedefine/>
    <w:rsid w:val="00394875"/>
    <w:pPr>
      <w:keepNext w:val="0"/>
      <w:tabs>
        <w:tab w:val="num" w:pos="-1800"/>
      </w:tabs>
      <w:spacing w:before="60" w:after="240" w:line="288" w:lineRule="auto"/>
      <w:ind w:left="432" w:hanging="432"/>
      <w:jc w:val="both"/>
      <w:outlineLvl w:val="2"/>
    </w:pPr>
    <w:rPr>
      <w:rFonts w:eastAsia="Times New Roman"/>
      <w:b w:val="0"/>
      <w:i w:val="0"/>
      <w:sz w:val="20"/>
      <w:szCs w:val="20"/>
      <w:lang w:eastAsia="en-US"/>
    </w:rPr>
  </w:style>
  <w:style w:type="table" w:styleId="TableGrid">
    <w:name w:val="Table Grid"/>
    <w:aliases w:val="Forfas Table Grid"/>
    <w:basedOn w:val="TableNormal"/>
    <w:rsid w:val="003D46D4"/>
    <w:pPr>
      <w:spacing w:before="60" w:after="60" w:line="288" w:lineRule="auto"/>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1CharCharChar">
    <w:name w:val="Char Char1 Char Char Char1 Char Char Char"/>
    <w:basedOn w:val="Normal"/>
    <w:next w:val="Normal"/>
    <w:rsid w:val="003D46D4"/>
    <w:pPr>
      <w:spacing w:after="160" w:line="240" w:lineRule="exact"/>
    </w:pPr>
    <w:rPr>
      <w:rFonts w:ascii="Tahoma" w:eastAsia="Times New Roman" w:hAnsi="Tahoma" w:cs="Arial"/>
      <w:sz w:val="22"/>
      <w:szCs w:val="22"/>
      <w:lang w:eastAsia="en-US"/>
    </w:rPr>
  </w:style>
  <w:style w:type="character" w:styleId="CommentReference">
    <w:name w:val="annotation reference"/>
    <w:basedOn w:val="DefaultParagraphFont"/>
    <w:uiPriority w:val="99"/>
    <w:semiHidden/>
    <w:unhideWhenUsed/>
    <w:rsid w:val="00B83A48"/>
    <w:rPr>
      <w:sz w:val="16"/>
      <w:szCs w:val="16"/>
    </w:rPr>
  </w:style>
  <w:style w:type="paragraph" w:styleId="CommentText">
    <w:name w:val="annotation text"/>
    <w:basedOn w:val="Normal"/>
    <w:link w:val="CommentTextChar"/>
    <w:uiPriority w:val="99"/>
    <w:semiHidden/>
    <w:unhideWhenUsed/>
    <w:rsid w:val="00B83A48"/>
    <w:rPr>
      <w:sz w:val="20"/>
      <w:szCs w:val="20"/>
    </w:rPr>
  </w:style>
  <w:style w:type="character" w:customStyle="1" w:styleId="CommentTextChar">
    <w:name w:val="Comment Text Char"/>
    <w:basedOn w:val="DefaultParagraphFont"/>
    <w:link w:val="CommentText"/>
    <w:uiPriority w:val="99"/>
    <w:semiHidden/>
    <w:rsid w:val="00B83A48"/>
    <w:rPr>
      <w:lang w:val="en-US" w:eastAsia="zh-CN"/>
    </w:rPr>
  </w:style>
  <w:style w:type="paragraph" w:styleId="CommentSubject">
    <w:name w:val="annotation subject"/>
    <w:basedOn w:val="CommentText"/>
    <w:next w:val="CommentText"/>
    <w:link w:val="CommentSubjectChar"/>
    <w:uiPriority w:val="99"/>
    <w:semiHidden/>
    <w:unhideWhenUsed/>
    <w:rsid w:val="00B83A48"/>
    <w:rPr>
      <w:b/>
      <w:bCs/>
    </w:rPr>
  </w:style>
  <w:style w:type="character" w:customStyle="1" w:styleId="CommentSubjectChar">
    <w:name w:val="Comment Subject Char"/>
    <w:basedOn w:val="CommentTextChar"/>
    <w:link w:val="CommentSubject"/>
    <w:uiPriority w:val="99"/>
    <w:semiHidden/>
    <w:rsid w:val="00B83A48"/>
    <w:rPr>
      <w:b/>
      <w:bCs/>
      <w:lang w:val="en-US" w:eastAsia="zh-CN"/>
    </w:rPr>
  </w:style>
  <w:style w:type="paragraph" w:styleId="BalloonText">
    <w:name w:val="Balloon Text"/>
    <w:basedOn w:val="Normal"/>
    <w:link w:val="BalloonTextChar"/>
    <w:uiPriority w:val="99"/>
    <w:semiHidden/>
    <w:unhideWhenUsed/>
    <w:rsid w:val="00B83A48"/>
    <w:rPr>
      <w:rFonts w:ascii="Tahoma" w:hAnsi="Tahoma" w:cs="Tahoma"/>
      <w:sz w:val="16"/>
      <w:szCs w:val="16"/>
    </w:rPr>
  </w:style>
  <w:style w:type="character" w:customStyle="1" w:styleId="BalloonTextChar">
    <w:name w:val="Balloon Text Char"/>
    <w:basedOn w:val="DefaultParagraphFont"/>
    <w:link w:val="BalloonText"/>
    <w:uiPriority w:val="99"/>
    <w:semiHidden/>
    <w:rsid w:val="00B83A48"/>
    <w:rPr>
      <w:rFonts w:ascii="Tahoma" w:hAnsi="Tahoma" w:cs="Tahoma"/>
      <w:sz w:val="16"/>
      <w:szCs w:val="16"/>
      <w:lang w:val="en-US" w:eastAsia="zh-CN"/>
    </w:rPr>
  </w:style>
  <w:style w:type="character" w:customStyle="1" w:styleId="Heading1Char">
    <w:name w:val="Heading 1 Char"/>
    <w:aliases w:val="h1 Char"/>
    <w:basedOn w:val="DefaultParagraphFont"/>
    <w:link w:val="Heading1"/>
    <w:rsid w:val="00AE5A5E"/>
    <w:rPr>
      <w:rFonts w:ascii="Arial" w:eastAsia="Times New Roman" w:hAnsi="Arial" w:cs="Arial"/>
      <w:b/>
      <w:bCs/>
      <w:caps/>
      <w:color w:val="003A7C"/>
      <w:kern w:val="32"/>
      <w:sz w:val="36"/>
      <w:szCs w:val="36"/>
      <w:lang w:eastAsia="en-US"/>
    </w:rPr>
  </w:style>
  <w:style w:type="paragraph" w:styleId="Revision">
    <w:name w:val="Revision"/>
    <w:hidden/>
    <w:uiPriority w:val="99"/>
    <w:semiHidden/>
    <w:rsid w:val="00EB0762"/>
    <w:rPr>
      <w:sz w:val="24"/>
      <w:szCs w:val="24"/>
      <w:lang w:val="en-US" w:eastAsia="zh-CN"/>
    </w:rPr>
  </w:style>
  <w:style w:type="paragraph" w:styleId="Header">
    <w:name w:val="header"/>
    <w:basedOn w:val="Normal"/>
    <w:link w:val="HeaderChar"/>
    <w:uiPriority w:val="99"/>
    <w:unhideWhenUsed/>
    <w:rsid w:val="003A669E"/>
    <w:pPr>
      <w:tabs>
        <w:tab w:val="center" w:pos="4513"/>
        <w:tab w:val="right" w:pos="9026"/>
      </w:tabs>
    </w:pPr>
  </w:style>
  <w:style w:type="character" w:customStyle="1" w:styleId="HeaderChar">
    <w:name w:val="Header Char"/>
    <w:basedOn w:val="DefaultParagraphFont"/>
    <w:link w:val="Header"/>
    <w:uiPriority w:val="99"/>
    <w:rsid w:val="003A669E"/>
    <w:rPr>
      <w:sz w:val="24"/>
      <w:szCs w:val="24"/>
      <w:lang w:val="en-US" w:eastAsia="zh-CN"/>
    </w:rPr>
  </w:style>
  <w:style w:type="paragraph" w:styleId="Footer">
    <w:name w:val="footer"/>
    <w:basedOn w:val="Normal"/>
    <w:link w:val="FooterChar"/>
    <w:uiPriority w:val="99"/>
    <w:unhideWhenUsed/>
    <w:rsid w:val="003A669E"/>
    <w:pPr>
      <w:tabs>
        <w:tab w:val="center" w:pos="4513"/>
        <w:tab w:val="right" w:pos="9026"/>
      </w:tabs>
    </w:pPr>
  </w:style>
  <w:style w:type="character" w:customStyle="1" w:styleId="FooterChar">
    <w:name w:val="Footer Char"/>
    <w:basedOn w:val="DefaultParagraphFont"/>
    <w:link w:val="Footer"/>
    <w:uiPriority w:val="99"/>
    <w:rsid w:val="003A669E"/>
    <w:rPr>
      <w:sz w:val="24"/>
      <w:szCs w:val="24"/>
      <w:lang w:val="en-US" w:eastAsia="zh-CN"/>
    </w:rPr>
  </w:style>
  <w:style w:type="character" w:styleId="Hyperlink">
    <w:name w:val="Hyperlink"/>
    <w:basedOn w:val="DefaultParagraphFont"/>
    <w:uiPriority w:val="99"/>
    <w:unhideWhenUsed/>
    <w:rsid w:val="008470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6149"/>
    <w:rPr>
      <w:sz w:val="24"/>
      <w:szCs w:val="24"/>
      <w:lang w:val="en-US" w:eastAsia="zh-CN"/>
    </w:rPr>
  </w:style>
  <w:style w:type="paragraph" w:styleId="Kop1">
    <w:name w:val="heading 1"/>
    <w:aliases w:val="h1"/>
    <w:basedOn w:val="Standaard"/>
    <w:next w:val="Standaard"/>
    <w:link w:val="Kop1Char"/>
    <w:qFormat/>
    <w:rsid w:val="00E6038E"/>
    <w:pPr>
      <w:keepNext/>
      <w:pageBreakBefore/>
      <w:numPr>
        <w:numId w:val="1"/>
      </w:numPr>
      <w:tabs>
        <w:tab w:val="clear" w:pos="720"/>
        <w:tab w:val="num" w:pos="360"/>
      </w:tabs>
      <w:spacing w:after="240" w:line="288" w:lineRule="auto"/>
      <w:outlineLvl w:val="0"/>
    </w:pPr>
    <w:rPr>
      <w:rFonts w:ascii="Arial" w:eastAsia="Times New Roman" w:hAnsi="Arial" w:cs="Arial"/>
      <w:b/>
      <w:bCs/>
      <w:caps/>
      <w:color w:val="003A7C"/>
      <w:kern w:val="32"/>
      <w:sz w:val="36"/>
      <w:szCs w:val="36"/>
      <w:lang w:val="en-IE" w:eastAsia="en-US"/>
    </w:rPr>
  </w:style>
  <w:style w:type="paragraph" w:styleId="Kop2">
    <w:name w:val="heading 2"/>
    <w:basedOn w:val="Standaard"/>
    <w:next w:val="Standaard"/>
    <w:qFormat/>
    <w:rsid w:val="00E6038E"/>
    <w:pPr>
      <w:keepNext/>
      <w:spacing w:before="240" w:after="60"/>
      <w:outlineLvl w:val="1"/>
    </w:pPr>
    <w:rPr>
      <w:rFonts w:ascii="Arial" w:hAnsi="Arial" w:cs="Arial"/>
      <w:b/>
      <w:bCs/>
      <w:i/>
      <w:iCs/>
      <w:sz w:val="28"/>
      <w:szCs w:val="28"/>
    </w:rPr>
  </w:style>
  <w:style w:type="paragraph" w:styleId="Kop3">
    <w:name w:val="heading 3"/>
    <w:aliases w:val="Minor,Heading 3 Char"/>
    <w:basedOn w:val="Standaard"/>
    <w:next w:val="Standaard"/>
    <w:autoRedefine/>
    <w:qFormat/>
    <w:rsid w:val="00E6038E"/>
    <w:pPr>
      <w:keepNext/>
      <w:numPr>
        <w:ilvl w:val="2"/>
        <w:numId w:val="1"/>
      </w:numPr>
      <w:spacing w:before="240" w:after="240" w:line="288" w:lineRule="auto"/>
      <w:ind w:left="2160" w:hanging="360"/>
      <w:outlineLvl w:val="2"/>
    </w:pPr>
    <w:rPr>
      <w:rFonts w:ascii="Arial" w:eastAsia="Times New Roman" w:hAnsi="Arial" w:cs="Arial"/>
      <w:b/>
      <w:bCs/>
      <w:i/>
      <w:lang w:val="en-I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berparagraph">
    <w:name w:val="Number paragraph"/>
    <w:basedOn w:val="Kop2"/>
    <w:autoRedefine/>
    <w:rsid w:val="00B76149"/>
    <w:pPr>
      <w:keepNext w:val="0"/>
      <w:tabs>
        <w:tab w:val="left" w:pos="426"/>
      </w:tabs>
      <w:spacing w:before="0" w:after="0" w:line="480" w:lineRule="auto"/>
      <w:jc w:val="both"/>
      <w:outlineLvl w:val="9"/>
    </w:pPr>
    <w:rPr>
      <w:rFonts w:eastAsia="Times New Roman"/>
      <w:bCs w:val="0"/>
      <w:i w:val="0"/>
      <w:sz w:val="24"/>
      <w:szCs w:val="24"/>
      <w:lang w:eastAsia="en-US"/>
    </w:rPr>
  </w:style>
  <w:style w:type="paragraph" w:customStyle="1" w:styleId="SubHeading">
    <w:name w:val="Sub Heading"/>
    <w:basedOn w:val="Standaard"/>
    <w:autoRedefine/>
    <w:rsid w:val="00865DD7"/>
    <w:pPr>
      <w:spacing w:line="480" w:lineRule="auto"/>
      <w:jc w:val="both"/>
    </w:pPr>
    <w:rPr>
      <w:rFonts w:ascii="Arial" w:eastAsia="Times New Roman" w:hAnsi="Arial"/>
      <w:i/>
      <w:lang w:val="en-IE" w:eastAsia="en-US"/>
    </w:rPr>
  </w:style>
  <w:style w:type="paragraph" w:customStyle="1" w:styleId="CharCharCharCharChar">
    <w:name w:val="Char Char Char Char Char"/>
    <w:basedOn w:val="Standaard"/>
    <w:next w:val="Standaard"/>
    <w:rsid w:val="00E6038E"/>
    <w:pPr>
      <w:spacing w:after="160" w:line="240" w:lineRule="exact"/>
    </w:pPr>
    <w:rPr>
      <w:rFonts w:ascii="Tahoma" w:eastAsia="Times New Roman" w:hAnsi="Tahoma" w:cs="Arial"/>
      <w:sz w:val="22"/>
      <w:szCs w:val="22"/>
      <w:lang w:eastAsia="en-US"/>
    </w:rPr>
  </w:style>
  <w:style w:type="paragraph" w:styleId="Voetnoottekst">
    <w:name w:val="footnote text"/>
    <w:basedOn w:val="Standaard"/>
    <w:semiHidden/>
    <w:rsid w:val="00E6038E"/>
    <w:pPr>
      <w:spacing w:before="60" w:after="60" w:line="288" w:lineRule="auto"/>
      <w:jc w:val="both"/>
    </w:pPr>
    <w:rPr>
      <w:rFonts w:ascii="Arial" w:eastAsia="Times New Roman" w:hAnsi="Arial"/>
      <w:sz w:val="20"/>
      <w:szCs w:val="20"/>
      <w:lang w:val="en-IE" w:eastAsia="en-US"/>
    </w:rPr>
  </w:style>
  <w:style w:type="character" w:styleId="Voetnootmarkering">
    <w:name w:val="footnote reference"/>
    <w:basedOn w:val="Standaardalinea-lettertype"/>
    <w:semiHidden/>
    <w:rsid w:val="00E6038E"/>
    <w:rPr>
      <w:vertAlign w:val="superscript"/>
    </w:rPr>
  </w:style>
  <w:style w:type="paragraph" w:customStyle="1" w:styleId="BulletsCharCharCharCharCharCharCharChar">
    <w:name w:val="Bullets Char Char Char Char Char Char Char Char"/>
    <w:basedOn w:val="Standaard"/>
    <w:link w:val="BulletsCharCharCharCharCharCharCharCharChar"/>
    <w:rsid w:val="00E6038E"/>
    <w:pPr>
      <w:tabs>
        <w:tab w:val="num" w:pos="927"/>
      </w:tabs>
      <w:spacing w:before="60" w:after="60" w:line="288" w:lineRule="auto"/>
      <w:ind w:left="927" w:hanging="360"/>
      <w:jc w:val="both"/>
    </w:pPr>
    <w:rPr>
      <w:rFonts w:ascii="Arial" w:hAnsi="Arial"/>
      <w:bCs/>
      <w:iCs/>
      <w:lang w:val="en-IE" w:eastAsia="en-US"/>
    </w:rPr>
  </w:style>
  <w:style w:type="character" w:customStyle="1" w:styleId="BulletsCharCharCharCharCharCharCharCharChar">
    <w:name w:val="Bullets Char Char Char Char Char Char Char Char Char"/>
    <w:basedOn w:val="Standaardalinea-lettertype"/>
    <w:link w:val="BulletsCharCharCharCharCharCharCharChar"/>
    <w:rsid w:val="00E6038E"/>
    <w:rPr>
      <w:rFonts w:ascii="Arial" w:eastAsia="SimSun" w:hAnsi="Arial"/>
      <w:bCs/>
      <w:iCs/>
      <w:sz w:val="24"/>
      <w:szCs w:val="24"/>
      <w:lang w:val="en-IE" w:eastAsia="en-US" w:bidi="ar-SA"/>
    </w:rPr>
  </w:style>
  <w:style w:type="paragraph" w:customStyle="1" w:styleId="Bullets">
    <w:name w:val="Bullets"/>
    <w:basedOn w:val="Standaard"/>
    <w:rsid w:val="00394875"/>
    <w:pPr>
      <w:numPr>
        <w:numId w:val="2"/>
      </w:numPr>
      <w:spacing w:before="60" w:after="60" w:line="288" w:lineRule="auto"/>
      <w:jc w:val="both"/>
    </w:pPr>
    <w:rPr>
      <w:rFonts w:ascii="Arial" w:eastAsia="Times New Roman" w:hAnsi="Arial"/>
      <w:bCs/>
      <w:iCs/>
      <w:sz w:val="20"/>
      <w:szCs w:val="20"/>
      <w:lang w:val="en-IE" w:eastAsia="en-US"/>
    </w:rPr>
  </w:style>
  <w:style w:type="paragraph" w:customStyle="1" w:styleId="NumberparagraphChar">
    <w:name w:val="Number paragraph Char"/>
    <w:basedOn w:val="Kop2"/>
    <w:autoRedefine/>
    <w:rsid w:val="00394875"/>
    <w:pPr>
      <w:keepNext w:val="0"/>
      <w:tabs>
        <w:tab w:val="num" w:pos="-1800"/>
      </w:tabs>
      <w:spacing w:before="60" w:after="240" w:line="288" w:lineRule="auto"/>
      <w:ind w:left="432" w:hanging="432"/>
      <w:jc w:val="both"/>
      <w:outlineLvl w:val="2"/>
    </w:pPr>
    <w:rPr>
      <w:rFonts w:eastAsia="Times New Roman"/>
      <w:b w:val="0"/>
      <w:i w:val="0"/>
      <w:sz w:val="20"/>
      <w:szCs w:val="20"/>
      <w:lang w:eastAsia="en-US"/>
    </w:rPr>
  </w:style>
  <w:style w:type="table" w:styleId="Tabelraster">
    <w:name w:val="Table Grid"/>
    <w:aliases w:val="Forfas Table Grid"/>
    <w:basedOn w:val="Standaardtabel"/>
    <w:rsid w:val="003D46D4"/>
    <w:pPr>
      <w:spacing w:before="60" w:after="60" w:line="288" w:lineRule="auto"/>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1CharCharChar">
    <w:name w:val="Char Char1 Char Char Char1 Char Char Char"/>
    <w:basedOn w:val="Standaard"/>
    <w:next w:val="Standaard"/>
    <w:rsid w:val="003D46D4"/>
    <w:pPr>
      <w:spacing w:after="160" w:line="240" w:lineRule="exact"/>
    </w:pPr>
    <w:rPr>
      <w:rFonts w:ascii="Tahoma" w:eastAsia="Times New Roman" w:hAnsi="Tahoma" w:cs="Arial"/>
      <w:sz w:val="22"/>
      <w:szCs w:val="22"/>
      <w:lang w:eastAsia="en-US"/>
    </w:rPr>
  </w:style>
  <w:style w:type="character" w:styleId="Verwijzingopmerking">
    <w:name w:val="annotation reference"/>
    <w:basedOn w:val="Standaardalinea-lettertype"/>
    <w:uiPriority w:val="99"/>
    <w:semiHidden/>
    <w:unhideWhenUsed/>
    <w:rsid w:val="00B83A48"/>
    <w:rPr>
      <w:sz w:val="16"/>
      <w:szCs w:val="16"/>
    </w:rPr>
  </w:style>
  <w:style w:type="paragraph" w:styleId="Tekstopmerking">
    <w:name w:val="annotation text"/>
    <w:basedOn w:val="Standaard"/>
    <w:link w:val="TekstopmerkingChar"/>
    <w:uiPriority w:val="99"/>
    <w:semiHidden/>
    <w:unhideWhenUsed/>
    <w:rsid w:val="00B83A48"/>
    <w:rPr>
      <w:sz w:val="20"/>
      <w:szCs w:val="20"/>
    </w:rPr>
  </w:style>
  <w:style w:type="character" w:customStyle="1" w:styleId="TekstopmerkingChar">
    <w:name w:val="Tekst opmerking Char"/>
    <w:basedOn w:val="Standaardalinea-lettertype"/>
    <w:link w:val="Tekstopmerking"/>
    <w:uiPriority w:val="99"/>
    <w:semiHidden/>
    <w:rsid w:val="00B83A48"/>
    <w:rPr>
      <w:lang w:val="en-US" w:eastAsia="zh-CN"/>
    </w:rPr>
  </w:style>
  <w:style w:type="paragraph" w:styleId="Onderwerpvanopmerking">
    <w:name w:val="annotation subject"/>
    <w:basedOn w:val="Tekstopmerking"/>
    <w:next w:val="Tekstopmerking"/>
    <w:link w:val="OnderwerpvanopmerkingChar"/>
    <w:uiPriority w:val="99"/>
    <w:semiHidden/>
    <w:unhideWhenUsed/>
    <w:rsid w:val="00B83A48"/>
    <w:rPr>
      <w:b/>
      <w:bCs/>
    </w:rPr>
  </w:style>
  <w:style w:type="character" w:customStyle="1" w:styleId="OnderwerpvanopmerkingChar">
    <w:name w:val="Onderwerp van opmerking Char"/>
    <w:basedOn w:val="TekstopmerkingChar"/>
    <w:link w:val="Onderwerpvanopmerking"/>
    <w:uiPriority w:val="99"/>
    <w:semiHidden/>
    <w:rsid w:val="00B83A48"/>
    <w:rPr>
      <w:b/>
      <w:bCs/>
      <w:lang w:val="en-US" w:eastAsia="zh-CN"/>
    </w:rPr>
  </w:style>
  <w:style w:type="paragraph" w:styleId="Ballontekst">
    <w:name w:val="Balloon Text"/>
    <w:basedOn w:val="Standaard"/>
    <w:link w:val="BallontekstChar"/>
    <w:uiPriority w:val="99"/>
    <w:semiHidden/>
    <w:unhideWhenUsed/>
    <w:rsid w:val="00B83A48"/>
    <w:rPr>
      <w:rFonts w:ascii="Tahoma" w:hAnsi="Tahoma" w:cs="Tahoma"/>
      <w:sz w:val="16"/>
      <w:szCs w:val="16"/>
    </w:rPr>
  </w:style>
  <w:style w:type="character" w:customStyle="1" w:styleId="BallontekstChar">
    <w:name w:val="Ballontekst Char"/>
    <w:basedOn w:val="Standaardalinea-lettertype"/>
    <w:link w:val="Ballontekst"/>
    <w:uiPriority w:val="99"/>
    <w:semiHidden/>
    <w:rsid w:val="00B83A48"/>
    <w:rPr>
      <w:rFonts w:ascii="Tahoma" w:hAnsi="Tahoma" w:cs="Tahoma"/>
      <w:sz w:val="16"/>
      <w:szCs w:val="16"/>
      <w:lang w:val="en-US" w:eastAsia="zh-CN"/>
    </w:rPr>
  </w:style>
  <w:style w:type="character" w:customStyle="1" w:styleId="Kop1Char">
    <w:name w:val="Kop 1 Char"/>
    <w:aliases w:val="h1 Char"/>
    <w:basedOn w:val="Standaardalinea-lettertype"/>
    <w:link w:val="Kop1"/>
    <w:rsid w:val="00AE5A5E"/>
    <w:rPr>
      <w:rFonts w:ascii="Arial" w:eastAsia="Times New Roman" w:hAnsi="Arial" w:cs="Arial"/>
      <w:b/>
      <w:bCs/>
      <w:caps/>
      <w:color w:val="003A7C"/>
      <w:kern w:val="32"/>
      <w:sz w:val="36"/>
      <w:szCs w:val="36"/>
      <w:lang w:eastAsia="en-US"/>
    </w:rPr>
  </w:style>
  <w:style w:type="paragraph" w:styleId="Revisie">
    <w:name w:val="Revision"/>
    <w:hidden/>
    <w:uiPriority w:val="99"/>
    <w:semiHidden/>
    <w:rsid w:val="00EB0762"/>
    <w:rPr>
      <w:sz w:val="24"/>
      <w:szCs w:val="24"/>
      <w:lang w:val="en-US" w:eastAsia="zh-CN"/>
    </w:rPr>
  </w:style>
  <w:style w:type="paragraph" w:styleId="Koptekst">
    <w:name w:val="header"/>
    <w:basedOn w:val="Standaard"/>
    <w:link w:val="KoptekstChar"/>
    <w:uiPriority w:val="99"/>
    <w:unhideWhenUsed/>
    <w:rsid w:val="003A669E"/>
    <w:pPr>
      <w:tabs>
        <w:tab w:val="center" w:pos="4513"/>
        <w:tab w:val="right" w:pos="9026"/>
      </w:tabs>
    </w:pPr>
  </w:style>
  <w:style w:type="character" w:customStyle="1" w:styleId="KoptekstChar">
    <w:name w:val="Koptekst Char"/>
    <w:basedOn w:val="Standaardalinea-lettertype"/>
    <w:link w:val="Koptekst"/>
    <w:uiPriority w:val="99"/>
    <w:rsid w:val="003A669E"/>
    <w:rPr>
      <w:sz w:val="24"/>
      <w:szCs w:val="24"/>
      <w:lang w:val="en-US" w:eastAsia="zh-CN"/>
    </w:rPr>
  </w:style>
  <w:style w:type="paragraph" w:styleId="Voettekst">
    <w:name w:val="footer"/>
    <w:basedOn w:val="Standaard"/>
    <w:link w:val="VoettekstChar"/>
    <w:uiPriority w:val="99"/>
    <w:unhideWhenUsed/>
    <w:rsid w:val="003A669E"/>
    <w:pPr>
      <w:tabs>
        <w:tab w:val="center" w:pos="4513"/>
        <w:tab w:val="right" w:pos="9026"/>
      </w:tabs>
    </w:pPr>
  </w:style>
  <w:style w:type="character" w:customStyle="1" w:styleId="VoettekstChar">
    <w:name w:val="Voettekst Char"/>
    <w:basedOn w:val="Standaardalinea-lettertype"/>
    <w:link w:val="Voettekst"/>
    <w:uiPriority w:val="99"/>
    <w:rsid w:val="003A669E"/>
    <w:rPr>
      <w:sz w:val="24"/>
      <w:szCs w:val="24"/>
      <w:lang w:val="en-US" w:eastAsia="zh-CN"/>
    </w:rPr>
  </w:style>
  <w:style w:type="character" w:styleId="Hyperlink">
    <w:name w:val="Hyperlink"/>
    <w:basedOn w:val="Standaardalinea-lettertype"/>
    <w:uiPriority w:val="99"/>
    <w:unhideWhenUsed/>
    <w:rsid w:val="00847070"/>
    <w:rPr>
      <w:color w:val="0000FF"/>
      <w:u w:val="single"/>
    </w:rPr>
  </w:style>
</w:styles>
</file>

<file path=word/webSettings.xml><?xml version="1.0" encoding="utf-8"?>
<w:webSettings xmlns:r="http://schemas.openxmlformats.org/officeDocument/2006/relationships" xmlns:w="http://schemas.openxmlformats.org/wordprocessingml/2006/main">
  <w:divs>
    <w:div w:id="713190153">
      <w:bodyDiv w:val="1"/>
      <w:marLeft w:val="0"/>
      <w:marRight w:val="0"/>
      <w:marTop w:val="0"/>
      <w:marBottom w:val="0"/>
      <w:divBdr>
        <w:top w:val="none" w:sz="0" w:space="0" w:color="auto"/>
        <w:left w:val="none" w:sz="0" w:space="0" w:color="auto"/>
        <w:bottom w:val="none" w:sz="0" w:space="0" w:color="auto"/>
        <w:right w:val="none" w:sz="0" w:space="0" w:color="auto"/>
      </w:divBdr>
    </w:div>
    <w:div w:id="1364593736">
      <w:bodyDiv w:val="1"/>
      <w:marLeft w:val="0"/>
      <w:marRight w:val="0"/>
      <w:marTop w:val="0"/>
      <w:marBottom w:val="0"/>
      <w:divBdr>
        <w:top w:val="none" w:sz="0" w:space="0" w:color="auto"/>
        <w:left w:val="none" w:sz="0" w:space="0" w:color="auto"/>
        <w:bottom w:val="none" w:sz="0" w:space="0" w:color="auto"/>
        <w:right w:val="none" w:sz="0" w:space="0" w:color="auto"/>
      </w:divBdr>
    </w:div>
    <w:div w:id="1539852708">
      <w:bodyDiv w:val="1"/>
      <w:marLeft w:val="0"/>
      <w:marRight w:val="0"/>
      <w:marTop w:val="0"/>
      <w:marBottom w:val="0"/>
      <w:divBdr>
        <w:top w:val="none" w:sz="0" w:space="0" w:color="auto"/>
        <w:left w:val="none" w:sz="0" w:space="0" w:color="auto"/>
        <w:bottom w:val="none" w:sz="0" w:space="0" w:color="auto"/>
        <w:right w:val="none" w:sz="0" w:space="0" w:color="auto"/>
      </w:divBdr>
      <w:divsChild>
        <w:div w:id="646129652">
          <w:marLeft w:val="0"/>
          <w:marRight w:val="0"/>
          <w:marTop w:val="0"/>
          <w:marBottom w:val="0"/>
          <w:divBdr>
            <w:top w:val="none" w:sz="0" w:space="0" w:color="auto"/>
            <w:left w:val="none" w:sz="0" w:space="0" w:color="auto"/>
            <w:bottom w:val="none" w:sz="0" w:space="0" w:color="auto"/>
            <w:right w:val="none" w:sz="0" w:space="0" w:color="auto"/>
          </w:divBdr>
        </w:div>
      </w:divsChild>
    </w:div>
    <w:div w:id="1763644150">
      <w:bodyDiv w:val="1"/>
      <w:marLeft w:val="0"/>
      <w:marRight w:val="0"/>
      <w:marTop w:val="0"/>
      <w:marBottom w:val="0"/>
      <w:divBdr>
        <w:top w:val="none" w:sz="0" w:space="0" w:color="auto"/>
        <w:left w:val="none" w:sz="0" w:space="0" w:color="auto"/>
        <w:bottom w:val="none" w:sz="0" w:space="0" w:color="auto"/>
        <w:right w:val="none" w:sz="0" w:space="0" w:color="auto"/>
      </w:divBdr>
    </w:div>
    <w:div w:id="1830973998">
      <w:bodyDiv w:val="1"/>
      <w:marLeft w:val="0"/>
      <w:marRight w:val="0"/>
      <w:marTop w:val="0"/>
      <w:marBottom w:val="0"/>
      <w:divBdr>
        <w:top w:val="none" w:sz="0" w:space="0" w:color="auto"/>
        <w:left w:val="none" w:sz="0" w:space="0" w:color="auto"/>
        <w:bottom w:val="none" w:sz="0" w:space="0" w:color="auto"/>
        <w:right w:val="none" w:sz="0" w:space="0" w:color="auto"/>
      </w:divBdr>
      <w:divsChild>
        <w:div w:id="32464183">
          <w:marLeft w:val="0"/>
          <w:marRight w:val="0"/>
          <w:marTop w:val="0"/>
          <w:marBottom w:val="0"/>
          <w:divBdr>
            <w:top w:val="none" w:sz="0" w:space="0" w:color="auto"/>
            <w:left w:val="none" w:sz="0" w:space="0" w:color="auto"/>
            <w:bottom w:val="none" w:sz="0" w:space="0" w:color="auto"/>
            <w:right w:val="none" w:sz="0" w:space="0" w:color="auto"/>
          </w:divBdr>
        </w:div>
        <w:div w:id="326439135">
          <w:marLeft w:val="0"/>
          <w:marRight w:val="0"/>
          <w:marTop w:val="0"/>
          <w:marBottom w:val="0"/>
          <w:divBdr>
            <w:top w:val="none" w:sz="0" w:space="0" w:color="auto"/>
            <w:left w:val="none" w:sz="0" w:space="0" w:color="auto"/>
            <w:bottom w:val="none" w:sz="0" w:space="0" w:color="auto"/>
            <w:right w:val="none" w:sz="0" w:space="0" w:color="auto"/>
          </w:divBdr>
        </w:div>
        <w:div w:id="445390249">
          <w:marLeft w:val="0"/>
          <w:marRight w:val="0"/>
          <w:marTop w:val="0"/>
          <w:marBottom w:val="0"/>
          <w:divBdr>
            <w:top w:val="none" w:sz="0" w:space="0" w:color="auto"/>
            <w:left w:val="none" w:sz="0" w:space="0" w:color="auto"/>
            <w:bottom w:val="none" w:sz="0" w:space="0" w:color="auto"/>
            <w:right w:val="none" w:sz="0" w:space="0" w:color="auto"/>
          </w:divBdr>
        </w:div>
        <w:div w:id="725105774">
          <w:marLeft w:val="0"/>
          <w:marRight w:val="0"/>
          <w:marTop w:val="0"/>
          <w:marBottom w:val="0"/>
          <w:divBdr>
            <w:top w:val="none" w:sz="0" w:space="0" w:color="auto"/>
            <w:left w:val="none" w:sz="0" w:space="0" w:color="auto"/>
            <w:bottom w:val="none" w:sz="0" w:space="0" w:color="auto"/>
            <w:right w:val="none" w:sz="0" w:space="0" w:color="auto"/>
          </w:divBdr>
        </w:div>
        <w:div w:id="915817870">
          <w:marLeft w:val="0"/>
          <w:marRight w:val="0"/>
          <w:marTop w:val="0"/>
          <w:marBottom w:val="0"/>
          <w:divBdr>
            <w:top w:val="none" w:sz="0" w:space="0" w:color="auto"/>
            <w:left w:val="none" w:sz="0" w:space="0" w:color="auto"/>
            <w:bottom w:val="none" w:sz="0" w:space="0" w:color="auto"/>
            <w:right w:val="none" w:sz="0" w:space="0" w:color="auto"/>
          </w:divBdr>
        </w:div>
        <w:div w:id="1419132499">
          <w:marLeft w:val="0"/>
          <w:marRight w:val="0"/>
          <w:marTop w:val="0"/>
          <w:marBottom w:val="0"/>
          <w:divBdr>
            <w:top w:val="none" w:sz="0" w:space="0" w:color="auto"/>
            <w:left w:val="none" w:sz="0" w:space="0" w:color="auto"/>
            <w:bottom w:val="none" w:sz="0" w:space="0" w:color="auto"/>
            <w:right w:val="none" w:sz="0" w:space="0" w:color="auto"/>
          </w:divBdr>
        </w:div>
      </w:divsChild>
    </w:div>
    <w:div w:id="19326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norris@ucd.ie" TargetMode="External"/><Relationship Id="rId13" Type="http://schemas.openxmlformats.org/officeDocument/2006/relationships/package" Target="embeddings/Microsoft_Office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AECA-9DB0-47AF-BEEC-43AEB62E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8059</Words>
  <Characters>45939</Characters>
  <Application>Microsoft Office Word</Application>
  <DocSecurity>0</DocSecurity>
  <Lines>382</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FGS</Company>
  <LinksUpToDate>false</LinksUpToDate>
  <CharactersWithSpaces>53891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dcoates</dc:creator>
  <cp:lastModifiedBy>Michelle</cp:lastModifiedBy>
  <cp:revision>2</cp:revision>
  <cp:lastPrinted>2012-11-26T11:23:00Z</cp:lastPrinted>
  <dcterms:created xsi:type="dcterms:W3CDTF">2013-06-10T13:06:00Z</dcterms:created>
  <dcterms:modified xsi:type="dcterms:W3CDTF">2013-06-10T13:06:00Z</dcterms:modified>
</cp:coreProperties>
</file>