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F0" w:rsidRPr="00E25C19" w:rsidRDefault="00FA04F4" w:rsidP="00343EA7">
      <w:pPr>
        <w:jc w:val="center"/>
        <w:rPr>
          <w:rFonts w:ascii="Calibri" w:hAnsi="Calibri" w:cs="Calibri"/>
          <w:b/>
          <w:sz w:val="24"/>
          <w:szCs w:val="24"/>
        </w:rPr>
      </w:pPr>
      <w:r w:rsidRPr="00E25C19">
        <w:rPr>
          <w:rFonts w:ascii="Calibri" w:hAnsi="Calibri" w:cs="Calibri"/>
          <w:b/>
          <w:sz w:val="24"/>
          <w:szCs w:val="24"/>
        </w:rPr>
        <w:t xml:space="preserve">Foreign </w:t>
      </w:r>
      <w:r w:rsidR="00FF29DB" w:rsidRPr="00E25C19">
        <w:rPr>
          <w:rFonts w:ascii="Calibri" w:hAnsi="Calibri" w:cs="Calibri"/>
          <w:b/>
          <w:sz w:val="24"/>
          <w:szCs w:val="24"/>
        </w:rPr>
        <w:t>D</w:t>
      </w:r>
      <w:r w:rsidR="00C02FFE" w:rsidRPr="00E25C19">
        <w:rPr>
          <w:rFonts w:ascii="Calibri" w:hAnsi="Calibri" w:cs="Calibri"/>
          <w:b/>
          <w:sz w:val="24"/>
          <w:szCs w:val="24"/>
        </w:rPr>
        <w:t xml:space="preserve">ivorce Recognition and </w:t>
      </w:r>
      <w:r w:rsidR="00FF29DB" w:rsidRPr="00E25C19">
        <w:rPr>
          <w:rFonts w:ascii="Calibri" w:hAnsi="Calibri" w:cs="Calibri"/>
          <w:b/>
          <w:sz w:val="24"/>
          <w:szCs w:val="24"/>
        </w:rPr>
        <w:t xml:space="preserve">Residence: a Critical Analysis of </w:t>
      </w:r>
      <w:r w:rsidR="00FF29DB" w:rsidRPr="00E25C19">
        <w:rPr>
          <w:rFonts w:ascii="Calibri" w:hAnsi="Calibri" w:cs="Calibri"/>
          <w:b/>
          <w:i/>
          <w:sz w:val="24"/>
          <w:szCs w:val="24"/>
        </w:rPr>
        <w:t>H v H</w:t>
      </w:r>
    </w:p>
    <w:p w:rsidR="00BC5DA1" w:rsidRPr="00BC5DA1" w:rsidRDefault="00BC5DA1" w:rsidP="00BC5DA1">
      <w:pPr>
        <w:jc w:val="center"/>
        <w:rPr>
          <w:rFonts w:ascii="Calibri" w:hAnsi="Calibri" w:cs="Calibri"/>
          <w:sz w:val="24"/>
          <w:szCs w:val="24"/>
        </w:rPr>
      </w:pPr>
      <w:proofErr w:type="spellStart"/>
      <w:r w:rsidRPr="00BC5DA1">
        <w:rPr>
          <w:rFonts w:ascii="Calibri" w:hAnsi="Calibri" w:cs="Calibri"/>
          <w:sz w:val="24"/>
          <w:szCs w:val="24"/>
        </w:rPr>
        <w:t>Máire</w:t>
      </w:r>
      <w:proofErr w:type="spellEnd"/>
      <w:r w:rsidRPr="00BC5DA1">
        <w:rPr>
          <w:rFonts w:ascii="Calibri" w:hAnsi="Calibri" w:cs="Calibri"/>
          <w:sz w:val="24"/>
          <w:szCs w:val="24"/>
        </w:rPr>
        <w:t xml:space="preserve"> </w:t>
      </w:r>
      <w:proofErr w:type="spellStart"/>
      <w:r w:rsidRPr="00BC5DA1">
        <w:rPr>
          <w:rFonts w:ascii="Calibri" w:hAnsi="Calibri" w:cs="Calibri"/>
          <w:sz w:val="24"/>
          <w:szCs w:val="24"/>
        </w:rPr>
        <w:t>Ní</w:t>
      </w:r>
      <w:proofErr w:type="spellEnd"/>
      <w:r w:rsidRPr="00BC5DA1">
        <w:rPr>
          <w:rFonts w:ascii="Calibri" w:hAnsi="Calibri" w:cs="Calibri"/>
          <w:sz w:val="24"/>
          <w:szCs w:val="24"/>
        </w:rPr>
        <w:t xml:space="preserve"> </w:t>
      </w:r>
      <w:proofErr w:type="spellStart"/>
      <w:r w:rsidRPr="00BC5DA1">
        <w:rPr>
          <w:rFonts w:ascii="Calibri" w:hAnsi="Calibri" w:cs="Calibri"/>
          <w:sz w:val="24"/>
          <w:szCs w:val="24"/>
        </w:rPr>
        <w:t>Shúilleabháin</w:t>
      </w:r>
      <w:proofErr w:type="spellEnd"/>
      <w:r>
        <w:rPr>
          <w:rFonts w:ascii="Calibri" w:hAnsi="Calibri" w:cs="Calibri"/>
          <w:sz w:val="24"/>
          <w:szCs w:val="24"/>
        </w:rPr>
        <w:t>*</w:t>
      </w:r>
    </w:p>
    <w:p w:rsidR="00FF29DB" w:rsidRPr="00E25C19" w:rsidRDefault="00343EA7" w:rsidP="00883B96">
      <w:pPr>
        <w:jc w:val="both"/>
        <w:rPr>
          <w:rFonts w:ascii="Calibri" w:hAnsi="Calibri" w:cs="Calibri"/>
          <w:sz w:val="24"/>
          <w:szCs w:val="24"/>
        </w:rPr>
      </w:pPr>
      <w:r w:rsidRPr="00E25C19">
        <w:rPr>
          <w:rFonts w:ascii="Calibri" w:hAnsi="Calibri" w:cs="Calibri"/>
          <w:sz w:val="24"/>
          <w:szCs w:val="24"/>
        </w:rPr>
        <w:t>INTRODUCTION</w:t>
      </w:r>
    </w:p>
    <w:p w:rsidR="00D17986" w:rsidRPr="00E25C19" w:rsidRDefault="00FF29DB" w:rsidP="00883B96">
      <w:pPr>
        <w:jc w:val="both"/>
        <w:rPr>
          <w:rFonts w:ascii="Calibri" w:hAnsi="Calibri" w:cs="Calibri"/>
          <w:sz w:val="24"/>
          <w:szCs w:val="24"/>
        </w:rPr>
      </w:pPr>
      <w:r w:rsidRPr="00E25C19">
        <w:rPr>
          <w:rFonts w:ascii="Calibri" w:hAnsi="Calibri" w:cs="Calibri"/>
          <w:sz w:val="24"/>
          <w:szCs w:val="24"/>
        </w:rPr>
        <w:t>Prior to the introduction of domestic divorce, Irish law allowed for the recognition of a foreign divorce pronounced in a country where either spous</w:t>
      </w:r>
      <w:r w:rsidR="00FB7C0C" w:rsidRPr="00E25C19">
        <w:rPr>
          <w:rFonts w:ascii="Calibri" w:hAnsi="Calibri" w:cs="Calibri"/>
          <w:sz w:val="24"/>
          <w:szCs w:val="24"/>
        </w:rPr>
        <w:t xml:space="preserve">e was </w:t>
      </w:r>
      <w:r w:rsidR="0002627C">
        <w:rPr>
          <w:rFonts w:ascii="Calibri" w:hAnsi="Calibri" w:cs="Calibri"/>
          <w:sz w:val="24"/>
          <w:szCs w:val="24"/>
        </w:rPr>
        <w:t>“</w:t>
      </w:r>
      <w:r w:rsidR="00FB7C0C" w:rsidRPr="00E25C19">
        <w:rPr>
          <w:rFonts w:ascii="Calibri" w:hAnsi="Calibri" w:cs="Calibri"/>
          <w:sz w:val="24"/>
          <w:szCs w:val="24"/>
        </w:rPr>
        <w:t>domiciled</w:t>
      </w:r>
      <w:r w:rsidR="0002627C">
        <w:rPr>
          <w:rFonts w:ascii="Calibri" w:hAnsi="Calibri" w:cs="Calibri"/>
          <w:sz w:val="24"/>
          <w:szCs w:val="24"/>
        </w:rPr>
        <w:t>”</w:t>
      </w:r>
      <w:r w:rsidR="008A0B84" w:rsidRPr="00E25C19">
        <w:rPr>
          <w:rFonts w:ascii="Calibri" w:hAnsi="Calibri" w:cs="Calibri"/>
          <w:sz w:val="24"/>
          <w:szCs w:val="24"/>
        </w:rPr>
        <w:t xml:space="preserve"> in the common law sense</w:t>
      </w:r>
      <w:r w:rsidR="00FB7C0C" w:rsidRPr="00E25C19">
        <w:rPr>
          <w:rFonts w:ascii="Calibri" w:hAnsi="Calibri" w:cs="Calibri"/>
          <w:sz w:val="24"/>
          <w:szCs w:val="24"/>
        </w:rPr>
        <w:t xml:space="preserve">. </w:t>
      </w:r>
      <w:r w:rsidR="00C52F27" w:rsidRPr="00E25C19">
        <w:rPr>
          <w:rFonts w:ascii="Calibri" w:hAnsi="Calibri" w:cs="Calibri"/>
          <w:sz w:val="24"/>
          <w:szCs w:val="24"/>
        </w:rPr>
        <w:t>This facilitated</w:t>
      </w:r>
      <w:r w:rsidRPr="00E25C19">
        <w:rPr>
          <w:rFonts w:ascii="Calibri" w:hAnsi="Calibri" w:cs="Calibri"/>
          <w:sz w:val="24"/>
          <w:szCs w:val="24"/>
        </w:rPr>
        <w:t xml:space="preserve"> the recognition of the marital status of foreign </w:t>
      </w:r>
      <w:proofErr w:type="spellStart"/>
      <w:r w:rsidRPr="00E25C19">
        <w:rPr>
          <w:rFonts w:ascii="Calibri" w:hAnsi="Calibri" w:cs="Calibri"/>
          <w:sz w:val="24"/>
          <w:szCs w:val="24"/>
        </w:rPr>
        <w:t>domiciliaries</w:t>
      </w:r>
      <w:proofErr w:type="spellEnd"/>
      <w:r w:rsidRPr="00E25C19">
        <w:rPr>
          <w:rFonts w:ascii="Calibri" w:hAnsi="Calibri" w:cs="Calibri"/>
          <w:sz w:val="24"/>
          <w:szCs w:val="24"/>
        </w:rPr>
        <w:t>, whilst also</w:t>
      </w:r>
      <w:r w:rsidR="00F603AA" w:rsidRPr="00E25C19">
        <w:rPr>
          <w:rFonts w:ascii="Calibri" w:hAnsi="Calibri" w:cs="Calibri"/>
          <w:sz w:val="24"/>
          <w:szCs w:val="24"/>
        </w:rPr>
        <w:t xml:space="preserve"> reinforcing the domestic principle</w:t>
      </w:r>
      <w:r w:rsidRPr="00E25C19">
        <w:rPr>
          <w:rFonts w:ascii="Calibri" w:hAnsi="Calibri" w:cs="Calibri"/>
          <w:sz w:val="24"/>
          <w:szCs w:val="24"/>
        </w:rPr>
        <w:t xml:space="preserve"> of indissolubility</w:t>
      </w:r>
      <w:r w:rsidR="00F603AA" w:rsidRPr="00E25C19">
        <w:rPr>
          <w:rFonts w:ascii="Calibri" w:hAnsi="Calibri" w:cs="Calibri"/>
          <w:sz w:val="24"/>
          <w:szCs w:val="24"/>
        </w:rPr>
        <w:t xml:space="preserve"> of marriage</w:t>
      </w:r>
      <w:r w:rsidR="0002627C">
        <w:rPr>
          <w:rFonts w:ascii="Calibri" w:hAnsi="Calibri" w:cs="Calibri"/>
          <w:sz w:val="24"/>
          <w:szCs w:val="24"/>
        </w:rPr>
        <w:t xml:space="preserve"> and restricting opportunities for evasion</w:t>
      </w:r>
      <w:r w:rsidRPr="00E25C19">
        <w:rPr>
          <w:rFonts w:ascii="Calibri" w:hAnsi="Calibri" w:cs="Calibri"/>
          <w:sz w:val="24"/>
          <w:szCs w:val="24"/>
        </w:rPr>
        <w:t>.</w:t>
      </w:r>
      <w:r w:rsidR="00FB7C0C" w:rsidRPr="00E25C19">
        <w:rPr>
          <w:rFonts w:ascii="Calibri" w:hAnsi="Calibri" w:cs="Calibri"/>
          <w:sz w:val="24"/>
          <w:szCs w:val="24"/>
        </w:rPr>
        <w:t xml:space="preserve"> </w:t>
      </w:r>
      <w:r w:rsidR="00D17986" w:rsidRPr="00E25C19">
        <w:rPr>
          <w:rFonts w:ascii="Calibri" w:hAnsi="Calibri" w:cs="Calibri"/>
          <w:sz w:val="24"/>
          <w:szCs w:val="24"/>
        </w:rPr>
        <w:t xml:space="preserve">This </w:t>
      </w:r>
      <w:r w:rsidR="00F603AA" w:rsidRPr="00E25C19">
        <w:rPr>
          <w:rFonts w:ascii="Calibri" w:hAnsi="Calibri" w:cs="Calibri"/>
          <w:sz w:val="24"/>
          <w:szCs w:val="24"/>
        </w:rPr>
        <w:t xml:space="preserve">recognition </w:t>
      </w:r>
      <w:r w:rsidR="00D17986" w:rsidRPr="00E25C19">
        <w:rPr>
          <w:rFonts w:ascii="Calibri" w:hAnsi="Calibri" w:cs="Calibri"/>
          <w:sz w:val="24"/>
          <w:szCs w:val="24"/>
        </w:rPr>
        <w:t>polic</w:t>
      </w:r>
      <w:r w:rsidR="00C02FFE" w:rsidRPr="00E25C19">
        <w:rPr>
          <w:rFonts w:ascii="Calibri" w:hAnsi="Calibri" w:cs="Calibri"/>
          <w:sz w:val="24"/>
          <w:szCs w:val="24"/>
        </w:rPr>
        <w:t>y was enshrined</w:t>
      </w:r>
      <w:r w:rsidR="00D17986" w:rsidRPr="00E25C19">
        <w:rPr>
          <w:rFonts w:ascii="Calibri" w:hAnsi="Calibri" w:cs="Calibri"/>
          <w:sz w:val="24"/>
          <w:szCs w:val="24"/>
        </w:rPr>
        <w:t xml:space="preserve"> in the Domicile and Recognition of Foreign Divorces Act 1986 for foreign divorces granted after 2 October 1986</w:t>
      </w:r>
      <w:r w:rsidR="00F603AA" w:rsidRPr="00E25C19">
        <w:rPr>
          <w:rFonts w:ascii="Calibri" w:hAnsi="Calibri" w:cs="Calibri"/>
          <w:sz w:val="24"/>
          <w:szCs w:val="24"/>
        </w:rPr>
        <w:t>,</w:t>
      </w:r>
      <w:r w:rsidR="00D17986" w:rsidRPr="00E25C19">
        <w:rPr>
          <w:rFonts w:ascii="Calibri" w:hAnsi="Calibri" w:cs="Calibri"/>
          <w:sz w:val="24"/>
          <w:szCs w:val="24"/>
        </w:rPr>
        <w:t xml:space="preserve"> and </w:t>
      </w:r>
      <w:r w:rsidR="00AF6F90" w:rsidRPr="00E25C19">
        <w:rPr>
          <w:rFonts w:ascii="Calibri" w:hAnsi="Calibri" w:cs="Calibri"/>
          <w:sz w:val="24"/>
          <w:szCs w:val="24"/>
        </w:rPr>
        <w:t>was effective as a matter of common law for foreign divorces granted before that date.</w:t>
      </w:r>
    </w:p>
    <w:p w:rsidR="00C80FBB" w:rsidRPr="00E25C19" w:rsidRDefault="001473A2" w:rsidP="00883B96">
      <w:pPr>
        <w:jc w:val="both"/>
        <w:rPr>
          <w:rFonts w:ascii="Calibri" w:hAnsi="Calibri" w:cs="Calibri"/>
          <w:sz w:val="24"/>
          <w:szCs w:val="24"/>
        </w:rPr>
      </w:pPr>
      <w:r>
        <w:rPr>
          <w:rFonts w:ascii="Calibri" w:hAnsi="Calibri" w:cs="Calibri"/>
          <w:sz w:val="24"/>
          <w:szCs w:val="24"/>
        </w:rPr>
        <w:t>After</w:t>
      </w:r>
      <w:r w:rsidR="00FB7C0C" w:rsidRPr="00E25C19">
        <w:rPr>
          <w:rFonts w:ascii="Calibri" w:hAnsi="Calibri" w:cs="Calibri"/>
          <w:sz w:val="24"/>
          <w:szCs w:val="24"/>
        </w:rPr>
        <w:t xml:space="preserve"> the introduction of domestic divorce</w:t>
      </w:r>
      <w:r w:rsidR="00E71ABF" w:rsidRPr="00E25C19">
        <w:rPr>
          <w:rFonts w:ascii="Calibri" w:hAnsi="Calibri" w:cs="Calibri"/>
          <w:sz w:val="24"/>
          <w:szCs w:val="24"/>
        </w:rPr>
        <w:t xml:space="preserve"> pursuant to the Family Law (Divorce) Act 1996</w:t>
      </w:r>
      <w:r w:rsidR="00FB7C0C" w:rsidRPr="00E25C19">
        <w:rPr>
          <w:rFonts w:ascii="Calibri" w:hAnsi="Calibri" w:cs="Calibri"/>
          <w:sz w:val="24"/>
          <w:szCs w:val="24"/>
        </w:rPr>
        <w:t>, and the adoption of divorce jurisdiction rules based on the domicile or ordinary residence of eith</w:t>
      </w:r>
      <w:r w:rsidR="002636BA" w:rsidRPr="00E25C19">
        <w:rPr>
          <w:rFonts w:ascii="Calibri" w:hAnsi="Calibri" w:cs="Calibri"/>
          <w:sz w:val="24"/>
          <w:szCs w:val="24"/>
        </w:rPr>
        <w:t>er party,</w:t>
      </w:r>
      <w:r w:rsidR="00C52F27" w:rsidRPr="00E25C19">
        <w:rPr>
          <w:rStyle w:val="FootnoteReference"/>
          <w:rFonts w:ascii="Calibri" w:hAnsi="Calibri" w:cs="Calibri"/>
          <w:sz w:val="24"/>
          <w:szCs w:val="24"/>
        </w:rPr>
        <w:footnoteReference w:id="1"/>
      </w:r>
      <w:r w:rsidR="00D71C3B" w:rsidRPr="00E25C19">
        <w:rPr>
          <w:rFonts w:ascii="Calibri" w:hAnsi="Calibri" w:cs="Calibri"/>
          <w:sz w:val="24"/>
          <w:szCs w:val="24"/>
        </w:rPr>
        <w:t xml:space="preserve"> the Irish High Court</w:t>
      </w:r>
      <w:r w:rsidR="002636BA" w:rsidRPr="00E25C19">
        <w:rPr>
          <w:rFonts w:ascii="Calibri" w:hAnsi="Calibri" w:cs="Calibri"/>
          <w:sz w:val="24"/>
          <w:szCs w:val="24"/>
        </w:rPr>
        <w:t xml:space="preserve"> held in 1999 </w:t>
      </w:r>
      <w:r w:rsidR="00E23E78" w:rsidRPr="00E25C19">
        <w:rPr>
          <w:rFonts w:ascii="Calibri" w:hAnsi="Calibri" w:cs="Calibri"/>
          <w:sz w:val="24"/>
          <w:szCs w:val="24"/>
        </w:rPr>
        <w:t xml:space="preserve">in </w:t>
      </w:r>
      <w:proofErr w:type="spellStart"/>
      <w:r w:rsidR="002636BA" w:rsidRPr="00E25C19">
        <w:rPr>
          <w:rFonts w:ascii="Calibri" w:hAnsi="Calibri" w:cs="Calibri"/>
          <w:i/>
          <w:sz w:val="24"/>
          <w:szCs w:val="24"/>
        </w:rPr>
        <w:t>McG</w:t>
      </w:r>
      <w:proofErr w:type="spellEnd"/>
      <w:r w:rsidR="002636BA" w:rsidRPr="00E25C19">
        <w:rPr>
          <w:rFonts w:ascii="Calibri" w:hAnsi="Calibri" w:cs="Calibri"/>
          <w:i/>
          <w:sz w:val="24"/>
          <w:szCs w:val="24"/>
        </w:rPr>
        <w:t xml:space="preserve"> v W</w:t>
      </w:r>
      <w:r w:rsidR="002636BA" w:rsidRPr="00E25C19">
        <w:rPr>
          <w:rFonts w:ascii="Calibri" w:hAnsi="Calibri" w:cs="Calibri"/>
          <w:sz w:val="24"/>
          <w:szCs w:val="24"/>
        </w:rPr>
        <w:t xml:space="preserve"> that the </w:t>
      </w:r>
      <w:r w:rsidR="00C02FFE" w:rsidRPr="00E25C19">
        <w:rPr>
          <w:rFonts w:ascii="Calibri" w:hAnsi="Calibri" w:cs="Calibri"/>
          <w:sz w:val="24"/>
          <w:szCs w:val="24"/>
        </w:rPr>
        <w:t xml:space="preserve">common law </w:t>
      </w:r>
      <w:r w:rsidR="002636BA" w:rsidRPr="00E25C19">
        <w:rPr>
          <w:rFonts w:ascii="Calibri" w:hAnsi="Calibri" w:cs="Calibri"/>
          <w:sz w:val="24"/>
          <w:szCs w:val="24"/>
        </w:rPr>
        <w:t>recognition criteria should mirror the</w:t>
      </w:r>
      <w:r w:rsidR="00597222" w:rsidRPr="00E25C19">
        <w:rPr>
          <w:rFonts w:ascii="Calibri" w:hAnsi="Calibri" w:cs="Calibri"/>
          <w:sz w:val="24"/>
          <w:szCs w:val="24"/>
        </w:rPr>
        <w:t>se jurisdictional rules.</w:t>
      </w:r>
      <w:r w:rsidR="00343EA7" w:rsidRPr="00E25C19">
        <w:rPr>
          <w:rStyle w:val="FootnoteReference"/>
          <w:rFonts w:ascii="Calibri" w:hAnsi="Calibri" w:cs="Calibri"/>
          <w:sz w:val="24"/>
          <w:szCs w:val="24"/>
        </w:rPr>
        <w:footnoteReference w:id="2"/>
      </w:r>
      <w:r w:rsidR="00597222" w:rsidRPr="00E25C19">
        <w:rPr>
          <w:rFonts w:ascii="Calibri" w:hAnsi="Calibri" w:cs="Calibri"/>
          <w:sz w:val="24"/>
          <w:szCs w:val="24"/>
        </w:rPr>
        <w:t xml:space="preserve"> </w:t>
      </w:r>
      <w:r w:rsidR="00C80FBB" w:rsidRPr="00E25C19">
        <w:rPr>
          <w:rFonts w:ascii="Calibri" w:hAnsi="Calibri" w:cs="Calibri"/>
          <w:sz w:val="24"/>
          <w:szCs w:val="24"/>
        </w:rPr>
        <w:t xml:space="preserve">In allowing for the recognition of foreign divorces on grounds of </w:t>
      </w:r>
      <w:r w:rsidR="00167500" w:rsidRPr="00E25C19">
        <w:rPr>
          <w:rFonts w:ascii="Calibri" w:hAnsi="Calibri" w:cs="Calibri"/>
          <w:i/>
          <w:sz w:val="24"/>
          <w:szCs w:val="24"/>
        </w:rPr>
        <w:t>either</w:t>
      </w:r>
      <w:r w:rsidR="00167500" w:rsidRPr="00E25C19">
        <w:rPr>
          <w:rFonts w:ascii="Calibri" w:hAnsi="Calibri" w:cs="Calibri"/>
          <w:sz w:val="24"/>
          <w:szCs w:val="24"/>
        </w:rPr>
        <w:t xml:space="preserve"> </w:t>
      </w:r>
      <w:r w:rsidR="00C80FBB" w:rsidRPr="00E25C19">
        <w:rPr>
          <w:rFonts w:ascii="Calibri" w:hAnsi="Calibri" w:cs="Calibri"/>
          <w:sz w:val="24"/>
          <w:szCs w:val="24"/>
        </w:rPr>
        <w:t>residence</w:t>
      </w:r>
      <w:r w:rsidR="00C80FBB" w:rsidRPr="00E25C19">
        <w:rPr>
          <w:rFonts w:ascii="Calibri" w:hAnsi="Calibri" w:cs="Calibri"/>
          <w:i/>
          <w:sz w:val="24"/>
          <w:szCs w:val="24"/>
        </w:rPr>
        <w:t xml:space="preserve"> or</w:t>
      </w:r>
      <w:r w:rsidR="00167500" w:rsidRPr="00E25C19">
        <w:rPr>
          <w:rFonts w:ascii="Calibri" w:hAnsi="Calibri" w:cs="Calibri"/>
          <w:sz w:val="24"/>
          <w:szCs w:val="24"/>
        </w:rPr>
        <w:t xml:space="preserve"> domicile in the granting country</w:t>
      </w:r>
      <w:r w:rsidR="00C80FBB" w:rsidRPr="00E25C19">
        <w:rPr>
          <w:rFonts w:ascii="Calibri" w:hAnsi="Calibri" w:cs="Calibri"/>
          <w:sz w:val="24"/>
          <w:szCs w:val="24"/>
        </w:rPr>
        <w:t xml:space="preserve">, </w:t>
      </w:r>
      <w:proofErr w:type="spellStart"/>
      <w:r w:rsidR="007D0387" w:rsidRPr="00E25C19">
        <w:rPr>
          <w:rFonts w:ascii="Calibri" w:hAnsi="Calibri" w:cs="Calibri"/>
          <w:i/>
          <w:sz w:val="24"/>
          <w:szCs w:val="24"/>
        </w:rPr>
        <w:t>McG</w:t>
      </w:r>
      <w:proofErr w:type="spellEnd"/>
      <w:r w:rsidR="007D0387" w:rsidRPr="00E25C19">
        <w:rPr>
          <w:rFonts w:ascii="Calibri" w:hAnsi="Calibri" w:cs="Calibri"/>
          <w:i/>
          <w:sz w:val="24"/>
          <w:szCs w:val="24"/>
        </w:rPr>
        <w:t xml:space="preserve"> v W</w:t>
      </w:r>
      <w:r w:rsidR="00C80FBB" w:rsidRPr="00E25C19">
        <w:rPr>
          <w:rFonts w:ascii="Calibri" w:hAnsi="Calibri" w:cs="Calibri"/>
          <w:sz w:val="24"/>
          <w:szCs w:val="24"/>
        </w:rPr>
        <w:t xml:space="preserve"> had the effect of liberalising Irish law on recognition of</w:t>
      </w:r>
      <w:r w:rsidR="00E23E78" w:rsidRPr="00E25C19">
        <w:rPr>
          <w:rFonts w:ascii="Calibri" w:hAnsi="Calibri" w:cs="Calibri"/>
          <w:sz w:val="24"/>
          <w:szCs w:val="24"/>
        </w:rPr>
        <w:t xml:space="preserve"> foreign divorces</w:t>
      </w:r>
      <w:r w:rsidR="001525EA" w:rsidRPr="00E25C19">
        <w:rPr>
          <w:rFonts w:ascii="Calibri" w:hAnsi="Calibri" w:cs="Calibri"/>
          <w:sz w:val="24"/>
          <w:szCs w:val="24"/>
        </w:rPr>
        <w:t xml:space="preserve"> and</w:t>
      </w:r>
      <w:r w:rsidR="0072187C" w:rsidRPr="00E25C19">
        <w:rPr>
          <w:rFonts w:ascii="Calibri" w:hAnsi="Calibri" w:cs="Calibri"/>
          <w:sz w:val="24"/>
          <w:szCs w:val="24"/>
        </w:rPr>
        <w:t xml:space="preserve"> bringing it into line with international norms</w:t>
      </w:r>
      <w:r w:rsidR="00E23E78" w:rsidRPr="00E25C19">
        <w:rPr>
          <w:rFonts w:ascii="Calibri" w:hAnsi="Calibri" w:cs="Calibri"/>
          <w:sz w:val="24"/>
          <w:szCs w:val="24"/>
        </w:rPr>
        <w:t>.</w:t>
      </w:r>
      <w:r w:rsidR="0072187C" w:rsidRPr="00E25C19">
        <w:rPr>
          <w:rStyle w:val="FootnoteReference"/>
          <w:rFonts w:ascii="Calibri" w:hAnsi="Calibri" w:cs="Calibri"/>
          <w:sz w:val="24"/>
          <w:szCs w:val="24"/>
        </w:rPr>
        <w:footnoteReference w:id="3"/>
      </w:r>
      <w:r w:rsidR="00E23E78" w:rsidRPr="00E25C19">
        <w:rPr>
          <w:rFonts w:ascii="Calibri" w:hAnsi="Calibri" w:cs="Calibri"/>
          <w:sz w:val="24"/>
          <w:szCs w:val="24"/>
        </w:rPr>
        <w:t xml:space="preserve"> </w:t>
      </w:r>
      <w:r w:rsidR="00D6472D" w:rsidRPr="00E25C19">
        <w:rPr>
          <w:rFonts w:ascii="Calibri" w:hAnsi="Calibri" w:cs="Calibri"/>
          <w:sz w:val="24"/>
          <w:szCs w:val="24"/>
        </w:rPr>
        <w:t xml:space="preserve">Following </w:t>
      </w:r>
      <w:proofErr w:type="spellStart"/>
      <w:r w:rsidR="007D0387" w:rsidRPr="00E25C19">
        <w:rPr>
          <w:rFonts w:ascii="Calibri" w:hAnsi="Calibri" w:cs="Calibri"/>
          <w:i/>
          <w:sz w:val="24"/>
          <w:szCs w:val="24"/>
        </w:rPr>
        <w:t>McG</w:t>
      </w:r>
      <w:proofErr w:type="spellEnd"/>
      <w:r w:rsidR="007D0387" w:rsidRPr="00E25C19">
        <w:rPr>
          <w:rFonts w:ascii="Calibri" w:hAnsi="Calibri" w:cs="Calibri"/>
          <w:i/>
          <w:sz w:val="24"/>
          <w:szCs w:val="24"/>
        </w:rPr>
        <w:t xml:space="preserve"> v W</w:t>
      </w:r>
      <w:r w:rsidR="00D6472D" w:rsidRPr="00E25C19">
        <w:rPr>
          <w:rFonts w:ascii="Calibri" w:hAnsi="Calibri" w:cs="Calibri"/>
          <w:i/>
          <w:sz w:val="24"/>
          <w:szCs w:val="24"/>
        </w:rPr>
        <w:t xml:space="preserve"> </w:t>
      </w:r>
      <w:r w:rsidR="00D6472D" w:rsidRPr="00E25C19">
        <w:rPr>
          <w:rFonts w:ascii="Calibri" w:hAnsi="Calibri" w:cs="Calibri"/>
          <w:sz w:val="24"/>
          <w:szCs w:val="24"/>
        </w:rPr>
        <w:t>i</w:t>
      </w:r>
      <w:r w:rsidR="008A0B84" w:rsidRPr="00E25C19">
        <w:rPr>
          <w:rFonts w:ascii="Calibri" w:hAnsi="Calibri" w:cs="Calibri"/>
          <w:sz w:val="24"/>
          <w:szCs w:val="24"/>
        </w:rPr>
        <w:t>t</w:t>
      </w:r>
      <w:r w:rsidR="00D6472D" w:rsidRPr="00E25C19">
        <w:rPr>
          <w:rFonts w:ascii="Calibri" w:hAnsi="Calibri" w:cs="Calibri"/>
          <w:sz w:val="24"/>
          <w:szCs w:val="24"/>
        </w:rPr>
        <w:t xml:space="preserve"> was no longer necessary to demonstrate</w:t>
      </w:r>
      <w:r w:rsidR="008A0B84" w:rsidRPr="00E25C19">
        <w:rPr>
          <w:rFonts w:ascii="Calibri" w:hAnsi="Calibri" w:cs="Calibri"/>
          <w:sz w:val="24"/>
          <w:szCs w:val="24"/>
        </w:rPr>
        <w:t xml:space="preserve"> the more permanent connections emb</w:t>
      </w:r>
      <w:r w:rsidR="0002627C">
        <w:rPr>
          <w:rFonts w:ascii="Calibri" w:hAnsi="Calibri" w:cs="Calibri"/>
          <w:sz w:val="24"/>
          <w:szCs w:val="24"/>
        </w:rPr>
        <w:t>odied in common law notions of “domicile”</w:t>
      </w:r>
      <w:r w:rsidR="008A0B84" w:rsidRPr="00E25C19">
        <w:rPr>
          <w:rFonts w:ascii="Calibri" w:hAnsi="Calibri" w:cs="Calibri"/>
          <w:sz w:val="24"/>
          <w:szCs w:val="24"/>
        </w:rPr>
        <w:t>;</w:t>
      </w:r>
      <w:r w:rsidR="00D6472D" w:rsidRPr="00E25C19">
        <w:rPr>
          <w:rStyle w:val="FootnoteReference"/>
          <w:rFonts w:ascii="Calibri" w:hAnsi="Calibri" w:cs="Calibri"/>
          <w:sz w:val="24"/>
          <w:szCs w:val="24"/>
        </w:rPr>
        <w:footnoteReference w:id="4"/>
      </w:r>
      <w:r w:rsidR="008A0B84" w:rsidRPr="00E25C19">
        <w:rPr>
          <w:rFonts w:ascii="Calibri" w:hAnsi="Calibri" w:cs="Calibri"/>
          <w:sz w:val="24"/>
          <w:szCs w:val="24"/>
        </w:rPr>
        <w:t xml:space="preserve"> in</w:t>
      </w:r>
      <w:r w:rsidR="00D6472D" w:rsidRPr="00E25C19">
        <w:rPr>
          <w:rFonts w:ascii="Calibri" w:hAnsi="Calibri" w:cs="Calibri"/>
          <w:sz w:val="24"/>
          <w:szCs w:val="24"/>
        </w:rPr>
        <w:t>stead it would be enough to prove</w:t>
      </w:r>
      <w:r w:rsidR="008A0B84" w:rsidRPr="00E25C19">
        <w:rPr>
          <w:rFonts w:ascii="Calibri" w:hAnsi="Calibri" w:cs="Calibri"/>
          <w:sz w:val="24"/>
          <w:szCs w:val="24"/>
        </w:rPr>
        <w:t xml:space="preserve"> that one</w:t>
      </w:r>
      <w:r w:rsidR="00D6472D" w:rsidRPr="00E25C19">
        <w:rPr>
          <w:rFonts w:ascii="Calibri" w:hAnsi="Calibri" w:cs="Calibri"/>
          <w:sz w:val="24"/>
          <w:szCs w:val="24"/>
        </w:rPr>
        <w:t xml:space="preserve"> spou</w:t>
      </w:r>
      <w:r w:rsidR="00DA102B" w:rsidRPr="00E25C19">
        <w:rPr>
          <w:rFonts w:ascii="Calibri" w:hAnsi="Calibri" w:cs="Calibri"/>
          <w:sz w:val="24"/>
          <w:szCs w:val="24"/>
        </w:rPr>
        <w:t>se resided in the granting country</w:t>
      </w:r>
      <w:r w:rsidR="00D6472D" w:rsidRPr="00E25C19">
        <w:rPr>
          <w:rFonts w:ascii="Calibri" w:hAnsi="Calibri" w:cs="Calibri"/>
          <w:sz w:val="24"/>
          <w:szCs w:val="24"/>
        </w:rPr>
        <w:t xml:space="preserve">. </w:t>
      </w:r>
      <w:r w:rsidR="001525EA" w:rsidRPr="00E25C19">
        <w:rPr>
          <w:rFonts w:ascii="Calibri" w:hAnsi="Calibri" w:cs="Calibri"/>
          <w:sz w:val="24"/>
          <w:szCs w:val="24"/>
        </w:rPr>
        <w:t xml:space="preserve">This had the practical effect of reducing the incidence of “limping marriages” (marriages which are valid and subsisting in one country but not in another). </w:t>
      </w:r>
      <w:r w:rsidR="00E23E78" w:rsidRPr="00E25C19">
        <w:rPr>
          <w:rFonts w:ascii="Calibri" w:hAnsi="Calibri" w:cs="Calibri"/>
          <w:sz w:val="24"/>
          <w:szCs w:val="24"/>
        </w:rPr>
        <w:t>However, a</w:t>
      </w:r>
      <w:r w:rsidR="00C80FBB" w:rsidRPr="00E25C19">
        <w:rPr>
          <w:rFonts w:ascii="Calibri" w:hAnsi="Calibri" w:cs="Calibri"/>
          <w:sz w:val="24"/>
          <w:szCs w:val="24"/>
        </w:rPr>
        <w:t xml:space="preserve"> subsequent </w:t>
      </w:r>
      <w:r w:rsidR="00343EA7" w:rsidRPr="00E25C19">
        <w:rPr>
          <w:rFonts w:ascii="Calibri" w:hAnsi="Calibri" w:cs="Calibri"/>
          <w:sz w:val="24"/>
          <w:szCs w:val="24"/>
        </w:rPr>
        <w:t xml:space="preserve">Irish </w:t>
      </w:r>
      <w:r w:rsidR="00E23E78" w:rsidRPr="00E25C19">
        <w:rPr>
          <w:rFonts w:ascii="Calibri" w:hAnsi="Calibri" w:cs="Calibri"/>
          <w:sz w:val="24"/>
          <w:szCs w:val="24"/>
        </w:rPr>
        <w:t>High Court judgment</w:t>
      </w:r>
      <w:r w:rsidR="00343EA7" w:rsidRPr="00E25C19">
        <w:rPr>
          <w:rStyle w:val="FootnoteReference"/>
          <w:rFonts w:ascii="Calibri" w:hAnsi="Calibri" w:cs="Calibri"/>
          <w:sz w:val="24"/>
          <w:szCs w:val="24"/>
        </w:rPr>
        <w:footnoteReference w:id="5"/>
      </w:r>
      <w:r w:rsidR="00A364A3" w:rsidRPr="00E25C19">
        <w:rPr>
          <w:rFonts w:ascii="Calibri" w:hAnsi="Calibri" w:cs="Calibri"/>
          <w:sz w:val="24"/>
          <w:szCs w:val="24"/>
        </w:rPr>
        <w:t xml:space="preserve"> cast doubt on the sound</w:t>
      </w:r>
      <w:r w:rsidR="00C80FBB" w:rsidRPr="00E25C19">
        <w:rPr>
          <w:rFonts w:ascii="Calibri" w:hAnsi="Calibri" w:cs="Calibri"/>
          <w:sz w:val="24"/>
          <w:szCs w:val="24"/>
        </w:rPr>
        <w:t xml:space="preserve">ness of </w:t>
      </w:r>
      <w:r w:rsidR="00167500" w:rsidRPr="00E25C19">
        <w:rPr>
          <w:rFonts w:ascii="Calibri" w:hAnsi="Calibri" w:cs="Calibri"/>
          <w:sz w:val="24"/>
          <w:szCs w:val="24"/>
        </w:rPr>
        <w:t xml:space="preserve">the reasoning in </w:t>
      </w:r>
      <w:proofErr w:type="spellStart"/>
      <w:r w:rsidR="007D0387" w:rsidRPr="00E25C19">
        <w:rPr>
          <w:rFonts w:ascii="Calibri" w:hAnsi="Calibri" w:cs="Calibri"/>
          <w:i/>
          <w:sz w:val="24"/>
          <w:szCs w:val="24"/>
        </w:rPr>
        <w:t>McG</w:t>
      </w:r>
      <w:proofErr w:type="spellEnd"/>
      <w:r w:rsidR="007D0387" w:rsidRPr="00E25C19">
        <w:rPr>
          <w:rFonts w:ascii="Calibri" w:hAnsi="Calibri" w:cs="Calibri"/>
          <w:i/>
          <w:sz w:val="24"/>
          <w:szCs w:val="24"/>
        </w:rPr>
        <w:t xml:space="preserve"> v W</w:t>
      </w:r>
      <w:r w:rsidR="00C80FBB" w:rsidRPr="00E25C19">
        <w:rPr>
          <w:rFonts w:ascii="Calibri" w:hAnsi="Calibri" w:cs="Calibri"/>
          <w:sz w:val="24"/>
          <w:szCs w:val="24"/>
        </w:rPr>
        <w:t xml:space="preserve"> and the Irish law on recognit</w:t>
      </w:r>
      <w:r w:rsidR="00E23E78" w:rsidRPr="00E25C19">
        <w:rPr>
          <w:rFonts w:ascii="Calibri" w:hAnsi="Calibri" w:cs="Calibri"/>
          <w:sz w:val="24"/>
          <w:szCs w:val="24"/>
        </w:rPr>
        <w:t>ion of foreign divorces fell</w:t>
      </w:r>
      <w:r w:rsidR="00C80FBB" w:rsidRPr="00E25C19">
        <w:rPr>
          <w:rFonts w:ascii="Calibri" w:hAnsi="Calibri" w:cs="Calibri"/>
          <w:sz w:val="24"/>
          <w:szCs w:val="24"/>
        </w:rPr>
        <w:t xml:space="preserve"> into a state of unce</w:t>
      </w:r>
      <w:r w:rsidR="001B6440" w:rsidRPr="00E25C19">
        <w:rPr>
          <w:rFonts w:ascii="Calibri" w:hAnsi="Calibri" w:cs="Calibri"/>
          <w:sz w:val="24"/>
          <w:szCs w:val="24"/>
        </w:rPr>
        <w:t>rtainty for more than a decade</w:t>
      </w:r>
      <w:r w:rsidR="00C80FBB" w:rsidRPr="00E25C19">
        <w:rPr>
          <w:rFonts w:ascii="Calibri" w:hAnsi="Calibri" w:cs="Calibri"/>
          <w:sz w:val="24"/>
          <w:szCs w:val="24"/>
        </w:rPr>
        <w:t xml:space="preserve">.   </w:t>
      </w:r>
    </w:p>
    <w:p w:rsidR="00FB7C0C" w:rsidRPr="00E25C19" w:rsidRDefault="00597222" w:rsidP="00883B96">
      <w:pPr>
        <w:jc w:val="both"/>
        <w:rPr>
          <w:rFonts w:ascii="Calibri" w:hAnsi="Calibri" w:cs="Calibri"/>
          <w:sz w:val="24"/>
          <w:szCs w:val="24"/>
        </w:rPr>
      </w:pPr>
      <w:r w:rsidRPr="00E25C19">
        <w:rPr>
          <w:rFonts w:ascii="Calibri" w:hAnsi="Calibri" w:cs="Calibri"/>
          <w:sz w:val="24"/>
          <w:szCs w:val="24"/>
        </w:rPr>
        <w:t>In 2015</w:t>
      </w:r>
      <w:r w:rsidR="002636BA" w:rsidRPr="00E25C19">
        <w:rPr>
          <w:rFonts w:ascii="Calibri" w:hAnsi="Calibri" w:cs="Calibri"/>
          <w:sz w:val="24"/>
          <w:szCs w:val="24"/>
        </w:rPr>
        <w:t xml:space="preserve"> in </w:t>
      </w:r>
      <w:r w:rsidR="002636BA" w:rsidRPr="00E25C19">
        <w:rPr>
          <w:rFonts w:ascii="Calibri" w:hAnsi="Calibri" w:cs="Calibri"/>
          <w:i/>
          <w:sz w:val="24"/>
          <w:szCs w:val="24"/>
        </w:rPr>
        <w:t>H v H</w:t>
      </w:r>
      <w:r w:rsidR="002636BA" w:rsidRPr="00E25C19">
        <w:rPr>
          <w:rFonts w:ascii="Calibri" w:hAnsi="Calibri" w:cs="Calibri"/>
          <w:sz w:val="24"/>
          <w:szCs w:val="24"/>
        </w:rPr>
        <w:t xml:space="preserve"> the </w:t>
      </w:r>
      <w:r w:rsidR="00343EA7" w:rsidRPr="00E25C19">
        <w:rPr>
          <w:rFonts w:ascii="Calibri" w:hAnsi="Calibri" w:cs="Calibri"/>
          <w:sz w:val="24"/>
          <w:szCs w:val="24"/>
        </w:rPr>
        <w:t xml:space="preserve">Irish </w:t>
      </w:r>
      <w:r w:rsidR="002636BA" w:rsidRPr="00E25C19">
        <w:rPr>
          <w:rFonts w:ascii="Calibri" w:hAnsi="Calibri" w:cs="Calibri"/>
          <w:sz w:val="24"/>
          <w:szCs w:val="24"/>
        </w:rPr>
        <w:t xml:space="preserve">Supreme Court was asked to determine if </w:t>
      </w:r>
      <w:proofErr w:type="spellStart"/>
      <w:r w:rsidR="002636BA" w:rsidRPr="00E25C19">
        <w:rPr>
          <w:rFonts w:ascii="Calibri" w:hAnsi="Calibri" w:cs="Calibri"/>
          <w:i/>
          <w:sz w:val="24"/>
          <w:szCs w:val="24"/>
        </w:rPr>
        <w:t>McG</w:t>
      </w:r>
      <w:proofErr w:type="spellEnd"/>
      <w:r w:rsidR="002636BA" w:rsidRPr="00E25C19">
        <w:rPr>
          <w:rFonts w:ascii="Calibri" w:hAnsi="Calibri" w:cs="Calibri"/>
          <w:i/>
          <w:sz w:val="24"/>
          <w:szCs w:val="24"/>
        </w:rPr>
        <w:t xml:space="preserve"> v W</w:t>
      </w:r>
      <w:r w:rsidR="00343EA7" w:rsidRPr="00E25C19">
        <w:rPr>
          <w:rFonts w:ascii="Calibri" w:hAnsi="Calibri" w:cs="Calibri"/>
          <w:sz w:val="24"/>
          <w:szCs w:val="24"/>
        </w:rPr>
        <w:t xml:space="preserve"> </w:t>
      </w:r>
      <w:r w:rsidR="00A364A3" w:rsidRPr="00E25C19">
        <w:rPr>
          <w:rFonts w:ascii="Calibri" w:hAnsi="Calibri" w:cs="Calibri"/>
          <w:sz w:val="24"/>
          <w:szCs w:val="24"/>
        </w:rPr>
        <w:t>was correctly decided.</w:t>
      </w:r>
      <w:r w:rsidR="00343EA7" w:rsidRPr="00E25C19">
        <w:rPr>
          <w:rStyle w:val="FootnoteReference"/>
          <w:rFonts w:ascii="Calibri" w:hAnsi="Calibri" w:cs="Calibri"/>
          <w:sz w:val="24"/>
          <w:szCs w:val="24"/>
        </w:rPr>
        <w:footnoteReference w:id="6"/>
      </w:r>
      <w:r w:rsidR="002636BA" w:rsidRPr="00E25C19">
        <w:rPr>
          <w:rFonts w:ascii="Calibri" w:hAnsi="Calibri" w:cs="Calibri"/>
          <w:sz w:val="24"/>
          <w:szCs w:val="24"/>
        </w:rPr>
        <w:t xml:space="preserve"> This question of law had been complicated somewhat by the adoption in the </w:t>
      </w:r>
      <w:r w:rsidR="002636BA" w:rsidRPr="00E25C19">
        <w:rPr>
          <w:rFonts w:ascii="Calibri" w:hAnsi="Calibri" w:cs="Calibri"/>
          <w:sz w:val="24"/>
          <w:szCs w:val="24"/>
        </w:rPr>
        <w:lastRenderedPageBreak/>
        <w:t xml:space="preserve">interim period of the Brussels II </w:t>
      </w:r>
      <w:proofErr w:type="spellStart"/>
      <w:r w:rsidR="002636BA" w:rsidRPr="00E25C19">
        <w:rPr>
          <w:rFonts w:ascii="Calibri" w:hAnsi="Calibri" w:cs="Calibri"/>
          <w:i/>
          <w:sz w:val="24"/>
          <w:szCs w:val="24"/>
        </w:rPr>
        <w:t>bis</w:t>
      </w:r>
      <w:proofErr w:type="spellEnd"/>
      <w:r w:rsidR="002636BA" w:rsidRPr="00E25C19">
        <w:rPr>
          <w:rFonts w:ascii="Calibri" w:hAnsi="Calibri" w:cs="Calibri"/>
          <w:sz w:val="24"/>
          <w:szCs w:val="24"/>
        </w:rPr>
        <w:t xml:space="preserve"> Regulation</w:t>
      </w:r>
      <w:r w:rsidR="00CC79C4" w:rsidRPr="00E25C19">
        <w:rPr>
          <w:rFonts w:ascii="Calibri" w:hAnsi="Calibri" w:cs="Calibri"/>
          <w:sz w:val="24"/>
          <w:szCs w:val="24"/>
        </w:rPr>
        <w:t>.</w:t>
      </w:r>
      <w:r w:rsidR="002F1987" w:rsidRPr="00E25C19">
        <w:rPr>
          <w:rStyle w:val="FootnoteReference"/>
          <w:rFonts w:ascii="Calibri" w:hAnsi="Calibri" w:cs="Calibri"/>
          <w:sz w:val="24"/>
          <w:szCs w:val="24"/>
        </w:rPr>
        <w:footnoteReference w:id="7"/>
      </w:r>
      <w:r w:rsidR="00CC79C4" w:rsidRPr="00E25C19">
        <w:rPr>
          <w:rFonts w:ascii="Calibri" w:hAnsi="Calibri" w:cs="Calibri"/>
          <w:sz w:val="24"/>
          <w:szCs w:val="24"/>
        </w:rPr>
        <w:t xml:space="preserve"> The Brussels II </w:t>
      </w:r>
      <w:proofErr w:type="spellStart"/>
      <w:r w:rsidR="00CC79C4" w:rsidRPr="00E25C19">
        <w:rPr>
          <w:rFonts w:ascii="Calibri" w:hAnsi="Calibri" w:cs="Calibri"/>
          <w:i/>
          <w:sz w:val="24"/>
          <w:szCs w:val="24"/>
        </w:rPr>
        <w:t>bis</w:t>
      </w:r>
      <w:proofErr w:type="spellEnd"/>
      <w:r w:rsidR="00CC79C4" w:rsidRPr="00E25C19">
        <w:rPr>
          <w:rFonts w:ascii="Calibri" w:hAnsi="Calibri" w:cs="Calibri"/>
          <w:sz w:val="24"/>
          <w:szCs w:val="24"/>
        </w:rPr>
        <w:t xml:space="preserve"> Regulation allowed</w:t>
      </w:r>
      <w:r w:rsidR="002636BA" w:rsidRPr="00E25C19">
        <w:rPr>
          <w:rFonts w:ascii="Calibri" w:hAnsi="Calibri" w:cs="Calibri"/>
          <w:sz w:val="24"/>
          <w:szCs w:val="24"/>
        </w:rPr>
        <w:t xml:space="preserve"> for automatic recognition of </w:t>
      </w:r>
      <w:r w:rsidR="008020A3" w:rsidRPr="00E25C19">
        <w:rPr>
          <w:rFonts w:ascii="Calibri" w:hAnsi="Calibri" w:cs="Calibri"/>
          <w:sz w:val="24"/>
          <w:szCs w:val="24"/>
        </w:rPr>
        <w:t xml:space="preserve">EU </w:t>
      </w:r>
      <w:r w:rsidR="002636BA" w:rsidRPr="00E25C19">
        <w:rPr>
          <w:rFonts w:ascii="Calibri" w:hAnsi="Calibri" w:cs="Calibri"/>
          <w:sz w:val="24"/>
          <w:szCs w:val="24"/>
        </w:rPr>
        <w:t>Member State divorces</w:t>
      </w:r>
      <w:r w:rsidR="00C52F27" w:rsidRPr="00E25C19">
        <w:rPr>
          <w:rFonts w:ascii="Calibri" w:hAnsi="Calibri" w:cs="Calibri"/>
          <w:sz w:val="24"/>
          <w:szCs w:val="24"/>
        </w:rPr>
        <w:t>,</w:t>
      </w:r>
      <w:r w:rsidR="002636BA" w:rsidRPr="00E25C19">
        <w:rPr>
          <w:rFonts w:ascii="Calibri" w:hAnsi="Calibri" w:cs="Calibri"/>
          <w:sz w:val="24"/>
          <w:szCs w:val="24"/>
        </w:rPr>
        <w:t xml:space="preserve"> and </w:t>
      </w:r>
      <w:r w:rsidR="00CC79C4" w:rsidRPr="00E25C19">
        <w:rPr>
          <w:rFonts w:ascii="Calibri" w:hAnsi="Calibri" w:cs="Calibri"/>
          <w:sz w:val="24"/>
          <w:szCs w:val="24"/>
        </w:rPr>
        <w:t>introduced</w:t>
      </w:r>
      <w:r w:rsidR="00923095" w:rsidRPr="00E25C19">
        <w:rPr>
          <w:rFonts w:ascii="Calibri" w:hAnsi="Calibri" w:cs="Calibri"/>
          <w:sz w:val="24"/>
          <w:szCs w:val="24"/>
        </w:rPr>
        <w:t xml:space="preserve"> new jurisdictional rules (in subs</w:t>
      </w:r>
      <w:r w:rsidR="008020A3" w:rsidRPr="00E25C19">
        <w:rPr>
          <w:rFonts w:ascii="Calibri" w:hAnsi="Calibri" w:cs="Calibri"/>
          <w:sz w:val="24"/>
          <w:szCs w:val="24"/>
        </w:rPr>
        <w:t xml:space="preserve">titution for those laid down in </w:t>
      </w:r>
      <w:r w:rsidR="00923095" w:rsidRPr="00E25C19">
        <w:rPr>
          <w:rFonts w:ascii="Calibri" w:hAnsi="Calibri" w:cs="Calibri"/>
          <w:sz w:val="24"/>
          <w:szCs w:val="24"/>
        </w:rPr>
        <w:t xml:space="preserve">the Family Law (Divorce) Act 1996). </w:t>
      </w:r>
    </w:p>
    <w:p w:rsidR="00CC79C4" w:rsidRPr="00E25C19" w:rsidRDefault="00923095" w:rsidP="00883B96">
      <w:pPr>
        <w:jc w:val="both"/>
        <w:rPr>
          <w:rFonts w:ascii="Calibri" w:hAnsi="Calibri" w:cs="Calibri"/>
          <w:sz w:val="24"/>
          <w:szCs w:val="24"/>
        </w:rPr>
      </w:pPr>
      <w:r w:rsidRPr="00E25C19">
        <w:rPr>
          <w:rFonts w:ascii="Calibri" w:hAnsi="Calibri" w:cs="Calibri"/>
          <w:sz w:val="24"/>
          <w:szCs w:val="24"/>
        </w:rPr>
        <w:t xml:space="preserve">The Supreme Court </w:t>
      </w:r>
      <w:r w:rsidR="008A0B84" w:rsidRPr="00E25C19">
        <w:rPr>
          <w:rFonts w:ascii="Calibri" w:hAnsi="Calibri" w:cs="Calibri"/>
          <w:sz w:val="24"/>
          <w:szCs w:val="24"/>
        </w:rPr>
        <w:t xml:space="preserve">in </w:t>
      </w:r>
      <w:r w:rsidR="008A0B84" w:rsidRPr="00E25C19">
        <w:rPr>
          <w:rFonts w:ascii="Calibri" w:hAnsi="Calibri" w:cs="Calibri"/>
          <w:i/>
          <w:sz w:val="24"/>
          <w:szCs w:val="24"/>
        </w:rPr>
        <w:t>H v H</w:t>
      </w:r>
      <w:r w:rsidR="008A0B84" w:rsidRPr="00E25C19">
        <w:rPr>
          <w:rFonts w:ascii="Calibri" w:hAnsi="Calibri" w:cs="Calibri"/>
          <w:sz w:val="24"/>
          <w:szCs w:val="24"/>
        </w:rPr>
        <w:t xml:space="preserve"> held (by a majority of 3:2)</w:t>
      </w:r>
      <w:r w:rsidRPr="00E25C19">
        <w:rPr>
          <w:rFonts w:ascii="Calibri" w:hAnsi="Calibri" w:cs="Calibri"/>
          <w:sz w:val="24"/>
          <w:szCs w:val="24"/>
        </w:rPr>
        <w:t xml:space="preserve"> that </w:t>
      </w:r>
      <w:proofErr w:type="spellStart"/>
      <w:r w:rsidRPr="00E25C19">
        <w:rPr>
          <w:rFonts w:ascii="Calibri" w:hAnsi="Calibri" w:cs="Calibri"/>
          <w:i/>
          <w:sz w:val="24"/>
          <w:szCs w:val="24"/>
        </w:rPr>
        <w:t>McG</w:t>
      </w:r>
      <w:proofErr w:type="spellEnd"/>
      <w:r w:rsidRPr="00E25C19">
        <w:rPr>
          <w:rFonts w:ascii="Calibri" w:hAnsi="Calibri" w:cs="Calibri"/>
          <w:i/>
          <w:sz w:val="24"/>
          <w:szCs w:val="24"/>
        </w:rPr>
        <w:t xml:space="preserve"> v W</w:t>
      </w:r>
      <w:r w:rsidR="00CC79C4" w:rsidRPr="00E25C19">
        <w:rPr>
          <w:rFonts w:ascii="Calibri" w:hAnsi="Calibri" w:cs="Calibri"/>
          <w:sz w:val="24"/>
          <w:szCs w:val="24"/>
        </w:rPr>
        <w:t xml:space="preserve"> was </w:t>
      </w:r>
      <w:r w:rsidR="00CC79C4" w:rsidRPr="00E25C19">
        <w:rPr>
          <w:rFonts w:ascii="Calibri" w:hAnsi="Calibri" w:cs="Calibri"/>
          <w:i/>
          <w:sz w:val="24"/>
          <w:szCs w:val="24"/>
        </w:rPr>
        <w:t>incorrectly</w:t>
      </w:r>
      <w:r w:rsidR="00CC79C4" w:rsidRPr="00E25C19">
        <w:rPr>
          <w:rFonts w:ascii="Calibri" w:hAnsi="Calibri" w:cs="Calibri"/>
          <w:sz w:val="24"/>
          <w:szCs w:val="24"/>
        </w:rPr>
        <w:t xml:space="preserve"> decided, thereby confirming that recognition of non-EU divorces depended </w:t>
      </w:r>
      <w:r w:rsidR="008A0B84" w:rsidRPr="00E25C19">
        <w:rPr>
          <w:rFonts w:ascii="Calibri" w:hAnsi="Calibri" w:cs="Calibri"/>
          <w:sz w:val="24"/>
          <w:szCs w:val="24"/>
        </w:rPr>
        <w:t>entirely on domicile</w:t>
      </w:r>
      <w:r w:rsidR="00CC79C4" w:rsidRPr="00E25C19">
        <w:rPr>
          <w:rFonts w:ascii="Calibri" w:hAnsi="Calibri" w:cs="Calibri"/>
          <w:sz w:val="24"/>
          <w:szCs w:val="24"/>
        </w:rPr>
        <w:t xml:space="preserve">. </w:t>
      </w:r>
      <w:r w:rsidR="008A0B84" w:rsidRPr="00E25C19">
        <w:rPr>
          <w:rFonts w:ascii="Calibri" w:hAnsi="Calibri" w:cs="Calibri"/>
          <w:sz w:val="24"/>
          <w:szCs w:val="24"/>
        </w:rPr>
        <w:t>Mere r</w:t>
      </w:r>
      <w:r w:rsidR="00CC79C4" w:rsidRPr="00E25C19">
        <w:rPr>
          <w:rFonts w:ascii="Calibri" w:hAnsi="Calibri" w:cs="Calibri"/>
          <w:sz w:val="24"/>
          <w:szCs w:val="24"/>
        </w:rPr>
        <w:t>esidence in the granting country would not justify recognition in Ireland</w:t>
      </w:r>
      <w:r w:rsidR="001473A2">
        <w:rPr>
          <w:rFonts w:ascii="Calibri" w:hAnsi="Calibri" w:cs="Calibri"/>
          <w:sz w:val="24"/>
          <w:szCs w:val="24"/>
        </w:rPr>
        <w:t>. It followed that</w:t>
      </w:r>
      <w:r w:rsidR="0072187C" w:rsidRPr="00E25C19">
        <w:rPr>
          <w:rFonts w:ascii="Calibri" w:hAnsi="Calibri" w:cs="Calibri"/>
          <w:sz w:val="24"/>
          <w:szCs w:val="24"/>
        </w:rPr>
        <w:t xml:space="preserve"> the </w:t>
      </w:r>
      <w:r w:rsidR="0002627C">
        <w:rPr>
          <w:rFonts w:ascii="Calibri" w:hAnsi="Calibri" w:cs="Calibri"/>
          <w:sz w:val="24"/>
          <w:szCs w:val="24"/>
        </w:rPr>
        <w:t xml:space="preserve">anachronistic </w:t>
      </w:r>
      <w:r w:rsidR="00BB5F7D" w:rsidRPr="00E25C19">
        <w:rPr>
          <w:rFonts w:ascii="Calibri" w:hAnsi="Calibri" w:cs="Calibri"/>
          <w:sz w:val="24"/>
          <w:szCs w:val="24"/>
        </w:rPr>
        <w:t>divorce recognition criteria</w:t>
      </w:r>
      <w:r w:rsidR="0072187C" w:rsidRPr="00E25C19">
        <w:rPr>
          <w:rFonts w:ascii="Calibri" w:hAnsi="Calibri" w:cs="Calibri"/>
          <w:sz w:val="24"/>
          <w:szCs w:val="24"/>
        </w:rPr>
        <w:t xml:space="preserve"> of the indissolubility era were to remain applicable</w:t>
      </w:r>
      <w:r w:rsidR="00CC79C4" w:rsidRPr="00E25C19">
        <w:rPr>
          <w:rFonts w:ascii="Calibri" w:hAnsi="Calibri" w:cs="Calibri"/>
          <w:sz w:val="24"/>
          <w:szCs w:val="24"/>
        </w:rPr>
        <w:t>.</w:t>
      </w:r>
    </w:p>
    <w:p w:rsidR="00883B96" w:rsidRPr="00E25C19" w:rsidRDefault="00923095" w:rsidP="00883B96">
      <w:pPr>
        <w:jc w:val="both"/>
        <w:rPr>
          <w:rFonts w:ascii="Calibri" w:hAnsi="Calibri" w:cs="Calibri"/>
          <w:sz w:val="24"/>
          <w:szCs w:val="24"/>
        </w:rPr>
      </w:pPr>
      <w:r w:rsidRPr="00E25C19">
        <w:rPr>
          <w:rFonts w:ascii="Calibri" w:hAnsi="Calibri" w:cs="Calibri"/>
          <w:sz w:val="24"/>
          <w:szCs w:val="24"/>
        </w:rPr>
        <w:t xml:space="preserve">The </w:t>
      </w:r>
      <w:r w:rsidR="00A364A3" w:rsidRPr="00E25C19">
        <w:rPr>
          <w:rFonts w:ascii="Calibri" w:hAnsi="Calibri" w:cs="Calibri"/>
          <w:sz w:val="24"/>
          <w:szCs w:val="24"/>
        </w:rPr>
        <w:t xml:space="preserve">Supreme </w:t>
      </w:r>
      <w:r w:rsidRPr="00E25C19">
        <w:rPr>
          <w:rFonts w:ascii="Calibri" w:hAnsi="Calibri" w:cs="Calibri"/>
          <w:sz w:val="24"/>
          <w:szCs w:val="24"/>
        </w:rPr>
        <w:t>Court was unanimously of the view that the existing law on recognition of foreign divorces was fundamentally flawed and in urgent need of reform,</w:t>
      </w:r>
      <w:r w:rsidR="00AA08EA" w:rsidRPr="00E25C19">
        <w:rPr>
          <w:rStyle w:val="FootnoteReference"/>
          <w:rFonts w:ascii="Calibri" w:hAnsi="Calibri" w:cs="Calibri"/>
          <w:sz w:val="24"/>
          <w:szCs w:val="24"/>
        </w:rPr>
        <w:footnoteReference w:id="8"/>
      </w:r>
      <w:r w:rsidRPr="00E25C19">
        <w:rPr>
          <w:rFonts w:ascii="Calibri" w:hAnsi="Calibri" w:cs="Calibri"/>
          <w:sz w:val="24"/>
          <w:szCs w:val="24"/>
        </w:rPr>
        <w:t xml:space="preserve"> </w:t>
      </w:r>
      <w:r w:rsidR="0002627C">
        <w:rPr>
          <w:rFonts w:ascii="Calibri" w:hAnsi="Calibri" w:cs="Calibri"/>
          <w:sz w:val="24"/>
          <w:szCs w:val="24"/>
        </w:rPr>
        <w:t>but the majority thought</w:t>
      </w:r>
      <w:r w:rsidRPr="00E25C19">
        <w:rPr>
          <w:rFonts w:ascii="Calibri" w:hAnsi="Calibri" w:cs="Calibri"/>
          <w:sz w:val="24"/>
          <w:szCs w:val="24"/>
        </w:rPr>
        <w:t xml:space="preserve"> that any reform must be implemented by the </w:t>
      </w:r>
      <w:proofErr w:type="spellStart"/>
      <w:r w:rsidRPr="00E25C19">
        <w:rPr>
          <w:rFonts w:ascii="Calibri" w:hAnsi="Calibri" w:cs="Calibri"/>
          <w:sz w:val="24"/>
          <w:szCs w:val="24"/>
        </w:rPr>
        <w:t>Oireachtas</w:t>
      </w:r>
      <w:proofErr w:type="spellEnd"/>
      <w:r w:rsidRPr="00E25C19">
        <w:rPr>
          <w:rFonts w:ascii="Calibri" w:hAnsi="Calibri" w:cs="Calibri"/>
          <w:sz w:val="24"/>
          <w:szCs w:val="24"/>
        </w:rPr>
        <w:t>.</w:t>
      </w:r>
      <w:r w:rsidR="00BE1576" w:rsidRPr="00E25C19">
        <w:rPr>
          <w:rStyle w:val="FootnoteReference"/>
          <w:rFonts w:ascii="Calibri" w:hAnsi="Calibri" w:cs="Calibri"/>
          <w:sz w:val="24"/>
          <w:szCs w:val="24"/>
        </w:rPr>
        <w:footnoteReference w:id="9"/>
      </w:r>
      <w:r w:rsidR="00AF2CAA" w:rsidRPr="00E25C19">
        <w:rPr>
          <w:rFonts w:ascii="Calibri" w:hAnsi="Calibri" w:cs="Calibri"/>
          <w:sz w:val="24"/>
          <w:szCs w:val="24"/>
        </w:rPr>
        <w:t xml:space="preserve"> </w:t>
      </w:r>
      <w:r w:rsidR="00A364A3" w:rsidRPr="00E25C19">
        <w:rPr>
          <w:rFonts w:ascii="Calibri" w:hAnsi="Calibri" w:cs="Calibri"/>
          <w:sz w:val="24"/>
          <w:szCs w:val="24"/>
        </w:rPr>
        <w:t xml:space="preserve">Dunne, Clarke and </w:t>
      </w:r>
      <w:proofErr w:type="spellStart"/>
      <w:r w:rsidR="00A364A3" w:rsidRPr="00E25C19">
        <w:rPr>
          <w:rFonts w:ascii="Calibri" w:hAnsi="Calibri" w:cs="Calibri"/>
          <w:sz w:val="24"/>
          <w:szCs w:val="24"/>
        </w:rPr>
        <w:t>Hardiman</w:t>
      </w:r>
      <w:proofErr w:type="spellEnd"/>
      <w:r w:rsidR="00A364A3" w:rsidRPr="00E25C19">
        <w:rPr>
          <w:rFonts w:ascii="Calibri" w:hAnsi="Calibri" w:cs="Calibri"/>
          <w:sz w:val="24"/>
          <w:szCs w:val="24"/>
        </w:rPr>
        <w:t xml:space="preserve"> JJ</w:t>
      </w:r>
      <w:r w:rsidR="00F603AA" w:rsidRPr="00E25C19">
        <w:rPr>
          <w:rFonts w:ascii="Calibri" w:hAnsi="Calibri" w:cs="Calibri"/>
          <w:sz w:val="24"/>
          <w:szCs w:val="24"/>
        </w:rPr>
        <w:t>.</w:t>
      </w:r>
      <w:r w:rsidR="00A364A3" w:rsidRPr="00E25C19">
        <w:rPr>
          <w:rFonts w:ascii="Calibri" w:hAnsi="Calibri" w:cs="Calibri"/>
          <w:sz w:val="24"/>
          <w:szCs w:val="24"/>
        </w:rPr>
        <w:t xml:space="preserve"> (“the majority”</w:t>
      </w:r>
      <w:r w:rsidR="0002627C">
        <w:rPr>
          <w:rFonts w:ascii="Calibri" w:hAnsi="Calibri" w:cs="Calibri"/>
          <w:sz w:val="24"/>
          <w:szCs w:val="24"/>
        </w:rPr>
        <w:t>) were of the opinion</w:t>
      </w:r>
      <w:r w:rsidR="00AF2CAA" w:rsidRPr="00E25C19">
        <w:rPr>
          <w:rFonts w:ascii="Calibri" w:hAnsi="Calibri" w:cs="Calibri"/>
          <w:sz w:val="24"/>
          <w:szCs w:val="24"/>
        </w:rPr>
        <w:t xml:space="preserve"> that the doctrine of separation of powers precluded any judicial expansion of the </w:t>
      </w:r>
      <w:r w:rsidR="007202A5" w:rsidRPr="00E25C19">
        <w:rPr>
          <w:rFonts w:ascii="Calibri" w:hAnsi="Calibri" w:cs="Calibri"/>
          <w:sz w:val="24"/>
          <w:szCs w:val="24"/>
        </w:rPr>
        <w:t xml:space="preserve">common law </w:t>
      </w:r>
      <w:r w:rsidR="00AF2CAA" w:rsidRPr="00E25C19">
        <w:rPr>
          <w:rFonts w:ascii="Calibri" w:hAnsi="Calibri" w:cs="Calibri"/>
          <w:sz w:val="24"/>
          <w:szCs w:val="24"/>
        </w:rPr>
        <w:t>grounds for recognition following the enactment of the Domicile and Recognition of Foreign Divorces Act 1986. Clarke J</w:t>
      </w:r>
      <w:r w:rsidR="006B4919" w:rsidRPr="00E25C19">
        <w:rPr>
          <w:rFonts w:ascii="Calibri" w:hAnsi="Calibri" w:cs="Calibri"/>
          <w:sz w:val="24"/>
          <w:szCs w:val="24"/>
        </w:rPr>
        <w:t>.</w:t>
      </w:r>
      <w:r w:rsidR="00AF2CAA" w:rsidRPr="00E25C19">
        <w:rPr>
          <w:rFonts w:ascii="Calibri" w:hAnsi="Calibri" w:cs="Calibri"/>
          <w:sz w:val="24"/>
          <w:szCs w:val="24"/>
        </w:rPr>
        <w:t xml:space="preserve"> (with whom </w:t>
      </w:r>
      <w:proofErr w:type="spellStart"/>
      <w:r w:rsidR="00AF2CAA" w:rsidRPr="00E25C19">
        <w:rPr>
          <w:rFonts w:ascii="Calibri" w:hAnsi="Calibri" w:cs="Calibri"/>
          <w:sz w:val="24"/>
          <w:szCs w:val="24"/>
        </w:rPr>
        <w:t>Hardiman</w:t>
      </w:r>
      <w:proofErr w:type="spellEnd"/>
      <w:r w:rsidR="00AF2CAA" w:rsidRPr="00E25C19">
        <w:rPr>
          <w:rFonts w:ascii="Calibri" w:hAnsi="Calibri" w:cs="Calibri"/>
          <w:sz w:val="24"/>
          <w:szCs w:val="24"/>
        </w:rPr>
        <w:t xml:space="preserve"> J</w:t>
      </w:r>
      <w:r w:rsidR="006B4919" w:rsidRPr="00E25C19">
        <w:rPr>
          <w:rFonts w:ascii="Calibri" w:hAnsi="Calibri" w:cs="Calibri"/>
          <w:sz w:val="24"/>
          <w:szCs w:val="24"/>
        </w:rPr>
        <w:t>.</w:t>
      </w:r>
      <w:r w:rsidR="00AF2CAA" w:rsidRPr="00E25C19">
        <w:rPr>
          <w:rFonts w:ascii="Calibri" w:hAnsi="Calibri" w:cs="Calibri"/>
          <w:sz w:val="24"/>
          <w:szCs w:val="24"/>
        </w:rPr>
        <w:t xml:space="preserve"> concurred) also express</w:t>
      </w:r>
      <w:r w:rsidR="00350F2E" w:rsidRPr="00E25C19">
        <w:rPr>
          <w:rFonts w:ascii="Calibri" w:hAnsi="Calibri" w:cs="Calibri"/>
          <w:sz w:val="24"/>
          <w:szCs w:val="24"/>
        </w:rPr>
        <w:t>ed particular co</w:t>
      </w:r>
      <w:r w:rsidR="001D0517" w:rsidRPr="00E25C19">
        <w:rPr>
          <w:rFonts w:ascii="Calibri" w:hAnsi="Calibri" w:cs="Calibri"/>
          <w:sz w:val="24"/>
          <w:szCs w:val="24"/>
        </w:rPr>
        <w:t>ncern as to the uncontrolled re</w:t>
      </w:r>
      <w:r w:rsidR="00350F2E" w:rsidRPr="00E25C19">
        <w:rPr>
          <w:rFonts w:ascii="Calibri" w:hAnsi="Calibri" w:cs="Calibri"/>
          <w:sz w:val="24"/>
          <w:szCs w:val="24"/>
        </w:rPr>
        <w:t>trospectivity</w:t>
      </w:r>
      <w:r w:rsidR="00AF2CAA" w:rsidRPr="00E25C19">
        <w:rPr>
          <w:rFonts w:ascii="Calibri" w:hAnsi="Calibri" w:cs="Calibri"/>
          <w:sz w:val="24"/>
          <w:szCs w:val="24"/>
        </w:rPr>
        <w:t xml:space="preserve"> of a judicial expansion of the divorce r</w:t>
      </w:r>
      <w:r w:rsidR="00EF70A6" w:rsidRPr="00E25C19">
        <w:rPr>
          <w:rFonts w:ascii="Calibri" w:hAnsi="Calibri" w:cs="Calibri"/>
          <w:sz w:val="24"/>
          <w:szCs w:val="24"/>
        </w:rPr>
        <w:t>ecognition criteria</w:t>
      </w:r>
      <w:r w:rsidR="00350F2E" w:rsidRPr="00E25C19">
        <w:rPr>
          <w:rFonts w:ascii="Calibri" w:hAnsi="Calibri" w:cs="Calibri"/>
          <w:sz w:val="24"/>
          <w:szCs w:val="24"/>
        </w:rPr>
        <w:t>, preferring a more nuanced legislative solution. O’Donnell J</w:t>
      </w:r>
      <w:r w:rsidR="00F603AA" w:rsidRPr="00E25C19">
        <w:rPr>
          <w:rFonts w:ascii="Calibri" w:hAnsi="Calibri" w:cs="Calibri"/>
          <w:sz w:val="24"/>
          <w:szCs w:val="24"/>
        </w:rPr>
        <w:t>.</w:t>
      </w:r>
      <w:r w:rsidR="00350F2E" w:rsidRPr="00E25C19">
        <w:rPr>
          <w:rFonts w:ascii="Calibri" w:hAnsi="Calibri" w:cs="Calibri"/>
          <w:sz w:val="24"/>
          <w:szCs w:val="24"/>
        </w:rPr>
        <w:t xml:space="preserve"> dissenting (with whom Denham C</w:t>
      </w:r>
      <w:r w:rsidR="00F603AA" w:rsidRPr="00E25C19">
        <w:rPr>
          <w:rFonts w:ascii="Calibri" w:hAnsi="Calibri" w:cs="Calibri"/>
          <w:sz w:val="24"/>
          <w:szCs w:val="24"/>
        </w:rPr>
        <w:t>.</w:t>
      </w:r>
      <w:r w:rsidR="00350F2E" w:rsidRPr="00E25C19">
        <w:rPr>
          <w:rFonts w:ascii="Calibri" w:hAnsi="Calibri" w:cs="Calibri"/>
          <w:sz w:val="24"/>
          <w:szCs w:val="24"/>
        </w:rPr>
        <w:t>J</w:t>
      </w:r>
      <w:r w:rsidR="00F603AA" w:rsidRPr="00E25C19">
        <w:rPr>
          <w:rFonts w:ascii="Calibri" w:hAnsi="Calibri" w:cs="Calibri"/>
          <w:sz w:val="24"/>
          <w:szCs w:val="24"/>
        </w:rPr>
        <w:t>.</w:t>
      </w:r>
      <w:r w:rsidR="00350F2E" w:rsidRPr="00E25C19">
        <w:rPr>
          <w:rFonts w:ascii="Calibri" w:hAnsi="Calibri" w:cs="Calibri"/>
          <w:sz w:val="24"/>
          <w:szCs w:val="24"/>
        </w:rPr>
        <w:t xml:space="preserve"> concurred) emphasised the human cost of the existing regime (insofar as it compounded the misery of marital breakdown) and the silence of the </w:t>
      </w:r>
      <w:proofErr w:type="spellStart"/>
      <w:r w:rsidR="00350F2E" w:rsidRPr="00E25C19">
        <w:rPr>
          <w:rFonts w:ascii="Calibri" w:hAnsi="Calibri" w:cs="Calibri"/>
          <w:sz w:val="24"/>
          <w:szCs w:val="24"/>
        </w:rPr>
        <w:t>Oireachtas</w:t>
      </w:r>
      <w:proofErr w:type="spellEnd"/>
      <w:r w:rsidR="00350F2E" w:rsidRPr="00E25C19">
        <w:rPr>
          <w:rFonts w:ascii="Calibri" w:hAnsi="Calibri" w:cs="Calibri"/>
          <w:sz w:val="24"/>
          <w:szCs w:val="24"/>
        </w:rPr>
        <w:t xml:space="preserve"> in the face of repeated calls for legislative intervention.</w:t>
      </w:r>
      <w:r w:rsidR="007202A5" w:rsidRPr="00E25C19">
        <w:rPr>
          <w:rStyle w:val="FootnoteReference"/>
          <w:rFonts w:ascii="Calibri" w:hAnsi="Calibri" w:cs="Calibri"/>
          <w:sz w:val="24"/>
          <w:szCs w:val="24"/>
        </w:rPr>
        <w:footnoteReference w:id="10"/>
      </w:r>
      <w:r w:rsidR="00350F2E" w:rsidRPr="00E25C19">
        <w:rPr>
          <w:rFonts w:ascii="Calibri" w:hAnsi="Calibri" w:cs="Calibri"/>
          <w:sz w:val="24"/>
          <w:szCs w:val="24"/>
        </w:rPr>
        <w:t xml:space="preserve"> </w:t>
      </w:r>
      <w:r w:rsidR="00883B96" w:rsidRPr="00E25C19">
        <w:rPr>
          <w:rFonts w:ascii="Calibri" w:hAnsi="Calibri" w:cs="Calibri"/>
          <w:sz w:val="24"/>
          <w:szCs w:val="24"/>
        </w:rPr>
        <w:t>O’Donnell J</w:t>
      </w:r>
      <w:r w:rsidR="00F603AA" w:rsidRPr="00E25C19">
        <w:rPr>
          <w:rFonts w:ascii="Calibri" w:hAnsi="Calibri" w:cs="Calibri"/>
          <w:sz w:val="24"/>
          <w:szCs w:val="24"/>
        </w:rPr>
        <w:t>.</w:t>
      </w:r>
      <w:r w:rsidR="00883B96" w:rsidRPr="00E25C19">
        <w:rPr>
          <w:rFonts w:ascii="Calibri" w:hAnsi="Calibri" w:cs="Calibri"/>
          <w:sz w:val="24"/>
          <w:szCs w:val="24"/>
        </w:rPr>
        <w:t xml:space="preserve"> also highlighted the irrationality of the continued application of restrictive domicile-based recognition rules, following the introduction of domestic divorce and the State’s participation in the Brussels II </w:t>
      </w:r>
      <w:proofErr w:type="spellStart"/>
      <w:r w:rsidR="00883B96" w:rsidRPr="00E25C19">
        <w:rPr>
          <w:rFonts w:ascii="Calibri" w:hAnsi="Calibri" w:cs="Calibri"/>
          <w:i/>
          <w:sz w:val="24"/>
          <w:szCs w:val="24"/>
        </w:rPr>
        <w:t>bis</w:t>
      </w:r>
      <w:proofErr w:type="spellEnd"/>
      <w:r w:rsidR="00883B96" w:rsidRPr="00E25C19">
        <w:rPr>
          <w:rFonts w:ascii="Calibri" w:hAnsi="Calibri" w:cs="Calibri"/>
          <w:sz w:val="24"/>
          <w:szCs w:val="24"/>
        </w:rPr>
        <w:t xml:space="preserve"> Regulation.</w:t>
      </w:r>
      <w:r w:rsidR="007202A5" w:rsidRPr="00E25C19">
        <w:rPr>
          <w:rStyle w:val="FootnoteReference"/>
          <w:rFonts w:ascii="Calibri" w:hAnsi="Calibri" w:cs="Calibri"/>
          <w:sz w:val="24"/>
          <w:szCs w:val="24"/>
        </w:rPr>
        <w:footnoteReference w:id="11"/>
      </w:r>
    </w:p>
    <w:p w:rsidR="00883B96" w:rsidRPr="00E25C19" w:rsidRDefault="00593420" w:rsidP="00883B96">
      <w:pPr>
        <w:jc w:val="both"/>
        <w:rPr>
          <w:rFonts w:ascii="Calibri" w:hAnsi="Calibri" w:cs="Calibri"/>
          <w:sz w:val="24"/>
          <w:szCs w:val="24"/>
        </w:rPr>
      </w:pPr>
      <w:r w:rsidRPr="00E25C19">
        <w:rPr>
          <w:rFonts w:ascii="Calibri" w:hAnsi="Calibri" w:cs="Calibri"/>
          <w:sz w:val="24"/>
          <w:szCs w:val="24"/>
        </w:rPr>
        <w:t>In this article</w:t>
      </w:r>
      <w:r w:rsidR="00167500" w:rsidRPr="00E25C19">
        <w:rPr>
          <w:rFonts w:ascii="Calibri" w:hAnsi="Calibri" w:cs="Calibri"/>
          <w:sz w:val="24"/>
          <w:szCs w:val="24"/>
        </w:rPr>
        <w:t>,</w:t>
      </w:r>
      <w:r w:rsidRPr="00E25C19">
        <w:rPr>
          <w:rFonts w:ascii="Calibri" w:hAnsi="Calibri" w:cs="Calibri"/>
          <w:sz w:val="24"/>
          <w:szCs w:val="24"/>
        </w:rPr>
        <w:t xml:space="preserve"> it is argued</w:t>
      </w:r>
      <w:r w:rsidR="007202A5" w:rsidRPr="00E25C19">
        <w:rPr>
          <w:rFonts w:ascii="Calibri" w:hAnsi="Calibri" w:cs="Calibri"/>
          <w:sz w:val="24"/>
          <w:szCs w:val="24"/>
        </w:rPr>
        <w:t xml:space="preserve"> that the dissenting judgment</w:t>
      </w:r>
      <w:r w:rsidR="00883B96" w:rsidRPr="00E25C19">
        <w:rPr>
          <w:rFonts w:ascii="Calibri" w:hAnsi="Calibri" w:cs="Calibri"/>
          <w:sz w:val="24"/>
          <w:szCs w:val="24"/>
        </w:rPr>
        <w:t xml:space="preserve"> of O’Donnell J</w:t>
      </w:r>
      <w:r w:rsidR="00F603AA" w:rsidRPr="00E25C19">
        <w:rPr>
          <w:rFonts w:ascii="Calibri" w:hAnsi="Calibri" w:cs="Calibri"/>
          <w:sz w:val="24"/>
          <w:szCs w:val="24"/>
        </w:rPr>
        <w:t>.</w:t>
      </w:r>
      <w:r w:rsidR="007202A5" w:rsidRPr="00E25C19">
        <w:rPr>
          <w:rFonts w:ascii="Calibri" w:hAnsi="Calibri" w:cs="Calibri"/>
          <w:sz w:val="24"/>
          <w:szCs w:val="24"/>
        </w:rPr>
        <w:t xml:space="preserve"> is</w:t>
      </w:r>
      <w:r w:rsidR="00883B96" w:rsidRPr="00E25C19">
        <w:rPr>
          <w:rFonts w:ascii="Calibri" w:hAnsi="Calibri" w:cs="Calibri"/>
          <w:sz w:val="24"/>
          <w:szCs w:val="24"/>
        </w:rPr>
        <w:t xml:space="preserve"> preferable to the approach adopted by the majority. However, </w:t>
      </w:r>
      <w:r w:rsidRPr="00E25C19">
        <w:rPr>
          <w:rFonts w:ascii="Calibri" w:hAnsi="Calibri" w:cs="Calibri"/>
          <w:sz w:val="24"/>
          <w:szCs w:val="24"/>
        </w:rPr>
        <w:t xml:space="preserve">insofar as the minority approach is anchored in English common law developments, </w:t>
      </w:r>
      <w:r w:rsidR="00883B96" w:rsidRPr="00E25C19">
        <w:rPr>
          <w:rFonts w:ascii="Calibri" w:hAnsi="Calibri" w:cs="Calibri"/>
          <w:sz w:val="24"/>
          <w:szCs w:val="24"/>
        </w:rPr>
        <w:t xml:space="preserve">it is </w:t>
      </w:r>
      <w:r w:rsidRPr="00E25C19">
        <w:rPr>
          <w:rFonts w:ascii="Calibri" w:hAnsi="Calibri" w:cs="Calibri"/>
          <w:sz w:val="24"/>
          <w:szCs w:val="24"/>
        </w:rPr>
        <w:t xml:space="preserve">submitted that </w:t>
      </w:r>
      <w:r w:rsidR="00883B96" w:rsidRPr="00E25C19">
        <w:rPr>
          <w:rFonts w:ascii="Calibri" w:hAnsi="Calibri" w:cs="Calibri"/>
          <w:sz w:val="24"/>
          <w:szCs w:val="24"/>
        </w:rPr>
        <w:t>O’Donnell J</w:t>
      </w:r>
      <w:r w:rsidR="00F603AA" w:rsidRPr="00E25C19">
        <w:rPr>
          <w:rFonts w:ascii="Calibri" w:hAnsi="Calibri" w:cs="Calibri"/>
          <w:sz w:val="24"/>
          <w:szCs w:val="24"/>
        </w:rPr>
        <w:t>.</w:t>
      </w:r>
      <w:r w:rsidR="00883B96" w:rsidRPr="00E25C19">
        <w:rPr>
          <w:rFonts w:ascii="Calibri" w:hAnsi="Calibri" w:cs="Calibri"/>
          <w:sz w:val="24"/>
          <w:szCs w:val="24"/>
        </w:rPr>
        <w:t xml:space="preserve"> </w:t>
      </w:r>
      <w:r w:rsidR="001D0517" w:rsidRPr="00E25C19">
        <w:rPr>
          <w:rFonts w:ascii="Calibri" w:hAnsi="Calibri" w:cs="Calibri"/>
          <w:sz w:val="24"/>
          <w:szCs w:val="24"/>
        </w:rPr>
        <w:t>ought to have given more</w:t>
      </w:r>
      <w:r w:rsidRPr="00E25C19">
        <w:rPr>
          <w:rFonts w:ascii="Calibri" w:hAnsi="Calibri" w:cs="Calibri"/>
          <w:sz w:val="24"/>
          <w:szCs w:val="24"/>
        </w:rPr>
        <w:t xml:space="preserve"> emphasis to the House of Lords judgment in </w:t>
      </w:r>
      <w:proofErr w:type="spellStart"/>
      <w:r w:rsidRPr="00E25C19">
        <w:rPr>
          <w:rFonts w:ascii="Calibri" w:hAnsi="Calibri" w:cs="Calibri"/>
          <w:i/>
          <w:sz w:val="24"/>
          <w:szCs w:val="24"/>
        </w:rPr>
        <w:t>Indyka</w:t>
      </w:r>
      <w:proofErr w:type="spellEnd"/>
      <w:r w:rsidRPr="00E25C19">
        <w:rPr>
          <w:rFonts w:ascii="Calibri" w:hAnsi="Calibri" w:cs="Calibri"/>
          <w:i/>
          <w:sz w:val="24"/>
          <w:szCs w:val="24"/>
        </w:rPr>
        <w:t xml:space="preserve"> v </w:t>
      </w:r>
      <w:proofErr w:type="spellStart"/>
      <w:r w:rsidRPr="00E25C19">
        <w:rPr>
          <w:rFonts w:ascii="Calibri" w:hAnsi="Calibri" w:cs="Calibri"/>
          <w:i/>
          <w:sz w:val="24"/>
          <w:szCs w:val="24"/>
        </w:rPr>
        <w:t>Indyka</w:t>
      </w:r>
      <w:proofErr w:type="spellEnd"/>
      <w:r w:rsidR="00E23E78" w:rsidRPr="00E25C19">
        <w:rPr>
          <w:rStyle w:val="FootnoteReference"/>
          <w:rFonts w:ascii="Calibri" w:hAnsi="Calibri" w:cs="Calibri"/>
          <w:i/>
          <w:sz w:val="24"/>
          <w:szCs w:val="24"/>
        </w:rPr>
        <w:footnoteReference w:id="12"/>
      </w:r>
      <w:r w:rsidRPr="00E25C19">
        <w:rPr>
          <w:rFonts w:ascii="Calibri" w:hAnsi="Calibri" w:cs="Calibri"/>
          <w:sz w:val="24"/>
          <w:szCs w:val="24"/>
        </w:rPr>
        <w:t xml:space="preserve"> and less to the earlier English Court of Appeal judgment in </w:t>
      </w:r>
      <w:r w:rsidRPr="00E25C19">
        <w:rPr>
          <w:rFonts w:ascii="Calibri" w:hAnsi="Calibri" w:cs="Calibri"/>
          <w:i/>
          <w:sz w:val="24"/>
          <w:szCs w:val="24"/>
        </w:rPr>
        <w:t>Travers v Holley</w:t>
      </w:r>
      <w:r w:rsidRPr="00E25C19">
        <w:rPr>
          <w:rFonts w:ascii="Calibri" w:hAnsi="Calibri" w:cs="Calibri"/>
          <w:sz w:val="24"/>
          <w:szCs w:val="24"/>
        </w:rPr>
        <w:t>.</w:t>
      </w:r>
      <w:r w:rsidR="00E23E78" w:rsidRPr="00E25C19">
        <w:rPr>
          <w:rStyle w:val="FootnoteReference"/>
          <w:rFonts w:ascii="Calibri" w:hAnsi="Calibri" w:cs="Calibri"/>
          <w:sz w:val="24"/>
          <w:szCs w:val="24"/>
        </w:rPr>
        <w:footnoteReference w:id="13"/>
      </w:r>
      <w:r w:rsidRPr="00E25C19">
        <w:rPr>
          <w:rFonts w:ascii="Calibri" w:hAnsi="Calibri" w:cs="Calibri"/>
          <w:sz w:val="24"/>
          <w:szCs w:val="24"/>
        </w:rPr>
        <w:t xml:space="preserve"> In following </w:t>
      </w:r>
      <w:r w:rsidRPr="00E25C19">
        <w:rPr>
          <w:rFonts w:ascii="Calibri" w:hAnsi="Calibri" w:cs="Calibri"/>
          <w:i/>
          <w:sz w:val="24"/>
          <w:szCs w:val="24"/>
        </w:rPr>
        <w:t>Travers v Holley</w:t>
      </w:r>
      <w:r w:rsidRPr="00E25C19">
        <w:rPr>
          <w:rFonts w:ascii="Calibri" w:hAnsi="Calibri" w:cs="Calibri"/>
          <w:sz w:val="24"/>
          <w:szCs w:val="24"/>
        </w:rPr>
        <w:t>, O’Donnell J</w:t>
      </w:r>
      <w:r w:rsidR="007202A5" w:rsidRPr="00E25C19">
        <w:rPr>
          <w:rFonts w:ascii="Calibri" w:hAnsi="Calibri" w:cs="Calibri"/>
          <w:sz w:val="24"/>
          <w:szCs w:val="24"/>
        </w:rPr>
        <w:t>.</w:t>
      </w:r>
      <w:r w:rsidRPr="00E25C19">
        <w:rPr>
          <w:rFonts w:ascii="Calibri" w:hAnsi="Calibri" w:cs="Calibri"/>
          <w:sz w:val="24"/>
          <w:szCs w:val="24"/>
        </w:rPr>
        <w:t xml:space="preserve"> </w:t>
      </w:r>
      <w:r w:rsidR="001C142F" w:rsidRPr="00E25C19">
        <w:rPr>
          <w:rFonts w:ascii="Calibri" w:hAnsi="Calibri" w:cs="Calibri"/>
          <w:sz w:val="24"/>
          <w:szCs w:val="24"/>
        </w:rPr>
        <w:t>overst</w:t>
      </w:r>
      <w:r w:rsidR="00DD79CE">
        <w:rPr>
          <w:rFonts w:ascii="Calibri" w:hAnsi="Calibri" w:cs="Calibri"/>
          <w:sz w:val="24"/>
          <w:szCs w:val="24"/>
        </w:rPr>
        <w:t>ated the need for symmetry</w:t>
      </w:r>
      <w:r w:rsidR="001C142F" w:rsidRPr="00E25C19">
        <w:rPr>
          <w:rFonts w:ascii="Calibri" w:hAnsi="Calibri" w:cs="Calibri"/>
          <w:sz w:val="24"/>
          <w:szCs w:val="24"/>
        </w:rPr>
        <w:t xml:space="preserve"> between jurisdiction and recognition criteria and ultimately arrived at a test which is logically indefensible.</w:t>
      </w:r>
      <w:r w:rsidR="00883B96" w:rsidRPr="00E25C19">
        <w:rPr>
          <w:rFonts w:ascii="Calibri" w:hAnsi="Calibri" w:cs="Calibri"/>
          <w:sz w:val="24"/>
          <w:szCs w:val="24"/>
        </w:rPr>
        <w:t xml:space="preserve"> </w:t>
      </w:r>
    </w:p>
    <w:p w:rsidR="001C142F" w:rsidRPr="00E25C19" w:rsidRDefault="00343EA7" w:rsidP="00883B96">
      <w:pPr>
        <w:jc w:val="both"/>
        <w:rPr>
          <w:rFonts w:ascii="Calibri" w:hAnsi="Calibri" w:cs="Calibri"/>
          <w:sz w:val="24"/>
          <w:szCs w:val="24"/>
        </w:rPr>
      </w:pPr>
      <w:r w:rsidRPr="00E25C19">
        <w:rPr>
          <w:rFonts w:ascii="Calibri" w:hAnsi="Calibri" w:cs="Calibri"/>
          <w:sz w:val="24"/>
          <w:szCs w:val="24"/>
        </w:rPr>
        <w:t>FACTS AND LEGAL BACKGROUND</w:t>
      </w:r>
      <w:r w:rsidR="001473A2">
        <w:rPr>
          <w:rFonts w:ascii="Calibri" w:hAnsi="Calibri" w:cs="Calibri"/>
          <w:sz w:val="24"/>
          <w:szCs w:val="24"/>
        </w:rPr>
        <w:t xml:space="preserve"> TO </w:t>
      </w:r>
      <w:r w:rsidR="001473A2" w:rsidRPr="00373C4A">
        <w:rPr>
          <w:rFonts w:ascii="Calibri" w:hAnsi="Calibri" w:cs="Calibri"/>
          <w:i/>
          <w:sz w:val="24"/>
          <w:szCs w:val="24"/>
        </w:rPr>
        <w:t>H v H</w:t>
      </w:r>
      <w:r w:rsidR="00E10A3F" w:rsidRPr="00E25C19">
        <w:rPr>
          <w:rFonts w:ascii="Calibri" w:hAnsi="Calibri" w:cs="Calibri"/>
          <w:sz w:val="24"/>
          <w:szCs w:val="24"/>
        </w:rPr>
        <w:t xml:space="preserve"> </w:t>
      </w:r>
    </w:p>
    <w:p w:rsidR="00542D8D" w:rsidRPr="00E25C19" w:rsidRDefault="001C142F" w:rsidP="00883B96">
      <w:pPr>
        <w:jc w:val="both"/>
        <w:rPr>
          <w:rFonts w:ascii="Calibri" w:hAnsi="Calibri" w:cs="Calibri"/>
          <w:sz w:val="24"/>
          <w:szCs w:val="24"/>
        </w:rPr>
      </w:pPr>
      <w:r w:rsidRPr="00E25C19">
        <w:rPr>
          <w:rFonts w:ascii="Calibri" w:hAnsi="Calibri" w:cs="Calibri"/>
          <w:sz w:val="24"/>
          <w:szCs w:val="24"/>
        </w:rPr>
        <w:t>The Supreme Court judgments give relatively little detail as to the underlying fac</w:t>
      </w:r>
      <w:r w:rsidR="00324337" w:rsidRPr="00E25C19">
        <w:rPr>
          <w:rFonts w:ascii="Calibri" w:hAnsi="Calibri" w:cs="Calibri"/>
          <w:sz w:val="24"/>
          <w:szCs w:val="24"/>
        </w:rPr>
        <w:t>ts</w:t>
      </w:r>
      <w:r w:rsidR="004F5E29" w:rsidRPr="00E25C19">
        <w:rPr>
          <w:rFonts w:ascii="Calibri" w:hAnsi="Calibri" w:cs="Calibri"/>
          <w:sz w:val="24"/>
          <w:szCs w:val="24"/>
        </w:rPr>
        <w:t xml:space="preserve"> in </w:t>
      </w:r>
      <w:r w:rsidR="00521357" w:rsidRPr="00E25C19">
        <w:rPr>
          <w:rFonts w:ascii="Calibri" w:hAnsi="Calibri" w:cs="Calibri"/>
          <w:i/>
          <w:sz w:val="24"/>
          <w:szCs w:val="24"/>
        </w:rPr>
        <w:t>H v H</w:t>
      </w:r>
      <w:r w:rsidR="00324337" w:rsidRPr="00E25C19">
        <w:rPr>
          <w:rFonts w:ascii="Calibri" w:hAnsi="Calibri" w:cs="Calibri"/>
          <w:sz w:val="24"/>
          <w:szCs w:val="24"/>
        </w:rPr>
        <w:t>; however, it is clear that the case</w:t>
      </w:r>
      <w:r w:rsidRPr="00E25C19">
        <w:rPr>
          <w:rFonts w:ascii="Calibri" w:hAnsi="Calibri" w:cs="Calibri"/>
          <w:sz w:val="24"/>
          <w:szCs w:val="24"/>
        </w:rPr>
        <w:t xml:space="preserve"> </w:t>
      </w:r>
      <w:r w:rsidR="00324337" w:rsidRPr="00E25C19">
        <w:rPr>
          <w:rFonts w:ascii="Calibri" w:hAnsi="Calibri" w:cs="Calibri"/>
          <w:sz w:val="24"/>
          <w:szCs w:val="24"/>
        </w:rPr>
        <w:t xml:space="preserve">concerns </w:t>
      </w:r>
      <w:r w:rsidRPr="00E25C19">
        <w:rPr>
          <w:rFonts w:ascii="Calibri" w:hAnsi="Calibri" w:cs="Calibri"/>
          <w:sz w:val="24"/>
          <w:szCs w:val="24"/>
        </w:rPr>
        <w:t xml:space="preserve">an entirely regular English divorce obtained by an </w:t>
      </w:r>
      <w:r w:rsidRPr="00E25C19">
        <w:rPr>
          <w:rFonts w:ascii="Calibri" w:hAnsi="Calibri" w:cs="Calibri"/>
          <w:sz w:val="24"/>
          <w:szCs w:val="24"/>
        </w:rPr>
        <w:lastRenderedPageBreak/>
        <w:t xml:space="preserve">Irish woman in 1982 at a time when she was a long-term resident in England. </w:t>
      </w:r>
      <w:r w:rsidR="00313467" w:rsidRPr="00E25C19">
        <w:rPr>
          <w:rFonts w:ascii="Calibri" w:hAnsi="Calibri" w:cs="Calibri"/>
          <w:sz w:val="24"/>
          <w:szCs w:val="24"/>
        </w:rPr>
        <w:t>Th</w:t>
      </w:r>
      <w:r w:rsidR="00E10A3F" w:rsidRPr="00E25C19">
        <w:rPr>
          <w:rFonts w:ascii="Calibri" w:hAnsi="Calibri" w:cs="Calibri"/>
          <w:sz w:val="24"/>
          <w:szCs w:val="24"/>
        </w:rPr>
        <w:t>e question of recognition arose</w:t>
      </w:r>
      <w:r w:rsidR="00313467" w:rsidRPr="00E25C19">
        <w:rPr>
          <w:rFonts w:ascii="Calibri" w:hAnsi="Calibri" w:cs="Calibri"/>
          <w:sz w:val="24"/>
          <w:szCs w:val="24"/>
        </w:rPr>
        <w:t xml:space="preserve"> many years later when the woman in question r</w:t>
      </w:r>
      <w:r w:rsidR="00E10A3F" w:rsidRPr="00E25C19">
        <w:rPr>
          <w:rFonts w:ascii="Calibri" w:hAnsi="Calibri" w:cs="Calibri"/>
          <w:sz w:val="24"/>
          <w:szCs w:val="24"/>
        </w:rPr>
        <w:t>eturned</w:t>
      </w:r>
      <w:r w:rsidR="00313467" w:rsidRPr="00E25C19">
        <w:rPr>
          <w:rFonts w:ascii="Calibri" w:hAnsi="Calibri" w:cs="Calibri"/>
          <w:sz w:val="24"/>
          <w:szCs w:val="24"/>
        </w:rPr>
        <w:t xml:space="preserve"> to Ireland </w:t>
      </w:r>
      <w:r w:rsidR="00E10A3F" w:rsidRPr="00E25C19">
        <w:rPr>
          <w:rFonts w:ascii="Calibri" w:hAnsi="Calibri" w:cs="Calibri"/>
          <w:sz w:val="24"/>
          <w:szCs w:val="24"/>
        </w:rPr>
        <w:t>and petitioned</w:t>
      </w:r>
      <w:r w:rsidR="00313467" w:rsidRPr="00E25C19">
        <w:rPr>
          <w:rFonts w:ascii="Calibri" w:hAnsi="Calibri" w:cs="Calibri"/>
          <w:sz w:val="24"/>
          <w:szCs w:val="24"/>
        </w:rPr>
        <w:t xml:space="preserve"> </w:t>
      </w:r>
      <w:r w:rsidR="00597222" w:rsidRPr="00E25C19">
        <w:rPr>
          <w:rFonts w:ascii="Calibri" w:hAnsi="Calibri" w:cs="Calibri"/>
          <w:sz w:val="24"/>
          <w:szCs w:val="24"/>
        </w:rPr>
        <w:t xml:space="preserve">the Irish courts for a decree of </w:t>
      </w:r>
      <w:r w:rsidR="00313467" w:rsidRPr="00E25C19">
        <w:rPr>
          <w:rFonts w:ascii="Calibri" w:hAnsi="Calibri" w:cs="Calibri"/>
          <w:sz w:val="24"/>
          <w:szCs w:val="24"/>
        </w:rPr>
        <w:t>divorc</w:t>
      </w:r>
      <w:r w:rsidR="00E10A3F" w:rsidRPr="00E25C19">
        <w:rPr>
          <w:rFonts w:ascii="Calibri" w:hAnsi="Calibri" w:cs="Calibri"/>
          <w:sz w:val="24"/>
          <w:szCs w:val="24"/>
        </w:rPr>
        <w:t>e and financial relief</w:t>
      </w:r>
      <w:r w:rsidR="006B10CA" w:rsidRPr="00E25C19">
        <w:rPr>
          <w:rFonts w:ascii="Calibri" w:hAnsi="Calibri" w:cs="Calibri"/>
          <w:sz w:val="24"/>
          <w:szCs w:val="24"/>
        </w:rPr>
        <w:t>,</w:t>
      </w:r>
      <w:r w:rsidR="00E10A3F" w:rsidRPr="00E25C19">
        <w:rPr>
          <w:rFonts w:ascii="Calibri" w:hAnsi="Calibri" w:cs="Calibri"/>
          <w:sz w:val="24"/>
          <w:szCs w:val="24"/>
        </w:rPr>
        <w:t xml:space="preserve"> and sought</w:t>
      </w:r>
      <w:r w:rsidR="00313467" w:rsidRPr="00E25C19">
        <w:rPr>
          <w:rFonts w:ascii="Calibri" w:hAnsi="Calibri" w:cs="Calibri"/>
          <w:sz w:val="24"/>
          <w:szCs w:val="24"/>
        </w:rPr>
        <w:t xml:space="preserve"> a declar</w:t>
      </w:r>
      <w:r w:rsidR="00E10A3F" w:rsidRPr="00E25C19">
        <w:rPr>
          <w:rFonts w:ascii="Calibri" w:hAnsi="Calibri" w:cs="Calibri"/>
          <w:sz w:val="24"/>
          <w:szCs w:val="24"/>
        </w:rPr>
        <w:t>ation that her English divorce wa</w:t>
      </w:r>
      <w:r w:rsidR="00313467" w:rsidRPr="00E25C19">
        <w:rPr>
          <w:rFonts w:ascii="Calibri" w:hAnsi="Calibri" w:cs="Calibri"/>
          <w:sz w:val="24"/>
          <w:szCs w:val="24"/>
        </w:rPr>
        <w:t>s not entitled to recognition</w:t>
      </w:r>
      <w:r w:rsidR="00E10A3F" w:rsidRPr="00E25C19">
        <w:rPr>
          <w:rFonts w:ascii="Calibri" w:hAnsi="Calibri" w:cs="Calibri"/>
          <w:sz w:val="24"/>
          <w:szCs w:val="24"/>
        </w:rPr>
        <w:t xml:space="preserve"> in Ireland</w:t>
      </w:r>
      <w:r w:rsidR="00313467" w:rsidRPr="00E25C19">
        <w:rPr>
          <w:rFonts w:ascii="Calibri" w:hAnsi="Calibri" w:cs="Calibri"/>
          <w:sz w:val="24"/>
          <w:szCs w:val="24"/>
        </w:rPr>
        <w:t xml:space="preserve"> because she was not domiciled in England at the date of institution of </w:t>
      </w:r>
      <w:r w:rsidR="00324337" w:rsidRPr="00E25C19">
        <w:rPr>
          <w:rFonts w:ascii="Calibri" w:hAnsi="Calibri" w:cs="Calibri"/>
          <w:sz w:val="24"/>
          <w:szCs w:val="24"/>
        </w:rPr>
        <w:t xml:space="preserve">the English </w:t>
      </w:r>
      <w:r w:rsidR="00313467" w:rsidRPr="00E25C19">
        <w:rPr>
          <w:rFonts w:ascii="Calibri" w:hAnsi="Calibri" w:cs="Calibri"/>
          <w:sz w:val="24"/>
          <w:szCs w:val="24"/>
        </w:rPr>
        <w:t>proceedings.</w:t>
      </w:r>
      <w:r w:rsidR="00E10A3F" w:rsidRPr="00E25C19">
        <w:rPr>
          <w:rFonts w:ascii="Calibri" w:hAnsi="Calibri" w:cs="Calibri"/>
          <w:sz w:val="24"/>
          <w:szCs w:val="24"/>
        </w:rPr>
        <w:t xml:space="preserve"> </w:t>
      </w:r>
    </w:p>
    <w:p w:rsidR="00D57788" w:rsidRPr="00E25C19" w:rsidRDefault="00E10A3F" w:rsidP="00883B96">
      <w:pPr>
        <w:jc w:val="both"/>
        <w:rPr>
          <w:rFonts w:ascii="Calibri" w:hAnsi="Calibri" w:cs="Calibri"/>
          <w:sz w:val="24"/>
          <w:szCs w:val="24"/>
        </w:rPr>
      </w:pPr>
      <w:r w:rsidRPr="00E25C19">
        <w:rPr>
          <w:rFonts w:ascii="Calibri" w:hAnsi="Calibri" w:cs="Calibri"/>
          <w:sz w:val="24"/>
          <w:szCs w:val="24"/>
        </w:rPr>
        <w:t xml:space="preserve">The </w:t>
      </w:r>
      <w:r w:rsidR="006B10CA" w:rsidRPr="00E25C19">
        <w:rPr>
          <w:rFonts w:ascii="Calibri" w:hAnsi="Calibri" w:cs="Calibri"/>
          <w:sz w:val="24"/>
          <w:szCs w:val="24"/>
        </w:rPr>
        <w:t xml:space="preserve">applicant </w:t>
      </w:r>
      <w:r w:rsidRPr="00E25C19">
        <w:rPr>
          <w:rFonts w:ascii="Calibri" w:hAnsi="Calibri" w:cs="Calibri"/>
          <w:sz w:val="24"/>
          <w:szCs w:val="24"/>
        </w:rPr>
        <w:t xml:space="preserve">wife sought to rely on the law as laid down by the </w:t>
      </w:r>
      <w:r w:rsidR="001473A2">
        <w:rPr>
          <w:rFonts w:ascii="Calibri" w:hAnsi="Calibri" w:cs="Calibri"/>
          <w:sz w:val="24"/>
          <w:szCs w:val="24"/>
        </w:rPr>
        <w:t xml:space="preserve">Irish </w:t>
      </w:r>
      <w:r w:rsidRPr="00E25C19">
        <w:rPr>
          <w:rFonts w:ascii="Calibri" w:hAnsi="Calibri" w:cs="Calibri"/>
          <w:sz w:val="24"/>
          <w:szCs w:val="24"/>
        </w:rPr>
        <w:t xml:space="preserve">Supreme Court in </w:t>
      </w:r>
      <w:r w:rsidRPr="00E25C19">
        <w:rPr>
          <w:rFonts w:ascii="Calibri" w:hAnsi="Calibri" w:cs="Calibri"/>
          <w:i/>
          <w:sz w:val="24"/>
          <w:szCs w:val="24"/>
        </w:rPr>
        <w:t xml:space="preserve">W v </w:t>
      </w:r>
      <w:proofErr w:type="gramStart"/>
      <w:r w:rsidRPr="00E25C19">
        <w:rPr>
          <w:rFonts w:ascii="Calibri" w:hAnsi="Calibri" w:cs="Calibri"/>
          <w:i/>
          <w:sz w:val="24"/>
          <w:szCs w:val="24"/>
        </w:rPr>
        <w:t>W</w:t>
      </w:r>
      <w:r w:rsidRPr="00E25C19">
        <w:rPr>
          <w:rFonts w:ascii="Calibri" w:hAnsi="Calibri" w:cs="Calibri"/>
          <w:sz w:val="24"/>
          <w:szCs w:val="24"/>
        </w:rPr>
        <w:t>.</w:t>
      </w:r>
      <w:r w:rsidR="00E23E78" w:rsidRPr="00E25C19">
        <w:rPr>
          <w:rStyle w:val="FootnoteReference"/>
          <w:rFonts w:ascii="Calibri" w:hAnsi="Calibri" w:cs="Calibri"/>
          <w:sz w:val="24"/>
          <w:szCs w:val="24"/>
        </w:rPr>
        <w:footnoteReference w:id="14"/>
      </w:r>
      <w:r w:rsidRPr="00E25C19">
        <w:rPr>
          <w:rFonts w:ascii="Calibri" w:hAnsi="Calibri" w:cs="Calibri"/>
          <w:sz w:val="24"/>
          <w:szCs w:val="24"/>
        </w:rPr>
        <w:t xml:space="preserve"> </w:t>
      </w:r>
      <w:r w:rsidR="00542D8D" w:rsidRPr="00E25C19">
        <w:rPr>
          <w:rFonts w:ascii="Calibri" w:hAnsi="Calibri" w:cs="Calibri"/>
          <w:sz w:val="24"/>
          <w:szCs w:val="24"/>
        </w:rPr>
        <w:t>In</w:t>
      </w:r>
      <w:proofErr w:type="gramEnd"/>
      <w:r w:rsidR="00542D8D" w:rsidRPr="00E25C19">
        <w:rPr>
          <w:rFonts w:ascii="Calibri" w:hAnsi="Calibri" w:cs="Calibri"/>
          <w:sz w:val="24"/>
          <w:szCs w:val="24"/>
        </w:rPr>
        <w:t xml:space="preserve"> </w:t>
      </w:r>
      <w:r w:rsidR="00542D8D" w:rsidRPr="00E25C19">
        <w:rPr>
          <w:rFonts w:ascii="Calibri" w:hAnsi="Calibri" w:cs="Calibri"/>
          <w:i/>
          <w:sz w:val="24"/>
          <w:szCs w:val="24"/>
        </w:rPr>
        <w:t>W v W</w:t>
      </w:r>
      <w:r w:rsidR="00542D8D" w:rsidRPr="00E25C19">
        <w:rPr>
          <w:rFonts w:ascii="Calibri" w:hAnsi="Calibri" w:cs="Calibri"/>
          <w:sz w:val="24"/>
          <w:szCs w:val="24"/>
        </w:rPr>
        <w:t xml:space="preserve"> the Supreme Court had ordained that divorces granted prior to 2 October 1986</w:t>
      </w:r>
      <w:r w:rsidR="00324337" w:rsidRPr="00E25C19">
        <w:rPr>
          <w:rStyle w:val="FootnoteReference"/>
          <w:rFonts w:ascii="Calibri" w:hAnsi="Calibri" w:cs="Calibri"/>
          <w:sz w:val="24"/>
          <w:szCs w:val="24"/>
        </w:rPr>
        <w:footnoteReference w:id="15"/>
      </w:r>
      <w:r w:rsidR="00542D8D" w:rsidRPr="00E25C19">
        <w:rPr>
          <w:rFonts w:ascii="Calibri" w:hAnsi="Calibri" w:cs="Calibri"/>
          <w:sz w:val="24"/>
          <w:szCs w:val="24"/>
        </w:rPr>
        <w:t xml:space="preserve"> should be recognised if either spouse was domiciled in the granting state at the date of institution of proceedings. This marked a departure from the traditional common law position which insisted on the divorce being granted in the jurisdiction of the common domicile but viewed the wife’s domicile as being dependent on the husband’s and</w:t>
      </w:r>
      <w:r w:rsidR="00521357" w:rsidRPr="00E25C19">
        <w:rPr>
          <w:rFonts w:ascii="Calibri" w:hAnsi="Calibri" w:cs="Calibri"/>
          <w:sz w:val="24"/>
          <w:szCs w:val="24"/>
        </w:rPr>
        <w:t>,</w:t>
      </w:r>
      <w:r w:rsidR="00542D8D" w:rsidRPr="00E25C19">
        <w:rPr>
          <w:rFonts w:ascii="Calibri" w:hAnsi="Calibri" w:cs="Calibri"/>
          <w:sz w:val="24"/>
          <w:szCs w:val="24"/>
        </w:rPr>
        <w:t xml:space="preserve"> in substance</w:t>
      </w:r>
      <w:r w:rsidR="00521357" w:rsidRPr="00E25C19">
        <w:rPr>
          <w:rFonts w:ascii="Calibri" w:hAnsi="Calibri" w:cs="Calibri"/>
          <w:sz w:val="24"/>
          <w:szCs w:val="24"/>
        </w:rPr>
        <w:t>,</w:t>
      </w:r>
      <w:r w:rsidR="00542D8D" w:rsidRPr="00E25C19">
        <w:rPr>
          <w:rFonts w:ascii="Calibri" w:hAnsi="Calibri" w:cs="Calibri"/>
          <w:sz w:val="24"/>
          <w:szCs w:val="24"/>
        </w:rPr>
        <w:t xml:space="preserve"> therefore</w:t>
      </w:r>
      <w:r w:rsidR="00521357" w:rsidRPr="00E25C19">
        <w:rPr>
          <w:rFonts w:ascii="Calibri" w:hAnsi="Calibri" w:cs="Calibri"/>
          <w:sz w:val="24"/>
          <w:szCs w:val="24"/>
        </w:rPr>
        <w:t>,</w:t>
      </w:r>
      <w:r w:rsidR="00542D8D" w:rsidRPr="00E25C19">
        <w:rPr>
          <w:rFonts w:ascii="Calibri" w:hAnsi="Calibri" w:cs="Calibri"/>
          <w:sz w:val="24"/>
          <w:szCs w:val="24"/>
        </w:rPr>
        <w:t xml:space="preserve"> made recognition contingent on the husband being domiciled </w:t>
      </w:r>
      <w:r w:rsidR="00D57788" w:rsidRPr="00E25C19">
        <w:rPr>
          <w:rFonts w:ascii="Calibri" w:hAnsi="Calibri" w:cs="Calibri"/>
          <w:sz w:val="24"/>
          <w:szCs w:val="24"/>
        </w:rPr>
        <w:t>in the granting state</w:t>
      </w:r>
      <w:r w:rsidR="00542D8D" w:rsidRPr="00E25C19">
        <w:rPr>
          <w:rFonts w:ascii="Calibri" w:hAnsi="Calibri" w:cs="Calibri"/>
          <w:sz w:val="24"/>
          <w:szCs w:val="24"/>
        </w:rPr>
        <w:t xml:space="preserve">. In </w:t>
      </w:r>
      <w:r w:rsidR="00542D8D" w:rsidRPr="00E25C19">
        <w:rPr>
          <w:rFonts w:ascii="Calibri" w:hAnsi="Calibri" w:cs="Calibri"/>
          <w:i/>
          <w:sz w:val="24"/>
          <w:szCs w:val="24"/>
        </w:rPr>
        <w:t>W v W</w:t>
      </w:r>
      <w:r w:rsidR="00542D8D" w:rsidRPr="00E25C19">
        <w:rPr>
          <w:rFonts w:ascii="Calibri" w:hAnsi="Calibri" w:cs="Calibri"/>
          <w:sz w:val="24"/>
          <w:szCs w:val="24"/>
        </w:rPr>
        <w:t xml:space="preserve"> the Supreme Court accepted that the concept of dependent domicile had not been carried over by the 1937 Constitution (insof</w:t>
      </w:r>
      <w:r w:rsidR="006B10CA" w:rsidRPr="00E25C19">
        <w:rPr>
          <w:rFonts w:ascii="Calibri" w:hAnsi="Calibri" w:cs="Calibri"/>
          <w:sz w:val="24"/>
          <w:szCs w:val="24"/>
        </w:rPr>
        <w:t>ar as it offende</w:t>
      </w:r>
      <w:r w:rsidR="008B5C2C">
        <w:rPr>
          <w:rFonts w:ascii="Calibri" w:hAnsi="Calibri" w:cs="Calibri"/>
          <w:sz w:val="24"/>
          <w:szCs w:val="24"/>
        </w:rPr>
        <w:t>d the art.</w:t>
      </w:r>
      <w:r w:rsidR="006B10CA" w:rsidRPr="00E25C19">
        <w:rPr>
          <w:rFonts w:ascii="Calibri" w:hAnsi="Calibri" w:cs="Calibri"/>
          <w:sz w:val="24"/>
          <w:szCs w:val="24"/>
        </w:rPr>
        <w:t xml:space="preserve"> 40.1 </w:t>
      </w:r>
      <w:r w:rsidR="00542D8D" w:rsidRPr="00E25C19">
        <w:rPr>
          <w:rFonts w:ascii="Calibri" w:hAnsi="Calibri" w:cs="Calibri"/>
          <w:sz w:val="24"/>
          <w:szCs w:val="24"/>
        </w:rPr>
        <w:t>equality</w:t>
      </w:r>
      <w:r w:rsidR="006B10CA" w:rsidRPr="00E25C19">
        <w:rPr>
          <w:rFonts w:ascii="Calibri" w:hAnsi="Calibri" w:cs="Calibri"/>
          <w:sz w:val="24"/>
          <w:szCs w:val="24"/>
        </w:rPr>
        <w:t xml:space="preserve"> guarantee</w:t>
      </w:r>
      <w:r w:rsidR="00542D8D" w:rsidRPr="00E25C19">
        <w:rPr>
          <w:rFonts w:ascii="Calibri" w:hAnsi="Calibri" w:cs="Calibri"/>
          <w:sz w:val="24"/>
          <w:szCs w:val="24"/>
        </w:rPr>
        <w:t>)</w:t>
      </w:r>
      <w:r w:rsidR="00D57788" w:rsidRPr="00E25C19">
        <w:rPr>
          <w:rFonts w:ascii="Calibri" w:hAnsi="Calibri" w:cs="Calibri"/>
          <w:sz w:val="24"/>
          <w:szCs w:val="24"/>
        </w:rPr>
        <w:t>. If the dependent domicile doctrine were stripped out and the common domicile doctrine were left intact</w:t>
      </w:r>
      <w:r w:rsidR="00324337" w:rsidRPr="00E25C19">
        <w:rPr>
          <w:rFonts w:ascii="Calibri" w:hAnsi="Calibri" w:cs="Calibri"/>
          <w:sz w:val="24"/>
          <w:szCs w:val="24"/>
        </w:rPr>
        <w:t>, this would have resulted in a</w:t>
      </w:r>
      <w:r w:rsidR="00D57788" w:rsidRPr="00E25C19">
        <w:rPr>
          <w:rFonts w:ascii="Calibri" w:hAnsi="Calibri" w:cs="Calibri"/>
          <w:sz w:val="24"/>
          <w:szCs w:val="24"/>
        </w:rPr>
        <w:t xml:space="preserve"> much more </w:t>
      </w:r>
      <w:r w:rsidR="001473A2">
        <w:rPr>
          <w:rFonts w:ascii="Calibri" w:hAnsi="Calibri" w:cs="Calibri"/>
          <w:sz w:val="24"/>
          <w:szCs w:val="24"/>
        </w:rPr>
        <w:t>restrictive recognition regime</w:t>
      </w:r>
      <w:r w:rsidR="00D57788" w:rsidRPr="00E25C19">
        <w:rPr>
          <w:rFonts w:ascii="Calibri" w:hAnsi="Calibri" w:cs="Calibri"/>
          <w:sz w:val="24"/>
          <w:szCs w:val="24"/>
        </w:rPr>
        <w:t xml:space="preserve"> than that which had heretofore applied </w:t>
      </w:r>
      <w:r w:rsidR="00373C4A">
        <w:rPr>
          <w:rFonts w:ascii="Calibri" w:hAnsi="Calibri" w:cs="Calibri"/>
          <w:sz w:val="24"/>
          <w:szCs w:val="24"/>
        </w:rPr>
        <w:t>(</w:t>
      </w:r>
      <w:r w:rsidR="00D57788" w:rsidRPr="00E25C19">
        <w:rPr>
          <w:rFonts w:ascii="Calibri" w:hAnsi="Calibri" w:cs="Calibri"/>
          <w:sz w:val="24"/>
          <w:szCs w:val="24"/>
        </w:rPr>
        <w:t>one which required both spouses to be independently domiciled in the granting state – and one which could not countenance any divorce recognition where spouses had differ</w:t>
      </w:r>
      <w:r w:rsidR="00A43BEA">
        <w:rPr>
          <w:rFonts w:ascii="Calibri" w:hAnsi="Calibri" w:cs="Calibri"/>
          <w:sz w:val="24"/>
          <w:szCs w:val="24"/>
        </w:rPr>
        <w:t>ent domiciles</w:t>
      </w:r>
      <w:r w:rsidR="00373C4A">
        <w:rPr>
          <w:rFonts w:ascii="Calibri" w:hAnsi="Calibri" w:cs="Calibri"/>
          <w:sz w:val="24"/>
          <w:szCs w:val="24"/>
        </w:rPr>
        <w:t>)</w:t>
      </w:r>
      <w:r w:rsidR="00D57788" w:rsidRPr="00E25C19">
        <w:rPr>
          <w:rFonts w:ascii="Calibri" w:hAnsi="Calibri" w:cs="Calibri"/>
          <w:sz w:val="24"/>
          <w:szCs w:val="24"/>
        </w:rPr>
        <w:t>. In order to avoid this</w:t>
      </w:r>
      <w:r w:rsidR="00597222" w:rsidRPr="00E25C19">
        <w:rPr>
          <w:rFonts w:ascii="Calibri" w:hAnsi="Calibri" w:cs="Calibri"/>
          <w:sz w:val="24"/>
          <w:szCs w:val="24"/>
        </w:rPr>
        <w:t xml:space="preserve"> outcome</w:t>
      </w:r>
      <w:r w:rsidR="00D57788" w:rsidRPr="00E25C19">
        <w:rPr>
          <w:rFonts w:ascii="Calibri" w:hAnsi="Calibri" w:cs="Calibri"/>
          <w:sz w:val="24"/>
          <w:szCs w:val="24"/>
        </w:rPr>
        <w:t xml:space="preserve">, the Supreme Court </w:t>
      </w:r>
      <w:r w:rsidR="00324337" w:rsidRPr="00E25C19">
        <w:rPr>
          <w:rFonts w:ascii="Calibri" w:hAnsi="Calibri" w:cs="Calibri"/>
          <w:sz w:val="24"/>
          <w:szCs w:val="24"/>
        </w:rPr>
        <w:t xml:space="preserve">in </w:t>
      </w:r>
      <w:r w:rsidR="00521357" w:rsidRPr="00E25C19">
        <w:rPr>
          <w:rFonts w:ascii="Calibri" w:hAnsi="Calibri" w:cs="Calibri"/>
          <w:i/>
          <w:sz w:val="24"/>
          <w:szCs w:val="24"/>
        </w:rPr>
        <w:t>W v W</w:t>
      </w:r>
      <w:r w:rsidR="004F5E29" w:rsidRPr="00E25C19">
        <w:rPr>
          <w:rFonts w:ascii="Calibri" w:hAnsi="Calibri" w:cs="Calibri"/>
          <w:sz w:val="24"/>
          <w:szCs w:val="24"/>
        </w:rPr>
        <w:t xml:space="preserve"> </w:t>
      </w:r>
      <w:r w:rsidR="00D57788" w:rsidRPr="00E25C19">
        <w:rPr>
          <w:rFonts w:ascii="Calibri" w:hAnsi="Calibri" w:cs="Calibri"/>
          <w:sz w:val="24"/>
          <w:szCs w:val="24"/>
        </w:rPr>
        <w:t>determined that the common law should be amended so that the domicile of either spouse in the granting state would be sufficient to support recognition. This approach chimed wi</w:t>
      </w:r>
      <w:r w:rsidR="008B5C2C">
        <w:rPr>
          <w:rFonts w:ascii="Calibri" w:hAnsi="Calibri" w:cs="Calibri"/>
          <w:sz w:val="24"/>
          <w:szCs w:val="24"/>
        </w:rPr>
        <w:t>th the rule laid down in s.</w:t>
      </w:r>
      <w:r w:rsidR="00D57788" w:rsidRPr="00E25C19">
        <w:rPr>
          <w:rFonts w:ascii="Calibri" w:hAnsi="Calibri" w:cs="Calibri"/>
          <w:sz w:val="24"/>
          <w:szCs w:val="24"/>
        </w:rPr>
        <w:t xml:space="preserve"> 5(1) of the 1986 Act for divorces granted after 2 October 1986 and it therefore had the merit of promoting consistency in divorce recognition, whether the divorce was granted before or after 2 October 1986.</w:t>
      </w:r>
    </w:p>
    <w:p w:rsidR="00FA04F4" w:rsidRPr="00E25C19" w:rsidRDefault="009C62CC" w:rsidP="0086582D">
      <w:pPr>
        <w:jc w:val="both"/>
        <w:rPr>
          <w:rFonts w:ascii="Calibri" w:hAnsi="Calibri" w:cs="Calibri"/>
          <w:sz w:val="24"/>
          <w:szCs w:val="24"/>
        </w:rPr>
      </w:pPr>
      <w:r w:rsidRPr="00E25C19">
        <w:rPr>
          <w:rFonts w:ascii="Calibri" w:hAnsi="Calibri" w:cs="Calibri"/>
          <w:sz w:val="24"/>
          <w:szCs w:val="24"/>
        </w:rPr>
        <w:t xml:space="preserve">The </w:t>
      </w:r>
      <w:r w:rsidR="006B10CA" w:rsidRPr="00E25C19">
        <w:rPr>
          <w:rFonts w:ascii="Calibri" w:hAnsi="Calibri" w:cs="Calibri"/>
          <w:sz w:val="24"/>
          <w:szCs w:val="24"/>
        </w:rPr>
        <w:t xml:space="preserve">respondent </w:t>
      </w:r>
      <w:r w:rsidRPr="00E25C19">
        <w:rPr>
          <w:rFonts w:ascii="Calibri" w:hAnsi="Calibri" w:cs="Calibri"/>
          <w:sz w:val="24"/>
          <w:szCs w:val="24"/>
        </w:rPr>
        <w:t xml:space="preserve">husband </w:t>
      </w:r>
      <w:r w:rsidR="004F5E29" w:rsidRPr="00E25C19">
        <w:rPr>
          <w:rFonts w:ascii="Calibri" w:hAnsi="Calibri" w:cs="Calibri"/>
          <w:sz w:val="24"/>
          <w:szCs w:val="24"/>
        </w:rPr>
        <w:t xml:space="preserve">in </w:t>
      </w:r>
      <w:r w:rsidR="00521357" w:rsidRPr="00E25C19">
        <w:rPr>
          <w:rFonts w:ascii="Calibri" w:hAnsi="Calibri" w:cs="Calibri"/>
          <w:i/>
          <w:sz w:val="24"/>
          <w:szCs w:val="24"/>
        </w:rPr>
        <w:t>H v H</w:t>
      </w:r>
      <w:r w:rsidR="004F5E29" w:rsidRPr="00E25C19">
        <w:rPr>
          <w:rFonts w:ascii="Calibri" w:hAnsi="Calibri" w:cs="Calibri"/>
          <w:sz w:val="24"/>
          <w:szCs w:val="24"/>
        </w:rPr>
        <w:t xml:space="preserve"> </w:t>
      </w:r>
      <w:r w:rsidRPr="00E25C19">
        <w:rPr>
          <w:rFonts w:ascii="Calibri" w:hAnsi="Calibri" w:cs="Calibri"/>
          <w:sz w:val="24"/>
          <w:szCs w:val="24"/>
        </w:rPr>
        <w:t xml:space="preserve">sought to rely on </w:t>
      </w:r>
      <w:proofErr w:type="spellStart"/>
      <w:r w:rsidRPr="00E25C19">
        <w:rPr>
          <w:rFonts w:ascii="Calibri" w:hAnsi="Calibri" w:cs="Calibri"/>
          <w:i/>
          <w:sz w:val="24"/>
          <w:szCs w:val="24"/>
        </w:rPr>
        <w:t>McG</w:t>
      </w:r>
      <w:proofErr w:type="spellEnd"/>
      <w:r w:rsidRPr="00E25C19">
        <w:rPr>
          <w:rFonts w:ascii="Calibri" w:hAnsi="Calibri" w:cs="Calibri"/>
          <w:i/>
          <w:sz w:val="24"/>
          <w:szCs w:val="24"/>
        </w:rPr>
        <w:t xml:space="preserve"> v W</w:t>
      </w:r>
      <w:r w:rsidRPr="00E25C19">
        <w:rPr>
          <w:rFonts w:ascii="Calibri" w:hAnsi="Calibri" w:cs="Calibri"/>
          <w:sz w:val="24"/>
          <w:szCs w:val="24"/>
        </w:rPr>
        <w:t xml:space="preserve"> and argued that the 1982 English divorce was entitled to recognition in Ireland because the petitioner wife was resident in England at the time of instituting proceedings</w:t>
      </w:r>
      <w:r w:rsidR="00EF23EA" w:rsidRPr="00E25C19">
        <w:rPr>
          <w:rFonts w:ascii="Calibri" w:hAnsi="Calibri" w:cs="Calibri"/>
          <w:sz w:val="24"/>
          <w:szCs w:val="24"/>
        </w:rPr>
        <w:t xml:space="preserve"> there</w:t>
      </w:r>
      <w:r w:rsidRPr="00E25C19">
        <w:rPr>
          <w:rFonts w:ascii="Calibri" w:hAnsi="Calibri" w:cs="Calibri"/>
          <w:sz w:val="24"/>
          <w:szCs w:val="24"/>
        </w:rPr>
        <w:t xml:space="preserve">. The </w:t>
      </w:r>
      <w:proofErr w:type="spellStart"/>
      <w:r w:rsidRPr="00E25C19">
        <w:rPr>
          <w:rFonts w:ascii="Calibri" w:hAnsi="Calibri" w:cs="Calibri"/>
          <w:i/>
          <w:sz w:val="24"/>
          <w:szCs w:val="24"/>
        </w:rPr>
        <w:t>McG</w:t>
      </w:r>
      <w:proofErr w:type="spellEnd"/>
      <w:r w:rsidR="0043397A" w:rsidRPr="00E25C19">
        <w:rPr>
          <w:rFonts w:ascii="Calibri" w:hAnsi="Calibri" w:cs="Calibri"/>
          <w:i/>
          <w:sz w:val="24"/>
          <w:szCs w:val="24"/>
        </w:rPr>
        <w:t xml:space="preserve"> v W</w:t>
      </w:r>
      <w:r w:rsidRPr="00E25C19">
        <w:rPr>
          <w:rFonts w:ascii="Calibri" w:hAnsi="Calibri" w:cs="Calibri"/>
          <w:sz w:val="24"/>
          <w:szCs w:val="24"/>
        </w:rPr>
        <w:t xml:space="preserve"> case had similarly involved a divorce pronounced in England in the early 1980s and McGuinness J</w:t>
      </w:r>
      <w:r w:rsidR="00EF23EA" w:rsidRPr="00E25C19">
        <w:rPr>
          <w:rFonts w:ascii="Calibri" w:hAnsi="Calibri" w:cs="Calibri"/>
          <w:sz w:val="24"/>
          <w:szCs w:val="24"/>
        </w:rPr>
        <w:t>.</w:t>
      </w:r>
      <w:r w:rsidRPr="00E25C19">
        <w:rPr>
          <w:rFonts w:ascii="Calibri" w:hAnsi="Calibri" w:cs="Calibri"/>
          <w:sz w:val="24"/>
          <w:szCs w:val="24"/>
        </w:rPr>
        <w:t xml:space="preserve"> had accepted that the divorce should be recognised in Ireland because the</w:t>
      </w:r>
      <w:r w:rsidR="00EF23EA" w:rsidRPr="00E25C19">
        <w:rPr>
          <w:rFonts w:ascii="Calibri" w:hAnsi="Calibri" w:cs="Calibri"/>
          <w:sz w:val="24"/>
          <w:szCs w:val="24"/>
        </w:rPr>
        <w:t xml:space="preserve"> wife was </w:t>
      </w:r>
      <w:r w:rsidR="00035EC0" w:rsidRPr="00E25C19">
        <w:rPr>
          <w:rFonts w:ascii="Calibri" w:hAnsi="Calibri" w:cs="Calibri"/>
          <w:sz w:val="24"/>
          <w:szCs w:val="24"/>
        </w:rPr>
        <w:t xml:space="preserve">ordinarily </w:t>
      </w:r>
      <w:r w:rsidR="00EF23EA" w:rsidRPr="00E25C19">
        <w:rPr>
          <w:rFonts w:ascii="Calibri" w:hAnsi="Calibri" w:cs="Calibri"/>
          <w:sz w:val="24"/>
          <w:szCs w:val="24"/>
        </w:rPr>
        <w:t>resident in England at the date of institution of proceedings</w:t>
      </w:r>
      <w:r w:rsidR="00BF6246" w:rsidRPr="00E25C19">
        <w:rPr>
          <w:rFonts w:ascii="Calibri" w:hAnsi="Calibri" w:cs="Calibri"/>
          <w:sz w:val="24"/>
          <w:szCs w:val="24"/>
        </w:rPr>
        <w:t xml:space="preserve">. </w:t>
      </w:r>
    </w:p>
    <w:p w:rsidR="00FA04F4" w:rsidRPr="00E25C19" w:rsidRDefault="00BF6246" w:rsidP="0086582D">
      <w:pPr>
        <w:jc w:val="both"/>
        <w:rPr>
          <w:rFonts w:ascii="Calibri" w:hAnsi="Calibri" w:cs="Calibri"/>
          <w:sz w:val="24"/>
          <w:szCs w:val="24"/>
        </w:rPr>
      </w:pPr>
      <w:r w:rsidRPr="00E25C19">
        <w:rPr>
          <w:rFonts w:ascii="Calibri" w:hAnsi="Calibri" w:cs="Calibri"/>
          <w:sz w:val="24"/>
          <w:szCs w:val="24"/>
        </w:rPr>
        <w:t xml:space="preserve">While </w:t>
      </w:r>
      <w:proofErr w:type="spellStart"/>
      <w:r w:rsidRPr="00E25C19">
        <w:rPr>
          <w:rFonts w:ascii="Calibri" w:hAnsi="Calibri" w:cs="Calibri"/>
          <w:i/>
          <w:sz w:val="24"/>
          <w:szCs w:val="24"/>
        </w:rPr>
        <w:t>McG</w:t>
      </w:r>
      <w:proofErr w:type="spellEnd"/>
      <w:r w:rsidR="0043397A" w:rsidRPr="00E25C19">
        <w:rPr>
          <w:rFonts w:ascii="Calibri" w:hAnsi="Calibri" w:cs="Calibri"/>
          <w:i/>
          <w:sz w:val="24"/>
          <w:szCs w:val="24"/>
        </w:rPr>
        <w:t xml:space="preserve"> v W</w:t>
      </w:r>
      <w:r w:rsidRPr="00E25C19">
        <w:rPr>
          <w:rFonts w:ascii="Calibri" w:hAnsi="Calibri" w:cs="Calibri"/>
          <w:sz w:val="24"/>
          <w:szCs w:val="24"/>
        </w:rPr>
        <w:t xml:space="preserve"> accepted the adequacy of residence as a basis for </w:t>
      </w:r>
      <w:r w:rsidR="00E059F6" w:rsidRPr="00E25C19">
        <w:rPr>
          <w:rFonts w:ascii="Calibri" w:hAnsi="Calibri" w:cs="Calibri"/>
          <w:sz w:val="24"/>
          <w:szCs w:val="24"/>
        </w:rPr>
        <w:t xml:space="preserve">common law </w:t>
      </w:r>
      <w:r w:rsidRPr="00E25C19">
        <w:rPr>
          <w:rFonts w:ascii="Calibri" w:hAnsi="Calibri" w:cs="Calibri"/>
          <w:sz w:val="24"/>
          <w:szCs w:val="24"/>
        </w:rPr>
        <w:t>recognition</w:t>
      </w:r>
      <w:r w:rsidR="00FA04F4" w:rsidRPr="00E25C19">
        <w:rPr>
          <w:rFonts w:ascii="Calibri" w:hAnsi="Calibri" w:cs="Calibri"/>
          <w:sz w:val="24"/>
          <w:szCs w:val="24"/>
        </w:rPr>
        <w:t xml:space="preserve"> of foreign divorces</w:t>
      </w:r>
      <w:r w:rsidRPr="00E25C19">
        <w:rPr>
          <w:rFonts w:ascii="Calibri" w:hAnsi="Calibri" w:cs="Calibri"/>
          <w:sz w:val="24"/>
          <w:szCs w:val="24"/>
        </w:rPr>
        <w:t xml:space="preserve">, the </w:t>
      </w:r>
      <w:r w:rsidRPr="00E25C19">
        <w:rPr>
          <w:rFonts w:ascii="Calibri" w:hAnsi="Calibri" w:cs="Calibri"/>
          <w:i/>
          <w:sz w:val="24"/>
          <w:szCs w:val="24"/>
        </w:rPr>
        <w:t>ratio</w:t>
      </w:r>
      <w:r w:rsidRPr="00E25C19">
        <w:rPr>
          <w:rFonts w:ascii="Calibri" w:hAnsi="Calibri" w:cs="Calibri"/>
          <w:sz w:val="24"/>
          <w:szCs w:val="24"/>
        </w:rPr>
        <w:t xml:space="preserve"> of the case is not entirely clear. McGuin</w:t>
      </w:r>
      <w:r w:rsidR="00EF23EA" w:rsidRPr="00E25C19">
        <w:rPr>
          <w:rFonts w:ascii="Calibri" w:hAnsi="Calibri" w:cs="Calibri"/>
          <w:sz w:val="24"/>
          <w:szCs w:val="24"/>
        </w:rPr>
        <w:t>n</w:t>
      </w:r>
      <w:r w:rsidRPr="00E25C19">
        <w:rPr>
          <w:rFonts w:ascii="Calibri" w:hAnsi="Calibri" w:cs="Calibri"/>
          <w:sz w:val="24"/>
          <w:szCs w:val="24"/>
        </w:rPr>
        <w:t>ess J</w:t>
      </w:r>
      <w:r w:rsidR="00EF23EA" w:rsidRPr="00E25C19">
        <w:rPr>
          <w:rFonts w:ascii="Calibri" w:hAnsi="Calibri" w:cs="Calibri"/>
          <w:sz w:val="24"/>
          <w:szCs w:val="24"/>
        </w:rPr>
        <w:t>. emphasised</w:t>
      </w:r>
      <w:r w:rsidR="00063350" w:rsidRPr="00E25C19">
        <w:rPr>
          <w:rFonts w:ascii="Calibri" w:hAnsi="Calibri" w:cs="Calibri"/>
          <w:sz w:val="24"/>
          <w:szCs w:val="24"/>
        </w:rPr>
        <w:t xml:space="preserve"> the use</w:t>
      </w:r>
      <w:r w:rsidRPr="00E25C19">
        <w:rPr>
          <w:rFonts w:ascii="Calibri" w:hAnsi="Calibri" w:cs="Calibri"/>
          <w:sz w:val="24"/>
          <w:szCs w:val="24"/>
        </w:rPr>
        <w:t xml:space="preserve"> of ordinary residence (for one year) as a jurisdiction</w:t>
      </w:r>
      <w:r w:rsidR="00EF23EA" w:rsidRPr="00E25C19">
        <w:rPr>
          <w:rFonts w:ascii="Calibri" w:hAnsi="Calibri" w:cs="Calibri"/>
          <w:sz w:val="24"/>
          <w:szCs w:val="24"/>
        </w:rPr>
        <w:t>al</w:t>
      </w:r>
      <w:r w:rsidRPr="00E25C19">
        <w:rPr>
          <w:rFonts w:ascii="Calibri" w:hAnsi="Calibri" w:cs="Calibri"/>
          <w:sz w:val="24"/>
          <w:szCs w:val="24"/>
        </w:rPr>
        <w:t xml:space="preserve"> basis for divorce in Ireland </w:t>
      </w:r>
      <w:r w:rsidR="00EF23EA" w:rsidRPr="00E25C19">
        <w:rPr>
          <w:rFonts w:ascii="Calibri" w:hAnsi="Calibri" w:cs="Calibri"/>
          <w:sz w:val="24"/>
          <w:szCs w:val="24"/>
        </w:rPr>
        <w:t>(following the coming into force of the Family Law (Divorce) Act 1996)</w:t>
      </w:r>
      <w:r w:rsidR="00035EC0" w:rsidRPr="00E25C19">
        <w:rPr>
          <w:rFonts w:ascii="Calibri" w:hAnsi="Calibri" w:cs="Calibri"/>
          <w:sz w:val="24"/>
          <w:szCs w:val="24"/>
        </w:rPr>
        <w:t xml:space="preserve">, a jurisdiction rule which mirrored that </w:t>
      </w:r>
      <w:r w:rsidRPr="00E25C19">
        <w:rPr>
          <w:rFonts w:ascii="Calibri" w:hAnsi="Calibri" w:cs="Calibri"/>
          <w:sz w:val="24"/>
          <w:szCs w:val="24"/>
        </w:rPr>
        <w:t xml:space="preserve">underpinning the grant of the </w:t>
      </w:r>
      <w:r w:rsidR="00035EC0" w:rsidRPr="00E25C19">
        <w:rPr>
          <w:rFonts w:ascii="Calibri" w:hAnsi="Calibri" w:cs="Calibri"/>
          <w:sz w:val="24"/>
          <w:szCs w:val="24"/>
        </w:rPr>
        <w:t xml:space="preserve">English </w:t>
      </w:r>
      <w:r w:rsidRPr="00E25C19">
        <w:rPr>
          <w:rFonts w:ascii="Calibri" w:hAnsi="Calibri" w:cs="Calibri"/>
          <w:sz w:val="24"/>
          <w:szCs w:val="24"/>
        </w:rPr>
        <w:t>divorce</w:t>
      </w:r>
      <w:r w:rsidR="000C5817" w:rsidRPr="00E25C19">
        <w:rPr>
          <w:rFonts w:ascii="Calibri" w:hAnsi="Calibri" w:cs="Calibri"/>
          <w:sz w:val="24"/>
          <w:szCs w:val="24"/>
        </w:rPr>
        <w:t xml:space="preserve"> in </w:t>
      </w:r>
      <w:proofErr w:type="spellStart"/>
      <w:r w:rsidR="00521357" w:rsidRPr="00E25C19">
        <w:rPr>
          <w:rFonts w:ascii="Calibri" w:hAnsi="Calibri" w:cs="Calibri"/>
          <w:i/>
          <w:sz w:val="24"/>
          <w:szCs w:val="24"/>
        </w:rPr>
        <w:t>McG</w:t>
      </w:r>
      <w:proofErr w:type="spellEnd"/>
      <w:r w:rsidR="00521357" w:rsidRPr="00E25C19">
        <w:rPr>
          <w:rFonts w:ascii="Calibri" w:hAnsi="Calibri" w:cs="Calibri"/>
          <w:i/>
          <w:sz w:val="24"/>
          <w:szCs w:val="24"/>
        </w:rPr>
        <w:t xml:space="preserve"> v W</w:t>
      </w:r>
      <w:r w:rsidR="00EF23EA" w:rsidRPr="00E25C19">
        <w:rPr>
          <w:rFonts w:ascii="Calibri" w:hAnsi="Calibri" w:cs="Calibri"/>
          <w:sz w:val="24"/>
          <w:szCs w:val="24"/>
        </w:rPr>
        <w:t>.</w:t>
      </w:r>
      <w:r w:rsidR="000C5817" w:rsidRPr="00E25C19">
        <w:rPr>
          <w:rStyle w:val="FootnoteReference"/>
          <w:rFonts w:ascii="Calibri" w:hAnsi="Calibri" w:cs="Calibri"/>
          <w:sz w:val="24"/>
          <w:szCs w:val="24"/>
        </w:rPr>
        <w:footnoteReference w:id="16"/>
      </w:r>
      <w:r w:rsidR="000C5817" w:rsidRPr="00E25C19">
        <w:rPr>
          <w:rFonts w:ascii="Calibri" w:hAnsi="Calibri" w:cs="Calibri"/>
          <w:sz w:val="24"/>
          <w:szCs w:val="24"/>
        </w:rPr>
        <w:t xml:space="preserve"> </w:t>
      </w:r>
      <w:r w:rsidR="00626148" w:rsidRPr="00E25C19">
        <w:rPr>
          <w:rFonts w:ascii="Calibri" w:hAnsi="Calibri" w:cs="Calibri"/>
          <w:sz w:val="24"/>
          <w:szCs w:val="24"/>
        </w:rPr>
        <w:t xml:space="preserve">She also referred approvingly to </w:t>
      </w:r>
      <w:r w:rsidR="00626148" w:rsidRPr="00E25C19">
        <w:rPr>
          <w:rFonts w:ascii="Calibri" w:hAnsi="Calibri" w:cs="Calibri"/>
          <w:i/>
          <w:sz w:val="24"/>
          <w:szCs w:val="24"/>
        </w:rPr>
        <w:t>Travers v Holley</w:t>
      </w:r>
      <w:r w:rsidR="00626148" w:rsidRPr="00E25C19">
        <w:rPr>
          <w:rFonts w:ascii="Calibri" w:hAnsi="Calibri" w:cs="Calibri"/>
          <w:sz w:val="24"/>
          <w:szCs w:val="24"/>
        </w:rPr>
        <w:t>,</w:t>
      </w:r>
      <w:r w:rsidR="008206D7" w:rsidRPr="00E25C19">
        <w:rPr>
          <w:rStyle w:val="FootnoteReference"/>
          <w:rFonts w:ascii="Calibri" w:hAnsi="Calibri" w:cs="Calibri"/>
          <w:sz w:val="24"/>
          <w:szCs w:val="24"/>
        </w:rPr>
        <w:footnoteReference w:id="17"/>
      </w:r>
      <w:r w:rsidR="00626148" w:rsidRPr="00E25C19">
        <w:rPr>
          <w:rFonts w:ascii="Calibri" w:hAnsi="Calibri" w:cs="Calibri"/>
          <w:sz w:val="24"/>
          <w:szCs w:val="24"/>
        </w:rPr>
        <w:t xml:space="preserve"> an English case which emphasised the need for </w:t>
      </w:r>
      <w:r w:rsidR="00626148" w:rsidRPr="00E25C19">
        <w:rPr>
          <w:rFonts w:ascii="Calibri" w:hAnsi="Calibri" w:cs="Calibri"/>
          <w:sz w:val="24"/>
          <w:szCs w:val="24"/>
        </w:rPr>
        <w:lastRenderedPageBreak/>
        <w:t>courts to “recognize a jurisdiction which they themselves claim”.</w:t>
      </w:r>
      <w:r w:rsidR="00051A89" w:rsidRPr="00E25C19">
        <w:rPr>
          <w:rStyle w:val="FootnoteReference"/>
          <w:rFonts w:ascii="Calibri" w:hAnsi="Calibri" w:cs="Calibri"/>
          <w:sz w:val="24"/>
          <w:szCs w:val="24"/>
        </w:rPr>
        <w:footnoteReference w:id="18"/>
      </w:r>
      <w:r w:rsidR="00051A89" w:rsidRPr="00E25C19">
        <w:rPr>
          <w:rFonts w:ascii="Calibri" w:hAnsi="Calibri" w:cs="Calibri"/>
          <w:sz w:val="24"/>
          <w:szCs w:val="24"/>
        </w:rPr>
        <w:t xml:space="preserve"> </w:t>
      </w:r>
      <w:r w:rsidR="008206D7" w:rsidRPr="00E25C19">
        <w:rPr>
          <w:rFonts w:ascii="Calibri" w:hAnsi="Calibri" w:cs="Calibri"/>
          <w:sz w:val="24"/>
          <w:szCs w:val="24"/>
        </w:rPr>
        <w:t>This raises</w:t>
      </w:r>
      <w:r w:rsidR="00626148" w:rsidRPr="00E25C19">
        <w:rPr>
          <w:rFonts w:ascii="Calibri" w:hAnsi="Calibri" w:cs="Calibri"/>
          <w:sz w:val="24"/>
          <w:szCs w:val="24"/>
        </w:rPr>
        <w:t xml:space="preserve"> the question as to whether the test laid down in </w:t>
      </w:r>
      <w:proofErr w:type="spellStart"/>
      <w:r w:rsidR="00626148" w:rsidRPr="00E25C19">
        <w:rPr>
          <w:rFonts w:ascii="Calibri" w:hAnsi="Calibri" w:cs="Calibri"/>
          <w:i/>
          <w:sz w:val="24"/>
          <w:szCs w:val="24"/>
        </w:rPr>
        <w:t>McG</w:t>
      </w:r>
      <w:proofErr w:type="spellEnd"/>
      <w:r w:rsidR="00626148" w:rsidRPr="00E25C19">
        <w:rPr>
          <w:rFonts w:ascii="Calibri" w:hAnsi="Calibri" w:cs="Calibri"/>
          <w:i/>
          <w:sz w:val="24"/>
          <w:szCs w:val="24"/>
        </w:rPr>
        <w:t xml:space="preserve"> v W</w:t>
      </w:r>
      <w:r w:rsidR="00626148" w:rsidRPr="00E25C19">
        <w:rPr>
          <w:rFonts w:ascii="Calibri" w:hAnsi="Calibri" w:cs="Calibri"/>
          <w:sz w:val="24"/>
          <w:szCs w:val="24"/>
        </w:rPr>
        <w:t xml:space="preserve"> permitted recognition only where the granting court’s jurisdictional rules correspond to those of the recognising court.</w:t>
      </w:r>
      <w:r w:rsidR="00051A89" w:rsidRPr="00E25C19">
        <w:rPr>
          <w:rFonts w:ascii="Calibri" w:hAnsi="Calibri" w:cs="Calibri"/>
          <w:sz w:val="24"/>
          <w:szCs w:val="24"/>
        </w:rPr>
        <w:t xml:space="preserve"> However, </w:t>
      </w:r>
      <w:r w:rsidRPr="00E25C19">
        <w:rPr>
          <w:rFonts w:ascii="Calibri" w:hAnsi="Calibri" w:cs="Calibri"/>
          <w:sz w:val="24"/>
          <w:szCs w:val="24"/>
        </w:rPr>
        <w:t>McGu</w:t>
      </w:r>
      <w:r w:rsidR="00783D5C" w:rsidRPr="00E25C19">
        <w:rPr>
          <w:rFonts w:ascii="Calibri" w:hAnsi="Calibri" w:cs="Calibri"/>
          <w:sz w:val="24"/>
          <w:szCs w:val="24"/>
        </w:rPr>
        <w:t>inness J</w:t>
      </w:r>
      <w:r w:rsidR="00D85F17" w:rsidRPr="00E25C19">
        <w:rPr>
          <w:rFonts w:ascii="Calibri" w:hAnsi="Calibri" w:cs="Calibri"/>
          <w:sz w:val="24"/>
          <w:szCs w:val="24"/>
        </w:rPr>
        <w:t>.</w:t>
      </w:r>
      <w:r w:rsidR="00783D5C" w:rsidRPr="00E25C19">
        <w:rPr>
          <w:rFonts w:ascii="Calibri" w:hAnsi="Calibri" w:cs="Calibri"/>
          <w:sz w:val="24"/>
          <w:szCs w:val="24"/>
        </w:rPr>
        <w:t xml:space="preserve"> </w:t>
      </w:r>
      <w:r w:rsidR="00D85F17" w:rsidRPr="00E25C19">
        <w:rPr>
          <w:rFonts w:ascii="Calibri" w:hAnsi="Calibri" w:cs="Calibri"/>
          <w:sz w:val="24"/>
          <w:szCs w:val="24"/>
        </w:rPr>
        <w:t xml:space="preserve">in </w:t>
      </w:r>
      <w:proofErr w:type="spellStart"/>
      <w:r w:rsidR="00521357" w:rsidRPr="00E25C19">
        <w:rPr>
          <w:rFonts w:ascii="Calibri" w:hAnsi="Calibri" w:cs="Calibri"/>
          <w:i/>
          <w:sz w:val="24"/>
          <w:szCs w:val="24"/>
        </w:rPr>
        <w:t>McG</w:t>
      </w:r>
      <w:proofErr w:type="spellEnd"/>
      <w:r w:rsidR="00521357" w:rsidRPr="00E25C19">
        <w:rPr>
          <w:rFonts w:ascii="Calibri" w:hAnsi="Calibri" w:cs="Calibri"/>
          <w:i/>
          <w:sz w:val="24"/>
          <w:szCs w:val="24"/>
        </w:rPr>
        <w:t xml:space="preserve"> v W</w:t>
      </w:r>
      <w:r w:rsidR="00D85F17" w:rsidRPr="00E25C19">
        <w:rPr>
          <w:rFonts w:ascii="Calibri" w:hAnsi="Calibri" w:cs="Calibri"/>
          <w:sz w:val="24"/>
          <w:szCs w:val="24"/>
        </w:rPr>
        <w:t xml:space="preserve"> </w:t>
      </w:r>
      <w:r w:rsidR="00783D5C" w:rsidRPr="00E25C19">
        <w:rPr>
          <w:rFonts w:ascii="Calibri" w:hAnsi="Calibri" w:cs="Calibri"/>
          <w:sz w:val="24"/>
          <w:szCs w:val="24"/>
        </w:rPr>
        <w:t xml:space="preserve">also referred </w:t>
      </w:r>
      <w:r w:rsidR="00D85F17" w:rsidRPr="00E25C19">
        <w:rPr>
          <w:rFonts w:ascii="Calibri" w:hAnsi="Calibri" w:cs="Calibri"/>
          <w:sz w:val="24"/>
          <w:szCs w:val="24"/>
        </w:rPr>
        <w:t>approvingly</w:t>
      </w:r>
      <w:r w:rsidR="00547D84" w:rsidRPr="00E25C19">
        <w:rPr>
          <w:rStyle w:val="FootnoteReference"/>
          <w:rFonts w:ascii="Calibri" w:hAnsi="Calibri" w:cs="Calibri"/>
          <w:sz w:val="24"/>
          <w:szCs w:val="24"/>
        </w:rPr>
        <w:footnoteReference w:id="19"/>
      </w:r>
      <w:r w:rsidR="00D85F17" w:rsidRPr="00E25C19">
        <w:rPr>
          <w:rFonts w:ascii="Calibri" w:hAnsi="Calibri" w:cs="Calibri"/>
          <w:sz w:val="24"/>
          <w:szCs w:val="24"/>
        </w:rPr>
        <w:t xml:space="preserve"> </w:t>
      </w:r>
      <w:r w:rsidR="00783D5C" w:rsidRPr="00E25C19">
        <w:rPr>
          <w:rFonts w:ascii="Calibri" w:hAnsi="Calibri" w:cs="Calibri"/>
          <w:sz w:val="24"/>
          <w:szCs w:val="24"/>
        </w:rPr>
        <w:t>to</w:t>
      </w:r>
      <w:r w:rsidR="008206D7" w:rsidRPr="00E25C19">
        <w:rPr>
          <w:rFonts w:ascii="Calibri" w:hAnsi="Calibri" w:cs="Calibri"/>
          <w:sz w:val="24"/>
          <w:szCs w:val="24"/>
        </w:rPr>
        <w:t xml:space="preserve"> the House of Lords decision in</w:t>
      </w:r>
      <w:r w:rsidR="00783D5C" w:rsidRPr="00E25C19">
        <w:rPr>
          <w:rFonts w:ascii="Calibri" w:hAnsi="Calibri" w:cs="Calibri"/>
          <w:sz w:val="24"/>
          <w:szCs w:val="24"/>
        </w:rPr>
        <w:t xml:space="preserve"> </w:t>
      </w:r>
      <w:proofErr w:type="spellStart"/>
      <w:r w:rsidR="00783D5C" w:rsidRPr="00E25C19">
        <w:rPr>
          <w:rFonts w:ascii="Calibri" w:hAnsi="Calibri" w:cs="Calibri"/>
          <w:i/>
          <w:sz w:val="24"/>
          <w:szCs w:val="24"/>
        </w:rPr>
        <w:t>Indyka</w:t>
      </w:r>
      <w:proofErr w:type="spellEnd"/>
      <w:r w:rsidR="00D85F17" w:rsidRPr="00E25C19">
        <w:rPr>
          <w:rFonts w:ascii="Calibri" w:hAnsi="Calibri" w:cs="Calibri"/>
          <w:i/>
          <w:sz w:val="24"/>
          <w:szCs w:val="24"/>
        </w:rPr>
        <w:t xml:space="preserve"> v </w:t>
      </w:r>
      <w:proofErr w:type="spellStart"/>
      <w:r w:rsidR="00D85F17" w:rsidRPr="00E25C19">
        <w:rPr>
          <w:rFonts w:ascii="Calibri" w:hAnsi="Calibri" w:cs="Calibri"/>
          <w:i/>
          <w:sz w:val="24"/>
          <w:szCs w:val="24"/>
        </w:rPr>
        <w:t>Indyka</w:t>
      </w:r>
      <w:proofErr w:type="spellEnd"/>
      <w:r w:rsidR="00D85F17" w:rsidRPr="00E25C19">
        <w:rPr>
          <w:rFonts w:ascii="Calibri" w:hAnsi="Calibri" w:cs="Calibri"/>
          <w:sz w:val="24"/>
          <w:szCs w:val="24"/>
        </w:rPr>
        <w:t xml:space="preserve"> which sanctioned recognition on the basis of a real and substantial co</w:t>
      </w:r>
      <w:r w:rsidR="00051A89" w:rsidRPr="00E25C19">
        <w:rPr>
          <w:rFonts w:ascii="Calibri" w:hAnsi="Calibri" w:cs="Calibri"/>
          <w:sz w:val="24"/>
          <w:szCs w:val="24"/>
        </w:rPr>
        <w:t>nnection to the granting court</w:t>
      </w:r>
      <w:r w:rsidR="008206D7" w:rsidRPr="00E25C19">
        <w:rPr>
          <w:rFonts w:ascii="Calibri" w:hAnsi="Calibri" w:cs="Calibri"/>
          <w:sz w:val="24"/>
          <w:szCs w:val="24"/>
        </w:rPr>
        <w:t>,</w:t>
      </w:r>
      <w:r w:rsidR="00051A89" w:rsidRPr="00E25C19">
        <w:rPr>
          <w:rFonts w:ascii="Calibri" w:hAnsi="Calibri" w:cs="Calibri"/>
          <w:sz w:val="24"/>
          <w:szCs w:val="24"/>
        </w:rPr>
        <w:t xml:space="preserve"> </w:t>
      </w:r>
      <w:r w:rsidR="00D85F17" w:rsidRPr="00E25C19">
        <w:rPr>
          <w:rFonts w:ascii="Calibri" w:hAnsi="Calibri" w:cs="Calibri"/>
          <w:sz w:val="24"/>
          <w:szCs w:val="24"/>
        </w:rPr>
        <w:t xml:space="preserve">without requiring any correspondence between the jurisdiction rules of the </w:t>
      </w:r>
      <w:r w:rsidR="00051A89" w:rsidRPr="00E25C19">
        <w:rPr>
          <w:rFonts w:ascii="Calibri" w:hAnsi="Calibri" w:cs="Calibri"/>
          <w:sz w:val="24"/>
          <w:szCs w:val="24"/>
        </w:rPr>
        <w:t>granting and recognising courts</w:t>
      </w:r>
      <w:r w:rsidR="00D85F17" w:rsidRPr="00E25C19">
        <w:rPr>
          <w:rFonts w:ascii="Calibri" w:hAnsi="Calibri" w:cs="Calibri"/>
          <w:sz w:val="24"/>
          <w:szCs w:val="24"/>
        </w:rPr>
        <w:t>.</w:t>
      </w:r>
      <w:r w:rsidR="00746B17" w:rsidRPr="00E25C19">
        <w:rPr>
          <w:rStyle w:val="FootnoteReference"/>
          <w:rFonts w:ascii="Calibri" w:hAnsi="Calibri" w:cs="Calibri"/>
          <w:sz w:val="24"/>
          <w:szCs w:val="24"/>
        </w:rPr>
        <w:footnoteReference w:id="20"/>
      </w:r>
      <w:r w:rsidR="009C62CC" w:rsidRPr="00E25C19">
        <w:rPr>
          <w:rFonts w:ascii="Calibri" w:hAnsi="Calibri" w:cs="Calibri"/>
          <w:sz w:val="24"/>
          <w:szCs w:val="24"/>
        </w:rPr>
        <w:t xml:space="preserve"> </w:t>
      </w:r>
    </w:p>
    <w:p w:rsidR="005D3B78" w:rsidRPr="00E25C19" w:rsidRDefault="00521357" w:rsidP="0086582D">
      <w:pPr>
        <w:jc w:val="both"/>
        <w:rPr>
          <w:rFonts w:ascii="Calibri" w:hAnsi="Calibri" w:cs="Calibri"/>
          <w:sz w:val="24"/>
          <w:szCs w:val="24"/>
        </w:rPr>
      </w:pPr>
      <w:proofErr w:type="spellStart"/>
      <w:r w:rsidRPr="00E25C19">
        <w:rPr>
          <w:rFonts w:ascii="Calibri" w:hAnsi="Calibri" w:cs="Calibri"/>
          <w:i/>
          <w:sz w:val="24"/>
          <w:szCs w:val="24"/>
        </w:rPr>
        <w:t>McG</w:t>
      </w:r>
      <w:proofErr w:type="spellEnd"/>
      <w:r w:rsidRPr="00E25C19">
        <w:rPr>
          <w:rFonts w:ascii="Calibri" w:hAnsi="Calibri" w:cs="Calibri"/>
          <w:i/>
          <w:sz w:val="24"/>
          <w:szCs w:val="24"/>
        </w:rPr>
        <w:t xml:space="preserve"> v W</w:t>
      </w:r>
      <w:r w:rsidR="00B5633E" w:rsidRPr="00E25C19">
        <w:rPr>
          <w:rFonts w:ascii="Calibri" w:hAnsi="Calibri" w:cs="Calibri"/>
          <w:sz w:val="24"/>
          <w:szCs w:val="24"/>
        </w:rPr>
        <w:t xml:space="preserve"> </w:t>
      </w:r>
      <w:r w:rsidR="00051A89" w:rsidRPr="00E25C19">
        <w:rPr>
          <w:rFonts w:ascii="Calibri" w:hAnsi="Calibri" w:cs="Calibri"/>
          <w:sz w:val="24"/>
          <w:szCs w:val="24"/>
        </w:rPr>
        <w:t xml:space="preserve">left open the question as to </w:t>
      </w:r>
      <w:r w:rsidR="00B5633E" w:rsidRPr="00E25C19">
        <w:rPr>
          <w:rFonts w:ascii="Calibri" w:hAnsi="Calibri" w:cs="Calibri"/>
          <w:sz w:val="24"/>
          <w:szCs w:val="24"/>
        </w:rPr>
        <w:t xml:space="preserve">the temporal scope of application of the common law. </w:t>
      </w:r>
      <w:r w:rsidR="0086582D" w:rsidRPr="00E25C19">
        <w:rPr>
          <w:rFonts w:ascii="Calibri" w:hAnsi="Calibri" w:cs="Calibri"/>
          <w:sz w:val="24"/>
          <w:szCs w:val="24"/>
        </w:rPr>
        <w:t xml:space="preserve">While the English divorce at issue in </w:t>
      </w:r>
      <w:proofErr w:type="spellStart"/>
      <w:r w:rsidRPr="00E25C19">
        <w:rPr>
          <w:rFonts w:ascii="Calibri" w:hAnsi="Calibri" w:cs="Calibri"/>
          <w:i/>
          <w:sz w:val="24"/>
          <w:szCs w:val="24"/>
        </w:rPr>
        <w:t>McG</w:t>
      </w:r>
      <w:proofErr w:type="spellEnd"/>
      <w:r w:rsidRPr="00E25C19">
        <w:rPr>
          <w:rFonts w:ascii="Calibri" w:hAnsi="Calibri" w:cs="Calibri"/>
          <w:i/>
          <w:sz w:val="24"/>
          <w:szCs w:val="24"/>
        </w:rPr>
        <w:t xml:space="preserve"> v W</w:t>
      </w:r>
      <w:r w:rsidR="0086582D" w:rsidRPr="00E25C19">
        <w:rPr>
          <w:rFonts w:ascii="Calibri" w:hAnsi="Calibri" w:cs="Calibri"/>
          <w:sz w:val="24"/>
          <w:szCs w:val="24"/>
        </w:rPr>
        <w:t xml:space="preserve"> was decreed prior to the coming into force of the Irish 1986 Act, and was therefore unquestionably governed</w:t>
      </w:r>
      <w:r w:rsidR="005D69B7">
        <w:rPr>
          <w:rFonts w:ascii="Calibri" w:hAnsi="Calibri" w:cs="Calibri"/>
          <w:sz w:val="24"/>
          <w:szCs w:val="24"/>
        </w:rPr>
        <w:t xml:space="preserve"> by common law recognition principles</w:t>
      </w:r>
      <w:r w:rsidR="0086582D" w:rsidRPr="00E25C19">
        <w:rPr>
          <w:rFonts w:ascii="Calibri" w:hAnsi="Calibri" w:cs="Calibri"/>
          <w:sz w:val="24"/>
          <w:szCs w:val="24"/>
        </w:rPr>
        <w:t>, McGuinness J. noted that the language of the 1986 Act suggested a legislative intention to modify</w:t>
      </w:r>
      <w:r w:rsidR="00B5633E" w:rsidRPr="00E25C19">
        <w:rPr>
          <w:rFonts w:ascii="Calibri" w:hAnsi="Calibri" w:cs="Calibri"/>
          <w:sz w:val="24"/>
          <w:szCs w:val="24"/>
        </w:rPr>
        <w:t xml:space="preserve"> the common law</w:t>
      </w:r>
      <w:r w:rsidR="00A017F5" w:rsidRPr="00E25C19">
        <w:rPr>
          <w:rFonts w:ascii="Calibri" w:hAnsi="Calibri" w:cs="Calibri"/>
          <w:sz w:val="24"/>
          <w:szCs w:val="24"/>
        </w:rPr>
        <w:t xml:space="preserve"> and not to displace it.</w:t>
      </w:r>
      <w:r w:rsidR="0086582D" w:rsidRPr="00E25C19">
        <w:rPr>
          <w:rStyle w:val="FootnoteReference"/>
          <w:rFonts w:ascii="Calibri" w:hAnsi="Calibri" w:cs="Calibri"/>
          <w:sz w:val="24"/>
          <w:szCs w:val="24"/>
        </w:rPr>
        <w:footnoteReference w:id="21"/>
      </w:r>
      <w:r w:rsidR="00051A89" w:rsidRPr="00E25C19">
        <w:rPr>
          <w:rFonts w:ascii="Calibri" w:hAnsi="Calibri" w:cs="Calibri"/>
          <w:sz w:val="24"/>
          <w:szCs w:val="24"/>
        </w:rPr>
        <w:t xml:space="preserve"> </w:t>
      </w:r>
      <w:r w:rsidR="00345AC2" w:rsidRPr="00E25C19">
        <w:rPr>
          <w:rFonts w:ascii="Calibri" w:hAnsi="Calibri" w:cs="Calibri"/>
          <w:sz w:val="24"/>
          <w:szCs w:val="24"/>
        </w:rPr>
        <w:t xml:space="preserve">In McGuinness J.’s view, the 1986 Act was primarily concerned with the </w:t>
      </w:r>
      <w:r w:rsidR="005D69B7">
        <w:rPr>
          <w:rFonts w:ascii="Calibri" w:hAnsi="Calibri" w:cs="Calibri"/>
          <w:sz w:val="24"/>
          <w:szCs w:val="24"/>
        </w:rPr>
        <w:t xml:space="preserve">(prospective) </w:t>
      </w:r>
      <w:r w:rsidR="00345AC2" w:rsidRPr="00E25C19">
        <w:rPr>
          <w:rFonts w:ascii="Calibri" w:hAnsi="Calibri" w:cs="Calibri"/>
          <w:sz w:val="24"/>
          <w:szCs w:val="24"/>
        </w:rPr>
        <w:t>abolition of dependent domicile, and the adjustment of divorce recognition rules was merely incidental.</w:t>
      </w:r>
      <w:r w:rsidR="00345AC2" w:rsidRPr="00E25C19">
        <w:rPr>
          <w:rStyle w:val="FootnoteReference"/>
          <w:rFonts w:ascii="Calibri" w:hAnsi="Calibri" w:cs="Calibri"/>
          <w:sz w:val="24"/>
          <w:szCs w:val="24"/>
        </w:rPr>
        <w:footnoteReference w:id="22"/>
      </w:r>
      <w:r w:rsidR="00345AC2" w:rsidRPr="00E25C19">
        <w:rPr>
          <w:rFonts w:ascii="Calibri" w:hAnsi="Calibri" w:cs="Calibri"/>
          <w:sz w:val="24"/>
          <w:szCs w:val="24"/>
        </w:rPr>
        <w:t xml:space="preserve"> </w:t>
      </w:r>
      <w:r w:rsidR="00051A89" w:rsidRPr="00E25C19">
        <w:rPr>
          <w:rFonts w:ascii="Calibri" w:hAnsi="Calibri" w:cs="Calibri"/>
          <w:sz w:val="24"/>
          <w:szCs w:val="24"/>
        </w:rPr>
        <w:t xml:space="preserve">It was </w:t>
      </w:r>
      <w:r w:rsidR="00345AC2" w:rsidRPr="00E25C19">
        <w:rPr>
          <w:rFonts w:ascii="Calibri" w:hAnsi="Calibri" w:cs="Calibri"/>
          <w:sz w:val="24"/>
          <w:szCs w:val="24"/>
        </w:rPr>
        <w:t xml:space="preserve">therefore </w:t>
      </w:r>
      <w:r w:rsidR="0086582D" w:rsidRPr="00E25C19">
        <w:rPr>
          <w:rFonts w:ascii="Calibri" w:hAnsi="Calibri" w:cs="Calibri"/>
          <w:sz w:val="24"/>
          <w:szCs w:val="24"/>
        </w:rPr>
        <w:t>suggested that the common law recognition rules could supplement the s</w:t>
      </w:r>
      <w:r w:rsidR="00746B17" w:rsidRPr="00E25C19">
        <w:rPr>
          <w:rFonts w:ascii="Calibri" w:hAnsi="Calibri" w:cs="Calibri"/>
          <w:sz w:val="24"/>
          <w:szCs w:val="24"/>
        </w:rPr>
        <w:t>tatutory recognition provisions</w:t>
      </w:r>
      <w:r w:rsidR="0086582D" w:rsidRPr="00E25C19">
        <w:rPr>
          <w:rFonts w:ascii="Calibri" w:hAnsi="Calibri" w:cs="Calibri"/>
          <w:sz w:val="24"/>
          <w:szCs w:val="24"/>
        </w:rPr>
        <w:t xml:space="preserve"> even for foreign divorces granted after the coming into force of the 1986 Act.</w:t>
      </w:r>
      <w:r w:rsidR="0086582D" w:rsidRPr="00E25C19">
        <w:rPr>
          <w:rStyle w:val="FootnoteReference"/>
          <w:rFonts w:ascii="Calibri" w:hAnsi="Calibri" w:cs="Calibri"/>
          <w:sz w:val="24"/>
          <w:szCs w:val="24"/>
        </w:rPr>
        <w:footnoteReference w:id="23"/>
      </w:r>
      <w:r w:rsidR="00A017F5" w:rsidRPr="00E25C19">
        <w:rPr>
          <w:rFonts w:ascii="Calibri" w:hAnsi="Calibri" w:cs="Calibri"/>
          <w:sz w:val="24"/>
          <w:szCs w:val="24"/>
        </w:rPr>
        <w:t xml:space="preserve">   </w:t>
      </w:r>
      <w:r w:rsidR="00B5633E" w:rsidRPr="00E25C19">
        <w:rPr>
          <w:rFonts w:ascii="Calibri" w:hAnsi="Calibri" w:cs="Calibri"/>
          <w:sz w:val="24"/>
          <w:szCs w:val="24"/>
        </w:rPr>
        <w:t xml:space="preserve"> </w:t>
      </w:r>
    </w:p>
    <w:p w:rsidR="00313467" w:rsidRPr="00E25C19" w:rsidRDefault="00063350" w:rsidP="00883B96">
      <w:pPr>
        <w:jc w:val="both"/>
        <w:rPr>
          <w:rFonts w:ascii="Calibri" w:hAnsi="Calibri" w:cs="Calibri"/>
          <w:sz w:val="24"/>
          <w:szCs w:val="24"/>
        </w:rPr>
      </w:pPr>
      <w:r w:rsidRPr="00E25C19">
        <w:rPr>
          <w:rFonts w:ascii="Calibri" w:hAnsi="Calibri" w:cs="Calibri"/>
          <w:sz w:val="24"/>
          <w:szCs w:val="24"/>
        </w:rPr>
        <w:t xml:space="preserve">REASONING </w:t>
      </w:r>
      <w:r w:rsidR="005D3B78" w:rsidRPr="00E25C19">
        <w:rPr>
          <w:rFonts w:ascii="Calibri" w:hAnsi="Calibri" w:cs="Calibri"/>
          <w:sz w:val="24"/>
          <w:szCs w:val="24"/>
        </w:rPr>
        <w:t>OF THE MAJORITY</w:t>
      </w:r>
      <w:r w:rsidR="00AA08EA" w:rsidRPr="00E25C19">
        <w:rPr>
          <w:rFonts w:ascii="Calibri" w:hAnsi="Calibri" w:cs="Calibri"/>
          <w:sz w:val="24"/>
          <w:szCs w:val="24"/>
        </w:rPr>
        <w:t xml:space="preserve"> IN </w:t>
      </w:r>
      <w:r w:rsidR="00521357" w:rsidRPr="00E25C19">
        <w:rPr>
          <w:rFonts w:ascii="Calibri" w:hAnsi="Calibri" w:cs="Calibri"/>
          <w:i/>
          <w:sz w:val="24"/>
          <w:szCs w:val="24"/>
        </w:rPr>
        <w:t>H v H</w:t>
      </w:r>
    </w:p>
    <w:p w:rsidR="00FF400D" w:rsidRPr="00E25C19" w:rsidRDefault="00522042" w:rsidP="00883B96">
      <w:pPr>
        <w:jc w:val="both"/>
        <w:rPr>
          <w:rFonts w:ascii="Calibri" w:hAnsi="Calibri" w:cs="Calibri"/>
          <w:sz w:val="24"/>
          <w:szCs w:val="24"/>
        </w:rPr>
      </w:pPr>
      <w:r w:rsidRPr="00E25C19">
        <w:rPr>
          <w:rFonts w:ascii="Calibri" w:hAnsi="Calibri" w:cs="Calibri"/>
          <w:sz w:val="24"/>
          <w:szCs w:val="24"/>
        </w:rPr>
        <w:t>Dunne J</w:t>
      </w:r>
      <w:r w:rsidR="005D69B7">
        <w:rPr>
          <w:rFonts w:ascii="Calibri" w:hAnsi="Calibri" w:cs="Calibri"/>
          <w:sz w:val="24"/>
          <w:szCs w:val="24"/>
        </w:rPr>
        <w:t>.</w:t>
      </w:r>
      <w:r w:rsidRPr="00E25C19">
        <w:rPr>
          <w:rFonts w:ascii="Calibri" w:hAnsi="Calibri" w:cs="Calibri"/>
          <w:sz w:val="24"/>
          <w:szCs w:val="24"/>
        </w:rPr>
        <w:t xml:space="preserve"> </w:t>
      </w:r>
      <w:r w:rsidR="006B4919" w:rsidRPr="00E25C19">
        <w:rPr>
          <w:rFonts w:ascii="Calibri" w:hAnsi="Calibri" w:cs="Calibri"/>
          <w:sz w:val="24"/>
          <w:szCs w:val="24"/>
        </w:rPr>
        <w:t xml:space="preserve">(Clarke and </w:t>
      </w:r>
      <w:proofErr w:type="spellStart"/>
      <w:r w:rsidR="006B4919" w:rsidRPr="00E25C19">
        <w:rPr>
          <w:rFonts w:ascii="Calibri" w:hAnsi="Calibri" w:cs="Calibri"/>
          <w:sz w:val="24"/>
          <w:szCs w:val="24"/>
        </w:rPr>
        <w:t>Hardiman</w:t>
      </w:r>
      <w:proofErr w:type="spellEnd"/>
      <w:r w:rsidR="006B4919" w:rsidRPr="00E25C19">
        <w:rPr>
          <w:rFonts w:ascii="Calibri" w:hAnsi="Calibri" w:cs="Calibri"/>
          <w:sz w:val="24"/>
          <w:szCs w:val="24"/>
        </w:rPr>
        <w:t xml:space="preserve"> JJ. concurring) </w:t>
      </w:r>
      <w:r w:rsidRPr="00E25C19">
        <w:rPr>
          <w:rFonts w:ascii="Calibri" w:hAnsi="Calibri" w:cs="Calibri"/>
          <w:sz w:val="24"/>
          <w:szCs w:val="24"/>
        </w:rPr>
        <w:t>thought that the doctrine of separation of powers (and the need to avoid trespassing on the domain of the legislature) precluded any judicial extension of th</w:t>
      </w:r>
      <w:r w:rsidR="00AC1340" w:rsidRPr="00E25C19">
        <w:rPr>
          <w:rFonts w:ascii="Calibri" w:hAnsi="Calibri" w:cs="Calibri"/>
          <w:sz w:val="24"/>
          <w:szCs w:val="24"/>
        </w:rPr>
        <w:t>e common law to include residence</w:t>
      </w:r>
      <w:r w:rsidR="004F5E29" w:rsidRPr="00E25C19">
        <w:rPr>
          <w:rFonts w:ascii="Calibri" w:hAnsi="Calibri" w:cs="Calibri"/>
          <w:sz w:val="24"/>
          <w:szCs w:val="24"/>
        </w:rPr>
        <w:t>,</w:t>
      </w:r>
      <w:r w:rsidR="00AC1340" w:rsidRPr="00E25C19">
        <w:rPr>
          <w:rFonts w:ascii="Calibri" w:hAnsi="Calibri" w:cs="Calibri"/>
          <w:sz w:val="24"/>
          <w:szCs w:val="24"/>
        </w:rPr>
        <w:t xml:space="preserve"> as well as domicile</w:t>
      </w:r>
      <w:r w:rsidR="004F5E29" w:rsidRPr="00E25C19">
        <w:rPr>
          <w:rFonts w:ascii="Calibri" w:hAnsi="Calibri" w:cs="Calibri"/>
          <w:sz w:val="24"/>
          <w:szCs w:val="24"/>
        </w:rPr>
        <w:t>, as a basis</w:t>
      </w:r>
      <w:r w:rsidR="00AC1340" w:rsidRPr="00E25C19">
        <w:rPr>
          <w:rFonts w:ascii="Calibri" w:hAnsi="Calibri" w:cs="Calibri"/>
          <w:sz w:val="24"/>
          <w:szCs w:val="24"/>
        </w:rPr>
        <w:t xml:space="preserve"> for </w:t>
      </w:r>
      <w:r w:rsidR="004F5E29" w:rsidRPr="00E25C19">
        <w:rPr>
          <w:rFonts w:ascii="Calibri" w:hAnsi="Calibri" w:cs="Calibri"/>
          <w:sz w:val="24"/>
          <w:szCs w:val="24"/>
        </w:rPr>
        <w:t xml:space="preserve">divorce </w:t>
      </w:r>
      <w:r w:rsidR="00AC1340" w:rsidRPr="00E25C19">
        <w:rPr>
          <w:rFonts w:ascii="Calibri" w:hAnsi="Calibri" w:cs="Calibri"/>
          <w:sz w:val="24"/>
          <w:szCs w:val="24"/>
        </w:rPr>
        <w:t>recognition</w:t>
      </w:r>
      <w:r w:rsidR="000967DE" w:rsidRPr="00E25C19">
        <w:rPr>
          <w:rFonts w:ascii="Calibri" w:hAnsi="Calibri" w:cs="Calibri"/>
          <w:sz w:val="24"/>
          <w:szCs w:val="24"/>
        </w:rPr>
        <w:t>. Dunne J.</w:t>
      </w:r>
      <w:r w:rsidR="00AC1340" w:rsidRPr="00E25C19">
        <w:rPr>
          <w:rFonts w:ascii="Calibri" w:hAnsi="Calibri" w:cs="Calibri"/>
          <w:sz w:val="24"/>
          <w:szCs w:val="24"/>
        </w:rPr>
        <w:t xml:space="preserve"> </w:t>
      </w:r>
      <w:r w:rsidR="004F5E29" w:rsidRPr="00E25C19">
        <w:rPr>
          <w:rFonts w:ascii="Calibri" w:hAnsi="Calibri" w:cs="Calibri"/>
          <w:sz w:val="24"/>
          <w:szCs w:val="24"/>
        </w:rPr>
        <w:t>accepted</w:t>
      </w:r>
      <w:r w:rsidRPr="00E25C19">
        <w:rPr>
          <w:rFonts w:ascii="Calibri" w:hAnsi="Calibri" w:cs="Calibri"/>
          <w:sz w:val="24"/>
          <w:szCs w:val="24"/>
        </w:rPr>
        <w:t xml:space="preserve"> </w:t>
      </w:r>
      <w:r w:rsidR="00AC1340" w:rsidRPr="00E25C19">
        <w:rPr>
          <w:rFonts w:ascii="Calibri" w:hAnsi="Calibri" w:cs="Calibri"/>
          <w:sz w:val="24"/>
          <w:szCs w:val="24"/>
        </w:rPr>
        <w:t xml:space="preserve">that </w:t>
      </w:r>
      <w:r w:rsidRPr="00E25C19">
        <w:rPr>
          <w:rFonts w:ascii="Calibri" w:hAnsi="Calibri" w:cs="Calibri"/>
          <w:sz w:val="24"/>
          <w:szCs w:val="24"/>
        </w:rPr>
        <w:t xml:space="preserve">such an extension would have been permissible if the </w:t>
      </w:r>
      <w:proofErr w:type="spellStart"/>
      <w:r w:rsidRPr="00E25C19">
        <w:rPr>
          <w:rFonts w:ascii="Calibri" w:hAnsi="Calibri" w:cs="Calibri"/>
          <w:sz w:val="24"/>
          <w:szCs w:val="24"/>
        </w:rPr>
        <w:t>Oireachtas</w:t>
      </w:r>
      <w:proofErr w:type="spellEnd"/>
      <w:r w:rsidRPr="00E25C19">
        <w:rPr>
          <w:rFonts w:ascii="Calibri" w:hAnsi="Calibri" w:cs="Calibri"/>
          <w:sz w:val="24"/>
          <w:szCs w:val="24"/>
        </w:rPr>
        <w:t xml:space="preserve"> had not adopted legislation on the recognition of foreign divorces,</w:t>
      </w:r>
      <w:r w:rsidR="00AF6F90" w:rsidRPr="00E25C19">
        <w:rPr>
          <w:rStyle w:val="FootnoteReference"/>
          <w:rFonts w:ascii="Calibri" w:hAnsi="Calibri" w:cs="Calibri"/>
          <w:sz w:val="24"/>
          <w:szCs w:val="24"/>
        </w:rPr>
        <w:footnoteReference w:id="24"/>
      </w:r>
      <w:r w:rsidRPr="00E25C19">
        <w:rPr>
          <w:rFonts w:ascii="Calibri" w:hAnsi="Calibri" w:cs="Calibri"/>
          <w:sz w:val="24"/>
          <w:szCs w:val="24"/>
        </w:rPr>
        <w:t xml:space="preserve"> b</w:t>
      </w:r>
      <w:r w:rsidR="00AC1340" w:rsidRPr="00E25C19">
        <w:rPr>
          <w:rFonts w:ascii="Calibri" w:hAnsi="Calibri" w:cs="Calibri"/>
          <w:sz w:val="24"/>
          <w:szCs w:val="24"/>
        </w:rPr>
        <w:t>ut thought that the adoption of the Domicile and Recogniti</w:t>
      </w:r>
      <w:r w:rsidR="004F5E29" w:rsidRPr="00E25C19">
        <w:rPr>
          <w:rFonts w:ascii="Calibri" w:hAnsi="Calibri" w:cs="Calibri"/>
          <w:sz w:val="24"/>
          <w:szCs w:val="24"/>
        </w:rPr>
        <w:t>on of Foreign Divorces Act 1986</w:t>
      </w:r>
      <w:r w:rsidR="00AC1340" w:rsidRPr="00E25C19">
        <w:rPr>
          <w:rFonts w:ascii="Calibri" w:hAnsi="Calibri" w:cs="Calibri"/>
          <w:sz w:val="24"/>
          <w:szCs w:val="24"/>
        </w:rPr>
        <w:t xml:space="preserve"> ruled out any such judicial intervention (in pa</w:t>
      </w:r>
      <w:r w:rsidR="00A851CC" w:rsidRPr="00E25C19">
        <w:rPr>
          <w:rFonts w:ascii="Calibri" w:hAnsi="Calibri" w:cs="Calibri"/>
          <w:sz w:val="24"/>
          <w:szCs w:val="24"/>
        </w:rPr>
        <w:t xml:space="preserve">rticular insofar as that Act envisaged only domicile-based recognition, </w:t>
      </w:r>
      <w:r w:rsidR="00AC1340" w:rsidRPr="00E25C19">
        <w:rPr>
          <w:rFonts w:ascii="Calibri" w:hAnsi="Calibri" w:cs="Calibri"/>
          <w:sz w:val="24"/>
          <w:szCs w:val="24"/>
        </w:rPr>
        <w:t>and failed to follow the Law Reform Commission recommendations for residence-based recognition</w:t>
      </w:r>
      <w:r w:rsidR="004F5E29" w:rsidRPr="00E25C19">
        <w:rPr>
          <w:rStyle w:val="FootnoteReference"/>
          <w:rFonts w:ascii="Calibri" w:hAnsi="Calibri" w:cs="Calibri"/>
          <w:sz w:val="24"/>
          <w:szCs w:val="24"/>
        </w:rPr>
        <w:footnoteReference w:id="25"/>
      </w:r>
      <w:r w:rsidR="00AC1340" w:rsidRPr="00E25C19">
        <w:rPr>
          <w:rFonts w:ascii="Calibri" w:hAnsi="Calibri" w:cs="Calibri"/>
          <w:sz w:val="24"/>
          <w:szCs w:val="24"/>
        </w:rPr>
        <w:t>).</w:t>
      </w:r>
      <w:r w:rsidR="00863CB3" w:rsidRPr="00E25C19">
        <w:rPr>
          <w:rFonts w:ascii="Calibri" w:hAnsi="Calibri" w:cs="Calibri"/>
          <w:sz w:val="24"/>
          <w:szCs w:val="24"/>
        </w:rPr>
        <w:t xml:space="preserve"> </w:t>
      </w:r>
    </w:p>
    <w:p w:rsidR="0086572B" w:rsidRPr="00E25C19" w:rsidRDefault="00FF400D" w:rsidP="00883B96">
      <w:pPr>
        <w:jc w:val="both"/>
        <w:rPr>
          <w:rFonts w:ascii="Calibri" w:hAnsi="Calibri" w:cs="Calibri"/>
          <w:sz w:val="24"/>
          <w:szCs w:val="24"/>
        </w:rPr>
      </w:pPr>
      <w:r w:rsidRPr="00E25C19">
        <w:rPr>
          <w:rFonts w:ascii="Calibri" w:hAnsi="Calibri" w:cs="Calibri"/>
          <w:sz w:val="24"/>
          <w:szCs w:val="24"/>
        </w:rPr>
        <w:t>Dunne J.</w:t>
      </w:r>
      <w:r w:rsidR="00863CB3" w:rsidRPr="00E25C19">
        <w:rPr>
          <w:rFonts w:ascii="Calibri" w:hAnsi="Calibri" w:cs="Calibri"/>
          <w:sz w:val="24"/>
          <w:szCs w:val="24"/>
        </w:rPr>
        <w:t xml:space="preserve"> noted that the Supreme Court in </w:t>
      </w:r>
      <w:r w:rsidR="00051A89" w:rsidRPr="00E25C19">
        <w:rPr>
          <w:rFonts w:ascii="Calibri" w:hAnsi="Calibri" w:cs="Calibri"/>
          <w:i/>
          <w:sz w:val="24"/>
          <w:szCs w:val="24"/>
        </w:rPr>
        <w:t>W v W</w:t>
      </w:r>
      <w:r w:rsidR="00863CB3" w:rsidRPr="00E25C19">
        <w:rPr>
          <w:rFonts w:ascii="Calibri" w:hAnsi="Calibri" w:cs="Calibri"/>
          <w:sz w:val="24"/>
          <w:szCs w:val="24"/>
        </w:rPr>
        <w:t xml:space="preserve"> had envisaged that judicial modification of the common law </w:t>
      </w:r>
      <w:r w:rsidR="003F6C06" w:rsidRPr="00E25C19">
        <w:rPr>
          <w:rFonts w:ascii="Calibri" w:hAnsi="Calibri" w:cs="Calibri"/>
          <w:sz w:val="24"/>
          <w:szCs w:val="24"/>
        </w:rPr>
        <w:t xml:space="preserve">could be justified “as a matter of public policy … to do justice” but had </w:t>
      </w:r>
      <w:r w:rsidR="003C451E" w:rsidRPr="00E25C19">
        <w:rPr>
          <w:rFonts w:ascii="Calibri" w:hAnsi="Calibri" w:cs="Calibri"/>
          <w:sz w:val="24"/>
          <w:szCs w:val="24"/>
        </w:rPr>
        <w:t xml:space="preserve">also </w:t>
      </w:r>
      <w:r w:rsidR="003F6C06" w:rsidRPr="00E25C19">
        <w:rPr>
          <w:rFonts w:ascii="Calibri" w:hAnsi="Calibri" w:cs="Calibri"/>
          <w:sz w:val="24"/>
          <w:szCs w:val="24"/>
        </w:rPr>
        <w:t xml:space="preserve">cautioned that such modification </w:t>
      </w:r>
      <w:r w:rsidR="00863CB3" w:rsidRPr="00E25C19">
        <w:rPr>
          <w:rFonts w:ascii="Calibri" w:hAnsi="Calibri" w:cs="Calibri"/>
          <w:sz w:val="24"/>
          <w:szCs w:val="24"/>
        </w:rPr>
        <w:t xml:space="preserve">should reflect the </w:t>
      </w:r>
      <w:r w:rsidR="003F6C06" w:rsidRPr="00E25C19">
        <w:rPr>
          <w:rFonts w:ascii="Calibri" w:hAnsi="Calibri" w:cs="Calibri"/>
          <w:sz w:val="24"/>
          <w:szCs w:val="24"/>
        </w:rPr>
        <w:t>“</w:t>
      </w:r>
      <w:r w:rsidR="00863CB3" w:rsidRPr="00E25C19">
        <w:rPr>
          <w:rFonts w:ascii="Calibri" w:hAnsi="Calibri" w:cs="Calibri"/>
          <w:sz w:val="24"/>
          <w:szCs w:val="24"/>
        </w:rPr>
        <w:t>present policy of the court</w:t>
      </w:r>
      <w:r w:rsidR="003F6C06" w:rsidRPr="00E25C19">
        <w:rPr>
          <w:rFonts w:ascii="Calibri" w:hAnsi="Calibri" w:cs="Calibri"/>
          <w:sz w:val="24"/>
          <w:szCs w:val="24"/>
        </w:rPr>
        <w:t>”</w:t>
      </w:r>
      <w:r w:rsidR="00863CB3" w:rsidRPr="00E25C19">
        <w:rPr>
          <w:rFonts w:ascii="Calibri" w:hAnsi="Calibri" w:cs="Calibri"/>
          <w:sz w:val="24"/>
          <w:szCs w:val="24"/>
        </w:rPr>
        <w:t xml:space="preserve"> which </w:t>
      </w:r>
      <w:r w:rsidR="003F6C06" w:rsidRPr="00E25C19">
        <w:rPr>
          <w:rFonts w:ascii="Calibri" w:hAnsi="Calibri" w:cs="Calibri"/>
          <w:sz w:val="24"/>
          <w:szCs w:val="24"/>
        </w:rPr>
        <w:t>“</w:t>
      </w:r>
      <w:r w:rsidR="00863CB3" w:rsidRPr="00E25C19">
        <w:rPr>
          <w:rFonts w:ascii="Calibri" w:hAnsi="Calibri" w:cs="Calibri"/>
          <w:sz w:val="24"/>
          <w:szCs w:val="24"/>
        </w:rPr>
        <w:t>policy</w:t>
      </w:r>
      <w:r w:rsidR="003F6C06" w:rsidRPr="00E25C19">
        <w:rPr>
          <w:rFonts w:ascii="Calibri" w:hAnsi="Calibri" w:cs="Calibri"/>
          <w:sz w:val="24"/>
          <w:szCs w:val="24"/>
        </w:rPr>
        <w:t>”</w:t>
      </w:r>
      <w:r w:rsidR="00863CB3" w:rsidRPr="00E25C19">
        <w:rPr>
          <w:rFonts w:ascii="Calibri" w:hAnsi="Calibri" w:cs="Calibri"/>
          <w:sz w:val="24"/>
          <w:szCs w:val="24"/>
        </w:rPr>
        <w:t xml:space="preserve"> included the terms of the 1986 Act.</w:t>
      </w:r>
      <w:r w:rsidR="00863CB3" w:rsidRPr="00E25C19">
        <w:rPr>
          <w:rStyle w:val="FootnoteReference"/>
          <w:rFonts w:ascii="Calibri" w:hAnsi="Calibri" w:cs="Calibri"/>
          <w:sz w:val="24"/>
          <w:szCs w:val="24"/>
        </w:rPr>
        <w:footnoteReference w:id="26"/>
      </w:r>
      <w:r w:rsidR="00863CB3" w:rsidRPr="00E25C19">
        <w:rPr>
          <w:rFonts w:ascii="Calibri" w:hAnsi="Calibri" w:cs="Calibri"/>
          <w:sz w:val="24"/>
          <w:szCs w:val="24"/>
        </w:rPr>
        <w:t xml:space="preserve"> </w:t>
      </w:r>
      <w:r w:rsidR="00E059F6" w:rsidRPr="00E25C19">
        <w:rPr>
          <w:rFonts w:ascii="Calibri" w:hAnsi="Calibri" w:cs="Calibri"/>
          <w:sz w:val="24"/>
          <w:szCs w:val="24"/>
        </w:rPr>
        <w:t xml:space="preserve">In modifying the common law, the Supreme </w:t>
      </w:r>
      <w:r w:rsidR="00E059F6" w:rsidRPr="00E25C19">
        <w:rPr>
          <w:rFonts w:ascii="Calibri" w:hAnsi="Calibri" w:cs="Calibri"/>
          <w:sz w:val="24"/>
          <w:szCs w:val="24"/>
        </w:rPr>
        <w:lastRenderedPageBreak/>
        <w:t xml:space="preserve">Court in </w:t>
      </w:r>
      <w:r w:rsidR="00051A89" w:rsidRPr="00E25C19">
        <w:rPr>
          <w:rFonts w:ascii="Calibri" w:hAnsi="Calibri" w:cs="Calibri"/>
          <w:i/>
          <w:sz w:val="24"/>
          <w:szCs w:val="24"/>
        </w:rPr>
        <w:t>W v W</w:t>
      </w:r>
      <w:r w:rsidR="00E059F6" w:rsidRPr="00E25C19">
        <w:rPr>
          <w:rFonts w:ascii="Calibri" w:hAnsi="Calibri" w:cs="Calibri"/>
          <w:sz w:val="24"/>
          <w:szCs w:val="24"/>
        </w:rPr>
        <w:t xml:space="preserve"> had emphasised that the adjustment “was wholly consistent” with the scheme of the 1986 Act.</w:t>
      </w:r>
      <w:r w:rsidR="00E059F6" w:rsidRPr="00E25C19">
        <w:rPr>
          <w:rStyle w:val="FootnoteReference"/>
          <w:rFonts w:ascii="Calibri" w:hAnsi="Calibri" w:cs="Calibri"/>
          <w:sz w:val="24"/>
          <w:szCs w:val="24"/>
        </w:rPr>
        <w:footnoteReference w:id="27"/>
      </w:r>
      <w:r w:rsidRPr="00E25C19">
        <w:rPr>
          <w:rFonts w:ascii="Calibri" w:hAnsi="Calibri" w:cs="Calibri"/>
          <w:sz w:val="24"/>
          <w:szCs w:val="24"/>
        </w:rPr>
        <w:t xml:space="preserve"> </w:t>
      </w:r>
    </w:p>
    <w:p w:rsidR="00A7415D" w:rsidRPr="00E25C19" w:rsidRDefault="00FF400D" w:rsidP="00883B96">
      <w:pPr>
        <w:jc w:val="both"/>
        <w:rPr>
          <w:rFonts w:ascii="Calibri" w:hAnsi="Calibri" w:cs="Calibri"/>
          <w:sz w:val="24"/>
          <w:szCs w:val="24"/>
        </w:rPr>
      </w:pPr>
      <w:r w:rsidRPr="00E25C19">
        <w:rPr>
          <w:rFonts w:ascii="Calibri" w:hAnsi="Calibri" w:cs="Calibri"/>
          <w:sz w:val="24"/>
          <w:szCs w:val="24"/>
        </w:rPr>
        <w:t xml:space="preserve">McGuinness J. in </w:t>
      </w:r>
      <w:proofErr w:type="spellStart"/>
      <w:r w:rsidR="00FD66C3" w:rsidRPr="00E25C19">
        <w:rPr>
          <w:rFonts w:ascii="Calibri" w:hAnsi="Calibri" w:cs="Calibri"/>
          <w:i/>
          <w:sz w:val="24"/>
          <w:szCs w:val="24"/>
        </w:rPr>
        <w:t>McG</w:t>
      </w:r>
      <w:proofErr w:type="spellEnd"/>
      <w:r w:rsidR="00FD66C3" w:rsidRPr="00E25C19">
        <w:rPr>
          <w:rFonts w:ascii="Calibri" w:hAnsi="Calibri" w:cs="Calibri"/>
          <w:i/>
          <w:sz w:val="24"/>
          <w:szCs w:val="24"/>
        </w:rPr>
        <w:t xml:space="preserve"> v W</w:t>
      </w:r>
      <w:r w:rsidRPr="00E25C19">
        <w:rPr>
          <w:rFonts w:ascii="Calibri" w:hAnsi="Calibri" w:cs="Calibri"/>
          <w:sz w:val="24"/>
          <w:szCs w:val="24"/>
        </w:rPr>
        <w:t xml:space="preserve"> had relied on </w:t>
      </w:r>
      <w:r w:rsidR="00FD66C3" w:rsidRPr="00E25C19">
        <w:rPr>
          <w:rFonts w:ascii="Calibri" w:hAnsi="Calibri" w:cs="Calibri"/>
          <w:i/>
          <w:sz w:val="24"/>
          <w:szCs w:val="24"/>
        </w:rPr>
        <w:t>W v W</w:t>
      </w:r>
      <w:r w:rsidR="00E71ABF" w:rsidRPr="00E25C19">
        <w:rPr>
          <w:rFonts w:ascii="Calibri" w:hAnsi="Calibri" w:cs="Calibri"/>
          <w:sz w:val="24"/>
          <w:szCs w:val="24"/>
        </w:rPr>
        <w:t xml:space="preserve"> and</w:t>
      </w:r>
      <w:r w:rsidRPr="00E25C19">
        <w:rPr>
          <w:rFonts w:ascii="Calibri" w:hAnsi="Calibri" w:cs="Calibri"/>
          <w:sz w:val="24"/>
          <w:szCs w:val="24"/>
        </w:rPr>
        <w:t xml:space="preserve"> had </w:t>
      </w:r>
      <w:r w:rsidR="00E71ABF" w:rsidRPr="00E25C19">
        <w:rPr>
          <w:rFonts w:ascii="Calibri" w:hAnsi="Calibri" w:cs="Calibri"/>
          <w:sz w:val="24"/>
          <w:szCs w:val="24"/>
        </w:rPr>
        <w:t>determined</w:t>
      </w:r>
      <w:r w:rsidRPr="00E25C19">
        <w:rPr>
          <w:rFonts w:ascii="Calibri" w:hAnsi="Calibri" w:cs="Calibri"/>
          <w:sz w:val="24"/>
          <w:szCs w:val="24"/>
        </w:rPr>
        <w:t xml:space="preserve"> that the “policy of the court”</w:t>
      </w:r>
      <w:r w:rsidR="00E71ABF" w:rsidRPr="00E25C19">
        <w:rPr>
          <w:rFonts w:ascii="Calibri" w:hAnsi="Calibri" w:cs="Calibri"/>
          <w:sz w:val="24"/>
          <w:szCs w:val="24"/>
        </w:rPr>
        <w:t xml:space="preserve"> regarding divorce recognition</w:t>
      </w:r>
      <w:r w:rsidRPr="00E25C19">
        <w:rPr>
          <w:rFonts w:ascii="Calibri" w:hAnsi="Calibri" w:cs="Calibri"/>
          <w:sz w:val="24"/>
          <w:szCs w:val="24"/>
        </w:rPr>
        <w:t xml:space="preserve"> had been altered by the introduc</w:t>
      </w:r>
      <w:r w:rsidR="00FD66C3" w:rsidRPr="00E25C19">
        <w:rPr>
          <w:rFonts w:ascii="Calibri" w:hAnsi="Calibri" w:cs="Calibri"/>
          <w:sz w:val="24"/>
          <w:szCs w:val="24"/>
        </w:rPr>
        <w:t>tion of domestic divorce legislation in 1996</w:t>
      </w:r>
      <w:r w:rsidRPr="00E25C19">
        <w:rPr>
          <w:rFonts w:ascii="Calibri" w:hAnsi="Calibri" w:cs="Calibri"/>
          <w:sz w:val="24"/>
          <w:szCs w:val="24"/>
        </w:rPr>
        <w:t xml:space="preserve"> and the acceptance of divorce jurisdiction based on domicile </w:t>
      </w:r>
      <w:r w:rsidRPr="00E25C19">
        <w:rPr>
          <w:rFonts w:ascii="Calibri" w:hAnsi="Calibri" w:cs="Calibri"/>
          <w:i/>
          <w:sz w:val="24"/>
          <w:szCs w:val="24"/>
        </w:rPr>
        <w:t>or</w:t>
      </w:r>
      <w:r w:rsidRPr="00E25C19">
        <w:rPr>
          <w:rFonts w:ascii="Calibri" w:hAnsi="Calibri" w:cs="Calibri"/>
          <w:sz w:val="24"/>
          <w:szCs w:val="24"/>
        </w:rPr>
        <w:t xml:space="preserve"> ordinary residence.</w:t>
      </w:r>
      <w:r w:rsidRPr="00E25C19">
        <w:rPr>
          <w:rStyle w:val="FootnoteReference"/>
          <w:rFonts w:ascii="Calibri" w:hAnsi="Calibri" w:cs="Calibri"/>
          <w:sz w:val="24"/>
          <w:szCs w:val="24"/>
        </w:rPr>
        <w:footnoteReference w:id="28"/>
      </w:r>
      <w:r w:rsidRPr="00E25C19">
        <w:rPr>
          <w:rFonts w:ascii="Calibri" w:hAnsi="Calibri" w:cs="Calibri"/>
          <w:sz w:val="24"/>
          <w:szCs w:val="24"/>
        </w:rPr>
        <w:t xml:space="preserve"> Dunne J. disagreed.</w:t>
      </w:r>
      <w:r w:rsidR="00E71ABF" w:rsidRPr="00E25C19">
        <w:rPr>
          <w:rFonts w:ascii="Calibri" w:hAnsi="Calibri" w:cs="Calibri"/>
          <w:sz w:val="24"/>
          <w:szCs w:val="24"/>
        </w:rPr>
        <w:t xml:space="preserve"> For Dunne J. it was </w:t>
      </w:r>
      <w:r w:rsidR="001B6F65" w:rsidRPr="00E25C19">
        <w:rPr>
          <w:rFonts w:ascii="Calibri" w:hAnsi="Calibri" w:cs="Calibri"/>
          <w:sz w:val="24"/>
          <w:szCs w:val="24"/>
        </w:rPr>
        <w:t xml:space="preserve">highly </w:t>
      </w:r>
      <w:r w:rsidR="00E71ABF" w:rsidRPr="00E25C19">
        <w:rPr>
          <w:rFonts w:ascii="Calibri" w:hAnsi="Calibri" w:cs="Calibri"/>
          <w:sz w:val="24"/>
          <w:szCs w:val="24"/>
        </w:rPr>
        <w:t xml:space="preserve">significant that the </w:t>
      </w:r>
      <w:proofErr w:type="spellStart"/>
      <w:r w:rsidR="00E71ABF" w:rsidRPr="00E25C19">
        <w:rPr>
          <w:rFonts w:ascii="Calibri" w:hAnsi="Calibri" w:cs="Calibri"/>
          <w:sz w:val="24"/>
          <w:szCs w:val="24"/>
        </w:rPr>
        <w:t>Oireachtas</w:t>
      </w:r>
      <w:proofErr w:type="spellEnd"/>
      <w:r w:rsidR="00E71ABF" w:rsidRPr="00E25C19">
        <w:rPr>
          <w:rFonts w:ascii="Calibri" w:hAnsi="Calibri" w:cs="Calibri"/>
          <w:sz w:val="24"/>
          <w:szCs w:val="24"/>
        </w:rPr>
        <w:t xml:space="preserve"> in adopting the </w:t>
      </w:r>
      <w:r w:rsidR="0086572B" w:rsidRPr="00E25C19">
        <w:rPr>
          <w:rFonts w:ascii="Calibri" w:hAnsi="Calibri" w:cs="Calibri"/>
          <w:sz w:val="24"/>
          <w:szCs w:val="24"/>
        </w:rPr>
        <w:t>Family Law (Divorce)</w:t>
      </w:r>
      <w:r w:rsidR="00E71ABF" w:rsidRPr="00E25C19">
        <w:rPr>
          <w:rFonts w:ascii="Calibri" w:hAnsi="Calibri" w:cs="Calibri"/>
          <w:sz w:val="24"/>
          <w:szCs w:val="24"/>
        </w:rPr>
        <w:t xml:space="preserve"> Act </w:t>
      </w:r>
      <w:r w:rsidR="0086572B" w:rsidRPr="00E25C19">
        <w:rPr>
          <w:rFonts w:ascii="Calibri" w:hAnsi="Calibri" w:cs="Calibri"/>
          <w:sz w:val="24"/>
          <w:szCs w:val="24"/>
        </w:rPr>
        <w:t xml:space="preserve">1996 </w:t>
      </w:r>
      <w:r w:rsidR="00E71ABF" w:rsidRPr="00E25C19">
        <w:rPr>
          <w:rFonts w:ascii="Calibri" w:hAnsi="Calibri" w:cs="Calibri"/>
          <w:sz w:val="24"/>
          <w:szCs w:val="24"/>
        </w:rPr>
        <w:t xml:space="preserve">had declined to amend the </w:t>
      </w:r>
      <w:r w:rsidR="007562D1" w:rsidRPr="00E25C19">
        <w:rPr>
          <w:rFonts w:ascii="Calibri" w:hAnsi="Calibri" w:cs="Calibri"/>
          <w:sz w:val="24"/>
          <w:szCs w:val="24"/>
        </w:rPr>
        <w:t>1986 Act and had not altered</w:t>
      </w:r>
      <w:r w:rsidR="00394B76" w:rsidRPr="00E25C19">
        <w:rPr>
          <w:rFonts w:ascii="Calibri" w:hAnsi="Calibri" w:cs="Calibri"/>
          <w:sz w:val="24"/>
          <w:szCs w:val="24"/>
        </w:rPr>
        <w:t xml:space="preserve"> </w:t>
      </w:r>
      <w:r w:rsidR="00051A89" w:rsidRPr="00E25C19">
        <w:rPr>
          <w:rFonts w:ascii="Calibri" w:hAnsi="Calibri" w:cs="Calibri"/>
          <w:sz w:val="24"/>
          <w:szCs w:val="24"/>
        </w:rPr>
        <w:t>the statutory provisions affecting</w:t>
      </w:r>
      <w:r w:rsidR="007562D1" w:rsidRPr="00E25C19">
        <w:rPr>
          <w:rFonts w:ascii="Calibri" w:hAnsi="Calibri" w:cs="Calibri"/>
          <w:sz w:val="24"/>
          <w:szCs w:val="24"/>
        </w:rPr>
        <w:t xml:space="preserve"> </w:t>
      </w:r>
      <w:r w:rsidR="00394B76" w:rsidRPr="00E25C19">
        <w:rPr>
          <w:rFonts w:ascii="Calibri" w:hAnsi="Calibri" w:cs="Calibri"/>
          <w:sz w:val="24"/>
          <w:szCs w:val="24"/>
        </w:rPr>
        <w:t>divorce recognition</w:t>
      </w:r>
      <w:r w:rsidR="007562D1" w:rsidRPr="00E25C19">
        <w:rPr>
          <w:rFonts w:ascii="Calibri" w:hAnsi="Calibri" w:cs="Calibri"/>
          <w:sz w:val="24"/>
          <w:szCs w:val="24"/>
        </w:rPr>
        <w:t xml:space="preserve"> when it could have done so</w:t>
      </w:r>
      <w:r w:rsidR="00394B76" w:rsidRPr="00E25C19">
        <w:rPr>
          <w:rFonts w:ascii="Calibri" w:hAnsi="Calibri" w:cs="Calibri"/>
          <w:sz w:val="24"/>
          <w:szCs w:val="24"/>
        </w:rPr>
        <w:t>: “[</w:t>
      </w:r>
      <w:proofErr w:type="spellStart"/>
      <w:r w:rsidR="00394B76" w:rsidRPr="00E25C19">
        <w:rPr>
          <w:rFonts w:ascii="Calibri" w:hAnsi="Calibri" w:cs="Calibri"/>
          <w:sz w:val="24"/>
          <w:szCs w:val="24"/>
        </w:rPr>
        <w:t>i</w:t>
      </w:r>
      <w:proofErr w:type="spellEnd"/>
      <w:r w:rsidR="00394B76" w:rsidRPr="00E25C19">
        <w:rPr>
          <w:rFonts w:ascii="Calibri" w:hAnsi="Calibri" w:cs="Calibri"/>
          <w:sz w:val="24"/>
          <w:szCs w:val="24"/>
        </w:rPr>
        <w:t xml:space="preserve">]f the </w:t>
      </w:r>
      <w:proofErr w:type="spellStart"/>
      <w:r w:rsidR="00394B76" w:rsidRPr="00E25C19">
        <w:rPr>
          <w:rFonts w:ascii="Calibri" w:hAnsi="Calibri" w:cs="Calibri"/>
          <w:sz w:val="24"/>
          <w:szCs w:val="24"/>
        </w:rPr>
        <w:t>Oireachtas</w:t>
      </w:r>
      <w:proofErr w:type="spellEnd"/>
      <w:r w:rsidR="00394B76" w:rsidRPr="00E25C19">
        <w:rPr>
          <w:rFonts w:ascii="Calibri" w:hAnsi="Calibri" w:cs="Calibri"/>
          <w:sz w:val="24"/>
          <w:szCs w:val="24"/>
        </w:rPr>
        <w:t xml:space="preserve"> considered it appropriate to do so, there was no reason why such a change could not have been introduced”.</w:t>
      </w:r>
      <w:r w:rsidR="001257C9" w:rsidRPr="00E25C19">
        <w:rPr>
          <w:rStyle w:val="FootnoteReference"/>
          <w:rFonts w:ascii="Calibri" w:hAnsi="Calibri" w:cs="Calibri"/>
          <w:sz w:val="24"/>
          <w:szCs w:val="24"/>
        </w:rPr>
        <w:footnoteReference w:id="29"/>
      </w:r>
      <w:r w:rsidR="00E71ABF" w:rsidRPr="00E25C19">
        <w:rPr>
          <w:rFonts w:ascii="Calibri" w:hAnsi="Calibri" w:cs="Calibri"/>
          <w:sz w:val="24"/>
          <w:szCs w:val="24"/>
        </w:rPr>
        <w:t xml:space="preserve"> </w:t>
      </w:r>
      <w:r w:rsidR="00394B76" w:rsidRPr="00E25C19">
        <w:rPr>
          <w:rFonts w:ascii="Calibri" w:hAnsi="Calibri" w:cs="Calibri"/>
          <w:sz w:val="24"/>
          <w:szCs w:val="24"/>
        </w:rPr>
        <w:t>O</w:t>
      </w:r>
      <w:r w:rsidR="00A7415D" w:rsidRPr="00E25C19">
        <w:rPr>
          <w:rFonts w:ascii="Calibri" w:hAnsi="Calibri" w:cs="Calibri"/>
          <w:sz w:val="24"/>
          <w:szCs w:val="24"/>
        </w:rPr>
        <w:t>n that basis</w:t>
      </w:r>
      <w:r w:rsidR="0086572B" w:rsidRPr="00E25C19">
        <w:rPr>
          <w:rFonts w:ascii="Calibri" w:hAnsi="Calibri" w:cs="Calibri"/>
          <w:sz w:val="24"/>
          <w:szCs w:val="24"/>
        </w:rPr>
        <w:t>,</w:t>
      </w:r>
      <w:r w:rsidR="00A7415D" w:rsidRPr="00E25C19">
        <w:rPr>
          <w:rFonts w:ascii="Calibri" w:hAnsi="Calibri" w:cs="Calibri"/>
          <w:sz w:val="24"/>
          <w:szCs w:val="24"/>
        </w:rPr>
        <w:t xml:space="preserve"> Dunne J.</w:t>
      </w:r>
      <w:r w:rsidR="00FD66C3" w:rsidRPr="00E25C19">
        <w:rPr>
          <w:rFonts w:ascii="Calibri" w:hAnsi="Calibri" w:cs="Calibri"/>
          <w:sz w:val="24"/>
          <w:szCs w:val="24"/>
        </w:rPr>
        <w:t xml:space="preserve"> hel</w:t>
      </w:r>
      <w:r w:rsidR="00E71ABF" w:rsidRPr="00E25C19">
        <w:rPr>
          <w:rFonts w:ascii="Calibri" w:hAnsi="Calibri" w:cs="Calibri"/>
          <w:sz w:val="24"/>
          <w:szCs w:val="24"/>
        </w:rPr>
        <w:t>d that the “policy of the court” remained to be determined by reference to the terms of the 1986 Act</w:t>
      </w:r>
      <w:r w:rsidR="00AF6F90" w:rsidRPr="00E25C19">
        <w:rPr>
          <w:rFonts w:ascii="Calibri" w:hAnsi="Calibri" w:cs="Calibri"/>
          <w:sz w:val="24"/>
          <w:szCs w:val="24"/>
        </w:rPr>
        <w:t xml:space="preserve"> which based </w:t>
      </w:r>
      <w:r w:rsidR="001257C9" w:rsidRPr="00E25C19">
        <w:rPr>
          <w:rFonts w:ascii="Calibri" w:hAnsi="Calibri" w:cs="Calibri"/>
          <w:sz w:val="24"/>
          <w:szCs w:val="24"/>
        </w:rPr>
        <w:t xml:space="preserve">divorce </w:t>
      </w:r>
      <w:r w:rsidR="00AF6F90" w:rsidRPr="00E25C19">
        <w:rPr>
          <w:rFonts w:ascii="Calibri" w:hAnsi="Calibri" w:cs="Calibri"/>
          <w:sz w:val="24"/>
          <w:szCs w:val="24"/>
        </w:rPr>
        <w:t>recognition on domicile only</w:t>
      </w:r>
      <w:r w:rsidR="00AE33DA" w:rsidRPr="00E25C19">
        <w:rPr>
          <w:rFonts w:ascii="Calibri" w:hAnsi="Calibri" w:cs="Calibri"/>
          <w:sz w:val="24"/>
          <w:szCs w:val="24"/>
        </w:rPr>
        <w:t xml:space="preserve">, and </w:t>
      </w:r>
      <w:r w:rsidR="00FD66C3" w:rsidRPr="00E25C19">
        <w:rPr>
          <w:rFonts w:ascii="Calibri" w:hAnsi="Calibri" w:cs="Calibri"/>
          <w:sz w:val="24"/>
          <w:szCs w:val="24"/>
        </w:rPr>
        <w:t xml:space="preserve">she concluded </w:t>
      </w:r>
      <w:r w:rsidR="00AE33DA" w:rsidRPr="00E25C19">
        <w:rPr>
          <w:rFonts w:ascii="Calibri" w:hAnsi="Calibri" w:cs="Calibri"/>
          <w:sz w:val="24"/>
          <w:szCs w:val="24"/>
        </w:rPr>
        <w:t xml:space="preserve">that </w:t>
      </w:r>
      <w:proofErr w:type="spellStart"/>
      <w:r w:rsidR="00051A89" w:rsidRPr="00E25C19">
        <w:rPr>
          <w:rFonts w:ascii="Calibri" w:hAnsi="Calibri" w:cs="Calibri"/>
          <w:i/>
          <w:sz w:val="24"/>
          <w:szCs w:val="24"/>
        </w:rPr>
        <w:t>McG</w:t>
      </w:r>
      <w:proofErr w:type="spellEnd"/>
      <w:r w:rsidR="00051A89" w:rsidRPr="00E25C19">
        <w:rPr>
          <w:rFonts w:ascii="Calibri" w:hAnsi="Calibri" w:cs="Calibri"/>
          <w:i/>
          <w:sz w:val="24"/>
          <w:szCs w:val="24"/>
        </w:rPr>
        <w:t xml:space="preserve"> v W</w:t>
      </w:r>
      <w:r w:rsidR="00AE33DA" w:rsidRPr="00E25C19">
        <w:rPr>
          <w:rFonts w:ascii="Calibri" w:hAnsi="Calibri" w:cs="Calibri"/>
          <w:sz w:val="24"/>
          <w:szCs w:val="24"/>
        </w:rPr>
        <w:t xml:space="preserve"> was incorrectly decided</w:t>
      </w:r>
      <w:r w:rsidR="00E71ABF" w:rsidRPr="00E25C19">
        <w:rPr>
          <w:rFonts w:ascii="Calibri" w:hAnsi="Calibri" w:cs="Calibri"/>
          <w:sz w:val="24"/>
          <w:szCs w:val="24"/>
        </w:rPr>
        <w:t>.</w:t>
      </w:r>
      <w:r w:rsidR="00D17986" w:rsidRPr="00E25C19">
        <w:rPr>
          <w:rStyle w:val="FootnoteReference"/>
          <w:rFonts w:ascii="Calibri" w:hAnsi="Calibri" w:cs="Calibri"/>
          <w:sz w:val="24"/>
          <w:szCs w:val="24"/>
        </w:rPr>
        <w:footnoteReference w:id="30"/>
      </w:r>
      <w:r w:rsidR="00FD66C3" w:rsidRPr="00E25C19">
        <w:rPr>
          <w:rFonts w:ascii="Calibri" w:hAnsi="Calibri" w:cs="Calibri"/>
          <w:sz w:val="24"/>
          <w:szCs w:val="24"/>
        </w:rPr>
        <w:t xml:space="preserve"> Making the assumption that the common law recognition rules applied only to pre-1986 Act divorces, Dunne J. also noted that the rejection of residence-based recognition at common law was necessary in order to avoid an anomalous distinction in the treatment of </w:t>
      </w:r>
      <w:r w:rsidR="003C451E" w:rsidRPr="00E25C19">
        <w:rPr>
          <w:rFonts w:ascii="Calibri" w:hAnsi="Calibri" w:cs="Calibri"/>
          <w:sz w:val="24"/>
          <w:szCs w:val="24"/>
        </w:rPr>
        <w:t>pre-1986 Act and post-1986 Act divorces</w:t>
      </w:r>
      <w:r w:rsidR="001257C9" w:rsidRPr="00E25C19">
        <w:rPr>
          <w:rFonts w:ascii="Calibri" w:hAnsi="Calibri" w:cs="Calibri"/>
          <w:sz w:val="24"/>
          <w:szCs w:val="24"/>
        </w:rPr>
        <w:t>.</w:t>
      </w:r>
      <w:r w:rsidR="00AE33DA" w:rsidRPr="00E25C19">
        <w:rPr>
          <w:rStyle w:val="FootnoteReference"/>
          <w:rFonts w:ascii="Calibri" w:hAnsi="Calibri" w:cs="Calibri"/>
          <w:sz w:val="24"/>
          <w:szCs w:val="24"/>
        </w:rPr>
        <w:footnoteReference w:id="31"/>
      </w:r>
      <w:r w:rsidR="00AE33DA" w:rsidRPr="00E25C19">
        <w:rPr>
          <w:rFonts w:ascii="Calibri" w:hAnsi="Calibri" w:cs="Calibri"/>
          <w:sz w:val="24"/>
          <w:szCs w:val="24"/>
        </w:rPr>
        <w:t xml:space="preserve"> </w:t>
      </w:r>
    </w:p>
    <w:p w:rsidR="00394B76" w:rsidRPr="00E25C19" w:rsidRDefault="00A7415D" w:rsidP="00883B96">
      <w:pPr>
        <w:jc w:val="both"/>
        <w:rPr>
          <w:rFonts w:ascii="Calibri" w:hAnsi="Calibri" w:cs="Calibri"/>
          <w:sz w:val="24"/>
          <w:szCs w:val="24"/>
        </w:rPr>
      </w:pPr>
      <w:r w:rsidRPr="00E25C19">
        <w:rPr>
          <w:rFonts w:ascii="Calibri" w:hAnsi="Calibri" w:cs="Calibri"/>
          <w:sz w:val="24"/>
          <w:szCs w:val="24"/>
        </w:rPr>
        <w:t>In a separate majority judgment, Clarke J. (</w:t>
      </w:r>
      <w:proofErr w:type="spellStart"/>
      <w:r w:rsidRPr="00E25C19">
        <w:rPr>
          <w:rFonts w:ascii="Calibri" w:hAnsi="Calibri" w:cs="Calibri"/>
          <w:sz w:val="24"/>
          <w:szCs w:val="24"/>
        </w:rPr>
        <w:t>Hardiman</w:t>
      </w:r>
      <w:proofErr w:type="spellEnd"/>
      <w:r w:rsidRPr="00E25C19">
        <w:rPr>
          <w:rFonts w:ascii="Calibri" w:hAnsi="Calibri" w:cs="Calibri"/>
          <w:sz w:val="24"/>
          <w:szCs w:val="24"/>
        </w:rPr>
        <w:t xml:space="preserve"> J. concurring) emphasised the</w:t>
      </w:r>
      <w:r w:rsidR="006B7DD7" w:rsidRPr="00E25C19">
        <w:rPr>
          <w:rFonts w:ascii="Calibri" w:hAnsi="Calibri" w:cs="Calibri"/>
          <w:sz w:val="24"/>
          <w:szCs w:val="24"/>
        </w:rPr>
        <w:t xml:space="preserve"> undesirability of retroactive interference in status</w:t>
      </w:r>
      <w:r w:rsidR="0057634F" w:rsidRPr="00E25C19">
        <w:rPr>
          <w:rFonts w:ascii="Calibri" w:hAnsi="Calibri" w:cs="Calibri"/>
          <w:sz w:val="24"/>
          <w:szCs w:val="24"/>
        </w:rPr>
        <w:t xml:space="preserve"> (and the impact on those who have ordered their affairs in reliance on the pre-existing law)</w:t>
      </w:r>
      <w:r w:rsidRPr="00E25C19">
        <w:rPr>
          <w:rFonts w:ascii="Calibri" w:hAnsi="Calibri" w:cs="Calibri"/>
          <w:sz w:val="24"/>
          <w:szCs w:val="24"/>
        </w:rPr>
        <w:t>.</w:t>
      </w:r>
      <w:r w:rsidR="0057634F" w:rsidRPr="00E25C19">
        <w:rPr>
          <w:rStyle w:val="FootnoteReference"/>
          <w:rFonts w:ascii="Calibri" w:hAnsi="Calibri" w:cs="Calibri"/>
          <w:sz w:val="24"/>
          <w:szCs w:val="24"/>
        </w:rPr>
        <w:footnoteReference w:id="32"/>
      </w:r>
      <w:r w:rsidRPr="00E25C19">
        <w:rPr>
          <w:rFonts w:ascii="Calibri" w:hAnsi="Calibri" w:cs="Calibri"/>
          <w:sz w:val="24"/>
          <w:szCs w:val="24"/>
        </w:rPr>
        <w:t xml:space="preserve"> </w:t>
      </w:r>
      <w:r w:rsidR="00861660" w:rsidRPr="00E25C19">
        <w:rPr>
          <w:rFonts w:ascii="Calibri" w:hAnsi="Calibri" w:cs="Calibri"/>
          <w:sz w:val="24"/>
          <w:szCs w:val="24"/>
        </w:rPr>
        <w:t>For Clarke J.</w:t>
      </w:r>
      <w:r w:rsidR="00AD2378" w:rsidRPr="00E25C19">
        <w:rPr>
          <w:rFonts w:ascii="Calibri" w:hAnsi="Calibri" w:cs="Calibri"/>
          <w:sz w:val="24"/>
          <w:szCs w:val="24"/>
        </w:rPr>
        <w:t>,</w:t>
      </w:r>
      <w:r w:rsidR="00861660" w:rsidRPr="00E25C19">
        <w:rPr>
          <w:rFonts w:ascii="Calibri" w:hAnsi="Calibri" w:cs="Calibri"/>
          <w:sz w:val="24"/>
          <w:szCs w:val="24"/>
        </w:rPr>
        <w:t xml:space="preserve"> springing divorces were as problematic as limping marriages, in particular where </w:t>
      </w:r>
      <w:r w:rsidR="004B57FC" w:rsidRPr="00E25C19">
        <w:rPr>
          <w:rFonts w:ascii="Calibri" w:hAnsi="Calibri" w:cs="Calibri"/>
          <w:sz w:val="24"/>
          <w:szCs w:val="24"/>
        </w:rPr>
        <w:t>foreign divorces obtain</w:t>
      </w:r>
      <w:r w:rsidR="00861660" w:rsidRPr="00E25C19">
        <w:rPr>
          <w:rFonts w:ascii="Calibri" w:hAnsi="Calibri" w:cs="Calibri"/>
          <w:sz w:val="24"/>
          <w:szCs w:val="24"/>
        </w:rPr>
        <w:t xml:space="preserve">ed </w:t>
      </w:r>
      <w:r w:rsidR="00063350" w:rsidRPr="00E25C19">
        <w:rPr>
          <w:rFonts w:ascii="Calibri" w:hAnsi="Calibri" w:cs="Calibri"/>
          <w:sz w:val="24"/>
          <w:szCs w:val="24"/>
        </w:rPr>
        <w:t xml:space="preserve">very </w:t>
      </w:r>
      <w:r w:rsidR="00861660" w:rsidRPr="00E25C19">
        <w:rPr>
          <w:rFonts w:ascii="Calibri" w:hAnsi="Calibri" w:cs="Calibri"/>
          <w:sz w:val="24"/>
          <w:szCs w:val="24"/>
        </w:rPr>
        <w:t>many year</w:t>
      </w:r>
      <w:r w:rsidR="004B57FC" w:rsidRPr="00E25C19">
        <w:rPr>
          <w:rFonts w:ascii="Calibri" w:hAnsi="Calibri" w:cs="Calibri"/>
          <w:sz w:val="24"/>
          <w:szCs w:val="24"/>
        </w:rPr>
        <w:t>s earlier were validated by a widening</w:t>
      </w:r>
      <w:r w:rsidR="0005679A" w:rsidRPr="00E25C19">
        <w:rPr>
          <w:rFonts w:ascii="Calibri" w:hAnsi="Calibri" w:cs="Calibri"/>
          <w:sz w:val="24"/>
          <w:szCs w:val="24"/>
        </w:rPr>
        <w:t xml:space="preserve"> of common law </w:t>
      </w:r>
      <w:r w:rsidR="004B57FC" w:rsidRPr="00E25C19">
        <w:rPr>
          <w:rFonts w:ascii="Calibri" w:hAnsi="Calibri" w:cs="Calibri"/>
          <w:sz w:val="24"/>
          <w:szCs w:val="24"/>
        </w:rPr>
        <w:t xml:space="preserve">recognition </w:t>
      </w:r>
      <w:r w:rsidR="0005679A" w:rsidRPr="00E25C19">
        <w:rPr>
          <w:rFonts w:ascii="Calibri" w:hAnsi="Calibri" w:cs="Calibri"/>
          <w:sz w:val="24"/>
          <w:szCs w:val="24"/>
        </w:rPr>
        <w:t>principles</w:t>
      </w:r>
      <w:r w:rsidR="00861660" w:rsidRPr="00E25C19">
        <w:rPr>
          <w:rFonts w:ascii="Calibri" w:hAnsi="Calibri" w:cs="Calibri"/>
          <w:sz w:val="24"/>
          <w:szCs w:val="24"/>
        </w:rPr>
        <w:t>.</w:t>
      </w:r>
      <w:r w:rsidR="004B57FC" w:rsidRPr="00E25C19">
        <w:rPr>
          <w:rStyle w:val="FootnoteReference"/>
          <w:rFonts w:ascii="Calibri" w:hAnsi="Calibri" w:cs="Calibri"/>
          <w:sz w:val="24"/>
          <w:szCs w:val="24"/>
        </w:rPr>
        <w:footnoteReference w:id="33"/>
      </w:r>
      <w:r w:rsidR="00861660" w:rsidRPr="00E25C19">
        <w:rPr>
          <w:rFonts w:ascii="Calibri" w:hAnsi="Calibri" w:cs="Calibri"/>
          <w:sz w:val="24"/>
          <w:szCs w:val="24"/>
        </w:rPr>
        <w:t xml:space="preserve"> Clarke J</w:t>
      </w:r>
      <w:r w:rsidR="00AD2378" w:rsidRPr="00E25C19">
        <w:rPr>
          <w:rFonts w:ascii="Calibri" w:hAnsi="Calibri" w:cs="Calibri"/>
          <w:sz w:val="24"/>
          <w:szCs w:val="24"/>
        </w:rPr>
        <w:t>.</w:t>
      </w:r>
      <w:r w:rsidR="00861660" w:rsidRPr="00E25C19">
        <w:rPr>
          <w:rFonts w:ascii="Calibri" w:hAnsi="Calibri" w:cs="Calibri"/>
          <w:sz w:val="24"/>
          <w:szCs w:val="24"/>
        </w:rPr>
        <w:t xml:space="preserve"> also expressed concern as to the implications of a Supreme Court affirmation of residence-based recognition for those who had obtained a judicial determination of non-recognition in reliance on the </w:t>
      </w:r>
      <w:r w:rsidR="004B57FC" w:rsidRPr="00E25C19">
        <w:rPr>
          <w:rFonts w:ascii="Calibri" w:hAnsi="Calibri" w:cs="Calibri"/>
          <w:sz w:val="24"/>
          <w:szCs w:val="24"/>
        </w:rPr>
        <w:t>“old” view of the common law</w:t>
      </w:r>
      <w:r w:rsidR="002C7A4D" w:rsidRPr="00E25C19">
        <w:rPr>
          <w:rFonts w:ascii="Calibri" w:hAnsi="Calibri" w:cs="Calibri"/>
          <w:sz w:val="24"/>
          <w:szCs w:val="24"/>
        </w:rPr>
        <w:t>.</w:t>
      </w:r>
      <w:r w:rsidR="004B57FC" w:rsidRPr="00E25C19">
        <w:rPr>
          <w:rStyle w:val="FootnoteReference"/>
          <w:rFonts w:ascii="Calibri" w:hAnsi="Calibri" w:cs="Calibri"/>
          <w:sz w:val="24"/>
          <w:szCs w:val="24"/>
        </w:rPr>
        <w:footnoteReference w:id="34"/>
      </w:r>
      <w:r w:rsidR="002C7A4D" w:rsidRPr="00E25C19">
        <w:rPr>
          <w:rFonts w:ascii="Calibri" w:hAnsi="Calibri" w:cs="Calibri"/>
          <w:sz w:val="24"/>
          <w:szCs w:val="24"/>
        </w:rPr>
        <w:t xml:space="preserve"> Clarke J</w:t>
      </w:r>
      <w:r w:rsidR="0005679A" w:rsidRPr="00E25C19">
        <w:rPr>
          <w:rFonts w:ascii="Calibri" w:hAnsi="Calibri" w:cs="Calibri"/>
          <w:sz w:val="24"/>
          <w:szCs w:val="24"/>
        </w:rPr>
        <w:t>.</w:t>
      </w:r>
      <w:r w:rsidR="002C7A4D" w:rsidRPr="00E25C19">
        <w:rPr>
          <w:rFonts w:ascii="Calibri" w:hAnsi="Calibri" w:cs="Calibri"/>
          <w:sz w:val="24"/>
          <w:szCs w:val="24"/>
        </w:rPr>
        <w:t xml:space="preserve"> thought that these considerations reinforced the view that a legislative solution w</w:t>
      </w:r>
      <w:r w:rsidR="006B4C24" w:rsidRPr="00E25C19">
        <w:rPr>
          <w:rFonts w:ascii="Calibri" w:hAnsi="Calibri" w:cs="Calibri"/>
          <w:sz w:val="24"/>
          <w:szCs w:val="24"/>
        </w:rPr>
        <w:t>as more appropriate</w:t>
      </w:r>
      <w:r w:rsidR="00D7440A" w:rsidRPr="00E25C19">
        <w:rPr>
          <w:rFonts w:ascii="Calibri" w:hAnsi="Calibri" w:cs="Calibri"/>
          <w:sz w:val="24"/>
          <w:szCs w:val="24"/>
        </w:rPr>
        <w:t>. Legislators could weigh up the advantages and disadvantages of retrospectivity and impose tailored solutions</w:t>
      </w:r>
      <w:r w:rsidR="004B57FC" w:rsidRPr="00E25C19">
        <w:rPr>
          <w:rFonts w:ascii="Calibri" w:hAnsi="Calibri" w:cs="Calibri"/>
          <w:sz w:val="24"/>
          <w:szCs w:val="24"/>
        </w:rPr>
        <w:t>, and this was preferable to the blanket retrospective effect of a judicial modification of the common law</w:t>
      </w:r>
      <w:r w:rsidR="00D7440A" w:rsidRPr="00E25C19">
        <w:rPr>
          <w:rFonts w:ascii="Calibri" w:hAnsi="Calibri" w:cs="Calibri"/>
          <w:sz w:val="24"/>
          <w:szCs w:val="24"/>
        </w:rPr>
        <w:t>.</w:t>
      </w:r>
      <w:r w:rsidR="00D7440A" w:rsidRPr="00E25C19">
        <w:rPr>
          <w:rStyle w:val="FootnoteReference"/>
          <w:rFonts w:ascii="Calibri" w:hAnsi="Calibri" w:cs="Calibri"/>
          <w:sz w:val="24"/>
          <w:szCs w:val="24"/>
        </w:rPr>
        <w:footnoteReference w:id="35"/>
      </w:r>
      <w:r w:rsidR="002C7A4D" w:rsidRPr="00E25C19">
        <w:rPr>
          <w:rFonts w:ascii="Calibri" w:hAnsi="Calibri" w:cs="Calibri"/>
          <w:sz w:val="24"/>
          <w:szCs w:val="24"/>
        </w:rPr>
        <w:t xml:space="preserve"> </w:t>
      </w:r>
    </w:p>
    <w:p w:rsidR="00063350" w:rsidRPr="00E25C19" w:rsidRDefault="00063350" w:rsidP="00883B96">
      <w:pPr>
        <w:jc w:val="both"/>
        <w:rPr>
          <w:rFonts w:ascii="Calibri" w:hAnsi="Calibri" w:cs="Calibri"/>
          <w:sz w:val="24"/>
          <w:szCs w:val="24"/>
        </w:rPr>
      </w:pPr>
      <w:r w:rsidRPr="00E25C19">
        <w:rPr>
          <w:rFonts w:ascii="Calibri" w:hAnsi="Calibri" w:cs="Calibri"/>
          <w:sz w:val="24"/>
          <w:szCs w:val="24"/>
        </w:rPr>
        <w:t>ANALYSIS OF THE MAJORITY APPROACH</w:t>
      </w:r>
    </w:p>
    <w:p w:rsidR="00D73162" w:rsidRPr="00E25C19" w:rsidRDefault="00BE1576" w:rsidP="00883B96">
      <w:pPr>
        <w:jc w:val="both"/>
        <w:rPr>
          <w:rFonts w:ascii="Calibri" w:hAnsi="Calibri" w:cs="Calibri"/>
          <w:sz w:val="24"/>
          <w:szCs w:val="24"/>
        </w:rPr>
      </w:pPr>
      <w:r w:rsidRPr="00E25C19">
        <w:rPr>
          <w:rFonts w:ascii="Calibri" w:hAnsi="Calibri" w:cs="Calibri"/>
          <w:sz w:val="24"/>
          <w:szCs w:val="24"/>
        </w:rPr>
        <w:lastRenderedPageBreak/>
        <w:t xml:space="preserve">The majority approach in </w:t>
      </w:r>
      <w:r w:rsidR="00FD66C3" w:rsidRPr="00E25C19">
        <w:rPr>
          <w:rFonts w:ascii="Calibri" w:hAnsi="Calibri" w:cs="Calibri"/>
          <w:i/>
          <w:sz w:val="24"/>
          <w:szCs w:val="24"/>
        </w:rPr>
        <w:t>H v H</w:t>
      </w:r>
      <w:r w:rsidR="00394B76" w:rsidRPr="00E25C19">
        <w:rPr>
          <w:rFonts w:ascii="Calibri" w:hAnsi="Calibri" w:cs="Calibri"/>
          <w:sz w:val="24"/>
          <w:szCs w:val="24"/>
        </w:rPr>
        <w:t xml:space="preserve"> is open to criticism on a number of grounds. Dunne J. contrasts </w:t>
      </w:r>
      <w:proofErr w:type="spellStart"/>
      <w:r w:rsidR="00FD66C3" w:rsidRPr="00E25C19">
        <w:rPr>
          <w:rFonts w:ascii="Calibri" w:hAnsi="Calibri" w:cs="Calibri"/>
          <w:i/>
          <w:sz w:val="24"/>
          <w:szCs w:val="24"/>
        </w:rPr>
        <w:t>McG</w:t>
      </w:r>
      <w:proofErr w:type="spellEnd"/>
      <w:r w:rsidR="00FD66C3" w:rsidRPr="00E25C19">
        <w:rPr>
          <w:rFonts w:ascii="Calibri" w:hAnsi="Calibri" w:cs="Calibri"/>
          <w:i/>
          <w:sz w:val="24"/>
          <w:szCs w:val="24"/>
        </w:rPr>
        <w:t xml:space="preserve"> v W</w:t>
      </w:r>
      <w:r w:rsidR="00394B76" w:rsidRPr="00E25C19">
        <w:rPr>
          <w:rFonts w:ascii="Calibri" w:hAnsi="Calibri" w:cs="Calibri"/>
          <w:sz w:val="24"/>
          <w:szCs w:val="24"/>
        </w:rPr>
        <w:t xml:space="preserve"> with </w:t>
      </w:r>
      <w:r w:rsidR="00394B76" w:rsidRPr="00E25C19">
        <w:rPr>
          <w:rFonts w:ascii="Calibri" w:hAnsi="Calibri" w:cs="Calibri"/>
          <w:i/>
          <w:sz w:val="24"/>
          <w:szCs w:val="24"/>
        </w:rPr>
        <w:t>W v W</w:t>
      </w:r>
      <w:r w:rsidR="00394B76" w:rsidRPr="00E25C19">
        <w:rPr>
          <w:rFonts w:ascii="Calibri" w:hAnsi="Calibri" w:cs="Calibri"/>
          <w:sz w:val="24"/>
          <w:szCs w:val="24"/>
        </w:rPr>
        <w:t xml:space="preserve"> and opines that the approach of the Supreme Court in </w:t>
      </w:r>
      <w:r w:rsidR="00394B76" w:rsidRPr="00E25C19">
        <w:rPr>
          <w:rFonts w:ascii="Calibri" w:hAnsi="Calibri" w:cs="Calibri"/>
          <w:i/>
          <w:sz w:val="24"/>
          <w:szCs w:val="24"/>
        </w:rPr>
        <w:t>W v W</w:t>
      </w:r>
      <w:r w:rsidR="00394B76" w:rsidRPr="00E25C19">
        <w:rPr>
          <w:rFonts w:ascii="Calibri" w:hAnsi="Calibri" w:cs="Calibri"/>
          <w:sz w:val="24"/>
          <w:szCs w:val="24"/>
        </w:rPr>
        <w:t xml:space="preserve"> was “entirely consistent with the statutory policy apparent in the provisions of the Act of 1986”.</w:t>
      </w:r>
      <w:r w:rsidR="001257C9" w:rsidRPr="00E25C19">
        <w:rPr>
          <w:rStyle w:val="FootnoteReference"/>
          <w:rFonts w:ascii="Calibri" w:hAnsi="Calibri" w:cs="Calibri"/>
          <w:sz w:val="24"/>
          <w:szCs w:val="24"/>
        </w:rPr>
        <w:footnoteReference w:id="36"/>
      </w:r>
      <w:r w:rsidR="00394B76" w:rsidRPr="00E25C19">
        <w:rPr>
          <w:rFonts w:ascii="Calibri" w:hAnsi="Calibri" w:cs="Calibri"/>
          <w:sz w:val="24"/>
          <w:szCs w:val="24"/>
        </w:rPr>
        <w:t xml:space="preserve"> This is a questionable statement insofar as the Supreme Court in </w:t>
      </w:r>
      <w:r w:rsidR="00394B76" w:rsidRPr="00E25C19">
        <w:rPr>
          <w:rFonts w:ascii="Calibri" w:hAnsi="Calibri" w:cs="Calibri"/>
          <w:i/>
          <w:sz w:val="24"/>
          <w:szCs w:val="24"/>
        </w:rPr>
        <w:t>W v W</w:t>
      </w:r>
      <w:r w:rsidR="00394B76" w:rsidRPr="00E25C19">
        <w:rPr>
          <w:rFonts w:ascii="Calibri" w:hAnsi="Calibri" w:cs="Calibri"/>
          <w:sz w:val="24"/>
          <w:szCs w:val="24"/>
        </w:rPr>
        <w:t xml:space="preserve"> had chosen to give retrospective effect to a policy which had been adopted by the </w:t>
      </w:r>
      <w:proofErr w:type="spellStart"/>
      <w:r w:rsidR="00394B76" w:rsidRPr="00E25C19">
        <w:rPr>
          <w:rFonts w:ascii="Calibri" w:hAnsi="Calibri" w:cs="Calibri"/>
          <w:sz w:val="24"/>
          <w:szCs w:val="24"/>
        </w:rPr>
        <w:t>Oireachtas</w:t>
      </w:r>
      <w:proofErr w:type="spellEnd"/>
      <w:r w:rsidR="00394B76" w:rsidRPr="00E25C19">
        <w:rPr>
          <w:rFonts w:ascii="Calibri" w:hAnsi="Calibri" w:cs="Calibri"/>
          <w:sz w:val="24"/>
          <w:szCs w:val="24"/>
        </w:rPr>
        <w:t xml:space="preserve"> on a prospective basis only. </w:t>
      </w:r>
      <w:r w:rsidR="00E8453A" w:rsidRPr="00E25C19">
        <w:rPr>
          <w:rFonts w:ascii="Calibri" w:hAnsi="Calibri" w:cs="Calibri"/>
          <w:sz w:val="24"/>
          <w:szCs w:val="24"/>
        </w:rPr>
        <w:t xml:space="preserve">Applying the logic of Dunne J. with respect to the refusal to amend the 1986 Act, one might argue that the Supreme Court in </w:t>
      </w:r>
      <w:r w:rsidR="00E8453A" w:rsidRPr="00E25C19">
        <w:rPr>
          <w:rFonts w:ascii="Calibri" w:hAnsi="Calibri" w:cs="Calibri"/>
          <w:i/>
          <w:sz w:val="24"/>
          <w:szCs w:val="24"/>
        </w:rPr>
        <w:t>W v W</w:t>
      </w:r>
      <w:r w:rsidR="00E8453A" w:rsidRPr="00E25C19">
        <w:rPr>
          <w:rFonts w:ascii="Calibri" w:hAnsi="Calibri" w:cs="Calibri"/>
          <w:sz w:val="24"/>
          <w:szCs w:val="24"/>
        </w:rPr>
        <w:t xml:space="preserve"> was interfering with and undermining a legislative choice expressed in the 1986 Act.</w:t>
      </w:r>
      <w:r w:rsidR="00AF477D" w:rsidRPr="00E25C19">
        <w:rPr>
          <w:rStyle w:val="FootnoteReference"/>
          <w:rFonts w:ascii="Calibri" w:hAnsi="Calibri" w:cs="Calibri"/>
          <w:sz w:val="24"/>
          <w:szCs w:val="24"/>
        </w:rPr>
        <w:footnoteReference w:id="37"/>
      </w:r>
      <w:r w:rsidR="00E8453A" w:rsidRPr="00E25C19">
        <w:rPr>
          <w:rFonts w:ascii="Calibri" w:hAnsi="Calibri" w:cs="Calibri"/>
          <w:sz w:val="24"/>
          <w:szCs w:val="24"/>
        </w:rPr>
        <w:t xml:space="preserve"> To paraphrase Dunne J.</w:t>
      </w:r>
      <w:r w:rsidR="001257C9" w:rsidRPr="00E25C19">
        <w:rPr>
          <w:rFonts w:ascii="Calibri" w:hAnsi="Calibri" w:cs="Calibri"/>
          <w:sz w:val="24"/>
          <w:szCs w:val="24"/>
        </w:rPr>
        <w:t>’s own reasoning</w:t>
      </w:r>
      <w:r w:rsidR="00E8453A" w:rsidRPr="00E25C19">
        <w:rPr>
          <w:rFonts w:ascii="Calibri" w:hAnsi="Calibri" w:cs="Calibri"/>
          <w:sz w:val="24"/>
          <w:szCs w:val="24"/>
        </w:rPr>
        <w:t xml:space="preserve">, if the </w:t>
      </w:r>
      <w:proofErr w:type="spellStart"/>
      <w:r w:rsidR="00E8453A" w:rsidRPr="00E25C19">
        <w:rPr>
          <w:rFonts w:ascii="Calibri" w:hAnsi="Calibri" w:cs="Calibri"/>
          <w:sz w:val="24"/>
          <w:szCs w:val="24"/>
        </w:rPr>
        <w:t>Oireachtas</w:t>
      </w:r>
      <w:proofErr w:type="spellEnd"/>
      <w:r w:rsidR="00E8453A" w:rsidRPr="00E25C19">
        <w:rPr>
          <w:rFonts w:ascii="Calibri" w:hAnsi="Calibri" w:cs="Calibri"/>
          <w:sz w:val="24"/>
          <w:szCs w:val="24"/>
        </w:rPr>
        <w:t xml:space="preserve"> had considered it appropriate to do so, there was no reason why retrospective effect could not have been given to the terms of the 1986 Act.</w:t>
      </w:r>
      <w:r w:rsidR="00D73162" w:rsidRPr="00E25C19">
        <w:rPr>
          <w:rFonts w:ascii="Calibri" w:hAnsi="Calibri" w:cs="Calibri"/>
          <w:sz w:val="24"/>
          <w:szCs w:val="24"/>
        </w:rPr>
        <w:t xml:space="preserve"> Therefore the logic of Dunne J.’s judgment suggests that </w:t>
      </w:r>
      <w:r w:rsidR="00C34376" w:rsidRPr="00E25C19">
        <w:rPr>
          <w:rFonts w:ascii="Calibri" w:hAnsi="Calibri" w:cs="Calibri"/>
          <w:i/>
          <w:sz w:val="24"/>
          <w:szCs w:val="24"/>
        </w:rPr>
        <w:t>W v W</w:t>
      </w:r>
      <w:r w:rsidR="00D73162" w:rsidRPr="00E25C19">
        <w:rPr>
          <w:rFonts w:ascii="Calibri" w:hAnsi="Calibri" w:cs="Calibri"/>
          <w:sz w:val="24"/>
          <w:szCs w:val="24"/>
        </w:rPr>
        <w:t xml:space="preserve"> was also wrongly decided, yet Dunne J. clearly approves of and relies on </w:t>
      </w:r>
      <w:r w:rsidR="00C34376" w:rsidRPr="00E25C19">
        <w:rPr>
          <w:rFonts w:ascii="Calibri" w:hAnsi="Calibri" w:cs="Calibri"/>
          <w:i/>
          <w:sz w:val="24"/>
          <w:szCs w:val="24"/>
        </w:rPr>
        <w:t>W v W</w:t>
      </w:r>
      <w:r w:rsidR="006B4919" w:rsidRPr="00E25C19">
        <w:rPr>
          <w:rFonts w:ascii="Calibri" w:hAnsi="Calibri" w:cs="Calibri"/>
          <w:sz w:val="24"/>
          <w:szCs w:val="24"/>
        </w:rPr>
        <w:t xml:space="preserve"> in e</w:t>
      </w:r>
      <w:r w:rsidR="00063350" w:rsidRPr="00E25C19">
        <w:rPr>
          <w:rFonts w:ascii="Calibri" w:hAnsi="Calibri" w:cs="Calibri"/>
          <w:sz w:val="24"/>
          <w:szCs w:val="24"/>
        </w:rPr>
        <w:t xml:space="preserve">xpounding the </w:t>
      </w:r>
      <w:r w:rsidR="00C34376" w:rsidRPr="00E25C19">
        <w:rPr>
          <w:rFonts w:ascii="Calibri" w:hAnsi="Calibri" w:cs="Calibri"/>
          <w:sz w:val="24"/>
          <w:szCs w:val="24"/>
        </w:rPr>
        <w:t>law</w:t>
      </w:r>
      <w:r w:rsidR="006B4919" w:rsidRPr="00E25C19">
        <w:rPr>
          <w:rFonts w:ascii="Calibri" w:hAnsi="Calibri" w:cs="Calibri"/>
          <w:sz w:val="24"/>
          <w:szCs w:val="24"/>
        </w:rPr>
        <w:t>.</w:t>
      </w:r>
      <w:r w:rsidR="00552DA3" w:rsidRPr="00E25C19">
        <w:rPr>
          <w:rStyle w:val="FootnoteReference"/>
          <w:rFonts w:ascii="Calibri" w:hAnsi="Calibri" w:cs="Calibri"/>
          <w:sz w:val="24"/>
          <w:szCs w:val="24"/>
        </w:rPr>
        <w:footnoteReference w:id="38"/>
      </w:r>
      <w:r w:rsidR="006B4919" w:rsidRPr="00E25C19">
        <w:rPr>
          <w:rFonts w:ascii="Calibri" w:hAnsi="Calibri" w:cs="Calibri"/>
          <w:sz w:val="24"/>
          <w:szCs w:val="24"/>
        </w:rPr>
        <w:t xml:space="preserve"> </w:t>
      </w:r>
    </w:p>
    <w:p w:rsidR="00206554" w:rsidRPr="00E25C19" w:rsidRDefault="00063350" w:rsidP="00883B96">
      <w:pPr>
        <w:jc w:val="both"/>
        <w:rPr>
          <w:rFonts w:ascii="Calibri" w:hAnsi="Calibri" w:cs="Calibri"/>
          <w:sz w:val="24"/>
          <w:szCs w:val="24"/>
        </w:rPr>
      </w:pPr>
      <w:r w:rsidRPr="00E25C19">
        <w:rPr>
          <w:rFonts w:ascii="Calibri" w:hAnsi="Calibri" w:cs="Calibri"/>
          <w:sz w:val="24"/>
          <w:szCs w:val="24"/>
        </w:rPr>
        <w:t>Dunne J</w:t>
      </w:r>
      <w:r w:rsidR="006B4C24" w:rsidRPr="00E25C19">
        <w:rPr>
          <w:rFonts w:ascii="Calibri" w:hAnsi="Calibri" w:cs="Calibri"/>
          <w:sz w:val="24"/>
          <w:szCs w:val="24"/>
        </w:rPr>
        <w:t xml:space="preserve">.’s </w:t>
      </w:r>
      <w:r w:rsidR="00C34376" w:rsidRPr="00E25C19">
        <w:rPr>
          <w:rFonts w:ascii="Calibri" w:hAnsi="Calibri" w:cs="Calibri"/>
          <w:sz w:val="24"/>
          <w:szCs w:val="24"/>
        </w:rPr>
        <w:t xml:space="preserve">assumption that </w:t>
      </w:r>
      <w:r w:rsidR="006B4C24" w:rsidRPr="00E25C19">
        <w:rPr>
          <w:rFonts w:ascii="Calibri" w:hAnsi="Calibri" w:cs="Calibri"/>
          <w:sz w:val="24"/>
          <w:szCs w:val="24"/>
        </w:rPr>
        <w:t>the common law can only apply to foreign divorces granted prior to 2 October 1986</w:t>
      </w:r>
      <w:r w:rsidR="00CB5FF5" w:rsidRPr="00E25C19">
        <w:rPr>
          <w:rStyle w:val="FootnoteReference"/>
          <w:rFonts w:ascii="Calibri" w:hAnsi="Calibri" w:cs="Calibri"/>
          <w:sz w:val="24"/>
          <w:szCs w:val="24"/>
        </w:rPr>
        <w:footnoteReference w:id="39"/>
      </w:r>
      <w:r w:rsidR="006B4C24" w:rsidRPr="00E25C19">
        <w:rPr>
          <w:rFonts w:ascii="Calibri" w:hAnsi="Calibri" w:cs="Calibri"/>
          <w:sz w:val="24"/>
          <w:szCs w:val="24"/>
        </w:rPr>
        <w:t xml:space="preserve"> – and</w:t>
      </w:r>
      <w:r w:rsidR="005C2FD9" w:rsidRPr="00E25C19">
        <w:rPr>
          <w:rFonts w:ascii="Calibri" w:hAnsi="Calibri" w:cs="Calibri"/>
          <w:sz w:val="24"/>
          <w:szCs w:val="24"/>
        </w:rPr>
        <w:t xml:space="preserve"> </w:t>
      </w:r>
      <w:r w:rsidR="00C34376" w:rsidRPr="00E25C19">
        <w:rPr>
          <w:rFonts w:ascii="Calibri" w:hAnsi="Calibri" w:cs="Calibri"/>
          <w:sz w:val="24"/>
          <w:szCs w:val="24"/>
        </w:rPr>
        <w:t>her rejection of residence-based recognition at common law in order to avoid the anomalous implications of that assumption</w:t>
      </w:r>
      <w:r w:rsidR="00C34376" w:rsidRPr="00E25C19">
        <w:rPr>
          <w:rStyle w:val="FootnoteReference"/>
          <w:rFonts w:ascii="Calibri" w:hAnsi="Calibri" w:cs="Calibri"/>
          <w:sz w:val="24"/>
          <w:szCs w:val="24"/>
        </w:rPr>
        <w:footnoteReference w:id="40"/>
      </w:r>
      <w:r w:rsidR="00C34376" w:rsidRPr="00E25C19">
        <w:rPr>
          <w:rFonts w:ascii="Calibri" w:hAnsi="Calibri" w:cs="Calibri"/>
          <w:sz w:val="24"/>
          <w:szCs w:val="24"/>
        </w:rPr>
        <w:t xml:space="preserve"> – are also problematic</w:t>
      </w:r>
      <w:r w:rsidR="005C2FD9" w:rsidRPr="00E25C19">
        <w:rPr>
          <w:rFonts w:ascii="Calibri" w:hAnsi="Calibri" w:cs="Calibri"/>
          <w:sz w:val="24"/>
          <w:szCs w:val="24"/>
        </w:rPr>
        <w:t>.</w:t>
      </w:r>
      <w:r w:rsidR="006B4C24" w:rsidRPr="00E25C19">
        <w:rPr>
          <w:rFonts w:ascii="Calibri" w:hAnsi="Calibri" w:cs="Calibri"/>
          <w:sz w:val="24"/>
          <w:szCs w:val="24"/>
        </w:rPr>
        <w:t xml:space="preserve"> </w:t>
      </w:r>
      <w:r w:rsidR="00206554" w:rsidRPr="00E25C19">
        <w:rPr>
          <w:rFonts w:ascii="Calibri" w:hAnsi="Calibri" w:cs="Calibri"/>
          <w:sz w:val="24"/>
          <w:szCs w:val="24"/>
        </w:rPr>
        <w:t>In fact, as was not</w:t>
      </w:r>
      <w:r w:rsidR="005C2FD9" w:rsidRPr="00E25C19">
        <w:rPr>
          <w:rFonts w:ascii="Calibri" w:hAnsi="Calibri" w:cs="Calibri"/>
          <w:sz w:val="24"/>
          <w:szCs w:val="24"/>
        </w:rPr>
        <w:t>ed by McGuin</w:t>
      </w:r>
      <w:r w:rsidR="00AD2378" w:rsidRPr="00E25C19">
        <w:rPr>
          <w:rFonts w:ascii="Calibri" w:hAnsi="Calibri" w:cs="Calibri"/>
          <w:sz w:val="24"/>
          <w:szCs w:val="24"/>
        </w:rPr>
        <w:t>n</w:t>
      </w:r>
      <w:r w:rsidR="005C2FD9" w:rsidRPr="00E25C19">
        <w:rPr>
          <w:rFonts w:ascii="Calibri" w:hAnsi="Calibri" w:cs="Calibri"/>
          <w:sz w:val="24"/>
          <w:szCs w:val="24"/>
        </w:rPr>
        <w:t xml:space="preserve">ess J. in </w:t>
      </w:r>
      <w:proofErr w:type="spellStart"/>
      <w:r w:rsidR="005C2FD9" w:rsidRPr="00E25C19">
        <w:rPr>
          <w:rFonts w:ascii="Calibri" w:hAnsi="Calibri" w:cs="Calibri"/>
          <w:i/>
          <w:sz w:val="24"/>
          <w:szCs w:val="24"/>
        </w:rPr>
        <w:t>McG</w:t>
      </w:r>
      <w:proofErr w:type="spellEnd"/>
      <w:r w:rsidR="00C34376" w:rsidRPr="00E25C19">
        <w:rPr>
          <w:rFonts w:ascii="Calibri" w:hAnsi="Calibri" w:cs="Calibri"/>
          <w:i/>
          <w:sz w:val="24"/>
          <w:szCs w:val="24"/>
        </w:rPr>
        <w:t xml:space="preserve"> v W</w:t>
      </w:r>
      <w:r w:rsidR="005C2FD9" w:rsidRPr="00E25C19">
        <w:rPr>
          <w:rFonts w:ascii="Calibri" w:hAnsi="Calibri" w:cs="Calibri"/>
          <w:sz w:val="24"/>
          <w:szCs w:val="24"/>
        </w:rPr>
        <w:t xml:space="preserve">, the language of the 1986 Act </w:t>
      </w:r>
      <w:r w:rsidR="00C34376" w:rsidRPr="00E25C19">
        <w:rPr>
          <w:rFonts w:ascii="Calibri" w:hAnsi="Calibri" w:cs="Calibri"/>
          <w:sz w:val="24"/>
          <w:szCs w:val="24"/>
        </w:rPr>
        <w:t>may allow</w:t>
      </w:r>
      <w:r w:rsidR="005C2FD9" w:rsidRPr="00E25C19">
        <w:rPr>
          <w:rFonts w:ascii="Calibri" w:hAnsi="Calibri" w:cs="Calibri"/>
          <w:sz w:val="24"/>
          <w:szCs w:val="24"/>
        </w:rPr>
        <w:t xml:space="preserve"> for the continued application of the common law even to post-1986 </w:t>
      </w:r>
      <w:r w:rsidR="00AD2378" w:rsidRPr="00E25C19">
        <w:rPr>
          <w:rFonts w:ascii="Calibri" w:hAnsi="Calibri" w:cs="Calibri"/>
          <w:sz w:val="24"/>
          <w:szCs w:val="24"/>
        </w:rPr>
        <w:t xml:space="preserve">Act </w:t>
      </w:r>
      <w:r w:rsidR="005C2FD9" w:rsidRPr="00E25C19">
        <w:rPr>
          <w:rFonts w:ascii="Calibri" w:hAnsi="Calibri" w:cs="Calibri"/>
          <w:sz w:val="24"/>
          <w:szCs w:val="24"/>
        </w:rPr>
        <w:t>foreign d</w:t>
      </w:r>
      <w:r w:rsidR="00C506FC" w:rsidRPr="00E25C19">
        <w:rPr>
          <w:rFonts w:ascii="Calibri" w:hAnsi="Calibri" w:cs="Calibri"/>
          <w:sz w:val="24"/>
          <w:szCs w:val="24"/>
        </w:rPr>
        <w:t>ivorces – and if this interpretation is correct,</w:t>
      </w:r>
      <w:r w:rsidR="004119F2" w:rsidRPr="00E25C19">
        <w:rPr>
          <w:rStyle w:val="FootnoteReference"/>
          <w:rFonts w:ascii="Calibri" w:hAnsi="Calibri" w:cs="Calibri"/>
          <w:sz w:val="24"/>
          <w:szCs w:val="24"/>
        </w:rPr>
        <w:footnoteReference w:id="41"/>
      </w:r>
      <w:r w:rsidR="00C506FC" w:rsidRPr="00E25C19">
        <w:rPr>
          <w:rFonts w:ascii="Calibri" w:hAnsi="Calibri" w:cs="Calibri"/>
          <w:sz w:val="24"/>
          <w:szCs w:val="24"/>
        </w:rPr>
        <w:t xml:space="preserve"> there would be no anomaly as between pre-and post-1986 </w:t>
      </w:r>
      <w:r w:rsidR="00AD2378" w:rsidRPr="00E25C19">
        <w:rPr>
          <w:rFonts w:ascii="Calibri" w:hAnsi="Calibri" w:cs="Calibri"/>
          <w:sz w:val="24"/>
          <w:szCs w:val="24"/>
        </w:rPr>
        <w:t xml:space="preserve">Act </w:t>
      </w:r>
      <w:r w:rsidR="00C506FC" w:rsidRPr="00E25C19">
        <w:rPr>
          <w:rFonts w:ascii="Calibri" w:hAnsi="Calibri" w:cs="Calibri"/>
          <w:sz w:val="24"/>
          <w:szCs w:val="24"/>
        </w:rPr>
        <w:t>divorces</w:t>
      </w:r>
      <w:r w:rsidR="0037150C" w:rsidRPr="00E25C19">
        <w:rPr>
          <w:rFonts w:ascii="Calibri" w:hAnsi="Calibri" w:cs="Calibri"/>
          <w:sz w:val="24"/>
          <w:szCs w:val="24"/>
        </w:rPr>
        <w:t xml:space="preserve"> even with an expansion of the common law grounds</w:t>
      </w:r>
      <w:r w:rsidR="00C506FC" w:rsidRPr="00E25C19">
        <w:rPr>
          <w:rFonts w:ascii="Calibri" w:hAnsi="Calibri" w:cs="Calibri"/>
          <w:sz w:val="24"/>
          <w:szCs w:val="24"/>
        </w:rPr>
        <w:t xml:space="preserve">: all foreign divorces (other than those </w:t>
      </w:r>
      <w:r w:rsidR="0037150C" w:rsidRPr="00E25C19">
        <w:rPr>
          <w:rFonts w:ascii="Calibri" w:hAnsi="Calibri" w:cs="Calibri"/>
          <w:sz w:val="24"/>
          <w:szCs w:val="24"/>
        </w:rPr>
        <w:t>benefitting from</w:t>
      </w:r>
      <w:r w:rsidR="00C506FC" w:rsidRPr="00E25C19">
        <w:rPr>
          <w:rFonts w:ascii="Calibri" w:hAnsi="Calibri" w:cs="Calibri"/>
          <w:sz w:val="24"/>
          <w:szCs w:val="24"/>
        </w:rPr>
        <w:t xml:space="preserve"> the EU rules) would be entitled to recognition based on </w:t>
      </w:r>
      <w:r w:rsidR="00903A5C" w:rsidRPr="00E25C19">
        <w:rPr>
          <w:rFonts w:ascii="Calibri" w:hAnsi="Calibri" w:cs="Calibri"/>
          <w:i/>
          <w:sz w:val="24"/>
          <w:szCs w:val="24"/>
        </w:rPr>
        <w:t>either</w:t>
      </w:r>
      <w:r w:rsidR="00903A5C" w:rsidRPr="00E25C19">
        <w:rPr>
          <w:rFonts w:ascii="Calibri" w:hAnsi="Calibri" w:cs="Calibri"/>
          <w:sz w:val="24"/>
          <w:szCs w:val="24"/>
        </w:rPr>
        <w:t xml:space="preserve"> </w:t>
      </w:r>
      <w:r w:rsidR="00C506FC" w:rsidRPr="00E25C19">
        <w:rPr>
          <w:rFonts w:ascii="Calibri" w:hAnsi="Calibri" w:cs="Calibri"/>
          <w:sz w:val="24"/>
          <w:szCs w:val="24"/>
        </w:rPr>
        <w:t xml:space="preserve">residence </w:t>
      </w:r>
      <w:r w:rsidR="00C506FC" w:rsidRPr="00E25C19">
        <w:rPr>
          <w:rFonts w:ascii="Calibri" w:hAnsi="Calibri" w:cs="Calibri"/>
          <w:i/>
          <w:sz w:val="24"/>
          <w:szCs w:val="24"/>
        </w:rPr>
        <w:t xml:space="preserve">or </w:t>
      </w:r>
      <w:r w:rsidR="00C506FC" w:rsidRPr="00E25C19">
        <w:rPr>
          <w:rFonts w:ascii="Calibri" w:hAnsi="Calibri" w:cs="Calibri"/>
          <w:sz w:val="24"/>
          <w:szCs w:val="24"/>
        </w:rPr>
        <w:t>domicile</w:t>
      </w:r>
      <w:r w:rsidR="00AD2378" w:rsidRPr="00E25C19">
        <w:rPr>
          <w:rFonts w:ascii="Calibri" w:hAnsi="Calibri" w:cs="Calibri"/>
          <w:sz w:val="24"/>
          <w:szCs w:val="24"/>
        </w:rPr>
        <w:t xml:space="preserve"> irrespective of the date of grant</w:t>
      </w:r>
      <w:r w:rsidR="00C506FC" w:rsidRPr="00E25C19">
        <w:rPr>
          <w:rFonts w:ascii="Calibri" w:hAnsi="Calibri" w:cs="Calibri"/>
          <w:sz w:val="24"/>
          <w:szCs w:val="24"/>
        </w:rPr>
        <w:t xml:space="preserve">. </w:t>
      </w:r>
    </w:p>
    <w:p w:rsidR="0013323F" w:rsidRPr="00E25C19" w:rsidRDefault="008B5C2C" w:rsidP="00883B96">
      <w:pPr>
        <w:jc w:val="both"/>
        <w:rPr>
          <w:rFonts w:ascii="Calibri" w:hAnsi="Calibri" w:cs="Calibri"/>
          <w:sz w:val="24"/>
          <w:szCs w:val="24"/>
        </w:rPr>
      </w:pPr>
      <w:r>
        <w:rPr>
          <w:rFonts w:ascii="Calibri" w:hAnsi="Calibri" w:cs="Calibri"/>
          <w:sz w:val="24"/>
          <w:szCs w:val="24"/>
        </w:rPr>
        <w:t>The language of s.</w:t>
      </w:r>
      <w:r w:rsidR="00903A5C" w:rsidRPr="00E25C19">
        <w:rPr>
          <w:rFonts w:ascii="Calibri" w:hAnsi="Calibri" w:cs="Calibri"/>
          <w:sz w:val="24"/>
          <w:szCs w:val="24"/>
        </w:rPr>
        <w:t xml:space="preserve"> 5(1) of the 1986 Act </w:t>
      </w:r>
      <w:r w:rsidR="00817AD6" w:rsidRPr="00E25C19">
        <w:rPr>
          <w:rFonts w:ascii="Calibri" w:hAnsi="Calibri" w:cs="Calibri"/>
          <w:sz w:val="24"/>
          <w:szCs w:val="24"/>
        </w:rPr>
        <w:t>provides explicit support</w:t>
      </w:r>
      <w:r w:rsidR="00A25112" w:rsidRPr="00E25C19">
        <w:rPr>
          <w:rFonts w:ascii="Calibri" w:hAnsi="Calibri" w:cs="Calibri"/>
          <w:sz w:val="24"/>
          <w:szCs w:val="24"/>
        </w:rPr>
        <w:t xml:space="preserve"> </w:t>
      </w:r>
      <w:r w:rsidR="000E6DDC" w:rsidRPr="00E25C19">
        <w:rPr>
          <w:rFonts w:ascii="Calibri" w:hAnsi="Calibri" w:cs="Calibri"/>
          <w:sz w:val="24"/>
          <w:szCs w:val="24"/>
        </w:rPr>
        <w:t xml:space="preserve">for </w:t>
      </w:r>
      <w:r w:rsidR="00A25112" w:rsidRPr="00E25C19">
        <w:rPr>
          <w:rFonts w:ascii="Calibri" w:hAnsi="Calibri" w:cs="Calibri"/>
          <w:sz w:val="24"/>
          <w:szCs w:val="24"/>
        </w:rPr>
        <w:t>this idea of a continuing role for the common law – it provides:</w:t>
      </w:r>
      <w:r w:rsidR="00903A5C" w:rsidRPr="00E25C19">
        <w:rPr>
          <w:rFonts w:ascii="Calibri" w:hAnsi="Calibri" w:cs="Calibri"/>
          <w:sz w:val="24"/>
          <w:szCs w:val="24"/>
        </w:rPr>
        <w:t xml:space="preserve"> “For the rule of law that a divorce is recognised if granted in a country where both spouses are domiciled, there is hereby substituted a rule that a divorce shall be recognised if granted in the country where either spouse is domiciled.”</w:t>
      </w:r>
      <w:r w:rsidR="005C2FD9" w:rsidRPr="00E25C19">
        <w:rPr>
          <w:rFonts w:ascii="Calibri" w:hAnsi="Calibri" w:cs="Calibri"/>
          <w:sz w:val="24"/>
          <w:szCs w:val="24"/>
        </w:rPr>
        <w:t xml:space="preserve"> </w:t>
      </w:r>
      <w:r w:rsidR="00903A5C" w:rsidRPr="00E25C19">
        <w:rPr>
          <w:rFonts w:ascii="Calibri" w:hAnsi="Calibri" w:cs="Calibri"/>
          <w:sz w:val="24"/>
          <w:szCs w:val="24"/>
        </w:rPr>
        <w:t xml:space="preserve">This provision is clearly intended to substitute the </w:t>
      </w:r>
      <w:r w:rsidR="005D69B7">
        <w:rPr>
          <w:rFonts w:ascii="Calibri" w:hAnsi="Calibri" w:cs="Calibri"/>
          <w:sz w:val="24"/>
          <w:szCs w:val="24"/>
        </w:rPr>
        <w:t>pre-</w:t>
      </w:r>
      <w:r w:rsidR="00903A5C" w:rsidRPr="00E25C19">
        <w:rPr>
          <w:rFonts w:ascii="Calibri" w:hAnsi="Calibri" w:cs="Calibri"/>
          <w:sz w:val="24"/>
          <w:szCs w:val="24"/>
        </w:rPr>
        <w:t xml:space="preserve">existing common law rule (based on common domicile) with </w:t>
      </w:r>
      <w:proofErr w:type="gramStart"/>
      <w:r w:rsidR="00903A5C" w:rsidRPr="00E25C19">
        <w:rPr>
          <w:rFonts w:ascii="Calibri" w:hAnsi="Calibri" w:cs="Calibri"/>
          <w:sz w:val="24"/>
          <w:szCs w:val="24"/>
        </w:rPr>
        <w:t>a new</w:t>
      </w:r>
      <w:proofErr w:type="gramEnd"/>
      <w:r w:rsidR="00903A5C" w:rsidRPr="00E25C19">
        <w:rPr>
          <w:rFonts w:ascii="Calibri" w:hAnsi="Calibri" w:cs="Calibri"/>
          <w:sz w:val="24"/>
          <w:szCs w:val="24"/>
        </w:rPr>
        <w:t xml:space="preserve"> “rule of law” enabling divorce recognition on the basis of the domicile of eithe</w:t>
      </w:r>
      <w:r w:rsidR="00A25112" w:rsidRPr="00E25C19">
        <w:rPr>
          <w:rFonts w:ascii="Calibri" w:hAnsi="Calibri" w:cs="Calibri"/>
          <w:sz w:val="24"/>
          <w:szCs w:val="24"/>
        </w:rPr>
        <w:t xml:space="preserve">r spouse. </w:t>
      </w:r>
      <w:r w:rsidR="0013323F" w:rsidRPr="00E25C19">
        <w:rPr>
          <w:rFonts w:ascii="Calibri" w:hAnsi="Calibri" w:cs="Calibri"/>
          <w:sz w:val="24"/>
          <w:szCs w:val="24"/>
        </w:rPr>
        <w:t xml:space="preserve">The </w:t>
      </w:r>
      <w:r w:rsidR="00817AD6" w:rsidRPr="00E25C19">
        <w:rPr>
          <w:rFonts w:ascii="Calibri" w:hAnsi="Calibri" w:cs="Calibri"/>
          <w:sz w:val="24"/>
          <w:szCs w:val="24"/>
        </w:rPr>
        <w:t xml:space="preserve">1986 </w:t>
      </w:r>
      <w:r>
        <w:rPr>
          <w:rFonts w:ascii="Calibri" w:hAnsi="Calibri" w:cs="Calibri"/>
          <w:sz w:val="24"/>
          <w:szCs w:val="24"/>
        </w:rPr>
        <w:t>Act also provides in s.</w:t>
      </w:r>
      <w:r w:rsidR="0013323F" w:rsidRPr="00E25C19">
        <w:rPr>
          <w:rFonts w:ascii="Calibri" w:hAnsi="Calibri" w:cs="Calibri"/>
          <w:sz w:val="24"/>
          <w:szCs w:val="24"/>
        </w:rPr>
        <w:t xml:space="preserve"> 5(4) for the </w:t>
      </w:r>
      <w:r w:rsidR="00D566B8" w:rsidRPr="00E25C19">
        <w:rPr>
          <w:rFonts w:ascii="Calibri" w:hAnsi="Calibri" w:cs="Calibri"/>
          <w:sz w:val="24"/>
          <w:szCs w:val="24"/>
        </w:rPr>
        <w:t xml:space="preserve">Irish </w:t>
      </w:r>
      <w:r w:rsidR="0013323F" w:rsidRPr="00E25C19">
        <w:rPr>
          <w:rFonts w:ascii="Calibri" w:hAnsi="Calibri" w:cs="Calibri"/>
          <w:sz w:val="24"/>
          <w:szCs w:val="24"/>
        </w:rPr>
        <w:t xml:space="preserve">recognition of divorces recognised in the country or countries where the spouses are domiciled at the date of institution of proceedings, even if neither was domiciled in the granting country – and </w:t>
      </w:r>
      <w:r>
        <w:rPr>
          <w:rFonts w:ascii="Calibri" w:hAnsi="Calibri" w:cs="Calibri"/>
          <w:sz w:val="24"/>
          <w:szCs w:val="24"/>
        </w:rPr>
        <w:t>in s.</w:t>
      </w:r>
      <w:r w:rsidR="00817AD6" w:rsidRPr="00E25C19">
        <w:rPr>
          <w:rFonts w:ascii="Calibri" w:hAnsi="Calibri" w:cs="Calibri"/>
          <w:sz w:val="24"/>
          <w:szCs w:val="24"/>
        </w:rPr>
        <w:t xml:space="preserve"> 5(3) for</w:t>
      </w:r>
      <w:r w:rsidR="0013323F" w:rsidRPr="00E25C19">
        <w:rPr>
          <w:rFonts w:ascii="Calibri" w:hAnsi="Calibri" w:cs="Calibri"/>
          <w:sz w:val="24"/>
          <w:szCs w:val="24"/>
        </w:rPr>
        <w:t xml:space="preserve"> domicile in any part of the United Kingdom to support recognition of a divorce granted in any other part of the United Kingdom.</w:t>
      </w:r>
      <w:r w:rsidR="000E6DDC" w:rsidRPr="00E25C19">
        <w:rPr>
          <w:rFonts w:ascii="Calibri" w:hAnsi="Calibri" w:cs="Calibri"/>
          <w:sz w:val="24"/>
          <w:szCs w:val="24"/>
        </w:rPr>
        <w:t xml:space="preserve"> These provisions do not use explicit</w:t>
      </w:r>
      <w:r w:rsidR="0013323F" w:rsidRPr="00E25C19">
        <w:rPr>
          <w:rFonts w:ascii="Calibri" w:hAnsi="Calibri" w:cs="Calibri"/>
          <w:sz w:val="24"/>
          <w:szCs w:val="24"/>
        </w:rPr>
        <w:t xml:space="preserve"> language of ‘substitution’ </w:t>
      </w:r>
      <w:r w:rsidR="000E6DDC" w:rsidRPr="00E25C19">
        <w:rPr>
          <w:rFonts w:ascii="Calibri" w:hAnsi="Calibri" w:cs="Calibri"/>
          <w:sz w:val="24"/>
          <w:szCs w:val="24"/>
        </w:rPr>
        <w:t xml:space="preserve">or ‘modification’ </w:t>
      </w:r>
      <w:r>
        <w:rPr>
          <w:rFonts w:ascii="Calibri" w:hAnsi="Calibri" w:cs="Calibri"/>
          <w:sz w:val="24"/>
          <w:szCs w:val="24"/>
        </w:rPr>
        <w:t>(as s.</w:t>
      </w:r>
      <w:r w:rsidR="0013323F" w:rsidRPr="00E25C19">
        <w:rPr>
          <w:rFonts w:ascii="Calibri" w:hAnsi="Calibri" w:cs="Calibri"/>
          <w:sz w:val="24"/>
          <w:szCs w:val="24"/>
        </w:rPr>
        <w:t xml:space="preserve"> 5(1) does); however, </w:t>
      </w:r>
      <w:r w:rsidR="0080412B" w:rsidRPr="00E25C19">
        <w:rPr>
          <w:rFonts w:ascii="Calibri" w:hAnsi="Calibri" w:cs="Calibri"/>
          <w:sz w:val="24"/>
          <w:szCs w:val="24"/>
        </w:rPr>
        <w:lastRenderedPageBreak/>
        <w:t>insofar as they seek</w:t>
      </w:r>
      <w:r w:rsidR="00817AD6" w:rsidRPr="00E25C19">
        <w:rPr>
          <w:rFonts w:ascii="Calibri" w:hAnsi="Calibri" w:cs="Calibri"/>
          <w:sz w:val="24"/>
          <w:szCs w:val="24"/>
        </w:rPr>
        <w:t xml:space="preserve"> to clarify and modify the common law</w:t>
      </w:r>
      <w:r w:rsidR="0080412B" w:rsidRPr="00E25C19">
        <w:rPr>
          <w:rFonts w:ascii="Calibri" w:hAnsi="Calibri" w:cs="Calibri"/>
          <w:sz w:val="24"/>
          <w:szCs w:val="24"/>
        </w:rPr>
        <w:t xml:space="preserve"> principles</w:t>
      </w:r>
      <w:r w:rsidR="00817AD6" w:rsidRPr="00E25C19">
        <w:rPr>
          <w:rFonts w:ascii="Calibri" w:hAnsi="Calibri" w:cs="Calibri"/>
          <w:sz w:val="24"/>
          <w:szCs w:val="24"/>
        </w:rPr>
        <w:t xml:space="preserve"> of divorce recognition,</w:t>
      </w:r>
      <w:r w:rsidR="00005BEA" w:rsidRPr="00E25C19">
        <w:rPr>
          <w:rStyle w:val="FootnoteReference"/>
          <w:rFonts w:ascii="Calibri" w:hAnsi="Calibri" w:cs="Calibri"/>
          <w:sz w:val="24"/>
          <w:szCs w:val="24"/>
        </w:rPr>
        <w:footnoteReference w:id="42"/>
      </w:r>
      <w:r w:rsidR="00817AD6" w:rsidRPr="00E25C19">
        <w:rPr>
          <w:rFonts w:ascii="Calibri" w:hAnsi="Calibri" w:cs="Calibri"/>
          <w:sz w:val="24"/>
          <w:szCs w:val="24"/>
        </w:rPr>
        <w:t xml:space="preserve"> </w:t>
      </w:r>
      <w:r w:rsidR="0080412B" w:rsidRPr="00E25C19">
        <w:rPr>
          <w:rFonts w:ascii="Calibri" w:hAnsi="Calibri" w:cs="Calibri"/>
          <w:sz w:val="24"/>
          <w:szCs w:val="24"/>
        </w:rPr>
        <w:t xml:space="preserve">they </w:t>
      </w:r>
      <w:r w:rsidR="00B11539" w:rsidRPr="00E25C19">
        <w:rPr>
          <w:rFonts w:ascii="Calibri" w:hAnsi="Calibri" w:cs="Calibri"/>
          <w:sz w:val="24"/>
          <w:szCs w:val="24"/>
        </w:rPr>
        <w:t xml:space="preserve">still </w:t>
      </w:r>
      <w:r w:rsidR="0080412B" w:rsidRPr="00E25C19">
        <w:rPr>
          <w:rFonts w:ascii="Calibri" w:hAnsi="Calibri" w:cs="Calibri"/>
          <w:sz w:val="24"/>
          <w:szCs w:val="24"/>
        </w:rPr>
        <w:t xml:space="preserve">tend to support a view of the </w:t>
      </w:r>
      <w:r w:rsidR="00B11539" w:rsidRPr="00E25C19">
        <w:rPr>
          <w:rFonts w:ascii="Calibri" w:hAnsi="Calibri" w:cs="Calibri"/>
          <w:sz w:val="24"/>
          <w:szCs w:val="24"/>
        </w:rPr>
        <w:t xml:space="preserve">Irish </w:t>
      </w:r>
      <w:r w:rsidR="0080412B" w:rsidRPr="00E25C19">
        <w:rPr>
          <w:rFonts w:ascii="Calibri" w:hAnsi="Calibri" w:cs="Calibri"/>
          <w:sz w:val="24"/>
          <w:szCs w:val="24"/>
        </w:rPr>
        <w:t xml:space="preserve">1986 Act as a measure which leaves </w:t>
      </w:r>
      <w:r w:rsidR="009970CF" w:rsidRPr="00E25C19">
        <w:rPr>
          <w:rFonts w:ascii="Calibri" w:hAnsi="Calibri" w:cs="Calibri"/>
          <w:sz w:val="24"/>
          <w:szCs w:val="24"/>
        </w:rPr>
        <w:t xml:space="preserve">foreign divorce recognition to the </w:t>
      </w:r>
      <w:r w:rsidR="000E6DDC" w:rsidRPr="00E25C19">
        <w:rPr>
          <w:rFonts w:ascii="Calibri" w:hAnsi="Calibri" w:cs="Calibri"/>
          <w:sz w:val="24"/>
          <w:szCs w:val="24"/>
        </w:rPr>
        <w:t>common law</w:t>
      </w:r>
      <w:r w:rsidR="0080412B" w:rsidRPr="00E25C19">
        <w:rPr>
          <w:rFonts w:ascii="Calibri" w:hAnsi="Calibri" w:cs="Calibri"/>
          <w:sz w:val="24"/>
          <w:szCs w:val="24"/>
        </w:rPr>
        <w:t>.</w:t>
      </w:r>
      <w:r w:rsidR="001054CF" w:rsidRPr="00E25C19">
        <w:rPr>
          <w:rStyle w:val="FootnoteReference"/>
          <w:rFonts w:ascii="Calibri" w:hAnsi="Calibri" w:cs="Calibri"/>
          <w:sz w:val="24"/>
          <w:szCs w:val="24"/>
        </w:rPr>
        <w:footnoteReference w:id="43"/>
      </w:r>
      <w:r w:rsidR="0080412B" w:rsidRPr="00E25C19">
        <w:rPr>
          <w:rFonts w:ascii="Calibri" w:hAnsi="Calibri" w:cs="Calibri"/>
          <w:sz w:val="24"/>
          <w:szCs w:val="24"/>
        </w:rPr>
        <w:t xml:space="preserve"> This sense that the Irish 1986 Act did not intend to place foreign divorce recognition on an exclusively statutory basis is reinforced when one contrasts the provisions of the Irish 1986 Act with those of the United Kingdom Family Law Act 1986. The UK Act sets down a comprehensive statutory recognition regime, and uses the formula </w:t>
      </w:r>
      <w:r w:rsidR="0013323F" w:rsidRPr="00E25C19">
        <w:rPr>
          <w:rFonts w:ascii="Calibri" w:hAnsi="Calibri" w:cs="Calibri"/>
          <w:sz w:val="24"/>
          <w:szCs w:val="24"/>
        </w:rPr>
        <w:t xml:space="preserve">‘if, and only if’ to </w:t>
      </w:r>
      <w:r w:rsidR="0080412B" w:rsidRPr="00E25C19">
        <w:rPr>
          <w:rFonts w:ascii="Calibri" w:hAnsi="Calibri" w:cs="Calibri"/>
          <w:sz w:val="24"/>
          <w:szCs w:val="24"/>
        </w:rPr>
        <w:t>emphasise the exclusivity of those statutory rules</w:t>
      </w:r>
      <w:r w:rsidR="0013323F" w:rsidRPr="00E25C19">
        <w:rPr>
          <w:rFonts w:ascii="Calibri" w:hAnsi="Calibri" w:cs="Calibri"/>
          <w:sz w:val="24"/>
          <w:szCs w:val="24"/>
        </w:rPr>
        <w:t>, and to rule out any further reliance on the common law</w:t>
      </w:r>
      <w:r w:rsidR="0080412B" w:rsidRPr="00E25C19">
        <w:rPr>
          <w:rFonts w:ascii="Calibri" w:hAnsi="Calibri" w:cs="Calibri"/>
          <w:sz w:val="24"/>
          <w:szCs w:val="24"/>
        </w:rPr>
        <w:t>.</w:t>
      </w:r>
      <w:r w:rsidR="001054CF" w:rsidRPr="00E25C19">
        <w:rPr>
          <w:rStyle w:val="FootnoteReference"/>
          <w:rFonts w:ascii="Calibri" w:hAnsi="Calibri" w:cs="Calibri"/>
          <w:sz w:val="24"/>
          <w:szCs w:val="24"/>
        </w:rPr>
        <w:footnoteReference w:id="44"/>
      </w:r>
      <w:r w:rsidR="0080412B" w:rsidRPr="00E25C19">
        <w:rPr>
          <w:rFonts w:ascii="Calibri" w:hAnsi="Calibri" w:cs="Calibri"/>
          <w:sz w:val="24"/>
          <w:szCs w:val="24"/>
        </w:rPr>
        <w:t xml:space="preserve"> Shatter in his 1997 </w:t>
      </w:r>
      <w:r w:rsidR="0080412B" w:rsidRPr="00E25C19">
        <w:rPr>
          <w:rFonts w:ascii="Calibri" w:hAnsi="Calibri" w:cs="Calibri"/>
          <w:i/>
          <w:sz w:val="24"/>
          <w:szCs w:val="24"/>
        </w:rPr>
        <w:t>Family Law</w:t>
      </w:r>
      <w:r w:rsidR="0080412B" w:rsidRPr="00E25C19">
        <w:rPr>
          <w:rFonts w:ascii="Calibri" w:hAnsi="Calibri" w:cs="Calibri"/>
          <w:sz w:val="24"/>
          <w:szCs w:val="24"/>
        </w:rPr>
        <w:t xml:space="preserve"> text</w:t>
      </w:r>
      <w:r w:rsidR="009970CF" w:rsidRPr="00E25C19">
        <w:rPr>
          <w:rFonts w:ascii="Calibri" w:hAnsi="Calibri" w:cs="Calibri"/>
          <w:sz w:val="24"/>
          <w:szCs w:val="24"/>
        </w:rPr>
        <w:t xml:space="preserve"> shares</w:t>
      </w:r>
      <w:r w:rsidR="0080412B" w:rsidRPr="00E25C19">
        <w:rPr>
          <w:rFonts w:ascii="Calibri" w:hAnsi="Calibri" w:cs="Calibri"/>
          <w:sz w:val="24"/>
          <w:szCs w:val="24"/>
        </w:rPr>
        <w:t xml:space="preserve"> this view that “[o]</w:t>
      </w:r>
      <w:proofErr w:type="spellStart"/>
      <w:r w:rsidR="0080412B" w:rsidRPr="00E25C19">
        <w:rPr>
          <w:rFonts w:ascii="Calibri" w:hAnsi="Calibri" w:cs="Calibri"/>
          <w:sz w:val="24"/>
          <w:szCs w:val="24"/>
        </w:rPr>
        <w:t>ur</w:t>
      </w:r>
      <w:proofErr w:type="spellEnd"/>
      <w:r w:rsidR="0080412B" w:rsidRPr="00E25C19">
        <w:rPr>
          <w:rFonts w:ascii="Calibri" w:hAnsi="Calibri" w:cs="Calibri"/>
          <w:sz w:val="24"/>
          <w:szCs w:val="24"/>
        </w:rPr>
        <w:t xml:space="preserve"> recognition rules are essentially a product of the common law”.</w:t>
      </w:r>
      <w:r w:rsidR="0080412B" w:rsidRPr="00E25C19">
        <w:rPr>
          <w:rStyle w:val="FootnoteReference"/>
          <w:rFonts w:ascii="Calibri" w:hAnsi="Calibri" w:cs="Calibri"/>
          <w:sz w:val="24"/>
          <w:szCs w:val="24"/>
        </w:rPr>
        <w:footnoteReference w:id="45"/>
      </w:r>
    </w:p>
    <w:p w:rsidR="0006486D" w:rsidRPr="00E25C19" w:rsidRDefault="00063B6A" w:rsidP="00F52BB4">
      <w:pPr>
        <w:jc w:val="both"/>
        <w:rPr>
          <w:rFonts w:ascii="Calibri" w:hAnsi="Calibri" w:cs="Calibri"/>
          <w:sz w:val="24"/>
          <w:szCs w:val="24"/>
        </w:rPr>
      </w:pPr>
      <w:r w:rsidRPr="00E25C19">
        <w:rPr>
          <w:rFonts w:ascii="Calibri" w:hAnsi="Calibri" w:cs="Calibri"/>
          <w:sz w:val="24"/>
          <w:szCs w:val="24"/>
        </w:rPr>
        <w:t xml:space="preserve">The Supreme Court in </w:t>
      </w:r>
      <w:r w:rsidRPr="00E25C19">
        <w:rPr>
          <w:rFonts w:ascii="Calibri" w:hAnsi="Calibri" w:cs="Calibri"/>
          <w:i/>
          <w:sz w:val="24"/>
          <w:szCs w:val="24"/>
        </w:rPr>
        <w:t>H v H</w:t>
      </w:r>
      <w:r w:rsidRPr="00E25C19">
        <w:rPr>
          <w:rFonts w:ascii="Calibri" w:hAnsi="Calibri" w:cs="Calibri"/>
          <w:sz w:val="24"/>
          <w:szCs w:val="24"/>
        </w:rPr>
        <w:t xml:space="preserve"> was only asked to determine the law applicable to </w:t>
      </w:r>
      <w:r w:rsidR="00677CE6">
        <w:rPr>
          <w:rFonts w:ascii="Calibri" w:hAnsi="Calibri" w:cs="Calibri"/>
          <w:sz w:val="24"/>
          <w:szCs w:val="24"/>
        </w:rPr>
        <w:t xml:space="preserve">recognition of </w:t>
      </w:r>
      <w:r w:rsidRPr="00E25C19">
        <w:rPr>
          <w:rFonts w:ascii="Calibri" w:hAnsi="Calibri" w:cs="Calibri"/>
          <w:sz w:val="24"/>
          <w:szCs w:val="24"/>
        </w:rPr>
        <w:t>divorces granted prior to 2 October 1986,</w:t>
      </w:r>
      <w:r w:rsidRPr="00E25C19">
        <w:rPr>
          <w:rStyle w:val="FootnoteReference"/>
          <w:rFonts w:ascii="Calibri" w:hAnsi="Calibri" w:cs="Calibri"/>
          <w:sz w:val="24"/>
          <w:szCs w:val="24"/>
        </w:rPr>
        <w:footnoteReference w:id="46"/>
      </w:r>
      <w:r w:rsidRPr="00E25C19">
        <w:rPr>
          <w:rFonts w:ascii="Calibri" w:hAnsi="Calibri" w:cs="Calibri"/>
          <w:sz w:val="24"/>
          <w:szCs w:val="24"/>
        </w:rPr>
        <w:t xml:space="preserve"> and</w:t>
      </w:r>
      <w:r w:rsidR="005D69B7">
        <w:rPr>
          <w:rFonts w:ascii="Calibri" w:hAnsi="Calibri" w:cs="Calibri"/>
          <w:sz w:val="24"/>
          <w:szCs w:val="24"/>
        </w:rPr>
        <w:t>,</w:t>
      </w:r>
      <w:r w:rsidRPr="00E25C19">
        <w:rPr>
          <w:rFonts w:ascii="Calibri" w:hAnsi="Calibri" w:cs="Calibri"/>
          <w:sz w:val="24"/>
          <w:szCs w:val="24"/>
        </w:rPr>
        <w:t xml:space="preserve"> to that extent</w:t>
      </w:r>
      <w:r w:rsidR="005D69B7">
        <w:rPr>
          <w:rFonts w:ascii="Calibri" w:hAnsi="Calibri" w:cs="Calibri"/>
          <w:sz w:val="24"/>
          <w:szCs w:val="24"/>
        </w:rPr>
        <w:t>,</w:t>
      </w:r>
      <w:r w:rsidRPr="00E25C19">
        <w:rPr>
          <w:rFonts w:ascii="Calibri" w:hAnsi="Calibri" w:cs="Calibri"/>
          <w:sz w:val="24"/>
          <w:szCs w:val="24"/>
        </w:rPr>
        <w:t xml:space="preserve"> was not formally required to consider the scope of the recognition regime for post-1986 Act divorces. However, insofar as the two matters are inextricably linked, it is undesirable </w:t>
      </w:r>
      <w:r w:rsidR="00D566B8" w:rsidRPr="00E25C19">
        <w:rPr>
          <w:rFonts w:ascii="Calibri" w:hAnsi="Calibri" w:cs="Calibri"/>
          <w:sz w:val="24"/>
          <w:szCs w:val="24"/>
        </w:rPr>
        <w:t xml:space="preserve">and impractical </w:t>
      </w:r>
      <w:r w:rsidRPr="00E25C19">
        <w:rPr>
          <w:rFonts w:ascii="Calibri" w:hAnsi="Calibri" w:cs="Calibri"/>
          <w:sz w:val="24"/>
          <w:szCs w:val="24"/>
        </w:rPr>
        <w:t xml:space="preserve">that the recognition of pre-1986 </w:t>
      </w:r>
      <w:r w:rsidR="00B11539" w:rsidRPr="00E25C19">
        <w:rPr>
          <w:rFonts w:ascii="Calibri" w:hAnsi="Calibri" w:cs="Calibri"/>
          <w:sz w:val="24"/>
          <w:szCs w:val="24"/>
        </w:rPr>
        <w:t xml:space="preserve">Act </w:t>
      </w:r>
      <w:r w:rsidRPr="00E25C19">
        <w:rPr>
          <w:rFonts w:ascii="Calibri" w:hAnsi="Calibri" w:cs="Calibri"/>
          <w:sz w:val="24"/>
          <w:szCs w:val="24"/>
        </w:rPr>
        <w:t xml:space="preserve">divorces should be considered in isolation. </w:t>
      </w:r>
      <w:r w:rsidR="00D566B8" w:rsidRPr="00E25C19">
        <w:rPr>
          <w:rFonts w:ascii="Calibri" w:hAnsi="Calibri" w:cs="Calibri"/>
          <w:sz w:val="24"/>
          <w:szCs w:val="24"/>
        </w:rPr>
        <w:t xml:space="preserve">If the </w:t>
      </w:r>
      <w:proofErr w:type="spellStart"/>
      <w:r w:rsidR="00D566B8" w:rsidRPr="00E25C19">
        <w:rPr>
          <w:rFonts w:ascii="Calibri" w:hAnsi="Calibri" w:cs="Calibri"/>
          <w:sz w:val="24"/>
          <w:szCs w:val="24"/>
        </w:rPr>
        <w:t>Oireac</w:t>
      </w:r>
      <w:r w:rsidR="00172DCE" w:rsidRPr="00E25C19">
        <w:rPr>
          <w:rFonts w:ascii="Calibri" w:hAnsi="Calibri" w:cs="Calibri"/>
          <w:sz w:val="24"/>
          <w:szCs w:val="24"/>
        </w:rPr>
        <w:t>h</w:t>
      </w:r>
      <w:r w:rsidR="00D566B8" w:rsidRPr="00E25C19">
        <w:rPr>
          <w:rFonts w:ascii="Calibri" w:hAnsi="Calibri" w:cs="Calibri"/>
          <w:sz w:val="24"/>
          <w:szCs w:val="24"/>
        </w:rPr>
        <w:t>tas</w:t>
      </w:r>
      <w:proofErr w:type="spellEnd"/>
      <w:r w:rsidR="00D566B8" w:rsidRPr="00E25C19">
        <w:rPr>
          <w:rFonts w:ascii="Calibri" w:hAnsi="Calibri" w:cs="Calibri"/>
          <w:sz w:val="24"/>
          <w:szCs w:val="24"/>
        </w:rPr>
        <w:t xml:space="preserve"> intended the common law to have a continuing role even with respect to post-1986 Act divorces, this clearly has </w:t>
      </w:r>
      <w:r w:rsidR="0006486D" w:rsidRPr="00E25C19">
        <w:rPr>
          <w:rFonts w:ascii="Calibri" w:hAnsi="Calibri" w:cs="Calibri"/>
          <w:sz w:val="24"/>
          <w:szCs w:val="24"/>
        </w:rPr>
        <w:t>significant implications for any consideration</w:t>
      </w:r>
      <w:r w:rsidR="00D566B8" w:rsidRPr="00E25C19">
        <w:rPr>
          <w:rFonts w:ascii="Calibri" w:hAnsi="Calibri" w:cs="Calibri"/>
          <w:sz w:val="24"/>
          <w:szCs w:val="24"/>
        </w:rPr>
        <w:t xml:space="preserve"> of the separation of powers doctrine </w:t>
      </w:r>
      <w:r w:rsidR="00172DCE" w:rsidRPr="00E25C19">
        <w:rPr>
          <w:rFonts w:ascii="Calibri" w:hAnsi="Calibri" w:cs="Calibri"/>
          <w:sz w:val="24"/>
          <w:szCs w:val="24"/>
        </w:rPr>
        <w:t>with respect to pre-1986 Act divorces.</w:t>
      </w:r>
    </w:p>
    <w:p w:rsidR="0006486D" w:rsidRPr="00E25C19" w:rsidRDefault="0006486D" w:rsidP="00F52BB4">
      <w:pPr>
        <w:jc w:val="both"/>
        <w:rPr>
          <w:rFonts w:ascii="Calibri" w:hAnsi="Calibri" w:cs="Calibri"/>
          <w:sz w:val="24"/>
          <w:szCs w:val="24"/>
        </w:rPr>
      </w:pPr>
      <w:r w:rsidRPr="00E25C19">
        <w:rPr>
          <w:rFonts w:ascii="Calibri" w:hAnsi="Calibri" w:cs="Calibri"/>
          <w:sz w:val="24"/>
          <w:szCs w:val="24"/>
        </w:rPr>
        <w:t>In this context</w:t>
      </w:r>
      <w:r w:rsidR="00C060A3" w:rsidRPr="00E25C19">
        <w:rPr>
          <w:rFonts w:ascii="Calibri" w:hAnsi="Calibri" w:cs="Calibri"/>
          <w:sz w:val="24"/>
          <w:szCs w:val="24"/>
        </w:rPr>
        <w:t>,</w:t>
      </w:r>
      <w:r w:rsidRPr="00E25C19">
        <w:rPr>
          <w:rFonts w:ascii="Calibri" w:hAnsi="Calibri" w:cs="Calibri"/>
          <w:sz w:val="24"/>
          <w:szCs w:val="24"/>
        </w:rPr>
        <w:t xml:space="preserve"> one would have expected that the Supreme Court in </w:t>
      </w:r>
      <w:r w:rsidRPr="00E25C19">
        <w:rPr>
          <w:rFonts w:ascii="Calibri" w:hAnsi="Calibri" w:cs="Calibri"/>
          <w:i/>
          <w:sz w:val="24"/>
          <w:szCs w:val="24"/>
        </w:rPr>
        <w:t>H v H</w:t>
      </w:r>
      <w:r w:rsidRPr="00E25C19">
        <w:rPr>
          <w:rFonts w:ascii="Calibri" w:hAnsi="Calibri" w:cs="Calibri"/>
          <w:sz w:val="24"/>
          <w:szCs w:val="24"/>
        </w:rPr>
        <w:t xml:space="preserve"> would give careful consideration to the question of the role of the common law with respect to post-1986 Act </w:t>
      </w:r>
      <w:r w:rsidR="00773683" w:rsidRPr="00E25C19">
        <w:rPr>
          <w:rFonts w:ascii="Calibri" w:hAnsi="Calibri" w:cs="Calibri"/>
          <w:sz w:val="24"/>
          <w:szCs w:val="24"/>
        </w:rPr>
        <w:t>divorces, but this did not happen</w:t>
      </w:r>
      <w:r w:rsidRPr="00E25C19">
        <w:rPr>
          <w:rFonts w:ascii="Calibri" w:hAnsi="Calibri" w:cs="Calibri"/>
          <w:sz w:val="24"/>
          <w:szCs w:val="24"/>
        </w:rPr>
        <w:t xml:space="preserve">. Instead it is simply assumed </w:t>
      </w:r>
      <w:r w:rsidR="005F0E5C" w:rsidRPr="00E25C19">
        <w:rPr>
          <w:rFonts w:ascii="Calibri" w:hAnsi="Calibri" w:cs="Calibri"/>
          <w:sz w:val="24"/>
          <w:szCs w:val="24"/>
        </w:rPr>
        <w:t>by the majority</w:t>
      </w:r>
      <w:r w:rsidR="005F0E5C" w:rsidRPr="00E25C19">
        <w:rPr>
          <w:rStyle w:val="FootnoteReference"/>
          <w:rFonts w:ascii="Calibri" w:hAnsi="Calibri" w:cs="Calibri"/>
          <w:sz w:val="24"/>
          <w:szCs w:val="24"/>
        </w:rPr>
        <w:footnoteReference w:id="47"/>
      </w:r>
      <w:r w:rsidR="005F0E5C" w:rsidRPr="00E25C19">
        <w:rPr>
          <w:rFonts w:ascii="Calibri" w:hAnsi="Calibri" w:cs="Calibri"/>
          <w:sz w:val="24"/>
          <w:szCs w:val="24"/>
        </w:rPr>
        <w:t xml:space="preserve"> </w:t>
      </w:r>
      <w:r w:rsidRPr="00E25C19">
        <w:rPr>
          <w:rFonts w:ascii="Calibri" w:hAnsi="Calibri" w:cs="Calibri"/>
          <w:sz w:val="24"/>
          <w:szCs w:val="24"/>
        </w:rPr>
        <w:t>tha</w:t>
      </w:r>
      <w:r w:rsidR="00E66A75" w:rsidRPr="00E25C19">
        <w:rPr>
          <w:rFonts w:ascii="Calibri" w:hAnsi="Calibri" w:cs="Calibri"/>
          <w:sz w:val="24"/>
          <w:szCs w:val="24"/>
        </w:rPr>
        <w:t xml:space="preserve">t there is no scope for common law recognition for divorces granted after 2 October 1986, and there </w:t>
      </w:r>
      <w:r w:rsidR="00E66A75" w:rsidRPr="00E25C19">
        <w:rPr>
          <w:rFonts w:ascii="Calibri" w:hAnsi="Calibri" w:cs="Calibri"/>
          <w:sz w:val="24"/>
          <w:szCs w:val="24"/>
        </w:rPr>
        <w:lastRenderedPageBreak/>
        <w:t>is no detailed consideration of the merits of this standpoint. It is most disappoint</w:t>
      </w:r>
      <w:r w:rsidR="00C060A3" w:rsidRPr="00E25C19">
        <w:rPr>
          <w:rFonts w:ascii="Calibri" w:hAnsi="Calibri" w:cs="Calibri"/>
          <w:sz w:val="24"/>
          <w:szCs w:val="24"/>
        </w:rPr>
        <w:t>ing that such an important issue</w:t>
      </w:r>
      <w:r w:rsidR="00E66A75" w:rsidRPr="00E25C19">
        <w:rPr>
          <w:rFonts w:ascii="Calibri" w:hAnsi="Calibri" w:cs="Calibri"/>
          <w:sz w:val="24"/>
          <w:szCs w:val="24"/>
        </w:rPr>
        <w:t xml:space="preserve"> is disposed of by way of an unreasoned assumption.  </w:t>
      </w:r>
    </w:p>
    <w:p w:rsidR="00903A5C" w:rsidRPr="00E25C19" w:rsidRDefault="004119F2" w:rsidP="00883B96">
      <w:pPr>
        <w:jc w:val="both"/>
        <w:rPr>
          <w:rFonts w:ascii="Calibri" w:hAnsi="Calibri" w:cs="Calibri"/>
          <w:sz w:val="24"/>
          <w:szCs w:val="24"/>
        </w:rPr>
      </w:pPr>
      <w:r w:rsidRPr="00E25C19">
        <w:rPr>
          <w:rFonts w:ascii="Calibri" w:hAnsi="Calibri" w:cs="Calibri"/>
          <w:sz w:val="24"/>
          <w:szCs w:val="24"/>
        </w:rPr>
        <w:t xml:space="preserve">Insofar as the Supreme Court was concerned about the retrospective effect of residence-based recognition – and the spectre of </w:t>
      </w:r>
      <w:r w:rsidR="00C060A3" w:rsidRPr="00E25C19">
        <w:rPr>
          <w:rFonts w:ascii="Calibri" w:hAnsi="Calibri" w:cs="Calibri"/>
          <w:sz w:val="24"/>
          <w:szCs w:val="24"/>
        </w:rPr>
        <w:t>“</w:t>
      </w:r>
      <w:r w:rsidRPr="00E25C19">
        <w:rPr>
          <w:rFonts w:ascii="Calibri" w:hAnsi="Calibri" w:cs="Calibri"/>
          <w:sz w:val="24"/>
          <w:szCs w:val="24"/>
        </w:rPr>
        <w:t>springing divorces</w:t>
      </w:r>
      <w:r w:rsidR="00C060A3" w:rsidRPr="00E25C19">
        <w:rPr>
          <w:rFonts w:ascii="Calibri" w:hAnsi="Calibri" w:cs="Calibri"/>
          <w:sz w:val="24"/>
          <w:szCs w:val="24"/>
        </w:rPr>
        <w:t>”</w:t>
      </w:r>
      <w:r w:rsidRPr="00E25C19">
        <w:rPr>
          <w:rFonts w:ascii="Calibri" w:hAnsi="Calibri" w:cs="Calibri"/>
          <w:sz w:val="24"/>
          <w:szCs w:val="24"/>
        </w:rPr>
        <w:t xml:space="preserve"> – it is respectfully submitted that these concerns were misplaced. </w:t>
      </w:r>
      <w:proofErr w:type="spellStart"/>
      <w:r w:rsidR="00FF4F61" w:rsidRPr="00E25C19">
        <w:rPr>
          <w:rFonts w:ascii="Calibri" w:hAnsi="Calibri" w:cs="Calibri"/>
          <w:i/>
          <w:sz w:val="24"/>
          <w:szCs w:val="24"/>
        </w:rPr>
        <w:t>McG</w:t>
      </w:r>
      <w:proofErr w:type="spellEnd"/>
      <w:r w:rsidR="00FF4F61" w:rsidRPr="00E25C19">
        <w:rPr>
          <w:rFonts w:ascii="Calibri" w:hAnsi="Calibri" w:cs="Calibri"/>
          <w:i/>
          <w:sz w:val="24"/>
          <w:szCs w:val="24"/>
        </w:rPr>
        <w:t xml:space="preserve"> v W</w:t>
      </w:r>
      <w:r w:rsidR="00D94E5C" w:rsidRPr="00E25C19">
        <w:rPr>
          <w:rFonts w:ascii="Calibri" w:hAnsi="Calibri" w:cs="Calibri"/>
          <w:sz w:val="24"/>
          <w:szCs w:val="24"/>
        </w:rPr>
        <w:t xml:space="preserve"> gave credence to the idea</w:t>
      </w:r>
      <w:r w:rsidR="00FF4F61" w:rsidRPr="00E25C19">
        <w:rPr>
          <w:rFonts w:ascii="Calibri" w:hAnsi="Calibri" w:cs="Calibri"/>
          <w:sz w:val="24"/>
          <w:szCs w:val="24"/>
        </w:rPr>
        <w:t xml:space="preserve"> of residence-based recognition back in 1999</w:t>
      </w:r>
      <w:r w:rsidR="006066EA" w:rsidRPr="00E25C19">
        <w:rPr>
          <w:rFonts w:ascii="Calibri" w:hAnsi="Calibri" w:cs="Calibri"/>
          <w:sz w:val="24"/>
          <w:szCs w:val="24"/>
        </w:rPr>
        <w:t xml:space="preserve"> and any sensible</w:t>
      </w:r>
      <w:r w:rsidR="00CB16BD" w:rsidRPr="00E25C19">
        <w:rPr>
          <w:rFonts w:ascii="Calibri" w:hAnsi="Calibri" w:cs="Calibri"/>
          <w:sz w:val="24"/>
          <w:szCs w:val="24"/>
        </w:rPr>
        <w:t xml:space="preserve"> legal advice on divorce recognition in the subsequent 16 years would have mentioned the possibility of residence-based recognition.</w:t>
      </w:r>
      <w:r w:rsidR="000F6251" w:rsidRPr="00E25C19">
        <w:rPr>
          <w:rStyle w:val="FootnoteReference"/>
          <w:rFonts w:ascii="Calibri" w:hAnsi="Calibri" w:cs="Calibri"/>
          <w:sz w:val="24"/>
          <w:szCs w:val="24"/>
        </w:rPr>
        <w:footnoteReference w:id="48"/>
      </w:r>
      <w:r w:rsidR="00B11539" w:rsidRPr="00E25C19">
        <w:rPr>
          <w:rFonts w:ascii="Calibri" w:hAnsi="Calibri" w:cs="Calibri"/>
          <w:sz w:val="24"/>
          <w:szCs w:val="24"/>
        </w:rPr>
        <w:t xml:space="preserve"> </w:t>
      </w:r>
      <w:r w:rsidR="00CB16BD" w:rsidRPr="00E25C19">
        <w:rPr>
          <w:rFonts w:ascii="Calibri" w:hAnsi="Calibri" w:cs="Calibri"/>
          <w:sz w:val="24"/>
          <w:szCs w:val="24"/>
        </w:rPr>
        <w:t xml:space="preserve">Thus, an affirmation of residence-based recognition in </w:t>
      </w:r>
      <w:r w:rsidR="00CB16BD" w:rsidRPr="00E25C19">
        <w:rPr>
          <w:rFonts w:ascii="Calibri" w:hAnsi="Calibri" w:cs="Calibri"/>
          <w:i/>
          <w:sz w:val="24"/>
          <w:szCs w:val="24"/>
        </w:rPr>
        <w:t>H v H</w:t>
      </w:r>
      <w:r w:rsidR="00CB16BD" w:rsidRPr="00E25C19">
        <w:rPr>
          <w:rFonts w:ascii="Calibri" w:hAnsi="Calibri" w:cs="Calibri"/>
          <w:sz w:val="24"/>
          <w:szCs w:val="24"/>
        </w:rPr>
        <w:t xml:space="preserve"> would not have brought about any very sudden change in the law,</w:t>
      </w:r>
      <w:r w:rsidR="006C28C6" w:rsidRPr="00E25C19">
        <w:rPr>
          <w:rStyle w:val="FootnoteReference"/>
          <w:rFonts w:ascii="Calibri" w:hAnsi="Calibri" w:cs="Calibri"/>
          <w:sz w:val="24"/>
          <w:szCs w:val="24"/>
        </w:rPr>
        <w:footnoteReference w:id="49"/>
      </w:r>
      <w:r w:rsidR="00CB16BD" w:rsidRPr="00E25C19">
        <w:rPr>
          <w:rFonts w:ascii="Calibri" w:hAnsi="Calibri" w:cs="Calibri"/>
          <w:sz w:val="24"/>
          <w:szCs w:val="24"/>
        </w:rPr>
        <w:t xml:space="preserve"> and </w:t>
      </w:r>
      <w:r w:rsidR="000C3DD6" w:rsidRPr="00E25C19">
        <w:rPr>
          <w:rFonts w:ascii="Calibri" w:hAnsi="Calibri" w:cs="Calibri"/>
          <w:sz w:val="24"/>
          <w:szCs w:val="24"/>
        </w:rPr>
        <w:t>most affected advisees</w:t>
      </w:r>
      <w:r w:rsidR="00CB16BD" w:rsidRPr="00E25C19">
        <w:rPr>
          <w:rFonts w:ascii="Calibri" w:hAnsi="Calibri" w:cs="Calibri"/>
          <w:sz w:val="24"/>
          <w:szCs w:val="24"/>
        </w:rPr>
        <w:t xml:space="preserve"> would have known for some considerable time that residence-based recognition was a real prospect.</w:t>
      </w:r>
      <w:r w:rsidR="00C87371" w:rsidRPr="00E25C19">
        <w:rPr>
          <w:rStyle w:val="FootnoteReference"/>
          <w:rFonts w:ascii="Calibri" w:hAnsi="Calibri" w:cs="Calibri"/>
          <w:sz w:val="24"/>
          <w:szCs w:val="24"/>
        </w:rPr>
        <w:footnoteReference w:id="50"/>
      </w:r>
      <w:r w:rsidR="00CB16BD" w:rsidRPr="00E25C19">
        <w:rPr>
          <w:rFonts w:ascii="Calibri" w:hAnsi="Calibri" w:cs="Calibri"/>
          <w:sz w:val="24"/>
          <w:szCs w:val="24"/>
        </w:rPr>
        <w:t xml:space="preserve"> </w:t>
      </w:r>
      <w:r w:rsidRPr="00E25C19">
        <w:rPr>
          <w:rFonts w:ascii="Calibri" w:hAnsi="Calibri" w:cs="Calibri"/>
          <w:sz w:val="24"/>
          <w:szCs w:val="24"/>
        </w:rPr>
        <w:t>Furthermore,</w:t>
      </w:r>
      <w:r w:rsidR="008C69A8" w:rsidRPr="00E25C19">
        <w:rPr>
          <w:rFonts w:ascii="Calibri" w:hAnsi="Calibri" w:cs="Calibri"/>
          <w:sz w:val="24"/>
          <w:szCs w:val="24"/>
        </w:rPr>
        <w:t xml:space="preserve"> it seems re</w:t>
      </w:r>
      <w:r w:rsidR="000C3DD6" w:rsidRPr="00E25C19">
        <w:rPr>
          <w:rFonts w:ascii="Calibri" w:hAnsi="Calibri" w:cs="Calibri"/>
          <w:sz w:val="24"/>
          <w:szCs w:val="24"/>
        </w:rPr>
        <w:t xml:space="preserve">asonable to suppose that there are many more affected persons who have divorced abroad and </w:t>
      </w:r>
      <w:r w:rsidR="000C3DD6" w:rsidRPr="00E25C19">
        <w:rPr>
          <w:rFonts w:ascii="Calibri" w:hAnsi="Calibri" w:cs="Calibri"/>
          <w:i/>
          <w:sz w:val="24"/>
          <w:szCs w:val="24"/>
        </w:rPr>
        <w:t xml:space="preserve">not </w:t>
      </w:r>
      <w:r w:rsidR="000C3DD6" w:rsidRPr="00E25C19">
        <w:rPr>
          <w:rFonts w:ascii="Calibri" w:hAnsi="Calibri" w:cs="Calibri"/>
          <w:sz w:val="24"/>
          <w:szCs w:val="24"/>
        </w:rPr>
        <w:t xml:space="preserve">sought legal advice – and such persons are likely to assume that they are divorced in the eyes of Irish law, if they were </w:t>
      </w:r>
      <w:r w:rsidR="00EB3EBD" w:rsidRPr="00E25C19">
        <w:rPr>
          <w:rFonts w:ascii="Calibri" w:hAnsi="Calibri" w:cs="Calibri"/>
          <w:sz w:val="24"/>
          <w:szCs w:val="24"/>
        </w:rPr>
        <w:t xml:space="preserve">validly </w:t>
      </w:r>
      <w:r w:rsidR="000C3DD6" w:rsidRPr="00E25C19">
        <w:rPr>
          <w:rFonts w:ascii="Calibri" w:hAnsi="Calibri" w:cs="Calibri"/>
          <w:sz w:val="24"/>
          <w:szCs w:val="24"/>
        </w:rPr>
        <w:t>divorced</w:t>
      </w:r>
      <w:r w:rsidR="00EB3EBD" w:rsidRPr="00E25C19">
        <w:rPr>
          <w:rFonts w:ascii="Calibri" w:hAnsi="Calibri" w:cs="Calibri"/>
          <w:sz w:val="24"/>
          <w:szCs w:val="24"/>
        </w:rPr>
        <w:t xml:space="preserve"> in a country where they were ordinarily resident. As O’Donnell J. points out in his dissenting judgment in </w:t>
      </w:r>
      <w:r w:rsidR="00EB3EBD" w:rsidRPr="00E25C19">
        <w:rPr>
          <w:rFonts w:ascii="Calibri" w:hAnsi="Calibri" w:cs="Calibri"/>
          <w:i/>
          <w:sz w:val="24"/>
          <w:szCs w:val="24"/>
        </w:rPr>
        <w:t>H v H</w:t>
      </w:r>
      <w:r w:rsidR="00EB3EBD" w:rsidRPr="00E25C19">
        <w:rPr>
          <w:rFonts w:ascii="Calibri" w:hAnsi="Calibri" w:cs="Calibri"/>
          <w:sz w:val="24"/>
          <w:szCs w:val="24"/>
        </w:rPr>
        <w:t>, while a lawyer can readily conceive of marriage being valid and subsisting in one jurisdiction but not in another,</w:t>
      </w:r>
      <w:r w:rsidR="006B6A92" w:rsidRPr="00E25C19">
        <w:rPr>
          <w:rStyle w:val="FootnoteReference"/>
          <w:rFonts w:ascii="Calibri" w:hAnsi="Calibri" w:cs="Calibri"/>
          <w:sz w:val="24"/>
          <w:szCs w:val="24"/>
        </w:rPr>
        <w:footnoteReference w:id="51"/>
      </w:r>
      <w:r w:rsidR="00EB3EBD" w:rsidRPr="00E25C19">
        <w:rPr>
          <w:rFonts w:ascii="Calibri" w:hAnsi="Calibri" w:cs="Calibri"/>
          <w:sz w:val="24"/>
          <w:szCs w:val="24"/>
        </w:rPr>
        <w:t xml:space="preserve"> lay</w:t>
      </w:r>
      <w:r w:rsidR="00546702" w:rsidRPr="00E25C19">
        <w:rPr>
          <w:rFonts w:ascii="Calibri" w:hAnsi="Calibri" w:cs="Calibri"/>
          <w:sz w:val="24"/>
          <w:szCs w:val="24"/>
        </w:rPr>
        <w:t xml:space="preserve"> </w:t>
      </w:r>
      <w:r w:rsidR="00EB3EBD" w:rsidRPr="00E25C19">
        <w:rPr>
          <w:rFonts w:ascii="Calibri" w:hAnsi="Calibri" w:cs="Calibri"/>
          <w:sz w:val="24"/>
          <w:szCs w:val="24"/>
        </w:rPr>
        <w:t>person</w:t>
      </w:r>
      <w:r w:rsidR="006B6A92" w:rsidRPr="00E25C19">
        <w:rPr>
          <w:rFonts w:ascii="Calibri" w:hAnsi="Calibri" w:cs="Calibri"/>
          <w:sz w:val="24"/>
          <w:szCs w:val="24"/>
        </w:rPr>
        <w:t>s are much less inclined</w:t>
      </w:r>
      <w:r w:rsidR="00EB3EBD" w:rsidRPr="00E25C19">
        <w:rPr>
          <w:rFonts w:ascii="Calibri" w:hAnsi="Calibri" w:cs="Calibri"/>
          <w:sz w:val="24"/>
          <w:szCs w:val="24"/>
        </w:rPr>
        <w:t xml:space="preserve"> </w:t>
      </w:r>
      <w:r w:rsidR="006B6A92" w:rsidRPr="00E25C19">
        <w:rPr>
          <w:rFonts w:ascii="Calibri" w:hAnsi="Calibri" w:cs="Calibri"/>
          <w:sz w:val="24"/>
          <w:szCs w:val="24"/>
        </w:rPr>
        <w:t xml:space="preserve">to </w:t>
      </w:r>
      <w:r w:rsidR="00EB3EBD" w:rsidRPr="00E25C19">
        <w:rPr>
          <w:rFonts w:ascii="Calibri" w:hAnsi="Calibri" w:cs="Calibri"/>
          <w:sz w:val="24"/>
          <w:szCs w:val="24"/>
        </w:rPr>
        <w:t>think in such terms</w:t>
      </w:r>
      <w:r w:rsidR="009E507A" w:rsidRPr="00E25C19">
        <w:rPr>
          <w:rFonts w:ascii="Calibri" w:hAnsi="Calibri" w:cs="Calibri"/>
          <w:sz w:val="24"/>
          <w:szCs w:val="24"/>
        </w:rPr>
        <w:t xml:space="preserve">, and </w:t>
      </w:r>
      <w:r w:rsidR="006B6A92" w:rsidRPr="00E25C19">
        <w:rPr>
          <w:rFonts w:ascii="Calibri" w:hAnsi="Calibri" w:cs="Calibri"/>
          <w:sz w:val="24"/>
          <w:szCs w:val="24"/>
        </w:rPr>
        <w:t xml:space="preserve">are unlikely </w:t>
      </w:r>
      <w:r w:rsidR="009E507A" w:rsidRPr="00E25C19">
        <w:rPr>
          <w:rFonts w:ascii="Calibri" w:hAnsi="Calibri" w:cs="Calibri"/>
          <w:sz w:val="24"/>
          <w:szCs w:val="24"/>
        </w:rPr>
        <w:t xml:space="preserve">to expect their marital status to change </w:t>
      </w:r>
      <w:r w:rsidR="006B6A92" w:rsidRPr="00E25C19">
        <w:rPr>
          <w:rFonts w:ascii="Calibri" w:hAnsi="Calibri" w:cs="Calibri"/>
          <w:sz w:val="24"/>
          <w:szCs w:val="24"/>
        </w:rPr>
        <w:t>when they cross</w:t>
      </w:r>
      <w:r w:rsidR="009E507A" w:rsidRPr="00E25C19">
        <w:rPr>
          <w:rFonts w:ascii="Calibri" w:hAnsi="Calibri" w:cs="Calibri"/>
          <w:sz w:val="24"/>
          <w:szCs w:val="24"/>
        </w:rPr>
        <w:t xml:space="preserve"> a national </w:t>
      </w:r>
      <w:r w:rsidR="006B6A92" w:rsidRPr="00E25C19">
        <w:rPr>
          <w:rFonts w:ascii="Calibri" w:hAnsi="Calibri" w:cs="Calibri"/>
          <w:sz w:val="24"/>
          <w:szCs w:val="24"/>
        </w:rPr>
        <w:t>frontier</w:t>
      </w:r>
      <w:r w:rsidR="00EB3EBD" w:rsidRPr="00E25C19">
        <w:rPr>
          <w:rFonts w:ascii="Calibri" w:hAnsi="Calibri" w:cs="Calibri"/>
          <w:sz w:val="24"/>
          <w:szCs w:val="24"/>
        </w:rPr>
        <w:t xml:space="preserve">. </w:t>
      </w:r>
      <w:r w:rsidR="00CB16BD" w:rsidRPr="00E25C19">
        <w:rPr>
          <w:rFonts w:ascii="Calibri" w:hAnsi="Calibri" w:cs="Calibri"/>
          <w:sz w:val="24"/>
          <w:szCs w:val="24"/>
        </w:rPr>
        <w:t>Als</w:t>
      </w:r>
      <w:r w:rsidR="00EB3EBD" w:rsidRPr="00E25C19">
        <w:rPr>
          <w:rFonts w:ascii="Calibri" w:hAnsi="Calibri" w:cs="Calibri"/>
          <w:sz w:val="24"/>
          <w:szCs w:val="24"/>
        </w:rPr>
        <w:t>o insofar as Clarke J. expressed</w:t>
      </w:r>
      <w:r w:rsidR="00CB16BD" w:rsidRPr="00E25C19">
        <w:rPr>
          <w:rFonts w:ascii="Calibri" w:hAnsi="Calibri" w:cs="Calibri"/>
          <w:sz w:val="24"/>
          <w:szCs w:val="24"/>
        </w:rPr>
        <w:t xml:space="preserve"> concern as to the implications of an affirmation of </w:t>
      </w:r>
      <w:proofErr w:type="spellStart"/>
      <w:r w:rsidR="00CB16BD" w:rsidRPr="00E25C19">
        <w:rPr>
          <w:rFonts w:ascii="Calibri" w:hAnsi="Calibri" w:cs="Calibri"/>
          <w:i/>
          <w:sz w:val="24"/>
          <w:szCs w:val="24"/>
        </w:rPr>
        <w:t>McG</w:t>
      </w:r>
      <w:proofErr w:type="spellEnd"/>
      <w:r w:rsidR="00CB16BD" w:rsidRPr="00E25C19">
        <w:rPr>
          <w:rFonts w:ascii="Calibri" w:hAnsi="Calibri" w:cs="Calibri"/>
          <w:i/>
          <w:sz w:val="24"/>
          <w:szCs w:val="24"/>
        </w:rPr>
        <w:t xml:space="preserve"> v W</w:t>
      </w:r>
      <w:r w:rsidR="00CB16BD" w:rsidRPr="00E25C19">
        <w:rPr>
          <w:rFonts w:ascii="Calibri" w:hAnsi="Calibri" w:cs="Calibri"/>
          <w:sz w:val="24"/>
          <w:szCs w:val="24"/>
        </w:rPr>
        <w:t xml:space="preserve"> for those who had obtained court judgments of </w:t>
      </w:r>
      <w:r w:rsidR="00CB16BD" w:rsidRPr="00E25C19">
        <w:rPr>
          <w:rFonts w:ascii="Calibri" w:hAnsi="Calibri" w:cs="Calibri"/>
          <w:i/>
          <w:sz w:val="24"/>
          <w:szCs w:val="24"/>
        </w:rPr>
        <w:t>non-recognition</w:t>
      </w:r>
      <w:r w:rsidR="00CB16BD" w:rsidRPr="00E25C19">
        <w:rPr>
          <w:rFonts w:ascii="Calibri" w:hAnsi="Calibri" w:cs="Calibri"/>
          <w:sz w:val="24"/>
          <w:szCs w:val="24"/>
        </w:rPr>
        <w:t xml:space="preserve"> (on the basis of a lack of domicile), it is submitted that an equal but opposite argument can be made in favour of those who had obtained judgments of recognition based on residence. Such a judgment was rendered in </w:t>
      </w:r>
      <w:proofErr w:type="spellStart"/>
      <w:r w:rsidR="00CB16BD" w:rsidRPr="00E25C19">
        <w:rPr>
          <w:rFonts w:ascii="Calibri" w:hAnsi="Calibri" w:cs="Calibri"/>
          <w:i/>
          <w:sz w:val="24"/>
          <w:szCs w:val="24"/>
        </w:rPr>
        <w:t>McG</w:t>
      </w:r>
      <w:proofErr w:type="spellEnd"/>
      <w:r w:rsidR="00CB16BD" w:rsidRPr="00E25C19">
        <w:rPr>
          <w:rFonts w:ascii="Calibri" w:hAnsi="Calibri" w:cs="Calibri"/>
          <w:i/>
          <w:sz w:val="24"/>
          <w:szCs w:val="24"/>
        </w:rPr>
        <w:t xml:space="preserve"> v W</w:t>
      </w:r>
      <w:r w:rsidR="00CB16BD" w:rsidRPr="00E25C19">
        <w:rPr>
          <w:rFonts w:ascii="Calibri" w:hAnsi="Calibri" w:cs="Calibri"/>
          <w:sz w:val="24"/>
          <w:szCs w:val="24"/>
        </w:rPr>
        <w:t xml:space="preserve"> itself, and </w:t>
      </w:r>
      <w:r w:rsidR="00160BC5" w:rsidRPr="00E25C19">
        <w:rPr>
          <w:rFonts w:ascii="Calibri" w:hAnsi="Calibri" w:cs="Calibri"/>
          <w:sz w:val="24"/>
          <w:szCs w:val="24"/>
        </w:rPr>
        <w:t xml:space="preserve">in the Circuit Court in </w:t>
      </w:r>
      <w:r w:rsidR="00160BC5" w:rsidRPr="00E25C19">
        <w:rPr>
          <w:rFonts w:ascii="Calibri" w:hAnsi="Calibri" w:cs="Calibri"/>
          <w:i/>
          <w:sz w:val="24"/>
          <w:szCs w:val="24"/>
        </w:rPr>
        <w:t>H v H</w:t>
      </w:r>
      <w:r w:rsidR="006B6A92" w:rsidRPr="00E25C19">
        <w:rPr>
          <w:rStyle w:val="FootnoteReference"/>
          <w:rFonts w:ascii="Calibri" w:hAnsi="Calibri" w:cs="Calibri"/>
          <w:i/>
          <w:sz w:val="24"/>
          <w:szCs w:val="24"/>
        </w:rPr>
        <w:footnoteReference w:id="52"/>
      </w:r>
      <w:r w:rsidR="00160BC5" w:rsidRPr="00E25C19">
        <w:rPr>
          <w:rFonts w:ascii="Calibri" w:hAnsi="Calibri" w:cs="Calibri"/>
          <w:sz w:val="24"/>
          <w:szCs w:val="24"/>
        </w:rPr>
        <w:t xml:space="preserve"> and </w:t>
      </w:r>
      <w:r w:rsidR="00CB16BD" w:rsidRPr="00E25C19">
        <w:rPr>
          <w:rFonts w:ascii="Calibri" w:hAnsi="Calibri" w:cs="Calibri"/>
          <w:sz w:val="24"/>
          <w:szCs w:val="24"/>
        </w:rPr>
        <w:t xml:space="preserve">it </w:t>
      </w:r>
      <w:r w:rsidR="00415496" w:rsidRPr="00E25C19">
        <w:rPr>
          <w:rFonts w:ascii="Calibri" w:hAnsi="Calibri" w:cs="Calibri"/>
          <w:sz w:val="24"/>
          <w:szCs w:val="24"/>
        </w:rPr>
        <w:t xml:space="preserve">seems likely </w:t>
      </w:r>
      <w:r w:rsidR="00CB16BD" w:rsidRPr="00E25C19">
        <w:rPr>
          <w:rFonts w:ascii="Calibri" w:hAnsi="Calibri" w:cs="Calibri"/>
          <w:sz w:val="24"/>
          <w:szCs w:val="24"/>
        </w:rPr>
        <w:t xml:space="preserve">that </w:t>
      </w:r>
      <w:proofErr w:type="spellStart"/>
      <w:r w:rsidR="00CB16BD" w:rsidRPr="00E25C19">
        <w:rPr>
          <w:rFonts w:ascii="Calibri" w:hAnsi="Calibri" w:cs="Calibri"/>
          <w:i/>
          <w:sz w:val="24"/>
          <w:szCs w:val="24"/>
        </w:rPr>
        <w:t>McG</w:t>
      </w:r>
      <w:proofErr w:type="spellEnd"/>
      <w:r w:rsidR="00CB16BD" w:rsidRPr="00E25C19">
        <w:rPr>
          <w:rFonts w:ascii="Calibri" w:hAnsi="Calibri" w:cs="Calibri"/>
          <w:i/>
          <w:sz w:val="24"/>
          <w:szCs w:val="24"/>
        </w:rPr>
        <w:t xml:space="preserve"> v W</w:t>
      </w:r>
      <w:r w:rsidR="00CB16BD" w:rsidRPr="00E25C19">
        <w:rPr>
          <w:rFonts w:ascii="Calibri" w:hAnsi="Calibri" w:cs="Calibri"/>
          <w:sz w:val="24"/>
          <w:szCs w:val="24"/>
        </w:rPr>
        <w:t xml:space="preserve"> was followed in a number of </w:t>
      </w:r>
      <w:r w:rsidR="00160BC5" w:rsidRPr="00E25C19">
        <w:rPr>
          <w:rFonts w:ascii="Calibri" w:hAnsi="Calibri" w:cs="Calibri"/>
          <w:sz w:val="24"/>
          <w:szCs w:val="24"/>
        </w:rPr>
        <w:t xml:space="preserve">other unreported High Court and </w:t>
      </w:r>
      <w:r w:rsidR="00CB16BD" w:rsidRPr="00E25C19">
        <w:rPr>
          <w:rFonts w:ascii="Calibri" w:hAnsi="Calibri" w:cs="Calibri"/>
          <w:sz w:val="24"/>
          <w:szCs w:val="24"/>
        </w:rPr>
        <w:t>Circuit Court decisions</w:t>
      </w:r>
      <w:r w:rsidR="00EB4E03" w:rsidRPr="00E25C19">
        <w:rPr>
          <w:rFonts w:ascii="Calibri" w:hAnsi="Calibri" w:cs="Calibri"/>
          <w:sz w:val="24"/>
          <w:szCs w:val="24"/>
        </w:rPr>
        <w:t>.</w:t>
      </w:r>
      <w:r w:rsidR="006B6A92" w:rsidRPr="00E25C19">
        <w:rPr>
          <w:rStyle w:val="FootnoteReference"/>
          <w:rFonts w:ascii="Calibri" w:hAnsi="Calibri" w:cs="Calibri"/>
          <w:sz w:val="24"/>
          <w:szCs w:val="24"/>
        </w:rPr>
        <w:footnoteReference w:id="53"/>
      </w:r>
      <w:r w:rsidR="00EB4E03" w:rsidRPr="00E25C19">
        <w:rPr>
          <w:rFonts w:ascii="Calibri" w:hAnsi="Calibri" w:cs="Calibri"/>
          <w:sz w:val="24"/>
          <w:szCs w:val="24"/>
        </w:rPr>
        <w:t xml:space="preserve"> </w:t>
      </w:r>
      <w:r w:rsidR="00CB16BD" w:rsidRPr="00E25C19">
        <w:rPr>
          <w:rFonts w:ascii="Calibri" w:hAnsi="Calibri" w:cs="Calibri"/>
          <w:sz w:val="24"/>
          <w:szCs w:val="24"/>
        </w:rPr>
        <w:t xml:space="preserve"> </w:t>
      </w:r>
      <w:r w:rsidR="00B41481" w:rsidRPr="00E25C19">
        <w:rPr>
          <w:rFonts w:ascii="Calibri" w:hAnsi="Calibri" w:cs="Calibri"/>
          <w:sz w:val="24"/>
          <w:szCs w:val="24"/>
        </w:rPr>
        <w:t xml:space="preserve"> </w:t>
      </w:r>
    </w:p>
    <w:p w:rsidR="00087955" w:rsidRPr="00E25C19" w:rsidRDefault="00392EA3" w:rsidP="00883B96">
      <w:pPr>
        <w:jc w:val="both"/>
        <w:rPr>
          <w:rFonts w:ascii="Calibri" w:hAnsi="Calibri" w:cs="Calibri"/>
          <w:sz w:val="24"/>
          <w:szCs w:val="24"/>
        </w:rPr>
      </w:pPr>
      <w:r w:rsidRPr="00E25C19">
        <w:rPr>
          <w:rFonts w:ascii="Calibri" w:hAnsi="Calibri" w:cs="Calibri"/>
          <w:sz w:val="24"/>
          <w:szCs w:val="24"/>
        </w:rPr>
        <w:t>DISSENTING JUDGMENT OF O’DONNELL J. (DENHAM C.J. CONCURRING)</w:t>
      </w:r>
    </w:p>
    <w:p w:rsidR="002F1987" w:rsidRPr="00E25C19" w:rsidRDefault="004F5A02" w:rsidP="006C28C6">
      <w:pPr>
        <w:jc w:val="both"/>
        <w:rPr>
          <w:rFonts w:ascii="Calibri" w:hAnsi="Calibri" w:cs="Calibri"/>
          <w:sz w:val="24"/>
          <w:szCs w:val="24"/>
        </w:rPr>
      </w:pPr>
      <w:r w:rsidRPr="00E25C19">
        <w:rPr>
          <w:rFonts w:ascii="Calibri" w:hAnsi="Calibri" w:cs="Calibri"/>
          <w:sz w:val="24"/>
          <w:szCs w:val="24"/>
        </w:rPr>
        <w:t>O’Donnell J. dep</w:t>
      </w:r>
      <w:r w:rsidR="00383518" w:rsidRPr="00E25C19">
        <w:rPr>
          <w:rFonts w:ascii="Calibri" w:hAnsi="Calibri" w:cs="Calibri"/>
          <w:sz w:val="24"/>
          <w:szCs w:val="24"/>
        </w:rPr>
        <w:t>arted from the majority opinion</w:t>
      </w:r>
      <w:r w:rsidRPr="00E25C19">
        <w:rPr>
          <w:rFonts w:ascii="Calibri" w:hAnsi="Calibri" w:cs="Calibri"/>
          <w:sz w:val="24"/>
          <w:szCs w:val="24"/>
        </w:rPr>
        <w:t xml:space="preserve"> in accepting that the “policy of the court” was not fixed by the terms of the 1986 Act. In his view, the “policy of the court” was profoundly affected by the introduction of domestic divorce and the adoption of divorce jurisdiction based first on “ordinary residence” (under the Family Law (Divorce) Act 1996) </w:t>
      </w:r>
      <w:r w:rsidRPr="00E25C19">
        <w:rPr>
          <w:rFonts w:ascii="Calibri" w:hAnsi="Calibri" w:cs="Calibri"/>
          <w:sz w:val="24"/>
          <w:szCs w:val="24"/>
        </w:rPr>
        <w:lastRenderedPageBreak/>
        <w:t xml:space="preserve">and subsequently on “habitual residence” (under the Brussels II </w:t>
      </w:r>
      <w:proofErr w:type="spellStart"/>
      <w:r w:rsidRPr="00E25C19">
        <w:rPr>
          <w:rFonts w:ascii="Calibri" w:hAnsi="Calibri" w:cs="Calibri"/>
          <w:i/>
          <w:sz w:val="24"/>
          <w:szCs w:val="24"/>
        </w:rPr>
        <w:t>bis</w:t>
      </w:r>
      <w:proofErr w:type="spellEnd"/>
      <w:r w:rsidRPr="00E25C19">
        <w:rPr>
          <w:rFonts w:ascii="Calibri" w:hAnsi="Calibri" w:cs="Calibri"/>
          <w:sz w:val="24"/>
          <w:szCs w:val="24"/>
        </w:rPr>
        <w:t xml:space="preserve"> Regulation).</w:t>
      </w:r>
      <w:r w:rsidR="00773683" w:rsidRPr="00E25C19">
        <w:rPr>
          <w:rStyle w:val="FootnoteReference"/>
          <w:rFonts w:ascii="Calibri" w:hAnsi="Calibri" w:cs="Calibri"/>
          <w:sz w:val="24"/>
          <w:szCs w:val="24"/>
        </w:rPr>
        <w:footnoteReference w:id="54"/>
      </w:r>
      <w:r w:rsidRPr="00E25C19">
        <w:rPr>
          <w:rFonts w:ascii="Calibri" w:hAnsi="Calibri" w:cs="Calibri"/>
          <w:sz w:val="24"/>
          <w:szCs w:val="24"/>
        </w:rPr>
        <w:t xml:space="preserve"> </w:t>
      </w:r>
      <w:r w:rsidR="00773683" w:rsidRPr="00E25C19">
        <w:rPr>
          <w:rFonts w:ascii="Calibri" w:hAnsi="Calibri" w:cs="Calibri"/>
          <w:sz w:val="24"/>
          <w:szCs w:val="24"/>
        </w:rPr>
        <w:t>Therefore insofar as the common law is amenable to change having regard to the “present policy of the court”, the common law recognition principles could be expanded to include residence-based recognition.</w:t>
      </w:r>
      <w:r w:rsidR="00DF5A17" w:rsidRPr="00E25C19">
        <w:rPr>
          <w:rStyle w:val="FootnoteReference"/>
          <w:rFonts w:ascii="Calibri" w:hAnsi="Calibri" w:cs="Calibri"/>
          <w:sz w:val="24"/>
          <w:szCs w:val="24"/>
        </w:rPr>
        <w:footnoteReference w:id="55"/>
      </w:r>
      <w:r w:rsidR="00773683" w:rsidRPr="00E25C19">
        <w:rPr>
          <w:rFonts w:ascii="Calibri" w:hAnsi="Calibri" w:cs="Calibri"/>
          <w:sz w:val="24"/>
          <w:szCs w:val="24"/>
        </w:rPr>
        <w:t xml:space="preserve"> </w:t>
      </w:r>
      <w:r w:rsidR="003B32FB" w:rsidRPr="00E25C19">
        <w:rPr>
          <w:rFonts w:ascii="Calibri" w:hAnsi="Calibri" w:cs="Calibri"/>
          <w:sz w:val="24"/>
          <w:szCs w:val="24"/>
        </w:rPr>
        <w:t>Noting the “distinct</w:t>
      </w:r>
      <w:r w:rsidR="00F57CCC" w:rsidRPr="00E25C19">
        <w:rPr>
          <w:rFonts w:ascii="Calibri" w:hAnsi="Calibri" w:cs="Calibri"/>
          <w:sz w:val="24"/>
          <w:szCs w:val="24"/>
        </w:rPr>
        <w:t>ive</w:t>
      </w:r>
      <w:r w:rsidR="003B32FB" w:rsidRPr="00E25C19">
        <w:rPr>
          <w:rFonts w:ascii="Calibri" w:hAnsi="Calibri" w:cs="Calibri"/>
          <w:sz w:val="24"/>
          <w:szCs w:val="24"/>
        </w:rPr>
        <w:t xml:space="preserve"> historical context”</w:t>
      </w:r>
      <w:r w:rsidR="00F57CCC" w:rsidRPr="00E25C19">
        <w:rPr>
          <w:rFonts w:ascii="Calibri" w:hAnsi="Calibri" w:cs="Calibri"/>
          <w:sz w:val="24"/>
          <w:szCs w:val="24"/>
        </w:rPr>
        <w:t xml:space="preserve"> in which the</w:t>
      </w:r>
      <w:r w:rsidR="003B32FB" w:rsidRPr="00E25C19">
        <w:rPr>
          <w:rFonts w:ascii="Calibri" w:hAnsi="Calibri" w:cs="Calibri"/>
          <w:sz w:val="24"/>
          <w:szCs w:val="24"/>
        </w:rPr>
        <w:t xml:space="preserve"> </w:t>
      </w:r>
      <w:r w:rsidR="00F57CCC" w:rsidRPr="00E25C19">
        <w:rPr>
          <w:rFonts w:ascii="Calibri" w:hAnsi="Calibri" w:cs="Calibri"/>
          <w:sz w:val="24"/>
          <w:szCs w:val="24"/>
        </w:rPr>
        <w:t xml:space="preserve">traditional domicile-based </w:t>
      </w:r>
      <w:r w:rsidR="003B32FB" w:rsidRPr="00E25C19">
        <w:rPr>
          <w:rFonts w:ascii="Calibri" w:hAnsi="Calibri" w:cs="Calibri"/>
          <w:sz w:val="24"/>
          <w:szCs w:val="24"/>
        </w:rPr>
        <w:t xml:space="preserve">rules were adopted, </w:t>
      </w:r>
      <w:r w:rsidR="006C28C6" w:rsidRPr="00E25C19">
        <w:rPr>
          <w:rFonts w:ascii="Calibri" w:hAnsi="Calibri" w:cs="Calibri"/>
          <w:sz w:val="24"/>
          <w:szCs w:val="24"/>
        </w:rPr>
        <w:t xml:space="preserve">O’Donnell J. </w:t>
      </w:r>
      <w:r w:rsidR="003B32FB" w:rsidRPr="00E25C19">
        <w:rPr>
          <w:rFonts w:ascii="Calibri" w:hAnsi="Calibri" w:cs="Calibri"/>
          <w:sz w:val="24"/>
          <w:szCs w:val="24"/>
        </w:rPr>
        <w:t xml:space="preserve">argued </w:t>
      </w:r>
      <w:r w:rsidR="006C28C6" w:rsidRPr="00E25C19">
        <w:rPr>
          <w:rFonts w:ascii="Calibri" w:hAnsi="Calibri" w:cs="Calibri"/>
          <w:sz w:val="24"/>
          <w:szCs w:val="24"/>
        </w:rPr>
        <w:t xml:space="preserve">that there was no “intrinsic logic or merit” </w:t>
      </w:r>
      <w:r w:rsidR="00F57CCC" w:rsidRPr="00E25C19">
        <w:rPr>
          <w:rFonts w:ascii="Calibri" w:hAnsi="Calibri" w:cs="Calibri"/>
          <w:sz w:val="24"/>
          <w:szCs w:val="24"/>
        </w:rPr>
        <w:t xml:space="preserve">in the application of </w:t>
      </w:r>
      <w:r w:rsidR="006C28C6" w:rsidRPr="00E25C19">
        <w:rPr>
          <w:rFonts w:ascii="Calibri" w:hAnsi="Calibri" w:cs="Calibri"/>
          <w:sz w:val="24"/>
          <w:szCs w:val="24"/>
        </w:rPr>
        <w:t>such restrictive</w:t>
      </w:r>
      <w:r w:rsidR="003B32FB" w:rsidRPr="00E25C19">
        <w:rPr>
          <w:rFonts w:ascii="Calibri" w:hAnsi="Calibri" w:cs="Calibri"/>
          <w:sz w:val="24"/>
          <w:szCs w:val="24"/>
        </w:rPr>
        <w:t xml:space="preserve"> </w:t>
      </w:r>
      <w:r w:rsidR="006C28C6" w:rsidRPr="00E25C19">
        <w:rPr>
          <w:rFonts w:ascii="Calibri" w:hAnsi="Calibri" w:cs="Calibri"/>
          <w:sz w:val="24"/>
          <w:szCs w:val="24"/>
        </w:rPr>
        <w:t>rules</w:t>
      </w:r>
      <w:r w:rsidR="00F57CCC" w:rsidRPr="00E25C19">
        <w:rPr>
          <w:rFonts w:ascii="Calibri" w:hAnsi="Calibri" w:cs="Calibri"/>
          <w:sz w:val="24"/>
          <w:szCs w:val="24"/>
        </w:rPr>
        <w:t xml:space="preserve"> in an entirely different socio-legal context.</w:t>
      </w:r>
      <w:r w:rsidR="00F57CCC" w:rsidRPr="00E25C19">
        <w:rPr>
          <w:rStyle w:val="FootnoteReference"/>
          <w:rFonts w:ascii="Calibri" w:hAnsi="Calibri" w:cs="Calibri"/>
          <w:sz w:val="24"/>
          <w:szCs w:val="24"/>
        </w:rPr>
        <w:footnoteReference w:id="56"/>
      </w:r>
      <w:r w:rsidR="00F57CCC" w:rsidRPr="00E25C19">
        <w:rPr>
          <w:rFonts w:ascii="Calibri" w:hAnsi="Calibri" w:cs="Calibri"/>
          <w:sz w:val="24"/>
          <w:szCs w:val="24"/>
        </w:rPr>
        <w:t xml:space="preserve"> In failing to move beyond </w:t>
      </w:r>
      <w:r w:rsidR="00127343">
        <w:rPr>
          <w:rFonts w:ascii="Calibri" w:hAnsi="Calibri" w:cs="Calibri"/>
          <w:sz w:val="24"/>
          <w:szCs w:val="24"/>
        </w:rPr>
        <w:t xml:space="preserve">the </w:t>
      </w:r>
      <w:r w:rsidR="00F57CCC" w:rsidRPr="00E25C19">
        <w:rPr>
          <w:rFonts w:ascii="Calibri" w:hAnsi="Calibri" w:cs="Calibri"/>
          <w:sz w:val="24"/>
          <w:szCs w:val="24"/>
        </w:rPr>
        <w:t>domicile-based recognition</w:t>
      </w:r>
      <w:r w:rsidR="00127343">
        <w:rPr>
          <w:rFonts w:ascii="Calibri" w:hAnsi="Calibri" w:cs="Calibri"/>
          <w:sz w:val="24"/>
          <w:szCs w:val="24"/>
        </w:rPr>
        <w:t xml:space="preserve"> policy of the indissolubility era</w:t>
      </w:r>
      <w:r w:rsidR="00F57CCC" w:rsidRPr="00E25C19">
        <w:rPr>
          <w:rFonts w:ascii="Calibri" w:hAnsi="Calibri" w:cs="Calibri"/>
          <w:sz w:val="24"/>
          <w:szCs w:val="24"/>
        </w:rPr>
        <w:t xml:space="preserve">, Irish law </w:t>
      </w:r>
      <w:r w:rsidR="006C28C6" w:rsidRPr="00E25C19">
        <w:rPr>
          <w:rFonts w:ascii="Calibri" w:hAnsi="Calibri" w:cs="Calibri"/>
          <w:sz w:val="24"/>
          <w:szCs w:val="24"/>
        </w:rPr>
        <w:t>create</w:t>
      </w:r>
      <w:r w:rsidR="00F57CCC" w:rsidRPr="00E25C19">
        <w:rPr>
          <w:rFonts w:ascii="Calibri" w:hAnsi="Calibri" w:cs="Calibri"/>
          <w:sz w:val="24"/>
          <w:szCs w:val="24"/>
        </w:rPr>
        <w:t>d</w:t>
      </w:r>
      <w:r w:rsidR="006C28C6" w:rsidRPr="00E25C19">
        <w:rPr>
          <w:rFonts w:ascii="Calibri" w:hAnsi="Calibri" w:cs="Calibri"/>
          <w:sz w:val="24"/>
          <w:szCs w:val="24"/>
        </w:rPr>
        <w:t xml:space="preserve"> unnecessary</w:t>
      </w:r>
      <w:r w:rsidR="003B32FB" w:rsidRPr="00E25C19">
        <w:rPr>
          <w:rFonts w:ascii="Calibri" w:hAnsi="Calibri" w:cs="Calibri"/>
          <w:sz w:val="24"/>
          <w:szCs w:val="24"/>
        </w:rPr>
        <w:t xml:space="preserve"> distress</w:t>
      </w:r>
      <w:r w:rsidR="006C28C6" w:rsidRPr="00E25C19">
        <w:rPr>
          <w:rFonts w:ascii="Calibri" w:hAnsi="Calibri" w:cs="Calibri"/>
          <w:sz w:val="24"/>
          <w:szCs w:val="24"/>
        </w:rPr>
        <w:t xml:space="preserve"> </w:t>
      </w:r>
      <w:r w:rsidR="00F57CCC" w:rsidRPr="00E25C19">
        <w:rPr>
          <w:rFonts w:ascii="Calibri" w:hAnsi="Calibri" w:cs="Calibri"/>
          <w:sz w:val="24"/>
          <w:szCs w:val="24"/>
        </w:rPr>
        <w:t>with a high incidence of limping marriages</w:t>
      </w:r>
      <w:r w:rsidR="006C28C6" w:rsidRPr="00E25C19">
        <w:rPr>
          <w:rFonts w:ascii="Calibri" w:hAnsi="Calibri" w:cs="Calibri"/>
          <w:sz w:val="24"/>
          <w:szCs w:val="24"/>
        </w:rPr>
        <w:t>.</w:t>
      </w:r>
      <w:r w:rsidR="006C28C6" w:rsidRPr="00E25C19">
        <w:rPr>
          <w:rStyle w:val="FootnoteReference"/>
          <w:rFonts w:ascii="Calibri" w:hAnsi="Calibri" w:cs="Calibri"/>
          <w:sz w:val="24"/>
          <w:szCs w:val="24"/>
        </w:rPr>
        <w:footnoteReference w:id="57"/>
      </w:r>
      <w:r w:rsidR="001932D4">
        <w:rPr>
          <w:rFonts w:ascii="Calibri" w:hAnsi="Calibri" w:cs="Calibri"/>
          <w:sz w:val="24"/>
          <w:szCs w:val="24"/>
        </w:rPr>
        <w:t xml:space="preserve"> </w:t>
      </w:r>
      <w:r w:rsidR="00773683" w:rsidRPr="00E25C19">
        <w:rPr>
          <w:rFonts w:ascii="Calibri" w:hAnsi="Calibri" w:cs="Calibri"/>
          <w:sz w:val="24"/>
          <w:szCs w:val="24"/>
        </w:rPr>
        <w:t xml:space="preserve"> </w:t>
      </w:r>
    </w:p>
    <w:p w:rsidR="0020151C" w:rsidRPr="00E25C19" w:rsidRDefault="00383518" w:rsidP="00D45ADA">
      <w:pPr>
        <w:jc w:val="both"/>
        <w:rPr>
          <w:rFonts w:ascii="Calibri" w:hAnsi="Calibri" w:cs="Calibri"/>
          <w:sz w:val="24"/>
          <w:szCs w:val="24"/>
        </w:rPr>
      </w:pPr>
      <w:r w:rsidRPr="00E25C19">
        <w:rPr>
          <w:rFonts w:ascii="Calibri" w:hAnsi="Calibri" w:cs="Calibri"/>
          <w:sz w:val="24"/>
          <w:szCs w:val="24"/>
        </w:rPr>
        <w:t xml:space="preserve">O’Donnell J. noted that the Supreme Court in </w:t>
      </w:r>
      <w:r w:rsidRPr="00E25C19">
        <w:rPr>
          <w:rFonts w:ascii="Calibri" w:hAnsi="Calibri" w:cs="Calibri"/>
          <w:i/>
          <w:sz w:val="24"/>
          <w:szCs w:val="24"/>
        </w:rPr>
        <w:t>W v W</w:t>
      </w:r>
      <w:r w:rsidRPr="00E25C19">
        <w:rPr>
          <w:rFonts w:ascii="Calibri" w:hAnsi="Calibri" w:cs="Calibri"/>
          <w:sz w:val="24"/>
          <w:szCs w:val="24"/>
        </w:rPr>
        <w:t xml:space="preserve"> had relied on </w:t>
      </w:r>
      <w:r w:rsidRPr="00E25C19">
        <w:rPr>
          <w:rFonts w:ascii="Calibri" w:hAnsi="Calibri" w:cs="Calibri"/>
          <w:i/>
          <w:sz w:val="24"/>
          <w:szCs w:val="24"/>
        </w:rPr>
        <w:t>Travers v Holley</w:t>
      </w:r>
      <w:r w:rsidRPr="00E25C19">
        <w:rPr>
          <w:rFonts w:ascii="Calibri" w:hAnsi="Calibri" w:cs="Calibri"/>
          <w:sz w:val="24"/>
          <w:szCs w:val="24"/>
        </w:rPr>
        <w:t xml:space="preserve"> and </w:t>
      </w:r>
      <w:proofErr w:type="spellStart"/>
      <w:r w:rsidRPr="00E25C19">
        <w:rPr>
          <w:rFonts w:ascii="Calibri" w:hAnsi="Calibri" w:cs="Calibri"/>
          <w:i/>
          <w:sz w:val="24"/>
          <w:szCs w:val="24"/>
        </w:rPr>
        <w:t>Indyka</w:t>
      </w:r>
      <w:proofErr w:type="spellEnd"/>
      <w:r w:rsidRPr="00E25C19">
        <w:rPr>
          <w:rFonts w:ascii="Calibri" w:hAnsi="Calibri" w:cs="Calibri"/>
          <w:i/>
          <w:sz w:val="24"/>
          <w:szCs w:val="24"/>
        </w:rPr>
        <w:t xml:space="preserve"> v </w:t>
      </w:r>
      <w:proofErr w:type="spellStart"/>
      <w:r w:rsidRPr="00E25C19">
        <w:rPr>
          <w:rFonts w:ascii="Calibri" w:hAnsi="Calibri" w:cs="Calibri"/>
          <w:i/>
          <w:sz w:val="24"/>
          <w:szCs w:val="24"/>
        </w:rPr>
        <w:t>Indyka</w:t>
      </w:r>
      <w:proofErr w:type="spellEnd"/>
      <w:r w:rsidRPr="00E25C19">
        <w:rPr>
          <w:rFonts w:ascii="Calibri" w:hAnsi="Calibri" w:cs="Calibri"/>
          <w:sz w:val="24"/>
          <w:szCs w:val="24"/>
        </w:rPr>
        <w:t xml:space="preserve"> and had impliedly supported the idea of aligning recognition policy with domestic jurisdictional norms.</w:t>
      </w:r>
      <w:r w:rsidRPr="00E25C19">
        <w:rPr>
          <w:rStyle w:val="FootnoteReference"/>
          <w:rFonts w:ascii="Calibri" w:hAnsi="Calibri" w:cs="Calibri"/>
          <w:sz w:val="24"/>
          <w:szCs w:val="24"/>
        </w:rPr>
        <w:footnoteReference w:id="58"/>
      </w:r>
      <w:r w:rsidR="00900579" w:rsidRPr="00E25C19">
        <w:rPr>
          <w:rFonts w:ascii="Calibri" w:hAnsi="Calibri" w:cs="Calibri"/>
          <w:sz w:val="24"/>
          <w:szCs w:val="24"/>
        </w:rPr>
        <w:t xml:space="preserve"> Endorsing the </w:t>
      </w:r>
      <w:r w:rsidR="00900579" w:rsidRPr="00E25C19">
        <w:rPr>
          <w:rFonts w:ascii="Calibri" w:hAnsi="Calibri" w:cs="Calibri"/>
          <w:i/>
          <w:sz w:val="24"/>
          <w:szCs w:val="24"/>
        </w:rPr>
        <w:t>Travers v Holley</w:t>
      </w:r>
      <w:r w:rsidR="00900579" w:rsidRPr="00E25C19">
        <w:rPr>
          <w:rFonts w:ascii="Calibri" w:hAnsi="Calibri" w:cs="Calibri"/>
          <w:sz w:val="24"/>
          <w:szCs w:val="24"/>
        </w:rPr>
        <w:t xml:space="preserve"> reciprocity doctrine, O’Donnell J. concluded that a foreign divorce should be recognised in Ireland “if the applicant for the divorce would comply with the provisions contained in Article 3 of … Brussels II </w:t>
      </w:r>
      <w:proofErr w:type="spellStart"/>
      <w:r w:rsidR="00900579" w:rsidRPr="00E25C19">
        <w:rPr>
          <w:rFonts w:ascii="Calibri" w:hAnsi="Calibri" w:cs="Calibri"/>
          <w:i/>
          <w:sz w:val="24"/>
          <w:szCs w:val="24"/>
        </w:rPr>
        <w:t>bis</w:t>
      </w:r>
      <w:proofErr w:type="spellEnd"/>
      <w:r w:rsidR="00900579" w:rsidRPr="00E25C19">
        <w:rPr>
          <w:rFonts w:ascii="Calibri" w:hAnsi="Calibri" w:cs="Calibri"/>
          <w:sz w:val="24"/>
          <w:szCs w:val="24"/>
        </w:rPr>
        <w:t>”.</w:t>
      </w:r>
      <w:r w:rsidR="00117ED5" w:rsidRPr="00E25C19">
        <w:rPr>
          <w:rStyle w:val="FootnoteReference"/>
          <w:rFonts w:ascii="Calibri" w:hAnsi="Calibri" w:cs="Calibri"/>
          <w:sz w:val="24"/>
          <w:szCs w:val="24"/>
        </w:rPr>
        <w:footnoteReference w:id="59"/>
      </w:r>
      <w:r w:rsidR="00900579" w:rsidRPr="00E25C19">
        <w:rPr>
          <w:rFonts w:ascii="Calibri" w:hAnsi="Calibri" w:cs="Calibri"/>
          <w:sz w:val="24"/>
          <w:szCs w:val="24"/>
        </w:rPr>
        <w:t xml:space="preserve"> </w:t>
      </w:r>
    </w:p>
    <w:p w:rsidR="00D45ADA" w:rsidRPr="00E25C19" w:rsidRDefault="00117ED5" w:rsidP="00D45ADA">
      <w:pPr>
        <w:jc w:val="both"/>
        <w:rPr>
          <w:rFonts w:ascii="Calibri" w:hAnsi="Calibri" w:cs="Calibri"/>
          <w:sz w:val="24"/>
          <w:szCs w:val="24"/>
        </w:rPr>
      </w:pPr>
      <w:r w:rsidRPr="00E25C19">
        <w:rPr>
          <w:rFonts w:ascii="Calibri" w:hAnsi="Calibri" w:cs="Calibri"/>
          <w:sz w:val="24"/>
          <w:szCs w:val="24"/>
        </w:rPr>
        <w:t>O’Donnell J. thus laid</w:t>
      </w:r>
      <w:r w:rsidR="00900579" w:rsidRPr="00E25C19">
        <w:rPr>
          <w:rFonts w:ascii="Calibri" w:hAnsi="Calibri" w:cs="Calibri"/>
          <w:sz w:val="24"/>
          <w:szCs w:val="24"/>
        </w:rPr>
        <w:t xml:space="preserve"> down a</w:t>
      </w:r>
      <w:r w:rsidR="00122174" w:rsidRPr="00E25C19">
        <w:rPr>
          <w:rFonts w:ascii="Calibri" w:hAnsi="Calibri" w:cs="Calibri"/>
          <w:sz w:val="24"/>
          <w:szCs w:val="24"/>
        </w:rPr>
        <w:t>n Irish</w:t>
      </w:r>
      <w:r w:rsidR="00900579" w:rsidRPr="00E25C19">
        <w:rPr>
          <w:rFonts w:ascii="Calibri" w:hAnsi="Calibri" w:cs="Calibri"/>
          <w:sz w:val="24"/>
          <w:szCs w:val="24"/>
        </w:rPr>
        <w:t xml:space="preserve"> </w:t>
      </w:r>
      <w:r w:rsidR="00122174" w:rsidRPr="00E25C19">
        <w:rPr>
          <w:rFonts w:ascii="Calibri" w:hAnsi="Calibri" w:cs="Calibri"/>
          <w:sz w:val="24"/>
          <w:szCs w:val="24"/>
        </w:rPr>
        <w:t xml:space="preserve">recognition doctrine which requires satisfaction of the domestic (Irish) jurisdictional rules </w:t>
      </w:r>
      <w:r w:rsidR="00D45ADA" w:rsidRPr="00E25C19">
        <w:rPr>
          <w:rFonts w:ascii="Calibri" w:hAnsi="Calibri" w:cs="Calibri"/>
          <w:sz w:val="24"/>
          <w:szCs w:val="24"/>
        </w:rPr>
        <w:t>in the granting court</w:t>
      </w:r>
      <w:r w:rsidR="00BE63A8">
        <w:rPr>
          <w:rFonts w:ascii="Calibri" w:hAnsi="Calibri" w:cs="Calibri"/>
          <w:sz w:val="24"/>
          <w:szCs w:val="24"/>
        </w:rPr>
        <w:t>,</w:t>
      </w:r>
      <w:r w:rsidR="00D45ADA" w:rsidRPr="00E25C19">
        <w:rPr>
          <w:rFonts w:ascii="Calibri" w:hAnsi="Calibri" w:cs="Calibri"/>
          <w:sz w:val="24"/>
          <w:szCs w:val="24"/>
        </w:rPr>
        <w:t xml:space="preserve"> </w:t>
      </w:r>
      <w:r w:rsidR="00122174" w:rsidRPr="00E25C19">
        <w:rPr>
          <w:rFonts w:ascii="Calibri" w:hAnsi="Calibri" w:cs="Calibri"/>
          <w:sz w:val="24"/>
          <w:szCs w:val="24"/>
        </w:rPr>
        <w:t>but which does not require the foreign divorce</w:t>
      </w:r>
      <w:r w:rsidR="00727AF4" w:rsidRPr="00E25C19">
        <w:rPr>
          <w:rFonts w:ascii="Calibri" w:hAnsi="Calibri" w:cs="Calibri"/>
          <w:sz w:val="24"/>
          <w:szCs w:val="24"/>
        </w:rPr>
        <w:t xml:space="preserve"> court to have applied the same or </w:t>
      </w:r>
      <w:r w:rsidR="00AF4DAF">
        <w:rPr>
          <w:rFonts w:ascii="Calibri" w:hAnsi="Calibri" w:cs="Calibri"/>
          <w:sz w:val="24"/>
          <w:szCs w:val="24"/>
        </w:rPr>
        <w:t xml:space="preserve">a </w:t>
      </w:r>
      <w:r w:rsidR="00727AF4" w:rsidRPr="00E25C19">
        <w:rPr>
          <w:rFonts w:ascii="Calibri" w:hAnsi="Calibri" w:cs="Calibri"/>
          <w:sz w:val="24"/>
          <w:szCs w:val="24"/>
        </w:rPr>
        <w:t>similar</w:t>
      </w:r>
      <w:r w:rsidR="00AF4DAF">
        <w:rPr>
          <w:rFonts w:ascii="Calibri" w:hAnsi="Calibri" w:cs="Calibri"/>
          <w:sz w:val="24"/>
          <w:szCs w:val="24"/>
        </w:rPr>
        <w:t xml:space="preserve"> jurisdictional rule</w:t>
      </w:r>
      <w:r w:rsidR="00116E17">
        <w:rPr>
          <w:rFonts w:ascii="Calibri" w:hAnsi="Calibri" w:cs="Calibri"/>
          <w:sz w:val="24"/>
          <w:szCs w:val="24"/>
        </w:rPr>
        <w:t>. He therefore</w:t>
      </w:r>
      <w:r w:rsidR="00B67C80">
        <w:rPr>
          <w:rFonts w:ascii="Calibri" w:hAnsi="Calibri" w:cs="Calibri"/>
          <w:sz w:val="24"/>
          <w:szCs w:val="24"/>
        </w:rPr>
        <w:t xml:space="preserve"> </w:t>
      </w:r>
      <w:r w:rsidR="00122174" w:rsidRPr="00E25C19">
        <w:rPr>
          <w:rFonts w:ascii="Calibri" w:hAnsi="Calibri" w:cs="Calibri"/>
          <w:sz w:val="24"/>
          <w:szCs w:val="24"/>
        </w:rPr>
        <w:t xml:space="preserve">abandons the suggestion in </w:t>
      </w:r>
      <w:r w:rsidR="00122174" w:rsidRPr="00E25C19">
        <w:rPr>
          <w:rFonts w:ascii="Calibri" w:hAnsi="Calibri" w:cs="Calibri"/>
          <w:i/>
          <w:sz w:val="24"/>
          <w:szCs w:val="24"/>
        </w:rPr>
        <w:t>Travers v Holley</w:t>
      </w:r>
      <w:r w:rsidR="00122174" w:rsidRPr="00E25C19">
        <w:rPr>
          <w:rFonts w:ascii="Calibri" w:hAnsi="Calibri" w:cs="Calibri"/>
          <w:sz w:val="24"/>
          <w:szCs w:val="24"/>
        </w:rPr>
        <w:t xml:space="preserve"> (and in </w:t>
      </w:r>
      <w:proofErr w:type="spellStart"/>
      <w:r w:rsidR="00122174" w:rsidRPr="00E25C19">
        <w:rPr>
          <w:rFonts w:ascii="Calibri" w:hAnsi="Calibri" w:cs="Calibri"/>
          <w:i/>
          <w:sz w:val="24"/>
          <w:szCs w:val="24"/>
        </w:rPr>
        <w:t>McG</w:t>
      </w:r>
      <w:proofErr w:type="spellEnd"/>
      <w:r w:rsidR="00122174" w:rsidRPr="00E25C19">
        <w:rPr>
          <w:rFonts w:ascii="Calibri" w:hAnsi="Calibri" w:cs="Calibri"/>
          <w:i/>
          <w:sz w:val="24"/>
          <w:szCs w:val="24"/>
        </w:rPr>
        <w:t xml:space="preserve"> v W</w:t>
      </w:r>
      <w:r w:rsidR="00122174" w:rsidRPr="00E25C19">
        <w:rPr>
          <w:rFonts w:ascii="Calibri" w:hAnsi="Calibri" w:cs="Calibri"/>
          <w:sz w:val="24"/>
          <w:szCs w:val="24"/>
        </w:rPr>
        <w:t xml:space="preserve">) that </w:t>
      </w:r>
      <w:r w:rsidRPr="00E25C19">
        <w:rPr>
          <w:rFonts w:ascii="Calibri" w:hAnsi="Calibri" w:cs="Calibri"/>
          <w:sz w:val="24"/>
          <w:szCs w:val="24"/>
        </w:rPr>
        <w:t xml:space="preserve">the </w:t>
      </w:r>
      <w:r w:rsidR="00122174" w:rsidRPr="00E25C19">
        <w:rPr>
          <w:rFonts w:ascii="Calibri" w:hAnsi="Calibri" w:cs="Calibri"/>
          <w:sz w:val="24"/>
          <w:szCs w:val="24"/>
        </w:rPr>
        <w:t xml:space="preserve">granting court must have applied </w:t>
      </w:r>
      <w:r w:rsidR="00AF4DAF">
        <w:rPr>
          <w:rFonts w:ascii="Calibri" w:hAnsi="Calibri" w:cs="Calibri"/>
          <w:sz w:val="24"/>
          <w:szCs w:val="24"/>
        </w:rPr>
        <w:t xml:space="preserve">a </w:t>
      </w:r>
      <w:r w:rsidR="00122174" w:rsidRPr="00E25C19">
        <w:rPr>
          <w:rFonts w:ascii="Calibri" w:hAnsi="Calibri" w:cs="Calibri"/>
          <w:sz w:val="24"/>
          <w:szCs w:val="24"/>
        </w:rPr>
        <w:t>ju</w:t>
      </w:r>
      <w:r w:rsidR="00AF4DAF">
        <w:rPr>
          <w:rFonts w:ascii="Calibri" w:hAnsi="Calibri" w:cs="Calibri"/>
          <w:sz w:val="24"/>
          <w:szCs w:val="24"/>
        </w:rPr>
        <w:t>risdictional rule</w:t>
      </w:r>
      <w:r w:rsidR="00146E77">
        <w:rPr>
          <w:rFonts w:ascii="Calibri" w:hAnsi="Calibri" w:cs="Calibri"/>
          <w:sz w:val="24"/>
          <w:szCs w:val="24"/>
        </w:rPr>
        <w:t xml:space="preserve"> which corresponded </w:t>
      </w:r>
      <w:r w:rsidR="00B878EF" w:rsidRPr="00E25C19">
        <w:rPr>
          <w:rFonts w:ascii="Calibri" w:hAnsi="Calibri" w:cs="Calibri"/>
          <w:sz w:val="24"/>
          <w:szCs w:val="24"/>
        </w:rPr>
        <w:t>with</w:t>
      </w:r>
      <w:r w:rsidR="00122174" w:rsidRPr="00E25C19">
        <w:rPr>
          <w:rFonts w:ascii="Calibri" w:hAnsi="Calibri" w:cs="Calibri"/>
          <w:sz w:val="24"/>
          <w:szCs w:val="24"/>
        </w:rPr>
        <w:t xml:space="preserve"> </w:t>
      </w:r>
      <w:r w:rsidR="00AF4DAF">
        <w:rPr>
          <w:rFonts w:ascii="Calibri" w:hAnsi="Calibri" w:cs="Calibri"/>
          <w:sz w:val="24"/>
          <w:szCs w:val="24"/>
        </w:rPr>
        <w:t xml:space="preserve">one of </w:t>
      </w:r>
      <w:r w:rsidR="00122174" w:rsidRPr="00E25C19">
        <w:rPr>
          <w:rFonts w:ascii="Calibri" w:hAnsi="Calibri" w:cs="Calibri"/>
          <w:sz w:val="24"/>
          <w:szCs w:val="24"/>
        </w:rPr>
        <w:t xml:space="preserve">the </w:t>
      </w:r>
      <w:r w:rsidR="0020151C" w:rsidRPr="00E25C19">
        <w:rPr>
          <w:rFonts w:ascii="Calibri" w:hAnsi="Calibri" w:cs="Calibri"/>
          <w:sz w:val="24"/>
          <w:szCs w:val="24"/>
        </w:rPr>
        <w:t xml:space="preserve">current </w:t>
      </w:r>
      <w:r w:rsidR="00122174" w:rsidRPr="00E25C19">
        <w:rPr>
          <w:rFonts w:ascii="Calibri" w:hAnsi="Calibri" w:cs="Calibri"/>
          <w:sz w:val="24"/>
          <w:szCs w:val="24"/>
        </w:rPr>
        <w:t>domestic ones.</w:t>
      </w:r>
      <w:r w:rsidR="00727AF4" w:rsidRPr="00E25C19">
        <w:rPr>
          <w:rStyle w:val="FootnoteReference"/>
          <w:rFonts w:ascii="Calibri" w:hAnsi="Calibri" w:cs="Calibri"/>
          <w:sz w:val="24"/>
          <w:szCs w:val="24"/>
        </w:rPr>
        <w:footnoteReference w:id="60"/>
      </w:r>
      <w:r w:rsidR="00122174" w:rsidRPr="00E25C19">
        <w:rPr>
          <w:rFonts w:ascii="Calibri" w:hAnsi="Calibri" w:cs="Calibri"/>
          <w:sz w:val="24"/>
          <w:szCs w:val="24"/>
        </w:rPr>
        <w:t xml:space="preserve"> This refinement of the </w:t>
      </w:r>
      <w:r w:rsidR="00122174" w:rsidRPr="00E25C19">
        <w:rPr>
          <w:rFonts w:ascii="Calibri" w:hAnsi="Calibri" w:cs="Calibri"/>
          <w:i/>
          <w:sz w:val="24"/>
          <w:szCs w:val="24"/>
        </w:rPr>
        <w:t>Travers v Holley</w:t>
      </w:r>
      <w:r w:rsidR="00122174" w:rsidRPr="00E25C19">
        <w:rPr>
          <w:rFonts w:ascii="Calibri" w:hAnsi="Calibri" w:cs="Calibri"/>
          <w:sz w:val="24"/>
          <w:szCs w:val="24"/>
        </w:rPr>
        <w:t xml:space="preserve"> test is to be welcomed. </w:t>
      </w:r>
      <w:r w:rsidR="00D45ADA" w:rsidRPr="00E25C19">
        <w:rPr>
          <w:rFonts w:ascii="Calibri" w:hAnsi="Calibri" w:cs="Calibri"/>
          <w:sz w:val="24"/>
          <w:szCs w:val="24"/>
        </w:rPr>
        <w:t>Logically</w:t>
      </w:r>
      <w:r w:rsidR="00BE63A8">
        <w:rPr>
          <w:rFonts w:ascii="Calibri" w:hAnsi="Calibri" w:cs="Calibri"/>
          <w:sz w:val="24"/>
          <w:szCs w:val="24"/>
        </w:rPr>
        <w:t>,</w:t>
      </w:r>
      <w:r w:rsidR="00D45ADA" w:rsidRPr="00E25C19">
        <w:rPr>
          <w:rFonts w:ascii="Calibri" w:hAnsi="Calibri" w:cs="Calibri"/>
          <w:sz w:val="24"/>
          <w:szCs w:val="24"/>
        </w:rPr>
        <w:t xml:space="preserve"> the focus of the recognition test should be on the objective adequacy of the</w:t>
      </w:r>
      <w:r w:rsidR="00116E17">
        <w:rPr>
          <w:rFonts w:ascii="Calibri" w:hAnsi="Calibri" w:cs="Calibri"/>
          <w:sz w:val="24"/>
          <w:szCs w:val="24"/>
        </w:rPr>
        <w:t xml:space="preserve"> personal</w:t>
      </w:r>
      <w:r w:rsidR="00122174" w:rsidRPr="00E25C19">
        <w:rPr>
          <w:rFonts w:ascii="Calibri" w:hAnsi="Calibri" w:cs="Calibri"/>
          <w:sz w:val="24"/>
          <w:szCs w:val="24"/>
        </w:rPr>
        <w:t xml:space="preserve"> connection from an Irish perspective</w:t>
      </w:r>
      <w:r w:rsidR="00D45ADA" w:rsidRPr="00E25C19">
        <w:rPr>
          <w:rFonts w:ascii="Calibri" w:hAnsi="Calibri" w:cs="Calibri"/>
          <w:sz w:val="24"/>
          <w:szCs w:val="24"/>
        </w:rPr>
        <w:t>, and it should not matter how the foreign jurisdictional rules were formulated or how the foreign court assessed its own jurisdiction. Indeed,</w:t>
      </w:r>
      <w:r w:rsidR="0020151C" w:rsidRPr="00E25C19">
        <w:rPr>
          <w:rFonts w:ascii="Calibri" w:hAnsi="Calibri" w:cs="Calibri"/>
          <w:sz w:val="24"/>
          <w:szCs w:val="24"/>
        </w:rPr>
        <w:t xml:space="preserve"> in the absence of a jurisdictional dispute in the granting court</w:t>
      </w:r>
      <w:r w:rsidR="00D45ADA" w:rsidRPr="00E25C19">
        <w:rPr>
          <w:rFonts w:ascii="Calibri" w:hAnsi="Calibri" w:cs="Calibri"/>
          <w:sz w:val="24"/>
          <w:szCs w:val="24"/>
        </w:rPr>
        <w:t xml:space="preserve">, the precise jurisdictional basis for the foreign divorce proceedings </w:t>
      </w:r>
      <w:r w:rsidR="00327BAA" w:rsidRPr="00E25C19">
        <w:rPr>
          <w:rFonts w:ascii="Calibri" w:hAnsi="Calibri" w:cs="Calibri"/>
          <w:sz w:val="24"/>
          <w:szCs w:val="24"/>
        </w:rPr>
        <w:t>is likely to</w:t>
      </w:r>
      <w:r w:rsidR="00D45ADA" w:rsidRPr="00E25C19">
        <w:rPr>
          <w:rFonts w:ascii="Calibri" w:hAnsi="Calibri" w:cs="Calibri"/>
          <w:sz w:val="24"/>
          <w:szCs w:val="24"/>
        </w:rPr>
        <w:t xml:space="preserve"> be u</w:t>
      </w:r>
      <w:r w:rsidR="00B878EF" w:rsidRPr="00E25C19">
        <w:rPr>
          <w:rFonts w:ascii="Calibri" w:hAnsi="Calibri" w:cs="Calibri"/>
          <w:sz w:val="24"/>
          <w:szCs w:val="24"/>
        </w:rPr>
        <w:t xml:space="preserve">nknown. </w:t>
      </w:r>
    </w:p>
    <w:p w:rsidR="00EE4FB3" w:rsidRPr="00E25C19" w:rsidRDefault="00327BAA" w:rsidP="00B05984">
      <w:pPr>
        <w:jc w:val="both"/>
        <w:rPr>
          <w:rFonts w:ascii="Calibri" w:hAnsi="Calibri" w:cs="Calibri"/>
          <w:sz w:val="24"/>
          <w:szCs w:val="24"/>
        </w:rPr>
      </w:pPr>
      <w:r w:rsidRPr="00E25C19">
        <w:rPr>
          <w:rFonts w:ascii="Calibri" w:hAnsi="Calibri" w:cs="Calibri"/>
          <w:sz w:val="24"/>
          <w:szCs w:val="24"/>
        </w:rPr>
        <w:t xml:space="preserve">The abandonment of any </w:t>
      </w:r>
      <w:r w:rsidR="0020151C" w:rsidRPr="00E25C19">
        <w:rPr>
          <w:rFonts w:ascii="Calibri" w:hAnsi="Calibri" w:cs="Calibri"/>
          <w:sz w:val="24"/>
          <w:szCs w:val="24"/>
        </w:rPr>
        <w:t>“</w:t>
      </w:r>
      <w:r w:rsidR="00146E77">
        <w:rPr>
          <w:rFonts w:ascii="Calibri" w:hAnsi="Calibri" w:cs="Calibri"/>
          <w:sz w:val="24"/>
          <w:szCs w:val="24"/>
        </w:rPr>
        <w:t>jurisdictional correspondence</w:t>
      </w:r>
      <w:r w:rsidR="0020151C" w:rsidRPr="00E25C19">
        <w:rPr>
          <w:rFonts w:ascii="Calibri" w:hAnsi="Calibri" w:cs="Calibri"/>
          <w:sz w:val="24"/>
          <w:szCs w:val="24"/>
        </w:rPr>
        <w:t>”</w:t>
      </w:r>
      <w:r w:rsidRPr="00E25C19">
        <w:rPr>
          <w:rFonts w:ascii="Calibri" w:hAnsi="Calibri" w:cs="Calibri"/>
          <w:sz w:val="24"/>
          <w:szCs w:val="24"/>
        </w:rPr>
        <w:t xml:space="preserve"> requirement was therefore sensible; however, it is submitted that O’Donnell J. ought to have gone further in refining the </w:t>
      </w:r>
      <w:r w:rsidRPr="00E25C19">
        <w:rPr>
          <w:rFonts w:ascii="Calibri" w:hAnsi="Calibri" w:cs="Calibri"/>
          <w:i/>
          <w:sz w:val="24"/>
          <w:szCs w:val="24"/>
        </w:rPr>
        <w:t>Travers v Holley</w:t>
      </w:r>
      <w:r w:rsidRPr="00E25C19">
        <w:rPr>
          <w:rFonts w:ascii="Calibri" w:hAnsi="Calibri" w:cs="Calibri"/>
          <w:sz w:val="24"/>
          <w:szCs w:val="24"/>
        </w:rPr>
        <w:t xml:space="preserve"> test and ough</w:t>
      </w:r>
      <w:r w:rsidR="00606970">
        <w:rPr>
          <w:rFonts w:ascii="Calibri" w:hAnsi="Calibri" w:cs="Calibri"/>
          <w:sz w:val="24"/>
          <w:szCs w:val="24"/>
        </w:rPr>
        <w:t>t to have given greater emphasis</w:t>
      </w:r>
      <w:r w:rsidRPr="00E25C19">
        <w:rPr>
          <w:rFonts w:ascii="Calibri" w:hAnsi="Calibri" w:cs="Calibri"/>
          <w:sz w:val="24"/>
          <w:szCs w:val="24"/>
        </w:rPr>
        <w:t xml:space="preserve"> to the more flexible approach of the House of Lords in </w:t>
      </w:r>
      <w:proofErr w:type="spellStart"/>
      <w:r w:rsidRPr="00E25C19">
        <w:rPr>
          <w:rFonts w:ascii="Calibri" w:hAnsi="Calibri" w:cs="Calibri"/>
          <w:i/>
          <w:sz w:val="24"/>
          <w:szCs w:val="24"/>
        </w:rPr>
        <w:t>Indyka</w:t>
      </w:r>
      <w:proofErr w:type="spellEnd"/>
      <w:r w:rsidRPr="00E25C19">
        <w:rPr>
          <w:rFonts w:ascii="Calibri" w:hAnsi="Calibri" w:cs="Calibri"/>
          <w:i/>
          <w:sz w:val="24"/>
          <w:szCs w:val="24"/>
        </w:rPr>
        <w:t xml:space="preserve"> v </w:t>
      </w:r>
      <w:proofErr w:type="spellStart"/>
      <w:r w:rsidRPr="00E25C19">
        <w:rPr>
          <w:rFonts w:ascii="Calibri" w:hAnsi="Calibri" w:cs="Calibri"/>
          <w:i/>
          <w:sz w:val="24"/>
          <w:szCs w:val="24"/>
        </w:rPr>
        <w:t>Indyka</w:t>
      </w:r>
      <w:proofErr w:type="spellEnd"/>
      <w:r w:rsidRPr="00E25C19">
        <w:rPr>
          <w:rFonts w:ascii="Calibri" w:hAnsi="Calibri" w:cs="Calibri"/>
          <w:sz w:val="24"/>
          <w:szCs w:val="24"/>
        </w:rPr>
        <w:t xml:space="preserve">. It is not suggested that </w:t>
      </w:r>
      <w:r w:rsidR="00B32F2B" w:rsidRPr="00E25C19">
        <w:rPr>
          <w:rFonts w:ascii="Calibri" w:hAnsi="Calibri" w:cs="Calibri"/>
          <w:sz w:val="24"/>
          <w:szCs w:val="24"/>
        </w:rPr>
        <w:t xml:space="preserve">the Irish courts should base recognition on a </w:t>
      </w:r>
      <w:r w:rsidR="0020151C" w:rsidRPr="00E25C19">
        <w:rPr>
          <w:rFonts w:ascii="Calibri" w:hAnsi="Calibri" w:cs="Calibri"/>
          <w:sz w:val="24"/>
          <w:szCs w:val="24"/>
        </w:rPr>
        <w:t>“</w:t>
      </w:r>
      <w:r w:rsidR="00B32F2B" w:rsidRPr="00E25C19">
        <w:rPr>
          <w:rFonts w:ascii="Calibri" w:hAnsi="Calibri" w:cs="Calibri"/>
          <w:sz w:val="24"/>
          <w:szCs w:val="24"/>
        </w:rPr>
        <w:t>real and substantial connection</w:t>
      </w:r>
      <w:r w:rsidR="0020151C" w:rsidRPr="00E25C19">
        <w:rPr>
          <w:rFonts w:ascii="Calibri" w:hAnsi="Calibri" w:cs="Calibri"/>
          <w:sz w:val="24"/>
          <w:szCs w:val="24"/>
        </w:rPr>
        <w:t>”</w:t>
      </w:r>
      <w:r w:rsidR="00B32F2B" w:rsidRPr="00E25C19">
        <w:rPr>
          <w:rFonts w:ascii="Calibri" w:hAnsi="Calibri" w:cs="Calibri"/>
          <w:sz w:val="24"/>
          <w:szCs w:val="24"/>
        </w:rPr>
        <w:t xml:space="preserve"> </w:t>
      </w:r>
      <w:r w:rsidR="00B67C80">
        <w:rPr>
          <w:rFonts w:ascii="Calibri" w:hAnsi="Calibri" w:cs="Calibri"/>
          <w:sz w:val="24"/>
          <w:szCs w:val="24"/>
        </w:rPr>
        <w:t xml:space="preserve">to the granting country </w:t>
      </w:r>
      <w:r w:rsidR="00B32F2B" w:rsidRPr="00E25C19">
        <w:rPr>
          <w:rFonts w:ascii="Calibri" w:hAnsi="Calibri" w:cs="Calibri"/>
          <w:sz w:val="24"/>
          <w:szCs w:val="24"/>
        </w:rPr>
        <w:t>(it is agreed that this test is too uncertain</w:t>
      </w:r>
      <w:r w:rsidR="00B67C80">
        <w:rPr>
          <w:rStyle w:val="FootnoteReference"/>
          <w:rFonts w:ascii="Calibri" w:hAnsi="Calibri" w:cs="Calibri"/>
          <w:sz w:val="24"/>
          <w:szCs w:val="24"/>
        </w:rPr>
        <w:footnoteReference w:id="61"/>
      </w:r>
      <w:r w:rsidR="00B32F2B" w:rsidRPr="00E25C19">
        <w:rPr>
          <w:rFonts w:ascii="Calibri" w:hAnsi="Calibri" w:cs="Calibri"/>
          <w:sz w:val="24"/>
          <w:szCs w:val="24"/>
        </w:rPr>
        <w:t>); however</w:t>
      </w:r>
      <w:r w:rsidR="00B05984" w:rsidRPr="00E25C19">
        <w:rPr>
          <w:rFonts w:ascii="Calibri" w:hAnsi="Calibri" w:cs="Calibri"/>
          <w:sz w:val="24"/>
          <w:szCs w:val="24"/>
        </w:rPr>
        <w:t xml:space="preserve">, the House of Lords in </w:t>
      </w:r>
      <w:proofErr w:type="spellStart"/>
      <w:r w:rsidR="00B05984" w:rsidRPr="00E25C19">
        <w:rPr>
          <w:rFonts w:ascii="Calibri" w:hAnsi="Calibri" w:cs="Calibri"/>
          <w:i/>
          <w:sz w:val="24"/>
          <w:szCs w:val="24"/>
        </w:rPr>
        <w:t>Indyka</w:t>
      </w:r>
      <w:proofErr w:type="spellEnd"/>
      <w:r w:rsidR="00B05984" w:rsidRPr="00E25C19">
        <w:rPr>
          <w:rFonts w:ascii="Calibri" w:hAnsi="Calibri" w:cs="Calibri"/>
          <w:sz w:val="24"/>
          <w:szCs w:val="24"/>
        </w:rPr>
        <w:t xml:space="preserve"> is to be </w:t>
      </w:r>
      <w:r w:rsidR="00B05984" w:rsidRPr="00E25C19">
        <w:rPr>
          <w:rFonts w:ascii="Calibri" w:hAnsi="Calibri" w:cs="Calibri"/>
          <w:sz w:val="24"/>
          <w:szCs w:val="24"/>
        </w:rPr>
        <w:lastRenderedPageBreak/>
        <w:t xml:space="preserve">commended for its less rigid approach to the alignment of jurisdiction and recognition policy. The House of Lords in </w:t>
      </w:r>
      <w:proofErr w:type="spellStart"/>
      <w:r w:rsidR="00B05984" w:rsidRPr="00E25C19">
        <w:rPr>
          <w:rFonts w:ascii="Calibri" w:hAnsi="Calibri" w:cs="Calibri"/>
          <w:i/>
          <w:sz w:val="24"/>
          <w:szCs w:val="24"/>
        </w:rPr>
        <w:t>Indyka</w:t>
      </w:r>
      <w:proofErr w:type="spellEnd"/>
      <w:r w:rsidR="00B05984" w:rsidRPr="00E25C19">
        <w:rPr>
          <w:rFonts w:ascii="Calibri" w:hAnsi="Calibri" w:cs="Calibri"/>
          <w:sz w:val="24"/>
          <w:szCs w:val="24"/>
        </w:rPr>
        <w:t xml:space="preserve"> thought that while jurisdictional expansion should inform recognition policy, the resulting recognition doctrine did not need to be formulated in the precise terms of domestic jurisdictional rules.</w:t>
      </w:r>
      <w:r w:rsidR="00606970">
        <w:rPr>
          <w:rStyle w:val="FootnoteReference"/>
          <w:rFonts w:ascii="Calibri" w:hAnsi="Calibri" w:cs="Calibri"/>
          <w:sz w:val="24"/>
          <w:szCs w:val="24"/>
        </w:rPr>
        <w:footnoteReference w:id="62"/>
      </w:r>
      <w:r w:rsidR="00B05984" w:rsidRPr="00E25C19">
        <w:rPr>
          <w:rFonts w:ascii="Calibri" w:hAnsi="Calibri" w:cs="Calibri"/>
          <w:sz w:val="24"/>
          <w:szCs w:val="24"/>
        </w:rPr>
        <w:t xml:space="preserve"> Applying this reasoning, it is argued that O’Donnell J. ou</w:t>
      </w:r>
      <w:r w:rsidR="009C0650" w:rsidRPr="00E25C19">
        <w:rPr>
          <w:rFonts w:ascii="Calibri" w:hAnsi="Calibri" w:cs="Calibri"/>
          <w:sz w:val="24"/>
          <w:szCs w:val="24"/>
        </w:rPr>
        <w:t>ght to have focussed on the core</w:t>
      </w:r>
      <w:r w:rsidR="00B05984" w:rsidRPr="00E25C19">
        <w:rPr>
          <w:rFonts w:ascii="Calibri" w:hAnsi="Calibri" w:cs="Calibri"/>
          <w:sz w:val="24"/>
          <w:szCs w:val="24"/>
        </w:rPr>
        <w:t xml:space="preserve"> jurisdictional </w:t>
      </w:r>
      <w:r w:rsidR="009C0650" w:rsidRPr="00E25C19">
        <w:rPr>
          <w:rFonts w:ascii="Calibri" w:hAnsi="Calibri" w:cs="Calibri"/>
          <w:sz w:val="24"/>
          <w:szCs w:val="24"/>
        </w:rPr>
        <w:t>principle</w:t>
      </w:r>
      <w:r w:rsidR="00316FB8">
        <w:rPr>
          <w:rFonts w:ascii="Calibri" w:hAnsi="Calibri" w:cs="Calibri"/>
          <w:sz w:val="24"/>
          <w:szCs w:val="24"/>
        </w:rPr>
        <w:t>s</w:t>
      </w:r>
      <w:r w:rsidR="0081686F" w:rsidRPr="00E25C19">
        <w:rPr>
          <w:rFonts w:ascii="Calibri" w:hAnsi="Calibri" w:cs="Calibri"/>
          <w:sz w:val="24"/>
          <w:szCs w:val="24"/>
        </w:rPr>
        <w:t xml:space="preserve"> underpinning Brussels II </w:t>
      </w:r>
      <w:proofErr w:type="spellStart"/>
      <w:r w:rsidR="0081686F" w:rsidRPr="00E25C19">
        <w:rPr>
          <w:rFonts w:ascii="Calibri" w:hAnsi="Calibri" w:cs="Calibri"/>
          <w:i/>
          <w:sz w:val="24"/>
          <w:szCs w:val="24"/>
        </w:rPr>
        <w:t>bis</w:t>
      </w:r>
      <w:proofErr w:type="spellEnd"/>
      <w:r w:rsidR="0081686F" w:rsidRPr="00E25C19">
        <w:rPr>
          <w:rFonts w:ascii="Calibri" w:hAnsi="Calibri" w:cs="Calibri"/>
          <w:sz w:val="24"/>
          <w:szCs w:val="24"/>
        </w:rPr>
        <w:t xml:space="preserve"> </w:t>
      </w:r>
      <w:r w:rsidR="00316FB8">
        <w:rPr>
          <w:rFonts w:ascii="Calibri" w:hAnsi="Calibri" w:cs="Calibri"/>
          <w:sz w:val="24"/>
          <w:szCs w:val="24"/>
        </w:rPr>
        <w:t>(</w:t>
      </w:r>
      <w:r w:rsidR="006C68C3" w:rsidRPr="00E25C19">
        <w:rPr>
          <w:rFonts w:ascii="Calibri" w:hAnsi="Calibri" w:cs="Calibri"/>
          <w:sz w:val="24"/>
          <w:szCs w:val="24"/>
        </w:rPr>
        <w:t xml:space="preserve">and </w:t>
      </w:r>
      <w:r w:rsidR="009C0650" w:rsidRPr="00E25C19">
        <w:rPr>
          <w:rFonts w:ascii="Calibri" w:hAnsi="Calibri" w:cs="Calibri"/>
          <w:sz w:val="24"/>
          <w:szCs w:val="24"/>
        </w:rPr>
        <w:t>divorce jurisdiction</w:t>
      </w:r>
      <w:r w:rsidR="006C68C3" w:rsidRPr="00E25C19">
        <w:rPr>
          <w:rFonts w:ascii="Calibri" w:hAnsi="Calibri" w:cs="Calibri"/>
          <w:sz w:val="24"/>
          <w:szCs w:val="24"/>
        </w:rPr>
        <w:t xml:space="preserve"> under the 1996 Act</w:t>
      </w:r>
      <w:r w:rsidR="00316FB8">
        <w:rPr>
          <w:rFonts w:ascii="Calibri" w:hAnsi="Calibri" w:cs="Calibri"/>
          <w:sz w:val="24"/>
          <w:szCs w:val="24"/>
        </w:rPr>
        <w:t>),</w:t>
      </w:r>
      <w:r w:rsidR="009C0650" w:rsidRPr="00E25C19">
        <w:rPr>
          <w:rFonts w:ascii="Calibri" w:hAnsi="Calibri" w:cs="Calibri"/>
          <w:sz w:val="24"/>
          <w:szCs w:val="24"/>
        </w:rPr>
        <w:t xml:space="preserve"> </w:t>
      </w:r>
      <w:r w:rsidR="0081686F" w:rsidRPr="00E25C19">
        <w:rPr>
          <w:rFonts w:ascii="Calibri" w:hAnsi="Calibri" w:cs="Calibri"/>
          <w:sz w:val="24"/>
          <w:szCs w:val="24"/>
        </w:rPr>
        <w:t xml:space="preserve">and </w:t>
      </w:r>
      <w:r w:rsidR="00316FB8">
        <w:rPr>
          <w:rFonts w:ascii="Calibri" w:hAnsi="Calibri" w:cs="Calibri"/>
          <w:sz w:val="24"/>
          <w:szCs w:val="24"/>
        </w:rPr>
        <w:t>should have</w:t>
      </w:r>
      <w:r w:rsidR="0081686F" w:rsidRPr="00E25C19">
        <w:rPr>
          <w:rFonts w:ascii="Calibri" w:hAnsi="Calibri" w:cs="Calibri"/>
          <w:sz w:val="24"/>
          <w:szCs w:val="24"/>
        </w:rPr>
        <w:t xml:space="preserve"> framed recognition policy along the </w:t>
      </w:r>
      <w:r w:rsidR="00637B81">
        <w:rPr>
          <w:rFonts w:ascii="Calibri" w:hAnsi="Calibri" w:cs="Calibri"/>
          <w:sz w:val="24"/>
          <w:szCs w:val="24"/>
        </w:rPr>
        <w:t xml:space="preserve">same </w:t>
      </w:r>
      <w:r w:rsidR="009C0650" w:rsidRPr="00E25C19">
        <w:rPr>
          <w:rFonts w:ascii="Calibri" w:hAnsi="Calibri" w:cs="Calibri"/>
          <w:sz w:val="24"/>
          <w:szCs w:val="24"/>
        </w:rPr>
        <w:t xml:space="preserve">broad </w:t>
      </w:r>
      <w:r w:rsidR="0081686F" w:rsidRPr="00E25C19">
        <w:rPr>
          <w:rFonts w:ascii="Calibri" w:hAnsi="Calibri" w:cs="Calibri"/>
          <w:sz w:val="24"/>
          <w:szCs w:val="24"/>
        </w:rPr>
        <w:t>lines, without t</w:t>
      </w:r>
      <w:r w:rsidR="008B5C2C">
        <w:rPr>
          <w:rFonts w:ascii="Calibri" w:hAnsi="Calibri" w:cs="Calibri"/>
          <w:sz w:val="24"/>
          <w:szCs w:val="24"/>
        </w:rPr>
        <w:t>ransposing the detail of art.</w:t>
      </w:r>
      <w:r w:rsidR="0081686F" w:rsidRPr="00E25C19">
        <w:rPr>
          <w:rFonts w:ascii="Calibri" w:hAnsi="Calibri" w:cs="Calibri"/>
          <w:sz w:val="24"/>
          <w:szCs w:val="24"/>
        </w:rPr>
        <w:t xml:space="preserve"> 3 Brussels II </w:t>
      </w:r>
      <w:proofErr w:type="spellStart"/>
      <w:r w:rsidR="0081686F" w:rsidRPr="00E25C19">
        <w:rPr>
          <w:rFonts w:ascii="Calibri" w:hAnsi="Calibri" w:cs="Calibri"/>
          <w:i/>
          <w:sz w:val="24"/>
          <w:szCs w:val="24"/>
        </w:rPr>
        <w:t>bis</w:t>
      </w:r>
      <w:proofErr w:type="spellEnd"/>
      <w:r w:rsidR="0081686F" w:rsidRPr="00E25C19">
        <w:rPr>
          <w:rFonts w:ascii="Calibri" w:hAnsi="Calibri" w:cs="Calibri"/>
          <w:sz w:val="24"/>
          <w:szCs w:val="24"/>
        </w:rPr>
        <w:t xml:space="preserve"> into the recognition sphere. Thus it is suggested that O’Donnell J. should have accepted that the habitual residenc</w:t>
      </w:r>
      <w:r w:rsidR="00316FB8">
        <w:rPr>
          <w:rFonts w:ascii="Calibri" w:hAnsi="Calibri" w:cs="Calibri"/>
          <w:sz w:val="24"/>
          <w:szCs w:val="24"/>
        </w:rPr>
        <w:t>e of either spouse in the granting state would justify</w:t>
      </w:r>
      <w:r w:rsidR="0081686F" w:rsidRPr="00E25C19">
        <w:rPr>
          <w:rFonts w:ascii="Calibri" w:hAnsi="Calibri" w:cs="Calibri"/>
          <w:sz w:val="24"/>
          <w:szCs w:val="24"/>
        </w:rPr>
        <w:t xml:space="preserve"> </w:t>
      </w:r>
      <w:r w:rsidR="00316FB8">
        <w:rPr>
          <w:rFonts w:ascii="Calibri" w:hAnsi="Calibri" w:cs="Calibri"/>
          <w:sz w:val="24"/>
          <w:szCs w:val="24"/>
        </w:rPr>
        <w:t xml:space="preserve">divorce </w:t>
      </w:r>
      <w:r w:rsidR="0081686F" w:rsidRPr="00E25C19">
        <w:rPr>
          <w:rFonts w:ascii="Calibri" w:hAnsi="Calibri" w:cs="Calibri"/>
          <w:sz w:val="24"/>
          <w:szCs w:val="24"/>
        </w:rPr>
        <w:t xml:space="preserve">recognition, without any </w:t>
      </w:r>
      <w:r w:rsidR="005F734A">
        <w:rPr>
          <w:rFonts w:ascii="Calibri" w:hAnsi="Calibri" w:cs="Calibri"/>
          <w:sz w:val="24"/>
          <w:szCs w:val="24"/>
        </w:rPr>
        <w:t xml:space="preserve">need </w:t>
      </w:r>
      <w:r w:rsidR="00637B81">
        <w:rPr>
          <w:rFonts w:ascii="Calibri" w:hAnsi="Calibri" w:cs="Calibri"/>
          <w:sz w:val="24"/>
          <w:szCs w:val="24"/>
        </w:rPr>
        <w:t>to consider</w:t>
      </w:r>
      <w:r w:rsidR="002E53C9">
        <w:rPr>
          <w:rFonts w:ascii="Calibri" w:hAnsi="Calibri" w:cs="Calibri"/>
          <w:sz w:val="24"/>
          <w:szCs w:val="24"/>
        </w:rPr>
        <w:t xml:space="preserve"> whether the specific</w:t>
      </w:r>
      <w:r w:rsidR="009C0650" w:rsidRPr="00E25C19">
        <w:rPr>
          <w:rFonts w:ascii="Calibri" w:hAnsi="Calibri" w:cs="Calibri"/>
          <w:sz w:val="24"/>
          <w:szCs w:val="24"/>
        </w:rPr>
        <w:t xml:space="preserve"> requirements</w:t>
      </w:r>
      <w:r w:rsidR="008B5C2C">
        <w:rPr>
          <w:rFonts w:ascii="Calibri" w:hAnsi="Calibri" w:cs="Calibri"/>
          <w:sz w:val="24"/>
          <w:szCs w:val="24"/>
        </w:rPr>
        <w:t xml:space="preserve"> of art.</w:t>
      </w:r>
      <w:r w:rsidR="0081686F" w:rsidRPr="00E25C19">
        <w:rPr>
          <w:rFonts w:ascii="Calibri" w:hAnsi="Calibri" w:cs="Calibri"/>
          <w:sz w:val="24"/>
          <w:szCs w:val="24"/>
        </w:rPr>
        <w:t xml:space="preserve"> 3 Brussels II </w:t>
      </w:r>
      <w:proofErr w:type="spellStart"/>
      <w:r w:rsidR="0081686F" w:rsidRPr="00E25C19">
        <w:rPr>
          <w:rFonts w:ascii="Calibri" w:hAnsi="Calibri" w:cs="Calibri"/>
          <w:i/>
          <w:sz w:val="24"/>
          <w:szCs w:val="24"/>
        </w:rPr>
        <w:t>bis</w:t>
      </w:r>
      <w:proofErr w:type="spellEnd"/>
      <w:r w:rsidR="0081686F" w:rsidRPr="00E25C19">
        <w:rPr>
          <w:rFonts w:ascii="Calibri" w:hAnsi="Calibri" w:cs="Calibri"/>
          <w:i/>
          <w:sz w:val="24"/>
          <w:szCs w:val="24"/>
        </w:rPr>
        <w:t xml:space="preserve"> </w:t>
      </w:r>
      <w:r w:rsidR="0081686F" w:rsidRPr="00E25C19">
        <w:rPr>
          <w:rFonts w:ascii="Calibri" w:hAnsi="Calibri" w:cs="Calibri"/>
          <w:sz w:val="24"/>
          <w:szCs w:val="24"/>
        </w:rPr>
        <w:t>were satisfied.</w:t>
      </w:r>
      <w:r w:rsidR="00A32E5F" w:rsidRPr="00E25C19">
        <w:rPr>
          <w:rFonts w:ascii="Calibri" w:hAnsi="Calibri" w:cs="Calibri"/>
          <w:sz w:val="24"/>
          <w:szCs w:val="24"/>
        </w:rPr>
        <w:t xml:space="preserve"> There were sug</w:t>
      </w:r>
      <w:r w:rsidR="00991856">
        <w:rPr>
          <w:rFonts w:ascii="Calibri" w:hAnsi="Calibri" w:cs="Calibri"/>
          <w:sz w:val="24"/>
          <w:szCs w:val="24"/>
        </w:rPr>
        <w:t xml:space="preserve">gestions of </w:t>
      </w:r>
      <w:r w:rsidR="00A32E5F" w:rsidRPr="00E25C19">
        <w:rPr>
          <w:rFonts w:ascii="Calibri" w:hAnsi="Calibri" w:cs="Calibri"/>
          <w:sz w:val="24"/>
          <w:szCs w:val="24"/>
        </w:rPr>
        <w:t>a</w:t>
      </w:r>
      <w:r w:rsidR="005F734A">
        <w:rPr>
          <w:rFonts w:ascii="Calibri" w:hAnsi="Calibri" w:cs="Calibri"/>
          <w:sz w:val="24"/>
          <w:szCs w:val="24"/>
        </w:rPr>
        <w:t xml:space="preserve"> looser approach along these lines </w:t>
      </w:r>
      <w:r w:rsidR="00637B81">
        <w:rPr>
          <w:rFonts w:ascii="Calibri" w:hAnsi="Calibri" w:cs="Calibri"/>
          <w:sz w:val="24"/>
          <w:szCs w:val="24"/>
        </w:rPr>
        <w:t>earlier on in O’Donnell J.’s</w:t>
      </w:r>
      <w:r w:rsidR="00A32E5F" w:rsidRPr="00E25C19">
        <w:rPr>
          <w:rFonts w:ascii="Calibri" w:hAnsi="Calibri" w:cs="Calibri"/>
          <w:sz w:val="24"/>
          <w:szCs w:val="24"/>
        </w:rPr>
        <w:t xml:space="preserve"> judgment</w:t>
      </w:r>
      <w:r w:rsidR="00991856">
        <w:rPr>
          <w:rStyle w:val="FootnoteReference"/>
          <w:rFonts w:ascii="Calibri" w:hAnsi="Calibri" w:cs="Calibri"/>
          <w:sz w:val="24"/>
          <w:szCs w:val="24"/>
        </w:rPr>
        <w:footnoteReference w:id="63"/>
      </w:r>
      <w:r w:rsidR="00A32E5F" w:rsidRPr="00E25C19">
        <w:rPr>
          <w:rFonts w:ascii="Calibri" w:hAnsi="Calibri" w:cs="Calibri"/>
          <w:sz w:val="24"/>
          <w:szCs w:val="24"/>
        </w:rPr>
        <w:t xml:space="preserve"> – but in his conclusion he reverted to a test based</w:t>
      </w:r>
      <w:r w:rsidR="008B5C2C">
        <w:rPr>
          <w:rFonts w:ascii="Calibri" w:hAnsi="Calibri" w:cs="Calibri"/>
          <w:sz w:val="24"/>
          <w:szCs w:val="24"/>
        </w:rPr>
        <w:t xml:space="preserve"> on a notional satisfaction of art.</w:t>
      </w:r>
      <w:r w:rsidR="00A32E5F" w:rsidRPr="00E25C19">
        <w:rPr>
          <w:rFonts w:ascii="Calibri" w:hAnsi="Calibri" w:cs="Calibri"/>
          <w:sz w:val="24"/>
          <w:szCs w:val="24"/>
        </w:rPr>
        <w:t xml:space="preserve"> </w:t>
      </w:r>
      <w:proofErr w:type="gramStart"/>
      <w:r w:rsidR="00A32E5F" w:rsidRPr="00E25C19">
        <w:rPr>
          <w:rFonts w:ascii="Calibri" w:hAnsi="Calibri" w:cs="Calibri"/>
          <w:sz w:val="24"/>
          <w:szCs w:val="24"/>
        </w:rPr>
        <w:t xml:space="preserve">3 Brussels II </w:t>
      </w:r>
      <w:proofErr w:type="spellStart"/>
      <w:r w:rsidR="00A32E5F" w:rsidRPr="00E25C19">
        <w:rPr>
          <w:rFonts w:ascii="Calibri" w:hAnsi="Calibri" w:cs="Calibri"/>
          <w:i/>
          <w:sz w:val="24"/>
          <w:szCs w:val="24"/>
        </w:rPr>
        <w:t>bis</w:t>
      </w:r>
      <w:proofErr w:type="spellEnd"/>
      <w:r w:rsidR="00A32E5F" w:rsidRPr="00E25C19">
        <w:rPr>
          <w:rFonts w:ascii="Calibri" w:hAnsi="Calibri" w:cs="Calibri"/>
          <w:sz w:val="24"/>
          <w:szCs w:val="24"/>
        </w:rPr>
        <w:t xml:space="preserve"> by the applicant.</w:t>
      </w:r>
      <w:proofErr w:type="gramEnd"/>
      <w:r w:rsidR="0081686F" w:rsidRPr="00E25C19">
        <w:rPr>
          <w:rFonts w:ascii="Calibri" w:hAnsi="Calibri" w:cs="Calibri"/>
          <w:sz w:val="24"/>
          <w:szCs w:val="24"/>
        </w:rPr>
        <w:t xml:space="preserve"> </w:t>
      </w:r>
    </w:p>
    <w:p w:rsidR="007D0295" w:rsidRPr="00E25C19" w:rsidRDefault="00EE4FB3" w:rsidP="00B05984">
      <w:pPr>
        <w:jc w:val="both"/>
        <w:rPr>
          <w:rFonts w:ascii="Calibri" w:hAnsi="Calibri" w:cs="Calibri"/>
          <w:sz w:val="24"/>
          <w:szCs w:val="24"/>
        </w:rPr>
      </w:pPr>
      <w:r w:rsidRPr="00E25C19">
        <w:rPr>
          <w:rFonts w:ascii="Calibri" w:hAnsi="Calibri" w:cs="Calibri"/>
          <w:sz w:val="24"/>
          <w:szCs w:val="24"/>
        </w:rPr>
        <w:t xml:space="preserve">Article 3 Brussels II </w:t>
      </w:r>
      <w:proofErr w:type="spellStart"/>
      <w:r w:rsidRPr="00E25C19">
        <w:rPr>
          <w:rFonts w:ascii="Calibri" w:hAnsi="Calibri" w:cs="Calibri"/>
          <w:i/>
          <w:sz w:val="24"/>
          <w:szCs w:val="24"/>
        </w:rPr>
        <w:t>bis</w:t>
      </w:r>
      <w:proofErr w:type="spellEnd"/>
      <w:r w:rsidRPr="00E25C19">
        <w:rPr>
          <w:rFonts w:ascii="Calibri" w:hAnsi="Calibri" w:cs="Calibri"/>
          <w:sz w:val="24"/>
          <w:szCs w:val="24"/>
        </w:rPr>
        <w:t xml:space="preserve"> is wholly unsuite</w:t>
      </w:r>
      <w:r w:rsidR="00A1320D">
        <w:rPr>
          <w:rFonts w:ascii="Calibri" w:hAnsi="Calibri" w:cs="Calibri"/>
          <w:sz w:val="24"/>
          <w:szCs w:val="24"/>
        </w:rPr>
        <w:t>d to use as a measure for assessing divorce recognition</w:t>
      </w:r>
      <w:r w:rsidRPr="00E25C19">
        <w:rPr>
          <w:rFonts w:ascii="Calibri" w:hAnsi="Calibri" w:cs="Calibri"/>
          <w:sz w:val="24"/>
          <w:szCs w:val="24"/>
        </w:rPr>
        <w:t>. Article 3 stipulates str</w:t>
      </w:r>
      <w:r w:rsidR="00AF1211">
        <w:rPr>
          <w:rFonts w:ascii="Calibri" w:hAnsi="Calibri" w:cs="Calibri"/>
          <w:sz w:val="24"/>
          <w:szCs w:val="24"/>
        </w:rPr>
        <w:t xml:space="preserve">ict time requirements where </w:t>
      </w:r>
      <w:r w:rsidR="00DA09B1" w:rsidRPr="00E25C19">
        <w:rPr>
          <w:rFonts w:ascii="Calibri" w:hAnsi="Calibri" w:cs="Calibri"/>
          <w:sz w:val="24"/>
          <w:szCs w:val="24"/>
        </w:rPr>
        <w:t xml:space="preserve">only </w:t>
      </w:r>
      <w:r w:rsidR="00AF1211">
        <w:rPr>
          <w:rFonts w:ascii="Calibri" w:hAnsi="Calibri" w:cs="Calibri"/>
          <w:sz w:val="24"/>
          <w:szCs w:val="24"/>
        </w:rPr>
        <w:t xml:space="preserve">the </w:t>
      </w:r>
      <w:r w:rsidRPr="00E25C19">
        <w:rPr>
          <w:rFonts w:ascii="Calibri" w:hAnsi="Calibri" w:cs="Calibri"/>
          <w:sz w:val="24"/>
          <w:szCs w:val="24"/>
        </w:rPr>
        <w:t>applicant’s habitual residence is relied upon.</w:t>
      </w:r>
      <w:r w:rsidR="00A1320D">
        <w:rPr>
          <w:rStyle w:val="FootnoteReference"/>
          <w:rFonts w:ascii="Calibri" w:hAnsi="Calibri" w:cs="Calibri"/>
          <w:sz w:val="24"/>
          <w:szCs w:val="24"/>
        </w:rPr>
        <w:footnoteReference w:id="64"/>
      </w:r>
      <w:r w:rsidRPr="00E25C19">
        <w:rPr>
          <w:rFonts w:ascii="Calibri" w:hAnsi="Calibri" w:cs="Calibri"/>
          <w:sz w:val="24"/>
          <w:szCs w:val="24"/>
        </w:rPr>
        <w:t xml:space="preserve"> Time requirements are appropriate to jurisdictional rules which arise for consideration before the event but are not desirable features of recognition rules which arise for consideration after the event (often many years later) in circumstances where marginal non-compliance with a time requirement can no longer be remedied.</w:t>
      </w:r>
      <w:r w:rsidR="007071AB">
        <w:rPr>
          <w:rStyle w:val="FootnoteReference"/>
          <w:rFonts w:ascii="Calibri" w:hAnsi="Calibri" w:cs="Calibri"/>
          <w:sz w:val="24"/>
          <w:szCs w:val="24"/>
        </w:rPr>
        <w:footnoteReference w:id="65"/>
      </w:r>
      <w:r w:rsidR="008B5C2C">
        <w:rPr>
          <w:rFonts w:ascii="Calibri" w:hAnsi="Calibri" w:cs="Calibri"/>
          <w:sz w:val="24"/>
          <w:szCs w:val="24"/>
        </w:rPr>
        <w:t xml:space="preserve"> </w:t>
      </w:r>
      <w:proofErr w:type="gramStart"/>
      <w:r w:rsidR="008B5C2C">
        <w:rPr>
          <w:rFonts w:ascii="Calibri" w:hAnsi="Calibri" w:cs="Calibri"/>
          <w:sz w:val="24"/>
          <w:szCs w:val="24"/>
        </w:rPr>
        <w:t>Insofar as art.</w:t>
      </w:r>
      <w:proofErr w:type="gramEnd"/>
      <w:r w:rsidRPr="00E25C19">
        <w:rPr>
          <w:rFonts w:ascii="Calibri" w:hAnsi="Calibri" w:cs="Calibri"/>
          <w:sz w:val="24"/>
          <w:szCs w:val="24"/>
        </w:rPr>
        <w:t xml:space="preserve"> 3</w:t>
      </w:r>
      <w:r w:rsidR="003454A3">
        <w:rPr>
          <w:rFonts w:ascii="Calibri" w:hAnsi="Calibri" w:cs="Calibri"/>
          <w:sz w:val="24"/>
          <w:szCs w:val="24"/>
        </w:rPr>
        <w:t>(1)(b)</w:t>
      </w:r>
      <w:r w:rsidRPr="00E25C19">
        <w:rPr>
          <w:rFonts w:ascii="Calibri" w:hAnsi="Calibri" w:cs="Calibri"/>
          <w:sz w:val="24"/>
          <w:szCs w:val="24"/>
        </w:rPr>
        <w:t xml:space="preserve"> Brussels II </w:t>
      </w:r>
      <w:proofErr w:type="spellStart"/>
      <w:r w:rsidRPr="00E25C19">
        <w:rPr>
          <w:rFonts w:ascii="Calibri" w:hAnsi="Calibri" w:cs="Calibri"/>
          <w:i/>
          <w:sz w:val="24"/>
          <w:szCs w:val="24"/>
        </w:rPr>
        <w:t>bis</w:t>
      </w:r>
      <w:proofErr w:type="spellEnd"/>
      <w:r w:rsidRPr="00E25C19">
        <w:rPr>
          <w:rFonts w:ascii="Calibri" w:hAnsi="Calibri" w:cs="Calibri"/>
          <w:sz w:val="24"/>
          <w:szCs w:val="24"/>
        </w:rPr>
        <w:t xml:space="preserve"> </w:t>
      </w:r>
      <w:r w:rsidR="00DA09B1" w:rsidRPr="00E25C19">
        <w:rPr>
          <w:rFonts w:ascii="Calibri" w:hAnsi="Calibri" w:cs="Calibri"/>
          <w:sz w:val="24"/>
          <w:szCs w:val="24"/>
        </w:rPr>
        <w:t xml:space="preserve">uses joint nationality as a jurisdictional connecting factor and provides for </w:t>
      </w:r>
      <w:r w:rsidR="00116E17">
        <w:rPr>
          <w:rFonts w:ascii="Calibri" w:hAnsi="Calibri" w:cs="Calibri"/>
          <w:sz w:val="24"/>
          <w:szCs w:val="24"/>
        </w:rPr>
        <w:t>the substitution of common law “domicile” for “nationality”</w:t>
      </w:r>
      <w:r w:rsidR="00DA09B1" w:rsidRPr="00E25C19">
        <w:rPr>
          <w:rFonts w:ascii="Calibri" w:hAnsi="Calibri" w:cs="Calibri"/>
          <w:sz w:val="24"/>
          <w:szCs w:val="24"/>
        </w:rPr>
        <w:t xml:space="preserve"> in the case of the United Kingdom and Ireland,</w:t>
      </w:r>
      <w:r w:rsidR="00F303CB" w:rsidRPr="00E25C19">
        <w:rPr>
          <w:rFonts w:ascii="Calibri" w:hAnsi="Calibri" w:cs="Calibri"/>
          <w:sz w:val="24"/>
          <w:szCs w:val="24"/>
        </w:rPr>
        <w:t xml:space="preserve"> one wonders as to how this jurisdictional ground</w:t>
      </w:r>
      <w:r w:rsidR="00DA09B1" w:rsidRPr="00E25C19">
        <w:rPr>
          <w:rFonts w:ascii="Calibri" w:hAnsi="Calibri" w:cs="Calibri"/>
          <w:sz w:val="24"/>
          <w:szCs w:val="24"/>
        </w:rPr>
        <w:t xml:space="preserve"> translates into a </w:t>
      </w:r>
      <w:r w:rsidR="00AF4DAF">
        <w:rPr>
          <w:rFonts w:ascii="Calibri" w:hAnsi="Calibri" w:cs="Calibri"/>
          <w:sz w:val="24"/>
          <w:szCs w:val="24"/>
        </w:rPr>
        <w:t xml:space="preserve">common law </w:t>
      </w:r>
      <w:r w:rsidR="00DA09B1" w:rsidRPr="00E25C19">
        <w:rPr>
          <w:rFonts w:ascii="Calibri" w:hAnsi="Calibri" w:cs="Calibri"/>
          <w:sz w:val="24"/>
          <w:szCs w:val="24"/>
        </w:rPr>
        <w:t xml:space="preserve">recognition rule. Should it be assumed that joint domicile is the test to be applied to </w:t>
      </w:r>
      <w:r w:rsidR="00D320D9">
        <w:rPr>
          <w:rFonts w:ascii="Calibri" w:hAnsi="Calibri" w:cs="Calibri"/>
          <w:sz w:val="24"/>
          <w:szCs w:val="24"/>
        </w:rPr>
        <w:t xml:space="preserve">divorces granted in </w:t>
      </w:r>
      <w:r w:rsidR="00DA09B1" w:rsidRPr="00E25C19">
        <w:rPr>
          <w:rFonts w:ascii="Calibri" w:hAnsi="Calibri" w:cs="Calibri"/>
          <w:sz w:val="24"/>
          <w:szCs w:val="24"/>
        </w:rPr>
        <w:t xml:space="preserve">countries with a common law tradition, and joint nationality for all others? What if a country with a common law tradition actually uses nationality rather than common law domicile in its corresponding private international law </w:t>
      </w:r>
      <w:r w:rsidR="00DA09B1" w:rsidRPr="00E25C19">
        <w:rPr>
          <w:rFonts w:ascii="Calibri" w:hAnsi="Calibri" w:cs="Calibri"/>
          <w:sz w:val="24"/>
          <w:szCs w:val="24"/>
        </w:rPr>
        <w:lastRenderedPageBreak/>
        <w:t xml:space="preserve">rules? </w:t>
      </w:r>
      <w:r w:rsidR="008B5C2C">
        <w:rPr>
          <w:rFonts w:ascii="Calibri" w:hAnsi="Calibri" w:cs="Calibri"/>
          <w:sz w:val="24"/>
          <w:szCs w:val="24"/>
        </w:rPr>
        <w:t>The reality is that art.</w:t>
      </w:r>
      <w:r w:rsidR="00F303CB" w:rsidRPr="00E25C19">
        <w:rPr>
          <w:rFonts w:ascii="Calibri" w:hAnsi="Calibri" w:cs="Calibri"/>
          <w:sz w:val="24"/>
          <w:szCs w:val="24"/>
        </w:rPr>
        <w:t xml:space="preserve"> 3 Brussels II </w:t>
      </w:r>
      <w:proofErr w:type="spellStart"/>
      <w:r w:rsidR="00F303CB" w:rsidRPr="003454A3">
        <w:rPr>
          <w:rFonts w:ascii="Calibri" w:hAnsi="Calibri" w:cs="Calibri"/>
          <w:i/>
          <w:sz w:val="24"/>
          <w:szCs w:val="24"/>
        </w:rPr>
        <w:t>bis</w:t>
      </w:r>
      <w:proofErr w:type="spellEnd"/>
      <w:r w:rsidR="00F303CB" w:rsidRPr="00E25C19">
        <w:rPr>
          <w:rFonts w:ascii="Calibri" w:hAnsi="Calibri" w:cs="Calibri"/>
          <w:sz w:val="24"/>
          <w:szCs w:val="24"/>
        </w:rPr>
        <w:t xml:space="preserve"> was framed for a very particular policy context: as a basis for securing mutual recognition </w:t>
      </w:r>
      <w:r w:rsidR="00727AF4" w:rsidRPr="00E25C19">
        <w:rPr>
          <w:rFonts w:ascii="Calibri" w:hAnsi="Calibri" w:cs="Calibri"/>
          <w:sz w:val="24"/>
          <w:szCs w:val="24"/>
        </w:rPr>
        <w:t>of divorces in the EU. T</w:t>
      </w:r>
      <w:r w:rsidR="00F303CB" w:rsidRPr="00E25C19">
        <w:rPr>
          <w:rFonts w:ascii="Calibri" w:hAnsi="Calibri" w:cs="Calibri"/>
          <w:sz w:val="24"/>
          <w:szCs w:val="24"/>
        </w:rPr>
        <w:t>he specific detail</w:t>
      </w:r>
      <w:r w:rsidR="00727AF4" w:rsidRPr="00E25C19">
        <w:rPr>
          <w:rFonts w:ascii="Calibri" w:hAnsi="Calibri" w:cs="Calibri"/>
          <w:sz w:val="24"/>
          <w:szCs w:val="24"/>
        </w:rPr>
        <w:t>s of the text flow</w:t>
      </w:r>
      <w:r w:rsidR="00F303CB" w:rsidRPr="00E25C19">
        <w:rPr>
          <w:rFonts w:ascii="Calibri" w:hAnsi="Calibri" w:cs="Calibri"/>
          <w:sz w:val="24"/>
          <w:szCs w:val="24"/>
        </w:rPr>
        <w:t xml:space="preserve"> from the various compromises that were necessary to secure the political agreement of all Member States.</w:t>
      </w:r>
      <w:r w:rsidR="00D320D9">
        <w:rPr>
          <w:rStyle w:val="FootnoteReference"/>
          <w:rFonts w:ascii="Calibri" w:hAnsi="Calibri" w:cs="Calibri"/>
          <w:sz w:val="24"/>
          <w:szCs w:val="24"/>
        </w:rPr>
        <w:footnoteReference w:id="66"/>
      </w:r>
      <w:r w:rsidR="00F303CB" w:rsidRPr="00E25C19">
        <w:rPr>
          <w:rFonts w:ascii="Calibri" w:hAnsi="Calibri" w:cs="Calibri"/>
          <w:sz w:val="24"/>
          <w:szCs w:val="24"/>
        </w:rPr>
        <w:t xml:space="preserve"> The Regulation was only intended to deal with internal EU recognition </w:t>
      </w:r>
      <w:r w:rsidR="00AF4DAF">
        <w:rPr>
          <w:rFonts w:ascii="Calibri" w:hAnsi="Calibri" w:cs="Calibri"/>
          <w:sz w:val="24"/>
          <w:szCs w:val="24"/>
        </w:rPr>
        <w:t>on a prospective basis</w:t>
      </w:r>
      <w:r w:rsidR="00C94DAE">
        <w:rPr>
          <w:rFonts w:ascii="Calibri" w:hAnsi="Calibri" w:cs="Calibri"/>
          <w:sz w:val="24"/>
          <w:szCs w:val="24"/>
        </w:rPr>
        <w:t>,</w:t>
      </w:r>
      <w:r w:rsidR="00AF4DAF">
        <w:rPr>
          <w:rFonts w:ascii="Calibri" w:hAnsi="Calibri" w:cs="Calibri"/>
          <w:sz w:val="24"/>
          <w:szCs w:val="24"/>
        </w:rPr>
        <w:t xml:space="preserve"> </w:t>
      </w:r>
      <w:r w:rsidR="00F303CB" w:rsidRPr="00E25C19">
        <w:rPr>
          <w:rFonts w:ascii="Calibri" w:hAnsi="Calibri" w:cs="Calibri"/>
          <w:sz w:val="24"/>
          <w:szCs w:val="24"/>
        </w:rPr>
        <w:t xml:space="preserve">and third-country divorce </w:t>
      </w:r>
      <w:r w:rsidR="00490A0C">
        <w:rPr>
          <w:rFonts w:ascii="Calibri" w:hAnsi="Calibri" w:cs="Calibri"/>
          <w:sz w:val="24"/>
          <w:szCs w:val="24"/>
        </w:rPr>
        <w:t>recognition remained a matter for</w:t>
      </w:r>
      <w:r w:rsidR="00F303CB" w:rsidRPr="00E25C19">
        <w:rPr>
          <w:rFonts w:ascii="Calibri" w:hAnsi="Calibri" w:cs="Calibri"/>
          <w:sz w:val="24"/>
          <w:szCs w:val="24"/>
        </w:rPr>
        <w:t xml:space="preserve"> dome</w:t>
      </w:r>
      <w:r w:rsidR="00727AF4" w:rsidRPr="00E25C19">
        <w:rPr>
          <w:rFonts w:ascii="Calibri" w:hAnsi="Calibri" w:cs="Calibri"/>
          <w:sz w:val="24"/>
          <w:szCs w:val="24"/>
        </w:rPr>
        <w:t>s</w:t>
      </w:r>
      <w:r w:rsidR="00490A0C">
        <w:rPr>
          <w:rFonts w:ascii="Calibri" w:hAnsi="Calibri" w:cs="Calibri"/>
          <w:sz w:val="24"/>
          <w:szCs w:val="24"/>
        </w:rPr>
        <w:t>tic law</w:t>
      </w:r>
      <w:r w:rsidR="00727AF4" w:rsidRPr="00E25C19">
        <w:rPr>
          <w:rFonts w:ascii="Calibri" w:hAnsi="Calibri" w:cs="Calibri"/>
          <w:sz w:val="24"/>
          <w:szCs w:val="24"/>
        </w:rPr>
        <w:t>. From that perspective</w:t>
      </w:r>
      <w:r w:rsidR="003454A3">
        <w:rPr>
          <w:rFonts w:ascii="Calibri" w:hAnsi="Calibri" w:cs="Calibri"/>
          <w:sz w:val="24"/>
          <w:szCs w:val="24"/>
        </w:rPr>
        <w:t>,</w:t>
      </w:r>
      <w:r w:rsidR="00F303CB" w:rsidRPr="00E25C19">
        <w:rPr>
          <w:rFonts w:ascii="Calibri" w:hAnsi="Calibri" w:cs="Calibri"/>
          <w:sz w:val="24"/>
          <w:szCs w:val="24"/>
        </w:rPr>
        <w:t xml:space="preserve"> it seems bizarre to suggest </w:t>
      </w:r>
      <w:r w:rsidR="008B5C2C">
        <w:rPr>
          <w:rFonts w:ascii="Calibri" w:hAnsi="Calibri" w:cs="Calibri"/>
          <w:sz w:val="24"/>
          <w:szCs w:val="24"/>
        </w:rPr>
        <w:t>that in adopting the text of art.</w:t>
      </w:r>
      <w:r w:rsidR="00621740" w:rsidRPr="00E25C19">
        <w:rPr>
          <w:rFonts w:ascii="Calibri" w:hAnsi="Calibri" w:cs="Calibri"/>
          <w:sz w:val="24"/>
          <w:szCs w:val="24"/>
        </w:rPr>
        <w:t xml:space="preserve"> 3 Brussels II </w:t>
      </w:r>
      <w:proofErr w:type="spellStart"/>
      <w:r w:rsidR="00621740" w:rsidRPr="00E25C19">
        <w:rPr>
          <w:rFonts w:ascii="Calibri" w:hAnsi="Calibri" w:cs="Calibri"/>
          <w:i/>
          <w:sz w:val="24"/>
          <w:szCs w:val="24"/>
        </w:rPr>
        <w:t>bis</w:t>
      </w:r>
      <w:proofErr w:type="spellEnd"/>
      <w:r w:rsidR="00621740" w:rsidRPr="00E25C19">
        <w:rPr>
          <w:rFonts w:ascii="Calibri" w:hAnsi="Calibri" w:cs="Calibri"/>
          <w:sz w:val="24"/>
          <w:szCs w:val="24"/>
        </w:rPr>
        <w:t xml:space="preserve">, the EU was simultaneously (if unconsciously) setting the terms of Irish recognition of third country divorces. </w:t>
      </w:r>
    </w:p>
    <w:p w:rsidR="00A7541E" w:rsidRPr="00E25C19" w:rsidRDefault="007071AB" w:rsidP="00B05984">
      <w:pPr>
        <w:jc w:val="both"/>
        <w:rPr>
          <w:rFonts w:ascii="Calibri" w:hAnsi="Calibri" w:cs="Calibri"/>
          <w:sz w:val="24"/>
          <w:szCs w:val="24"/>
        </w:rPr>
      </w:pPr>
      <w:r>
        <w:rPr>
          <w:rFonts w:ascii="Calibri" w:hAnsi="Calibri" w:cs="Calibri"/>
          <w:sz w:val="24"/>
          <w:szCs w:val="24"/>
        </w:rPr>
        <w:t>I</w:t>
      </w:r>
      <w:r w:rsidR="007D0295" w:rsidRPr="00E25C19">
        <w:rPr>
          <w:rFonts w:ascii="Calibri" w:hAnsi="Calibri" w:cs="Calibri"/>
          <w:sz w:val="24"/>
          <w:szCs w:val="24"/>
        </w:rPr>
        <w:t xml:space="preserve">t is </w:t>
      </w:r>
      <w:r>
        <w:rPr>
          <w:rFonts w:ascii="Calibri" w:hAnsi="Calibri" w:cs="Calibri"/>
          <w:sz w:val="24"/>
          <w:szCs w:val="24"/>
        </w:rPr>
        <w:t xml:space="preserve">therefore </w:t>
      </w:r>
      <w:r w:rsidR="007D0295" w:rsidRPr="00E25C19">
        <w:rPr>
          <w:rFonts w:ascii="Calibri" w:hAnsi="Calibri" w:cs="Calibri"/>
          <w:sz w:val="24"/>
          <w:szCs w:val="24"/>
        </w:rPr>
        <w:t>argued that while a general alignment of jurisdiction and recognition policy mak</w:t>
      </w:r>
      <w:r>
        <w:rPr>
          <w:rFonts w:ascii="Calibri" w:hAnsi="Calibri" w:cs="Calibri"/>
          <w:sz w:val="24"/>
          <w:szCs w:val="24"/>
        </w:rPr>
        <w:t>es sense (to the extent that both regimes</w:t>
      </w:r>
      <w:r w:rsidR="007D0295" w:rsidRPr="00E25C19">
        <w:rPr>
          <w:rFonts w:ascii="Calibri" w:hAnsi="Calibri" w:cs="Calibri"/>
          <w:sz w:val="24"/>
          <w:szCs w:val="24"/>
        </w:rPr>
        <w:t xml:space="preserve"> articulate a view as to the kind of territorial connection that should underpin the grant of a divorce</w:t>
      </w:r>
      <w:r>
        <w:rPr>
          <w:rFonts w:ascii="Calibri" w:hAnsi="Calibri" w:cs="Calibri"/>
          <w:sz w:val="24"/>
          <w:szCs w:val="24"/>
        </w:rPr>
        <w:t>)</w:t>
      </w:r>
      <w:r w:rsidR="007D0295" w:rsidRPr="00E25C19">
        <w:rPr>
          <w:rFonts w:ascii="Calibri" w:hAnsi="Calibri" w:cs="Calibri"/>
          <w:sz w:val="24"/>
          <w:szCs w:val="24"/>
        </w:rPr>
        <w:t xml:space="preserve">, </w:t>
      </w:r>
      <w:r w:rsidR="00A7541E" w:rsidRPr="00E25C19">
        <w:rPr>
          <w:rFonts w:ascii="Calibri" w:hAnsi="Calibri" w:cs="Calibri"/>
          <w:sz w:val="24"/>
          <w:szCs w:val="24"/>
        </w:rPr>
        <w:t>there should be no expectation of perfect alignment. Jurisdiction and recognition rules operate in different contexts and are subject to dif</w:t>
      </w:r>
      <w:r w:rsidR="00AA4A06">
        <w:rPr>
          <w:rFonts w:ascii="Calibri" w:hAnsi="Calibri" w:cs="Calibri"/>
          <w:sz w:val="24"/>
          <w:szCs w:val="24"/>
        </w:rPr>
        <w:t>ferent influences. The prevention</w:t>
      </w:r>
      <w:r w:rsidR="00A7541E" w:rsidRPr="00E25C19">
        <w:rPr>
          <w:rFonts w:ascii="Calibri" w:hAnsi="Calibri" w:cs="Calibri"/>
          <w:sz w:val="24"/>
          <w:szCs w:val="24"/>
        </w:rPr>
        <w:t xml:space="preserve"> of limping marriages is for example a central concern of recognition policy but not of jurisdictional policy. </w:t>
      </w:r>
      <w:proofErr w:type="gramStart"/>
      <w:r w:rsidR="00A7541E" w:rsidRPr="00E25C19">
        <w:rPr>
          <w:rFonts w:ascii="Calibri" w:hAnsi="Calibri" w:cs="Calibri"/>
          <w:sz w:val="24"/>
          <w:szCs w:val="24"/>
        </w:rPr>
        <w:t>In particular</w:t>
      </w:r>
      <w:r w:rsidR="00116E17">
        <w:rPr>
          <w:rFonts w:ascii="Calibri" w:hAnsi="Calibri" w:cs="Calibri"/>
          <w:sz w:val="24"/>
          <w:szCs w:val="24"/>
        </w:rPr>
        <w:t>,</w:t>
      </w:r>
      <w:r w:rsidR="00A7541E" w:rsidRPr="00E25C19">
        <w:rPr>
          <w:rFonts w:ascii="Calibri" w:hAnsi="Calibri" w:cs="Calibri"/>
          <w:sz w:val="24"/>
          <w:szCs w:val="24"/>
        </w:rPr>
        <w:t xml:space="preserve"> where </w:t>
      </w:r>
      <w:r w:rsidR="00490A0C">
        <w:rPr>
          <w:rFonts w:ascii="Calibri" w:hAnsi="Calibri" w:cs="Calibri"/>
          <w:sz w:val="24"/>
          <w:szCs w:val="24"/>
        </w:rPr>
        <w:t>a jurisdictional framework is the result</w:t>
      </w:r>
      <w:r w:rsidR="00A7541E" w:rsidRPr="00E25C19">
        <w:rPr>
          <w:rFonts w:ascii="Calibri" w:hAnsi="Calibri" w:cs="Calibri"/>
          <w:sz w:val="24"/>
          <w:szCs w:val="24"/>
        </w:rPr>
        <w:t xml:space="preserve"> of EU harmonisation (and embodies the policy interests of Member States generally)</w:t>
      </w:r>
      <w:r w:rsidR="00AA4A06">
        <w:rPr>
          <w:rFonts w:ascii="Calibri" w:hAnsi="Calibri" w:cs="Calibri"/>
          <w:sz w:val="24"/>
          <w:szCs w:val="24"/>
        </w:rPr>
        <w:t>,</w:t>
      </w:r>
      <w:r w:rsidR="00A7541E" w:rsidRPr="00E25C19">
        <w:rPr>
          <w:rFonts w:ascii="Calibri" w:hAnsi="Calibri" w:cs="Calibri"/>
          <w:sz w:val="24"/>
          <w:szCs w:val="24"/>
        </w:rPr>
        <w:t xml:space="preserve"> it should not be assumed to embody </w:t>
      </w:r>
      <w:r w:rsidR="00116E17">
        <w:rPr>
          <w:rFonts w:ascii="Calibri" w:hAnsi="Calibri" w:cs="Calibri"/>
          <w:sz w:val="24"/>
          <w:szCs w:val="24"/>
        </w:rPr>
        <w:t xml:space="preserve">Irish </w:t>
      </w:r>
      <w:r w:rsidR="00A7541E" w:rsidRPr="00E25C19">
        <w:rPr>
          <w:rFonts w:ascii="Calibri" w:hAnsi="Calibri" w:cs="Calibri"/>
          <w:sz w:val="24"/>
          <w:szCs w:val="24"/>
        </w:rPr>
        <w:t>domestic policy</w:t>
      </w:r>
      <w:r w:rsidR="00490A0C">
        <w:rPr>
          <w:rFonts w:ascii="Calibri" w:hAnsi="Calibri" w:cs="Calibri"/>
          <w:sz w:val="24"/>
          <w:szCs w:val="24"/>
        </w:rPr>
        <w:t xml:space="preserve"> on recognition.</w:t>
      </w:r>
      <w:proofErr w:type="gramEnd"/>
      <w:r w:rsidR="00490A0C">
        <w:rPr>
          <w:rFonts w:ascii="Calibri" w:hAnsi="Calibri" w:cs="Calibri"/>
          <w:sz w:val="24"/>
          <w:szCs w:val="24"/>
        </w:rPr>
        <w:t xml:space="preserve"> </w:t>
      </w:r>
    </w:p>
    <w:p w:rsidR="00417CAA" w:rsidRPr="00E25C19" w:rsidRDefault="00C94DAE" w:rsidP="00883B96">
      <w:pPr>
        <w:jc w:val="both"/>
        <w:rPr>
          <w:rFonts w:ascii="Calibri" w:hAnsi="Calibri" w:cs="Calibri"/>
          <w:sz w:val="24"/>
          <w:szCs w:val="24"/>
        </w:rPr>
      </w:pPr>
      <w:r>
        <w:rPr>
          <w:rFonts w:ascii="Calibri" w:hAnsi="Calibri" w:cs="Calibri"/>
          <w:sz w:val="24"/>
          <w:szCs w:val="24"/>
        </w:rPr>
        <w:t xml:space="preserve">In summary, </w:t>
      </w:r>
      <w:r w:rsidR="008B5C2C">
        <w:rPr>
          <w:rFonts w:ascii="Calibri" w:hAnsi="Calibri" w:cs="Calibri"/>
          <w:sz w:val="24"/>
          <w:szCs w:val="24"/>
        </w:rPr>
        <w:t>art.</w:t>
      </w:r>
      <w:r w:rsidR="00A7541E" w:rsidRPr="00E25C19">
        <w:rPr>
          <w:rFonts w:ascii="Calibri" w:hAnsi="Calibri" w:cs="Calibri"/>
          <w:sz w:val="24"/>
          <w:szCs w:val="24"/>
        </w:rPr>
        <w:t xml:space="preserve"> 3 Brussels II </w:t>
      </w:r>
      <w:proofErr w:type="spellStart"/>
      <w:r w:rsidR="00A7541E" w:rsidRPr="007071AB">
        <w:rPr>
          <w:rFonts w:ascii="Calibri" w:hAnsi="Calibri" w:cs="Calibri"/>
          <w:i/>
          <w:sz w:val="24"/>
          <w:szCs w:val="24"/>
        </w:rPr>
        <w:t>bis</w:t>
      </w:r>
      <w:proofErr w:type="spellEnd"/>
      <w:r w:rsidR="00A7541E" w:rsidRPr="00E25C19">
        <w:rPr>
          <w:rFonts w:ascii="Calibri" w:hAnsi="Calibri" w:cs="Calibri"/>
          <w:sz w:val="24"/>
          <w:szCs w:val="24"/>
        </w:rPr>
        <w:t xml:space="preserve"> should not be directly deployed as a recognition t</w:t>
      </w:r>
      <w:r w:rsidR="00417CAA" w:rsidRPr="00E25C19">
        <w:rPr>
          <w:rFonts w:ascii="Calibri" w:hAnsi="Calibri" w:cs="Calibri"/>
          <w:sz w:val="24"/>
          <w:szCs w:val="24"/>
        </w:rPr>
        <w:t xml:space="preserve">est under Irish law. However, it is legitimate (having regard to the reasoning in </w:t>
      </w:r>
      <w:r w:rsidR="00417CAA" w:rsidRPr="001932D4">
        <w:rPr>
          <w:rFonts w:ascii="Calibri" w:hAnsi="Calibri" w:cs="Calibri"/>
          <w:i/>
          <w:sz w:val="24"/>
          <w:szCs w:val="24"/>
        </w:rPr>
        <w:t>Travers v Holley</w:t>
      </w:r>
      <w:r w:rsidR="00417CAA" w:rsidRPr="00E25C19">
        <w:rPr>
          <w:rFonts w:ascii="Calibri" w:hAnsi="Calibri" w:cs="Calibri"/>
          <w:sz w:val="24"/>
          <w:szCs w:val="24"/>
        </w:rPr>
        <w:t xml:space="preserve"> and </w:t>
      </w:r>
      <w:proofErr w:type="spellStart"/>
      <w:r w:rsidR="00417CAA" w:rsidRPr="001932D4">
        <w:rPr>
          <w:rFonts w:ascii="Calibri" w:hAnsi="Calibri" w:cs="Calibri"/>
          <w:i/>
          <w:sz w:val="24"/>
          <w:szCs w:val="24"/>
        </w:rPr>
        <w:t>Indyka</w:t>
      </w:r>
      <w:proofErr w:type="spellEnd"/>
      <w:r w:rsidR="00417CAA" w:rsidRPr="001932D4">
        <w:rPr>
          <w:rFonts w:ascii="Calibri" w:hAnsi="Calibri" w:cs="Calibri"/>
          <w:i/>
          <w:sz w:val="24"/>
          <w:szCs w:val="24"/>
        </w:rPr>
        <w:t xml:space="preserve"> v </w:t>
      </w:r>
      <w:proofErr w:type="spellStart"/>
      <w:r w:rsidR="00417CAA" w:rsidRPr="001932D4">
        <w:rPr>
          <w:rFonts w:ascii="Calibri" w:hAnsi="Calibri" w:cs="Calibri"/>
          <w:i/>
          <w:sz w:val="24"/>
          <w:szCs w:val="24"/>
        </w:rPr>
        <w:t>Indyka</w:t>
      </w:r>
      <w:proofErr w:type="spellEnd"/>
      <w:r w:rsidR="00417CAA" w:rsidRPr="00E25C19">
        <w:rPr>
          <w:rFonts w:ascii="Calibri" w:hAnsi="Calibri" w:cs="Calibri"/>
          <w:sz w:val="24"/>
          <w:szCs w:val="24"/>
        </w:rPr>
        <w:t xml:space="preserve">) for the Irish courts to adapt the common law recognition rules taking account of the fact that ordinary residence was adopted domestically as a basis for jurisdiction under the Family Law (Divorce) Act 1996 and that habitual residence takes centre stage as the basis for divorce jurisdiction under Brussels II </w:t>
      </w:r>
      <w:proofErr w:type="spellStart"/>
      <w:r w:rsidR="00417CAA" w:rsidRPr="003454A3">
        <w:rPr>
          <w:rFonts w:ascii="Calibri" w:hAnsi="Calibri" w:cs="Calibri"/>
          <w:i/>
          <w:sz w:val="24"/>
          <w:szCs w:val="24"/>
        </w:rPr>
        <w:t>bis</w:t>
      </w:r>
      <w:proofErr w:type="spellEnd"/>
      <w:r w:rsidR="00417CAA" w:rsidRPr="00E25C19">
        <w:rPr>
          <w:rFonts w:ascii="Calibri" w:hAnsi="Calibri" w:cs="Calibri"/>
          <w:sz w:val="24"/>
          <w:szCs w:val="24"/>
        </w:rPr>
        <w:t xml:space="preserve">. These developments </w:t>
      </w:r>
      <w:r w:rsidR="003454A3">
        <w:rPr>
          <w:rFonts w:ascii="Calibri" w:hAnsi="Calibri" w:cs="Calibri"/>
          <w:sz w:val="24"/>
          <w:szCs w:val="24"/>
        </w:rPr>
        <w:t xml:space="preserve">provide </w:t>
      </w:r>
      <w:r w:rsidR="00417CAA" w:rsidRPr="00E25C19">
        <w:rPr>
          <w:rFonts w:ascii="Calibri" w:hAnsi="Calibri" w:cs="Calibri"/>
          <w:sz w:val="24"/>
          <w:szCs w:val="24"/>
        </w:rPr>
        <w:t xml:space="preserve">support </w:t>
      </w:r>
      <w:r w:rsidR="003454A3">
        <w:rPr>
          <w:rFonts w:ascii="Calibri" w:hAnsi="Calibri" w:cs="Calibri"/>
          <w:sz w:val="24"/>
          <w:szCs w:val="24"/>
        </w:rPr>
        <w:t xml:space="preserve">for </w:t>
      </w:r>
      <w:r w:rsidR="00417CAA" w:rsidRPr="00E25C19">
        <w:rPr>
          <w:rFonts w:ascii="Calibri" w:hAnsi="Calibri" w:cs="Calibri"/>
          <w:sz w:val="24"/>
          <w:szCs w:val="24"/>
        </w:rPr>
        <w:t xml:space="preserve">a more general use of ordinary or habitual residence as a common law basis for recognition. </w:t>
      </w:r>
    </w:p>
    <w:p w:rsidR="00392EA3" w:rsidRPr="00E25C19" w:rsidRDefault="00392EA3" w:rsidP="00883B96">
      <w:pPr>
        <w:jc w:val="both"/>
        <w:rPr>
          <w:rFonts w:ascii="Calibri" w:hAnsi="Calibri" w:cs="Calibri"/>
          <w:sz w:val="24"/>
          <w:szCs w:val="24"/>
        </w:rPr>
      </w:pPr>
      <w:r w:rsidRPr="00E25C19">
        <w:rPr>
          <w:rFonts w:ascii="Calibri" w:hAnsi="Calibri" w:cs="Calibri"/>
          <w:sz w:val="24"/>
          <w:szCs w:val="24"/>
        </w:rPr>
        <w:t>CONCLUSION</w:t>
      </w:r>
    </w:p>
    <w:p w:rsidR="00C26E5A" w:rsidRDefault="00417CAA" w:rsidP="00883B96">
      <w:pPr>
        <w:jc w:val="both"/>
        <w:rPr>
          <w:rFonts w:ascii="Calibri" w:hAnsi="Calibri" w:cs="Calibri"/>
          <w:sz w:val="24"/>
          <w:szCs w:val="24"/>
        </w:rPr>
      </w:pPr>
      <w:r w:rsidRPr="001932D4">
        <w:rPr>
          <w:rFonts w:ascii="Calibri" w:hAnsi="Calibri" w:cs="Calibri"/>
          <w:i/>
          <w:sz w:val="24"/>
          <w:szCs w:val="24"/>
        </w:rPr>
        <w:t>H v H</w:t>
      </w:r>
      <w:r w:rsidRPr="00E25C19">
        <w:rPr>
          <w:rFonts w:ascii="Calibri" w:hAnsi="Calibri" w:cs="Calibri"/>
          <w:sz w:val="24"/>
          <w:szCs w:val="24"/>
        </w:rPr>
        <w:t xml:space="preserve"> is a disappointing </w:t>
      </w:r>
      <w:r w:rsidR="004D13F0" w:rsidRPr="00E25C19">
        <w:rPr>
          <w:rFonts w:ascii="Calibri" w:hAnsi="Calibri" w:cs="Calibri"/>
          <w:sz w:val="24"/>
          <w:szCs w:val="24"/>
        </w:rPr>
        <w:t xml:space="preserve">and disquieting </w:t>
      </w:r>
      <w:r w:rsidR="001932D4">
        <w:rPr>
          <w:rFonts w:ascii="Calibri" w:hAnsi="Calibri" w:cs="Calibri"/>
          <w:sz w:val="24"/>
          <w:szCs w:val="24"/>
        </w:rPr>
        <w:t>decision</w:t>
      </w:r>
      <w:r w:rsidRPr="00E25C19">
        <w:rPr>
          <w:rFonts w:ascii="Calibri" w:hAnsi="Calibri" w:cs="Calibri"/>
          <w:sz w:val="24"/>
          <w:szCs w:val="24"/>
        </w:rPr>
        <w:t xml:space="preserve">. The majority </w:t>
      </w:r>
      <w:r w:rsidR="003070B9">
        <w:rPr>
          <w:rFonts w:ascii="Calibri" w:hAnsi="Calibri" w:cs="Calibri"/>
          <w:sz w:val="24"/>
          <w:szCs w:val="24"/>
        </w:rPr>
        <w:t>of the Supreme Court takes a very narrow technical view of current public policy</w:t>
      </w:r>
      <w:r w:rsidR="003769EA">
        <w:rPr>
          <w:rFonts w:ascii="Calibri" w:hAnsi="Calibri" w:cs="Calibri"/>
          <w:sz w:val="24"/>
          <w:szCs w:val="24"/>
        </w:rPr>
        <w:t xml:space="preserve">. The majority </w:t>
      </w:r>
      <w:r w:rsidRPr="00E25C19">
        <w:rPr>
          <w:rFonts w:ascii="Calibri" w:hAnsi="Calibri" w:cs="Calibri"/>
          <w:sz w:val="24"/>
          <w:szCs w:val="24"/>
        </w:rPr>
        <w:t>defer</w:t>
      </w:r>
      <w:r w:rsidR="003070B9">
        <w:rPr>
          <w:rFonts w:ascii="Calibri" w:hAnsi="Calibri" w:cs="Calibri"/>
          <w:sz w:val="24"/>
          <w:szCs w:val="24"/>
        </w:rPr>
        <w:t>s</w:t>
      </w:r>
      <w:r w:rsidRPr="00E25C19">
        <w:rPr>
          <w:rFonts w:ascii="Calibri" w:hAnsi="Calibri" w:cs="Calibri"/>
          <w:sz w:val="24"/>
          <w:szCs w:val="24"/>
        </w:rPr>
        <w:t xml:space="preserve"> to the legislature, </w:t>
      </w:r>
      <w:r w:rsidR="00AA4A06">
        <w:rPr>
          <w:rFonts w:ascii="Calibri" w:hAnsi="Calibri" w:cs="Calibri"/>
          <w:sz w:val="24"/>
          <w:szCs w:val="24"/>
        </w:rPr>
        <w:t xml:space="preserve">surely </w:t>
      </w:r>
      <w:r w:rsidRPr="00E25C19">
        <w:rPr>
          <w:rFonts w:ascii="Calibri" w:hAnsi="Calibri" w:cs="Calibri"/>
          <w:sz w:val="24"/>
          <w:szCs w:val="24"/>
        </w:rPr>
        <w:t xml:space="preserve">knowing that legislative action is unlikely. Almost two years have elapsed since the judgment in </w:t>
      </w:r>
      <w:r w:rsidRPr="00AA4A06">
        <w:rPr>
          <w:rFonts w:ascii="Calibri" w:hAnsi="Calibri" w:cs="Calibri"/>
          <w:i/>
          <w:sz w:val="24"/>
          <w:szCs w:val="24"/>
        </w:rPr>
        <w:t>H v H</w:t>
      </w:r>
      <w:r w:rsidRPr="00E25C19">
        <w:rPr>
          <w:rFonts w:ascii="Calibri" w:hAnsi="Calibri" w:cs="Calibri"/>
          <w:sz w:val="24"/>
          <w:szCs w:val="24"/>
        </w:rPr>
        <w:t xml:space="preserve"> and there has been no indication of any intention to adopt legislation on recognition of foreign divorces. </w:t>
      </w:r>
      <w:r w:rsidR="00C26E5A">
        <w:rPr>
          <w:rFonts w:ascii="Calibri" w:hAnsi="Calibri" w:cs="Calibri"/>
          <w:sz w:val="24"/>
          <w:szCs w:val="24"/>
        </w:rPr>
        <w:t>There is no mention of foreign divorce recognition in the 2016 Programme for Government</w:t>
      </w:r>
      <w:r w:rsidR="00C26E5A">
        <w:rPr>
          <w:rStyle w:val="FootnoteReference"/>
          <w:rFonts w:ascii="Calibri" w:hAnsi="Calibri" w:cs="Calibri"/>
          <w:sz w:val="24"/>
          <w:szCs w:val="24"/>
        </w:rPr>
        <w:footnoteReference w:id="67"/>
      </w:r>
      <w:r w:rsidR="00C26E5A">
        <w:rPr>
          <w:rFonts w:ascii="Calibri" w:hAnsi="Calibri" w:cs="Calibri"/>
          <w:sz w:val="24"/>
          <w:szCs w:val="24"/>
        </w:rPr>
        <w:t xml:space="preserve"> and </w:t>
      </w:r>
      <w:r w:rsidR="00A94717">
        <w:rPr>
          <w:rFonts w:ascii="Calibri" w:hAnsi="Calibri" w:cs="Calibri"/>
          <w:sz w:val="24"/>
          <w:szCs w:val="24"/>
        </w:rPr>
        <w:t>it does not feature on the current agenda of the Law Reform Commission.</w:t>
      </w:r>
      <w:r w:rsidR="00A94717">
        <w:rPr>
          <w:rStyle w:val="FootnoteReference"/>
          <w:rFonts w:ascii="Calibri" w:hAnsi="Calibri" w:cs="Calibri"/>
          <w:sz w:val="24"/>
          <w:szCs w:val="24"/>
        </w:rPr>
        <w:footnoteReference w:id="68"/>
      </w:r>
    </w:p>
    <w:p w:rsidR="00AA4A06" w:rsidRDefault="00417CAA" w:rsidP="00883B96">
      <w:pPr>
        <w:jc w:val="both"/>
        <w:rPr>
          <w:rFonts w:ascii="Calibri" w:hAnsi="Calibri" w:cs="Calibri"/>
          <w:sz w:val="24"/>
          <w:szCs w:val="24"/>
        </w:rPr>
      </w:pPr>
      <w:r w:rsidRPr="00E25C19">
        <w:rPr>
          <w:rFonts w:ascii="Calibri" w:hAnsi="Calibri" w:cs="Calibri"/>
          <w:sz w:val="24"/>
          <w:szCs w:val="24"/>
        </w:rPr>
        <w:t xml:space="preserve">A </w:t>
      </w:r>
      <w:r w:rsidR="00AA4A06">
        <w:rPr>
          <w:rFonts w:ascii="Calibri" w:hAnsi="Calibri" w:cs="Calibri"/>
          <w:sz w:val="24"/>
          <w:szCs w:val="24"/>
        </w:rPr>
        <w:t xml:space="preserve">continued adherence to a </w:t>
      </w:r>
      <w:r w:rsidRPr="00E25C19">
        <w:rPr>
          <w:rFonts w:ascii="Calibri" w:hAnsi="Calibri" w:cs="Calibri"/>
          <w:sz w:val="24"/>
          <w:szCs w:val="24"/>
        </w:rPr>
        <w:t xml:space="preserve">recognition policy based exclusively on common law domicile is rationally indefensible, with very serious consequences for the marital status of affected </w:t>
      </w:r>
      <w:r w:rsidR="004D13F0" w:rsidRPr="00E25C19">
        <w:rPr>
          <w:rFonts w:ascii="Calibri" w:hAnsi="Calibri" w:cs="Calibri"/>
          <w:sz w:val="24"/>
          <w:szCs w:val="24"/>
        </w:rPr>
        <w:lastRenderedPageBreak/>
        <w:t xml:space="preserve">individuals, yet </w:t>
      </w:r>
      <w:r w:rsidR="003070B9">
        <w:rPr>
          <w:rFonts w:ascii="Calibri" w:hAnsi="Calibri" w:cs="Calibri"/>
          <w:sz w:val="24"/>
          <w:szCs w:val="24"/>
        </w:rPr>
        <w:t>neither the legislature nor the judiciary</w:t>
      </w:r>
      <w:r w:rsidR="004D13F0" w:rsidRPr="00E25C19">
        <w:rPr>
          <w:rFonts w:ascii="Calibri" w:hAnsi="Calibri" w:cs="Calibri"/>
          <w:sz w:val="24"/>
          <w:szCs w:val="24"/>
        </w:rPr>
        <w:t xml:space="preserve"> appears to be willing to grasp the nettle</w:t>
      </w:r>
      <w:r w:rsidR="003070B9">
        <w:rPr>
          <w:rFonts w:ascii="Calibri" w:hAnsi="Calibri" w:cs="Calibri"/>
          <w:sz w:val="24"/>
          <w:szCs w:val="24"/>
        </w:rPr>
        <w:t>,</w:t>
      </w:r>
      <w:r w:rsidR="00C94DAE">
        <w:rPr>
          <w:rStyle w:val="FootnoteReference"/>
          <w:rFonts w:ascii="Calibri" w:hAnsi="Calibri" w:cs="Calibri"/>
          <w:sz w:val="24"/>
          <w:szCs w:val="24"/>
        </w:rPr>
        <w:footnoteReference w:id="69"/>
      </w:r>
      <w:r w:rsidR="004D13F0" w:rsidRPr="00E25C19">
        <w:rPr>
          <w:rFonts w:ascii="Calibri" w:hAnsi="Calibri" w:cs="Calibri"/>
          <w:sz w:val="24"/>
          <w:szCs w:val="24"/>
        </w:rPr>
        <w:t xml:space="preserve"> and to deal with the problem</w:t>
      </w:r>
      <w:r w:rsidR="00BE63A8">
        <w:rPr>
          <w:rFonts w:ascii="Calibri" w:hAnsi="Calibri" w:cs="Calibri"/>
          <w:sz w:val="24"/>
          <w:szCs w:val="24"/>
        </w:rPr>
        <w:t>s so vividly</w:t>
      </w:r>
      <w:r w:rsidR="006F626A" w:rsidRPr="00E25C19">
        <w:rPr>
          <w:rFonts w:ascii="Calibri" w:hAnsi="Calibri" w:cs="Calibri"/>
          <w:sz w:val="24"/>
          <w:szCs w:val="24"/>
        </w:rPr>
        <w:t xml:space="preserve"> articulated in the judgment of O’Donnell </w:t>
      </w:r>
      <w:proofErr w:type="gramStart"/>
      <w:r w:rsidR="006F626A" w:rsidRPr="00E25C19">
        <w:rPr>
          <w:rFonts w:ascii="Calibri" w:hAnsi="Calibri" w:cs="Calibri"/>
          <w:sz w:val="24"/>
          <w:szCs w:val="24"/>
        </w:rPr>
        <w:t>J.</w:t>
      </w:r>
      <w:r w:rsidR="004D13F0" w:rsidRPr="00E25C19">
        <w:rPr>
          <w:rFonts w:ascii="Calibri" w:hAnsi="Calibri" w:cs="Calibri"/>
          <w:sz w:val="24"/>
          <w:szCs w:val="24"/>
        </w:rPr>
        <w:t>.</w:t>
      </w:r>
      <w:proofErr w:type="gramEnd"/>
      <w:r w:rsidR="004D13F0" w:rsidRPr="00E25C19">
        <w:rPr>
          <w:rFonts w:ascii="Calibri" w:hAnsi="Calibri" w:cs="Calibri"/>
          <w:sz w:val="24"/>
          <w:szCs w:val="24"/>
        </w:rPr>
        <w:t xml:space="preserve"> </w:t>
      </w:r>
    </w:p>
    <w:p w:rsidR="00A94717" w:rsidRDefault="00AA4A06" w:rsidP="00883B96">
      <w:pPr>
        <w:jc w:val="both"/>
        <w:rPr>
          <w:rFonts w:ascii="Calibri" w:hAnsi="Calibri" w:cs="Calibri"/>
          <w:sz w:val="24"/>
          <w:szCs w:val="24"/>
        </w:rPr>
      </w:pPr>
      <w:r>
        <w:rPr>
          <w:rFonts w:ascii="Calibri" w:hAnsi="Calibri" w:cs="Calibri"/>
          <w:sz w:val="24"/>
          <w:szCs w:val="24"/>
        </w:rPr>
        <w:t>The Supreme Court is right to assert</w:t>
      </w:r>
      <w:r w:rsidR="004D13F0" w:rsidRPr="00E25C19">
        <w:rPr>
          <w:rFonts w:ascii="Calibri" w:hAnsi="Calibri" w:cs="Calibri"/>
          <w:sz w:val="24"/>
          <w:szCs w:val="24"/>
        </w:rPr>
        <w:t xml:space="preserve"> that a </w:t>
      </w:r>
      <w:r w:rsidR="00A94717">
        <w:rPr>
          <w:rFonts w:ascii="Calibri" w:hAnsi="Calibri" w:cs="Calibri"/>
          <w:sz w:val="24"/>
          <w:szCs w:val="24"/>
        </w:rPr>
        <w:t xml:space="preserve">tailored </w:t>
      </w:r>
      <w:r w:rsidR="004D13F0" w:rsidRPr="00E25C19">
        <w:rPr>
          <w:rFonts w:ascii="Calibri" w:hAnsi="Calibri" w:cs="Calibri"/>
          <w:sz w:val="24"/>
          <w:szCs w:val="24"/>
        </w:rPr>
        <w:t>legislative solution would be preferable but in the face of ongoing legislative inertia, judicial intervention was desirable. The invocation of the separation of powers doctrine rings hollow in a context where legislative action a</w:t>
      </w:r>
      <w:r w:rsidR="006F626A" w:rsidRPr="00E25C19">
        <w:rPr>
          <w:rFonts w:ascii="Calibri" w:hAnsi="Calibri" w:cs="Calibri"/>
          <w:sz w:val="24"/>
          <w:szCs w:val="24"/>
        </w:rPr>
        <w:t>ppears extremely unlikely.</w:t>
      </w:r>
      <w:r w:rsidR="00DA0A0B">
        <w:rPr>
          <w:rStyle w:val="FootnoteReference"/>
          <w:rFonts w:ascii="Calibri" w:hAnsi="Calibri" w:cs="Calibri"/>
          <w:sz w:val="24"/>
          <w:szCs w:val="24"/>
        </w:rPr>
        <w:footnoteReference w:id="70"/>
      </w:r>
      <w:r w:rsidR="006F626A" w:rsidRPr="00E25C19">
        <w:rPr>
          <w:rFonts w:ascii="Calibri" w:hAnsi="Calibri" w:cs="Calibri"/>
          <w:sz w:val="24"/>
          <w:szCs w:val="24"/>
        </w:rPr>
        <w:t xml:space="preserve"> </w:t>
      </w:r>
    </w:p>
    <w:p w:rsidR="00063350" w:rsidRPr="00E25C19" w:rsidRDefault="00A94717" w:rsidP="00883B96">
      <w:pPr>
        <w:jc w:val="both"/>
        <w:rPr>
          <w:rFonts w:ascii="Calibri" w:hAnsi="Calibri" w:cs="Calibri"/>
          <w:sz w:val="24"/>
          <w:szCs w:val="24"/>
        </w:rPr>
      </w:pPr>
      <w:r>
        <w:rPr>
          <w:rFonts w:ascii="Calibri" w:hAnsi="Calibri" w:cs="Calibri"/>
          <w:sz w:val="24"/>
          <w:szCs w:val="24"/>
        </w:rPr>
        <w:t>In his dissenting judgment, O’Donnell J.</w:t>
      </w:r>
      <w:r w:rsidR="006F626A" w:rsidRPr="00E25C19">
        <w:rPr>
          <w:rFonts w:ascii="Calibri" w:hAnsi="Calibri" w:cs="Calibri"/>
          <w:sz w:val="24"/>
          <w:szCs w:val="24"/>
        </w:rPr>
        <w:t xml:space="preserve"> </w:t>
      </w:r>
      <w:r>
        <w:rPr>
          <w:rFonts w:ascii="Calibri" w:hAnsi="Calibri" w:cs="Calibri"/>
          <w:sz w:val="24"/>
          <w:szCs w:val="24"/>
        </w:rPr>
        <w:t xml:space="preserve">charted an appropriate path for </w:t>
      </w:r>
      <w:r w:rsidR="003769EA">
        <w:rPr>
          <w:rFonts w:ascii="Calibri" w:hAnsi="Calibri" w:cs="Calibri"/>
          <w:sz w:val="24"/>
          <w:szCs w:val="24"/>
        </w:rPr>
        <w:t xml:space="preserve">the development of the </w:t>
      </w:r>
      <w:r>
        <w:rPr>
          <w:rFonts w:ascii="Calibri" w:hAnsi="Calibri" w:cs="Calibri"/>
          <w:sz w:val="24"/>
          <w:szCs w:val="24"/>
        </w:rPr>
        <w:t xml:space="preserve">common law – although, as suggested </w:t>
      </w:r>
      <w:r w:rsidR="008B5C2C">
        <w:rPr>
          <w:rFonts w:ascii="Calibri" w:hAnsi="Calibri" w:cs="Calibri"/>
          <w:sz w:val="24"/>
          <w:szCs w:val="24"/>
        </w:rPr>
        <w:t>above, the direct use of art.</w:t>
      </w:r>
      <w:r>
        <w:rPr>
          <w:rFonts w:ascii="Calibri" w:hAnsi="Calibri" w:cs="Calibri"/>
          <w:sz w:val="24"/>
          <w:szCs w:val="24"/>
        </w:rPr>
        <w:t xml:space="preserve"> 3 Brussels II </w:t>
      </w:r>
      <w:proofErr w:type="spellStart"/>
      <w:r w:rsidRPr="003070B9">
        <w:rPr>
          <w:rFonts w:ascii="Calibri" w:hAnsi="Calibri" w:cs="Calibri"/>
          <w:i/>
          <w:sz w:val="24"/>
          <w:szCs w:val="24"/>
        </w:rPr>
        <w:t>bis</w:t>
      </w:r>
      <w:proofErr w:type="spellEnd"/>
      <w:r>
        <w:rPr>
          <w:rFonts w:ascii="Calibri" w:hAnsi="Calibri" w:cs="Calibri"/>
          <w:sz w:val="24"/>
          <w:szCs w:val="24"/>
        </w:rPr>
        <w:t xml:space="preserve"> </w:t>
      </w:r>
      <w:r w:rsidR="003070B9">
        <w:rPr>
          <w:rFonts w:ascii="Calibri" w:hAnsi="Calibri" w:cs="Calibri"/>
          <w:sz w:val="24"/>
          <w:szCs w:val="24"/>
        </w:rPr>
        <w:t xml:space="preserve">as a recognition rule </w:t>
      </w:r>
      <w:r>
        <w:rPr>
          <w:rFonts w:ascii="Calibri" w:hAnsi="Calibri" w:cs="Calibri"/>
          <w:sz w:val="24"/>
          <w:szCs w:val="24"/>
        </w:rPr>
        <w:t xml:space="preserve">should be avoided. </w:t>
      </w:r>
      <w:r w:rsidR="003070B9">
        <w:rPr>
          <w:rFonts w:ascii="Calibri" w:hAnsi="Calibri" w:cs="Calibri"/>
          <w:sz w:val="24"/>
          <w:szCs w:val="24"/>
        </w:rPr>
        <w:t xml:space="preserve">If an opportunity arises for reconsideration of </w:t>
      </w:r>
      <w:r w:rsidR="0015775F">
        <w:rPr>
          <w:rFonts w:ascii="Calibri" w:hAnsi="Calibri" w:cs="Calibri"/>
          <w:i/>
          <w:sz w:val="24"/>
          <w:szCs w:val="24"/>
        </w:rPr>
        <w:t>H v H</w:t>
      </w:r>
      <w:r w:rsidR="003769EA">
        <w:rPr>
          <w:rFonts w:ascii="Calibri" w:hAnsi="Calibri" w:cs="Calibri"/>
          <w:sz w:val="24"/>
          <w:szCs w:val="24"/>
        </w:rPr>
        <w:t xml:space="preserve">, </w:t>
      </w:r>
      <w:r w:rsidR="003070B9">
        <w:rPr>
          <w:rFonts w:ascii="Calibri" w:hAnsi="Calibri" w:cs="Calibri"/>
          <w:sz w:val="24"/>
          <w:szCs w:val="24"/>
        </w:rPr>
        <w:t>it is submitted that the judgment of O’Donnell J. should be followed</w:t>
      </w:r>
      <w:r w:rsidR="003769EA">
        <w:rPr>
          <w:rFonts w:ascii="Calibri" w:hAnsi="Calibri" w:cs="Calibri"/>
          <w:sz w:val="24"/>
          <w:szCs w:val="24"/>
        </w:rPr>
        <w:t xml:space="preserve"> (subject to the above caveat)</w:t>
      </w:r>
      <w:r w:rsidR="003070B9">
        <w:rPr>
          <w:rFonts w:ascii="Calibri" w:hAnsi="Calibri" w:cs="Calibri"/>
          <w:sz w:val="24"/>
          <w:szCs w:val="24"/>
        </w:rPr>
        <w:t>. Of course</w:t>
      </w:r>
      <w:r w:rsidR="003769EA">
        <w:rPr>
          <w:rFonts w:ascii="Calibri" w:hAnsi="Calibri" w:cs="Calibri"/>
          <w:sz w:val="24"/>
          <w:szCs w:val="24"/>
        </w:rPr>
        <w:t>, the question of common law divorce recognition will</w:t>
      </w:r>
      <w:r w:rsidR="003070B9">
        <w:rPr>
          <w:rFonts w:ascii="Calibri" w:hAnsi="Calibri" w:cs="Calibri"/>
          <w:sz w:val="24"/>
          <w:szCs w:val="24"/>
        </w:rPr>
        <w:t xml:space="preserve"> be considered settled</w:t>
      </w:r>
      <w:r w:rsidR="0015775F">
        <w:rPr>
          <w:rFonts w:ascii="Calibri" w:hAnsi="Calibri" w:cs="Calibri"/>
          <w:sz w:val="24"/>
          <w:szCs w:val="24"/>
        </w:rPr>
        <w:t xml:space="preserve"> after the decision in </w:t>
      </w:r>
      <w:r w:rsidR="0015775F" w:rsidRPr="0067141B">
        <w:rPr>
          <w:rFonts w:ascii="Calibri" w:hAnsi="Calibri" w:cs="Calibri"/>
          <w:i/>
          <w:sz w:val="24"/>
          <w:szCs w:val="24"/>
        </w:rPr>
        <w:t>H v H</w:t>
      </w:r>
      <w:r w:rsidR="0015775F">
        <w:rPr>
          <w:rFonts w:ascii="Calibri" w:hAnsi="Calibri" w:cs="Calibri"/>
          <w:sz w:val="24"/>
          <w:szCs w:val="24"/>
        </w:rPr>
        <w:t xml:space="preserve"> </w:t>
      </w:r>
      <w:r w:rsidR="0036072C">
        <w:rPr>
          <w:rFonts w:ascii="Calibri" w:hAnsi="Calibri" w:cs="Calibri"/>
          <w:sz w:val="24"/>
          <w:szCs w:val="24"/>
        </w:rPr>
        <w:t>and</w:t>
      </w:r>
      <w:r w:rsidR="00295C07">
        <w:rPr>
          <w:rFonts w:ascii="Calibri" w:hAnsi="Calibri" w:cs="Calibri"/>
          <w:sz w:val="24"/>
          <w:szCs w:val="24"/>
        </w:rPr>
        <w:t xml:space="preserve"> any re-examination</w:t>
      </w:r>
      <w:r w:rsidR="00116E17">
        <w:rPr>
          <w:rFonts w:ascii="Calibri" w:hAnsi="Calibri" w:cs="Calibri"/>
          <w:sz w:val="24"/>
          <w:szCs w:val="24"/>
        </w:rPr>
        <w:t xml:space="preserve"> of this issue</w:t>
      </w:r>
      <w:r w:rsidR="0036072C">
        <w:rPr>
          <w:rFonts w:ascii="Calibri" w:hAnsi="Calibri" w:cs="Calibri"/>
          <w:sz w:val="24"/>
          <w:szCs w:val="24"/>
        </w:rPr>
        <w:t xml:space="preserve"> may be very unlikely. The possibility canno</w:t>
      </w:r>
      <w:r w:rsidR="00295C07">
        <w:rPr>
          <w:rFonts w:ascii="Calibri" w:hAnsi="Calibri" w:cs="Calibri"/>
          <w:sz w:val="24"/>
          <w:szCs w:val="24"/>
        </w:rPr>
        <w:t>t however be entirely excluded.</w:t>
      </w:r>
      <w:r w:rsidR="0036072C">
        <w:rPr>
          <w:rFonts w:ascii="Calibri" w:hAnsi="Calibri" w:cs="Calibri"/>
          <w:sz w:val="24"/>
          <w:szCs w:val="24"/>
        </w:rPr>
        <w:t xml:space="preserve"> </w:t>
      </w:r>
      <w:r w:rsidR="0015775F">
        <w:rPr>
          <w:rFonts w:ascii="Calibri" w:hAnsi="Calibri" w:cs="Calibri"/>
          <w:sz w:val="24"/>
          <w:szCs w:val="24"/>
        </w:rPr>
        <w:t xml:space="preserve">Insofar as the court in </w:t>
      </w:r>
      <w:r w:rsidR="0015775F" w:rsidRPr="0067141B">
        <w:rPr>
          <w:rFonts w:ascii="Calibri" w:hAnsi="Calibri" w:cs="Calibri"/>
          <w:i/>
          <w:sz w:val="24"/>
          <w:szCs w:val="24"/>
        </w:rPr>
        <w:t xml:space="preserve">H v H </w:t>
      </w:r>
      <w:r w:rsidR="0015775F">
        <w:rPr>
          <w:rFonts w:ascii="Calibri" w:hAnsi="Calibri" w:cs="Calibri"/>
          <w:sz w:val="24"/>
          <w:szCs w:val="24"/>
        </w:rPr>
        <w:t xml:space="preserve">was </w:t>
      </w:r>
      <w:r w:rsidR="00116E17">
        <w:rPr>
          <w:rFonts w:ascii="Calibri" w:hAnsi="Calibri" w:cs="Calibri"/>
          <w:sz w:val="24"/>
          <w:szCs w:val="24"/>
        </w:rPr>
        <w:t xml:space="preserve">formally </w:t>
      </w:r>
      <w:r w:rsidR="0015775F">
        <w:rPr>
          <w:rFonts w:ascii="Calibri" w:hAnsi="Calibri" w:cs="Calibri"/>
          <w:sz w:val="24"/>
          <w:szCs w:val="24"/>
        </w:rPr>
        <w:t>only asked to deal with common law recognition of a pre-</w:t>
      </w:r>
      <w:r w:rsidR="0036072C">
        <w:rPr>
          <w:rFonts w:ascii="Calibri" w:hAnsi="Calibri" w:cs="Calibri"/>
          <w:sz w:val="24"/>
          <w:szCs w:val="24"/>
        </w:rPr>
        <w:t>1986 Act divorce, it is conceivable</w:t>
      </w:r>
      <w:r w:rsidR="0015775F">
        <w:rPr>
          <w:rFonts w:ascii="Calibri" w:hAnsi="Calibri" w:cs="Calibri"/>
          <w:sz w:val="24"/>
          <w:szCs w:val="24"/>
        </w:rPr>
        <w:t xml:space="preserve"> that a case concerning a post-1986 Act divorce might yet come before the </w:t>
      </w:r>
      <w:r w:rsidR="00295C07">
        <w:rPr>
          <w:rFonts w:ascii="Calibri" w:hAnsi="Calibri" w:cs="Calibri"/>
          <w:sz w:val="24"/>
          <w:szCs w:val="24"/>
        </w:rPr>
        <w:t>court</w:t>
      </w:r>
      <w:r w:rsidR="0015775F">
        <w:rPr>
          <w:rFonts w:ascii="Calibri" w:hAnsi="Calibri" w:cs="Calibri"/>
          <w:sz w:val="24"/>
          <w:szCs w:val="24"/>
        </w:rPr>
        <w:t xml:space="preserve"> (although the majority judgments in </w:t>
      </w:r>
      <w:r w:rsidR="0015775F" w:rsidRPr="003769EA">
        <w:rPr>
          <w:rFonts w:ascii="Calibri" w:hAnsi="Calibri" w:cs="Calibri"/>
          <w:i/>
          <w:sz w:val="24"/>
          <w:szCs w:val="24"/>
        </w:rPr>
        <w:t>H v H</w:t>
      </w:r>
      <w:r w:rsidR="0015775F">
        <w:rPr>
          <w:rFonts w:ascii="Calibri" w:hAnsi="Calibri" w:cs="Calibri"/>
          <w:sz w:val="24"/>
          <w:szCs w:val="24"/>
        </w:rPr>
        <w:t xml:space="preserve"> would certainly not provide any encouragement for such</w:t>
      </w:r>
      <w:r w:rsidR="0067141B">
        <w:rPr>
          <w:rFonts w:ascii="Calibri" w:hAnsi="Calibri" w:cs="Calibri"/>
          <w:sz w:val="24"/>
          <w:szCs w:val="24"/>
        </w:rPr>
        <w:t xml:space="preserve"> an action).</w:t>
      </w:r>
      <w:r w:rsidR="0015775F">
        <w:rPr>
          <w:rFonts w:ascii="Calibri" w:hAnsi="Calibri" w:cs="Calibri"/>
          <w:sz w:val="24"/>
          <w:szCs w:val="24"/>
        </w:rPr>
        <w:t xml:space="preserve"> </w:t>
      </w:r>
      <w:r w:rsidR="0067141B">
        <w:rPr>
          <w:rFonts w:ascii="Calibri" w:hAnsi="Calibri" w:cs="Calibri"/>
          <w:sz w:val="24"/>
          <w:szCs w:val="24"/>
        </w:rPr>
        <w:t>It is also possible that the jurisprudence of the European Court of Human Rights on cross-border status recognition might develop further, and this might</w:t>
      </w:r>
      <w:r w:rsidR="003769EA">
        <w:rPr>
          <w:rFonts w:ascii="Calibri" w:hAnsi="Calibri" w:cs="Calibri"/>
          <w:sz w:val="24"/>
          <w:szCs w:val="24"/>
        </w:rPr>
        <w:t xml:space="preserve"> allow the courts to revisit</w:t>
      </w:r>
      <w:r w:rsidR="0067141B">
        <w:rPr>
          <w:rFonts w:ascii="Calibri" w:hAnsi="Calibri" w:cs="Calibri"/>
          <w:sz w:val="24"/>
          <w:szCs w:val="24"/>
        </w:rPr>
        <w:t xml:space="preserve"> </w:t>
      </w:r>
      <w:r w:rsidR="0067141B" w:rsidRPr="004B223E">
        <w:rPr>
          <w:rFonts w:ascii="Calibri" w:hAnsi="Calibri" w:cs="Calibri"/>
          <w:i/>
          <w:sz w:val="24"/>
          <w:szCs w:val="24"/>
        </w:rPr>
        <w:t>H v H</w:t>
      </w:r>
      <w:r w:rsidR="0067141B">
        <w:rPr>
          <w:rFonts w:ascii="Calibri" w:hAnsi="Calibri" w:cs="Calibri"/>
          <w:sz w:val="24"/>
          <w:szCs w:val="24"/>
        </w:rPr>
        <w:t>. Equally</w:t>
      </w:r>
      <w:r w:rsidR="003769EA">
        <w:rPr>
          <w:rFonts w:ascii="Calibri" w:hAnsi="Calibri" w:cs="Calibri"/>
          <w:sz w:val="24"/>
          <w:szCs w:val="24"/>
        </w:rPr>
        <w:t>,</w:t>
      </w:r>
      <w:r w:rsidR="0067141B">
        <w:rPr>
          <w:rFonts w:ascii="Calibri" w:hAnsi="Calibri" w:cs="Calibri"/>
          <w:sz w:val="24"/>
          <w:szCs w:val="24"/>
        </w:rPr>
        <w:t xml:space="preserve"> if it were recognised </w:t>
      </w:r>
      <w:r w:rsidR="004B223E">
        <w:rPr>
          <w:rFonts w:ascii="Calibri" w:hAnsi="Calibri" w:cs="Calibri"/>
          <w:sz w:val="24"/>
          <w:szCs w:val="24"/>
        </w:rPr>
        <w:t xml:space="preserve">by the European Court of Human Rights </w:t>
      </w:r>
      <w:r w:rsidR="008B5C2C">
        <w:rPr>
          <w:rFonts w:ascii="Calibri" w:hAnsi="Calibri" w:cs="Calibri"/>
          <w:sz w:val="24"/>
          <w:szCs w:val="24"/>
        </w:rPr>
        <w:t>that art.</w:t>
      </w:r>
      <w:r w:rsidR="0067141B">
        <w:rPr>
          <w:rFonts w:ascii="Calibri" w:hAnsi="Calibri" w:cs="Calibri"/>
          <w:sz w:val="24"/>
          <w:szCs w:val="24"/>
        </w:rPr>
        <w:t xml:space="preserve"> 12 ECHR guarantees a right o</w:t>
      </w:r>
      <w:r w:rsidR="004B223E">
        <w:rPr>
          <w:rFonts w:ascii="Calibri" w:hAnsi="Calibri" w:cs="Calibri"/>
          <w:sz w:val="24"/>
          <w:szCs w:val="24"/>
        </w:rPr>
        <w:t xml:space="preserve">f </w:t>
      </w:r>
      <w:proofErr w:type="gramStart"/>
      <w:r w:rsidR="004B223E">
        <w:rPr>
          <w:rFonts w:ascii="Calibri" w:hAnsi="Calibri" w:cs="Calibri"/>
          <w:sz w:val="24"/>
          <w:szCs w:val="24"/>
        </w:rPr>
        <w:t>divo</w:t>
      </w:r>
      <w:r w:rsidR="003769EA">
        <w:rPr>
          <w:rFonts w:ascii="Calibri" w:hAnsi="Calibri" w:cs="Calibri"/>
          <w:sz w:val="24"/>
          <w:szCs w:val="24"/>
        </w:rPr>
        <w:t>rce,</w:t>
      </w:r>
      <w:proofErr w:type="gramEnd"/>
      <w:r w:rsidR="003769EA">
        <w:rPr>
          <w:rFonts w:ascii="Calibri" w:hAnsi="Calibri" w:cs="Calibri"/>
          <w:sz w:val="24"/>
          <w:szCs w:val="24"/>
        </w:rPr>
        <w:t xml:space="preserve"> this might propel a review of Irish recognition policy.</w:t>
      </w:r>
      <w:r w:rsidR="00DA0A0B" w:rsidRPr="00DA0A0B">
        <w:rPr>
          <w:rStyle w:val="FootnoteReference"/>
          <w:rFonts w:ascii="Calibri" w:hAnsi="Calibri" w:cs="Calibri"/>
          <w:sz w:val="24"/>
          <w:szCs w:val="24"/>
        </w:rPr>
        <w:t xml:space="preserve"> </w:t>
      </w:r>
      <w:r w:rsidR="00DA0A0B">
        <w:rPr>
          <w:rStyle w:val="FootnoteReference"/>
          <w:rFonts w:ascii="Calibri" w:hAnsi="Calibri" w:cs="Calibri"/>
          <w:sz w:val="24"/>
          <w:szCs w:val="24"/>
        </w:rPr>
        <w:footnoteReference w:id="71"/>
      </w:r>
      <w:r w:rsidR="0067141B">
        <w:rPr>
          <w:rFonts w:ascii="Calibri" w:hAnsi="Calibri" w:cs="Calibri"/>
          <w:sz w:val="24"/>
          <w:szCs w:val="24"/>
        </w:rPr>
        <w:t xml:space="preserve"> </w:t>
      </w:r>
      <w:r w:rsidR="0015775F">
        <w:rPr>
          <w:rFonts w:ascii="Calibri" w:hAnsi="Calibri" w:cs="Calibri"/>
          <w:sz w:val="24"/>
          <w:szCs w:val="24"/>
        </w:rPr>
        <w:t xml:space="preserve">    </w:t>
      </w:r>
    </w:p>
    <w:p w:rsidR="00D94E5C" w:rsidRDefault="00D94E5C"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A22D13" w:rsidRDefault="00A22D13" w:rsidP="00883B96">
      <w:pPr>
        <w:jc w:val="both"/>
        <w:rPr>
          <w:rFonts w:ascii="Calibri" w:hAnsi="Calibri" w:cs="Calibri"/>
          <w:sz w:val="24"/>
          <w:szCs w:val="24"/>
        </w:rPr>
      </w:pPr>
    </w:p>
    <w:p w:rsidR="0055008C" w:rsidRPr="00E25C19" w:rsidRDefault="0055008C" w:rsidP="00825B97">
      <w:pPr>
        <w:spacing w:line="240" w:lineRule="auto"/>
        <w:jc w:val="both"/>
        <w:rPr>
          <w:rFonts w:ascii="Calibri" w:hAnsi="Calibri" w:cs="Calibri"/>
          <w:sz w:val="24"/>
          <w:szCs w:val="24"/>
        </w:rPr>
      </w:pPr>
    </w:p>
    <w:sectPr w:rsidR="0055008C" w:rsidRPr="00E25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83" w:rsidRDefault="00656B83" w:rsidP="00AF2CAA">
      <w:pPr>
        <w:spacing w:after="0" w:line="240" w:lineRule="auto"/>
      </w:pPr>
      <w:r>
        <w:separator/>
      </w:r>
    </w:p>
  </w:endnote>
  <w:endnote w:type="continuationSeparator" w:id="0">
    <w:p w:rsidR="00656B83" w:rsidRDefault="00656B83" w:rsidP="00AF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83" w:rsidRDefault="00656B83" w:rsidP="00AF2CAA">
      <w:pPr>
        <w:spacing w:after="0" w:line="240" w:lineRule="auto"/>
      </w:pPr>
      <w:r>
        <w:separator/>
      </w:r>
    </w:p>
  </w:footnote>
  <w:footnote w:type="continuationSeparator" w:id="0">
    <w:p w:rsidR="00656B83" w:rsidRDefault="00656B83" w:rsidP="00AF2CAA">
      <w:pPr>
        <w:spacing w:after="0" w:line="240" w:lineRule="auto"/>
      </w:pPr>
      <w:r>
        <w:continuationSeparator/>
      </w:r>
    </w:p>
  </w:footnote>
  <w:footnote w:id="1">
    <w:p w:rsidR="00BC5DA1" w:rsidRPr="00BC5DA1" w:rsidRDefault="000925EA" w:rsidP="00D7700E">
      <w:pPr>
        <w:pStyle w:val="FootnoteText"/>
        <w:jc w:val="both"/>
        <w:rPr>
          <w:b/>
        </w:rPr>
      </w:pPr>
      <w:r>
        <w:rPr>
          <w:b/>
        </w:rPr>
        <w:t>*Assistant Professor</w:t>
      </w:r>
      <w:r w:rsidR="00BC5DA1" w:rsidRPr="00BC5DA1">
        <w:rPr>
          <w:b/>
        </w:rPr>
        <w:t xml:space="preserve">, </w:t>
      </w:r>
      <w:r>
        <w:rPr>
          <w:b/>
        </w:rPr>
        <w:t xml:space="preserve">Sutherland School of Law, </w:t>
      </w:r>
      <w:bookmarkStart w:id="0" w:name="_GoBack"/>
      <w:bookmarkEnd w:id="0"/>
      <w:r w:rsidR="00BC5DA1" w:rsidRPr="00BC5DA1">
        <w:rPr>
          <w:b/>
        </w:rPr>
        <w:t xml:space="preserve">University College Dublin. </w:t>
      </w:r>
      <w:r w:rsidR="00BC5DA1">
        <w:rPr>
          <w:b/>
        </w:rPr>
        <w:t xml:space="preserve">This article was subsequently published in (2017) 57 </w:t>
      </w:r>
      <w:r w:rsidR="00BC5DA1" w:rsidRPr="00BC5DA1">
        <w:rPr>
          <w:b/>
          <w:i/>
        </w:rPr>
        <w:t>Irish Jurist</w:t>
      </w:r>
      <w:r w:rsidR="00BC5DA1">
        <w:rPr>
          <w:b/>
        </w:rPr>
        <w:t xml:space="preserve"> 162. This version is made available to readers for private research and study only.</w:t>
      </w:r>
    </w:p>
    <w:p w:rsidR="00C52F27" w:rsidRPr="00A25F2B" w:rsidRDefault="00C52F27" w:rsidP="00D7700E">
      <w:pPr>
        <w:pStyle w:val="FootnoteText"/>
        <w:jc w:val="both"/>
      </w:pPr>
      <w:r w:rsidRPr="00A25F2B">
        <w:rPr>
          <w:rStyle w:val="FootnoteReference"/>
        </w:rPr>
        <w:footnoteRef/>
      </w:r>
      <w:r w:rsidR="008B5C2C">
        <w:t xml:space="preserve"> S.</w:t>
      </w:r>
      <w:r w:rsidRPr="00A25F2B">
        <w:t xml:space="preserve"> 39(1) Family Law (Divorce) Act 1996.</w:t>
      </w:r>
    </w:p>
  </w:footnote>
  <w:footnote w:id="2">
    <w:p w:rsidR="0086582D" w:rsidRPr="00A25F2B" w:rsidRDefault="0086582D" w:rsidP="00D7700E">
      <w:pPr>
        <w:pStyle w:val="FootnoteText"/>
        <w:jc w:val="both"/>
      </w:pPr>
      <w:r w:rsidRPr="00A25F2B">
        <w:rPr>
          <w:rStyle w:val="FootnoteReference"/>
        </w:rPr>
        <w:footnoteRef/>
      </w:r>
      <w:r w:rsidRPr="00A25F2B">
        <w:t xml:space="preserve"> </w:t>
      </w:r>
      <w:proofErr w:type="spellStart"/>
      <w:r w:rsidR="007D0387" w:rsidRPr="00A25F2B">
        <w:rPr>
          <w:i/>
        </w:rPr>
        <w:t>McG</w:t>
      </w:r>
      <w:proofErr w:type="spellEnd"/>
      <w:r w:rsidR="007D0387" w:rsidRPr="00A25F2B">
        <w:rPr>
          <w:i/>
        </w:rPr>
        <w:t xml:space="preserve"> v W</w:t>
      </w:r>
      <w:r w:rsidRPr="00A25F2B">
        <w:rPr>
          <w:i/>
        </w:rPr>
        <w:t xml:space="preserve"> </w:t>
      </w:r>
      <w:r w:rsidRPr="00A25F2B">
        <w:t>[2000] 1 I.R. 96.</w:t>
      </w:r>
    </w:p>
  </w:footnote>
  <w:footnote w:id="3">
    <w:p w:rsidR="0072187C" w:rsidRPr="0072187C" w:rsidRDefault="0072187C" w:rsidP="00D7700E">
      <w:pPr>
        <w:pStyle w:val="FootnoteText"/>
        <w:jc w:val="both"/>
        <w:rPr>
          <w:lang w:val="en-IE"/>
        </w:rPr>
      </w:pPr>
      <w:r>
        <w:rPr>
          <w:rStyle w:val="FootnoteReference"/>
        </w:rPr>
        <w:footnoteRef/>
      </w:r>
      <w:r>
        <w:t xml:space="preserve"> </w:t>
      </w:r>
      <w:r>
        <w:rPr>
          <w:lang w:val="en-IE"/>
        </w:rPr>
        <w:t xml:space="preserve">See Hill, “The Recognition of Foreign Divorces in Ireland: The Return of </w:t>
      </w:r>
      <w:r w:rsidRPr="004722EB">
        <w:rPr>
          <w:i/>
          <w:lang w:val="en-IE"/>
        </w:rPr>
        <w:t>Travers v Holley</w:t>
      </w:r>
      <w:r>
        <w:rPr>
          <w:lang w:val="en-IE"/>
        </w:rPr>
        <w:t>” (2001) 50</w:t>
      </w:r>
      <w:r w:rsidRPr="00627005">
        <w:rPr>
          <w:i/>
          <w:lang w:val="en-IE"/>
        </w:rPr>
        <w:t xml:space="preserve"> International and Comparative Law Quarterly</w:t>
      </w:r>
      <w:r>
        <w:rPr>
          <w:lang w:val="en-IE"/>
        </w:rPr>
        <w:t xml:space="preserve"> 144 at 150; Wardle, “International Marriage and Divorce Regulation and Recognition: a Survey” (1995) 29 </w:t>
      </w:r>
      <w:r w:rsidRPr="0072187C">
        <w:rPr>
          <w:i/>
          <w:lang w:val="en-IE"/>
        </w:rPr>
        <w:t>Family Law Quarterly</w:t>
      </w:r>
      <w:r>
        <w:rPr>
          <w:lang w:val="en-IE"/>
        </w:rPr>
        <w:t xml:space="preserve"> 497.</w:t>
      </w:r>
    </w:p>
  </w:footnote>
  <w:footnote w:id="4">
    <w:p w:rsidR="00D6472D" w:rsidRPr="00A25F2B" w:rsidRDefault="00D6472D" w:rsidP="00D7700E">
      <w:pPr>
        <w:pStyle w:val="FootnoteText"/>
        <w:jc w:val="both"/>
      </w:pPr>
      <w:r w:rsidRPr="00A25F2B">
        <w:rPr>
          <w:rStyle w:val="FootnoteReference"/>
        </w:rPr>
        <w:footnoteRef/>
      </w:r>
      <w:r w:rsidRPr="00A25F2B">
        <w:t xml:space="preserve"> At c</w:t>
      </w:r>
      <w:r w:rsidR="001473A2">
        <w:t>ommon law a person is normally “domiciled”</w:t>
      </w:r>
      <w:r w:rsidRPr="00A25F2B">
        <w:t xml:space="preserve"> in the country where he or she intends to reside in the longer term. Thus a person who resides in a particular country for the short or medium term, with the intention of leaving in the longer term, will not be domiciled there. For a detailed account of the differences</w:t>
      </w:r>
      <w:r w:rsidR="001473A2">
        <w:t xml:space="preserve"> between “domicile” and “residence”</w:t>
      </w:r>
      <w:r w:rsidR="00DA102B" w:rsidRPr="00A25F2B">
        <w:t xml:space="preserve">, see </w:t>
      </w:r>
      <w:r w:rsidRPr="00A25F2B">
        <w:t xml:space="preserve"> </w:t>
      </w:r>
      <w:r w:rsidR="00DA102B" w:rsidRPr="00A25F2B">
        <w:t xml:space="preserve">Hill and </w:t>
      </w:r>
      <w:proofErr w:type="spellStart"/>
      <w:r w:rsidR="00DA102B" w:rsidRPr="00A25F2B">
        <w:t>Ní</w:t>
      </w:r>
      <w:proofErr w:type="spellEnd"/>
      <w:r w:rsidR="00DA102B" w:rsidRPr="00A25F2B">
        <w:t xml:space="preserve"> </w:t>
      </w:r>
      <w:proofErr w:type="spellStart"/>
      <w:r w:rsidR="00DA102B" w:rsidRPr="00A25F2B">
        <w:t>Shúilleabháin</w:t>
      </w:r>
      <w:proofErr w:type="spellEnd"/>
      <w:r w:rsidR="00DA102B" w:rsidRPr="00A25F2B">
        <w:t xml:space="preserve">, </w:t>
      </w:r>
      <w:r w:rsidR="00DA102B" w:rsidRPr="00A25F2B">
        <w:rPr>
          <w:i/>
        </w:rPr>
        <w:t>Clarkson &amp; Hill’s Conflict of Laws</w:t>
      </w:r>
      <w:r w:rsidR="00DA102B" w:rsidRPr="00A25F2B">
        <w:t xml:space="preserve">, 5th </w:t>
      </w:r>
      <w:proofErr w:type="spellStart"/>
      <w:r w:rsidR="00DA102B" w:rsidRPr="00A25F2B">
        <w:t>edn</w:t>
      </w:r>
      <w:proofErr w:type="spellEnd"/>
      <w:r w:rsidR="00DA102B" w:rsidRPr="00A25F2B">
        <w:t xml:space="preserve"> (Oxford: Oxford University Press, 2016) 315-352.</w:t>
      </w:r>
    </w:p>
  </w:footnote>
  <w:footnote w:id="5">
    <w:p w:rsidR="0086582D" w:rsidRPr="00A25F2B" w:rsidRDefault="0086582D" w:rsidP="00D7700E">
      <w:pPr>
        <w:pStyle w:val="FootnoteText"/>
        <w:jc w:val="both"/>
      </w:pPr>
      <w:r w:rsidRPr="00A25F2B">
        <w:rPr>
          <w:rStyle w:val="FootnoteReference"/>
        </w:rPr>
        <w:footnoteRef/>
      </w:r>
      <w:r w:rsidRPr="00A25F2B">
        <w:t xml:space="preserve"> </w:t>
      </w:r>
      <w:r w:rsidR="007D0387" w:rsidRPr="00A25F2B">
        <w:rPr>
          <w:i/>
        </w:rPr>
        <w:t>MEC v JAC</w:t>
      </w:r>
      <w:r w:rsidRPr="00A25F2B">
        <w:t xml:space="preserve"> [2001] 2 I.R. 399.</w:t>
      </w:r>
    </w:p>
  </w:footnote>
  <w:footnote w:id="6">
    <w:p w:rsidR="0086582D" w:rsidRPr="00A25F2B" w:rsidRDefault="0086582D" w:rsidP="00D7700E">
      <w:pPr>
        <w:pStyle w:val="FootnoteText"/>
        <w:jc w:val="both"/>
      </w:pPr>
      <w:r w:rsidRPr="00A25F2B">
        <w:rPr>
          <w:rStyle w:val="FootnoteReference"/>
        </w:rPr>
        <w:footnoteRef/>
      </w:r>
      <w:r w:rsidRPr="00A25F2B">
        <w:t xml:space="preserve"> </w:t>
      </w:r>
      <w:r w:rsidR="007D0387" w:rsidRPr="00A25F2B">
        <w:rPr>
          <w:i/>
        </w:rPr>
        <w:t>H v H</w:t>
      </w:r>
      <w:r w:rsidRPr="00A25F2B">
        <w:t xml:space="preserve"> [2015] 1 I.L.R.M. 453.</w:t>
      </w:r>
    </w:p>
  </w:footnote>
  <w:footnote w:id="7">
    <w:p w:rsidR="002F1987" w:rsidRDefault="002F1987" w:rsidP="00D7700E">
      <w:pPr>
        <w:pStyle w:val="FootnoteText"/>
        <w:jc w:val="both"/>
      </w:pPr>
      <w:r>
        <w:rPr>
          <w:rStyle w:val="FootnoteReference"/>
        </w:rPr>
        <w:footnoteRef/>
      </w:r>
      <w:r>
        <w:t xml:space="preserve"> Council Regulation (EC) No 2201/2003 of 27 November 2003 concerning jurisdiction and the recognition and enforcement of judgments in matrimonial matters and the matters of parental responsibility, repealing Regulation (EC) No 1347/2000 [2003] OJ L338/1.</w:t>
      </w:r>
    </w:p>
  </w:footnote>
  <w:footnote w:id="8">
    <w:p w:rsidR="0086582D" w:rsidRPr="00A25F2B" w:rsidRDefault="0086582D" w:rsidP="00D7700E">
      <w:pPr>
        <w:pStyle w:val="FootnoteText"/>
        <w:jc w:val="both"/>
      </w:pPr>
      <w:r w:rsidRPr="00A25F2B">
        <w:rPr>
          <w:rStyle w:val="FootnoteReference"/>
        </w:rPr>
        <w:footnoteRef/>
      </w:r>
      <w:r w:rsidRPr="00A25F2B">
        <w:t xml:space="preserve"> </w:t>
      </w:r>
      <w:r w:rsidR="007D0387" w:rsidRPr="00A25F2B">
        <w:rPr>
          <w:i/>
        </w:rPr>
        <w:t>H v H</w:t>
      </w:r>
      <w:r w:rsidR="009E2696" w:rsidRPr="00A25F2B">
        <w:t xml:space="preserve"> [2015] 1 I.L.R.M. 453 at 479</w:t>
      </w:r>
      <w:r w:rsidRPr="00A25F2B">
        <w:t>, 485</w:t>
      </w:r>
      <w:r w:rsidR="009E2696" w:rsidRPr="00A25F2B">
        <w:t>, 489</w:t>
      </w:r>
      <w:r w:rsidRPr="00A25F2B">
        <w:t>.</w:t>
      </w:r>
    </w:p>
  </w:footnote>
  <w:footnote w:id="9">
    <w:p w:rsidR="0086582D" w:rsidRPr="00A25F2B" w:rsidRDefault="0086582D" w:rsidP="00D7700E">
      <w:pPr>
        <w:pStyle w:val="FootnoteText"/>
        <w:jc w:val="both"/>
      </w:pPr>
      <w:r w:rsidRPr="00A25F2B">
        <w:rPr>
          <w:rStyle w:val="FootnoteReference"/>
        </w:rPr>
        <w:footnoteRef/>
      </w:r>
      <w:r w:rsidRPr="00A25F2B">
        <w:t xml:space="preserve"> </w:t>
      </w:r>
      <w:r w:rsidR="007D0387" w:rsidRPr="00A25F2B">
        <w:rPr>
          <w:i/>
        </w:rPr>
        <w:t>H v H</w:t>
      </w:r>
      <w:r w:rsidRPr="00A25F2B">
        <w:t xml:space="preserve"> [2015] 1 I.L.R.M. 453 at 478 and 485.</w:t>
      </w:r>
    </w:p>
  </w:footnote>
  <w:footnote w:id="10">
    <w:p w:rsidR="007202A5" w:rsidRPr="00A25F2B" w:rsidRDefault="007202A5" w:rsidP="00D7700E">
      <w:pPr>
        <w:pStyle w:val="FootnoteText"/>
        <w:jc w:val="both"/>
      </w:pPr>
      <w:r w:rsidRPr="00A25F2B">
        <w:rPr>
          <w:rStyle w:val="FootnoteReference"/>
        </w:rPr>
        <w:footnoteRef/>
      </w:r>
      <w:r w:rsidRPr="00A25F2B">
        <w:t xml:space="preserve"> </w:t>
      </w:r>
      <w:r w:rsidR="00521357" w:rsidRPr="00A25F2B">
        <w:rPr>
          <w:i/>
        </w:rPr>
        <w:t>H v H</w:t>
      </w:r>
      <w:r w:rsidRPr="00A25F2B">
        <w:t xml:space="preserve"> [2015] 1 I.L.R.M. 453 at 488-489.</w:t>
      </w:r>
    </w:p>
  </w:footnote>
  <w:footnote w:id="11">
    <w:p w:rsidR="007202A5" w:rsidRPr="00A25F2B" w:rsidRDefault="007202A5" w:rsidP="00D7700E">
      <w:pPr>
        <w:pStyle w:val="FootnoteText"/>
        <w:jc w:val="both"/>
      </w:pPr>
      <w:r w:rsidRPr="00A25F2B">
        <w:rPr>
          <w:rStyle w:val="FootnoteReference"/>
        </w:rPr>
        <w:footnoteRef/>
      </w:r>
      <w:r w:rsidRPr="00A25F2B">
        <w:t xml:space="preserve"> </w:t>
      </w:r>
      <w:proofErr w:type="gramStart"/>
      <w:r w:rsidR="00521357" w:rsidRPr="00A25F2B">
        <w:rPr>
          <w:i/>
        </w:rPr>
        <w:t>H v H</w:t>
      </w:r>
      <w:r w:rsidRPr="00A25F2B">
        <w:t xml:space="preserve"> [2015] 1 I.L.R.M. 453 at 488.</w:t>
      </w:r>
      <w:proofErr w:type="gramEnd"/>
      <w:r w:rsidR="001473A2" w:rsidRPr="001473A2">
        <w:t xml:space="preserve"> </w:t>
      </w:r>
      <w:r w:rsidR="001473A2">
        <w:t xml:space="preserve">See also </w:t>
      </w:r>
      <w:proofErr w:type="spellStart"/>
      <w:r w:rsidR="001473A2">
        <w:t>Ní</w:t>
      </w:r>
      <w:proofErr w:type="spellEnd"/>
      <w:r w:rsidR="001473A2">
        <w:t xml:space="preserve"> </w:t>
      </w:r>
      <w:proofErr w:type="spellStart"/>
      <w:r w:rsidR="001473A2">
        <w:t>Shúilleabháin</w:t>
      </w:r>
      <w:proofErr w:type="spellEnd"/>
      <w:r w:rsidR="001473A2">
        <w:t xml:space="preserve">, “Marriage, Divorce and Stagnation in the Irish Conflict of Laws” (2014) 50 </w:t>
      </w:r>
      <w:r w:rsidR="001473A2" w:rsidRPr="00A56438">
        <w:rPr>
          <w:i/>
        </w:rPr>
        <w:t>Irish Jurist</w:t>
      </w:r>
      <w:r w:rsidR="001473A2">
        <w:t xml:space="preserve"> 68 arguing that Brussels II </w:t>
      </w:r>
      <w:proofErr w:type="spellStart"/>
      <w:r w:rsidR="001473A2" w:rsidRPr="001473A2">
        <w:rPr>
          <w:i/>
        </w:rPr>
        <w:t>bis</w:t>
      </w:r>
      <w:proofErr w:type="spellEnd"/>
      <w:r w:rsidR="001473A2">
        <w:t xml:space="preserve"> swept away any remaining rational basis for restrictive common law divorce recognition rules. </w:t>
      </w:r>
    </w:p>
  </w:footnote>
  <w:footnote w:id="12">
    <w:p w:rsidR="0086582D" w:rsidRPr="00A25F2B" w:rsidRDefault="0086582D" w:rsidP="00D7700E">
      <w:pPr>
        <w:pStyle w:val="FootnoteText"/>
        <w:jc w:val="both"/>
      </w:pPr>
      <w:r w:rsidRPr="00A25F2B">
        <w:rPr>
          <w:rStyle w:val="FootnoteReference"/>
        </w:rPr>
        <w:footnoteRef/>
      </w:r>
      <w:r w:rsidRPr="00A25F2B">
        <w:t xml:space="preserve"> </w:t>
      </w:r>
      <w:proofErr w:type="spellStart"/>
      <w:proofErr w:type="gramStart"/>
      <w:r w:rsidRPr="00A25F2B">
        <w:rPr>
          <w:i/>
        </w:rPr>
        <w:t>Indyka</w:t>
      </w:r>
      <w:proofErr w:type="spellEnd"/>
      <w:r w:rsidRPr="00A25F2B">
        <w:rPr>
          <w:i/>
        </w:rPr>
        <w:t xml:space="preserve"> v </w:t>
      </w:r>
      <w:proofErr w:type="spellStart"/>
      <w:r w:rsidRPr="00A25F2B">
        <w:rPr>
          <w:i/>
        </w:rPr>
        <w:t>Indyka</w:t>
      </w:r>
      <w:proofErr w:type="spellEnd"/>
      <w:r w:rsidRPr="00A25F2B">
        <w:rPr>
          <w:i/>
        </w:rPr>
        <w:t xml:space="preserve"> </w:t>
      </w:r>
      <w:r w:rsidRPr="00A25F2B">
        <w:t>[1969] 1 A.C. 33.</w:t>
      </w:r>
      <w:proofErr w:type="gramEnd"/>
    </w:p>
  </w:footnote>
  <w:footnote w:id="13">
    <w:p w:rsidR="0086582D" w:rsidRPr="00A25F2B" w:rsidRDefault="0086582D" w:rsidP="00D7700E">
      <w:pPr>
        <w:pStyle w:val="FootnoteText"/>
        <w:jc w:val="both"/>
      </w:pPr>
      <w:r w:rsidRPr="00A25F2B">
        <w:rPr>
          <w:rStyle w:val="FootnoteReference"/>
        </w:rPr>
        <w:footnoteRef/>
      </w:r>
      <w:r w:rsidRPr="00A25F2B">
        <w:t xml:space="preserve"> </w:t>
      </w:r>
      <w:r w:rsidRPr="00A25F2B">
        <w:rPr>
          <w:i/>
        </w:rPr>
        <w:t>Travers v Holley</w:t>
      </w:r>
      <w:r w:rsidRPr="00A25F2B">
        <w:t xml:space="preserve"> [1953] P. 246.</w:t>
      </w:r>
    </w:p>
  </w:footnote>
  <w:footnote w:id="14">
    <w:p w:rsidR="0086582D" w:rsidRPr="00A25F2B" w:rsidRDefault="0086582D" w:rsidP="00D7700E">
      <w:pPr>
        <w:pStyle w:val="FootnoteText"/>
        <w:jc w:val="both"/>
      </w:pPr>
      <w:r w:rsidRPr="00A25F2B">
        <w:rPr>
          <w:rStyle w:val="FootnoteReference"/>
        </w:rPr>
        <w:footnoteRef/>
      </w:r>
      <w:r w:rsidRPr="00A25F2B">
        <w:t xml:space="preserve"> </w:t>
      </w:r>
      <w:proofErr w:type="gramStart"/>
      <w:r w:rsidR="00521357" w:rsidRPr="00A25F2B">
        <w:rPr>
          <w:i/>
        </w:rPr>
        <w:t>W v W</w:t>
      </w:r>
      <w:r w:rsidR="00CD6717">
        <w:t xml:space="preserve"> [1993] 2 I.R. 476, as applied in </w:t>
      </w:r>
      <w:r w:rsidR="00CD6717" w:rsidRPr="00A25F2B">
        <w:rPr>
          <w:i/>
        </w:rPr>
        <w:t>MEC v JAC</w:t>
      </w:r>
      <w:r w:rsidR="00CD6717" w:rsidRPr="00A25F2B">
        <w:t xml:space="preserve"> [2001] 2 I.R. 399.</w:t>
      </w:r>
      <w:proofErr w:type="gramEnd"/>
    </w:p>
  </w:footnote>
  <w:footnote w:id="15">
    <w:p w:rsidR="0086582D" w:rsidRPr="00A25F2B" w:rsidRDefault="0086582D" w:rsidP="00D7700E">
      <w:pPr>
        <w:pStyle w:val="FootnoteText"/>
        <w:jc w:val="both"/>
      </w:pPr>
      <w:r w:rsidRPr="00A25F2B">
        <w:rPr>
          <w:rStyle w:val="FootnoteReference"/>
        </w:rPr>
        <w:footnoteRef/>
      </w:r>
      <w:r w:rsidRPr="00A25F2B">
        <w:t xml:space="preserve"> </w:t>
      </w:r>
      <w:proofErr w:type="gramStart"/>
      <w:r w:rsidRPr="00A25F2B">
        <w:t>The date of coming into force of the Domicile and Recogniti</w:t>
      </w:r>
      <w:r w:rsidR="00521357" w:rsidRPr="00A25F2B">
        <w:t>on of Foreign Divorces Act 1986</w:t>
      </w:r>
      <w:r w:rsidRPr="00A25F2B">
        <w:t>.</w:t>
      </w:r>
      <w:proofErr w:type="gramEnd"/>
    </w:p>
  </w:footnote>
  <w:footnote w:id="16">
    <w:p w:rsidR="000C5817" w:rsidRPr="00A25F2B" w:rsidRDefault="000C5817" w:rsidP="00D7700E">
      <w:pPr>
        <w:pStyle w:val="FootnoteText"/>
        <w:jc w:val="both"/>
      </w:pPr>
      <w:r w:rsidRPr="00A25F2B">
        <w:rPr>
          <w:rStyle w:val="FootnoteReference"/>
        </w:rPr>
        <w:footnoteRef/>
      </w:r>
      <w:r w:rsidRPr="00A25F2B">
        <w:t xml:space="preserve"> </w:t>
      </w:r>
      <w:proofErr w:type="spellStart"/>
      <w:r w:rsidR="00521357" w:rsidRPr="00A25F2B">
        <w:rPr>
          <w:i/>
        </w:rPr>
        <w:t>McG</w:t>
      </w:r>
      <w:proofErr w:type="spellEnd"/>
      <w:r w:rsidR="00521357" w:rsidRPr="00A25F2B">
        <w:rPr>
          <w:i/>
        </w:rPr>
        <w:t xml:space="preserve"> v W</w:t>
      </w:r>
      <w:r w:rsidRPr="00A25F2B">
        <w:rPr>
          <w:i/>
        </w:rPr>
        <w:t xml:space="preserve"> </w:t>
      </w:r>
      <w:r w:rsidRPr="00A25F2B">
        <w:t>[2000] 1 I.R. 96 at 98, 105.</w:t>
      </w:r>
    </w:p>
  </w:footnote>
  <w:footnote w:id="17">
    <w:p w:rsidR="008206D7" w:rsidRPr="00A25F2B" w:rsidRDefault="008206D7" w:rsidP="00D7700E">
      <w:pPr>
        <w:pStyle w:val="FootnoteText"/>
        <w:jc w:val="both"/>
      </w:pPr>
      <w:r w:rsidRPr="00A25F2B">
        <w:rPr>
          <w:rStyle w:val="FootnoteReference"/>
        </w:rPr>
        <w:footnoteRef/>
      </w:r>
      <w:r w:rsidRPr="00A25F2B">
        <w:t xml:space="preserve"> </w:t>
      </w:r>
      <w:proofErr w:type="spellStart"/>
      <w:r w:rsidRPr="00A25F2B">
        <w:rPr>
          <w:i/>
        </w:rPr>
        <w:t>McG</w:t>
      </w:r>
      <w:proofErr w:type="spellEnd"/>
      <w:r w:rsidRPr="00A25F2B">
        <w:rPr>
          <w:i/>
        </w:rPr>
        <w:t xml:space="preserve"> v W </w:t>
      </w:r>
      <w:r w:rsidRPr="00A25F2B">
        <w:t>[2000] 1 I.R. 96 at 103-105.</w:t>
      </w:r>
    </w:p>
  </w:footnote>
  <w:footnote w:id="18">
    <w:p w:rsidR="00051A89" w:rsidRPr="00A25F2B" w:rsidRDefault="00051A89" w:rsidP="00D7700E">
      <w:pPr>
        <w:pStyle w:val="FootnoteText"/>
        <w:jc w:val="both"/>
      </w:pPr>
      <w:r w:rsidRPr="00A25F2B">
        <w:rPr>
          <w:rStyle w:val="FootnoteReference"/>
        </w:rPr>
        <w:footnoteRef/>
      </w:r>
      <w:r w:rsidRPr="00A25F2B">
        <w:t xml:space="preserve"> </w:t>
      </w:r>
      <w:r w:rsidRPr="00A25F2B">
        <w:rPr>
          <w:i/>
        </w:rPr>
        <w:t>Travers v Holley</w:t>
      </w:r>
      <w:r w:rsidRPr="00A25F2B">
        <w:t xml:space="preserve"> [1953] P. 246 at 251.</w:t>
      </w:r>
    </w:p>
  </w:footnote>
  <w:footnote w:id="19">
    <w:p w:rsidR="0086582D" w:rsidRPr="00A25F2B" w:rsidRDefault="0086582D" w:rsidP="00D7700E">
      <w:pPr>
        <w:pStyle w:val="FootnoteText"/>
        <w:jc w:val="both"/>
      </w:pPr>
      <w:r w:rsidRPr="00A25F2B">
        <w:rPr>
          <w:rStyle w:val="FootnoteReference"/>
        </w:rPr>
        <w:footnoteRef/>
      </w:r>
      <w:r w:rsidRPr="00A25F2B">
        <w:t xml:space="preserve"> </w:t>
      </w:r>
      <w:proofErr w:type="spellStart"/>
      <w:r w:rsidR="00521357" w:rsidRPr="00A25F2B">
        <w:rPr>
          <w:i/>
        </w:rPr>
        <w:t>McG</w:t>
      </w:r>
      <w:proofErr w:type="spellEnd"/>
      <w:r w:rsidR="00521357" w:rsidRPr="00A25F2B">
        <w:rPr>
          <w:i/>
        </w:rPr>
        <w:t xml:space="preserve"> v W </w:t>
      </w:r>
      <w:r w:rsidRPr="00A25F2B">
        <w:t>[2000] 1 I.R. 96 at 104-109.</w:t>
      </w:r>
    </w:p>
  </w:footnote>
  <w:footnote w:id="20">
    <w:p w:rsidR="00746B17" w:rsidRPr="00A25F2B" w:rsidRDefault="00746B17" w:rsidP="00D7700E">
      <w:pPr>
        <w:pStyle w:val="FootnoteText"/>
        <w:jc w:val="both"/>
      </w:pPr>
      <w:r w:rsidRPr="00A25F2B">
        <w:rPr>
          <w:rStyle w:val="FootnoteReference"/>
        </w:rPr>
        <w:footnoteRef/>
      </w:r>
      <w:r w:rsidRPr="00A25F2B">
        <w:t xml:space="preserve"> </w:t>
      </w:r>
      <w:proofErr w:type="spellStart"/>
      <w:r w:rsidRPr="00A25F2B">
        <w:rPr>
          <w:i/>
        </w:rPr>
        <w:t>Indyka</w:t>
      </w:r>
      <w:proofErr w:type="spellEnd"/>
      <w:r w:rsidRPr="00A25F2B">
        <w:rPr>
          <w:i/>
        </w:rPr>
        <w:t xml:space="preserve"> v </w:t>
      </w:r>
      <w:proofErr w:type="spellStart"/>
      <w:r w:rsidRPr="00A25F2B">
        <w:rPr>
          <w:i/>
        </w:rPr>
        <w:t>Indyka</w:t>
      </w:r>
      <w:proofErr w:type="spellEnd"/>
      <w:r w:rsidRPr="00A25F2B">
        <w:rPr>
          <w:i/>
        </w:rPr>
        <w:t xml:space="preserve"> </w:t>
      </w:r>
      <w:r w:rsidRPr="00A25F2B">
        <w:t>[1969] 1 A.C. 33.</w:t>
      </w:r>
    </w:p>
  </w:footnote>
  <w:footnote w:id="21">
    <w:p w:rsidR="0086582D" w:rsidRPr="00A25F2B" w:rsidRDefault="0086582D" w:rsidP="00D7700E">
      <w:pPr>
        <w:pStyle w:val="FootnoteText"/>
        <w:jc w:val="both"/>
      </w:pPr>
      <w:r w:rsidRPr="00A25F2B">
        <w:rPr>
          <w:rStyle w:val="FootnoteReference"/>
        </w:rPr>
        <w:footnoteRef/>
      </w:r>
      <w:r w:rsidRPr="00A25F2B">
        <w:t xml:space="preserve"> </w:t>
      </w:r>
      <w:proofErr w:type="spellStart"/>
      <w:r w:rsidR="00521357" w:rsidRPr="00A25F2B">
        <w:rPr>
          <w:i/>
        </w:rPr>
        <w:t>McG</w:t>
      </w:r>
      <w:proofErr w:type="spellEnd"/>
      <w:r w:rsidR="00521357" w:rsidRPr="00A25F2B">
        <w:rPr>
          <w:i/>
        </w:rPr>
        <w:t xml:space="preserve"> v W </w:t>
      </w:r>
      <w:r w:rsidRPr="00A25F2B">
        <w:t>[2000] 1 I.R. 96 at 106.</w:t>
      </w:r>
    </w:p>
  </w:footnote>
  <w:footnote w:id="22">
    <w:p w:rsidR="00345AC2" w:rsidRPr="00A25F2B" w:rsidRDefault="00345AC2" w:rsidP="00D7700E">
      <w:pPr>
        <w:pStyle w:val="FootnoteText"/>
        <w:jc w:val="both"/>
      </w:pPr>
      <w:r w:rsidRPr="00A25F2B">
        <w:rPr>
          <w:rStyle w:val="FootnoteReference"/>
        </w:rPr>
        <w:footnoteRef/>
      </w:r>
      <w:r w:rsidRPr="00A25F2B">
        <w:t xml:space="preserve"> </w:t>
      </w:r>
      <w:proofErr w:type="spellStart"/>
      <w:r w:rsidRPr="00A25F2B">
        <w:rPr>
          <w:i/>
        </w:rPr>
        <w:t>McG</w:t>
      </w:r>
      <w:proofErr w:type="spellEnd"/>
      <w:r w:rsidRPr="00A25F2B">
        <w:rPr>
          <w:i/>
        </w:rPr>
        <w:t xml:space="preserve"> v W </w:t>
      </w:r>
      <w:r w:rsidRPr="00A25F2B">
        <w:t>[2000] 1 I.R. 96 at 106.</w:t>
      </w:r>
    </w:p>
  </w:footnote>
  <w:footnote w:id="23">
    <w:p w:rsidR="0086582D" w:rsidRPr="00A25F2B" w:rsidRDefault="0086582D" w:rsidP="00D7700E">
      <w:pPr>
        <w:pStyle w:val="FootnoteText"/>
        <w:jc w:val="both"/>
      </w:pPr>
      <w:r w:rsidRPr="00A25F2B">
        <w:rPr>
          <w:rStyle w:val="FootnoteReference"/>
        </w:rPr>
        <w:footnoteRef/>
      </w:r>
      <w:r w:rsidRPr="00A25F2B">
        <w:t xml:space="preserve"> </w:t>
      </w:r>
      <w:proofErr w:type="spellStart"/>
      <w:r w:rsidR="00521357" w:rsidRPr="00A25F2B">
        <w:rPr>
          <w:i/>
        </w:rPr>
        <w:t>McG</w:t>
      </w:r>
      <w:proofErr w:type="spellEnd"/>
      <w:r w:rsidR="00521357" w:rsidRPr="00A25F2B">
        <w:rPr>
          <w:i/>
        </w:rPr>
        <w:t xml:space="preserve"> v W </w:t>
      </w:r>
      <w:r w:rsidRPr="00A25F2B">
        <w:t>[2000] 1 I.R. 96 at 106-107.</w:t>
      </w:r>
    </w:p>
  </w:footnote>
  <w:footnote w:id="24">
    <w:p w:rsidR="0086582D" w:rsidRPr="00A25F2B" w:rsidRDefault="0086582D" w:rsidP="00D7700E">
      <w:pPr>
        <w:pStyle w:val="FootnoteText"/>
        <w:jc w:val="both"/>
      </w:pPr>
      <w:r w:rsidRPr="00A25F2B">
        <w:rPr>
          <w:rStyle w:val="FootnoteReference"/>
        </w:rPr>
        <w:footnoteRef/>
      </w:r>
      <w:r w:rsidRPr="00A25F2B">
        <w:t xml:space="preserve"> </w:t>
      </w:r>
      <w:r w:rsidR="00521357" w:rsidRPr="00A25F2B">
        <w:rPr>
          <w:i/>
        </w:rPr>
        <w:t>H v H</w:t>
      </w:r>
      <w:r w:rsidRPr="00A25F2B">
        <w:t xml:space="preserve"> [2015] 1 I.L.R.M. 453 at 477.</w:t>
      </w:r>
    </w:p>
  </w:footnote>
  <w:footnote w:id="25">
    <w:p w:rsidR="0086582D" w:rsidRPr="00A25F2B" w:rsidRDefault="0086582D" w:rsidP="00D7700E">
      <w:pPr>
        <w:pStyle w:val="FootnoteText"/>
        <w:jc w:val="both"/>
      </w:pPr>
      <w:r w:rsidRPr="00A25F2B">
        <w:rPr>
          <w:rStyle w:val="FootnoteReference"/>
        </w:rPr>
        <w:footnoteRef/>
      </w:r>
      <w:r w:rsidRPr="00A25F2B">
        <w:t xml:space="preserve"> </w:t>
      </w:r>
      <w:r w:rsidR="00521357" w:rsidRPr="00A25F2B">
        <w:rPr>
          <w:i/>
        </w:rPr>
        <w:t>H v H</w:t>
      </w:r>
      <w:r w:rsidRPr="00A25F2B">
        <w:t xml:space="preserve"> [2015] 1 I.L.R.M. 453 at 462 referring to</w:t>
      </w:r>
      <w:r w:rsidRPr="00A25F2B">
        <w:rPr>
          <w:lang w:val="en-IE"/>
        </w:rPr>
        <w:t xml:space="preserve"> Law Reform Commission, </w:t>
      </w:r>
      <w:r w:rsidRPr="00A25F2B">
        <w:rPr>
          <w:i/>
          <w:lang w:val="en-IE"/>
        </w:rPr>
        <w:t>Report on Recognition of Foreign Divorces and Legal Separations</w:t>
      </w:r>
      <w:r w:rsidRPr="00A25F2B">
        <w:rPr>
          <w:lang w:val="en-IE"/>
        </w:rPr>
        <w:t xml:space="preserve"> (LRC 10-1985)</w:t>
      </w:r>
      <w:r w:rsidRPr="00A25F2B">
        <w:t>.</w:t>
      </w:r>
    </w:p>
  </w:footnote>
  <w:footnote w:id="26">
    <w:p w:rsidR="0086582D" w:rsidRPr="00A25F2B" w:rsidRDefault="0086582D" w:rsidP="00D7700E">
      <w:pPr>
        <w:pStyle w:val="FootnoteText"/>
        <w:jc w:val="both"/>
      </w:pPr>
      <w:r w:rsidRPr="00A25F2B">
        <w:rPr>
          <w:rStyle w:val="FootnoteReference"/>
        </w:rPr>
        <w:footnoteRef/>
      </w:r>
      <w:r w:rsidRPr="00A25F2B">
        <w:t xml:space="preserve"> </w:t>
      </w:r>
      <w:r w:rsidR="00FD66C3" w:rsidRPr="00A25F2B">
        <w:rPr>
          <w:i/>
        </w:rPr>
        <w:t>H v H</w:t>
      </w:r>
      <w:r w:rsidRPr="00A25F2B">
        <w:t xml:space="preserve"> [2015] 1 I.L.R.M. 453 at 464 (and 476) referring to</w:t>
      </w:r>
      <w:r w:rsidRPr="00A25F2B">
        <w:rPr>
          <w:i/>
        </w:rPr>
        <w:t xml:space="preserve"> </w:t>
      </w:r>
      <w:r w:rsidR="00FD66C3" w:rsidRPr="00A25F2B">
        <w:rPr>
          <w:i/>
        </w:rPr>
        <w:t>W v W</w:t>
      </w:r>
      <w:r w:rsidRPr="00A25F2B">
        <w:t xml:space="preserve"> [1993] 2 I.R. 476 at 505-506.</w:t>
      </w:r>
    </w:p>
  </w:footnote>
  <w:footnote w:id="27">
    <w:p w:rsidR="0086582D" w:rsidRPr="00A25F2B" w:rsidRDefault="0086582D" w:rsidP="00D7700E">
      <w:pPr>
        <w:pStyle w:val="FootnoteText"/>
        <w:jc w:val="both"/>
      </w:pPr>
      <w:r w:rsidRPr="00A25F2B">
        <w:rPr>
          <w:rStyle w:val="FootnoteReference"/>
        </w:rPr>
        <w:footnoteRef/>
      </w:r>
      <w:r w:rsidRPr="00A25F2B">
        <w:t xml:space="preserve"> </w:t>
      </w:r>
      <w:r w:rsidR="00FD66C3" w:rsidRPr="00A25F2B">
        <w:rPr>
          <w:i/>
        </w:rPr>
        <w:t>H v H</w:t>
      </w:r>
      <w:r w:rsidRPr="00A25F2B">
        <w:t xml:space="preserve"> [2015] 1 I.L.R.M. 453 at 464 referring to</w:t>
      </w:r>
      <w:r w:rsidRPr="00A25F2B">
        <w:rPr>
          <w:i/>
        </w:rPr>
        <w:t xml:space="preserve"> </w:t>
      </w:r>
      <w:r w:rsidR="00FD66C3" w:rsidRPr="00A25F2B">
        <w:rPr>
          <w:i/>
        </w:rPr>
        <w:t>W v W</w:t>
      </w:r>
      <w:r w:rsidRPr="00A25F2B">
        <w:t xml:space="preserve"> [1993] 2 I.R. 476 at 505-506.</w:t>
      </w:r>
    </w:p>
  </w:footnote>
  <w:footnote w:id="28">
    <w:p w:rsidR="0086582D" w:rsidRPr="00A25F2B" w:rsidRDefault="0086582D" w:rsidP="00D7700E">
      <w:pPr>
        <w:pStyle w:val="FootnoteText"/>
        <w:jc w:val="both"/>
      </w:pPr>
      <w:r w:rsidRPr="00A25F2B">
        <w:rPr>
          <w:rStyle w:val="FootnoteReference"/>
        </w:rPr>
        <w:footnoteRef/>
      </w:r>
      <w:r w:rsidRPr="00A25F2B">
        <w:t xml:space="preserve"> </w:t>
      </w:r>
      <w:r w:rsidR="00FD66C3" w:rsidRPr="00A25F2B">
        <w:rPr>
          <w:i/>
        </w:rPr>
        <w:t>H v H</w:t>
      </w:r>
      <w:r w:rsidRPr="00A25F2B">
        <w:t xml:space="preserve"> [2015] 1 I.L.R.M. 453 at 467 referring to</w:t>
      </w:r>
      <w:r w:rsidRPr="00A25F2B">
        <w:rPr>
          <w:i/>
        </w:rPr>
        <w:t xml:space="preserve"> </w:t>
      </w:r>
      <w:proofErr w:type="spellStart"/>
      <w:r w:rsidR="00FD66C3" w:rsidRPr="00A25F2B">
        <w:rPr>
          <w:i/>
        </w:rPr>
        <w:t>McG</w:t>
      </w:r>
      <w:proofErr w:type="spellEnd"/>
      <w:r w:rsidR="00FD66C3" w:rsidRPr="00A25F2B">
        <w:rPr>
          <w:i/>
        </w:rPr>
        <w:t xml:space="preserve"> v W</w:t>
      </w:r>
      <w:r w:rsidRPr="00A25F2B">
        <w:rPr>
          <w:i/>
        </w:rPr>
        <w:t xml:space="preserve"> </w:t>
      </w:r>
      <w:r w:rsidRPr="00A25F2B">
        <w:t>[2000] 1 I.R. 96 at 106.</w:t>
      </w:r>
    </w:p>
  </w:footnote>
  <w:footnote w:id="29">
    <w:p w:rsidR="0086582D" w:rsidRPr="00A25F2B" w:rsidRDefault="0086582D" w:rsidP="00D7700E">
      <w:pPr>
        <w:pStyle w:val="FootnoteText"/>
        <w:jc w:val="both"/>
      </w:pPr>
      <w:r w:rsidRPr="00A25F2B">
        <w:rPr>
          <w:rStyle w:val="FootnoteReference"/>
        </w:rPr>
        <w:footnoteRef/>
      </w:r>
      <w:r w:rsidRPr="00A25F2B">
        <w:t xml:space="preserve"> </w:t>
      </w:r>
      <w:r w:rsidR="00FD66C3" w:rsidRPr="00A25F2B">
        <w:rPr>
          <w:i/>
        </w:rPr>
        <w:t>H v H</w:t>
      </w:r>
      <w:r w:rsidRPr="00A25F2B">
        <w:t xml:space="preserve"> [2015] 1 I.L.R.M. 453 at 477.</w:t>
      </w:r>
    </w:p>
  </w:footnote>
  <w:footnote w:id="30">
    <w:p w:rsidR="0086582D" w:rsidRPr="00A25F2B" w:rsidRDefault="0086582D" w:rsidP="00D7700E">
      <w:pPr>
        <w:pStyle w:val="FootnoteText"/>
        <w:jc w:val="both"/>
      </w:pPr>
      <w:r w:rsidRPr="00A25F2B">
        <w:rPr>
          <w:rStyle w:val="FootnoteReference"/>
        </w:rPr>
        <w:footnoteRef/>
      </w:r>
      <w:r w:rsidRPr="00A25F2B">
        <w:t xml:space="preserve"> </w:t>
      </w:r>
      <w:r w:rsidR="00FD66C3" w:rsidRPr="00A25F2B">
        <w:rPr>
          <w:i/>
        </w:rPr>
        <w:t>H v H</w:t>
      </w:r>
      <w:r w:rsidRPr="00A25F2B">
        <w:t xml:space="preserve"> [2015] 1 I.L.R.M. 453 at 477.</w:t>
      </w:r>
      <w:r w:rsidR="003C451E" w:rsidRPr="00A25F2B">
        <w:t xml:space="preserve"> Dunne J. accepted that if divorce recognition hinged on domicile only, there would be an inconsistency in Irish law between the recognition and jurisdiction criteria, but she did not think that such inconsistency provided a reason for modifying the common law rule (see </w:t>
      </w:r>
      <w:r w:rsidR="003C451E" w:rsidRPr="00A25F2B">
        <w:rPr>
          <w:i/>
        </w:rPr>
        <w:t>H v H</w:t>
      </w:r>
      <w:r w:rsidR="003C451E" w:rsidRPr="00A25F2B">
        <w:t xml:space="preserve"> [2015] 1 I.L.R.M. 453 at 478). </w:t>
      </w:r>
    </w:p>
  </w:footnote>
  <w:footnote w:id="31">
    <w:p w:rsidR="0086582D" w:rsidRPr="00A25F2B" w:rsidRDefault="0086582D" w:rsidP="00D7700E">
      <w:pPr>
        <w:pStyle w:val="FootnoteText"/>
        <w:jc w:val="both"/>
      </w:pPr>
      <w:r w:rsidRPr="00A25F2B">
        <w:rPr>
          <w:rStyle w:val="FootnoteReference"/>
        </w:rPr>
        <w:footnoteRef/>
      </w:r>
      <w:r w:rsidRPr="00A25F2B">
        <w:t xml:space="preserve"> </w:t>
      </w:r>
      <w:r w:rsidR="00FD66C3" w:rsidRPr="00A25F2B">
        <w:rPr>
          <w:i/>
        </w:rPr>
        <w:t>H</w:t>
      </w:r>
      <w:r w:rsidRPr="00A25F2B">
        <w:rPr>
          <w:i/>
        </w:rPr>
        <w:t xml:space="preserve"> v H</w:t>
      </w:r>
      <w:r w:rsidRPr="00A25F2B">
        <w:t xml:space="preserve"> [2015] 1 I.L.R.M. 453 at 478.</w:t>
      </w:r>
      <w:r w:rsidR="003C451E" w:rsidRPr="00A25F2B">
        <w:t xml:space="preserve"> If the common law only applied to foreign divorces granted prior to 2 October 1986, and </w:t>
      </w:r>
      <w:proofErr w:type="spellStart"/>
      <w:r w:rsidR="003C451E" w:rsidRPr="00A25F2B">
        <w:rPr>
          <w:i/>
        </w:rPr>
        <w:t>McG</w:t>
      </w:r>
      <w:proofErr w:type="spellEnd"/>
      <w:r w:rsidR="003C451E" w:rsidRPr="00A25F2B">
        <w:rPr>
          <w:i/>
        </w:rPr>
        <w:t xml:space="preserve"> v W </w:t>
      </w:r>
      <w:r w:rsidR="003C451E" w:rsidRPr="00A25F2B">
        <w:t xml:space="preserve">were </w:t>
      </w:r>
      <w:r w:rsidR="005D69B7">
        <w:t xml:space="preserve">otherwise </w:t>
      </w:r>
      <w:r w:rsidR="003C451E" w:rsidRPr="00A25F2B">
        <w:t xml:space="preserve">affirmed as correct, it would follow that pre-1986 Act divorces could be recognised on the basis of </w:t>
      </w:r>
      <w:r w:rsidR="003C451E" w:rsidRPr="00A25F2B">
        <w:rPr>
          <w:i/>
        </w:rPr>
        <w:t>either</w:t>
      </w:r>
      <w:r w:rsidR="003C451E" w:rsidRPr="00A25F2B">
        <w:t xml:space="preserve"> residence </w:t>
      </w:r>
      <w:r w:rsidR="003C451E" w:rsidRPr="00A25F2B">
        <w:rPr>
          <w:i/>
        </w:rPr>
        <w:t>or</w:t>
      </w:r>
      <w:r w:rsidR="003C451E" w:rsidRPr="00A25F2B">
        <w:t xml:space="preserve"> domicile whereas more recent post-1986 Act divorces would be subject to a more restrictive recognition policy based on domicile only.</w:t>
      </w:r>
    </w:p>
  </w:footnote>
  <w:footnote w:id="32">
    <w:p w:rsidR="0086582D" w:rsidRPr="00A25F2B" w:rsidRDefault="0086582D" w:rsidP="00D7700E">
      <w:pPr>
        <w:pStyle w:val="FootnoteText"/>
        <w:jc w:val="both"/>
      </w:pPr>
      <w:r w:rsidRPr="00A25F2B">
        <w:rPr>
          <w:rStyle w:val="FootnoteReference"/>
        </w:rPr>
        <w:footnoteRef/>
      </w:r>
      <w:r w:rsidRPr="00A25F2B">
        <w:t xml:space="preserve"> </w:t>
      </w:r>
      <w:r w:rsidR="00A7415D" w:rsidRPr="00A25F2B">
        <w:t xml:space="preserve">Dunne J. shared this concern: </w:t>
      </w:r>
      <w:r w:rsidR="00FD66C3" w:rsidRPr="00A25F2B">
        <w:rPr>
          <w:i/>
        </w:rPr>
        <w:t>H v H</w:t>
      </w:r>
      <w:r w:rsidRPr="00A25F2B">
        <w:t xml:space="preserve"> [2015] 1 I.L.R.M. 453 at 478-479, referring to </w:t>
      </w:r>
      <w:r w:rsidR="00FD66C3" w:rsidRPr="00A25F2B">
        <w:rPr>
          <w:i/>
        </w:rPr>
        <w:t>MEC v JAC</w:t>
      </w:r>
      <w:r w:rsidRPr="00A25F2B">
        <w:t xml:space="preserve"> [2001] 2 I.R. 399 at 412.</w:t>
      </w:r>
    </w:p>
  </w:footnote>
  <w:footnote w:id="33">
    <w:p w:rsidR="0086582D" w:rsidRPr="00A25F2B" w:rsidRDefault="0086582D" w:rsidP="00D7700E">
      <w:pPr>
        <w:pStyle w:val="FootnoteText"/>
        <w:jc w:val="both"/>
      </w:pPr>
      <w:r w:rsidRPr="00A25F2B">
        <w:rPr>
          <w:rStyle w:val="FootnoteReference"/>
        </w:rPr>
        <w:footnoteRef/>
      </w:r>
      <w:r w:rsidRPr="00A25F2B">
        <w:t xml:space="preserve"> </w:t>
      </w:r>
      <w:r w:rsidR="00FD66C3" w:rsidRPr="00A25F2B">
        <w:rPr>
          <w:i/>
        </w:rPr>
        <w:t>H v H</w:t>
      </w:r>
      <w:r w:rsidRPr="00A25F2B">
        <w:t xml:space="preserve"> [2015] 1 I.L.R.M. 453 at 484-485.</w:t>
      </w:r>
    </w:p>
  </w:footnote>
  <w:footnote w:id="34">
    <w:p w:rsidR="0086582D" w:rsidRPr="00A25F2B" w:rsidRDefault="0086582D" w:rsidP="00D7700E">
      <w:pPr>
        <w:pStyle w:val="FootnoteText"/>
        <w:jc w:val="both"/>
      </w:pPr>
      <w:r w:rsidRPr="00A25F2B">
        <w:rPr>
          <w:rStyle w:val="FootnoteReference"/>
        </w:rPr>
        <w:footnoteRef/>
      </w:r>
      <w:r w:rsidRPr="00A25F2B">
        <w:t xml:space="preserve"> </w:t>
      </w:r>
      <w:r w:rsidRPr="00A25F2B">
        <w:rPr>
          <w:i/>
        </w:rPr>
        <w:t>H. v H.</w:t>
      </w:r>
      <w:r w:rsidRPr="00A25F2B">
        <w:t xml:space="preserve"> [2015] 1 I.L.R.M. 453 at 486.</w:t>
      </w:r>
    </w:p>
  </w:footnote>
  <w:footnote w:id="35">
    <w:p w:rsidR="0086582D" w:rsidRPr="00A25F2B" w:rsidRDefault="0086582D" w:rsidP="00D7700E">
      <w:pPr>
        <w:pStyle w:val="FootnoteText"/>
        <w:jc w:val="both"/>
      </w:pPr>
      <w:r w:rsidRPr="00A25F2B">
        <w:rPr>
          <w:rStyle w:val="FootnoteReference"/>
        </w:rPr>
        <w:footnoteRef/>
      </w:r>
      <w:r w:rsidRPr="00A25F2B">
        <w:t xml:space="preserve"> </w:t>
      </w:r>
      <w:r w:rsidR="00FD66C3" w:rsidRPr="00A25F2B">
        <w:rPr>
          <w:i/>
        </w:rPr>
        <w:t>H v H</w:t>
      </w:r>
      <w:r w:rsidRPr="00A25F2B">
        <w:t xml:space="preserve"> [2015] 1 I.L.R.M. 453 at 482-486.</w:t>
      </w:r>
    </w:p>
  </w:footnote>
  <w:footnote w:id="36">
    <w:p w:rsidR="0086582D" w:rsidRPr="00A25F2B" w:rsidRDefault="0086582D" w:rsidP="00D7700E">
      <w:pPr>
        <w:pStyle w:val="FootnoteText"/>
        <w:jc w:val="both"/>
      </w:pPr>
      <w:r w:rsidRPr="00A25F2B">
        <w:rPr>
          <w:rStyle w:val="FootnoteReference"/>
        </w:rPr>
        <w:footnoteRef/>
      </w:r>
      <w:r w:rsidRPr="00A25F2B">
        <w:t xml:space="preserve"> </w:t>
      </w:r>
      <w:r w:rsidR="00C34376" w:rsidRPr="00A25F2B">
        <w:rPr>
          <w:i/>
        </w:rPr>
        <w:t>H v H</w:t>
      </w:r>
      <w:r w:rsidRPr="00A25F2B">
        <w:t xml:space="preserve"> [2015] 1 I.L.R.M. 453 at 478.</w:t>
      </w:r>
    </w:p>
  </w:footnote>
  <w:footnote w:id="37">
    <w:p w:rsidR="00AF477D" w:rsidRDefault="00AF477D" w:rsidP="00D7700E">
      <w:pPr>
        <w:pStyle w:val="FootnoteText"/>
        <w:jc w:val="both"/>
      </w:pPr>
      <w:r>
        <w:rPr>
          <w:rStyle w:val="FootnoteReference"/>
        </w:rPr>
        <w:footnoteRef/>
      </w:r>
      <w:r>
        <w:t xml:space="preserve"> This was the view of the dissenting judge (</w:t>
      </w:r>
      <w:proofErr w:type="spellStart"/>
      <w:r>
        <w:t>Hederman</w:t>
      </w:r>
      <w:proofErr w:type="spellEnd"/>
      <w:r>
        <w:t xml:space="preserve"> J.) in </w:t>
      </w:r>
      <w:r w:rsidRPr="00A25F2B">
        <w:rPr>
          <w:i/>
        </w:rPr>
        <w:t>W v W</w:t>
      </w:r>
      <w:r>
        <w:t xml:space="preserve"> [1993] 2 I.R. 476 at 486</w:t>
      </w:r>
      <w:r w:rsidRPr="00A25F2B">
        <w:t>.</w:t>
      </w:r>
    </w:p>
  </w:footnote>
  <w:footnote w:id="38">
    <w:p w:rsidR="0086582D" w:rsidRPr="00A25F2B" w:rsidRDefault="0086582D" w:rsidP="00D7700E">
      <w:pPr>
        <w:pStyle w:val="FootnoteText"/>
        <w:jc w:val="both"/>
      </w:pPr>
      <w:r w:rsidRPr="00A25F2B">
        <w:rPr>
          <w:rStyle w:val="FootnoteReference"/>
        </w:rPr>
        <w:footnoteRef/>
      </w:r>
      <w:r w:rsidRPr="00A25F2B">
        <w:t xml:space="preserve"> As indicated above, the Supreme Court in </w:t>
      </w:r>
      <w:r w:rsidR="00C34376" w:rsidRPr="00A25F2B">
        <w:rPr>
          <w:i/>
        </w:rPr>
        <w:t>W v W</w:t>
      </w:r>
      <w:r w:rsidRPr="00A25F2B">
        <w:t xml:space="preserve"> was co</w:t>
      </w:r>
      <w:r w:rsidR="008B5C2C">
        <w:t>nstrained by the Constitution (art.</w:t>
      </w:r>
      <w:r w:rsidRPr="00A25F2B">
        <w:t xml:space="preserve"> 40.1) in holding that dependent do</w:t>
      </w:r>
      <w:r w:rsidR="008B5C2C">
        <w:t>micile was not carried over by art.</w:t>
      </w:r>
      <w:r w:rsidRPr="00A25F2B">
        <w:t xml:space="preserve"> 50; however, the determination that the domiciliary connections of </w:t>
      </w:r>
      <w:r w:rsidRPr="00A25F2B">
        <w:rPr>
          <w:i/>
        </w:rPr>
        <w:t>either</w:t>
      </w:r>
      <w:r w:rsidRPr="00A25F2B">
        <w:t xml:space="preserve"> party would henceforth justify recognition was not mandated by any constitutional principle and to that extent the Supreme Court in </w:t>
      </w:r>
      <w:r w:rsidR="00C34376" w:rsidRPr="00A25F2B">
        <w:rPr>
          <w:i/>
        </w:rPr>
        <w:t>W v W</w:t>
      </w:r>
      <w:r w:rsidRPr="00A25F2B">
        <w:t xml:space="preserve"> was voluntarily reversing a legislative choice expressed in the 1986 A</w:t>
      </w:r>
      <w:r w:rsidR="008B5C2C">
        <w:t>ct (the decision to give s.</w:t>
      </w:r>
      <w:r w:rsidRPr="00A25F2B">
        <w:t xml:space="preserve"> 5(1) 1986 Act prospective effect only).     </w:t>
      </w:r>
    </w:p>
  </w:footnote>
  <w:footnote w:id="39">
    <w:p w:rsidR="00CB5FF5" w:rsidRPr="00A25F2B" w:rsidRDefault="00CB5FF5" w:rsidP="00D7700E">
      <w:pPr>
        <w:pStyle w:val="FootnoteText"/>
        <w:jc w:val="both"/>
      </w:pPr>
      <w:r w:rsidRPr="00A25F2B">
        <w:rPr>
          <w:rStyle w:val="FootnoteReference"/>
        </w:rPr>
        <w:footnoteRef/>
      </w:r>
      <w:r w:rsidRPr="00A25F2B">
        <w:t xml:space="preserve"> </w:t>
      </w:r>
      <w:r w:rsidR="00C34376" w:rsidRPr="00A25F2B">
        <w:rPr>
          <w:i/>
        </w:rPr>
        <w:t>H v H</w:t>
      </w:r>
      <w:r w:rsidRPr="00A25F2B">
        <w:t xml:space="preserve"> [2015] 1 I.L.R.M. 453 at 471-472 (referring to </w:t>
      </w:r>
      <w:r w:rsidR="00C34376" w:rsidRPr="00A25F2B">
        <w:rPr>
          <w:i/>
        </w:rPr>
        <w:t>DT v FL</w:t>
      </w:r>
      <w:r w:rsidR="00E73461" w:rsidRPr="00A25F2B">
        <w:t xml:space="preserve"> [2002] 2 I.L.R.M. 152)</w:t>
      </w:r>
      <w:r w:rsidRPr="00A25F2B">
        <w:t xml:space="preserve">, </w:t>
      </w:r>
      <w:r w:rsidR="00E73461" w:rsidRPr="00A25F2B">
        <w:t xml:space="preserve">also </w:t>
      </w:r>
      <w:r w:rsidRPr="00A25F2B">
        <w:t>475-476.</w:t>
      </w:r>
    </w:p>
  </w:footnote>
  <w:footnote w:id="40">
    <w:p w:rsidR="00C34376" w:rsidRPr="00A25F2B" w:rsidRDefault="00C34376" w:rsidP="00D7700E">
      <w:pPr>
        <w:pStyle w:val="FootnoteText"/>
        <w:jc w:val="both"/>
      </w:pPr>
      <w:r w:rsidRPr="00A25F2B">
        <w:rPr>
          <w:rStyle w:val="FootnoteReference"/>
        </w:rPr>
        <w:footnoteRef/>
      </w:r>
      <w:r w:rsidRPr="00A25F2B">
        <w:t xml:space="preserve"> </w:t>
      </w:r>
      <w:r w:rsidRPr="00A25F2B">
        <w:rPr>
          <w:i/>
        </w:rPr>
        <w:t>H v H</w:t>
      </w:r>
      <w:r w:rsidRPr="00A25F2B">
        <w:t xml:space="preserve"> [2015] 1 I.L.R.M. 453 at 478.</w:t>
      </w:r>
    </w:p>
  </w:footnote>
  <w:footnote w:id="41">
    <w:p w:rsidR="004119F2" w:rsidRPr="00A25F2B" w:rsidRDefault="004119F2" w:rsidP="00D7700E">
      <w:pPr>
        <w:pStyle w:val="FootnoteText"/>
        <w:jc w:val="both"/>
      </w:pPr>
      <w:r w:rsidRPr="00A25F2B">
        <w:rPr>
          <w:rStyle w:val="FootnoteReference"/>
        </w:rPr>
        <w:footnoteRef/>
      </w:r>
      <w:r>
        <w:t xml:space="preserve"> For a contrary argument, see</w:t>
      </w:r>
      <w:r w:rsidRPr="00A25F2B">
        <w:t xml:space="preserve"> </w:t>
      </w:r>
      <w:r>
        <w:rPr>
          <w:i/>
        </w:rPr>
        <w:t>MEC v JAC</w:t>
      </w:r>
      <w:r w:rsidRPr="00A25F2B">
        <w:t xml:space="preserve"> [2001] 2 I.R. 399 at 408-409</w:t>
      </w:r>
      <w:r w:rsidR="00681555">
        <w:t xml:space="preserve">; also </w:t>
      </w:r>
      <w:proofErr w:type="spellStart"/>
      <w:r w:rsidR="00681555">
        <w:t>Binchy</w:t>
      </w:r>
      <w:proofErr w:type="spellEnd"/>
      <w:r w:rsidR="00681555">
        <w:t xml:space="preserve">, “Conflicts of Law – Divorce” (1999) 21 </w:t>
      </w:r>
      <w:r w:rsidR="00681555" w:rsidRPr="00732383">
        <w:rPr>
          <w:i/>
        </w:rPr>
        <w:t>Dublin University Law Journal</w:t>
      </w:r>
      <w:r w:rsidR="00681555">
        <w:t xml:space="preserve"> 173 at 175</w:t>
      </w:r>
      <w:r w:rsidRPr="00A25F2B">
        <w:t>.</w:t>
      </w:r>
    </w:p>
  </w:footnote>
  <w:footnote w:id="42">
    <w:p w:rsidR="00005BEA" w:rsidRDefault="00005BEA" w:rsidP="00D7700E">
      <w:pPr>
        <w:pStyle w:val="FootnoteText"/>
        <w:jc w:val="both"/>
      </w:pPr>
      <w:r>
        <w:rPr>
          <w:rStyle w:val="FootnoteReference"/>
        </w:rPr>
        <w:footnoteRef/>
      </w:r>
      <w:r w:rsidR="008B5C2C">
        <w:t xml:space="preserve"> S.</w:t>
      </w:r>
      <w:r>
        <w:t xml:space="preserve"> 5(4) gives effect to a common law authority (</w:t>
      </w:r>
      <w:r w:rsidRPr="00005BEA">
        <w:rPr>
          <w:i/>
        </w:rPr>
        <w:t>Armitage v Attorney General</w:t>
      </w:r>
      <w:r>
        <w:t xml:space="preserve"> [1906] P. 135). This authority was not previously acknowledged to be applicable in Ireland (see </w:t>
      </w:r>
      <w:r w:rsidRPr="00750425">
        <w:rPr>
          <w:i/>
        </w:rPr>
        <w:t>MEC v JAC</w:t>
      </w:r>
      <w:r>
        <w:t xml:space="preserve"> [2001] 2 I</w:t>
      </w:r>
      <w:r w:rsidR="00750425">
        <w:t>.</w:t>
      </w:r>
      <w:r>
        <w:t>R</w:t>
      </w:r>
      <w:r w:rsidR="00750425">
        <w:t>.</w:t>
      </w:r>
      <w:r>
        <w:t xml:space="preserve"> 399 at 407-408). However, the legislature perceived some uncertainty in this reg</w:t>
      </w:r>
      <w:r w:rsidR="008B5C2C">
        <w:t>ard, and it appears that s.</w:t>
      </w:r>
      <w:r>
        <w:t xml:space="preserve"> 5(4) was intended to confirm (prospectively) the applicability of </w:t>
      </w:r>
      <w:r w:rsidRPr="00546702">
        <w:rPr>
          <w:i/>
        </w:rPr>
        <w:t>Armitage</w:t>
      </w:r>
      <w:r>
        <w:t xml:space="preserve"> in Ireland (see 365 </w:t>
      </w:r>
      <w:proofErr w:type="spellStart"/>
      <w:r w:rsidRPr="00546702">
        <w:rPr>
          <w:i/>
        </w:rPr>
        <w:t>Dáil</w:t>
      </w:r>
      <w:proofErr w:type="spellEnd"/>
      <w:r w:rsidRPr="00546702">
        <w:rPr>
          <w:i/>
        </w:rPr>
        <w:t xml:space="preserve"> Debates</w:t>
      </w:r>
      <w:r w:rsidR="008B5C2C">
        <w:t xml:space="preserve"> Col 2288). S.</w:t>
      </w:r>
      <w:r>
        <w:t xml:space="preserve"> 5(3) </w:t>
      </w:r>
      <w:r w:rsidR="005D69B7">
        <w:t>seeks to</w:t>
      </w:r>
      <w:r>
        <w:t xml:space="preserve"> modify the existing common law practice of treating constituent parts of the United Kingdom (and of other countries comprising several “law units”) as separate countries, a</w:t>
      </w:r>
      <w:r w:rsidR="00546702">
        <w:t xml:space="preserve">nd of insisting on the personal </w:t>
      </w:r>
      <w:r>
        <w:t xml:space="preserve">connection being with the relevant “law unit” (see Hill and </w:t>
      </w:r>
      <w:proofErr w:type="spellStart"/>
      <w:r>
        <w:t>Ní</w:t>
      </w:r>
      <w:proofErr w:type="spellEnd"/>
      <w:r>
        <w:t xml:space="preserve"> </w:t>
      </w:r>
      <w:proofErr w:type="spellStart"/>
      <w:r>
        <w:t>Shúilleabháin</w:t>
      </w:r>
      <w:proofErr w:type="spellEnd"/>
      <w:r>
        <w:t xml:space="preserve">, </w:t>
      </w:r>
      <w:r w:rsidRPr="00005BEA">
        <w:rPr>
          <w:i/>
        </w:rPr>
        <w:t>Clarkson and Hill’s Conflict of Laws</w:t>
      </w:r>
      <w:r>
        <w:t>, 5</w:t>
      </w:r>
      <w:r w:rsidRPr="00005BEA">
        <w:rPr>
          <w:vertAlign w:val="superscript"/>
        </w:rPr>
        <w:t>th</w:t>
      </w:r>
      <w:r>
        <w:t xml:space="preserve"> </w:t>
      </w:r>
      <w:proofErr w:type="spellStart"/>
      <w:r>
        <w:t>edn</w:t>
      </w:r>
      <w:proofErr w:type="spellEnd"/>
      <w:r>
        <w:t xml:space="preserve"> (Oxford: Oxford Unive</w:t>
      </w:r>
      <w:r w:rsidR="008B5C2C">
        <w:t>rsity Press, 2016) 3-4). S.</w:t>
      </w:r>
      <w:r>
        <w:t xml:space="preserve"> 5(3) appears therefore to be designed to increase common law recognition of divorces obtained in the UK.</w:t>
      </w:r>
    </w:p>
  </w:footnote>
  <w:footnote w:id="43">
    <w:p w:rsidR="001054CF" w:rsidRPr="00A25F2B" w:rsidRDefault="001054CF" w:rsidP="00D7700E">
      <w:pPr>
        <w:pStyle w:val="FootnoteText"/>
        <w:jc w:val="both"/>
      </w:pPr>
      <w:r w:rsidRPr="00A25F2B">
        <w:rPr>
          <w:rStyle w:val="FootnoteReference"/>
        </w:rPr>
        <w:footnoteRef/>
      </w:r>
      <w:r w:rsidR="008B5C2C">
        <w:t xml:space="preserve"> This view that s.</w:t>
      </w:r>
      <w:r w:rsidRPr="00A25F2B">
        <w:t xml:space="preserve"> 5 of the 1986 Act does not preclude further development of the common law is arguably also reinforced by the fact that the Act is confined in its effects to</w:t>
      </w:r>
      <w:r w:rsidR="005D69B7">
        <w:t xml:space="preserve"> divorces obtained by means of “proceedings”</w:t>
      </w:r>
      <w:r w:rsidR="008B5C2C">
        <w:t xml:space="preserve"> (see s.</w:t>
      </w:r>
      <w:r w:rsidRPr="00A25F2B">
        <w:t xml:space="preserve"> 5(7)). It arguably follows that the recognition of non-proceedings divorces obtained abroad (bare Islamic </w:t>
      </w:r>
      <w:proofErr w:type="spellStart"/>
      <w:r w:rsidRPr="00A25F2B">
        <w:rPr>
          <w:i/>
        </w:rPr>
        <w:t>talaqs</w:t>
      </w:r>
      <w:proofErr w:type="spellEnd"/>
      <w:r w:rsidRPr="00A25F2B">
        <w:rPr>
          <w:i/>
        </w:rPr>
        <w:t xml:space="preserve"> </w:t>
      </w:r>
      <w:r w:rsidRPr="00A25F2B">
        <w:t>for example) must remain a matter for the common law, whether pronounced in 1972 or in 2016. By contrast with the Irish 1986 Act, the UK Family Law Act 1986 makes express provision for the statutory recognition of such divorces “obtained otherwise than b</w:t>
      </w:r>
      <w:r w:rsidR="008B5C2C">
        <w:t>y means of proceedings” (s.</w:t>
      </w:r>
      <w:r w:rsidRPr="00A25F2B">
        <w:t xml:space="preserve"> 46(2)).</w:t>
      </w:r>
    </w:p>
  </w:footnote>
  <w:footnote w:id="44">
    <w:p w:rsidR="001054CF" w:rsidRPr="00A25F2B" w:rsidRDefault="001054CF" w:rsidP="00D7700E">
      <w:pPr>
        <w:pStyle w:val="FootnoteText"/>
        <w:jc w:val="both"/>
        <w:rPr>
          <w:lang w:val="en-IE"/>
        </w:rPr>
      </w:pPr>
      <w:r w:rsidRPr="00A25F2B">
        <w:rPr>
          <w:rStyle w:val="FootnoteReference"/>
        </w:rPr>
        <w:footnoteRef/>
      </w:r>
      <w:r w:rsidRPr="00A25F2B">
        <w:t xml:space="preserve"> </w:t>
      </w:r>
      <w:proofErr w:type="gramStart"/>
      <w:r>
        <w:t xml:space="preserve">See </w:t>
      </w:r>
      <w:r w:rsidR="008B5C2C">
        <w:t>s.</w:t>
      </w:r>
      <w:r w:rsidRPr="00A25F2B">
        <w:t xml:space="preserve"> 45(1) of the UK Family Law Act 1986</w:t>
      </w:r>
      <w:r>
        <w:t>;</w:t>
      </w:r>
      <w:r w:rsidRPr="00A25F2B">
        <w:t xml:space="preserve"> </w:t>
      </w:r>
      <w:r w:rsidRPr="00A25F2B">
        <w:rPr>
          <w:lang w:val="en-IE"/>
        </w:rPr>
        <w:t>Law Commission (and Scottish Law Comm</w:t>
      </w:r>
      <w:r w:rsidR="00553F15">
        <w:rPr>
          <w:lang w:val="en-IE"/>
        </w:rPr>
        <w:t>ission), “</w:t>
      </w:r>
      <w:r w:rsidRPr="00A25F2B">
        <w:rPr>
          <w:lang w:val="en-IE"/>
        </w:rPr>
        <w:t>Recognition of Foreign Null</w:t>
      </w:r>
      <w:r w:rsidR="00553F15">
        <w:rPr>
          <w:lang w:val="en-IE"/>
        </w:rPr>
        <w:t>ity Decrees and Related Matters”</w:t>
      </w:r>
      <w:r w:rsidRPr="00A25F2B">
        <w:rPr>
          <w:lang w:val="en-IE"/>
        </w:rPr>
        <w:t xml:space="preserve"> (Law Com No 137 (Scot Law Com No 88) 1984) p. 93.</w:t>
      </w:r>
      <w:proofErr w:type="gramEnd"/>
      <w:r w:rsidRPr="00A25F2B">
        <w:rPr>
          <w:lang w:val="en-IE"/>
        </w:rPr>
        <w:t xml:space="preserve"> As McGuinness J. notes in </w:t>
      </w:r>
      <w:proofErr w:type="spellStart"/>
      <w:r w:rsidRPr="00A25F2B">
        <w:rPr>
          <w:i/>
          <w:lang w:val="en-IE"/>
        </w:rPr>
        <w:t>McG</w:t>
      </w:r>
      <w:proofErr w:type="spellEnd"/>
      <w:r w:rsidRPr="00A25F2B">
        <w:rPr>
          <w:i/>
          <w:lang w:val="en-IE"/>
        </w:rPr>
        <w:t xml:space="preserve"> v W</w:t>
      </w:r>
      <w:r w:rsidRPr="00A25F2B">
        <w:rPr>
          <w:lang w:val="en-IE"/>
        </w:rPr>
        <w:t xml:space="preserve"> </w:t>
      </w:r>
      <w:r w:rsidRPr="00A25F2B">
        <w:t>[2000] 1 I.R. 96 at 106</w:t>
      </w:r>
      <w:r>
        <w:t>, a very similar formula</w:t>
      </w:r>
      <w:r>
        <w:rPr>
          <w:lang w:val="en-IE"/>
        </w:rPr>
        <w:t xml:space="preserve"> “if, but only if” was </w:t>
      </w:r>
      <w:r w:rsidR="008B5C2C">
        <w:rPr>
          <w:lang w:val="en-IE"/>
        </w:rPr>
        <w:t>used in s.</w:t>
      </w:r>
      <w:r w:rsidRPr="00A25F2B">
        <w:rPr>
          <w:lang w:val="en-IE"/>
        </w:rPr>
        <w:t xml:space="preserve"> 39(1) </w:t>
      </w:r>
      <w:r w:rsidR="00677CE6">
        <w:rPr>
          <w:lang w:val="en-IE"/>
        </w:rPr>
        <w:t xml:space="preserve">of the Irish </w:t>
      </w:r>
      <w:r w:rsidRPr="00A25F2B">
        <w:rPr>
          <w:lang w:val="en-IE"/>
        </w:rPr>
        <w:t>Family Law (D</w:t>
      </w:r>
      <w:r>
        <w:rPr>
          <w:lang w:val="en-IE"/>
        </w:rPr>
        <w:t>ivor</w:t>
      </w:r>
      <w:r w:rsidR="005D69B7">
        <w:rPr>
          <w:lang w:val="en-IE"/>
        </w:rPr>
        <w:t>ce) Act 199</w:t>
      </w:r>
      <w:r>
        <w:rPr>
          <w:lang w:val="en-IE"/>
        </w:rPr>
        <w:t xml:space="preserve">6 </w:t>
      </w:r>
      <w:r w:rsidRPr="00A25F2B">
        <w:rPr>
          <w:lang w:val="en-IE"/>
        </w:rPr>
        <w:t>thus placing divorce jurisdiction on a</w:t>
      </w:r>
      <w:r>
        <w:rPr>
          <w:lang w:val="en-IE"/>
        </w:rPr>
        <w:t>n exclusively statutory footing</w:t>
      </w:r>
      <w:r w:rsidRPr="00A25F2B">
        <w:rPr>
          <w:lang w:val="en-IE"/>
        </w:rPr>
        <w:t xml:space="preserve">.    </w:t>
      </w:r>
    </w:p>
  </w:footnote>
  <w:footnote w:id="45">
    <w:p w:rsidR="0080412B" w:rsidRPr="00A25F2B" w:rsidRDefault="0080412B" w:rsidP="00D7700E">
      <w:pPr>
        <w:pStyle w:val="FootnoteText"/>
        <w:jc w:val="both"/>
      </w:pPr>
      <w:r w:rsidRPr="00A25F2B">
        <w:rPr>
          <w:rStyle w:val="FootnoteReference"/>
        </w:rPr>
        <w:footnoteRef/>
      </w:r>
      <w:r w:rsidRPr="00A25F2B">
        <w:t xml:space="preserve"> Shatter, </w:t>
      </w:r>
      <w:r w:rsidRPr="00A25F2B">
        <w:rPr>
          <w:i/>
        </w:rPr>
        <w:t>Family Law</w:t>
      </w:r>
      <w:r w:rsidRPr="00A25F2B">
        <w:t>, 4th</w:t>
      </w:r>
      <w:r w:rsidRPr="00A25F2B">
        <w:rPr>
          <w:vertAlign w:val="superscript"/>
        </w:rPr>
        <w:t xml:space="preserve"> </w:t>
      </w:r>
      <w:proofErr w:type="spellStart"/>
      <w:r w:rsidRPr="00A25F2B">
        <w:t>edn</w:t>
      </w:r>
      <w:proofErr w:type="spellEnd"/>
      <w:r w:rsidRPr="00A25F2B">
        <w:t xml:space="preserve"> (Dublin: </w:t>
      </w:r>
      <w:proofErr w:type="spellStart"/>
      <w:r w:rsidRPr="00A25F2B">
        <w:t>Tottel</w:t>
      </w:r>
      <w:proofErr w:type="spellEnd"/>
      <w:r w:rsidRPr="00A25F2B">
        <w:t xml:space="preserve">, 1997), p. 424. </w:t>
      </w:r>
    </w:p>
  </w:footnote>
  <w:footnote w:id="46">
    <w:p w:rsidR="00063B6A" w:rsidRPr="00A25F2B" w:rsidRDefault="00063B6A" w:rsidP="00D7700E">
      <w:pPr>
        <w:pStyle w:val="FootnoteText"/>
        <w:jc w:val="both"/>
      </w:pPr>
      <w:r w:rsidRPr="00A25F2B">
        <w:rPr>
          <w:rStyle w:val="FootnoteReference"/>
        </w:rPr>
        <w:footnoteRef/>
      </w:r>
      <w:r w:rsidRPr="00A25F2B">
        <w:t xml:space="preserve"> See </w:t>
      </w:r>
      <w:r w:rsidR="00D566B8">
        <w:rPr>
          <w:i/>
        </w:rPr>
        <w:t>H v H</w:t>
      </w:r>
      <w:r w:rsidRPr="00A25F2B">
        <w:t xml:space="preserve"> [2015] 1 I.L.R.M. 453 at 459: the matter came before the Supreme Court by way of consultative case stated.</w:t>
      </w:r>
    </w:p>
  </w:footnote>
  <w:footnote w:id="47">
    <w:p w:rsidR="005F0E5C" w:rsidRDefault="005F0E5C" w:rsidP="00D7700E">
      <w:pPr>
        <w:pStyle w:val="FootnoteText"/>
        <w:jc w:val="both"/>
      </w:pPr>
      <w:r>
        <w:rPr>
          <w:rStyle w:val="FootnoteReference"/>
        </w:rPr>
        <w:footnoteRef/>
      </w:r>
      <w:r>
        <w:t xml:space="preserve"> O’Donnell J. dissenting</w:t>
      </w:r>
      <w:r w:rsidR="008832E2">
        <w:t>,</w:t>
      </w:r>
      <w:r>
        <w:t xml:space="preserve"> expressly reserves his position on this question</w:t>
      </w:r>
      <w:r w:rsidR="004D3806">
        <w:t xml:space="preserve"> (at 504); however, a number of his </w:t>
      </w:r>
      <w:r>
        <w:t>observations would suggest a degree of support for the view that the common law may play a role in the recognition of post-1986 Act divorces:</w:t>
      </w:r>
      <w:r w:rsidR="008832E2">
        <w:t xml:space="preserve"> see</w:t>
      </w:r>
      <w:r>
        <w:t xml:space="preserve"> </w:t>
      </w:r>
      <w:r>
        <w:rPr>
          <w:i/>
        </w:rPr>
        <w:t>H v H</w:t>
      </w:r>
      <w:r>
        <w:t xml:space="preserve"> [2015] 1 I.L.R.M. 453 at </w:t>
      </w:r>
      <w:r w:rsidR="007678D4">
        <w:t>494</w:t>
      </w:r>
      <w:r w:rsidR="00DF5A17">
        <w:t>-495</w:t>
      </w:r>
      <w:r w:rsidR="007678D4">
        <w:t xml:space="preserve">, </w:t>
      </w:r>
      <w:r>
        <w:t>4</w:t>
      </w:r>
      <w:r w:rsidR="004D3806">
        <w:t>98-499</w:t>
      </w:r>
      <w:r w:rsidR="00D9693A">
        <w:t>, 504-506</w:t>
      </w:r>
      <w:r>
        <w:t>.</w:t>
      </w:r>
    </w:p>
  </w:footnote>
  <w:footnote w:id="48">
    <w:p w:rsidR="000F6251" w:rsidRDefault="000F6251" w:rsidP="00D7700E">
      <w:pPr>
        <w:pStyle w:val="FootnoteText"/>
        <w:jc w:val="both"/>
      </w:pPr>
      <w:r>
        <w:rPr>
          <w:rStyle w:val="FootnoteReference"/>
        </w:rPr>
        <w:footnoteRef/>
      </w:r>
      <w:r>
        <w:t xml:space="preserve"> </w:t>
      </w:r>
      <w:proofErr w:type="spellStart"/>
      <w:r w:rsidRPr="000F6251">
        <w:rPr>
          <w:i/>
        </w:rPr>
        <w:t>McG</w:t>
      </w:r>
      <w:proofErr w:type="spellEnd"/>
      <w:r w:rsidRPr="000F6251">
        <w:rPr>
          <w:i/>
        </w:rPr>
        <w:t xml:space="preserve"> v W </w:t>
      </w:r>
      <w:r>
        <w:t>was very widely reported in</w:t>
      </w:r>
      <w:r w:rsidR="00116E17">
        <w:t xml:space="preserve"> practitioner journals: see for example</w:t>
      </w:r>
      <w:r>
        <w:t xml:space="preserve"> </w:t>
      </w:r>
      <w:r w:rsidR="006066EA">
        <w:t xml:space="preserve">Ward “Residence Basis for Recognition of Foreign Divorces” [1999] </w:t>
      </w:r>
      <w:r w:rsidR="006066EA" w:rsidRPr="006066EA">
        <w:rPr>
          <w:i/>
        </w:rPr>
        <w:t>Fam Law</w:t>
      </w:r>
      <w:r w:rsidR="006066EA">
        <w:t xml:space="preserve"> 266; </w:t>
      </w:r>
      <w:r w:rsidR="00116E17">
        <w:t>Corbett</w:t>
      </w:r>
      <w:r w:rsidR="006066EA">
        <w:t>, “Recognition of Foreign Divorces</w:t>
      </w:r>
      <w:r w:rsidR="00116E17">
        <w:t xml:space="preserve"> in Ireland in Light of </w:t>
      </w:r>
      <w:proofErr w:type="spellStart"/>
      <w:r w:rsidR="00116E17">
        <w:t>McG</w:t>
      </w:r>
      <w:proofErr w:type="spellEnd"/>
      <w:r w:rsidR="00116E17">
        <w:t xml:space="preserve"> v DW and AR” [1999] </w:t>
      </w:r>
      <w:r w:rsidR="00116E17" w:rsidRPr="00116E17">
        <w:rPr>
          <w:i/>
        </w:rPr>
        <w:t>Bar Review</w:t>
      </w:r>
      <w:r w:rsidR="00116E17">
        <w:t xml:space="preserve"> 270</w:t>
      </w:r>
      <w:r w:rsidR="006066EA">
        <w:t>.</w:t>
      </w:r>
      <w:r>
        <w:t xml:space="preserve"> </w:t>
      </w:r>
    </w:p>
  </w:footnote>
  <w:footnote w:id="49">
    <w:p w:rsidR="006C28C6" w:rsidRDefault="006C28C6" w:rsidP="00D7700E">
      <w:pPr>
        <w:pStyle w:val="FootnoteText"/>
        <w:jc w:val="both"/>
      </w:pPr>
      <w:r>
        <w:rPr>
          <w:rStyle w:val="FootnoteReference"/>
        </w:rPr>
        <w:footnoteRef/>
      </w:r>
      <w:r w:rsidR="00FA3936">
        <w:t xml:space="preserve"> This is recognised by</w:t>
      </w:r>
      <w:r>
        <w:t xml:space="preserve"> the dissenting judgment of O’Donnell J. in </w:t>
      </w:r>
      <w:r>
        <w:rPr>
          <w:i/>
        </w:rPr>
        <w:t>H v H</w:t>
      </w:r>
      <w:r>
        <w:t xml:space="preserve"> [2015] 1 I.L.R.M. 453 at 488</w:t>
      </w:r>
      <w:r w:rsidR="005F0E5C">
        <w:t>, 500</w:t>
      </w:r>
      <w:r>
        <w:t>.</w:t>
      </w:r>
    </w:p>
  </w:footnote>
  <w:footnote w:id="50">
    <w:p w:rsidR="00C87371" w:rsidRDefault="00C87371" w:rsidP="00D7700E">
      <w:pPr>
        <w:pStyle w:val="FootnoteText"/>
        <w:jc w:val="both"/>
      </w:pPr>
      <w:r>
        <w:rPr>
          <w:rStyle w:val="FootnoteReference"/>
        </w:rPr>
        <w:footnoteRef/>
      </w:r>
      <w:r>
        <w:t xml:space="preserve"> Even prior to </w:t>
      </w:r>
      <w:proofErr w:type="spellStart"/>
      <w:r w:rsidRPr="003D5C38">
        <w:rPr>
          <w:i/>
        </w:rPr>
        <w:t>McG</w:t>
      </w:r>
      <w:proofErr w:type="spellEnd"/>
      <w:r w:rsidRPr="003D5C38">
        <w:rPr>
          <w:i/>
        </w:rPr>
        <w:t xml:space="preserve"> v W</w:t>
      </w:r>
      <w:r>
        <w:t xml:space="preserve">, it was clear </w:t>
      </w:r>
      <w:r w:rsidR="00116E17">
        <w:t>(for example,</w:t>
      </w:r>
      <w:r w:rsidR="003D5C38">
        <w:t xml:space="preserve"> in </w:t>
      </w:r>
      <w:r w:rsidR="003D5C38" w:rsidRPr="00A25F2B">
        <w:rPr>
          <w:i/>
        </w:rPr>
        <w:t>W v W</w:t>
      </w:r>
      <w:r w:rsidR="003D5C38">
        <w:t xml:space="preserve"> [1993] 2</w:t>
      </w:r>
      <w:r w:rsidR="009E507A">
        <w:t xml:space="preserve"> I.R. 476 at 500-504</w:t>
      </w:r>
      <w:r>
        <w:t>) that Irish law was based on English common law developments – and that English jurisprudence had sanctioned a widening of common law divorce recognition as the statutory divorce jurisdiction grounds had expanded. It follows that the seeds of change were planted very many years earlier – and</w:t>
      </w:r>
      <w:r w:rsidR="003D5C38">
        <w:t>,</w:t>
      </w:r>
      <w:r>
        <w:t xml:space="preserve"> </w:t>
      </w:r>
      <w:r w:rsidR="003D5C38">
        <w:t xml:space="preserve">from that perspective, </w:t>
      </w:r>
      <w:r>
        <w:t xml:space="preserve">an affirmation of residence-based recognition in </w:t>
      </w:r>
      <w:r w:rsidRPr="003D5C38">
        <w:rPr>
          <w:i/>
        </w:rPr>
        <w:t xml:space="preserve">H </w:t>
      </w:r>
      <w:r w:rsidR="003D5C38" w:rsidRPr="003D5C38">
        <w:rPr>
          <w:i/>
        </w:rPr>
        <w:t>v H</w:t>
      </w:r>
      <w:r w:rsidR="003D5C38">
        <w:t xml:space="preserve"> was the natural and logical culmination of common law evolution.</w:t>
      </w:r>
      <w:r>
        <w:t xml:space="preserve">      </w:t>
      </w:r>
    </w:p>
  </w:footnote>
  <w:footnote w:id="51">
    <w:p w:rsidR="006B6A92" w:rsidRDefault="006B6A92" w:rsidP="00D7700E">
      <w:pPr>
        <w:pStyle w:val="FootnoteText"/>
        <w:jc w:val="both"/>
      </w:pPr>
      <w:r>
        <w:rPr>
          <w:rStyle w:val="FootnoteReference"/>
        </w:rPr>
        <w:footnoteRef/>
      </w:r>
      <w:r>
        <w:t xml:space="preserve"> </w:t>
      </w:r>
      <w:r w:rsidR="00773683">
        <w:rPr>
          <w:i/>
        </w:rPr>
        <w:t>H v H</w:t>
      </w:r>
      <w:r>
        <w:t xml:space="preserve"> [2015] 1 I.L.R.M. 453 at 489.</w:t>
      </w:r>
    </w:p>
  </w:footnote>
  <w:footnote w:id="52">
    <w:p w:rsidR="006B6A92" w:rsidRDefault="006B6A92" w:rsidP="00D7700E">
      <w:pPr>
        <w:pStyle w:val="FootnoteText"/>
        <w:jc w:val="both"/>
      </w:pPr>
      <w:r>
        <w:rPr>
          <w:rStyle w:val="FootnoteReference"/>
        </w:rPr>
        <w:footnoteRef/>
      </w:r>
      <w:r>
        <w:t xml:space="preserve"> </w:t>
      </w:r>
      <w:r w:rsidR="00773683">
        <w:rPr>
          <w:i/>
        </w:rPr>
        <w:t>H v H</w:t>
      </w:r>
      <w:r>
        <w:t xml:space="preserve"> [2015] 1 I.L.R.M. 453 at 458.</w:t>
      </w:r>
    </w:p>
  </w:footnote>
  <w:footnote w:id="53">
    <w:p w:rsidR="006B6A92" w:rsidRDefault="006B6A92" w:rsidP="00D7700E">
      <w:pPr>
        <w:pStyle w:val="FootnoteText"/>
        <w:jc w:val="both"/>
      </w:pPr>
      <w:r>
        <w:rPr>
          <w:rStyle w:val="FootnoteReference"/>
        </w:rPr>
        <w:footnoteRef/>
      </w:r>
      <w:r>
        <w:t xml:space="preserve"> While </w:t>
      </w:r>
      <w:proofErr w:type="spellStart"/>
      <w:r w:rsidRPr="006B6A92">
        <w:rPr>
          <w:i/>
        </w:rPr>
        <w:t>McG</w:t>
      </w:r>
      <w:proofErr w:type="spellEnd"/>
      <w:r w:rsidRPr="006B6A92">
        <w:rPr>
          <w:i/>
        </w:rPr>
        <w:t xml:space="preserve"> v W</w:t>
      </w:r>
      <w:r>
        <w:t xml:space="preserve"> was condemned as bad law in </w:t>
      </w:r>
      <w:r>
        <w:rPr>
          <w:i/>
        </w:rPr>
        <w:t>MEC v JAC</w:t>
      </w:r>
      <w:r w:rsidRPr="00A25F2B">
        <w:t xml:space="preserve"> [2001] 2 I.R. 399</w:t>
      </w:r>
      <w:r>
        <w:t xml:space="preserve">, it was referred to with approval – at least as far as pre-1986 Act divorces were concerned – in </w:t>
      </w:r>
      <w:r w:rsidR="000F6251">
        <w:t xml:space="preserve">the subsequent High Court case of </w:t>
      </w:r>
      <w:r w:rsidR="000F6251" w:rsidRPr="000F6251">
        <w:rPr>
          <w:i/>
        </w:rPr>
        <w:t xml:space="preserve">DT v FL </w:t>
      </w:r>
      <w:r w:rsidR="000F6251">
        <w:t>[2002] 2 I.L.R.M 152 at 159.</w:t>
      </w:r>
      <w:r w:rsidR="003677FE">
        <w:t xml:space="preserve"> </w:t>
      </w:r>
      <w:proofErr w:type="spellStart"/>
      <w:r w:rsidR="003677FE" w:rsidRPr="003677FE">
        <w:rPr>
          <w:i/>
        </w:rPr>
        <w:t>McG</w:t>
      </w:r>
      <w:proofErr w:type="spellEnd"/>
      <w:r w:rsidR="003677FE" w:rsidRPr="003677FE">
        <w:rPr>
          <w:i/>
        </w:rPr>
        <w:t xml:space="preserve"> v W</w:t>
      </w:r>
      <w:r w:rsidR="003677FE">
        <w:t xml:space="preserve"> is particularly likely to have been followed in cases where the parties were not engaged in a financial dispute and simply sought to regularise their status (see O’Donnell J., dissenting, in </w:t>
      </w:r>
      <w:r w:rsidR="003677FE">
        <w:rPr>
          <w:i/>
        </w:rPr>
        <w:t>H v H</w:t>
      </w:r>
      <w:r w:rsidR="003677FE">
        <w:t xml:space="preserve"> [2015] 1 I.L.R.M. 453 at 490).  </w:t>
      </w:r>
      <w:r w:rsidR="000F6251">
        <w:t xml:space="preserve">  </w:t>
      </w:r>
      <w:r w:rsidR="00BD523B">
        <w:t xml:space="preserve"> </w:t>
      </w:r>
    </w:p>
  </w:footnote>
  <w:footnote w:id="54">
    <w:p w:rsidR="00773683" w:rsidRDefault="00773683" w:rsidP="00D7700E">
      <w:pPr>
        <w:pStyle w:val="FootnoteText"/>
        <w:jc w:val="both"/>
      </w:pPr>
      <w:r>
        <w:rPr>
          <w:rStyle w:val="FootnoteReference"/>
        </w:rPr>
        <w:footnoteRef/>
      </w:r>
      <w:r>
        <w:t xml:space="preserve"> </w:t>
      </w:r>
      <w:r>
        <w:rPr>
          <w:i/>
        </w:rPr>
        <w:t>H v H</w:t>
      </w:r>
      <w:r>
        <w:t xml:space="preserve"> [2015] 1 I.L.R.M. 453 at 487</w:t>
      </w:r>
      <w:r w:rsidR="00EE13C1">
        <w:t>, 497</w:t>
      </w:r>
      <w:r>
        <w:t>.</w:t>
      </w:r>
    </w:p>
  </w:footnote>
  <w:footnote w:id="55">
    <w:p w:rsidR="00DF5A17" w:rsidRDefault="00DF5A17" w:rsidP="00D7700E">
      <w:pPr>
        <w:pStyle w:val="FootnoteText"/>
        <w:jc w:val="both"/>
      </w:pPr>
      <w:r>
        <w:rPr>
          <w:rStyle w:val="FootnoteReference"/>
        </w:rPr>
        <w:footnoteRef/>
      </w:r>
      <w:r>
        <w:t xml:space="preserve"> </w:t>
      </w:r>
      <w:r>
        <w:rPr>
          <w:i/>
        </w:rPr>
        <w:t>H v H</w:t>
      </w:r>
      <w:r>
        <w:t xml:space="preserve"> [2015] 1 I.L.R.M. 453 at 487, 497.</w:t>
      </w:r>
    </w:p>
  </w:footnote>
  <w:footnote w:id="56">
    <w:p w:rsidR="00F57CCC" w:rsidRDefault="00F57CCC" w:rsidP="00D7700E">
      <w:pPr>
        <w:pStyle w:val="FootnoteText"/>
        <w:jc w:val="both"/>
      </w:pPr>
      <w:r>
        <w:rPr>
          <w:rStyle w:val="FootnoteReference"/>
        </w:rPr>
        <w:footnoteRef/>
      </w:r>
      <w:r>
        <w:t xml:space="preserve"> </w:t>
      </w:r>
      <w:r>
        <w:rPr>
          <w:i/>
        </w:rPr>
        <w:t>H v H</w:t>
      </w:r>
      <w:r>
        <w:t xml:space="preserve"> [2015] 1 I.L.R.M. 453 at 488-489</w:t>
      </w:r>
      <w:r w:rsidR="00DF5A17">
        <w:t>, 497</w:t>
      </w:r>
      <w:r w:rsidR="004B6086">
        <w:t>-498</w:t>
      </w:r>
      <w:r>
        <w:t>.</w:t>
      </w:r>
    </w:p>
  </w:footnote>
  <w:footnote w:id="57">
    <w:p w:rsidR="006C28C6" w:rsidRDefault="006C28C6" w:rsidP="00D7700E">
      <w:pPr>
        <w:pStyle w:val="FootnoteText"/>
        <w:jc w:val="both"/>
      </w:pPr>
      <w:r>
        <w:rPr>
          <w:rStyle w:val="FootnoteReference"/>
        </w:rPr>
        <w:footnoteRef/>
      </w:r>
      <w:r>
        <w:t xml:space="preserve"> </w:t>
      </w:r>
      <w:r>
        <w:rPr>
          <w:i/>
        </w:rPr>
        <w:t>H v H</w:t>
      </w:r>
      <w:r>
        <w:t xml:space="preserve"> [2015] 1 I.L.R.M. 453 at 488</w:t>
      </w:r>
      <w:r w:rsidR="003B32FB">
        <w:t>-489</w:t>
      </w:r>
      <w:r>
        <w:t>.</w:t>
      </w:r>
    </w:p>
  </w:footnote>
  <w:footnote w:id="58">
    <w:p w:rsidR="00383518" w:rsidRDefault="00383518" w:rsidP="00D7700E">
      <w:pPr>
        <w:pStyle w:val="FootnoteText"/>
        <w:jc w:val="both"/>
      </w:pPr>
      <w:r>
        <w:rPr>
          <w:rStyle w:val="FootnoteReference"/>
        </w:rPr>
        <w:footnoteRef/>
      </w:r>
      <w:r>
        <w:t xml:space="preserve"> </w:t>
      </w:r>
      <w:r>
        <w:rPr>
          <w:i/>
        </w:rPr>
        <w:t>H v H</w:t>
      </w:r>
      <w:r>
        <w:t xml:space="preserve"> [2015] 1 I.L.R.M. 453 at 487, 491, 495</w:t>
      </w:r>
      <w:r w:rsidR="0064648F">
        <w:t>-497</w:t>
      </w:r>
      <w:r>
        <w:t>.</w:t>
      </w:r>
    </w:p>
  </w:footnote>
  <w:footnote w:id="59">
    <w:p w:rsidR="00117ED5" w:rsidRDefault="00117ED5" w:rsidP="00D7700E">
      <w:pPr>
        <w:pStyle w:val="FootnoteText"/>
        <w:jc w:val="both"/>
      </w:pPr>
      <w:r>
        <w:rPr>
          <w:rStyle w:val="FootnoteReference"/>
        </w:rPr>
        <w:footnoteRef/>
      </w:r>
      <w:r>
        <w:t xml:space="preserve"> </w:t>
      </w:r>
      <w:r>
        <w:rPr>
          <w:i/>
        </w:rPr>
        <w:t>H v H</w:t>
      </w:r>
      <w:r>
        <w:t xml:space="preserve"> [2015] 1 I.L.R.M. 453 at 508.</w:t>
      </w:r>
    </w:p>
  </w:footnote>
  <w:footnote w:id="60">
    <w:p w:rsidR="00727AF4" w:rsidRDefault="00727AF4" w:rsidP="00D7700E">
      <w:pPr>
        <w:pStyle w:val="FootnoteText"/>
        <w:jc w:val="both"/>
      </w:pPr>
      <w:r>
        <w:rPr>
          <w:rStyle w:val="FootnoteReference"/>
        </w:rPr>
        <w:footnoteRef/>
      </w:r>
      <w:r>
        <w:t xml:space="preserve"> See </w:t>
      </w:r>
      <w:r w:rsidRPr="00A25F2B">
        <w:rPr>
          <w:i/>
        </w:rPr>
        <w:t>Travers v Holley</w:t>
      </w:r>
      <w:r w:rsidRPr="00A25F2B">
        <w:t xml:space="preserve"> [1953] P. 246 at 251</w:t>
      </w:r>
      <w:r w:rsidR="00D14678">
        <w:t>, 257</w:t>
      </w:r>
      <w:r>
        <w:t xml:space="preserve"> emphasising the commonality of the foreign and domestic jurisdictional rules; </w:t>
      </w:r>
      <w:proofErr w:type="spellStart"/>
      <w:r w:rsidRPr="00A25F2B">
        <w:rPr>
          <w:i/>
        </w:rPr>
        <w:t>McG</w:t>
      </w:r>
      <w:proofErr w:type="spellEnd"/>
      <w:r w:rsidRPr="00A25F2B">
        <w:rPr>
          <w:i/>
        </w:rPr>
        <w:t xml:space="preserve"> v W </w:t>
      </w:r>
      <w:r>
        <w:t>[2000] 1 I.R. 96 at 103</w:t>
      </w:r>
      <w:r w:rsidRPr="00A25F2B">
        <w:t>.</w:t>
      </w:r>
    </w:p>
  </w:footnote>
  <w:footnote w:id="61">
    <w:p w:rsidR="00B67C80" w:rsidRDefault="00B67C80" w:rsidP="00D7700E">
      <w:pPr>
        <w:pStyle w:val="FootnoteText"/>
        <w:jc w:val="both"/>
      </w:pPr>
      <w:r>
        <w:rPr>
          <w:rStyle w:val="FootnoteReference"/>
        </w:rPr>
        <w:footnoteRef/>
      </w:r>
      <w:r>
        <w:t xml:space="preserve"> </w:t>
      </w:r>
      <w:r w:rsidR="00553F15">
        <w:t xml:space="preserve">See </w:t>
      </w:r>
      <w:r w:rsidR="00553F15" w:rsidRPr="00A25F2B">
        <w:rPr>
          <w:lang w:val="en-IE"/>
        </w:rPr>
        <w:t>Law Commission (and Scottish Law Comm</w:t>
      </w:r>
      <w:r w:rsidR="00553F15">
        <w:rPr>
          <w:lang w:val="en-IE"/>
        </w:rPr>
        <w:t xml:space="preserve">ission), “Hague Convention on Recognition of Divorces and Legal Separations” (Law Com No 34 (Scot Law Com No 16) 1970) p. 11; </w:t>
      </w:r>
      <w:r w:rsidR="00606970">
        <w:t xml:space="preserve">North, </w:t>
      </w:r>
      <w:r w:rsidR="00606970" w:rsidRPr="00DC7DB9">
        <w:rPr>
          <w:i/>
        </w:rPr>
        <w:t xml:space="preserve">The Private International Law of Matrimonial Causes in the British Isles and the Republic of Ireland </w:t>
      </w:r>
      <w:r w:rsidR="00606970">
        <w:t>(Amsterdam: North-Holland, 1977) pp. 162-165</w:t>
      </w:r>
      <w:r w:rsidR="00553F15" w:rsidRPr="00A25F2B">
        <w:rPr>
          <w:lang w:val="en-IE"/>
        </w:rPr>
        <w:t>.</w:t>
      </w:r>
    </w:p>
  </w:footnote>
  <w:footnote w:id="62">
    <w:p w:rsidR="00606970" w:rsidRDefault="00606970" w:rsidP="00D7700E">
      <w:pPr>
        <w:pStyle w:val="FootnoteText"/>
        <w:jc w:val="both"/>
      </w:pPr>
      <w:r>
        <w:rPr>
          <w:rStyle w:val="FootnoteReference"/>
        </w:rPr>
        <w:footnoteRef/>
      </w:r>
      <w:r w:rsidR="00316FB8">
        <w:t xml:space="preserve"> See</w:t>
      </w:r>
      <w:r>
        <w:t xml:space="preserve"> </w:t>
      </w:r>
      <w:proofErr w:type="spellStart"/>
      <w:r w:rsidR="00316FB8" w:rsidRPr="00A25F2B">
        <w:rPr>
          <w:i/>
        </w:rPr>
        <w:t>Indyka</w:t>
      </w:r>
      <w:proofErr w:type="spellEnd"/>
      <w:r w:rsidR="00316FB8" w:rsidRPr="00A25F2B">
        <w:rPr>
          <w:i/>
        </w:rPr>
        <w:t xml:space="preserve"> v </w:t>
      </w:r>
      <w:proofErr w:type="spellStart"/>
      <w:r w:rsidR="00316FB8" w:rsidRPr="00A25F2B">
        <w:rPr>
          <w:i/>
        </w:rPr>
        <w:t>Indyka</w:t>
      </w:r>
      <w:proofErr w:type="spellEnd"/>
      <w:r w:rsidR="00316FB8" w:rsidRPr="00A25F2B">
        <w:rPr>
          <w:i/>
        </w:rPr>
        <w:t xml:space="preserve"> </w:t>
      </w:r>
      <w:r w:rsidR="00316FB8" w:rsidRPr="00A25F2B">
        <w:t>[1969] 1 A.C. 33</w:t>
      </w:r>
      <w:r w:rsidR="00316FB8">
        <w:t xml:space="preserve"> at 91, 106-107, 109</w:t>
      </w:r>
      <w:r w:rsidR="00316FB8" w:rsidRPr="00A25F2B">
        <w:t>.</w:t>
      </w:r>
      <w:r w:rsidR="00316FB8">
        <w:t xml:space="preserve"> Lord Wilberforce (at 106) expressly rejects “the quasi-mathematical application in reverse of domestic legislation”.</w:t>
      </w:r>
    </w:p>
  </w:footnote>
  <w:footnote w:id="63">
    <w:p w:rsidR="00991856" w:rsidRDefault="00991856" w:rsidP="00D7700E">
      <w:pPr>
        <w:pStyle w:val="FootnoteText"/>
        <w:jc w:val="both"/>
      </w:pPr>
      <w:r>
        <w:rPr>
          <w:rStyle w:val="FootnoteReference"/>
        </w:rPr>
        <w:footnoteRef/>
      </w:r>
      <w:r>
        <w:t xml:space="preserve"> </w:t>
      </w:r>
      <w:proofErr w:type="gramStart"/>
      <w:r>
        <w:rPr>
          <w:i/>
        </w:rPr>
        <w:t>H v H</w:t>
      </w:r>
      <w:r>
        <w:t xml:space="preserve"> [2015] 1 I.L.R.M. 453 at 488, 495, 499.</w:t>
      </w:r>
      <w:proofErr w:type="gramEnd"/>
      <w:r w:rsidR="00555DD3">
        <w:t xml:space="preserve"> O’Donnell J. also suggested </w:t>
      </w:r>
      <w:r w:rsidR="00D6076D">
        <w:t xml:space="preserve">briefly </w:t>
      </w:r>
      <w:r w:rsidR="00555DD3">
        <w:t>(at 498) that recognition of historic divorces should be assessed, at common law, by reference to the contemporaneous stand</w:t>
      </w:r>
      <w:r w:rsidR="00704910">
        <w:t xml:space="preserve">ards </w:t>
      </w:r>
      <w:r w:rsidR="00555DD3">
        <w:t>which would be applicable if the same divorce were to be granted abroad at the date of commencement</w:t>
      </w:r>
      <w:r w:rsidR="00704910">
        <w:t xml:space="preserve"> of the recognition proceedings</w:t>
      </w:r>
      <w:r w:rsidR="00555DD3">
        <w:t xml:space="preserve">. On the facts of </w:t>
      </w:r>
      <w:r w:rsidR="00555DD3" w:rsidRPr="00555DD3">
        <w:rPr>
          <w:i/>
        </w:rPr>
        <w:t>H v H</w:t>
      </w:r>
      <w:r w:rsidR="00555DD3">
        <w:t xml:space="preserve">, this approach would compel recognition because a UK divorce pronounced in 2005 (the date of initiation of recognition proceedings) would be entitled to automatic recognition under Brussels II </w:t>
      </w:r>
      <w:proofErr w:type="spellStart"/>
      <w:r w:rsidR="00555DD3" w:rsidRPr="00555DD3">
        <w:rPr>
          <w:i/>
        </w:rPr>
        <w:t>bis</w:t>
      </w:r>
      <w:proofErr w:type="spellEnd"/>
      <w:r w:rsidR="00555DD3">
        <w:t xml:space="preserve">. </w:t>
      </w:r>
      <w:r w:rsidR="00704910">
        <w:t xml:space="preserve">This </w:t>
      </w:r>
      <w:r w:rsidR="00D6076D">
        <w:t xml:space="preserve">approach would </w:t>
      </w:r>
      <w:r w:rsidR="00704910">
        <w:t xml:space="preserve">however </w:t>
      </w:r>
      <w:r w:rsidR="00D6076D">
        <w:t xml:space="preserve">have been extremely problematic and </w:t>
      </w:r>
      <w:r w:rsidR="00704910">
        <w:t xml:space="preserve">it is fortunate that it was not </w:t>
      </w:r>
      <w:r w:rsidR="00D6076D">
        <w:t>taken further. Taken to its logical conclusion</w:t>
      </w:r>
      <w:r w:rsidR="00704910">
        <w:t>,</w:t>
      </w:r>
      <w:r w:rsidR="00D6076D">
        <w:t xml:space="preserve"> it would allow for automatic recognition (at common law) of all EU Member State divorces granted prior to the coming into force of Brussels II </w:t>
      </w:r>
      <w:proofErr w:type="spellStart"/>
      <w:r w:rsidR="00704910">
        <w:rPr>
          <w:i/>
        </w:rPr>
        <w:t>bis</w:t>
      </w:r>
      <w:proofErr w:type="spellEnd"/>
      <w:r w:rsidR="00704910">
        <w:t xml:space="preserve">. </w:t>
      </w:r>
      <w:r w:rsidR="00D6076D">
        <w:t xml:space="preserve">The automatic recognition obligation under Brussels II </w:t>
      </w:r>
      <w:proofErr w:type="spellStart"/>
      <w:r w:rsidR="00D6076D" w:rsidRPr="00704910">
        <w:rPr>
          <w:i/>
        </w:rPr>
        <w:t>bis</w:t>
      </w:r>
      <w:proofErr w:type="spellEnd"/>
      <w:r w:rsidR="00D6076D" w:rsidRPr="00704910">
        <w:rPr>
          <w:i/>
        </w:rPr>
        <w:t xml:space="preserve"> </w:t>
      </w:r>
      <w:r w:rsidR="00D6076D">
        <w:t xml:space="preserve">was premised on the undertaking by all Member States to apply the agreed (harmonised) jurisdiction rules laid down in the Regulation, and </w:t>
      </w:r>
      <w:r w:rsidR="00704910">
        <w:t xml:space="preserve">the idea was that Member States could forgo a check on connectedness at the recognition stage, because the harmonised jurisdiction rules already guaranteed the desired level of connectedness. Where a divorce was granted in a Member State </w:t>
      </w:r>
      <w:r w:rsidR="00704910" w:rsidRPr="00704910">
        <w:rPr>
          <w:i/>
        </w:rPr>
        <w:t>prior</w:t>
      </w:r>
      <w:r w:rsidR="00704910">
        <w:t xml:space="preserve"> to the coming into force of harmonised jurisdiction rules, there was no such guarantee, and therefore no logical basis for waiving the check on connectedness at the recognition stage. </w:t>
      </w:r>
    </w:p>
  </w:footnote>
  <w:footnote w:id="64">
    <w:p w:rsidR="00A1320D" w:rsidRDefault="00A1320D" w:rsidP="00D7700E">
      <w:pPr>
        <w:pStyle w:val="FootnoteText"/>
        <w:jc w:val="both"/>
      </w:pPr>
      <w:r>
        <w:rPr>
          <w:rStyle w:val="FootnoteReference"/>
        </w:rPr>
        <w:footnoteRef/>
      </w:r>
      <w:r>
        <w:t xml:space="preserve"> See </w:t>
      </w:r>
      <w:r w:rsidR="00AF1211">
        <w:t xml:space="preserve">the fifth and sixth indents to </w:t>
      </w:r>
      <w:r w:rsidR="008B5C2C">
        <w:t>art.</w:t>
      </w:r>
      <w:r w:rsidR="00AF1211">
        <w:t xml:space="preserve"> 3(1</w:t>
      </w:r>
      <w:r w:rsidR="003454A3">
        <w:t>)(a)</w:t>
      </w:r>
      <w:r w:rsidR="00AF1211">
        <w:t xml:space="preserve">: a petitioner relying solely on his or her own habitual residence as a basis for divorce jurisdiction must prove either a year’s residence in the relevant Member State or six months </w:t>
      </w:r>
      <w:r w:rsidR="00C94DAE">
        <w:t xml:space="preserve">of </w:t>
      </w:r>
      <w:r w:rsidR="00AF1211">
        <w:t xml:space="preserve">residence coupled with proof of domicile or nationality of the relevant Member State. </w:t>
      </w:r>
    </w:p>
  </w:footnote>
  <w:footnote w:id="65">
    <w:p w:rsidR="007071AB" w:rsidRDefault="007071AB" w:rsidP="00D7700E">
      <w:pPr>
        <w:pStyle w:val="FootnoteText"/>
        <w:jc w:val="both"/>
      </w:pPr>
      <w:r>
        <w:rPr>
          <w:rStyle w:val="FootnoteReference"/>
        </w:rPr>
        <w:footnoteRef/>
      </w:r>
      <w:r>
        <w:t xml:space="preserve"> See </w:t>
      </w:r>
      <w:proofErr w:type="spellStart"/>
      <w:r>
        <w:t>Ní</w:t>
      </w:r>
      <w:proofErr w:type="spellEnd"/>
      <w:r>
        <w:t xml:space="preserve"> </w:t>
      </w:r>
      <w:proofErr w:type="spellStart"/>
      <w:r>
        <w:t>Shúilleabháin</w:t>
      </w:r>
      <w:proofErr w:type="spellEnd"/>
      <w:r>
        <w:t xml:space="preserve">, “Marriage, Divorce and Stagnation in the Irish Conflict of Laws” (2014) 50 </w:t>
      </w:r>
      <w:r w:rsidRPr="00A56438">
        <w:rPr>
          <w:i/>
        </w:rPr>
        <w:t>Irish Jurist</w:t>
      </w:r>
      <w:r>
        <w:t xml:space="preserve"> 68 at 76</w:t>
      </w:r>
      <w:r w:rsidR="00AF1211">
        <w:t xml:space="preserve"> (</w:t>
      </w:r>
      <w:proofErr w:type="spellStart"/>
      <w:proofErr w:type="gramStart"/>
      <w:r w:rsidR="00AF1211">
        <w:t>fn</w:t>
      </w:r>
      <w:proofErr w:type="spellEnd"/>
      <w:proofErr w:type="gramEnd"/>
      <w:r w:rsidR="00AF1211">
        <w:t xml:space="preserve"> 65)</w:t>
      </w:r>
      <w:r w:rsidR="003454A3">
        <w:t xml:space="preserve">. </w:t>
      </w:r>
    </w:p>
  </w:footnote>
  <w:footnote w:id="66">
    <w:p w:rsidR="00D320D9" w:rsidRDefault="00D320D9" w:rsidP="00D7700E">
      <w:pPr>
        <w:pStyle w:val="FootnoteText"/>
        <w:jc w:val="both"/>
      </w:pPr>
      <w:r>
        <w:rPr>
          <w:rStyle w:val="FootnoteReference"/>
        </w:rPr>
        <w:footnoteRef/>
      </w:r>
      <w:r>
        <w:t xml:space="preserve"> See </w:t>
      </w:r>
      <w:proofErr w:type="spellStart"/>
      <w:r>
        <w:t>Borrás</w:t>
      </w:r>
      <w:proofErr w:type="spellEnd"/>
      <w:r>
        <w:t xml:space="preserve">, “Explanatory Report on the Convention, drawn up on the basis of Article K.3 of the Treaty on European Union, on Jurisdiction and the Recognition and Enforcement of Judgments in Matrimonial Matters” [1998] O.J. C221/27, pp. 38-39 (commenting on the negotiations leading to the “Brussels II Convention” which text was subsequently incorporated into Brussels II </w:t>
      </w:r>
      <w:proofErr w:type="spellStart"/>
      <w:r w:rsidRPr="00D320D9">
        <w:rPr>
          <w:i/>
        </w:rPr>
        <w:t>bis</w:t>
      </w:r>
      <w:proofErr w:type="spellEnd"/>
      <w:r>
        <w:t>).</w:t>
      </w:r>
    </w:p>
  </w:footnote>
  <w:footnote w:id="67">
    <w:p w:rsidR="00C26E5A" w:rsidRDefault="00C26E5A" w:rsidP="00D7700E">
      <w:pPr>
        <w:pStyle w:val="FootnoteText"/>
        <w:jc w:val="both"/>
      </w:pPr>
      <w:r>
        <w:rPr>
          <w:rStyle w:val="FootnoteReference"/>
        </w:rPr>
        <w:footnoteRef/>
      </w:r>
      <w:r>
        <w:t xml:space="preserve"> </w:t>
      </w:r>
      <w:r w:rsidRPr="00C26E5A">
        <w:rPr>
          <w:i/>
        </w:rPr>
        <w:t>A Programme for a Partnership Government</w:t>
      </w:r>
      <w:r>
        <w:t xml:space="preserve"> (2016), available at &lt;</w:t>
      </w:r>
      <w:r w:rsidRPr="00C26E5A">
        <w:t>h</w:t>
      </w:r>
      <w:r>
        <w:t>ttp://www.merrionstreet.ie&gt;</w:t>
      </w:r>
    </w:p>
  </w:footnote>
  <w:footnote w:id="68">
    <w:p w:rsidR="00A94717" w:rsidRDefault="00A94717" w:rsidP="00D7700E">
      <w:pPr>
        <w:pStyle w:val="FootnoteText"/>
        <w:jc w:val="both"/>
      </w:pPr>
      <w:r>
        <w:rPr>
          <w:rStyle w:val="FootnoteReference"/>
        </w:rPr>
        <w:footnoteRef/>
      </w:r>
      <w:r>
        <w:t xml:space="preserve"> See &lt;</w:t>
      </w:r>
      <w:r w:rsidRPr="00C26E5A">
        <w:t>h</w:t>
      </w:r>
      <w:r>
        <w:t>ttp://www.lawreform.ie&gt;.</w:t>
      </w:r>
    </w:p>
  </w:footnote>
  <w:footnote w:id="69">
    <w:p w:rsidR="00C94DAE" w:rsidRDefault="00C94DAE" w:rsidP="00D7700E">
      <w:pPr>
        <w:pStyle w:val="FootnoteText"/>
        <w:jc w:val="both"/>
      </w:pPr>
      <w:r>
        <w:rPr>
          <w:rStyle w:val="FootnoteReference"/>
        </w:rPr>
        <w:footnoteRef/>
      </w:r>
      <w:r>
        <w:t xml:space="preserve"> A similar reluctance to reformulate the common law rules for recognition of foreign commercial judgments was apparent in the Supreme Court’s judgment in </w:t>
      </w:r>
      <w:r w:rsidRPr="00C94DAE">
        <w:rPr>
          <w:i/>
        </w:rPr>
        <w:t xml:space="preserve">Re </w:t>
      </w:r>
      <w:proofErr w:type="spellStart"/>
      <w:r w:rsidRPr="00C94DAE">
        <w:rPr>
          <w:i/>
        </w:rPr>
        <w:t>Flightlease</w:t>
      </w:r>
      <w:proofErr w:type="spellEnd"/>
      <w:r>
        <w:t xml:space="preserve"> [2012] 2 I.L.R.M. 461. Critiquing the </w:t>
      </w:r>
      <w:proofErr w:type="spellStart"/>
      <w:r w:rsidRPr="00C94DAE">
        <w:rPr>
          <w:i/>
        </w:rPr>
        <w:t>Flightlease</w:t>
      </w:r>
      <w:proofErr w:type="spellEnd"/>
      <w:r>
        <w:t xml:space="preserve"> judgment, Kenny observes (in a similar vein to the above analysis of </w:t>
      </w:r>
      <w:r w:rsidRPr="00C94DAE">
        <w:rPr>
          <w:i/>
        </w:rPr>
        <w:t>H v H)</w:t>
      </w:r>
      <w:r>
        <w:t xml:space="preserve"> an excessive deference to the separation of powers doctrine, placing the common law “in a sort of permafrost, only to be thawed should the legislature decide to intervene”</w:t>
      </w:r>
      <w:r w:rsidR="00362162">
        <w:t xml:space="preserve"> (see Kenny “</w:t>
      </w:r>
      <w:r w:rsidR="00362162" w:rsidRPr="00362162">
        <w:rPr>
          <w:i/>
        </w:rPr>
        <w:t xml:space="preserve">Re </w:t>
      </w:r>
      <w:proofErr w:type="spellStart"/>
      <w:r w:rsidR="00362162" w:rsidRPr="00362162">
        <w:rPr>
          <w:i/>
        </w:rPr>
        <w:t>Flightlease</w:t>
      </w:r>
      <w:proofErr w:type="spellEnd"/>
      <w:r w:rsidR="00362162">
        <w:t xml:space="preserve">: the ‘Real and Substantial Connection’ Test for Recognition and Enforcement of Foreign Judgments Fails to Take Flight in Ireland” (2014) 63 </w:t>
      </w:r>
      <w:r w:rsidR="00362162" w:rsidRPr="00362162">
        <w:rPr>
          <w:i/>
        </w:rPr>
        <w:t>International and Comparative Law Quarterly</w:t>
      </w:r>
      <w:r w:rsidR="00A903E1">
        <w:t xml:space="preserve"> 197 at</w:t>
      </w:r>
      <w:r w:rsidR="00362162">
        <w:t xml:space="preserve"> 208). </w:t>
      </w:r>
    </w:p>
  </w:footnote>
  <w:footnote w:id="70">
    <w:p w:rsidR="00DA0A0B" w:rsidRDefault="00DA0A0B" w:rsidP="00D7700E">
      <w:pPr>
        <w:pStyle w:val="FootnoteText"/>
        <w:jc w:val="both"/>
      </w:pPr>
      <w:r>
        <w:rPr>
          <w:rStyle w:val="FootnoteReference"/>
        </w:rPr>
        <w:footnoteRef/>
      </w:r>
      <w:r>
        <w:t xml:space="preserve"> O’Donnell J. argues that </w:t>
      </w:r>
      <w:proofErr w:type="spellStart"/>
      <w:r w:rsidRPr="00DA0A0B">
        <w:rPr>
          <w:i/>
        </w:rPr>
        <w:t>McG</w:t>
      </w:r>
      <w:proofErr w:type="spellEnd"/>
      <w:r w:rsidRPr="00DA0A0B">
        <w:rPr>
          <w:i/>
        </w:rPr>
        <w:t xml:space="preserve"> v W</w:t>
      </w:r>
      <w:r>
        <w:t xml:space="preserve"> did not raise an issue touching on the separation of powers, because there was nothing to prevent the legislature altering, overturning</w:t>
      </w:r>
      <w:r w:rsidR="00A22D13">
        <w:t>,</w:t>
      </w:r>
      <w:r>
        <w:t xml:space="preserve"> or endorsing with or without qualifications, the approach of the court: see  </w:t>
      </w:r>
      <w:r w:rsidR="00A22D13">
        <w:rPr>
          <w:i/>
        </w:rPr>
        <w:t>H v H</w:t>
      </w:r>
      <w:r w:rsidR="00A22D13">
        <w:t xml:space="preserve"> [2015] 1 I.L.R.M. 453 at 506.</w:t>
      </w:r>
    </w:p>
  </w:footnote>
  <w:footnote w:id="71">
    <w:p w:rsidR="00DA0A0B" w:rsidRDefault="00DA0A0B" w:rsidP="00D7700E">
      <w:pPr>
        <w:pStyle w:val="FootnoteText"/>
        <w:jc w:val="both"/>
      </w:pPr>
      <w:r>
        <w:rPr>
          <w:rStyle w:val="FootnoteReference"/>
        </w:rPr>
        <w:footnoteRef/>
      </w:r>
      <w:r>
        <w:t xml:space="preserve"> See </w:t>
      </w:r>
      <w:proofErr w:type="spellStart"/>
      <w:r>
        <w:t>Ní</w:t>
      </w:r>
      <w:proofErr w:type="spellEnd"/>
      <w:r>
        <w:t xml:space="preserve"> </w:t>
      </w:r>
      <w:proofErr w:type="spellStart"/>
      <w:r>
        <w:t>Shúilleabháin</w:t>
      </w:r>
      <w:proofErr w:type="spellEnd"/>
      <w:r>
        <w:t xml:space="preserve">, “Marriage, Divorce and Stagnation in the Irish Conflict of Laws” (2014) 50 </w:t>
      </w:r>
      <w:r w:rsidRPr="00A56438">
        <w:rPr>
          <w:i/>
        </w:rPr>
        <w:t>Irish Jurist</w:t>
      </w:r>
      <w:r>
        <w:t xml:space="preserve"> 68 at 74-76 on the possible implications for Irish divorce recognition of developments in the case-law of the European Court of Human Rights.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DB"/>
    <w:rsid w:val="000009D7"/>
    <w:rsid w:val="00003471"/>
    <w:rsid w:val="00005BEA"/>
    <w:rsid w:val="0001064A"/>
    <w:rsid w:val="00011661"/>
    <w:rsid w:val="0001238E"/>
    <w:rsid w:val="0002627C"/>
    <w:rsid w:val="00035615"/>
    <w:rsid w:val="00035EC0"/>
    <w:rsid w:val="00051A89"/>
    <w:rsid w:val="0005679A"/>
    <w:rsid w:val="00063350"/>
    <w:rsid w:val="00063B6A"/>
    <w:rsid w:val="0006486D"/>
    <w:rsid w:val="00072DF5"/>
    <w:rsid w:val="00087955"/>
    <w:rsid w:val="000925EA"/>
    <w:rsid w:val="000967DE"/>
    <w:rsid w:val="000A1946"/>
    <w:rsid w:val="000A5B29"/>
    <w:rsid w:val="000A6FC8"/>
    <w:rsid w:val="000C18E4"/>
    <w:rsid w:val="000C3DD6"/>
    <w:rsid w:val="000C5817"/>
    <w:rsid w:val="000E6DDC"/>
    <w:rsid w:val="000F6251"/>
    <w:rsid w:val="00102269"/>
    <w:rsid w:val="001054CF"/>
    <w:rsid w:val="00116E17"/>
    <w:rsid w:val="00117ED5"/>
    <w:rsid w:val="00122174"/>
    <w:rsid w:val="001257C9"/>
    <w:rsid w:val="00127343"/>
    <w:rsid w:val="00127AA5"/>
    <w:rsid w:val="0013323F"/>
    <w:rsid w:val="00145A47"/>
    <w:rsid w:val="00146E77"/>
    <w:rsid w:val="001473A2"/>
    <w:rsid w:val="00152270"/>
    <w:rsid w:val="001525EA"/>
    <w:rsid w:val="0015775F"/>
    <w:rsid w:val="00160BC5"/>
    <w:rsid w:val="00162871"/>
    <w:rsid w:val="00165DC8"/>
    <w:rsid w:val="00167500"/>
    <w:rsid w:val="00172DCE"/>
    <w:rsid w:val="001932D4"/>
    <w:rsid w:val="001B310B"/>
    <w:rsid w:val="001B6440"/>
    <w:rsid w:val="001B6F65"/>
    <w:rsid w:val="001C142F"/>
    <w:rsid w:val="001D0517"/>
    <w:rsid w:val="0020151C"/>
    <w:rsid w:val="002020C8"/>
    <w:rsid w:val="00206554"/>
    <w:rsid w:val="00210D8F"/>
    <w:rsid w:val="00240C65"/>
    <w:rsid w:val="002636BA"/>
    <w:rsid w:val="00291C5E"/>
    <w:rsid w:val="00295C07"/>
    <w:rsid w:val="002C7A4D"/>
    <w:rsid w:val="002D1E7D"/>
    <w:rsid w:val="002D7B25"/>
    <w:rsid w:val="002E53C9"/>
    <w:rsid w:val="002E77ED"/>
    <w:rsid w:val="002F1987"/>
    <w:rsid w:val="003058CE"/>
    <w:rsid w:val="003070B9"/>
    <w:rsid w:val="00313467"/>
    <w:rsid w:val="00316FB8"/>
    <w:rsid w:val="00324337"/>
    <w:rsid w:val="00327BAA"/>
    <w:rsid w:val="00331713"/>
    <w:rsid w:val="00343EA7"/>
    <w:rsid w:val="003454A3"/>
    <w:rsid w:val="00345AC2"/>
    <w:rsid w:val="00350F2E"/>
    <w:rsid w:val="0036072C"/>
    <w:rsid w:val="00362162"/>
    <w:rsid w:val="00363285"/>
    <w:rsid w:val="003677FE"/>
    <w:rsid w:val="0037150C"/>
    <w:rsid w:val="00373C4A"/>
    <w:rsid w:val="003769EA"/>
    <w:rsid w:val="003808C3"/>
    <w:rsid w:val="00383518"/>
    <w:rsid w:val="00392EA3"/>
    <w:rsid w:val="00394B76"/>
    <w:rsid w:val="003B2DE8"/>
    <w:rsid w:val="003B32FB"/>
    <w:rsid w:val="003B47DE"/>
    <w:rsid w:val="003C451E"/>
    <w:rsid w:val="003D5C38"/>
    <w:rsid w:val="003F6C06"/>
    <w:rsid w:val="004119F2"/>
    <w:rsid w:val="00412EC4"/>
    <w:rsid w:val="00414CBF"/>
    <w:rsid w:val="00415496"/>
    <w:rsid w:val="00417CAA"/>
    <w:rsid w:val="0043236F"/>
    <w:rsid w:val="0043397A"/>
    <w:rsid w:val="00451160"/>
    <w:rsid w:val="00470E79"/>
    <w:rsid w:val="00471B8C"/>
    <w:rsid w:val="00490A0C"/>
    <w:rsid w:val="004B223E"/>
    <w:rsid w:val="004B57FC"/>
    <w:rsid w:val="004B6086"/>
    <w:rsid w:val="004C330A"/>
    <w:rsid w:val="004D13F0"/>
    <w:rsid w:val="004D3806"/>
    <w:rsid w:val="004E1FFD"/>
    <w:rsid w:val="004F5A02"/>
    <w:rsid w:val="004F5E29"/>
    <w:rsid w:val="00503DDA"/>
    <w:rsid w:val="00521357"/>
    <w:rsid w:val="00522042"/>
    <w:rsid w:val="00534301"/>
    <w:rsid w:val="00542D8D"/>
    <w:rsid w:val="00546702"/>
    <w:rsid w:val="00547D84"/>
    <w:rsid w:val="0055008C"/>
    <w:rsid w:val="00552DA3"/>
    <w:rsid w:val="00553F15"/>
    <w:rsid w:val="00555DD3"/>
    <w:rsid w:val="00557356"/>
    <w:rsid w:val="0057634F"/>
    <w:rsid w:val="00593420"/>
    <w:rsid w:val="00595825"/>
    <w:rsid w:val="005960E6"/>
    <w:rsid w:val="00597222"/>
    <w:rsid w:val="005A3E62"/>
    <w:rsid w:val="005A4F7B"/>
    <w:rsid w:val="005C2FD9"/>
    <w:rsid w:val="005D3B78"/>
    <w:rsid w:val="005D69B7"/>
    <w:rsid w:val="005F0E5C"/>
    <w:rsid w:val="005F734A"/>
    <w:rsid w:val="006066EA"/>
    <w:rsid w:val="00606970"/>
    <w:rsid w:val="00621740"/>
    <w:rsid w:val="00626148"/>
    <w:rsid w:val="00626C14"/>
    <w:rsid w:val="00637B81"/>
    <w:rsid w:val="0064648F"/>
    <w:rsid w:val="00656B83"/>
    <w:rsid w:val="0067141B"/>
    <w:rsid w:val="00673C9B"/>
    <w:rsid w:val="00677CE6"/>
    <w:rsid w:val="00681555"/>
    <w:rsid w:val="00687B4F"/>
    <w:rsid w:val="006901FB"/>
    <w:rsid w:val="006B10CA"/>
    <w:rsid w:val="006B3440"/>
    <w:rsid w:val="006B4919"/>
    <w:rsid w:val="006B4C24"/>
    <w:rsid w:val="006B6A92"/>
    <w:rsid w:val="006B7DD7"/>
    <w:rsid w:val="006C28C6"/>
    <w:rsid w:val="006C29DF"/>
    <w:rsid w:val="006C68C3"/>
    <w:rsid w:val="006F0E80"/>
    <w:rsid w:val="006F626A"/>
    <w:rsid w:val="00704910"/>
    <w:rsid w:val="007071AB"/>
    <w:rsid w:val="00712F38"/>
    <w:rsid w:val="0071625F"/>
    <w:rsid w:val="0071726F"/>
    <w:rsid w:val="007202A5"/>
    <w:rsid w:val="00720DEB"/>
    <w:rsid w:val="0072173A"/>
    <w:rsid w:val="0072187C"/>
    <w:rsid w:val="00727AF4"/>
    <w:rsid w:val="00746B17"/>
    <w:rsid w:val="00750425"/>
    <w:rsid w:val="007562D1"/>
    <w:rsid w:val="007678D4"/>
    <w:rsid w:val="00767B6D"/>
    <w:rsid w:val="00773683"/>
    <w:rsid w:val="00775EC1"/>
    <w:rsid w:val="00782A26"/>
    <w:rsid w:val="00783D5C"/>
    <w:rsid w:val="007D0295"/>
    <w:rsid w:val="007D0387"/>
    <w:rsid w:val="007D5BB7"/>
    <w:rsid w:val="007F234B"/>
    <w:rsid w:val="008020A3"/>
    <w:rsid w:val="0080412B"/>
    <w:rsid w:val="0081686F"/>
    <w:rsid w:val="00817AD6"/>
    <w:rsid w:val="008206D7"/>
    <w:rsid w:val="00825B97"/>
    <w:rsid w:val="008602D6"/>
    <w:rsid w:val="00861660"/>
    <w:rsid w:val="00861B45"/>
    <w:rsid w:val="00863CB3"/>
    <w:rsid w:val="0086572B"/>
    <w:rsid w:val="0086582D"/>
    <w:rsid w:val="00867D8A"/>
    <w:rsid w:val="008832E2"/>
    <w:rsid w:val="00883B96"/>
    <w:rsid w:val="008916B9"/>
    <w:rsid w:val="00892ECF"/>
    <w:rsid w:val="008A0B84"/>
    <w:rsid w:val="008B5C2C"/>
    <w:rsid w:val="008C69A8"/>
    <w:rsid w:val="00900579"/>
    <w:rsid w:val="009038BE"/>
    <w:rsid w:val="00903A5C"/>
    <w:rsid w:val="00904CE2"/>
    <w:rsid w:val="00912E1D"/>
    <w:rsid w:val="00922518"/>
    <w:rsid w:val="00923095"/>
    <w:rsid w:val="00946693"/>
    <w:rsid w:val="00946CA6"/>
    <w:rsid w:val="0095415B"/>
    <w:rsid w:val="00957B96"/>
    <w:rsid w:val="00963B91"/>
    <w:rsid w:val="00967F26"/>
    <w:rsid w:val="00991856"/>
    <w:rsid w:val="009970CF"/>
    <w:rsid w:val="009C0650"/>
    <w:rsid w:val="009C1A89"/>
    <w:rsid w:val="009C4C48"/>
    <w:rsid w:val="009C62CC"/>
    <w:rsid w:val="009E2696"/>
    <w:rsid w:val="009E507A"/>
    <w:rsid w:val="00A017F5"/>
    <w:rsid w:val="00A02A67"/>
    <w:rsid w:val="00A1320D"/>
    <w:rsid w:val="00A22D13"/>
    <w:rsid w:val="00A24F47"/>
    <w:rsid w:val="00A25112"/>
    <w:rsid w:val="00A25F2B"/>
    <w:rsid w:val="00A32E5F"/>
    <w:rsid w:val="00A357F1"/>
    <w:rsid w:val="00A364A3"/>
    <w:rsid w:val="00A43BEA"/>
    <w:rsid w:val="00A7415D"/>
    <w:rsid w:val="00A7541E"/>
    <w:rsid w:val="00A851CC"/>
    <w:rsid w:val="00A903E1"/>
    <w:rsid w:val="00A94717"/>
    <w:rsid w:val="00A95B6D"/>
    <w:rsid w:val="00AA08EA"/>
    <w:rsid w:val="00AA4A06"/>
    <w:rsid w:val="00AC1340"/>
    <w:rsid w:val="00AD2378"/>
    <w:rsid w:val="00AE0EB7"/>
    <w:rsid w:val="00AE33DA"/>
    <w:rsid w:val="00AF1211"/>
    <w:rsid w:val="00AF2CAA"/>
    <w:rsid w:val="00AF477D"/>
    <w:rsid w:val="00AF4DAF"/>
    <w:rsid w:val="00AF6F90"/>
    <w:rsid w:val="00B05984"/>
    <w:rsid w:val="00B11539"/>
    <w:rsid w:val="00B14997"/>
    <w:rsid w:val="00B15B09"/>
    <w:rsid w:val="00B32F2B"/>
    <w:rsid w:val="00B41481"/>
    <w:rsid w:val="00B5633E"/>
    <w:rsid w:val="00B67C80"/>
    <w:rsid w:val="00B85E94"/>
    <w:rsid w:val="00B878EF"/>
    <w:rsid w:val="00BA2113"/>
    <w:rsid w:val="00BA4562"/>
    <w:rsid w:val="00BB5F7D"/>
    <w:rsid w:val="00BC5DA1"/>
    <w:rsid w:val="00BD4B24"/>
    <w:rsid w:val="00BD523B"/>
    <w:rsid w:val="00BE1576"/>
    <w:rsid w:val="00BE63A8"/>
    <w:rsid w:val="00BF433C"/>
    <w:rsid w:val="00BF6246"/>
    <w:rsid w:val="00C01FC5"/>
    <w:rsid w:val="00C02FFE"/>
    <w:rsid w:val="00C060A3"/>
    <w:rsid w:val="00C10881"/>
    <w:rsid w:val="00C12080"/>
    <w:rsid w:val="00C26E5A"/>
    <w:rsid w:val="00C34376"/>
    <w:rsid w:val="00C44611"/>
    <w:rsid w:val="00C506FC"/>
    <w:rsid w:val="00C52F27"/>
    <w:rsid w:val="00C639A1"/>
    <w:rsid w:val="00C80FBB"/>
    <w:rsid w:val="00C87371"/>
    <w:rsid w:val="00C93592"/>
    <w:rsid w:val="00C94DAE"/>
    <w:rsid w:val="00CB16BD"/>
    <w:rsid w:val="00CB5FF5"/>
    <w:rsid w:val="00CC7659"/>
    <w:rsid w:val="00CC79C4"/>
    <w:rsid w:val="00CD4962"/>
    <w:rsid w:val="00CD6717"/>
    <w:rsid w:val="00D14678"/>
    <w:rsid w:val="00D17986"/>
    <w:rsid w:val="00D320D9"/>
    <w:rsid w:val="00D3323B"/>
    <w:rsid w:val="00D36F2D"/>
    <w:rsid w:val="00D45ADA"/>
    <w:rsid w:val="00D552DB"/>
    <w:rsid w:val="00D566B8"/>
    <w:rsid w:val="00D57788"/>
    <w:rsid w:val="00D6076D"/>
    <w:rsid w:val="00D643C9"/>
    <w:rsid w:val="00D6472D"/>
    <w:rsid w:val="00D71C3B"/>
    <w:rsid w:val="00D73162"/>
    <w:rsid w:val="00D737EE"/>
    <w:rsid w:val="00D7440A"/>
    <w:rsid w:val="00D7700E"/>
    <w:rsid w:val="00D85F17"/>
    <w:rsid w:val="00D94E5C"/>
    <w:rsid w:val="00D9693A"/>
    <w:rsid w:val="00DA09B1"/>
    <w:rsid w:val="00DA0A0B"/>
    <w:rsid w:val="00DA102B"/>
    <w:rsid w:val="00DD2B2B"/>
    <w:rsid w:val="00DD79CE"/>
    <w:rsid w:val="00DF5A17"/>
    <w:rsid w:val="00E05375"/>
    <w:rsid w:val="00E059F6"/>
    <w:rsid w:val="00E05A2C"/>
    <w:rsid w:val="00E10A3F"/>
    <w:rsid w:val="00E23E78"/>
    <w:rsid w:val="00E257F0"/>
    <w:rsid w:val="00E25C19"/>
    <w:rsid w:val="00E56CB3"/>
    <w:rsid w:val="00E576DF"/>
    <w:rsid w:val="00E66A75"/>
    <w:rsid w:val="00E71ABF"/>
    <w:rsid w:val="00E73461"/>
    <w:rsid w:val="00E8453A"/>
    <w:rsid w:val="00E87CA8"/>
    <w:rsid w:val="00E9105E"/>
    <w:rsid w:val="00EA0C30"/>
    <w:rsid w:val="00EB3EBD"/>
    <w:rsid w:val="00EB4E03"/>
    <w:rsid w:val="00EE13C1"/>
    <w:rsid w:val="00EE4FB3"/>
    <w:rsid w:val="00EE674F"/>
    <w:rsid w:val="00EF23EA"/>
    <w:rsid w:val="00EF44E3"/>
    <w:rsid w:val="00EF70A6"/>
    <w:rsid w:val="00F00260"/>
    <w:rsid w:val="00F022E5"/>
    <w:rsid w:val="00F033EA"/>
    <w:rsid w:val="00F109C9"/>
    <w:rsid w:val="00F24CC5"/>
    <w:rsid w:val="00F303CB"/>
    <w:rsid w:val="00F339B7"/>
    <w:rsid w:val="00F52BB4"/>
    <w:rsid w:val="00F57CCC"/>
    <w:rsid w:val="00F57DE3"/>
    <w:rsid w:val="00F603AA"/>
    <w:rsid w:val="00FA04F4"/>
    <w:rsid w:val="00FA3936"/>
    <w:rsid w:val="00FB7C0C"/>
    <w:rsid w:val="00FC7687"/>
    <w:rsid w:val="00FD34FA"/>
    <w:rsid w:val="00FD66C3"/>
    <w:rsid w:val="00FF29DB"/>
    <w:rsid w:val="00FF400D"/>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CAA"/>
    <w:rPr>
      <w:sz w:val="20"/>
      <w:szCs w:val="20"/>
    </w:rPr>
  </w:style>
  <w:style w:type="character" w:styleId="FootnoteReference">
    <w:name w:val="footnote reference"/>
    <w:basedOn w:val="DefaultParagraphFont"/>
    <w:uiPriority w:val="99"/>
    <w:semiHidden/>
    <w:unhideWhenUsed/>
    <w:rsid w:val="00AF2CAA"/>
    <w:rPr>
      <w:vertAlign w:val="superscript"/>
    </w:rPr>
  </w:style>
  <w:style w:type="paragraph" w:styleId="BalloonText">
    <w:name w:val="Balloon Text"/>
    <w:basedOn w:val="Normal"/>
    <w:link w:val="BalloonTextChar"/>
    <w:uiPriority w:val="99"/>
    <w:semiHidden/>
    <w:unhideWhenUsed/>
    <w:rsid w:val="00F0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CAA"/>
    <w:rPr>
      <w:sz w:val="20"/>
      <w:szCs w:val="20"/>
    </w:rPr>
  </w:style>
  <w:style w:type="character" w:styleId="FootnoteReference">
    <w:name w:val="footnote reference"/>
    <w:basedOn w:val="DefaultParagraphFont"/>
    <w:uiPriority w:val="99"/>
    <w:semiHidden/>
    <w:unhideWhenUsed/>
    <w:rsid w:val="00AF2CAA"/>
    <w:rPr>
      <w:vertAlign w:val="superscript"/>
    </w:rPr>
  </w:style>
  <w:style w:type="paragraph" w:styleId="BalloonText">
    <w:name w:val="Balloon Text"/>
    <w:basedOn w:val="Normal"/>
    <w:link w:val="BalloonTextChar"/>
    <w:uiPriority w:val="99"/>
    <w:semiHidden/>
    <w:unhideWhenUsed/>
    <w:rsid w:val="00F0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13ED-2D0E-465E-BADC-340EE939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Ni Shuilleabhain</dc:creator>
  <cp:lastModifiedBy>Mairnish</cp:lastModifiedBy>
  <cp:revision>2</cp:revision>
  <cp:lastPrinted>2016-12-19T17:47:00Z</cp:lastPrinted>
  <dcterms:created xsi:type="dcterms:W3CDTF">2017-06-01T14:38:00Z</dcterms:created>
  <dcterms:modified xsi:type="dcterms:W3CDTF">2017-06-01T14:38:00Z</dcterms:modified>
</cp:coreProperties>
</file>