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77D354" w14:textId="2F0A2DD5" w:rsidR="00630645" w:rsidRPr="00630645" w:rsidRDefault="00630645" w:rsidP="00630645">
      <w:pPr>
        <w:spacing w:after="0" w:line="24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sidRPr="00630645">
        <w:rPr>
          <w:rFonts w:ascii="Times New Roman" w:eastAsiaTheme="minorEastAsia" w:hAnsi="Times New Roman" w:cs="Times New Roman"/>
          <w:sz w:val="24"/>
          <w:szCs w:val="24"/>
        </w:rPr>
        <w:t>Higher and Further Education: Historical Perspectives</w:t>
      </w:r>
      <w:r>
        <w:rPr>
          <w:rFonts w:ascii="Times New Roman" w:eastAsiaTheme="minorEastAsia" w:hAnsi="Times New Roman" w:cs="Times New Roman"/>
          <w:sz w:val="24"/>
          <w:szCs w:val="24"/>
        </w:rPr>
        <w:t>”</w:t>
      </w:r>
    </w:p>
    <w:p w14:paraId="7B08C7F6" w14:textId="7EA21714" w:rsidR="00BD76FF" w:rsidRPr="00630645" w:rsidRDefault="00630645" w:rsidP="00630645">
      <w:pPr>
        <w:shd w:val="clear" w:color="auto" w:fill="FFFFFF"/>
        <w:spacing w:before="120" w:after="120" w:line="240" w:lineRule="auto"/>
        <w:rPr>
          <w:rFonts w:ascii="Times New Roman" w:eastAsia="Times New Roman" w:hAnsi="Times New Roman" w:cs="Times New Roman"/>
          <w:color w:val="222222"/>
          <w:sz w:val="24"/>
          <w:szCs w:val="24"/>
          <w:lang w:val="en"/>
        </w:rPr>
      </w:pPr>
      <w:r w:rsidRPr="00630645">
        <w:rPr>
          <w:rFonts w:ascii="Times New Roman" w:eastAsia="Times New Roman" w:hAnsi="Times New Roman" w:cs="Times New Roman"/>
          <w:color w:val="222222"/>
          <w:sz w:val="24"/>
          <w:szCs w:val="24"/>
          <w:lang w:val="en"/>
        </w:rPr>
        <w:t>Judith Harford</w:t>
      </w:r>
    </w:p>
    <w:p w14:paraId="2B5C44BE" w14:textId="701D0773" w:rsidR="00630645" w:rsidRPr="00630645" w:rsidRDefault="00630645" w:rsidP="00630645">
      <w:pPr>
        <w:shd w:val="clear" w:color="auto" w:fill="FFFFFF"/>
        <w:spacing w:before="120" w:after="120" w:line="240" w:lineRule="auto"/>
        <w:rPr>
          <w:rFonts w:ascii="Times New Roman" w:eastAsia="Times New Roman" w:hAnsi="Times New Roman" w:cs="Times New Roman"/>
          <w:color w:val="222222"/>
          <w:sz w:val="24"/>
          <w:szCs w:val="24"/>
          <w:lang w:val="en"/>
        </w:rPr>
      </w:pPr>
      <w:r w:rsidRPr="00630645">
        <w:rPr>
          <w:rFonts w:ascii="Times New Roman" w:eastAsia="Times New Roman" w:hAnsi="Times New Roman" w:cs="Times New Roman"/>
          <w:color w:val="222222"/>
          <w:sz w:val="24"/>
          <w:szCs w:val="24"/>
          <w:lang w:val="en"/>
        </w:rPr>
        <w:t>University College Dublin</w:t>
      </w:r>
    </w:p>
    <w:p w14:paraId="24B3AEDB" w14:textId="6D454C20" w:rsidR="00630645" w:rsidRDefault="00000000" w:rsidP="00630645">
      <w:pPr>
        <w:shd w:val="clear" w:color="auto" w:fill="FFFFFF"/>
        <w:spacing w:before="120" w:after="120" w:line="240" w:lineRule="auto"/>
        <w:rPr>
          <w:rFonts w:ascii="Times New Roman" w:eastAsia="Times New Roman" w:hAnsi="Times New Roman" w:cs="Times New Roman"/>
          <w:color w:val="222222"/>
          <w:sz w:val="24"/>
          <w:szCs w:val="24"/>
          <w:lang w:val="en"/>
        </w:rPr>
      </w:pPr>
      <w:hyperlink r:id="rId7" w:history="1">
        <w:r w:rsidR="00630645" w:rsidRPr="007535FB">
          <w:rPr>
            <w:rStyle w:val="Hyperlink"/>
            <w:rFonts w:ascii="Times New Roman" w:eastAsia="Times New Roman" w:hAnsi="Times New Roman" w:cs="Times New Roman"/>
            <w:sz w:val="24"/>
            <w:szCs w:val="24"/>
            <w:lang w:val="en"/>
          </w:rPr>
          <w:t>Judith.harford@ucd.ie</w:t>
        </w:r>
      </w:hyperlink>
    </w:p>
    <w:p w14:paraId="16864E5B" w14:textId="77777777" w:rsidR="00FF59DB" w:rsidRDefault="00FF59DB" w:rsidP="00630645">
      <w:pPr>
        <w:shd w:val="clear" w:color="auto" w:fill="FFFFFF"/>
        <w:spacing w:before="120" w:after="120" w:line="240" w:lineRule="auto"/>
        <w:rPr>
          <w:rFonts w:ascii="Times New Roman" w:eastAsia="Times New Roman" w:hAnsi="Times New Roman" w:cs="Times New Roman"/>
          <w:color w:val="222222"/>
          <w:sz w:val="24"/>
          <w:szCs w:val="24"/>
          <w:lang w:val="en"/>
        </w:rPr>
      </w:pPr>
    </w:p>
    <w:p w14:paraId="231DEF6B" w14:textId="20E0DB2F" w:rsidR="00630645" w:rsidRPr="00BD76FF" w:rsidRDefault="00FF59DB" w:rsidP="004421AE">
      <w:pPr>
        <w:shd w:val="clear" w:color="auto" w:fill="FFFFFF"/>
        <w:spacing w:before="120" w:after="120" w:line="480" w:lineRule="auto"/>
        <w:jc w:val="both"/>
        <w:rPr>
          <w:rFonts w:ascii="Times New Roman" w:eastAsia="Times New Roman" w:hAnsi="Times New Roman" w:cs="Times New Roman"/>
          <w:b/>
          <w:color w:val="222222"/>
          <w:sz w:val="24"/>
          <w:szCs w:val="24"/>
          <w:lang w:val="en"/>
        </w:rPr>
      </w:pPr>
      <w:r w:rsidRPr="00FF59DB">
        <w:rPr>
          <w:rFonts w:ascii="Times New Roman" w:eastAsia="Times New Roman" w:hAnsi="Times New Roman" w:cs="Times New Roman"/>
          <w:b/>
          <w:color w:val="222222"/>
          <w:sz w:val="24"/>
          <w:szCs w:val="24"/>
          <w:lang w:val="en"/>
        </w:rPr>
        <w:t>Introduction</w:t>
      </w:r>
    </w:p>
    <w:p w14:paraId="05847178" w14:textId="1A976B4C" w:rsidR="00BD76FF" w:rsidRPr="004421AE" w:rsidRDefault="00BD76FF" w:rsidP="004421AE">
      <w:pPr>
        <w:spacing w:line="480" w:lineRule="auto"/>
        <w:jc w:val="both"/>
        <w:rPr>
          <w:rFonts w:ascii="Times New Roman" w:eastAsiaTheme="minorEastAsia" w:hAnsi="Times New Roman" w:cs="Times New Roman"/>
          <w:sz w:val="24"/>
          <w:szCs w:val="24"/>
          <w:lang w:val="en-GB"/>
        </w:rPr>
      </w:pPr>
      <w:r w:rsidRPr="00BD76FF">
        <w:rPr>
          <w:rFonts w:ascii="Times New Roman" w:hAnsi="Times New Roman" w:cs="Times New Roman"/>
          <w:color w:val="222222"/>
          <w:sz w:val="24"/>
          <w:szCs w:val="24"/>
          <w:shd w:val="clear" w:color="auto" w:fill="FFFFFF"/>
        </w:rPr>
        <w:t xml:space="preserve">Both Higher Education (H.E.) and Further Education (F.E.) are relatively recent </w:t>
      </w:r>
      <w:r w:rsidR="004A4BB6">
        <w:rPr>
          <w:rFonts w:ascii="Times New Roman" w:hAnsi="Times New Roman" w:cs="Times New Roman"/>
          <w:color w:val="222222"/>
          <w:sz w:val="24"/>
          <w:szCs w:val="24"/>
          <w:shd w:val="clear" w:color="auto" w:fill="FFFFFF"/>
        </w:rPr>
        <w:t>concept</w:t>
      </w:r>
      <w:r w:rsidRPr="00BD76FF">
        <w:rPr>
          <w:rFonts w:ascii="Times New Roman" w:hAnsi="Times New Roman" w:cs="Times New Roman"/>
          <w:color w:val="222222"/>
          <w:sz w:val="24"/>
          <w:szCs w:val="24"/>
          <w:shd w:val="clear" w:color="auto" w:fill="FFFFFF"/>
        </w:rPr>
        <w:t xml:space="preserve">s in the history of education, broad umbrella terms which capture the complex and ever-widening role and function of post-secondary education. </w:t>
      </w:r>
      <w:r w:rsidRPr="00BD76FF">
        <w:rPr>
          <w:rFonts w:ascii="Times New Roman" w:hAnsi="Times New Roman" w:cs="Times New Roman"/>
          <w:sz w:val="24"/>
          <w:szCs w:val="24"/>
        </w:rPr>
        <w:t xml:space="preserve">The analytical quality glossary </w:t>
      </w:r>
      <w:r w:rsidRPr="00BD76FF">
        <w:rPr>
          <w:rFonts w:ascii="Times New Roman" w:hAnsi="Times New Roman" w:cs="Times New Roman"/>
          <w:i/>
          <w:sz w:val="24"/>
          <w:szCs w:val="24"/>
        </w:rPr>
        <w:t>Harvey</w:t>
      </w:r>
      <w:r w:rsidRPr="00BD76FF">
        <w:rPr>
          <w:rFonts w:ascii="Times New Roman" w:hAnsi="Times New Roman" w:cs="Times New Roman"/>
          <w:sz w:val="24"/>
          <w:szCs w:val="24"/>
        </w:rPr>
        <w:t xml:space="preserve"> (2004-2009) defines </w:t>
      </w:r>
      <w:r w:rsidRPr="00BD76FF">
        <w:rPr>
          <w:rFonts w:ascii="Times New Roman" w:hAnsi="Times New Roman" w:cs="Times New Roman"/>
          <w:color w:val="000000"/>
          <w:sz w:val="24"/>
          <w:szCs w:val="24"/>
          <w:shd w:val="clear" w:color="auto" w:fill="FFFFFF"/>
        </w:rPr>
        <w:t xml:space="preserve">higher education as </w:t>
      </w:r>
      <w:r w:rsidR="004421AE">
        <w:rPr>
          <w:rFonts w:ascii="Times New Roman" w:hAnsi="Times New Roman" w:cs="Times New Roman"/>
          <w:color w:val="000000"/>
          <w:sz w:val="24"/>
          <w:szCs w:val="24"/>
          <w:shd w:val="clear" w:color="auto" w:fill="FFFFFF"/>
        </w:rPr>
        <w:t>“</w:t>
      </w:r>
      <w:r w:rsidRPr="00BD76FF">
        <w:rPr>
          <w:rFonts w:ascii="Times New Roman" w:hAnsi="Times New Roman" w:cs="Times New Roman"/>
          <w:color w:val="000000"/>
          <w:sz w:val="24"/>
          <w:szCs w:val="24"/>
          <w:shd w:val="clear" w:color="auto" w:fill="FFFFFF"/>
        </w:rPr>
        <w:t>usually viewed as education leading to at least a bachelor's degree or equivalent</w:t>
      </w:r>
      <w:r w:rsidR="004421AE">
        <w:rPr>
          <w:rFonts w:ascii="Times New Roman" w:hAnsi="Times New Roman" w:cs="Times New Roman"/>
          <w:color w:val="000000"/>
          <w:sz w:val="24"/>
          <w:szCs w:val="24"/>
          <w:shd w:val="clear" w:color="auto" w:fill="FFFFFF"/>
        </w:rPr>
        <w:t>”</w:t>
      </w:r>
      <w:r w:rsidRPr="00BD76FF">
        <w:rPr>
          <w:rFonts w:ascii="Times New Roman" w:hAnsi="Times New Roman" w:cs="Times New Roman"/>
          <w:color w:val="000000"/>
          <w:sz w:val="24"/>
          <w:szCs w:val="24"/>
          <w:shd w:val="clear" w:color="auto" w:fill="FFFFFF"/>
        </w:rPr>
        <w:t xml:space="preserve"> and defines further education as </w:t>
      </w:r>
      <w:r w:rsidR="004421AE">
        <w:rPr>
          <w:rFonts w:ascii="Times New Roman" w:hAnsi="Times New Roman" w:cs="Times New Roman"/>
          <w:color w:val="000000"/>
          <w:sz w:val="24"/>
          <w:szCs w:val="24"/>
          <w:shd w:val="clear" w:color="auto" w:fill="FFFFFF"/>
        </w:rPr>
        <w:t>“</w:t>
      </w:r>
      <w:r w:rsidRPr="00BD76FF">
        <w:rPr>
          <w:rFonts w:ascii="Times New Roman" w:hAnsi="Times New Roman" w:cs="Times New Roman"/>
          <w:color w:val="000000"/>
          <w:sz w:val="24"/>
          <w:szCs w:val="24"/>
          <w:shd w:val="clear" w:color="auto" w:fill="FFFFFF"/>
        </w:rPr>
        <w:t>post-compulsory education at pre-degree level, which may include (the opportunity to take) qualifications also available at the level of compulsory schooling</w:t>
      </w:r>
      <w:r w:rsidR="004421AE">
        <w:rPr>
          <w:rFonts w:ascii="Times New Roman" w:hAnsi="Times New Roman" w:cs="Times New Roman"/>
          <w:color w:val="000000"/>
          <w:sz w:val="24"/>
          <w:szCs w:val="24"/>
          <w:shd w:val="clear" w:color="auto" w:fill="FFFFFF"/>
        </w:rPr>
        <w:t>”</w:t>
      </w:r>
      <w:r w:rsidRPr="00BD76FF">
        <w:rPr>
          <w:rFonts w:ascii="Times New Roman" w:hAnsi="Times New Roman" w:cs="Times New Roman"/>
          <w:color w:val="000000"/>
          <w:sz w:val="24"/>
          <w:szCs w:val="24"/>
          <w:shd w:val="clear" w:color="auto" w:fill="FFFFFF"/>
        </w:rPr>
        <w:t xml:space="preserve"> (</w:t>
      </w:r>
      <w:hyperlink r:id="rId8" w:anchor="f" w:history="1">
        <w:r w:rsidRPr="00630645">
          <w:rPr>
            <w:rFonts w:ascii="Times New Roman" w:hAnsi="Times New Roman" w:cs="Times New Roman"/>
            <w:color w:val="0000FF"/>
            <w:sz w:val="24"/>
            <w:szCs w:val="24"/>
            <w:u w:val="single"/>
            <w:shd w:val="clear" w:color="auto" w:fill="FFFFFF"/>
          </w:rPr>
          <w:t>http://www.qualityresearchinternational.com/glossary/index.htm#f</w:t>
        </w:r>
      </w:hyperlink>
      <w:r w:rsidRPr="00630645">
        <w:rPr>
          <w:rFonts w:ascii="Times New Roman" w:hAnsi="Times New Roman" w:cs="Times New Roman"/>
          <w:color w:val="0000FF"/>
          <w:sz w:val="24"/>
          <w:szCs w:val="24"/>
          <w:u w:val="single"/>
          <w:shd w:val="clear" w:color="auto" w:fill="FFFFFF"/>
        </w:rPr>
        <w:t>).</w:t>
      </w:r>
      <w:r w:rsidRPr="00BD76FF">
        <w:rPr>
          <w:rFonts w:ascii="Times New Roman" w:hAnsi="Times New Roman" w:cs="Times New Roman"/>
          <w:color w:val="222222"/>
          <w:sz w:val="24"/>
          <w:szCs w:val="24"/>
          <w:shd w:val="clear" w:color="auto" w:fill="FFFFFF"/>
        </w:rPr>
        <w:t xml:space="preserve"> The OECD’s (2002, p. 68) definition of H.E. captures its sweeping reach as well as its over-lap with F.E: </w:t>
      </w:r>
      <w:r w:rsidR="004421AE">
        <w:rPr>
          <w:rFonts w:ascii="Times New Roman" w:hAnsi="Times New Roman" w:cs="Times New Roman"/>
          <w:color w:val="222222"/>
          <w:sz w:val="24"/>
          <w:szCs w:val="24"/>
          <w:shd w:val="clear" w:color="auto" w:fill="FFFFFF"/>
        </w:rPr>
        <w:t>“</w:t>
      </w:r>
      <w:r w:rsidRPr="00BD76FF">
        <w:rPr>
          <w:rFonts w:ascii="Times New Roman" w:hAnsi="Times New Roman" w:cs="Times New Roman"/>
          <w:color w:val="000000"/>
          <w:sz w:val="24"/>
          <w:szCs w:val="24"/>
          <w:shd w:val="clear" w:color="auto" w:fill="FFFFFF"/>
        </w:rPr>
        <w:t>The higher education sector (HES) is composed of a</w:t>
      </w:r>
      <w:r w:rsidRPr="00BD76FF">
        <w:rPr>
          <w:rFonts w:ascii="Times New Roman" w:hAnsi="Times New Roman" w:cs="Times New Roman"/>
          <w:color w:val="222222"/>
          <w:sz w:val="24"/>
          <w:szCs w:val="24"/>
          <w:shd w:val="clear" w:color="auto" w:fill="FFFFFF"/>
        </w:rPr>
        <w:t>ll universities, colleges of technology and other institutions of post-secondary education, whatever their source of finance or legal status.</w:t>
      </w:r>
      <w:r w:rsidR="004421AE">
        <w:rPr>
          <w:rFonts w:ascii="Times New Roman" w:hAnsi="Times New Roman" w:cs="Times New Roman"/>
          <w:color w:val="222222"/>
          <w:sz w:val="24"/>
          <w:szCs w:val="24"/>
          <w:shd w:val="clear" w:color="auto" w:fill="FFFFFF"/>
        </w:rPr>
        <w:t>”</w:t>
      </w:r>
      <w:r w:rsidRPr="00BD76FF">
        <w:rPr>
          <w:rFonts w:ascii="Times New Roman" w:hAnsi="Times New Roman" w:cs="Times New Roman"/>
          <w:color w:val="222222"/>
          <w:sz w:val="24"/>
          <w:szCs w:val="24"/>
          <w:shd w:val="clear" w:color="auto" w:fill="FFFFFF"/>
        </w:rPr>
        <w:t xml:space="preserve"> </w:t>
      </w:r>
      <w:r w:rsidRPr="00BD76FF">
        <w:rPr>
          <w:rFonts w:ascii="Times New Roman" w:eastAsia="Times New Roman" w:hAnsi="Times New Roman" w:cs="Times New Roman"/>
          <w:color w:val="222222"/>
          <w:sz w:val="24"/>
          <w:szCs w:val="24"/>
          <w:lang w:val="en"/>
        </w:rPr>
        <w:t>While historically, H.E. and F.E. have operated quite independently, with little if any convergence, increasingly, the boundaries between the two fields are being tested and their remits fused.</w:t>
      </w:r>
      <w:r w:rsidRPr="00BD76FF">
        <w:rPr>
          <w:rFonts w:ascii="Times New Roman" w:hAnsi="Times New Roman" w:cs="Times New Roman"/>
          <w:color w:val="222222"/>
          <w:sz w:val="24"/>
          <w:szCs w:val="24"/>
          <w:shd w:val="clear" w:color="auto" w:fill="FFFFFF"/>
        </w:rPr>
        <w:t xml:space="preserve"> Noting the way in which the history of H.E. has been largely synonymous with a history of universities, Ellis underscores in her chapter on </w:t>
      </w:r>
      <w:r w:rsidR="004421AE">
        <w:rPr>
          <w:rFonts w:ascii="Times New Roman" w:hAnsi="Times New Roman" w:cs="Times New Roman"/>
          <w:color w:val="222222"/>
          <w:sz w:val="24"/>
          <w:szCs w:val="24"/>
          <w:shd w:val="clear" w:color="auto" w:fill="FFFFFF"/>
        </w:rPr>
        <w:t>“</w:t>
      </w:r>
      <w:r w:rsidR="004421AE" w:rsidRPr="004421AE">
        <w:rPr>
          <w:rFonts w:ascii="Times New Roman" w:eastAsiaTheme="minorEastAsia" w:hAnsi="Times New Roman" w:cs="Times New Roman"/>
          <w:sz w:val="24"/>
          <w:szCs w:val="24"/>
          <w:lang w:val="en-GB"/>
        </w:rPr>
        <w:t>Beyond the University: Higher Education Institutions Across Time and Space</w:t>
      </w:r>
      <w:r w:rsidR="004421AE">
        <w:rPr>
          <w:rFonts w:ascii="Times New Roman" w:eastAsiaTheme="minorEastAsia" w:hAnsi="Times New Roman" w:cs="Times New Roman"/>
          <w:sz w:val="24"/>
          <w:szCs w:val="24"/>
          <w:lang w:val="en-GB"/>
        </w:rPr>
        <w:t xml:space="preserve">” </w:t>
      </w:r>
      <w:r w:rsidRPr="00BD76FF">
        <w:rPr>
          <w:rFonts w:ascii="Times New Roman" w:hAnsi="Times New Roman" w:cs="Times New Roman"/>
          <w:color w:val="222222"/>
          <w:sz w:val="24"/>
          <w:szCs w:val="24"/>
          <w:shd w:val="clear" w:color="auto" w:fill="FFFFFF"/>
        </w:rPr>
        <w:t xml:space="preserve">how a history of H.E. invites a more nuanced reading of the </w:t>
      </w:r>
      <w:r w:rsidRPr="00BD76FF">
        <w:rPr>
          <w:rFonts w:ascii="Times New Roman" w:hAnsi="Times New Roman" w:cs="Times New Roman"/>
          <w:sz w:val="24"/>
          <w:szCs w:val="24"/>
        </w:rPr>
        <w:t>boundaries between secondary and tertiary education in the past. While the university</w:t>
      </w:r>
      <w:r w:rsidR="00317006">
        <w:rPr>
          <w:rFonts w:ascii="Times New Roman" w:hAnsi="Times New Roman" w:cs="Times New Roman"/>
          <w:sz w:val="24"/>
          <w:szCs w:val="24"/>
        </w:rPr>
        <w:t xml:space="preserve"> </w:t>
      </w:r>
      <w:r w:rsidR="00206FE7">
        <w:rPr>
          <w:rFonts w:ascii="Times New Roman" w:hAnsi="Times New Roman" w:cs="Times New Roman"/>
          <w:sz w:val="24"/>
          <w:szCs w:val="24"/>
        </w:rPr>
        <w:t>as</w:t>
      </w:r>
      <w:r w:rsidRPr="00BD76FF">
        <w:rPr>
          <w:rFonts w:ascii="Times New Roman" w:hAnsi="Times New Roman" w:cs="Times New Roman"/>
          <w:sz w:val="24"/>
          <w:szCs w:val="24"/>
        </w:rPr>
        <w:t xml:space="preserve"> a produc</w:t>
      </w:r>
      <w:r w:rsidR="00630645" w:rsidRPr="00630645">
        <w:rPr>
          <w:rFonts w:ascii="Times New Roman" w:hAnsi="Times New Roman" w:cs="Times New Roman"/>
          <w:sz w:val="24"/>
          <w:szCs w:val="24"/>
        </w:rPr>
        <w:t>t</w:t>
      </w:r>
      <w:r w:rsidRPr="00BD76FF">
        <w:rPr>
          <w:rFonts w:ascii="Times New Roman" w:hAnsi="Times New Roman" w:cs="Times New Roman"/>
          <w:sz w:val="24"/>
          <w:szCs w:val="24"/>
        </w:rPr>
        <w:t xml:space="preserve"> of medieval Europe </w:t>
      </w:r>
      <w:r w:rsidR="00317006">
        <w:rPr>
          <w:rFonts w:ascii="Times New Roman" w:hAnsi="Times New Roman" w:cs="Times New Roman"/>
          <w:sz w:val="24"/>
          <w:szCs w:val="24"/>
        </w:rPr>
        <w:t xml:space="preserve">is often considered as an institution </w:t>
      </w:r>
      <w:r w:rsidR="00317006" w:rsidRPr="00BD76FF">
        <w:rPr>
          <w:rFonts w:ascii="Times New Roman" w:hAnsi="Times New Roman" w:cs="Times New Roman"/>
          <w:sz w:val="24"/>
          <w:szCs w:val="24"/>
        </w:rPr>
        <w:t xml:space="preserve">fixed in space and time, </w:t>
      </w:r>
      <w:r w:rsidRPr="00BD76FF">
        <w:rPr>
          <w:rFonts w:ascii="Times New Roman" w:hAnsi="Times New Roman" w:cs="Times New Roman"/>
          <w:sz w:val="24"/>
          <w:szCs w:val="24"/>
        </w:rPr>
        <w:t>the broader category of H.E. is a transhistorical and transnational phenomenon (</w:t>
      </w:r>
      <w:r w:rsidRPr="00BD76FF">
        <w:rPr>
          <w:rFonts w:ascii="Times New Roman" w:hAnsi="Times New Roman" w:cs="Times New Roman"/>
          <w:i/>
          <w:sz w:val="24"/>
          <w:szCs w:val="24"/>
        </w:rPr>
        <w:t>Ibid</w:t>
      </w:r>
      <w:r w:rsidRPr="00BD76FF">
        <w:rPr>
          <w:rFonts w:ascii="Times New Roman" w:hAnsi="Times New Roman" w:cs="Times New Roman"/>
          <w:sz w:val="24"/>
          <w:szCs w:val="24"/>
        </w:rPr>
        <w:t>).</w:t>
      </w:r>
      <w:r w:rsidR="006E4C53">
        <w:rPr>
          <w:rFonts w:ascii="Times New Roman" w:hAnsi="Times New Roman" w:cs="Times New Roman"/>
          <w:sz w:val="24"/>
          <w:szCs w:val="24"/>
        </w:rPr>
        <w:t xml:space="preserve"> </w:t>
      </w:r>
      <w:r w:rsidRPr="00BD76FF">
        <w:rPr>
          <w:rFonts w:ascii="Times New Roman" w:eastAsia="Times New Roman" w:hAnsi="Times New Roman" w:cs="Times New Roman"/>
          <w:color w:val="222222"/>
          <w:sz w:val="24"/>
          <w:szCs w:val="24"/>
          <w:lang w:val="en"/>
        </w:rPr>
        <w:t xml:space="preserve">This section of the MRW examines the broad themes of H.E and F.E through the following lenses: </w:t>
      </w:r>
      <w:r w:rsidR="00A64799" w:rsidRPr="00BD76FF">
        <w:rPr>
          <w:rFonts w:ascii="Times New Roman" w:eastAsia="Times New Roman" w:hAnsi="Times New Roman" w:cs="Times New Roman"/>
          <w:color w:val="222222"/>
          <w:sz w:val="24"/>
          <w:szCs w:val="24"/>
          <w:lang w:val="en"/>
        </w:rPr>
        <w:t xml:space="preserve">Transformations </w:t>
      </w:r>
      <w:r w:rsidR="00A64799">
        <w:rPr>
          <w:rFonts w:ascii="Times New Roman" w:eastAsia="Times New Roman" w:hAnsi="Times New Roman" w:cs="Times New Roman"/>
          <w:color w:val="222222"/>
          <w:sz w:val="24"/>
          <w:szCs w:val="24"/>
          <w:lang w:val="en"/>
        </w:rPr>
        <w:t>to</w:t>
      </w:r>
      <w:r w:rsidR="00A64799" w:rsidRPr="00BD76FF">
        <w:rPr>
          <w:rFonts w:ascii="Times New Roman" w:eastAsia="Times New Roman" w:hAnsi="Times New Roman" w:cs="Times New Roman"/>
          <w:color w:val="222222"/>
          <w:sz w:val="24"/>
          <w:szCs w:val="24"/>
          <w:lang w:val="en"/>
        </w:rPr>
        <w:t xml:space="preserve"> Higher Education</w:t>
      </w:r>
      <w:r w:rsidR="00A64799">
        <w:rPr>
          <w:rFonts w:ascii="Times New Roman" w:eastAsia="Times New Roman" w:hAnsi="Times New Roman" w:cs="Times New Roman"/>
          <w:color w:val="222222"/>
          <w:sz w:val="24"/>
          <w:szCs w:val="24"/>
          <w:lang w:val="en"/>
        </w:rPr>
        <w:t>;</w:t>
      </w:r>
      <w:r w:rsidR="00A64799" w:rsidRPr="00BD76FF">
        <w:rPr>
          <w:rFonts w:ascii="Times New Roman" w:eastAsia="Times New Roman" w:hAnsi="Times New Roman" w:cs="Times New Roman"/>
          <w:color w:val="222222"/>
          <w:sz w:val="24"/>
          <w:szCs w:val="24"/>
          <w:lang w:val="en"/>
        </w:rPr>
        <w:t xml:space="preserve"> </w:t>
      </w:r>
      <w:r w:rsidR="00A64799">
        <w:rPr>
          <w:rFonts w:ascii="Times New Roman" w:eastAsia="Times New Roman" w:hAnsi="Times New Roman" w:cs="Times New Roman"/>
          <w:color w:val="222222"/>
          <w:sz w:val="24"/>
          <w:szCs w:val="24"/>
          <w:lang w:val="en"/>
        </w:rPr>
        <w:t xml:space="preserve">Higher </w:t>
      </w:r>
      <w:r w:rsidR="00A64799">
        <w:rPr>
          <w:rFonts w:ascii="Times New Roman" w:eastAsia="Times New Roman" w:hAnsi="Times New Roman" w:cs="Times New Roman"/>
          <w:color w:val="222222"/>
          <w:sz w:val="24"/>
          <w:szCs w:val="24"/>
          <w:lang w:val="en"/>
        </w:rPr>
        <w:lastRenderedPageBreak/>
        <w:t xml:space="preserve">Education </w:t>
      </w:r>
      <w:r w:rsidRPr="00BD76FF">
        <w:rPr>
          <w:rFonts w:ascii="Times New Roman" w:eastAsia="Times New Roman" w:hAnsi="Times New Roman" w:cs="Times New Roman"/>
          <w:color w:val="222222"/>
          <w:sz w:val="24"/>
          <w:szCs w:val="24"/>
          <w:lang w:val="en"/>
        </w:rPr>
        <w:t>Institutions</w:t>
      </w:r>
      <w:r w:rsidR="00A64799">
        <w:rPr>
          <w:rFonts w:ascii="Times New Roman" w:eastAsia="Times New Roman" w:hAnsi="Times New Roman" w:cs="Times New Roman"/>
          <w:color w:val="222222"/>
          <w:sz w:val="24"/>
          <w:szCs w:val="24"/>
          <w:lang w:val="en"/>
        </w:rPr>
        <w:t xml:space="preserve"> across Time and Space; Empire and Exchange in Higher Education;</w:t>
      </w:r>
      <w:r w:rsidRPr="00BD76FF">
        <w:rPr>
          <w:rFonts w:ascii="Times New Roman" w:eastAsia="Times New Roman" w:hAnsi="Times New Roman" w:cs="Times New Roman"/>
          <w:color w:val="222222"/>
          <w:sz w:val="24"/>
          <w:szCs w:val="24"/>
          <w:lang w:val="en"/>
        </w:rPr>
        <w:t xml:space="preserve"> Students</w:t>
      </w:r>
      <w:r w:rsidR="00A64799">
        <w:rPr>
          <w:rFonts w:ascii="Times New Roman" w:eastAsia="Times New Roman" w:hAnsi="Times New Roman" w:cs="Times New Roman"/>
          <w:color w:val="222222"/>
          <w:sz w:val="24"/>
          <w:szCs w:val="24"/>
          <w:lang w:val="en"/>
        </w:rPr>
        <w:t xml:space="preserve"> in Higher and Further Education;</w:t>
      </w:r>
      <w:r w:rsidRPr="00BD76FF">
        <w:rPr>
          <w:rFonts w:ascii="Times New Roman" w:eastAsia="Times New Roman" w:hAnsi="Times New Roman" w:cs="Times New Roman"/>
          <w:color w:val="222222"/>
          <w:sz w:val="24"/>
          <w:szCs w:val="24"/>
          <w:lang w:val="en"/>
        </w:rPr>
        <w:t xml:space="preserve"> Women </w:t>
      </w:r>
      <w:r w:rsidR="00A64799">
        <w:rPr>
          <w:rFonts w:ascii="Times New Roman" w:eastAsia="Times New Roman" w:hAnsi="Times New Roman" w:cs="Times New Roman"/>
          <w:color w:val="222222"/>
          <w:sz w:val="24"/>
          <w:szCs w:val="24"/>
          <w:lang w:val="en"/>
        </w:rPr>
        <w:t>Professors</w:t>
      </w:r>
      <w:r w:rsidRPr="00BD76FF">
        <w:rPr>
          <w:rFonts w:ascii="Times New Roman" w:eastAsia="Times New Roman" w:hAnsi="Times New Roman" w:cs="Times New Roman"/>
          <w:color w:val="222222"/>
          <w:sz w:val="24"/>
          <w:szCs w:val="24"/>
          <w:lang w:val="en"/>
        </w:rPr>
        <w:t xml:space="preserve"> and Deans</w:t>
      </w:r>
      <w:r w:rsidR="00A64799">
        <w:rPr>
          <w:rFonts w:ascii="Times New Roman" w:eastAsia="Times New Roman" w:hAnsi="Times New Roman" w:cs="Times New Roman"/>
          <w:color w:val="222222"/>
          <w:sz w:val="24"/>
          <w:szCs w:val="24"/>
          <w:lang w:val="en"/>
        </w:rPr>
        <w:t>;</w:t>
      </w:r>
      <w:r w:rsidRPr="00BD76FF">
        <w:rPr>
          <w:rFonts w:ascii="Times New Roman" w:eastAsia="Times New Roman" w:hAnsi="Times New Roman" w:cs="Times New Roman"/>
          <w:color w:val="222222"/>
          <w:sz w:val="24"/>
          <w:szCs w:val="24"/>
          <w:lang w:val="en"/>
        </w:rPr>
        <w:t xml:space="preserve"> Women Workers’ Education</w:t>
      </w:r>
      <w:r w:rsidR="00A64799">
        <w:rPr>
          <w:rFonts w:ascii="Times New Roman" w:eastAsia="Times New Roman" w:hAnsi="Times New Roman" w:cs="Times New Roman"/>
          <w:color w:val="222222"/>
          <w:sz w:val="24"/>
          <w:szCs w:val="24"/>
          <w:lang w:val="en"/>
        </w:rPr>
        <w:t>; and</w:t>
      </w:r>
      <w:r w:rsidRPr="00BD76FF">
        <w:rPr>
          <w:rFonts w:ascii="Times New Roman" w:eastAsia="Times New Roman" w:hAnsi="Times New Roman" w:cs="Times New Roman"/>
          <w:color w:val="222222"/>
          <w:sz w:val="24"/>
          <w:szCs w:val="24"/>
          <w:lang w:val="en"/>
        </w:rPr>
        <w:t xml:space="preserve"> Adult Education and Informa</w:t>
      </w:r>
      <w:r w:rsidR="004421AE">
        <w:rPr>
          <w:rFonts w:ascii="Times New Roman" w:eastAsia="Times New Roman" w:hAnsi="Times New Roman" w:cs="Times New Roman"/>
          <w:color w:val="222222"/>
          <w:sz w:val="24"/>
          <w:szCs w:val="24"/>
          <w:lang w:val="en"/>
        </w:rPr>
        <w:t>l</w:t>
      </w:r>
      <w:r w:rsidRPr="00BD76FF">
        <w:rPr>
          <w:rFonts w:ascii="Times New Roman" w:eastAsia="Times New Roman" w:hAnsi="Times New Roman" w:cs="Times New Roman"/>
          <w:color w:val="222222"/>
          <w:sz w:val="24"/>
          <w:szCs w:val="24"/>
          <w:lang w:val="en"/>
        </w:rPr>
        <w:t xml:space="preserve"> Education</w:t>
      </w:r>
      <w:r w:rsidR="00A64799">
        <w:rPr>
          <w:rFonts w:ascii="Times New Roman" w:eastAsia="Times New Roman" w:hAnsi="Times New Roman" w:cs="Times New Roman"/>
          <w:color w:val="222222"/>
          <w:sz w:val="24"/>
          <w:szCs w:val="24"/>
          <w:lang w:val="en"/>
        </w:rPr>
        <w:t>.</w:t>
      </w:r>
      <w:r w:rsidRPr="00BD76FF">
        <w:rPr>
          <w:rFonts w:ascii="Times New Roman" w:eastAsia="Times New Roman" w:hAnsi="Times New Roman" w:cs="Times New Roman"/>
          <w:color w:val="222222"/>
          <w:sz w:val="24"/>
          <w:szCs w:val="24"/>
          <w:lang w:val="en"/>
        </w:rPr>
        <w:t xml:space="preserve"> Tracing the expansion of H.E. and F.E. over time, each chapter captures the historical trajectory, contextualizing key developments, and offering a historiographical and comparative analysis of the major theoretical and methodological issues and ideas. Case studies are employed across a number of chapters to illustrate the </w:t>
      </w:r>
      <w:r w:rsidRPr="00BD76FF">
        <w:rPr>
          <w:rFonts w:ascii="Times New Roman" w:hAnsi="Times New Roman" w:cs="Times New Roman"/>
          <w:color w:val="222222"/>
          <w:sz w:val="24"/>
          <w:szCs w:val="24"/>
          <w:shd w:val="clear" w:color="auto" w:fill="FFFFFF"/>
        </w:rPr>
        <w:t>broader ideological, economic and political issues that have shaped this history.</w:t>
      </w:r>
    </w:p>
    <w:p w14:paraId="65ADD35F" w14:textId="77777777" w:rsidR="00FF59DB" w:rsidRDefault="00FF59DB" w:rsidP="00FF59DB">
      <w:pPr>
        <w:shd w:val="clear" w:color="auto" w:fill="FFFFFF"/>
        <w:spacing w:after="0" w:line="240" w:lineRule="auto"/>
        <w:jc w:val="both"/>
        <w:rPr>
          <w:rFonts w:ascii="Times New Roman" w:eastAsia="Times New Roman" w:hAnsi="Times New Roman" w:cs="Times New Roman"/>
          <w:b/>
          <w:color w:val="222222"/>
          <w:sz w:val="24"/>
          <w:szCs w:val="24"/>
          <w:lang w:val="en"/>
        </w:rPr>
      </w:pPr>
    </w:p>
    <w:p w14:paraId="4501C80F" w14:textId="3978ADBC" w:rsidR="00BD76FF" w:rsidRPr="00BD76FF" w:rsidRDefault="00BD76FF" w:rsidP="00BD76FF">
      <w:pPr>
        <w:shd w:val="clear" w:color="auto" w:fill="FFFFFF"/>
        <w:spacing w:after="0" w:line="480" w:lineRule="auto"/>
        <w:jc w:val="both"/>
        <w:rPr>
          <w:rFonts w:ascii="Times New Roman" w:eastAsia="Times New Roman" w:hAnsi="Times New Roman" w:cs="Times New Roman"/>
          <w:b/>
          <w:color w:val="222222"/>
          <w:sz w:val="24"/>
          <w:szCs w:val="24"/>
          <w:lang w:val="en"/>
        </w:rPr>
      </w:pPr>
      <w:r w:rsidRPr="00BD76FF">
        <w:rPr>
          <w:rFonts w:ascii="Times New Roman" w:eastAsia="Times New Roman" w:hAnsi="Times New Roman" w:cs="Times New Roman"/>
          <w:b/>
          <w:color w:val="222222"/>
          <w:sz w:val="24"/>
          <w:szCs w:val="24"/>
          <w:lang w:val="en"/>
        </w:rPr>
        <w:t>The Emergence of the University</w:t>
      </w:r>
    </w:p>
    <w:p w14:paraId="7064BB84" w14:textId="78DEB4BB" w:rsidR="00BD76FF" w:rsidRPr="00BD76FF" w:rsidRDefault="00BD76FF" w:rsidP="00BD76FF">
      <w:pPr>
        <w:shd w:val="clear" w:color="auto" w:fill="FFFFFF"/>
        <w:spacing w:after="0" w:line="480" w:lineRule="auto"/>
        <w:jc w:val="both"/>
        <w:rPr>
          <w:rFonts w:ascii="Times New Roman" w:hAnsi="Times New Roman" w:cs="Times New Roman"/>
          <w:sz w:val="24"/>
          <w:szCs w:val="24"/>
        </w:rPr>
      </w:pPr>
      <w:r w:rsidRPr="00BD76FF">
        <w:rPr>
          <w:rFonts w:ascii="Times New Roman" w:hAnsi="Times New Roman" w:cs="Times New Roman"/>
          <w:sz w:val="24"/>
          <w:szCs w:val="24"/>
        </w:rPr>
        <w:t>A behemoth of European society since the Middle Ages, the university evolved over time as the anchor institution of modern and developing societies globally. Perkin (2007, p. 161) identifies five key phases in the history of the university as follows: the rise of the cosmopolitan European university (12th century–1530s); the nationalization of the university by the emerging nation-states of the Religious Wars, and its decline during the 18th century Enlightenment (1530s–1789); the revival of the university after the French Revolution and its role in the development of Industrial Society (1789–1939); the migration of the university to the non-European world (1538–1960s); and the transition from élite to mass higher education (1945–present).</w:t>
      </w:r>
      <w:r w:rsidRPr="00BD76FF">
        <w:rPr>
          <w:rFonts w:ascii="Times New Roman" w:hAnsi="Times New Roman" w:cs="Times New Roman"/>
          <w:color w:val="222222"/>
          <w:sz w:val="24"/>
          <w:szCs w:val="24"/>
          <w:shd w:val="clear" w:color="auto" w:fill="FFFFFF"/>
        </w:rPr>
        <w:t xml:space="preserve"> Second only to the Roman Catholic Church as the institution with the longest continuous history in the Western world, (</w:t>
      </w:r>
      <w:proofErr w:type="spellStart"/>
      <w:r w:rsidRPr="00BD76FF">
        <w:rPr>
          <w:rFonts w:ascii="Times New Roman" w:hAnsi="Times New Roman" w:cs="Times New Roman"/>
          <w:color w:val="222222"/>
          <w:sz w:val="24"/>
          <w:szCs w:val="24"/>
          <w:shd w:val="clear" w:color="auto" w:fill="FFFFFF"/>
        </w:rPr>
        <w:t>Rothblat</w:t>
      </w:r>
      <w:proofErr w:type="spellEnd"/>
      <w:r w:rsidRPr="00BD76FF">
        <w:rPr>
          <w:rFonts w:ascii="Times New Roman" w:hAnsi="Times New Roman" w:cs="Times New Roman"/>
          <w:color w:val="222222"/>
          <w:sz w:val="24"/>
          <w:szCs w:val="24"/>
          <w:shd w:val="clear" w:color="auto" w:fill="FFFFFF"/>
        </w:rPr>
        <w:t xml:space="preserve"> and Wittrock, 1993), the place and identity of the university within the H.E. landscape is a complex one, reflecting a tension between its philosophical roots grounded often in national traditions and its broader societal brief in an increasingly international, corporate space. </w:t>
      </w:r>
      <w:r w:rsidRPr="00BD76FF">
        <w:rPr>
          <w:rFonts w:ascii="Times New Roman" w:hAnsi="Times New Roman" w:cs="Times New Roman"/>
          <w:sz w:val="24"/>
          <w:szCs w:val="24"/>
        </w:rPr>
        <w:t xml:space="preserve">As Pietsch argues in the chapter on </w:t>
      </w:r>
      <w:r w:rsidRPr="00BD76FF">
        <w:rPr>
          <w:rFonts w:ascii="Times New Roman" w:hAnsi="Times New Roman" w:cs="Times New Roman"/>
          <w:i/>
          <w:sz w:val="24"/>
          <w:szCs w:val="24"/>
        </w:rPr>
        <w:t>Transformations in Higher Education</w:t>
      </w:r>
      <w:r w:rsidRPr="00BD76FF">
        <w:rPr>
          <w:rFonts w:ascii="Times New Roman" w:hAnsi="Times New Roman" w:cs="Times New Roman"/>
          <w:sz w:val="24"/>
          <w:szCs w:val="24"/>
        </w:rPr>
        <w:t>, universities are dynamic institutions, which have repeatedly had to re-invent themselves in order to maintain currency and position in a post-industrial global knowledge economy.</w:t>
      </w:r>
    </w:p>
    <w:p w14:paraId="74AC1877" w14:textId="06188D33" w:rsidR="00BD76FF" w:rsidRPr="00BD76FF" w:rsidRDefault="00BD76FF" w:rsidP="00905306">
      <w:pPr>
        <w:shd w:val="clear" w:color="auto" w:fill="FFFFFF"/>
        <w:spacing w:after="0" w:line="480" w:lineRule="auto"/>
        <w:ind w:firstLine="720"/>
        <w:jc w:val="both"/>
        <w:rPr>
          <w:rFonts w:ascii="Times New Roman" w:eastAsia="Times New Roman" w:hAnsi="Times New Roman" w:cs="Times New Roman"/>
          <w:color w:val="222222"/>
          <w:sz w:val="24"/>
          <w:szCs w:val="24"/>
          <w:lang w:val="en"/>
        </w:rPr>
      </w:pPr>
      <w:r w:rsidRPr="00BD76FF">
        <w:rPr>
          <w:rFonts w:ascii="Times New Roman" w:hAnsi="Times New Roman" w:cs="Times New Roman"/>
          <w:color w:val="222222"/>
          <w:sz w:val="24"/>
          <w:szCs w:val="24"/>
          <w:shd w:val="clear" w:color="auto" w:fill="FFFFFF"/>
        </w:rPr>
        <w:lastRenderedPageBreak/>
        <w:t>Derived from the Latin </w:t>
      </w:r>
      <w:r w:rsidRPr="00BD76FF">
        <w:rPr>
          <w:rFonts w:ascii="Times New Roman" w:hAnsi="Times New Roman" w:cs="Times New Roman"/>
          <w:i/>
          <w:iCs/>
          <w:color w:val="222222"/>
          <w:sz w:val="24"/>
          <w:szCs w:val="24"/>
          <w:shd w:val="clear" w:color="auto" w:fill="FFFFFF"/>
        </w:rPr>
        <w:t>universitas</w:t>
      </w:r>
      <w:r w:rsidRPr="00BD76FF">
        <w:rPr>
          <w:rFonts w:ascii="Times New Roman" w:hAnsi="Times New Roman" w:cs="Times New Roman"/>
          <w:iCs/>
          <w:color w:val="222222"/>
          <w:sz w:val="24"/>
          <w:szCs w:val="24"/>
          <w:shd w:val="clear" w:color="auto" w:fill="FFFFFF"/>
        </w:rPr>
        <w:t xml:space="preserve"> meaning ‘the totality’ or ‘the whole’</w:t>
      </w:r>
      <w:r w:rsidRPr="00BD76FF">
        <w:rPr>
          <w:rFonts w:ascii="Times New Roman" w:hAnsi="Times New Roman" w:cs="Times New Roman"/>
          <w:color w:val="222222"/>
          <w:sz w:val="24"/>
          <w:szCs w:val="24"/>
          <w:shd w:val="clear" w:color="auto" w:fill="FFFFFF"/>
        </w:rPr>
        <w:t>, the modern university system has its roots in the Middle Ages, appearing for the first time between the twelfth and thirteenth centuries (</w:t>
      </w:r>
      <w:r w:rsidRPr="00BD76FF">
        <w:rPr>
          <w:rFonts w:ascii="Times New Roman" w:eastAsia="Times New Roman" w:hAnsi="Times New Roman" w:cs="Times New Roman"/>
          <w:color w:val="222222"/>
          <w:sz w:val="24"/>
          <w:szCs w:val="24"/>
          <w:lang w:val="en"/>
        </w:rPr>
        <w:t>Verger, 1992).</w:t>
      </w:r>
      <w:r w:rsidRPr="00BD76FF">
        <w:rPr>
          <w:rFonts w:ascii="Times New Roman" w:hAnsi="Times New Roman" w:cs="Times New Roman"/>
          <w:color w:val="222222"/>
          <w:sz w:val="24"/>
          <w:szCs w:val="24"/>
          <w:shd w:val="clear" w:color="auto" w:fill="FFFFFF"/>
        </w:rPr>
        <w:t xml:space="preserve"> Initially referred to as </w:t>
      </w:r>
      <w:proofErr w:type="spellStart"/>
      <w:r w:rsidRPr="00BD76FF">
        <w:rPr>
          <w:rFonts w:ascii="Times New Roman" w:hAnsi="Times New Roman" w:cs="Times New Roman"/>
          <w:i/>
          <w:color w:val="222222"/>
          <w:sz w:val="24"/>
          <w:szCs w:val="24"/>
          <w:shd w:val="clear" w:color="auto" w:fill="FFFFFF"/>
        </w:rPr>
        <w:t>studium</w:t>
      </w:r>
      <w:proofErr w:type="spellEnd"/>
      <w:r w:rsidRPr="00BD76FF">
        <w:rPr>
          <w:rFonts w:ascii="Times New Roman" w:hAnsi="Times New Roman" w:cs="Times New Roman"/>
          <w:i/>
          <w:color w:val="222222"/>
          <w:sz w:val="24"/>
          <w:szCs w:val="24"/>
          <w:shd w:val="clear" w:color="auto" w:fill="FFFFFF"/>
        </w:rPr>
        <w:t xml:space="preserve"> </w:t>
      </w:r>
      <w:proofErr w:type="spellStart"/>
      <w:r w:rsidRPr="00BD76FF">
        <w:rPr>
          <w:rFonts w:ascii="Times New Roman" w:hAnsi="Times New Roman" w:cs="Times New Roman"/>
          <w:i/>
          <w:color w:val="222222"/>
          <w:sz w:val="24"/>
          <w:szCs w:val="24"/>
          <w:shd w:val="clear" w:color="auto" w:fill="FFFFFF"/>
        </w:rPr>
        <w:t>generale</w:t>
      </w:r>
      <w:proofErr w:type="spellEnd"/>
      <w:r w:rsidRPr="00BD76FF">
        <w:rPr>
          <w:rFonts w:ascii="Times New Roman" w:hAnsi="Times New Roman" w:cs="Times New Roman"/>
          <w:color w:val="222222"/>
          <w:sz w:val="24"/>
          <w:szCs w:val="24"/>
          <w:shd w:val="clear" w:color="auto" w:fill="FFFFFF"/>
        </w:rPr>
        <w:t>, meaning institution of higher education, the actual date of the establishment of the first university is ambiguous both because of a dearth of sources and because the concept of a university was not at this time explicit (Pedersen, 1997). However, what</w:t>
      </w:r>
      <w:r w:rsidRPr="00BD76FF">
        <w:rPr>
          <w:rFonts w:ascii="Times New Roman" w:eastAsia="Times New Roman" w:hAnsi="Times New Roman" w:cs="Times New Roman"/>
          <w:color w:val="222222"/>
          <w:sz w:val="24"/>
          <w:szCs w:val="24"/>
          <w:lang w:val="en"/>
        </w:rPr>
        <w:t xml:space="preserve"> is clear is that by the beginning of the twelfth century, dedicated students travelling on foot or by horseback began to congregate in large numbers in key towns which had a reputation for instruction in medicine, law, philosophy or theology (Boyd and King, 1975; </w:t>
      </w:r>
      <w:r w:rsidRPr="00BD76FF">
        <w:rPr>
          <w:rFonts w:ascii="Times New Roman" w:hAnsi="Times New Roman" w:cs="Times New Roman"/>
          <w:bCs/>
          <w:color w:val="333333"/>
          <w:sz w:val="24"/>
          <w:szCs w:val="24"/>
          <w:bdr w:val="none" w:sz="0" w:space="0" w:color="auto" w:frame="1"/>
          <w:shd w:val="clear" w:color="auto" w:fill="FFFFFF"/>
        </w:rPr>
        <w:t>Lowe and Yasuhara, 2016</w:t>
      </w:r>
      <w:r w:rsidRPr="00BD76FF">
        <w:rPr>
          <w:rFonts w:ascii="Times New Roman" w:eastAsia="Times New Roman" w:hAnsi="Times New Roman" w:cs="Times New Roman"/>
          <w:color w:val="222222"/>
          <w:sz w:val="24"/>
          <w:szCs w:val="24"/>
          <w:lang w:val="en"/>
        </w:rPr>
        <w:t>). The notion of a community was central to the definition of the medieval university, implying a degree of autonomy and internal cohesion (Verger, 1992). Paris and Bologna were the two ‘great parent universities’ (</w:t>
      </w:r>
      <w:proofErr w:type="spellStart"/>
      <w:r w:rsidRPr="00BD76FF">
        <w:rPr>
          <w:rFonts w:ascii="Times New Roman" w:eastAsia="Times New Roman" w:hAnsi="Times New Roman" w:cs="Times New Roman"/>
          <w:color w:val="222222"/>
          <w:sz w:val="24"/>
          <w:szCs w:val="24"/>
          <w:lang w:val="en"/>
        </w:rPr>
        <w:t>Rashdall</w:t>
      </w:r>
      <w:proofErr w:type="spellEnd"/>
      <w:r w:rsidRPr="00BD76FF">
        <w:rPr>
          <w:rFonts w:ascii="Times New Roman" w:eastAsia="Times New Roman" w:hAnsi="Times New Roman" w:cs="Times New Roman"/>
          <w:color w:val="222222"/>
          <w:sz w:val="24"/>
          <w:szCs w:val="24"/>
          <w:lang w:val="en"/>
        </w:rPr>
        <w:t>, 2010, p. 2), both emerging during the last thirty years of the twelfth century. Each enjoyed a ‘unique and transcendent prestige’ (</w:t>
      </w:r>
      <w:r w:rsidRPr="00BD76FF">
        <w:rPr>
          <w:rFonts w:ascii="Times New Roman" w:eastAsia="Times New Roman" w:hAnsi="Times New Roman" w:cs="Times New Roman"/>
          <w:i/>
          <w:color w:val="222222"/>
          <w:sz w:val="24"/>
          <w:szCs w:val="24"/>
          <w:lang w:val="en"/>
        </w:rPr>
        <w:t>Ibid.</w:t>
      </w:r>
      <w:r w:rsidRPr="00BD76FF">
        <w:rPr>
          <w:rFonts w:ascii="Times New Roman" w:eastAsia="Times New Roman" w:hAnsi="Times New Roman" w:cs="Times New Roman"/>
          <w:color w:val="222222"/>
          <w:sz w:val="24"/>
          <w:szCs w:val="24"/>
          <w:lang w:val="en"/>
        </w:rPr>
        <w:t xml:space="preserve">, p. 9), Paris in Theology and Arts and Bologna in Law, and became prototypes for a network of universities which developed across Europe over the proceeding centuries. Northern European universities typically followed the Paris model, which had a system of faculty governance, whereas Southern </w:t>
      </w:r>
      <w:r w:rsidRPr="00BD76FF">
        <w:rPr>
          <w:rFonts w:ascii="Times New Roman" w:eastAsia="Times New Roman" w:hAnsi="Times New Roman" w:cs="Times New Roman"/>
          <w:sz w:val="24"/>
          <w:szCs w:val="24"/>
          <w:lang w:val="en"/>
        </w:rPr>
        <w:t xml:space="preserve">European universities followed the Bologna model, which was student-directed (Scott, 2006). </w:t>
      </w:r>
      <w:r w:rsidRPr="00BD76FF">
        <w:rPr>
          <w:rFonts w:ascii="Times New Roman" w:hAnsi="Times New Roman" w:cs="Times New Roman"/>
          <w:sz w:val="24"/>
          <w:szCs w:val="24"/>
        </w:rPr>
        <w:t>Student-led corporate governance models subsequently became quite common across Europe, and it was only after the rise of modern nation states that the faculty-led model dominated (</w:t>
      </w:r>
      <w:proofErr w:type="spellStart"/>
      <w:r w:rsidRPr="00BD76FF">
        <w:rPr>
          <w:rFonts w:ascii="Times New Roman" w:eastAsia="Times New Roman" w:hAnsi="Times New Roman" w:cs="Times New Roman"/>
          <w:iCs/>
          <w:sz w:val="24"/>
          <w:szCs w:val="24"/>
        </w:rPr>
        <w:t>Dmitrishin</w:t>
      </w:r>
      <w:proofErr w:type="spellEnd"/>
      <w:r w:rsidRPr="00BD76FF">
        <w:rPr>
          <w:rFonts w:ascii="Times New Roman" w:hAnsi="Times New Roman" w:cs="Times New Roman"/>
          <w:sz w:val="24"/>
          <w:szCs w:val="24"/>
        </w:rPr>
        <w:t>, 2013).</w:t>
      </w:r>
      <w:r w:rsidRPr="00BD76FF">
        <w:rPr>
          <w:color w:val="FF0000"/>
          <w:sz w:val="24"/>
          <w:szCs w:val="24"/>
        </w:rPr>
        <w:t xml:space="preserve"> </w:t>
      </w:r>
      <w:r w:rsidRPr="00BD76FF">
        <w:rPr>
          <w:rFonts w:ascii="Times New Roman" w:eastAsia="Times New Roman" w:hAnsi="Times New Roman" w:cs="Times New Roman"/>
          <w:color w:val="222222"/>
          <w:sz w:val="24"/>
          <w:szCs w:val="24"/>
          <w:lang w:val="en"/>
        </w:rPr>
        <w:t>Salerno and Oxford joined Paris and Bologna as paragons of excellence in the twelfth century, and by 1300, there were 16 universities in existence, organized institutions with a rector or chancellor, a common seal and corporate identity, boasting formal faculties in arts, theology, law and medicine (Perkin, 2007)</w:t>
      </w:r>
      <w:r w:rsidR="006E4C53">
        <w:rPr>
          <w:rFonts w:ascii="Times New Roman" w:eastAsia="Times New Roman" w:hAnsi="Times New Roman" w:cs="Times New Roman"/>
          <w:color w:val="222222"/>
          <w:sz w:val="24"/>
          <w:szCs w:val="24"/>
          <w:lang w:val="en"/>
        </w:rPr>
        <w:t>.</w:t>
      </w:r>
      <w:r w:rsidRPr="00BD76FF">
        <w:rPr>
          <w:rFonts w:ascii="Times New Roman" w:eastAsia="Times New Roman" w:hAnsi="Times New Roman" w:cs="Times New Roman"/>
          <w:color w:val="222222"/>
          <w:sz w:val="24"/>
          <w:szCs w:val="24"/>
          <w:lang w:val="en"/>
        </w:rPr>
        <w:t xml:space="preserve"> By the close of the Middle Ages, the leading universities including Bologna, Paris, Montpellier, </w:t>
      </w:r>
      <w:r w:rsidRPr="00BD76FF">
        <w:rPr>
          <w:rFonts w:ascii="Times New Roman" w:eastAsia="Times New Roman" w:hAnsi="Times New Roman" w:cs="Times New Roman"/>
          <w:color w:val="222222"/>
          <w:sz w:val="24"/>
          <w:szCs w:val="24"/>
          <w:lang w:val="en"/>
        </w:rPr>
        <w:lastRenderedPageBreak/>
        <w:t xml:space="preserve">Oxford, Padua, Salamanca and Cambridge were each playing </w:t>
      </w:r>
      <w:r w:rsidRPr="00BD76FF">
        <w:rPr>
          <w:rFonts w:ascii="Times New Roman" w:hAnsi="Times New Roman" w:cs="Times New Roman"/>
          <w:sz w:val="24"/>
          <w:szCs w:val="24"/>
        </w:rPr>
        <w:t xml:space="preserve">a significant </w:t>
      </w:r>
      <w:r w:rsidRPr="00BD76FF">
        <w:rPr>
          <w:rFonts w:ascii="Times New Roman" w:eastAsia="Times New Roman" w:hAnsi="Times New Roman" w:cs="Times New Roman"/>
          <w:color w:val="222222"/>
          <w:sz w:val="24"/>
          <w:szCs w:val="24"/>
          <w:lang w:val="en"/>
        </w:rPr>
        <w:t xml:space="preserve">role in the training of ecclesiastical and civil </w:t>
      </w:r>
      <w:bookmarkStart w:id="0" w:name="_Hlk499042623"/>
      <w:r w:rsidRPr="00BD76FF">
        <w:rPr>
          <w:rFonts w:ascii="Times New Roman" w:eastAsia="Times New Roman" w:hAnsi="Times New Roman" w:cs="Times New Roman"/>
          <w:color w:val="222222"/>
          <w:sz w:val="24"/>
          <w:szCs w:val="24"/>
          <w:lang w:val="en"/>
        </w:rPr>
        <w:t>élites</w:t>
      </w:r>
      <w:bookmarkEnd w:id="0"/>
      <w:r w:rsidRPr="00BD76FF">
        <w:rPr>
          <w:rFonts w:ascii="Times New Roman" w:eastAsia="Times New Roman" w:hAnsi="Times New Roman" w:cs="Times New Roman"/>
          <w:color w:val="222222"/>
          <w:sz w:val="24"/>
          <w:szCs w:val="24"/>
          <w:lang w:val="en"/>
        </w:rPr>
        <w:t>. European expansion through both conquest and colonization resulted in the spread of the university from the sixteenth century across the Spanish empire, to the English and French colonies in North American throughout the seventeenth century and later to India, Australia and New Zealand, Africa, China, the Middle East and Japan (</w:t>
      </w:r>
      <w:r w:rsidRPr="00BD76FF">
        <w:rPr>
          <w:rFonts w:ascii="Times New Roman" w:eastAsia="Times New Roman" w:hAnsi="Times New Roman" w:cs="Times New Roman"/>
          <w:i/>
          <w:color w:val="222222"/>
          <w:sz w:val="24"/>
          <w:szCs w:val="24"/>
          <w:lang w:val="en"/>
        </w:rPr>
        <w:t>Ibid</w:t>
      </w:r>
      <w:r w:rsidRPr="00BD76FF">
        <w:rPr>
          <w:rFonts w:ascii="Times New Roman" w:eastAsia="Times New Roman" w:hAnsi="Times New Roman" w:cs="Times New Roman"/>
          <w:color w:val="222222"/>
          <w:sz w:val="24"/>
          <w:szCs w:val="24"/>
          <w:lang w:val="en"/>
        </w:rPr>
        <w:t>).</w:t>
      </w:r>
    </w:p>
    <w:p w14:paraId="1CEC9F40" w14:textId="2E70DD40" w:rsidR="00BD76FF" w:rsidRPr="00905306" w:rsidRDefault="00BD76FF" w:rsidP="00905306">
      <w:pPr>
        <w:shd w:val="clear" w:color="auto" w:fill="FFFFFF"/>
        <w:spacing w:before="120" w:after="0" w:line="480" w:lineRule="auto"/>
        <w:ind w:firstLine="720"/>
        <w:jc w:val="both"/>
        <w:rPr>
          <w:rFonts w:ascii="Times New Roman" w:eastAsia="Times" w:hAnsi="Times New Roman" w:cs="Times New Roman"/>
          <w:sz w:val="24"/>
          <w:szCs w:val="24"/>
        </w:rPr>
      </w:pPr>
      <w:r w:rsidRPr="00BD76FF">
        <w:rPr>
          <w:rFonts w:ascii="Times New Roman" w:hAnsi="Times New Roman" w:cs="Times New Roman"/>
          <w:sz w:val="24"/>
          <w:szCs w:val="24"/>
        </w:rPr>
        <w:t>By the 18</w:t>
      </w:r>
      <w:r w:rsidRPr="00BD76FF">
        <w:rPr>
          <w:rFonts w:ascii="Times New Roman" w:hAnsi="Times New Roman" w:cs="Times New Roman"/>
          <w:sz w:val="24"/>
          <w:szCs w:val="24"/>
          <w:vertAlign w:val="superscript"/>
        </w:rPr>
        <w:t>th</w:t>
      </w:r>
      <w:r w:rsidRPr="00BD76FF">
        <w:rPr>
          <w:rFonts w:ascii="Times New Roman" w:hAnsi="Times New Roman" w:cs="Times New Roman"/>
          <w:sz w:val="24"/>
          <w:szCs w:val="24"/>
        </w:rPr>
        <w:t xml:space="preserve"> century, </w:t>
      </w:r>
      <w:r w:rsidRPr="00BD76FF">
        <w:rPr>
          <w:rFonts w:ascii="Times New Roman" w:eastAsia="Times" w:hAnsi="Times New Roman" w:cs="Times New Roman"/>
          <w:sz w:val="24"/>
          <w:szCs w:val="24"/>
        </w:rPr>
        <w:t xml:space="preserve">universities everywhere </w:t>
      </w:r>
      <w:r w:rsidR="00630645" w:rsidRPr="00905306">
        <w:rPr>
          <w:rFonts w:ascii="Times New Roman" w:eastAsia="Times" w:hAnsi="Times New Roman" w:cs="Times New Roman"/>
          <w:sz w:val="24"/>
          <w:szCs w:val="24"/>
        </w:rPr>
        <w:t xml:space="preserve">were </w:t>
      </w:r>
      <w:r w:rsidRPr="00BD76FF">
        <w:rPr>
          <w:rFonts w:ascii="Times New Roman" w:eastAsia="Times New Roman" w:hAnsi="Times New Roman" w:cs="Times New Roman"/>
          <w:sz w:val="24"/>
          <w:szCs w:val="24"/>
          <w:lang w:val="en"/>
        </w:rPr>
        <w:t>experienc</w:t>
      </w:r>
      <w:r w:rsidR="00630645" w:rsidRPr="00905306">
        <w:rPr>
          <w:rFonts w:ascii="Times New Roman" w:eastAsia="Times New Roman" w:hAnsi="Times New Roman" w:cs="Times New Roman"/>
          <w:sz w:val="24"/>
          <w:szCs w:val="24"/>
          <w:lang w:val="en"/>
        </w:rPr>
        <w:t>ing</w:t>
      </w:r>
      <w:r w:rsidRPr="00BD76FF">
        <w:rPr>
          <w:rFonts w:ascii="Times New Roman" w:eastAsia="Times New Roman" w:hAnsi="Times New Roman" w:cs="Times New Roman"/>
          <w:sz w:val="24"/>
          <w:szCs w:val="24"/>
          <w:lang w:val="en"/>
        </w:rPr>
        <w:t xml:space="preserve"> a period of decline, a significant majority </w:t>
      </w:r>
      <w:r w:rsidRPr="00BD76FF">
        <w:rPr>
          <w:rFonts w:ascii="Times New Roman" w:hAnsi="Times New Roman" w:cs="Times New Roman"/>
          <w:sz w:val="24"/>
          <w:szCs w:val="24"/>
        </w:rPr>
        <w:t>confined to the training of priests or pastors, civil servants, and those gentry too poor to educate their sons by private tutors. Abolished in France and conquered territories during the French Revolution. they soon re-</w:t>
      </w:r>
      <w:r w:rsidRPr="00BD76FF">
        <w:rPr>
          <w:rFonts w:ascii="Times New Roman" w:eastAsia="Times" w:hAnsi="Times New Roman" w:cs="Times New Roman"/>
          <w:sz w:val="24"/>
          <w:szCs w:val="24"/>
        </w:rPr>
        <w:t xml:space="preserve">emerged as specialist institutions teaching single disciplines such as law, medicine, science, letters, or theology (Anderson, 2004; Perkin, 2007). </w:t>
      </w:r>
      <w:r w:rsidRPr="00BD76FF">
        <w:rPr>
          <w:rFonts w:ascii="Times New Roman" w:eastAsia="Times New Roman" w:hAnsi="Times New Roman" w:cs="Times New Roman"/>
          <w:color w:val="222222"/>
          <w:sz w:val="24"/>
          <w:szCs w:val="24"/>
          <w:lang w:val="en"/>
        </w:rPr>
        <w:t>The industrial revolution which spread across Europe and America from Britain in the latter half of the 18</w:t>
      </w:r>
      <w:r w:rsidRPr="00BD76FF">
        <w:rPr>
          <w:rFonts w:ascii="Times New Roman" w:eastAsia="Times New Roman" w:hAnsi="Times New Roman" w:cs="Times New Roman"/>
          <w:color w:val="222222"/>
          <w:sz w:val="24"/>
          <w:szCs w:val="24"/>
          <w:vertAlign w:val="superscript"/>
          <w:lang w:val="en"/>
        </w:rPr>
        <w:t>th</w:t>
      </w:r>
      <w:r w:rsidRPr="00BD76FF">
        <w:rPr>
          <w:rFonts w:ascii="Times New Roman" w:eastAsia="Times New Roman" w:hAnsi="Times New Roman" w:cs="Times New Roman"/>
          <w:color w:val="222222"/>
          <w:sz w:val="24"/>
          <w:szCs w:val="24"/>
          <w:lang w:val="en"/>
        </w:rPr>
        <w:t xml:space="preserve"> century began outside of the university sphere and was initially largely ignored by it. By the beginning of the nineteenth century, most universities were involved in the education of clergy, lawyers, and administrators, advancing a curriculum </w:t>
      </w:r>
      <w:proofErr w:type="spellStart"/>
      <w:r w:rsidRPr="00BD76FF">
        <w:rPr>
          <w:rFonts w:ascii="Times New Roman" w:eastAsia="Times New Roman" w:hAnsi="Times New Roman" w:cs="Times New Roman"/>
          <w:color w:val="222222"/>
          <w:sz w:val="24"/>
          <w:szCs w:val="24"/>
          <w:lang w:val="en"/>
        </w:rPr>
        <w:t>centred</w:t>
      </w:r>
      <w:proofErr w:type="spellEnd"/>
      <w:r w:rsidRPr="00BD76FF">
        <w:rPr>
          <w:rFonts w:ascii="Times New Roman" w:eastAsia="Times New Roman" w:hAnsi="Times New Roman" w:cs="Times New Roman"/>
          <w:color w:val="222222"/>
          <w:sz w:val="24"/>
          <w:szCs w:val="24"/>
          <w:lang w:val="en"/>
        </w:rPr>
        <w:t xml:space="preserve"> around the arts, theology, law and medicine, privileging Aristotle and Plato over Newton or Kant (Perkin, 2007, p. 174). However, the evolving needs of a more industrialized society led to the development of new forms of higher education, located outside universities in more specialized, applied settings. These included the establishment of </w:t>
      </w:r>
      <w:r w:rsidRPr="00BD76FF">
        <w:rPr>
          <w:rFonts w:ascii="Times New Roman" w:hAnsi="Times New Roman" w:cs="Times New Roman"/>
          <w:sz w:val="24"/>
          <w:szCs w:val="24"/>
          <w:lang w:val="en-AU"/>
        </w:rPr>
        <w:t xml:space="preserve">mechanics’ institutes in Britain, </w:t>
      </w:r>
      <w:proofErr w:type="spellStart"/>
      <w:r w:rsidRPr="00BD76FF">
        <w:rPr>
          <w:rFonts w:ascii="Times New Roman" w:hAnsi="Times New Roman" w:cs="Times New Roman"/>
          <w:i/>
          <w:sz w:val="24"/>
          <w:szCs w:val="24"/>
          <w:lang w:val="en-AU"/>
        </w:rPr>
        <w:t>technische</w:t>
      </w:r>
      <w:proofErr w:type="spellEnd"/>
      <w:r w:rsidRPr="00BD76FF">
        <w:rPr>
          <w:rFonts w:ascii="Times New Roman" w:hAnsi="Times New Roman" w:cs="Times New Roman"/>
          <w:i/>
          <w:sz w:val="24"/>
          <w:szCs w:val="24"/>
          <w:lang w:val="en-AU"/>
        </w:rPr>
        <w:t xml:space="preserve"> </w:t>
      </w:r>
      <w:proofErr w:type="spellStart"/>
      <w:r w:rsidRPr="00BD76FF">
        <w:rPr>
          <w:rFonts w:ascii="Times New Roman" w:hAnsi="Times New Roman" w:cs="Times New Roman"/>
          <w:i/>
          <w:sz w:val="24"/>
          <w:szCs w:val="24"/>
          <w:lang w:val="en-AU"/>
        </w:rPr>
        <w:t>hochschulen</w:t>
      </w:r>
      <w:proofErr w:type="spellEnd"/>
      <w:r w:rsidRPr="00BD76FF">
        <w:rPr>
          <w:rFonts w:ascii="Times New Roman" w:hAnsi="Times New Roman" w:cs="Times New Roman"/>
          <w:sz w:val="24"/>
          <w:szCs w:val="24"/>
          <w:lang w:val="en-AU"/>
        </w:rPr>
        <w:t xml:space="preserve"> in Germany, and </w:t>
      </w:r>
      <w:proofErr w:type="spellStart"/>
      <w:r w:rsidRPr="00BD76FF">
        <w:rPr>
          <w:rFonts w:ascii="Times New Roman" w:hAnsi="Times New Roman" w:cs="Times New Roman"/>
          <w:sz w:val="24"/>
          <w:szCs w:val="24"/>
          <w:lang w:val="en-AU"/>
        </w:rPr>
        <w:t>grandes</w:t>
      </w:r>
      <w:proofErr w:type="spellEnd"/>
      <w:r w:rsidRPr="00BD76FF">
        <w:rPr>
          <w:rFonts w:ascii="Times New Roman" w:hAnsi="Times New Roman" w:cs="Times New Roman"/>
          <w:sz w:val="24"/>
          <w:szCs w:val="24"/>
          <w:lang w:val="en-AU"/>
        </w:rPr>
        <w:t xml:space="preserve"> écoles in France. </w:t>
      </w:r>
      <w:r w:rsidRPr="00BD76FF">
        <w:rPr>
          <w:rFonts w:ascii="Times New Roman" w:eastAsia="Times New Roman" w:hAnsi="Times New Roman" w:cs="Times New Roman"/>
          <w:color w:val="222222"/>
          <w:sz w:val="24"/>
          <w:szCs w:val="24"/>
          <w:lang w:val="en"/>
        </w:rPr>
        <w:t xml:space="preserve">A </w:t>
      </w:r>
      <w:r w:rsidRPr="00BD76FF">
        <w:rPr>
          <w:rFonts w:ascii="Times New Roman" w:hAnsi="Times New Roman" w:cs="Times New Roman"/>
          <w:sz w:val="24"/>
          <w:szCs w:val="24"/>
          <w:lang w:val="en-AU"/>
        </w:rPr>
        <w:t>suite of new subjects including natural sciences (chemistry, biology, and geology) applied sciences (engineering, mineralogy, electricity, and practical medicine), and new humanities subjects (archive-based history, modern languages, and vernacular literature) also emerged to cater for a more heterogeneous student body (</w:t>
      </w:r>
      <w:r w:rsidRPr="00BD76FF">
        <w:rPr>
          <w:rFonts w:ascii="Times New Roman" w:hAnsi="Times New Roman" w:cs="Times New Roman"/>
          <w:i/>
          <w:sz w:val="24"/>
          <w:szCs w:val="24"/>
          <w:lang w:val="en-AU"/>
        </w:rPr>
        <w:t>Ibid</w:t>
      </w:r>
      <w:r w:rsidRPr="00BD76FF">
        <w:rPr>
          <w:rFonts w:ascii="Times New Roman" w:hAnsi="Times New Roman" w:cs="Times New Roman"/>
          <w:sz w:val="24"/>
          <w:szCs w:val="24"/>
          <w:lang w:val="en-AU"/>
        </w:rPr>
        <w:t xml:space="preserve">., pp. 174-5). The </w:t>
      </w:r>
      <w:r w:rsidRPr="00BD76FF">
        <w:rPr>
          <w:rFonts w:ascii="Times New Roman" w:hAnsi="Times New Roman" w:cs="Times New Roman"/>
          <w:sz w:val="24"/>
          <w:szCs w:val="24"/>
          <w:lang w:val="en-AU"/>
        </w:rPr>
        <w:lastRenderedPageBreak/>
        <w:t xml:space="preserve">nineteenth century also witnessed the development of a research function within the university and this model soon spread </w:t>
      </w:r>
      <w:r w:rsidRPr="00BD76FF">
        <w:rPr>
          <w:rFonts w:ascii="Times New Roman" w:eastAsia="Times New Roman" w:hAnsi="Times New Roman" w:cs="Times New Roman"/>
          <w:sz w:val="24"/>
          <w:szCs w:val="24"/>
          <w:lang w:val="en"/>
        </w:rPr>
        <w:t>across Europe and North America (</w:t>
      </w:r>
      <w:proofErr w:type="spellStart"/>
      <w:r w:rsidRPr="00BD76FF">
        <w:rPr>
          <w:rFonts w:ascii="Times New Roman" w:eastAsia="Times New Roman" w:hAnsi="Times New Roman" w:cs="Times New Roman"/>
          <w:sz w:val="24"/>
          <w:szCs w:val="24"/>
          <w:lang w:val="en"/>
        </w:rPr>
        <w:t>Wolhuter</w:t>
      </w:r>
      <w:proofErr w:type="spellEnd"/>
      <w:r w:rsidRPr="00BD76FF">
        <w:rPr>
          <w:rFonts w:ascii="Times New Roman" w:eastAsia="Times New Roman" w:hAnsi="Times New Roman" w:cs="Times New Roman"/>
          <w:sz w:val="24"/>
          <w:szCs w:val="24"/>
          <w:lang w:val="en"/>
        </w:rPr>
        <w:t xml:space="preserve">, 2007). </w:t>
      </w:r>
    </w:p>
    <w:p w14:paraId="3AE49F31" w14:textId="695E59E7" w:rsidR="00905306" w:rsidRPr="00BD76FF" w:rsidRDefault="00905306" w:rsidP="00905306">
      <w:pPr>
        <w:shd w:val="clear" w:color="auto" w:fill="FFFFFF"/>
        <w:spacing w:before="120" w:after="0" w:line="480" w:lineRule="auto"/>
        <w:jc w:val="both"/>
        <w:rPr>
          <w:rFonts w:ascii="Times New Roman" w:eastAsia="Times" w:hAnsi="Times New Roman" w:cs="Times New Roman"/>
          <w:b/>
          <w:sz w:val="24"/>
          <w:szCs w:val="24"/>
        </w:rPr>
      </w:pPr>
      <w:r w:rsidRPr="00905306">
        <w:rPr>
          <w:rFonts w:ascii="Times New Roman" w:eastAsia="Times" w:hAnsi="Times New Roman" w:cs="Times New Roman"/>
          <w:b/>
          <w:sz w:val="24"/>
          <w:szCs w:val="24"/>
        </w:rPr>
        <w:t xml:space="preserve">The Expansion of Higher Education </w:t>
      </w:r>
    </w:p>
    <w:p w14:paraId="3772D40D" w14:textId="2133829C" w:rsidR="00905306" w:rsidRPr="00905306" w:rsidRDefault="00BD76FF" w:rsidP="00905306">
      <w:pPr>
        <w:shd w:val="clear" w:color="auto" w:fill="FFFFFF"/>
        <w:spacing w:before="120" w:after="0" w:line="480" w:lineRule="auto"/>
        <w:jc w:val="both"/>
        <w:rPr>
          <w:rFonts w:ascii="Times New Roman" w:eastAsia="Times New Roman" w:hAnsi="Times New Roman" w:cs="Times New Roman"/>
          <w:color w:val="222222"/>
          <w:sz w:val="24"/>
          <w:szCs w:val="24"/>
          <w:lang w:eastAsia="en-GB"/>
        </w:rPr>
      </w:pPr>
      <w:r w:rsidRPr="00BD76FF">
        <w:rPr>
          <w:rFonts w:ascii="Times New Roman" w:hAnsi="Times New Roman" w:cs="Times New Roman"/>
          <w:sz w:val="24"/>
          <w:szCs w:val="24"/>
        </w:rPr>
        <w:t xml:space="preserve">The mid-nineteenth century saw the expansion of H.E. in most western countries which continued up until World War II, with most growth occurring in the 1870s and 1880s as well as the 1920s (Anderson, 1985). </w:t>
      </w:r>
      <w:proofErr w:type="spellStart"/>
      <w:r w:rsidRPr="00BD76FF">
        <w:rPr>
          <w:rFonts w:ascii="Times New Roman" w:hAnsi="Times New Roman" w:cs="Times New Roman"/>
          <w:sz w:val="24"/>
          <w:szCs w:val="24"/>
        </w:rPr>
        <w:t>Jarausch</w:t>
      </w:r>
      <w:proofErr w:type="spellEnd"/>
      <w:r w:rsidRPr="00BD76FF">
        <w:rPr>
          <w:rFonts w:ascii="Times New Roman" w:hAnsi="Times New Roman" w:cs="Times New Roman"/>
          <w:sz w:val="24"/>
          <w:szCs w:val="24"/>
        </w:rPr>
        <w:t xml:space="preserve"> </w:t>
      </w:r>
      <w:r w:rsidR="0090272C">
        <w:rPr>
          <w:rFonts w:ascii="Times New Roman" w:hAnsi="Times New Roman" w:cs="Times New Roman"/>
          <w:sz w:val="24"/>
          <w:szCs w:val="24"/>
        </w:rPr>
        <w:t xml:space="preserve">(1983, p. 10) </w:t>
      </w:r>
      <w:r w:rsidRPr="00BD76FF">
        <w:rPr>
          <w:rFonts w:ascii="Times New Roman" w:hAnsi="Times New Roman" w:cs="Times New Roman"/>
          <w:sz w:val="24"/>
          <w:szCs w:val="24"/>
        </w:rPr>
        <w:t xml:space="preserve">contends that this transformation resulted from the fact that </w:t>
      </w:r>
      <w:r w:rsidR="00F74AF8">
        <w:rPr>
          <w:rFonts w:ascii="Times New Roman" w:hAnsi="Times New Roman" w:cs="Times New Roman"/>
          <w:sz w:val="24"/>
          <w:szCs w:val="24"/>
        </w:rPr>
        <w:t>“</w:t>
      </w:r>
      <w:r w:rsidRPr="00BD76FF">
        <w:rPr>
          <w:rFonts w:ascii="Times New Roman" w:hAnsi="Times New Roman" w:cs="Times New Roman"/>
          <w:sz w:val="24"/>
          <w:szCs w:val="24"/>
        </w:rPr>
        <w:t>a small, homogeneous, élite and pre-professional university turned into a large, diversified, middle-class and professional system of higher learning</w:t>
      </w:r>
      <w:r w:rsidR="0090272C">
        <w:rPr>
          <w:rFonts w:ascii="Times New Roman" w:hAnsi="Times New Roman" w:cs="Times New Roman"/>
          <w:sz w:val="24"/>
          <w:szCs w:val="24"/>
        </w:rPr>
        <w:t>.</w:t>
      </w:r>
      <w:r w:rsidR="00F74AF8">
        <w:rPr>
          <w:rFonts w:ascii="Times New Roman" w:hAnsi="Times New Roman" w:cs="Times New Roman"/>
          <w:sz w:val="24"/>
          <w:szCs w:val="24"/>
        </w:rPr>
        <w:t>”</w:t>
      </w:r>
      <w:r w:rsidRPr="00BD76FF">
        <w:rPr>
          <w:rFonts w:ascii="Times New Roman" w:hAnsi="Times New Roman" w:cs="Times New Roman"/>
          <w:sz w:val="24"/>
          <w:szCs w:val="24"/>
        </w:rPr>
        <w:t xml:space="preserve"> In the transition from élite to mass higher education, the university again re-imagined itself into what Perkin (p. 160) refers to as </w:t>
      </w:r>
      <w:r w:rsidR="00F74AF8">
        <w:rPr>
          <w:rFonts w:ascii="Times New Roman" w:hAnsi="Times New Roman" w:cs="Times New Roman"/>
          <w:sz w:val="24"/>
          <w:szCs w:val="24"/>
        </w:rPr>
        <w:t>“</w:t>
      </w:r>
      <w:r w:rsidRPr="00BD76FF">
        <w:rPr>
          <w:rFonts w:ascii="Times New Roman" w:hAnsi="Times New Roman" w:cs="Times New Roman"/>
          <w:sz w:val="24"/>
          <w:szCs w:val="24"/>
        </w:rPr>
        <w:t>the pivotal institution of a new kind of society.</w:t>
      </w:r>
      <w:r w:rsidR="00F74AF8">
        <w:rPr>
          <w:rFonts w:ascii="Times New Roman" w:hAnsi="Times New Roman" w:cs="Times New Roman"/>
          <w:sz w:val="24"/>
          <w:szCs w:val="24"/>
        </w:rPr>
        <w:t>”</w:t>
      </w:r>
      <w:r w:rsidRPr="00BD76FF">
        <w:rPr>
          <w:rFonts w:ascii="Times New Roman" w:hAnsi="Times New Roman" w:cs="Times New Roman"/>
          <w:sz w:val="24"/>
          <w:szCs w:val="24"/>
        </w:rPr>
        <w:t xml:space="preserve"> Reform also led to the admission of women, following a sustained and protracted campaign, university access one of a series of measures gained over the course of this century which improved women’s social, economic and political status (Evans, 1977; Harford, 2008). The newly founded co-educational universities typically permitted women entry on equal grounds as men, whereas the older, conservative universities, who had campaigned ardently to block women’s admission allowed concessionary access, often in the form of co-ordinate colleges (Harford, 2007). </w:t>
      </w:r>
      <w:r w:rsidRPr="00BD76FF">
        <w:rPr>
          <w:rFonts w:ascii="Times New Roman" w:eastAsia="Times New Roman" w:hAnsi="Times New Roman" w:cs="Times New Roman"/>
          <w:color w:val="000000"/>
          <w:sz w:val="24"/>
          <w:szCs w:val="24"/>
        </w:rPr>
        <w:t xml:space="preserve">In the United States, women were gradually accepted into co-educational colleges by the mid-1830s, the earliest co-educational institutions being founded by abolitionists, Congregationalists, Quakers, Methodists and others committed to equality (Goldin and Katz, 2011). These institutions were disproportionately founded in the West, with </w:t>
      </w:r>
      <w:r w:rsidRPr="00BD76FF">
        <w:rPr>
          <w:rFonts w:ascii="Times New Roman" w:eastAsia="Times New Roman" w:hAnsi="Times New Roman" w:cs="Times New Roman"/>
          <w:color w:val="222222"/>
          <w:sz w:val="24"/>
          <w:szCs w:val="24"/>
          <w:lang w:val="en"/>
        </w:rPr>
        <w:t>élite</w:t>
      </w:r>
      <w:r w:rsidRPr="00BD76FF">
        <w:rPr>
          <w:rFonts w:ascii="Times New Roman" w:eastAsia="Times New Roman" w:hAnsi="Times New Roman" w:cs="Times New Roman"/>
          <w:color w:val="000000"/>
          <w:sz w:val="24"/>
          <w:szCs w:val="24"/>
        </w:rPr>
        <w:t xml:space="preserve"> private institutions such as Harvard, Yale and Princeton remaining closed to women, instead issuing a series of compromise measures (</w:t>
      </w:r>
      <w:proofErr w:type="spellStart"/>
      <w:r w:rsidRPr="00BD76FF">
        <w:rPr>
          <w:rFonts w:ascii="Times New Roman" w:eastAsia="Times New Roman" w:hAnsi="Times New Roman" w:cs="Times New Roman"/>
          <w:color w:val="222222"/>
          <w:sz w:val="24"/>
          <w:szCs w:val="24"/>
          <w:lang w:eastAsia="en-GB"/>
        </w:rPr>
        <w:t>Albisetti</w:t>
      </w:r>
      <w:proofErr w:type="spellEnd"/>
      <w:r w:rsidRPr="00BD76FF">
        <w:rPr>
          <w:rFonts w:ascii="Times New Roman" w:eastAsia="Times New Roman" w:hAnsi="Times New Roman" w:cs="Times New Roman"/>
          <w:color w:val="222222"/>
          <w:sz w:val="24"/>
          <w:szCs w:val="24"/>
          <w:lang w:eastAsia="en-GB"/>
        </w:rPr>
        <w:t>, 1992; Harford, 2018</w:t>
      </w:r>
      <w:r w:rsidR="006E4C53">
        <w:rPr>
          <w:rFonts w:ascii="Times New Roman" w:eastAsia="Times New Roman" w:hAnsi="Times New Roman" w:cs="Times New Roman"/>
          <w:color w:val="222222"/>
          <w:sz w:val="24"/>
          <w:szCs w:val="24"/>
          <w:lang w:eastAsia="en-GB"/>
        </w:rPr>
        <w:t>a</w:t>
      </w:r>
      <w:r w:rsidRPr="00BD76FF">
        <w:rPr>
          <w:rFonts w:ascii="Times New Roman" w:eastAsia="Times New Roman" w:hAnsi="Times New Roman" w:cs="Times New Roman"/>
          <w:color w:val="222222"/>
          <w:sz w:val="24"/>
          <w:szCs w:val="24"/>
          <w:lang w:eastAsia="en-GB"/>
        </w:rPr>
        <w:t>). Nonetheless, co-education was the dominant model of both public and private universities from the 1870s (Solomon, 1985), and this was replicated across the Western world (</w:t>
      </w:r>
      <w:proofErr w:type="spellStart"/>
      <w:r w:rsidRPr="00BD76FF">
        <w:rPr>
          <w:rFonts w:ascii="Times New Roman" w:eastAsia="Times New Roman" w:hAnsi="Times New Roman" w:cs="Times New Roman"/>
          <w:color w:val="222222"/>
          <w:sz w:val="24"/>
          <w:szCs w:val="24"/>
          <w:lang w:eastAsia="en-GB"/>
        </w:rPr>
        <w:t>Dyhouse</w:t>
      </w:r>
      <w:proofErr w:type="spellEnd"/>
      <w:r w:rsidRPr="00BD76FF">
        <w:rPr>
          <w:rFonts w:ascii="Times New Roman" w:eastAsia="Times New Roman" w:hAnsi="Times New Roman" w:cs="Times New Roman"/>
          <w:color w:val="222222"/>
          <w:sz w:val="24"/>
          <w:szCs w:val="24"/>
          <w:lang w:eastAsia="en-GB"/>
        </w:rPr>
        <w:t xml:space="preserve">, 1995). </w:t>
      </w:r>
      <w:r w:rsidR="00905306" w:rsidRPr="00BD76FF">
        <w:rPr>
          <w:rFonts w:ascii="Times New Roman" w:eastAsia="Times New Roman" w:hAnsi="Times New Roman" w:cs="Times New Roman"/>
          <w:color w:val="222222"/>
          <w:sz w:val="24"/>
          <w:szCs w:val="24"/>
          <w:lang w:eastAsia="en-GB"/>
        </w:rPr>
        <w:t xml:space="preserve">Despite the global admission of </w:t>
      </w:r>
      <w:r w:rsidR="00905306" w:rsidRPr="00BD76FF">
        <w:rPr>
          <w:rFonts w:ascii="Times New Roman" w:eastAsia="Times New Roman" w:hAnsi="Times New Roman" w:cs="Times New Roman"/>
          <w:color w:val="222222"/>
          <w:sz w:val="24"/>
          <w:szCs w:val="24"/>
          <w:lang w:eastAsia="en-GB"/>
        </w:rPr>
        <w:lastRenderedPageBreak/>
        <w:t>women to universities throughout the nineteenth century, gender equality in H.E. remains a contested issue, and this is particularly evident in the low proportion of women professors in certain contexts (FitzGerald, 2009; Fuller and Harford, 2016; Harford, 2018</w:t>
      </w:r>
      <w:r w:rsidR="006E4C53">
        <w:rPr>
          <w:rFonts w:ascii="Times New Roman" w:eastAsia="Times New Roman" w:hAnsi="Times New Roman" w:cs="Times New Roman"/>
          <w:color w:val="222222"/>
          <w:sz w:val="24"/>
          <w:szCs w:val="24"/>
          <w:lang w:eastAsia="en-GB"/>
        </w:rPr>
        <w:t>b</w:t>
      </w:r>
      <w:r w:rsidR="00905306" w:rsidRPr="00BD76FF">
        <w:rPr>
          <w:rFonts w:ascii="Times New Roman" w:eastAsia="Times New Roman" w:hAnsi="Times New Roman" w:cs="Times New Roman"/>
          <w:color w:val="222222"/>
          <w:sz w:val="24"/>
          <w:szCs w:val="24"/>
          <w:lang w:eastAsia="en-GB"/>
        </w:rPr>
        <w:t>).</w:t>
      </w:r>
      <w:r w:rsidR="00905306" w:rsidRPr="00905306">
        <w:rPr>
          <w:rFonts w:ascii="Times New Roman" w:eastAsia="Times New Roman" w:hAnsi="Times New Roman" w:cs="Times New Roman"/>
          <w:color w:val="222222"/>
          <w:sz w:val="24"/>
          <w:szCs w:val="24"/>
          <w:lang w:eastAsia="en-GB"/>
        </w:rPr>
        <w:t xml:space="preserve"> Commenting on the minority of female students in STEM subjects, in the low number of female academics in these fields and in the increase in the casualization of H.E. which impacts more </w:t>
      </w:r>
      <w:r w:rsidR="0090272C">
        <w:rPr>
          <w:rFonts w:ascii="Times New Roman" w:eastAsia="Times New Roman" w:hAnsi="Times New Roman" w:cs="Times New Roman"/>
          <w:color w:val="222222"/>
          <w:sz w:val="24"/>
          <w:szCs w:val="24"/>
          <w:lang w:eastAsia="en-GB"/>
        </w:rPr>
        <w:t>acutely</w:t>
      </w:r>
      <w:r w:rsidR="00905306" w:rsidRPr="00905306">
        <w:rPr>
          <w:rFonts w:ascii="Times New Roman" w:eastAsia="Times New Roman" w:hAnsi="Times New Roman" w:cs="Times New Roman"/>
          <w:color w:val="222222"/>
          <w:sz w:val="24"/>
          <w:szCs w:val="24"/>
          <w:lang w:eastAsia="en-GB"/>
        </w:rPr>
        <w:t xml:space="preserve"> on females, Spencer notes in her chapter on “Women Professors and Deans: Access, Opportunity and Networks,” that “the narrative of women’s success in achieving gender equality in academia is by no means complete” (ADD PAGE NUMBER).</w:t>
      </w:r>
    </w:p>
    <w:p w14:paraId="5084442A" w14:textId="5DA10361" w:rsidR="00BD76FF" w:rsidRDefault="00BD76FF" w:rsidP="00731582">
      <w:pPr>
        <w:shd w:val="clear" w:color="auto" w:fill="FFFFFF"/>
        <w:spacing w:before="120" w:after="0" w:line="480" w:lineRule="auto"/>
        <w:ind w:firstLine="720"/>
        <w:jc w:val="both"/>
        <w:rPr>
          <w:rFonts w:ascii="Times New Roman" w:hAnsi="Times New Roman" w:cs="Times New Roman"/>
          <w:sz w:val="24"/>
          <w:szCs w:val="24"/>
        </w:rPr>
      </w:pPr>
      <w:r w:rsidRPr="00BD76FF">
        <w:rPr>
          <w:rFonts w:ascii="Times New Roman" w:hAnsi="Times New Roman" w:cs="Times New Roman"/>
          <w:sz w:val="24"/>
          <w:szCs w:val="24"/>
        </w:rPr>
        <w:t xml:space="preserve">While still very much the preserve of the middle classes, access </w:t>
      </w:r>
      <w:r w:rsidR="006E4C53">
        <w:rPr>
          <w:rFonts w:ascii="Times New Roman" w:hAnsi="Times New Roman" w:cs="Times New Roman"/>
          <w:sz w:val="24"/>
          <w:szCs w:val="24"/>
        </w:rPr>
        <w:t xml:space="preserve">to H.E. </w:t>
      </w:r>
      <w:r w:rsidRPr="00BD76FF">
        <w:rPr>
          <w:rFonts w:ascii="Times New Roman" w:hAnsi="Times New Roman" w:cs="Times New Roman"/>
          <w:sz w:val="24"/>
          <w:szCs w:val="24"/>
        </w:rPr>
        <w:t xml:space="preserve">broadened significantly during this period. Numbers in all tertiary institutions in Europe grew from 0.46% of the student age group in 1860 to nearly 0.88% in 1900, and 2.07% in 1940. (Tertiary, from the Latin </w:t>
      </w:r>
      <w:r w:rsidRPr="00BD76FF">
        <w:rPr>
          <w:rFonts w:ascii="Times New Roman" w:hAnsi="Times New Roman" w:cs="Times New Roman"/>
          <w:i/>
          <w:color w:val="222222"/>
          <w:sz w:val="24"/>
          <w:szCs w:val="24"/>
          <w:shd w:val="clear" w:color="auto" w:fill="FFFFFF"/>
        </w:rPr>
        <w:t>tertiaries</w:t>
      </w:r>
      <w:r w:rsidRPr="00BD76FF">
        <w:rPr>
          <w:rFonts w:ascii="Times New Roman" w:hAnsi="Times New Roman" w:cs="Times New Roman"/>
          <w:color w:val="222222"/>
          <w:sz w:val="24"/>
          <w:szCs w:val="24"/>
          <w:shd w:val="clear" w:color="auto" w:fill="FFFFFF"/>
        </w:rPr>
        <w:t xml:space="preserve">, which means of or pertaining to the third, typically relates to the third tier of education, the post-secondary tier, hence, comprises both H.E. and F.E.). </w:t>
      </w:r>
      <w:r w:rsidRPr="00BD76FF">
        <w:rPr>
          <w:rFonts w:ascii="Times New Roman" w:hAnsi="Times New Roman" w:cs="Times New Roman"/>
          <w:sz w:val="24"/>
          <w:szCs w:val="24"/>
        </w:rPr>
        <w:t>The greatest increase was experienced in the United States, where numbers rose from 1.1% in 1860 to 2.3% in 1900, and to 9.1% in 1940 (Perkin, 2007, p. 175).</w:t>
      </w:r>
      <w:r w:rsidRPr="00BD76FF">
        <w:rPr>
          <w:rFonts w:ascii="Times New Roman" w:eastAsia="Times New Roman" w:hAnsi="Times New Roman" w:cs="Times New Roman"/>
          <w:color w:val="222222"/>
          <w:sz w:val="24"/>
          <w:szCs w:val="24"/>
          <w:lang w:val="en"/>
        </w:rPr>
        <w:t xml:space="preserve"> Universal access to secondary education, although still pre-dominantly the preserve of the middle-classes, mushroomed in industrialized countries in the mid-twentieth century and this expansion had a direct impact on participation rates at tertiary level (Harford, 2018</w:t>
      </w:r>
      <w:r w:rsidR="006E4C53">
        <w:rPr>
          <w:rFonts w:ascii="Times New Roman" w:eastAsia="Times New Roman" w:hAnsi="Times New Roman" w:cs="Times New Roman"/>
          <w:color w:val="222222"/>
          <w:sz w:val="24"/>
          <w:szCs w:val="24"/>
          <w:lang w:val="en"/>
        </w:rPr>
        <w:t>c</w:t>
      </w:r>
      <w:r w:rsidRPr="00BD76FF">
        <w:rPr>
          <w:rFonts w:ascii="Times New Roman" w:eastAsia="Times New Roman" w:hAnsi="Times New Roman" w:cs="Times New Roman"/>
          <w:color w:val="222222"/>
          <w:sz w:val="24"/>
          <w:szCs w:val="24"/>
          <w:lang w:val="en"/>
        </w:rPr>
        <w:t>).</w:t>
      </w:r>
      <w:r w:rsidR="005F558E">
        <w:rPr>
          <w:rFonts w:ascii="Times New Roman" w:eastAsia="Times New Roman" w:hAnsi="Times New Roman" w:cs="Times New Roman"/>
          <w:color w:val="222222"/>
          <w:sz w:val="24"/>
          <w:szCs w:val="24"/>
          <w:lang w:val="en"/>
        </w:rPr>
        <w:t xml:space="preserve"> </w:t>
      </w:r>
      <w:r w:rsidRPr="00BD76FF">
        <w:rPr>
          <w:rFonts w:ascii="Times New Roman" w:eastAsia="Times New Roman" w:hAnsi="Times New Roman" w:cs="Times New Roman"/>
          <w:color w:val="222222"/>
          <w:sz w:val="24"/>
          <w:szCs w:val="24"/>
          <w:lang w:val="en"/>
        </w:rPr>
        <w:t xml:space="preserve">Tertiary in this context now included the emergence of F.E. models, which developed in response to questions about the nature of knowledge and the need for post-secondary education to address the needs of a more diverse society. </w:t>
      </w:r>
      <w:r w:rsidRPr="00BD76FF">
        <w:rPr>
          <w:rFonts w:ascii="Times New Roman" w:hAnsi="Times New Roman" w:cs="Times New Roman"/>
          <w:sz w:val="24"/>
          <w:szCs w:val="24"/>
        </w:rPr>
        <w:t>Curricular reform was central to this metamorphosis, with an increased emphasis on vocational subjects and the acquisition of key skills (</w:t>
      </w:r>
      <w:proofErr w:type="spellStart"/>
      <w:r w:rsidRPr="00BD76FF">
        <w:rPr>
          <w:rFonts w:ascii="Times New Roman" w:hAnsi="Times New Roman" w:cs="Times New Roman"/>
          <w:sz w:val="24"/>
          <w:szCs w:val="24"/>
        </w:rPr>
        <w:t>Wolhuter</w:t>
      </w:r>
      <w:proofErr w:type="spellEnd"/>
      <w:r w:rsidRPr="00BD76FF">
        <w:rPr>
          <w:rFonts w:ascii="Times New Roman" w:hAnsi="Times New Roman" w:cs="Times New Roman"/>
          <w:sz w:val="24"/>
          <w:szCs w:val="24"/>
        </w:rPr>
        <w:t xml:space="preserve">, 2007). A range of new institutions with a mandate to deal with the diverse needs of a more heterogenous student body emerged (OECD, 1974). These included polytechnics in Britain, </w:t>
      </w:r>
      <w:proofErr w:type="spellStart"/>
      <w:r w:rsidRPr="00BD76FF">
        <w:rPr>
          <w:rFonts w:ascii="Times New Roman" w:hAnsi="Times New Roman" w:cs="Times New Roman"/>
          <w:i/>
          <w:sz w:val="24"/>
          <w:szCs w:val="24"/>
        </w:rPr>
        <w:lastRenderedPageBreak/>
        <w:t>Instituts</w:t>
      </w:r>
      <w:proofErr w:type="spellEnd"/>
      <w:r w:rsidRPr="00BD76FF">
        <w:rPr>
          <w:rFonts w:ascii="Times New Roman" w:hAnsi="Times New Roman" w:cs="Times New Roman"/>
          <w:i/>
          <w:sz w:val="24"/>
          <w:szCs w:val="24"/>
        </w:rPr>
        <w:t xml:space="preserve"> </w:t>
      </w:r>
      <w:proofErr w:type="spellStart"/>
      <w:r w:rsidRPr="00BD76FF">
        <w:rPr>
          <w:rFonts w:ascii="Times New Roman" w:hAnsi="Times New Roman" w:cs="Times New Roman"/>
          <w:i/>
          <w:sz w:val="24"/>
          <w:szCs w:val="24"/>
        </w:rPr>
        <w:t>universitaires</w:t>
      </w:r>
      <w:proofErr w:type="spellEnd"/>
      <w:r w:rsidRPr="00BD76FF">
        <w:rPr>
          <w:rFonts w:ascii="Times New Roman" w:hAnsi="Times New Roman" w:cs="Times New Roman"/>
          <w:i/>
          <w:sz w:val="24"/>
          <w:szCs w:val="24"/>
        </w:rPr>
        <w:t xml:space="preserve"> de </w:t>
      </w:r>
      <w:proofErr w:type="spellStart"/>
      <w:r w:rsidRPr="00BD76FF">
        <w:rPr>
          <w:rFonts w:ascii="Times New Roman" w:hAnsi="Times New Roman" w:cs="Times New Roman"/>
          <w:i/>
          <w:sz w:val="24"/>
          <w:szCs w:val="24"/>
        </w:rPr>
        <w:t>technologie</w:t>
      </w:r>
      <w:proofErr w:type="spellEnd"/>
      <w:r w:rsidRPr="00BD76FF">
        <w:rPr>
          <w:rFonts w:ascii="Times New Roman" w:hAnsi="Times New Roman" w:cs="Times New Roman"/>
          <w:sz w:val="24"/>
          <w:szCs w:val="24"/>
        </w:rPr>
        <w:t xml:space="preserve"> (IUT) in France, </w:t>
      </w:r>
      <w:proofErr w:type="spellStart"/>
      <w:r w:rsidRPr="00BD76FF">
        <w:rPr>
          <w:rFonts w:ascii="Times New Roman" w:hAnsi="Times New Roman" w:cs="Times New Roman"/>
          <w:i/>
          <w:sz w:val="24"/>
          <w:szCs w:val="24"/>
        </w:rPr>
        <w:t>Fachhochschulen</w:t>
      </w:r>
      <w:proofErr w:type="spellEnd"/>
      <w:r w:rsidRPr="00BD76FF">
        <w:rPr>
          <w:rFonts w:ascii="Times New Roman" w:hAnsi="Times New Roman" w:cs="Times New Roman"/>
          <w:sz w:val="24"/>
          <w:szCs w:val="24"/>
        </w:rPr>
        <w:t xml:space="preserve"> in Germany and regional colleges in Norway. </w:t>
      </w:r>
      <w:proofErr w:type="spellStart"/>
      <w:r w:rsidRPr="00BD76FF">
        <w:rPr>
          <w:rFonts w:ascii="Times New Roman" w:hAnsi="Times New Roman" w:cs="Times New Roman"/>
          <w:sz w:val="24"/>
          <w:szCs w:val="24"/>
        </w:rPr>
        <w:t>Teichler</w:t>
      </w:r>
      <w:proofErr w:type="spellEnd"/>
      <w:r w:rsidRPr="00BD76FF">
        <w:rPr>
          <w:rFonts w:ascii="Times New Roman" w:hAnsi="Times New Roman" w:cs="Times New Roman"/>
          <w:sz w:val="24"/>
          <w:szCs w:val="24"/>
        </w:rPr>
        <w:t xml:space="preserve"> (2008, p. 4) notes </w:t>
      </w:r>
      <w:r w:rsidR="00F74AF8">
        <w:rPr>
          <w:rFonts w:ascii="Times New Roman" w:hAnsi="Times New Roman" w:cs="Times New Roman"/>
          <w:sz w:val="24"/>
          <w:szCs w:val="24"/>
        </w:rPr>
        <w:t>“</w:t>
      </w:r>
      <w:r w:rsidRPr="00BD76FF">
        <w:rPr>
          <w:rFonts w:ascii="Times New Roman" w:hAnsi="Times New Roman" w:cs="Times New Roman"/>
          <w:sz w:val="24"/>
          <w:szCs w:val="24"/>
        </w:rPr>
        <w:t>as a consequence of the establishment of non-university institutions of higher education, an inter-institutional diversity of higher education emerged.</w:t>
      </w:r>
      <w:r w:rsidR="00F74AF8">
        <w:rPr>
          <w:rFonts w:ascii="Times New Roman" w:hAnsi="Times New Roman" w:cs="Times New Roman"/>
          <w:sz w:val="24"/>
          <w:szCs w:val="24"/>
        </w:rPr>
        <w:t>”</w:t>
      </w:r>
      <w:r w:rsidRPr="00BD76FF">
        <w:rPr>
          <w:rFonts w:ascii="Times New Roman" w:hAnsi="Times New Roman" w:cs="Times New Roman"/>
          <w:sz w:val="24"/>
          <w:szCs w:val="24"/>
        </w:rPr>
        <w:t xml:space="preserve"> F.E. was now a central strand of the diversity mandate and thus of the new higher education landscape.</w:t>
      </w:r>
    </w:p>
    <w:p w14:paraId="7C9B099F" w14:textId="17C50CE1" w:rsidR="00B5400A" w:rsidRPr="00B5400A" w:rsidRDefault="00B5400A" w:rsidP="00B5400A">
      <w:pPr>
        <w:shd w:val="clear" w:color="auto" w:fill="FFFFFF"/>
        <w:spacing w:before="120" w:after="0" w:line="480" w:lineRule="auto"/>
        <w:jc w:val="both"/>
        <w:rPr>
          <w:rFonts w:ascii="Times New Roman" w:eastAsia="Times New Roman" w:hAnsi="Times New Roman" w:cs="Times New Roman"/>
          <w:b/>
          <w:color w:val="222222"/>
          <w:sz w:val="24"/>
          <w:szCs w:val="24"/>
          <w:lang w:val="en"/>
        </w:rPr>
      </w:pPr>
      <w:r w:rsidRPr="00B5400A">
        <w:rPr>
          <w:rFonts w:ascii="Times New Roman" w:eastAsia="Times New Roman" w:hAnsi="Times New Roman" w:cs="Times New Roman"/>
          <w:b/>
          <w:color w:val="222222"/>
          <w:sz w:val="24"/>
          <w:szCs w:val="24"/>
          <w:lang w:val="en"/>
        </w:rPr>
        <w:t>The Emergence of F</w:t>
      </w:r>
      <w:r w:rsidR="0012163B">
        <w:rPr>
          <w:rFonts w:ascii="Times New Roman" w:eastAsia="Times New Roman" w:hAnsi="Times New Roman" w:cs="Times New Roman"/>
          <w:b/>
          <w:color w:val="222222"/>
          <w:sz w:val="24"/>
          <w:szCs w:val="24"/>
          <w:lang w:val="en"/>
        </w:rPr>
        <w:t>urther Education</w:t>
      </w:r>
    </w:p>
    <w:p w14:paraId="7D37D379" w14:textId="2559695F" w:rsidR="00BD76FF" w:rsidRPr="00BD76FF" w:rsidRDefault="00BD76FF" w:rsidP="00B5400A">
      <w:pPr>
        <w:shd w:val="clear" w:color="auto" w:fill="FFFFFF"/>
        <w:spacing w:before="120" w:after="0" w:line="480" w:lineRule="auto"/>
        <w:jc w:val="both"/>
        <w:rPr>
          <w:rFonts w:ascii="Times New Roman" w:hAnsi="Times New Roman" w:cs="Times New Roman"/>
          <w:sz w:val="24"/>
          <w:szCs w:val="24"/>
        </w:rPr>
      </w:pPr>
      <w:r w:rsidRPr="00BD76FF">
        <w:rPr>
          <w:rFonts w:ascii="Times New Roman" w:hAnsi="Times New Roman" w:cs="Times New Roman"/>
          <w:sz w:val="24"/>
          <w:szCs w:val="24"/>
        </w:rPr>
        <w:t xml:space="preserve">The history and remit of F.E. is more nebulous than that of H.E., a landmark U.K. report noting in 1997 </w:t>
      </w:r>
      <w:r w:rsidR="00F74AF8">
        <w:rPr>
          <w:rFonts w:ascii="Times New Roman" w:hAnsi="Times New Roman" w:cs="Times New Roman"/>
          <w:sz w:val="24"/>
          <w:szCs w:val="24"/>
        </w:rPr>
        <w:t>“</w:t>
      </w:r>
      <w:r w:rsidRPr="00BD76FF">
        <w:rPr>
          <w:rFonts w:ascii="Times New Roman" w:hAnsi="Times New Roman" w:cs="Times New Roman"/>
          <w:sz w:val="24"/>
          <w:szCs w:val="24"/>
        </w:rPr>
        <w:t>defining further education exhaustively would be God’s own challenge because it is such a large and fertile section of the education world</w:t>
      </w:r>
      <w:r w:rsidR="00F74AF8">
        <w:rPr>
          <w:rFonts w:ascii="Times New Roman" w:hAnsi="Times New Roman" w:cs="Times New Roman"/>
          <w:sz w:val="24"/>
          <w:szCs w:val="24"/>
        </w:rPr>
        <w:t>”</w:t>
      </w:r>
      <w:r w:rsidRPr="00BD76FF">
        <w:rPr>
          <w:rFonts w:ascii="Times New Roman" w:hAnsi="Times New Roman" w:cs="Times New Roman"/>
          <w:sz w:val="24"/>
          <w:szCs w:val="24"/>
        </w:rPr>
        <w:t xml:space="preserve"> (FEFC, 1997, p. 1). Its ‘ambiguous positioning’ (Bates, Hodkinson and Unwin, 1999, p. 420) as part of the post-compulsory sector is exacerbated by the fact that it is subject to different terminology across different contexts. Bailey (1983</w:t>
      </w:r>
      <w:r w:rsidR="000F45F6">
        <w:rPr>
          <w:rFonts w:ascii="Times New Roman" w:hAnsi="Times New Roman" w:cs="Times New Roman"/>
          <w:sz w:val="24"/>
          <w:szCs w:val="24"/>
        </w:rPr>
        <w:t>, p. 55</w:t>
      </w:r>
      <w:r w:rsidRPr="00BD76FF">
        <w:rPr>
          <w:rFonts w:ascii="Times New Roman" w:hAnsi="Times New Roman" w:cs="Times New Roman"/>
          <w:sz w:val="24"/>
          <w:szCs w:val="24"/>
        </w:rPr>
        <w:t xml:space="preserve">) observes </w:t>
      </w:r>
      <w:r w:rsidR="00F74AF8">
        <w:rPr>
          <w:rFonts w:ascii="Times New Roman" w:hAnsi="Times New Roman" w:cs="Times New Roman"/>
          <w:sz w:val="24"/>
          <w:szCs w:val="24"/>
        </w:rPr>
        <w:t>“</w:t>
      </w:r>
      <w:r w:rsidRPr="00BD76FF">
        <w:rPr>
          <w:rFonts w:ascii="Times New Roman" w:hAnsi="Times New Roman" w:cs="Times New Roman"/>
          <w:sz w:val="24"/>
          <w:szCs w:val="24"/>
        </w:rPr>
        <w:t>the traditional state system of education (the compulsory period of schooling for the majority, the secondary schools, the training colleges and the universities) has claimed a longer past than further education and has long been established and protected, by political and administrative decisions, and by educational and vested interests</w:t>
      </w:r>
      <w:r w:rsidR="00F74AF8">
        <w:rPr>
          <w:rFonts w:ascii="Times New Roman" w:hAnsi="Times New Roman" w:cs="Times New Roman"/>
          <w:sz w:val="24"/>
          <w:szCs w:val="24"/>
        </w:rPr>
        <w:t>.”</w:t>
      </w:r>
    </w:p>
    <w:p w14:paraId="61B8CF74" w14:textId="03CC3EB0" w:rsidR="00BD76FF" w:rsidRPr="00BD76FF" w:rsidRDefault="00BD76FF" w:rsidP="00BD76FF">
      <w:pPr>
        <w:shd w:val="clear" w:color="auto" w:fill="FFFFFF"/>
        <w:spacing w:before="120" w:after="0" w:line="480" w:lineRule="auto"/>
        <w:ind w:firstLine="720"/>
        <w:jc w:val="both"/>
        <w:rPr>
          <w:rFonts w:ascii="Times New Roman" w:hAnsi="Times New Roman" w:cs="Times New Roman"/>
          <w:sz w:val="24"/>
          <w:szCs w:val="24"/>
        </w:rPr>
      </w:pPr>
      <w:r w:rsidRPr="00BD76FF">
        <w:rPr>
          <w:rFonts w:ascii="Times New Roman" w:hAnsi="Times New Roman" w:cs="Times New Roman"/>
          <w:sz w:val="24"/>
          <w:szCs w:val="24"/>
        </w:rPr>
        <w:t xml:space="preserve">F.E. colleges in the UK trace their roots to the Mechanics Institutes of the mid-nineteenth century. Huddleston and Unwin (2002, p. 2) observe: </w:t>
      </w:r>
      <w:r w:rsidR="000F45F6">
        <w:rPr>
          <w:rFonts w:ascii="Times New Roman" w:hAnsi="Times New Roman" w:cs="Times New Roman"/>
          <w:sz w:val="24"/>
          <w:szCs w:val="24"/>
        </w:rPr>
        <w:t>“</w:t>
      </w:r>
      <w:r w:rsidRPr="00BD76FF">
        <w:rPr>
          <w:rFonts w:ascii="Times New Roman" w:hAnsi="Times New Roman" w:cs="Times New Roman"/>
          <w:sz w:val="24"/>
          <w:szCs w:val="24"/>
        </w:rPr>
        <w:t>originally intended to provide technical education on a part-time basis for the growing numbers of technicians and craftspeople required by the industrialization process, they grew and developed during the twentieth century to provide vocational education and training mainly on a day-release basis.</w:t>
      </w:r>
      <w:r w:rsidR="000F45F6">
        <w:rPr>
          <w:rFonts w:ascii="Times New Roman" w:hAnsi="Times New Roman" w:cs="Times New Roman"/>
          <w:sz w:val="24"/>
          <w:szCs w:val="24"/>
        </w:rPr>
        <w:t>”</w:t>
      </w:r>
      <w:r w:rsidRPr="00BD76FF">
        <w:rPr>
          <w:rFonts w:ascii="Times New Roman" w:hAnsi="Times New Roman" w:cs="Times New Roman"/>
          <w:sz w:val="24"/>
          <w:szCs w:val="24"/>
        </w:rPr>
        <w:t xml:space="preserve"> Huddersfield Technical College (1896) began as the Huddersfield Mechanics Institution in the 1840s and </w:t>
      </w:r>
      <w:proofErr w:type="spellStart"/>
      <w:r w:rsidRPr="00BD76FF">
        <w:rPr>
          <w:rFonts w:ascii="Times New Roman" w:hAnsi="Times New Roman" w:cs="Times New Roman"/>
          <w:sz w:val="24"/>
          <w:szCs w:val="24"/>
        </w:rPr>
        <w:t>Lowestoft</w:t>
      </w:r>
      <w:proofErr w:type="spellEnd"/>
      <w:r w:rsidRPr="00BD76FF">
        <w:rPr>
          <w:rFonts w:ascii="Times New Roman" w:hAnsi="Times New Roman" w:cs="Times New Roman"/>
          <w:sz w:val="24"/>
          <w:szCs w:val="24"/>
        </w:rPr>
        <w:t xml:space="preserve"> College traces its origins to evening art classes conducted in 1874 and to courses in navigation for fishermen which began in 1923 (</w:t>
      </w:r>
      <w:r w:rsidR="00897EC2" w:rsidRPr="00897EC2">
        <w:rPr>
          <w:rFonts w:ascii="Times New Roman" w:hAnsi="Times New Roman" w:cs="Times New Roman"/>
          <w:i/>
          <w:sz w:val="24"/>
          <w:szCs w:val="24"/>
        </w:rPr>
        <w:t>Ibid</w:t>
      </w:r>
      <w:r w:rsidR="00897EC2">
        <w:rPr>
          <w:rFonts w:ascii="Times New Roman" w:hAnsi="Times New Roman" w:cs="Times New Roman"/>
          <w:sz w:val="24"/>
          <w:szCs w:val="24"/>
        </w:rPr>
        <w:t>.</w:t>
      </w:r>
      <w:r w:rsidRPr="00BD76FF">
        <w:rPr>
          <w:rFonts w:ascii="Times New Roman" w:hAnsi="Times New Roman" w:cs="Times New Roman"/>
          <w:sz w:val="24"/>
          <w:szCs w:val="24"/>
        </w:rPr>
        <w:t xml:space="preserve">). Green and Lucas (1999, p. 11) note that the growth of the F.E. sector </w:t>
      </w:r>
      <w:r w:rsidRPr="00BD76FF">
        <w:rPr>
          <w:rFonts w:ascii="Times New Roman" w:hAnsi="Times New Roman" w:cs="Times New Roman"/>
          <w:sz w:val="24"/>
          <w:szCs w:val="24"/>
        </w:rPr>
        <w:lastRenderedPageBreak/>
        <w:t xml:space="preserve">was </w:t>
      </w:r>
      <w:r w:rsidR="000F45F6">
        <w:rPr>
          <w:rFonts w:ascii="Times New Roman" w:hAnsi="Times New Roman" w:cs="Times New Roman"/>
          <w:sz w:val="24"/>
          <w:szCs w:val="24"/>
        </w:rPr>
        <w:t>“</w:t>
      </w:r>
      <w:r w:rsidRPr="00BD76FF">
        <w:rPr>
          <w:rFonts w:ascii="Times New Roman" w:hAnsi="Times New Roman" w:cs="Times New Roman"/>
          <w:sz w:val="24"/>
          <w:szCs w:val="24"/>
        </w:rPr>
        <w:t>part of the formation of the modern state, in the late nineteenth century, reflecting one of the many aspects of a voluntarist relationship between education, training and the state.</w:t>
      </w:r>
      <w:r w:rsidR="000F45F6">
        <w:rPr>
          <w:rFonts w:ascii="Times New Roman" w:hAnsi="Times New Roman" w:cs="Times New Roman"/>
          <w:sz w:val="24"/>
          <w:szCs w:val="24"/>
        </w:rPr>
        <w:t>”</w:t>
      </w:r>
      <w:r w:rsidRPr="00BD76FF">
        <w:rPr>
          <w:rFonts w:ascii="Times New Roman" w:hAnsi="Times New Roman" w:cs="Times New Roman"/>
          <w:sz w:val="24"/>
          <w:szCs w:val="24"/>
        </w:rPr>
        <w:t xml:space="preserve"> The term came into common usage in the mid-late twentieth century, driven by the policy imperative to provide for a more skill-based economy, and was often concentrated in the area of apprenticeship training. </w:t>
      </w:r>
    </w:p>
    <w:p w14:paraId="09FB70C8" w14:textId="165B3382" w:rsidR="00BD76FF" w:rsidRPr="00BD76FF" w:rsidRDefault="00BD76FF" w:rsidP="00BD76FF">
      <w:pPr>
        <w:shd w:val="clear" w:color="auto" w:fill="FFFFFF"/>
        <w:spacing w:before="120" w:after="0" w:line="480" w:lineRule="auto"/>
        <w:ind w:firstLine="720"/>
        <w:jc w:val="both"/>
        <w:rPr>
          <w:rFonts w:ascii="Times New Roman" w:hAnsi="Times New Roman" w:cs="Times New Roman"/>
          <w:sz w:val="24"/>
          <w:szCs w:val="24"/>
        </w:rPr>
      </w:pPr>
      <w:r w:rsidRPr="00BD76FF">
        <w:rPr>
          <w:rFonts w:ascii="Times New Roman" w:hAnsi="Times New Roman" w:cs="Times New Roman"/>
          <w:sz w:val="24"/>
          <w:szCs w:val="24"/>
        </w:rPr>
        <w:t xml:space="preserve">F.E. has a ‘second-chance’ dimension, particularly across US and UK contexts where investment in F.E. was often linked to a commitment to social reform and to addressing the needs of those in society whom traditional secondary and post-secondary education had failed (Evans, 1982; Fieldhouse, 1994). In philosophical terms, F.E. is also rooted in the view that education should empower individuals to contribute in a meaningful way to society, dovetailing with the broader policy context of lifelong learning. In some contexts, notably Australia, the mission of F.E. colleges </w:t>
      </w:r>
      <w:r w:rsidR="000F45F6">
        <w:rPr>
          <w:rFonts w:ascii="Times New Roman" w:hAnsi="Times New Roman" w:cs="Times New Roman"/>
          <w:sz w:val="24"/>
          <w:szCs w:val="24"/>
        </w:rPr>
        <w:t>remains</w:t>
      </w:r>
      <w:r w:rsidRPr="00BD76FF">
        <w:rPr>
          <w:rFonts w:ascii="Times New Roman" w:hAnsi="Times New Roman" w:cs="Times New Roman"/>
          <w:sz w:val="24"/>
          <w:szCs w:val="24"/>
        </w:rPr>
        <w:t xml:space="preserve"> largely in meeting employers’ or national needs for a skilled workforce and such colleges offer technical and further education (TAFE), often at a very high level (Cunningham, 2008). Cunningham (2008, p. 264) notes that where an F.E. sector exists in a national setting, the following groups are likely to be in evidence:</w:t>
      </w:r>
    </w:p>
    <w:p w14:paraId="0E2261C1" w14:textId="77777777" w:rsidR="00BD76FF" w:rsidRPr="00BD76FF" w:rsidRDefault="00BD76FF" w:rsidP="00BD76FF">
      <w:pPr>
        <w:numPr>
          <w:ilvl w:val="0"/>
          <w:numId w:val="3"/>
        </w:numPr>
        <w:shd w:val="clear" w:color="auto" w:fill="FFFFFF"/>
        <w:spacing w:before="120" w:after="0" w:line="240" w:lineRule="auto"/>
        <w:contextualSpacing/>
        <w:jc w:val="both"/>
        <w:rPr>
          <w:rFonts w:ascii="Times New Roman" w:hAnsi="Times New Roman" w:cs="Times New Roman"/>
          <w:sz w:val="24"/>
          <w:szCs w:val="24"/>
        </w:rPr>
      </w:pPr>
      <w:r w:rsidRPr="00BD76FF">
        <w:rPr>
          <w:rFonts w:ascii="Times New Roman" w:hAnsi="Times New Roman" w:cs="Times New Roman"/>
          <w:sz w:val="24"/>
          <w:szCs w:val="24"/>
        </w:rPr>
        <w:t>School leavers with few existing qualifications, who have chosen to continue their studies (whether academic or vocational);</w:t>
      </w:r>
    </w:p>
    <w:p w14:paraId="580CEC53" w14:textId="77777777" w:rsidR="00BD76FF" w:rsidRPr="00BD76FF" w:rsidRDefault="00BD76FF" w:rsidP="00BD76FF">
      <w:pPr>
        <w:numPr>
          <w:ilvl w:val="0"/>
          <w:numId w:val="3"/>
        </w:numPr>
        <w:shd w:val="clear" w:color="auto" w:fill="FFFFFF"/>
        <w:spacing w:before="120" w:after="0" w:line="240" w:lineRule="auto"/>
        <w:contextualSpacing/>
        <w:jc w:val="both"/>
        <w:rPr>
          <w:rFonts w:ascii="Times New Roman" w:hAnsi="Times New Roman" w:cs="Times New Roman"/>
          <w:sz w:val="24"/>
          <w:szCs w:val="24"/>
        </w:rPr>
      </w:pPr>
      <w:r w:rsidRPr="00BD76FF">
        <w:rPr>
          <w:rFonts w:ascii="Times New Roman" w:hAnsi="Times New Roman" w:cs="Times New Roman"/>
          <w:sz w:val="24"/>
          <w:szCs w:val="24"/>
        </w:rPr>
        <w:t xml:space="preserve">Adults returning to study, some of whom may choose to use the F.E. access route as a pathway into university </w:t>
      </w:r>
      <w:proofErr w:type="spellStart"/>
      <w:r w:rsidRPr="00BD76FF">
        <w:rPr>
          <w:rFonts w:ascii="Times New Roman" w:hAnsi="Times New Roman" w:cs="Times New Roman"/>
          <w:sz w:val="24"/>
          <w:szCs w:val="24"/>
        </w:rPr>
        <w:t>programmes</w:t>
      </w:r>
      <w:proofErr w:type="spellEnd"/>
      <w:r w:rsidRPr="00BD76FF">
        <w:rPr>
          <w:rFonts w:ascii="Times New Roman" w:hAnsi="Times New Roman" w:cs="Times New Roman"/>
          <w:sz w:val="24"/>
          <w:szCs w:val="24"/>
        </w:rPr>
        <w:t>;</w:t>
      </w:r>
    </w:p>
    <w:p w14:paraId="02D3035F" w14:textId="77777777" w:rsidR="00BD76FF" w:rsidRPr="00BD76FF" w:rsidRDefault="00BD76FF" w:rsidP="00BD76FF">
      <w:pPr>
        <w:numPr>
          <w:ilvl w:val="0"/>
          <w:numId w:val="3"/>
        </w:numPr>
        <w:shd w:val="clear" w:color="auto" w:fill="FFFFFF"/>
        <w:spacing w:before="120" w:after="0" w:line="240" w:lineRule="auto"/>
        <w:contextualSpacing/>
        <w:jc w:val="both"/>
        <w:rPr>
          <w:rFonts w:ascii="Times New Roman" w:hAnsi="Times New Roman" w:cs="Times New Roman"/>
          <w:sz w:val="24"/>
          <w:szCs w:val="24"/>
        </w:rPr>
      </w:pPr>
      <w:r w:rsidRPr="00BD76FF">
        <w:rPr>
          <w:rFonts w:ascii="Times New Roman" w:hAnsi="Times New Roman" w:cs="Times New Roman"/>
          <w:sz w:val="24"/>
          <w:szCs w:val="24"/>
        </w:rPr>
        <w:t>Learners who are disadvantaged by low basic skill levels, especially in the area of literacy and/or numeracy and/or because of the fact that they are non-native speakers of English</w:t>
      </w:r>
    </w:p>
    <w:p w14:paraId="74351778" w14:textId="77777777" w:rsidR="00BD76FF" w:rsidRPr="00BD76FF" w:rsidRDefault="00BD76FF" w:rsidP="00BD76FF">
      <w:pPr>
        <w:numPr>
          <w:ilvl w:val="0"/>
          <w:numId w:val="3"/>
        </w:numPr>
        <w:shd w:val="clear" w:color="auto" w:fill="FFFFFF"/>
        <w:spacing w:before="120" w:after="0" w:line="240" w:lineRule="auto"/>
        <w:contextualSpacing/>
        <w:jc w:val="both"/>
        <w:rPr>
          <w:rFonts w:ascii="Times New Roman" w:hAnsi="Times New Roman" w:cs="Times New Roman"/>
          <w:sz w:val="24"/>
          <w:szCs w:val="24"/>
        </w:rPr>
      </w:pPr>
      <w:r w:rsidRPr="00BD76FF">
        <w:rPr>
          <w:rFonts w:ascii="Times New Roman" w:hAnsi="Times New Roman" w:cs="Times New Roman"/>
          <w:sz w:val="24"/>
          <w:szCs w:val="24"/>
        </w:rPr>
        <w:t>Young learners who may have been excluded from school, or for whom the F.E. curriculum is deemed more appropriate to their particular needs.</w:t>
      </w:r>
    </w:p>
    <w:p w14:paraId="33D24D22" w14:textId="77777777" w:rsidR="00BD76FF" w:rsidRPr="00BD76FF" w:rsidRDefault="00BD76FF" w:rsidP="00BD76FF">
      <w:pPr>
        <w:shd w:val="clear" w:color="auto" w:fill="FFFFFF"/>
        <w:spacing w:before="120" w:after="0" w:line="240" w:lineRule="auto"/>
        <w:ind w:left="1440"/>
        <w:contextualSpacing/>
        <w:jc w:val="both"/>
        <w:rPr>
          <w:rFonts w:ascii="Times New Roman" w:hAnsi="Times New Roman" w:cs="Times New Roman"/>
          <w:sz w:val="24"/>
          <w:szCs w:val="24"/>
        </w:rPr>
      </w:pPr>
    </w:p>
    <w:p w14:paraId="25E5E98B" w14:textId="77777777" w:rsidR="00BD76FF" w:rsidRPr="00BD76FF" w:rsidRDefault="00BD76FF" w:rsidP="00BD76FF">
      <w:pPr>
        <w:shd w:val="clear" w:color="auto" w:fill="FFFFFF"/>
        <w:spacing w:before="120" w:after="0" w:line="480" w:lineRule="auto"/>
        <w:ind w:firstLine="720"/>
        <w:jc w:val="both"/>
        <w:rPr>
          <w:rFonts w:ascii="Times New Roman" w:hAnsi="Times New Roman" w:cs="Times New Roman"/>
          <w:sz w:val="24"/>
          <w:szCs w:val="24"/>
        </w:rPr>
      </w:pPr>
      <w:r w:rsidRPr="00BD76FF">
        <w:rPr>
          <w:rFonts w:ascii="Times New Roman" w:hAnsi="Times New Roman" w:cs="Times New Roman"/>
          <w:sz w:val="24"/>
          <w:szCs w:val="24"/>
        </w:rPr>
        <w:t xml:space="preserve">In relation to the U.K. context, </w:t>
      </w:r>
      <w:proofErr w:type="spellStart"/>
      <w:r w:rsidRPr="00BD76FF">
        <w:rPr>
          <w:rFonts w:ascii="Times New Roman" w:hAnsi="Times New Roman" w:cs="Times New Roman"/>
          <w:sz w:val="24"/>
          <w:szCs w:val="24"/>
        </w:rPr>
        <w:t>Felstead</w:t>
      </w:r>
      <w:proofErr w:type="spellEnd"/>
      <w:r w:rsidRPr="00BD76FF">
        <w:rPr>
          <w:rFonts w:ascii="Times New Roman" w:hAnsi="Times New Roman" w:cs="Times New Roman"/>
          <w:sz w:val="24"/>
          <w:szCs w:val="24"/>
        </w:rPr>
        <w:t xml:space="preserve"> and Unwin (2001, p. 107) suggest that F.E. providers have four principal aims:</w:t>
      </w:r>
    </w:p>
    <w:p w14:paraId="003D4B52" w14:textId="77777777" w:rsidR="00BD76FF" w:rsidRPr="00BD76FF" w:rsidRDefault="00BD76FF" w:rsidP="00BD76FF">
      <w:pPr>
        <w:numPr>
          <w:ilvl w:val="0"/>
          <w:numId w:val="4"/>
        </w:numPr>
        <w:shd w:val="clear" w:color="auto" w:fill="FFFFFF"/>
        <w:spacing w:after="0" w:line="240" w:lineRule="auto"/>
        <w:contextualSpacing/>
        <w:jc w:val="both"/>
        <w:rPr>
          <w:rFonts w:ascii="Times New Roman" w:hAnsi="Times New Roman" w:cs="Times New Roman"/>
          <w:sz w:val="24"/>
          <w:szCs w:val="24"/>
        </w:rPr>
      </w:pPr>
      <w:r w:rsidRPr="00BD76FF">
        <w:rPr>
          <w:rFonts w:ascii="Times New Roman" w:hAnsi="Times New Roman" w:cs="Times New Roman"/>
          <w:sz w:val="24"/>
          <w:szCs w:val="24"/>
        </w:rPr>
        <w:lastRenderedPageBreak/>
        <w:t>To respond to the government’s economic agenda to improve basic and intermediate skill levels, increasing the participation of young people and adults in education and training;</w:t>
      </w:r>
    </w:p>
    <w:p w14:paraId="4A7F49C0" w14:textId="77777777" w:rsidR="00BD76FF" w:rsidRPr="00BD76FF" w:rsidRDefault="00BD76FF" w:rsidP="00BD76FF">
      <w:pPr>
        <w:numPr>
          <w:ilvl w:val="0"/>
          <w:numId w:val="4"/>
        </w:numPr>
        <w:shd w:val="clear" w:color="auto" w:fill="FFFFFF"/>
        <w:spacing w:after="0" w:line="240" w:lineRule="auto"/>
        <w:contextualSpacing/>
        <w:jc w:val="both"/>
        <w:rPr>
          <w:rFonts w:ascii="Times New Roman" w:hAnsi="Times New Roman" w:cs="Times New Roman"/>
          <w:sz w:val="24"/>
          <w:szCs w:val="24"/>
        </w:rPr>
      </w:pPr>
      <w:r w:rsidRPr="00BD76FF">
        <w:rPr>
          <w:rFonts w:ascii="Times New Roman" w:hAnsi="Times New Roman" w:cs="Times New Roman"/>
          <w:sz w:val="24"/>
          <w:szCs w:val="24"/>
        </w:rPr>
        <w:t>To fulfill their role as the main provider of sub-degree post-compulsory education and training at local level;</w:t>
      </w:r>
    </w:p>
    <w:p w14:paraId="103D371A" w14:textId="77777777" w:rsidR="00BD76FF" w:rsidRPr="00BD76FF" w:rsidRDefault="00BD76FF" w:rsidP="00BD76FF">
      <w:pPr>
        <w:numPr>
          <w:ilvl w:val="0"/>
          <w:numId w:val="4"/>
        </w:numPr>
        <w:shd w:val="clear" w:color="auto" w:fill="FFFFFF"/>
        <w:spacing w:after="0" w:line="240" w:lineRule="auto"/>
        <w:contextualSpacing/>
        <w:jc w:val="both"/>
        <w:rPr>
          <w:rFonts w:ascii="Times New Roman" w:hAnsi="Times New Roman" w:cs="Times New Roman"/>
          <w:sz w:val="24"/>
          <w:szCs w:val="24"/>
        </w:rPr>
      </w:pPr>
      <w:r w:rsidRPr="00BD76FF">
        <w:rPr>
          <w:rFonts w:ascii="Times New Roman" w:hAnsi="Times New Roman" w:cs="Times New Roman"/>
          <w:sz w:val="24"/>
          <w:szCs w:val="24"/>
        </w:rPr>
        <w:t>To provide a wide-ranging curriculum which bridges the vocational/non-vocational divide;</w:t>
      </w:r>
    </w:p>
    <w:p w14:paraId="177794F9" w14:textId="77777777" w:rsidR="00BD76FF" w:rsidRPr="00BD76FF" w:rsidRDefault="00BD76FF" w:rsidP="00BD76FF">
      <w:pPr>
        <w:numPr>
          <w:ilvl w:val="0"/>
          <w:numId w:val="4"/>
        </w:numPr>
        <w:shd w:val="clear" w:color="auto" w:fill="FFFFFF"/>
        <w:spacing w:after="0" w:line="240" w:lineRule="auto"/>
        <w:contextualSpacing/>
        <w:jc w:val="both"/>
        <w:rPr>
          <w:rFonts w:ascii="Times New Roman" w:hAnsi="Times New Roman" w:cs="Times New Roman"/>
          <w:sz w:val="24"/>
          <w:szCs w:val="24"/>
        </w:rPr>
      </w:pPr>
      <w:r w:rsidRPr="00BD76FF">
        <w:rPr>
          <w:rFonts w:ascii="Times New Roman" w:hAnsi="Times New Roman" w:cs="Times New Roman"/>
          <w:sz w:val="24"/>
          <w:szCs w:val="24"/>
        </w:rPr>
        <w:t>To provide a ‘second-chance saloon’ for young people and adults who wish to return to education.</w:t>
      </w:r>
    </w:p>
    <w:p w14:paraId="619AD498" w14:textId="77777777" w:rsidR="00BD76FF" w:rsidRPr="00BD76FF" w:rsidRDefault="00BD76FF" w:rsidP="00BD76FF">
      <w:pPr>
        <w:shd w:val="clear" w:color="auto" w:fill="FFFFFF"/>
        <w:spacing w:before="120" w:after="0" w:line="480" w:lineRule="auto"/>
        <w:ind w:firstLine="720"/>
        <w:jc w:val="both"/>
        <w:rPr>
          <w:rFonts w:ascii="Times New Roman" w:hAnsi="Times New Roman" w:cs="Times New Roman"/>
          <w:color w:val="333333"/>
          <w:sz w:val="24"/>
          <w:szCs w:val="24"/>
          <w:shd w:val="clear" w:color="auto" w:fill="FFFFFF"/>
        </w:rPr>
      </w:pPr>
      <w:r w:rsidRPr="00BD76FF">
        <w:rPr>
          <w:rFonts w:ascii="Times New Roman" w:hAnsi="Times New Roman" w:cs="Times New Roman"/>
          <w:color w:val="333333"/>
          <w:sz w:val="24"/>
          <w:szCs w:val="24"/>
          <w:shd w:val="clear" w:color="auto" w:fill="FFFFFF"/>
        </w:rPr>
        <w:t xml:space="preserve">Arguing that the F.E. sector requires a fundamental realignment, Green and Lucas (1999) suggest that the following are the key issues facing the sector in the twenty-first century: funding, adult learning, the FE/HE interface, the implication of learning technology, inclusive learning, qualification reform and professional development. </w:t>
      </w:r>
    </w:p>
    <w:p w14:paraId="0BDAB7A5" w14:textId="77777777" w:rsidR="00BD76FF" w:rsidRPr="00BD76FF" w:rsidRDefault="00BD76FF" w:rsidP="00BD76FF">
      <w:pPr>
        <w:shd w:val="clear" w:color="auto" w:fill="FFFFFF"/>
        <w:spacing w:before="120" w:after="0" w:line="480" w:lineRule="auto"/>
        <w:jc w:val="both"/>
        <w:rPr>
          <w:rFonts w:ascii="Times New Roman" w:hAnsi="Times New Roman" w:cs="Times New Roman"/>
          <w:b/>
          <w:sz w:val="24"/>
          <w:szCs w:val="24"/>
          <w:lang w:val="en-GB"/>
        </w:rPr>
      </w:pPr>
      <w:r w:rsidRPr="00BD76FF">
        <w:rPr>
          <w:rFonts w:ascii="Times New Roman" w:hAnsi="Times New Roman" w:cs="Times New Roman"/>
          <w:b/>
          <w:sz w:val="24"/>
          <w:szCs w:val="24"/>
          <w:lang w:val="en-GB"/>
        </w:rPr>
        <w:t>Looking to the Future</w:t>
      </w:r>
    </w:p>
    <w:p w14:paraId="60C3E20C" w14:textId="238C72E0" w:rsidR="00BD76FF" w:rsidRPr="00BD76FF" w:rsidRDefault="00BD76FF" w:rsidP="00BD76FF">
      <w:pPr>
        <w:shd w:val="clear" w:color="auto" w:fill="FFFFFF"/>
        <w:spacing w:before="120" w:after="0" w:line="480" w:lineRule="auto"/>
        <w:jc w:val="both"/>
        <w:rPr>
          <w:rFonts w:ascii="Times New Roman" w:hAnsi="Times New Roman" w:cs="Times New Roman"/>
          <w:sz w:val="24"/>
          <w:szCs w:val="24"/>
          <w:lang w:val="en-GB"/>
        </w:rPr>
      </w:pPr>
      <w:r w:rsidRPr="00BD76FF">
        <w:rPr>
          <w:rFonts w:ascii="Times New Roman" w:hAnsi="Times New Roman" w:cs="Times New Roman"/>
          <w:sz w:val="24"/>
          <w:szCs w:val="24"/>
          <w:lang w:val="en-GB"/>
        </w:rPr>
        <w:t xml:space="preserve">Looking to the future, </w:t>
      </w:r>
      <w:proofErr w:type="spellStart"/>
      <w:r w:rsidRPr="00BD76FF">
        <w:rPr>
          <w:rFonts w:ascii="Times New Roman" w:hAnsi="Times New Roman" w:cs="Times New Roman"/>
          <w:sz w:val="24"/>
          <w:szCs w:val="24"/>
          <w:lang w:val="en-GB"/>
        </w:rPr>
        <w:t>Trow</w:t>
      </w:r>
      <w:proofErr w:type="spellEnd"/>
      <w:r w:rsidRPr="00BD76FF">
        <w:rPr>
          <w:rFonts w:ascii="Times New Roman" w:hAnsi="Times New Roman" w:cs="Times New Roman"/>
          <w:sz w:val="24"/>
          <w:szCs w:val="24"/>
          <w:lang w:val="en-GB"/>
        </w:rPr>
        <w:t xml:space="preserve"> (2007) </w:t>
      </w:r>
      <w:r w:rsidR="005F558E">
        <w:rPr>
          <w:rFonts w:ascii="Times New Roman" w:hAnsi="Times New Roman" w:cs="Times New Roman"/>
          <w:sz w:val="24"/>
          <w:szCs w:val="24"/>
          <w:lang w:val="en-GB"/>
        </w:rPr>
        <w:t>drawing on</w:t>
      </w:r>
      <w:r w:rsidRPr="00BD76FF">
        <w:rPr>
          <w:rFonts w:ascii="Times New Roman" w:hAnsi="Times New Roman" w:cs="Times New Roman"/>
          <w:sz w:val="24"/>
          <w:szCs w:val="24"/>
          <w:lang w:val="en-GB"/>
        </w:rPr>
        <w:t xml:space="preserve"> Weber, argues that some trends in H.E. can be predicted with a certain degree of confidence, rooted in the dominant secular trends of democratization and rationalization. </w:t>
      </w:r>
      <w:r w:rsidR="004174B9">
        <w:rPr>
          <w:rFonts w:ascii="Times New Roman" w:hAnsi="Times New Roman" w:cs="Times New Roman"/>
          <w:sz w:val="24"/>
          <w:szCs w:val="24"/>
          <w:lang w:val="en-GB"/>
        </w:rPr>
        <w:t xml:space="preserve">While </w:t>
      </w:r>
      <w:proofErr w:type="spellStart"/>
      <w:r w:rsidR="004174B9">
        <w:rPr>
          <w:rFonts w:ascii="Times New Roman" w:hAnsi="Times New Roman" w:cs="Times New Roman"/>
          <w:sz w:val="24"/>
          <w:szCs w:val="24"/>
          <w:lang w:val="en-GB"/>
        </w:rPr>
        <w:t>Trow</w:t>
      </w:r>
      <w:proofErr w:type="spellEnd"/>
      <w:r w:rsidR="004174B9">
        <w:rPr>
          <w:rFonts w:ascii="Times New Roman" w:hAnsi="Times New Roman" w:cs="Times New Roman"/>
          <w:sz w:val="24"/>
          <w:szCs w:val="24"/>
          <w:lang w:val="en-GB"/>
        </w:rPr>
        <w:t xml:space="preserve"> confines this analysis to H.E, it is also pertinent to </w:t>
      </w:r>
      <w:r w:rsidRPr="00BD76FF">
        <w:rPr>
          <w:rFonts w:ascii="Times New Roman" w:hAnsi="Times New Roman" w:cs="Times New Roman"/>
          <w:sz w:val="24"/>
          <w:szCs w:val="24"/>
          <w:lang w:val="en-GB"/>
        </w:rPr>
        <w:t>F.E. These trends include:</w:t>
      </w:r>
    </w:p>
    <w:p w14:paraId="55C3CD89" w14:textId="77777777" w:rsidR="00BD76FF" w:rsidRPr="00BD76FF" w:rsidRDefault="00BD76FF" w:rsidP="00BD76FF">
      <w:pPr>
        <w:numPr>
          <w:ilvl w:val="0"/>
          <w:numId w:val="1"/>
        </w:numPr>
        <w:shd w:val="clear" w:color="auto" w:fill="FFFFFF"/>
        <w:spacing w:after="0" w:line="240" w:lineRule="auto"/>
        <w:contextualSpacing/>
        <w:jc w:val="both"/>
        <w:rPr>
          <w:rFonts w:ascii="Times New Roman" w:hAnsi="Times New Roman" w:cs="Times New Roman"/>
          <w:sz w:val="24"/>
          <w:szCs w:val="24"/>
          <w:lang w:val="en-GB"/>
        </w:rPr>
      </w:pPr>
      <w:r w:rsidRPr="00BD76FF">
        <w:rPr>
          <w:rFonts w:ascii="Times New Roman" w:hAnsi="Times New Roman" w:cs="Times New Roman"/>
          <w:sz w:val="24"/>
          <w:szCs w:val="24"/>
          <w:lang w:val="en-GB"/>
        </w:rPr>
        <w:t xml:space="preserve">An increase in the quantity and type of institutions, in the quantity of teachers and students and an increase in diversity among institutions and participants; </w:t>
      </w:r>
    </w:p>
    <w:p w14:paraId="53B0DF2E" w14:textId="77777777" w:rsidR="00BD76FF" w:rsidRPr="00BD76FF" w:rsidRDefault="00BD76FF" w:rsidP="00BD76FF">
      <w:pPr>
        <w:numPr>
          <w:ilvl w:val="0"/>
          <w:numId w:val="1"/>
        </w:numPr>
        <w:shd w:val="clear" w:color="auto" w:fill="FFFFFF"/>
        <w:spacing w:after="0" w:line="240" w:lineRule="auto"/>
        <w:contextualSpacing/>
        <w:jc w:val="both"/>
        <w:rPr>
          <w:rFonts w:ascii="Times New Roman" w:hAnsi="Times New Roman" w:cs="Times New Roman"/>
          <w:sz w:val="24"/>
          <w:szCs w:val="24"/>
          <w:lang w:val="en-GB"/>
        </w:rPr>
      </w:pPr>
      <w:r w:rsidRPr="00BD76FF">
        <w:rPr>
          <w:rFonts w:ascii="Times New Roman" w:hAnsi="Times New Roman" w:cs="Times New Roman"/>
          <w:sz w:val="24"/>
          <w:szCs w:val="24"/>
          <w:lang w:val="en-GB"/>
        </w:rPr>
        <w:t>An increase in the demand for a labour force which has participated in H.E and hence has the skillset to adapt to the demands of a rapidly changing world;</w:t>
      </w:r>
    </w:p>
    <w:p w14:paraId="436EBC74" w14:textId="77777777" w:rsidR="00BD76FF" w:rsidRPr="00BD76FF" w:rsidRDefault="00BD76FF" w:rsidP="00BD76FF">
      <w:pPr>
        <w:numPr>
          <w:ilvl w:val="0"/>
          <w:numId w:val="1"/>
        </w:numPr>
        <w:shd w:val="clear" w:color="auto" w:fill="FFFFFF"/>
        <w:spacing w:after="0" w:line="240" w:lineRule="auto"/>
        <w:contextualSpacing/>
        <w:jc w:val="both"/>
        <w:rPr>
          <w:rFonts w:ascii="Times New Roman" w:hAnsi="Times New Roman" w:cs="Times New Roman"/>
          <w:sz w:val="24"/>
          <w:szCs w:val="24"/>
          <w:lang w:val="en-GB"/>
        </w:rPr>
      </w:pPr>
      <w:r w:rsidRPr="00BD76FF">
        <w:rPr>
          <w:rFonts w:ascii="Times New Roman" w:hAnsi="Times New Roman" w:cs="Times New Roman"/>
          <w:sz w:val="24"/>
          <w:szCs w:val="24"/>
          <w:lang w:val="en-GB"/>
        </w:rPr>
        <w:t>Industry-led demand for the continuing education of the labour force including the development of ‘learning centres’ inside and outside of industry;</w:t>
      </w:r>
    </w:p>
    <w:p w14:paraId="0A4098B1" w14:textId="77777777" w:rsidR="00BD76FF" w:rsidRPr="00BD76FF" w:rsidRDefault="00BD76FF" w:rsidP="00BD76FF">
      <w:pPr>
        <w:numPr>
          <w:ilvl w:val="0"/>
          <w:numId w:val="1"/>
        </w:numPr>
        <w:shd w:val="clear" w:color="auto" w:fill="FFFFFF"/>
        <w:spacing w:after="0" w:line="240" w:lineRule="auto"/>
        <w:contextualSpacing/>
        <w:jc w:val="both"/>
        <w:rPr>
          <w:rFonts w:ascii="Times New Roman" w:hAnsi="Times New Roman" w:cs="Times New Roman"/>
          <w:sz w:val="24"/>
          <w:szCs w:val="24"/>
          <w:lang w:val="en-GB"/>
        </w:rPr>
      </w:pPr>
      <w:r w:rsidRPr="00BD76FF">
        <w:rPr>
          <w:rFonts w:ascii="Times New Roman" w:hAnsi="Times New Roman" w:cs="Times New Roman"/>
          <w:sz w:val="24"/>
          <w:szCs w:val="24"/>
          <w:lang w:val="en-GB"/>
        </w:rPr>
        <w:t>Further reductions in the ability of governments to fund H.E. which will require H.E. institutions to source funding through private means.</w:t>
      </w:r>
    </w:p>
    <w:p w14:paraId="6B2E7D03" w14:textId="3B6B25D5" w:rsidR="00BD76FF" w:rsidRPr="00BD76FF" w:rsidRDefault="00BD76FF" w:rsidP="00BD76FF">
      <w:pPr>
        <w:shd w:val="clear" w:color="auto" w:fill="FFFFFF"/>
        <w:spacing w:before="120" w:after="0" w:line="480" w:lineRule="auto"/>
        <w:jc w:val="both"/>
        <w:rPr>
          <w:rFonts w:ascii="Times New Roman" w:hAnsi="Times New Roman" w:cs="Times New Roman"/>
          <w:sz w:val="24"/>
          <w:szCs w:val="24"/>
          <w:lang w:val="en-GB"/>
        </w:rPr>
      </w:pPr>
      <w:r w:rsidRPr="00BD76FF">
        <w:rPr>
          <w:rFonts w:ascii="Times New Roman" w:hAnsi="Times New Roman" w:cs="Times New Roman"/>
          <w:sz w:val="24"/>
          <w:szCs w:val="24"/>
          <w:lang w:val="en-GB"/>
        </w:rPr>
        <w:t xml:space="preserve">In relation to the US context, (however the findings have broader implications), the Boston Consulting Group (2013) identified five long-term trends which will impact H.E., and again </w:t>
      </w:r>
      <w:r w:rsidR="004174B9">
        <w:rPr>
          <w:rFonts w:ascii="Times New Roman" w:hAnsi="Times New Roman" w:cs="Times New Roman"/>
          <w:sz w:val="24"/>
          <w:szCs w:val="24"/>
          <w:lang w:val="en-GB"/>
        </w:rPr>
        <w:t xml:space="preserve">this analysis is applicable to the </w:t>
      </w:r>
      <w:r w:rsidRPr="00BD76FF">
        <w:rPr>
          <w:rFonts w:ascii="Times New Roman" w:hAnsi="Times New Roman" w:cs="Times New Roman"/>
          <w:sz w:val="24"/>
          <w:szCs w:val="24"/>
          <w:lang w:val="en-GB"/>
        </w:rPr>
        <w:t>F.E. sector:</w:t>
      </w:r>
    </w:p>
    <w:p w14:paraId="717EDD90" w14:textId="77777777" w:rsidR="00BD76FF" w:rsidRPr="00BD76FF" w:rsidRDefault="00BD76FF" w:rsidP="00BD76FF">
      <w:pPr>
        <w:numPr>
          <w:ilvl w:val="0"/>
          <w:numId w:val="2"/>
        </w:numPr>
        <w:shd w:val="clear" w:color="auto" w:fill="FFFFFF"/>
        <w:spacing w:after="0" w:line="240" w:lineRule="auto"/>
        <w:contextualSpacing/>
        <w:jc w:val="both"/>
        <w:rPr>
          <w:rFonts w:ascii="Times New Roman" w:hAnsi="Times New Roman" w:cs="Times New Roman"/>
          <w:sz w:val="24"/>
          <w:szCs w:val="24"/>
          <w:lang w:val="en-GB"/>
        </w:rPr>
      </w:pPr>
      <w:r w:rsidRPr="00BD76FF">
        <w:rPr>
          <w:rFonts w:ascii="Times New Roman" w:hAnsi="Times New Roman" w:cs="Times New Roman"/>
          <w:sz w:val="24"/>
          <w:szCs w:val="24"/>
          <w:lang w:val="en-GB"/>
        </w:rPr>
        <w:t xml:space="preserve">The continuing drop in revenue to the H.E. sector; </w:t>
      </w:r>
    </w:p>
    <w:p w14:paraId="2B06D8B9" w14:textId="77777777" w:rsidR="00BD76FF" w:rsidRPr="00BD76FF" w:rsidRDefault="00BD76FF" w:rsidP="00BD76FF">
      <w:pPr>
        <w:numPr>
          <w:ilvl w:val="0"/>
          <w:numId w:val="2"/>
        </w:numPr>
        <w:shd w:val="clear" w:color="auto" w:fill="FFFFFF"/>
        <w:spacing w:after="0" w:line="240" w:lineRule="auto"/>
        <w:contextualSpacing/>
        <w:jc w:val="both"/>
        <w:rPr>
          <w:rFonts w:ascii="Times New Roman" w:hAnsi="Times New Roman" w:cs="Times New Roman"/>
          <w:sz w:val="24"/>
          <w:szCs w:val="24"/>
          <w:lang w:val="en-GB"/>
        </w:rPr>
      </w:pPr>
      <w:r w:rsidRPr="00BD76FF">
        <w:rPr>
          <w:rFonts w:ascii="Times New Roman" w:hAnsi="Times New Roman" w:cs="Times New Roman"/>
          <w:sz w:val="24"/>
          <w:szCs w:val="24"/>
          <w:lang w:val="en-GB"/>
        </w:rPr>
        <w:t xml:space="preserve">Demands for a greater return on investment in H.E; </w:t>
      </w:r>
    </w:p>
    <w:p w14:paraId="40B4EAFA" w14:textId="77777777" w:rsidR="00BD76FF" w:rsidRPr="00BD76FF" w:rsidRDefault="00BD76FF" w:rsidP="00BD76FF">
      <w:pPr>
        <w:numPr>
          <w:ilvl w:val="0"/>
          <w:numId w:val="2"/>
        </w:numPr>
        <w:shd w:val="clear" w:color="auto" w:fill="FFFFFF"/>
        <w:spacing w:after="0" w:line="240" w:lineRule="auto"/>
        <w:contextualSpacing/>
        <w:jc w:val="both"/>
        <w:rPr>
          <w:rFonts w:ascii="Times New Roman" w:hAnsi="Times New Roman" w:cs="Times New Roman"/>
          <w:sz w:val="24"/>
          <w:szCs w:val="24"/>
          <w:lang w:val="en-GB"/>
        </w:rPr>
      </w:pPr>
      <w:r w:rsidRPr="00BD76FF">
        <w:rPr>
          <w:rFonts w:ascii="Times New Roman" w:hAnsi="Times New Roman" w:cs="Times New Roman"/>
          <w:sz w:val="24"/>
          <w:szCs w:val="24"/>
          <w:lang w:val="en-GB"/>
        </w:rPr>
        <w:t xml:space="preserve">Greater transparency in relation to student outcomes; </w:t>
      </w:r>
    </w:p>
    <w:p w14:paraId="77A75461" w14:textId="77777777" w:rsidR="00BD76FF" w:rsidRPr="00BD76FF" w:rsidRDefault="00BD76FF" w:rsidP="00BD76FF">
      <w:pPr>
        <w:numPr>
          <w:ilvl w:val="0"/>
          <w:numId w:val="2"/>
        </w:numPr>
        <w:shd w:val="clear" w:color="auto" w:fill="FFFFFF"/>
        <w:spacing w:after="0" w:line="240" w:lineRule="auto"/>
        <w:contextualSpacing/>
        <w:jc w:val="both"/>
        <w:rPr>
          <w:rFonts w:ascii="Times New Roman" w:hAnsi="Times New Roman" w:cs="Times New Roman"/>
          <w:sz w:val="24"/>
          <w:szCs w:val="24"/>
          <w:lang w:val="en-GB"/>
        </w:rPr>
      </w:pPr>
      <w:r w:rsidRPr="00BD76FF">
        <w:rPr>
          <w:rFonts w:ascii="Times New Roman" w:hAnsi="Times New Roman" w:cs="Times New Roman"/>
          <w:sz w:val="24"/>
          <w:szCs w:val="24"/>
          <w:lang w:val="en-GB"/>
        </w:rPr>
        <w:lastRenderedPageBreak/>
        <w:t xml:space="preserve">The proliferation of new business and delivery models; </w:t>
      </w:r>
    </w:p>
    <w:p w14:paraId="695D0C17" w14:textId="77777777" w:rsidR="00BD76FF" w:rsidRPr="00BD76FF" w:rsidRDefault="00BD76FF" w:rsidP="00BD76FF">
      <w:pPr>
        <w:numPr>
          <w:ilvl w:val="0"/>
          <w:numId w:val="2"/>
        </w:numPr>
        <w:shd w:val="clear" w:color="auto" w:fill="FFFFFF"/>
        <w:spacing w:after="0" w:line="240" w:lineRule="auto"/>
        <w:contextualSpacing/>
        <w:jc w:val="both"/>
        <w:rPr>
          <w:rFonts w:ascii="Times New Roman" w:hAnsi="Times New Roman" w:cs="Times New Roman"/>
          <w:sz w:val="24"/>
          <w:szCs w:val="24"/>
          <w:lang w:val="en-GB"/>
        </w:rPr>
      </w:pPr>
      <w:r w:rsidRPr="00BD76FF">
        <w:rPr>
          <w:rFonts w:ascii="Times New Roman" w:hAnsi="Times New Roman" w:cs="Times New Roman"/>
          <w:sz w:val="24"/>
          <w:szCs w:val="24"/>
          <w:lang w:val="en-GB"/>
        </w:rPr>
        <w:t xml:space="preserve">The accelerated pace of globalization. </w:t>
      </w:r>
    </w:p>
    <w:p w14:paraId="31A5BC20" w14:textId="77777777" w:rsidR="00BD76FF" w:rsidRPr="00BD76FF" w:rsidRDefault="00BD76FF" w:rsidP="00BD76FF">
      <w:pPr>
        <w:shd w:val="clear" w:color="auto" w:fill="FFFFFF"/>
        <w:spacing w:before="120" w:after="0" w:line="480" w:lineRule="auto"/>
        <w:jc w:val="both"/>
        <w:rPr>
          <w:rFonts w:ascii="Times New Roman" w:hAnsi="Times New Roman" w:cs="Times New Roman"/>
          <w:sz w:val="24"/>
          <w:szCs w:val="24"/>
          <w:lang w:val="en-GB"/>
        </w:rPr>
      </w:pPr>
    </w:p>
    <w:p w14:paraId="3E2EF570" w14:textId="350B3DB6" w:rsidR="00BD76FF" w:rsidRPr="00BD76FF" w:rsidRDefault="00BD76FF" w:rsidP="00BD76FF">
      <w:pPr>
        <w:shd w:val="clear" w:color="auto" w:fill="FFFFFF"/>
        <w:spacing w:before="120" w:after="0" w:line="480" w:lineRule="auto"/>
        <w:ind w:firstLine="720"/>
        <w:jc w:val="both"/>
        <w:rPr>
          <w:rFonts w:ascii="Times New Roman" w:hAnsi="Times New Roman" w:cs="Times New Roman"/>
          <w:sz w:val="24"/>
          <w:szCs w:val="24"/>
        </w:rPr>
      </w:pPr>
      <w:r w:rsidRPr="00BD76FF">
        <w:rPr>
          <w:rFonts w:ascii="Times New Roman" w:hAnsi="Times New Roman" w:cs="Times New Roman"/>
          <w:sz w:val="24"/>
          <w:szCs w:val="24"/>
          <w:lang w:val="en-GB"/>
        </w:rPr>
        <w:t xml:space="preserve">Education as a service has become more highly distributed, assuming a multitude of forms and locations, leading to a variety of certificates and degrees in a learning society which pre-supposes participation in some kind of continual, formal education. The increasingly widespread use of online and blended learning across institutions has democratized education and blurred even further the distinction between H.E. and F.E. </w:t>
      </w:r>
      <w:proofErr w:type="spellStart"/>
      <w:r w:rsidRPr="00BD76FF">
        <w:rPr>
          <w:rFonts w:ascii="Times New Roman" w:hAnsi="Times New Roman" w:cs="Times New Roman"/>
          <w:sz w:val="24"/>
          <w:szCs w:val="24"/>
          <w:lang w:val="en-GB"/>
        </w:rPr>
        <w:t>Trow</w:t>
      </w:r>
      <w:proofErr w:type="spellEnd"/>
      <w:r w:rsidRPr="00BD76FF">
        <w:rPr>
          <w:rFonts w:ascii="Times New Roman" w:hAnsi="Times New Roman" w:cs="Times New Roman"/>
          <w:sz w:val="24"/>
          <w:szCs w:val="24"/>
          <w:lang w:val="en-GB"/>
        </w:rPr>
        <w:t xml:space="preserve"> (2007, p. 276) observes </w:t>
      </w:r>
      <w:r w:rsidR="000F45F6">
        <w:rPr>
          <w:rFonts w:ascii="Times New Roman" w:hAnsi="Times New Roman" w:cs="Times New Roman"/>
          <w:sz w:val="24"/>
          <w:szCs w:val="24"/>
          <w:lang w:val="en-GB"/>
        </w:rPr>
        <w:t>“</w:t>
      </w:r>
      <w:r w:rsidRPr="00BD76FF">
        <w:rPr>
          <w:rFonts w:ascii="Times New Roman" w:hAnsi="Times New Roman" w:cs="Times New Roman"/>
          <w:sz w:val="24"/>
          <w:szCs w:val="24"/>
          <w:lang w:val="en-GB"/>
        </w:rPr>
        <w:t>distinctions that we make today between ‘higher’ or ‘continuing’ or ‘adult’ or ‘remedial’ or ‘further’ education will be increasingly difﬁcult to make as these activities are carried on—without being so identiﬁed or distinguished—as part of the ordinary activities of economic, political, military, and leisure institutions.</w:t>
      </w:r>
      <w:r w:rsidR="000F45F6">
        <w:rPr>
          <w:rFonts w:ascii="Times New Roman" w:hAnsi="Times New Roman" w:cs="Times New Roman"/>
          <w:sz w:val="24"/>
          <w:szCs w:val="24"/>
          <w:lang w:val="en-GB"/>
        </w:rPr>
        <w:t>”</w:t>
      </w:r>
    </w:p>
    <w:p w14:paraId="2A02FF84" w14:textId="635600B8" w:rsidR="00731582" w:rsidRDefault="00BD76FF" w:rsidP="00BD76FF">
      <w:pPr>
        <w:shd w:val="clear" w:color="auto" w:fill="FFFFFF"/>
        <w:spacing w:before="120" w:after="0" w:line="480" w:lineRule="auto"/>
        <w:ind w:firstLine="720"/>
        <w:jc w:val="both"/>
        <w:rPr>
          <w:rFonts w:ascii="Times New Roman" w:eastAsia="Times New Roman" w:hAnsi="Times New Roman" w:cs="Times New Roman"/>
          <w:color w:val="333333"/>
          <w:sz w:val="24"/>
          <w:szCs w:val="24"/>
        </w:rPr>
      </w:pPr>
      <w:r w:rsidRPr="00BD76FF">
        <w:rPr>
          <w:rFonts w:ascii="Times New Roman" w:eastAsia="Times New Roman" w:hAnsi="Times New Roman" w:cs="Times New Roman"/>
          <w:color w:val="222222"/>
          <w:sz w:val="24"/>
          <w:szCs w:val="24"/>
          <w:lang w:val="en"/>
        </w:rPr>
        <w:t xml:space="preserve">More recently, H.E. and F.E. have been grappling with and responding to both the challenges and opportunities of globalization, widely viewed as a double-edged sword. On the one hand, some view globalization as an opportunity to democratize H.E. and F.E. through technological advances, internationalization, market forces and harmonization initiatives (e.g. Bologna). On the other, critics argue that globalization deepens inequality and fosters corporatization, the civic discourse of the university being gradually replaced by the language of commercialization, </w:t>
      </w:r>
      <w:proofErr w:type="spellStart"/>
      <w:r w:rsidRPr="00BD76FF">
        <w:rPr>
          <w:rFonts w:ascii="Times New Roman" w:eastAsia="Times New Roman" w:hAnsi="Times New Roman" w:cs="Times New Roman"/>
          <w:color w:val="222222"/>
          <w:sz w:val="24"/>
          <w:szCs w:val="24"/>
          <w:lang w:val="en"/>
        </w:rPr>
        <w:t>privitization</w:t>
      </w:r>
      <w:proofErr w:type="spellEnd"/>
      <w:r w:rsidRPr="00BD76FF">
        <w:rPr>
          <w:rFonts w:ascii="Times New Roman" w:eastAsia="Times New Roman" w:hAnsi="Times New Roman" w:cs="Times New Roman"/>
          <w:color w:val="222222"/>
          <w:sz w:val="24"/>
          <w:szCs w:val="24"/>
          <w:lang w:val="en"/>
        </w:rPr>
        <w:t xml:space="preserve"> and deregulation (Giroux; 2002; Berg and </w:t>
      </w:r>
      <w:proofErr w:type="spellStart"/>
      <w:r w:rsidRPr="00BD76FF">
        <w:rPr>
          <w:rFonts w:ascii="Times New Roman" w:eastAsia="Times New Roman" w:hAnsi="Times New Roman" w:cs="Times New Roman"/>
          <w:color w:val="222222"/>
          <w:sz w:val="24"/>
          <w:szCs w:val="24"/>
          <w:lang w:val="en"/>
        </w:rPr>
        <w:t>Seeber</w:t>
      </w:r>
      <w:proofErr w:type="spellEnd"/>
      <w:r w:rsidRPr="00BD76FF">
        <w:rPr>
          <w:rFonts w:ascii="Times New Roman" w:eastAsia="Times New Roman" w:hAnsi="Times New Roman" w:cs="Times New Roman"/>
          <w:color w:val="222222"/>
          <w:sz w:val="24"/>
          <w:szCs w:val="24"/>
          <w:lang w:val="en"/>
        </w:rPr>
        <w:t xml:space="preserve">, 2017). </w:t>
      </w:r>
      <w:r w:rsidR="00731582" w:rsidRPr="00BD76FF">
        <w:rPr>
          <w:rFonts w:ascii="Times New Roman" w:eastAsia="Times New Roman" w:hAnsi="Times New Roman" w:cs="Times New Roman"/>
          <w:color w:val="333333"/>
          <w:sz w:val="24"/>
          <w:szCs w:val="24"/>
        </w:rPr>
        <w:t>Since 2000, East Asia and the Pacific regions are the major contributors to tertiary students worldwide, overtaking North America and Europe (Chan, 2017).</w:t>
      </w:r>
    </w:p>
    <w:p w14:paraId="75666BC8" w14:textId="2A0AB7BC" w:rsidR="00864637" w:rsidRPr="002468DE" w:rsidRDefault="002468DE" w:rsidP="00864637">
      <w:pPr>
        <w:shd w:val="clear" w:color="auto" w:fill="FFFFFF"/>
        <w:spacing w:before="120" w:after="0" w:line="480" w:lineRule="auto"/>
        <w:jc w:val="both"/>
        <w:rPr>
          <w:rFonts w:ascii="Times New Roman" w:eastAsia="Times New Roman" w:hAnsi="Times New Roman" w:cs="Times New Roman"/>
          <w:b/>
          <w:color w:val="333333"/>
          <w:sz w:val="24"/>
          <w:szCs w:val="24"/>
        </w:rPr>
      </w:pPr>
      <w:r w:rsidRPr="002468DE">
        <w:rPr>
          <w:rFonts w:ascii="Times New Roman" w:eastAsia="Times New Roman" w:hAnsi="Times New Roman" w:cs="Times New Roman"/>
          <w:b/>
          <w:color w:val="333333"/>
          <w:sz w:val="24"/>
          <w:szCs w:val="24"/>
        </w:rPr>
        <w:t>Chapter Overviews</w:t>
      </w:r>
      <w:r w:rsidR="003C2C64">
        <w:rPr>
          <w:rFonts w:ascii="Times New Roman" w:eastAsia="Times New Roman" w:hAnsi="Times New Roman" w:cs="Times New Roman"/>
          <w:b/>
          <w:color w:val="333333"/>
          <w:sz w:val="24"/>
          <w:szCs w:val="24"/>
        </w:rPr>
        <w:t xml:space="preserve"> </w:t>
      </w:r>
    </w:p>
    <w:p w14:paraId="2F0032D0" w14:textId="5E1B8AD1" w:rsidR="00F447B4" w:rsidRPr="004174B9" w:rsidRDefault="00AB3AA4" w:rsidP="0012163B">
      <w:pPr>
        <w:shd w:val="clear" w:color="auto" w:fill="FFFFFF"/>
        <w:spacing w:before="120" w:after="0" w:line="480" w:lineRule="auto"/>
        <w:jc w:val="both"/>
        <w:rPr>
          <w:rFonts w:ascii="Times New Roman" w:eastAsia="Times New Roman" w:hAnsi="Times New Roman" w:cs="Times New Roman"/>
          <w:color w:val="222222"/>
          <w:sz w:val="24"/>
          <w:szCs w:val="24"/>
          <w:lang w:val="en"/>
        </w:rPr>
      </w:pPr>
      <w:r>
        <w:rPr>
          <w:rFonts w:ascii="Times New Roman" w:eastAsia="Times New Roman" w:hAnsi="Times New Roman" w:cs="Times New Roman"/>
          <w:color w:val="222222"/>
          <w:sz w:val="24"/>
          <w:szCs w:val="24"/>
          <w:lang w:val="en"/>
        </w:rPr>
        <w:lastRenderedPageBreak/>
        <w:t>What follows is a</w:t>
      </w:r>
      <w:r w:rsidR="002353E1">
        <w:rPr>
          <w:rFonts w:ascii="Times New Roman" w:eastAsia="Times New Roman" w:hAnsi="Times New Roman" w:cs="Times New Roman"/>
          <w:color w:val="222222"/>
          <w:sz w:val="24"/>
          <w:szCs w:val="24"/>
          <w:lang w:val="en"/>
        </w:rPr>
        <w:t>n analysis of the key themes in the history of H.E. and F.E. examined through the lenses of</w:t>
      </w:r>
      <w:r w:rsidR="0003454A">
        <w:rPr>
          <w:rFonts w:ascii="Times New Roman" w:eastAsia="Times New Roman" w:hAnsi="Times New Roman" w:cs="Times New Roman"/>
          <w:color w:val="222222"/>
          <w:sz w:val="24"/>
          <w:szCs w:val="24"/>
          <w:lang w:val="en"/>
        </w:rPr>
        <w:t>:</w:t>
      </w:r>
      <w:r w:rsidR="002353E1">
        <w:rPr>
          <w:rFonts w:ascii="Times New Roman" w:eastAsia="Times New Roman" w:hAnsi="Times New Roman" w:cs="Times New Roman"/>
          <w:color w:val="222222"/>
          <w:sz w:val="24"/>
          <w:szCs w:val="24"/>
          <w:lang w:val="en"/>
        </w:rPr>
        <w:t xml:space="preserve"> </w:t>
      </w:r>
      <w:r w:rsidR="004174B9" w:rsidRPr="00BD76FF">
        <w:rPr>
          <w:rFonts w:ascii="Times New Roman" w:eastAsia="Times New Roman" w:hAnsi="Times New Roman" w:cs="Times New Roman"/>
          <w:color w:val="222222"/>
          <w:sz w:val="24"/>
          <w:szCs w:val="24"/>
          <w:lang w:val="en"/>
        </w:rPr>
        <w:t xml:space="preserve">Transformations </w:t>
      </w:r>
      <w:r w:rsidR="004174B9">
        <w:rPr>
          <w:rFonts w:ascii="Times New Roman" w:eastAsia="Times New Roman" w:hAnsi="Times New Roman" w:cs="Times New Roman"/>
          <w:color w:val="222222"/>
          <w:sz w:val="24"/>
          <w:szCs w:val="24"/>
          <w:lang w:val="en"/>
        </w:rPr>
        <w:t>to</w:t>
      </w:r>
      <w:r w:rsidR="004174B9" w:rsidRPr="00BD76FF">
        <w:rPr>
          <w:rFonts w:ascii="Times New Roman" w:eastAsia="Times New Roman" w:hAnsi="Times New Roman" w:cs="Times New Roman"/>
          <w:color w:val="222222"/>
          <w:sz w:val="24"/>
          <w:szCs w:val="24"/>
          <w:lang w:val="en"/>
        </w:rPr>
        <w:t xml:space="preserve"> Higher Education</w:t>
      </w:r>
      <w:r w:rsidR="004174B9">
        <w:rPr>
          <w:rFonts w:ascii="Times New Roman" w:eastAsia="Times New Roman" w:hAnsi="Times New Roman" w:cs="Times New Roman"/>
          <w:color w:val="222222"/>
          <w:sz w:val="24"/>
          <w:szCs w:val="24"/>
          <w:lang w:val="en"/>
        </w:rPr>
        <w:t>;</w:t>
      </w:r>
      <w:r w:rsidR="004174B9" w:rsidRPr="00BD76FF">
        <w:rPr>
          <w:rFonts w:ascii="Times New Roman" w:eastAsia="Times New Roman" w:hAnsi="Times New Roman" w:cs="Times New Roman"/>
          <w:color w:val="222222"/>
          <w:sz w:val="24"/>
          <w:szCs w:val="24"/>
          <w:lang w:val="en"/>
        </w:rPr>
        <w:t xml:space="preserve"> </w:t>
      </w:r>
      <w:r w:rsidR="004174B9">
        <w:rPr>
          <w:rFonts w:ascii="Times New Roman" w:eastAsia="Times New Roman" w:hAnsi="Times New Roman" w:cs="Times New Roman"/>
          <w:color w:val="222222"/>
          <w:sz w:val="24"/>
          <w:szCs w:val="24"/>
          <w:lang w:val="en"/>
        </w:rPr>
        <w:t xml:space="preserve">Higher Education </w:t>
      </w:r>
      <w:r w:rsidR="004174B9" w:rsidRPr="00BD76FF">
        <w:rPr>
          <w:rFonts w:ascii="Times New Roman" w:eastAsia="Times New Roman" w:hAnsi="Times New Roman" w:cs="Times New Roman"/>
          <w:color w:val="222222"/>
          <w:sz w:val="24"/>
          <w:szCs w:val="24"/>
          <w:lang w:val="en"/>
        </w:rPr>
        <w:t>Institutions</w:t>
      </w:r>
      <w:r w:rsidR="004174B9">
        <w:rPr>
          <w:rFonts w:ascii="Times New Roman" w:eastAsia="Times New Roman" w:hAnsi="Times New Roman" w:cs="Times New Roman"/>
          <w:color w:val="222222"/>
          <w:sz w:val="24"/>
          <w:szCs w:val="24"/>
          <w:lang w:val="en"/>
        </w:rPr>
        <w:t xml:space="preserve"> across Time and Space; Empire and Exchange in Higher Education;</w:t>
      </w:r>
      <w:r w:rsidR="004174B9" w:rsidRPr="00BD76FF">
        <w:rPr>
          <w:rFonts w:ascii="Times New Roman" w:eastAsia="Times New Roman" w:hAnsi="Times New Roman" w:cs="Times New Roman"/>
          <w:color w:val="222222"/>
          <w:sz w:val="24"/>
          <w:szCs w:val="24"/>
          <w:lang w:val="en"/>
        </w:rPr>
        <w:t xml:space="preserve"> Students</w:t>
      </w:r>
      <w:r w:rsidR="004174B9">
        <w:rPr>
          <w:rFonts w:ascii="Times New Roman" w:eastAsia="Times New Roman" w:hAnsi="Times New Roman" w:cs="Times New Roman"/>
          <w:color w:val="222222"/>
          <w:sz w:val="24"/>
          <w:szCs w:val="24"/>
          <w:lang w:val="en"/>
        </w:rPr>
        <w:t xml:space="preserve"> in Higher and Further Education;</w:t>
      </w:r>
      <w:r w:rsidR="004174B9" w:rsidRPr="00BD76FF">
        <w:rPr>
          <w:rFonts w:ascii="Times New Roman" w:eastAsia="Times New Roman" w:hAnsi="Times New Roman" w:cs="Times New Roman"/>
          <w:color w:val="222222"/>
          <w:sz w:val="24"/>
          <w:szCs w:val="24"/>
          <w:lang w:val="en"/>
        </w:rPr>
        <w:t xml:space="preserve"> Women </w:t>
      </w:r>
      <w:r w:rsidR="004174B9">
        <w:rPr>
          <w:rFonts w:ascii="Times New Roman" w:eastAsia="Times New Roman" w:hAnsi="Times New Roman" w:cs="Times New Roman"/>
          <w:color w:val="222222"/>
          <w:sz w:val="24"/>
          <w:szCs w:val="24"/>
          <w:lang w:val="en"/>
        </w:rPr>
        <w:t>Professors</w:t>
      </w:r>
      <w:r w:rsidR="004174B9" w:rsidRPr="00BD76FF">
        <w:rPr>
          <w:rFonts w:ascii="Times New Roman" w:eastAsia="Times New Roman" w:hAnsi="Times New Roman" w:cs="Times New Roman"/>
          <w:color w:val="222222"/>
          <w:sz w:val="24"/>
          <w:szCs w:val="24"/>
          <w:lang w:val="en"/>
        </w:rPr>
        <w:t xml:space="preserve"> and Deans</w:t>
      </w:r>
      <w:r w:rsidR="004174B9">
        <w:rPr>
          <w:rFonts w:ascii="Times New Roman" w:eastAsia="Times New Roman" w:hAnsi="Times New Roman" w:cs="Times New Roman"/>
          <w:color w:val="222222"/>
          <w:sz w:val="24"/>
          <w:szCs w:val="24"/>
          <w:lang w:val="en"/>
        </w:rPr>
        <w:t>;</w:t>
      </w:r>
      <w:r w:rsidR="004174B9" w:rsidRPr="00BD76FF">
        <w:rPr>
          <w:rFonts w:ascii="Times New Roman" w:eastAsia="Times New Roman" w:hAnsi="Times New Roman" w:cs="Times New Roman"/>
          <w:color w:val="222222"/>
          <w:sz w:val="24"/>
          <w:szCs w:val="24"/>
          <w:lang w:val="en"/>
        </w:rPr>
        <w:t xml:space="preserve"> Women Workers’ Education</w:t>
      </w:r>
      <w:r w:rsidR="004174B9">
        <w:rPr>
          <w:rFonts w:ascii="Times New Roman" w:eastAsia="Times New Roman" w:hAnsi="Times New Roman" w:cs="Times New Roman"/>
          <w:color w:val="222222"/>
          <w:sz w:val="24"/>
          <w:szCs w:val="24"/>
          <w:lang w:val="en"/>
        </w:rPr>
        <w:t>; and</w:t>
      </w:r>
      <w:r w:rsidR="004174B9" w:rsidRPr="00BD76FF">
        <w:rPr>
          <w:rFonts w:ascii="Times New Roman" w:eastAsia="Times New Roman" w:hAnsi="Times New Roman" w:cs="Times New Roman"/>
          <w:color w:val="222222"/>
          <w:sz w:val="24"/>
          <w:szCs w:val="24"/>
          <w:lang w:val="en"/>
        </w:rPr>
        <w:t xml:space="preserve"> Adult Education and Information Education</w:t>
      </w:r>
      <w:r w:rsidR="004174B9">
        <w:rPr>
          <w:rFonts w:ascii="Times New Roman" w:eastAsia="Times New Roman" w:hAnsi="Times New Roman" w:cs="Times New Roman"/>
          <w:color w:val="222222"/>
          <w:sz w:val="24"/>
          <w:szCs w:val="24"/>
          <w:lang w:val="en"/>
        </w:rPr>
        <w:t xml:space="preserve">. </w:t>
      </w:r>
      <w:r w:rsidR="002353E1">
        <w:rPr>
          <w:rFonts w:ascii="Times New Roman" w:eastAsia="Times New Roman" w:hAnsi="Times New Roman" w:cs="Times New Roman"/>
          <w:color w:val="222222"/>
          <w:sz w:val="24"/>
          <w:szCs w:val="24"/>
          <w:lang w:val="en"/>
        </w:rPr>
        <w:t xml:space="preserve">Collectively the various chapters in this section consider the major developments, provide a historiographical and comparative analysis of the principal </w:t>
      </w:r>
      <w:r w:rsidR="002353E1" w:rsidRPr="004077CE">
        <w:rPr>
          <w:rFonts w:ascii="Times New Roman" w:eastAsia="Times New Roman" w:hAnsi="Times New Roman" w:cs="Times New Roman"/>
          <w:color w:val="222222"/>
          <w:sz w:val="24"/>
          <w:szCs w:val="24"/>
          <w:lang w:val="en"/>
        </w:rPr>
        <w:t>theoretical and</w:t>
      </w:r>
      <w:r w:rsidRPr="00BD76FF">
        <w:rPr>
          <w:rFonts w:ascii="Times New Roman" w:eastAsia="Times New Roman" w:hAnsi="Times New Roman" w:cs="Times New Roman"/>
          <w:color w:val="222222"/>
          <w:sz w:val="24"/>
          <w:szCs w:val="24"/>
          <w:lang w:val="en"/>
        </w:rPr>
        <w:t xml:space="preserve"> methodological issues and ideas</w:t>
      </w:r>
      <w:r w:rsidR="002353E1" w:rsidRPr="004077CE">
        <w:rPr>
          <w:rFonts w:ascii="Times New Roman" w:eastAsia="Times New Roman" w:hAnsi="Times New Roman" w:cs="Times New Roman"/>
          <w:color w:val="222222"/>
          <w:sz w:val="24"/>
          <w:szCs w:val="24"/>
          <w:lang w:val="en"/>
        </w:rPr>
        <w:t>, underscoring the deeper</w:t>
      </w:r>
      <w:r w:rsidRPr="00BD76FF">
        <w:rPr>
          <w:rFonts w:ascii="Times New Roman" w:hAnsi="Times New Roman" w:cs="Times New Roman"/>
          <w:color w:val="222222"/>
          <w:sz w:val="24"/>
          <w:szCs w:val="24"/>
          <w:shd w:val="clear" w:color="auto" w:fill="FFFFFF"/>
        </w:rPr>
        <w:t xml:space="preserve"> ideological, economic and political issues that have shaped this history.</w:t>
      </w:r>
      <w:r w:rsidR="004174B9">
        <w:rPr>
          <w:rFonts w:ascii="Times New Roman" w:eastAsia="Times New Roman" w:hAnsi="Times New Roman" w:cs="Times New Roman"/>
          <w:color w:val="222222"/>
          <w:sz w:val="24"/>
          <w:szCs w:val="24"/>
          <w:lang w:val="en"/>
        </w:rPr>
        <w:t xml:space="preserve"> </w:t>
      </w:r>
      <w:r w:rsidR="002306CE" w:rsidRPr="004077CE">
        <w:rPr>
          <w:rFonts w:ascii="Times New Roman" w:eastAsia="Times New Roman" w:hAnsi="Times New Roman" w:cs="Times New Roman"/>
          <w:color w:val="222222"/>
          <w:sz w:val="24"/>
          <w:szCs w:val="24"/>
          <w:lang w:val="en"/>
        </w:rPr>
        <w:t>The section begins with</w:t>
      </w:r>
      <w:r w:rsidR="007B1383" w:rsidRPr="004077CE">
        <w:rPr>
          <w:rFonts w:ascii="Times New Roman" w:eastAsia="Times New Roman" w:hAnsi="Times New Roman" w:cs="Times New Roman"/>
          <w:color w:val="222222"/>
          <w:sz w:val="24"/>
          <w:szCs w:val="24"/>
          <w:lang w:val="en"/>
        </w:rPr>
        <w:t xml:space="preserve"> </w:t>
      </w:r>
      <w:r w:rsidR="004077CE" w:rsidRPr="004077CE">
        <w:rPr>
          <w:rFonts w:ascii="Times New Roman" w:eastAsia="Times New Roman" w:hAnsi="Times New Roman" w:cs="Times New Roman"/>
          <w:color w:val="222222"/>
          <w:sz w:val="24"/>
          <w:szCs w:val="24"/>
          <w:lang w:val="en"/>
        </w:rPr>
        <w:t xml:space="preserve">an analysis of “Transformations to Higher Education” in which </w:t>
      </w:r>
      <w:proofErr w:type="spellStart"/>
      <w:r w:rsidR="004077CE" w:rsidRPr="004077CE">
        <w:rPr>
          <w:rFonts w:ascii="Times New Roman" w:eastAsia="Times New Roman" w:hAnsi="Times New Roman" w:cs="Times New Roman"/>
          <w:color w:val="222222"/>
          <w:sz w:val="24"/>
          <w:szCs w:val="24"/>
          <w:lang w:val="en"/>
        </w:rPr>
        <w:t>Tamson</w:t>
      </w:r>
      <w:proofErr w:type="spellEnd"/>
      <w:r w:rsidR="004077CE" w:rsidRPr="004077CE">
        <w:rPr>
          <w:rFonts w:ascii="Times New Roman" w:eastAsiaTheme="minorEastAsia" w:hAnsi="Times New Roman" w:cs="Times New Roman"/>
          <w:sz w:val="24"/>
          <w:szCs w:val="24"/>
          <w:lang w:val="en-GB"/>
        </w:rPr>
        <w:t xml:space="preserve"> Pietsch highlights</w:t>
      </w:r>
      <w:r w:rsidR="004077CE" w:rsidRPr="004077CE">
        <w:rPr>
          <w:rFonts w:ascii="Times New Roman" w:hAnsi="Times New Roman" w:cs="Times New Roman"/>
          <w:color w:val="222222"/>
          <w:sz w:val="24"/>
          <w:szCs w:val="24"/>
          <w:shd w:val="clear" w:color="auto" w:fill="FFFFFF"/>
        </w:rPr>
        <w:t xml:space="preserve"> </w:t>
      </w:r>
      <w:r w:rsidR="004077CE" w:rsidRPr="004077CE">
        <w:rPr>
          <w:rFonts w:ascii="Times New Roman" w:eastAsiaTheme="minorEastAsia" w:hAnsi="Times New Roman" w:cs="Times New Roman"/>
          <w:sz w:val="24"/>
          <w:szCs w:val="24"/>
          <w:lang w:val="en-GB" w:eastAsia="ja-JP"/>
        </w:rPr>
        <w:t xml:space="preserve">three distinct periods of transformation in the function and foundation of universities across the last two hundred years. She commences with an examination of the closing decades of the nineteenth-century in which the modern university came into existence. This is followed by an analysis of the period immediately following the Second World War </w:t>
      </w:r>
      <w:r w:rsidR="008358EB">
        <w:rPr>
          <w:rFonts w:ascii="Times New Roman" w:eastAsiaTheme="minorEastAsia" w:hAnsi="Times New Roman" w:cs="Times New Roman"/>
          <w:sz w:val="24"/>
          <w:szCs w:val="24"/>
          <w:lang w:val="en-GB" w:eastAsia="ja-JP"/>
        </w:rPr>
        <w:t>during</w:t>
      </w:r>
      <w:r w:rsidR="004077CE" w:rsidRPr="004077CE">
        <w:rPr>
          <w:rFonts w:ascii="Times New Roman" w:eastAsiaTheme="minorEastAsia" w:hAnsi="Times New Roman" w:cs="Times New Roman"/>
          <w:sz w:val="24"/>
          <w:szCs w:val="24"/>
          <w:lang w:val="en-GB" w:eastAsia="ja-JP"/>
        </w:rPr>
        <w:t xml:space="preserve"> which</w:t>
      </w:r>
      <w:r w:rsidR="008358EB">
        <w:rPr>
          <w:rFonts w:ascii="Times New Roman" w:eastAsiaTheme="minorEastAsia" w:hAnsi="Times New Roman" w:cs="Times New Roman"/>
          <w:sz w:val="24"/>
          <w:szCs w:val="24"/>
          <w:lang w:val="en-GB" w:eastAsia="ja-JP"/>
        </w:rPr>
        <w:t xml:space="preserve"> states began to regard universities as significant to the mission of nation-building, through their impact on social, technological and economic development as well as </w:t>
      </w:r>
      <w:r w:rsidR="0012396E">
        <w:rPr>
          <w:rFonts w:ascii="Times New Roman" w:eastAsiaTheme="minorEastAsia" w:hAnsi="Times New Roman" w:cs="Times New Roman"/>
          <w:sz w:val="24"/>
          <w:szCs w:val="24"/>
          <w:lang w:val="en-GB" w:eastAsia="ja-JP"/>
        </w:rPr>
        <w:t xml:space="preserve">their role in influencing democratic citizenship. </w:t>
      </w:r>
      <w:r w:rsidR="004077CE" w:rsidRPr="004077CE">
        <w:rPr>
          <w:rFonts w:ascii="Times New Roman" w:eastAsiaTheme="minorEastAsia" w:hAnsi="Times New Roman" w:cs="Times New Roman"/>
          <w:sz w:val="24"/>
          <w:szCs w:val="24"/>
          <w:lang w:val="en-GB" w:eastAsia="ja-JP"/>
        </w:rPr>
        <w:t>This chapter concludes with a</w:t>
      </w:r>
      <w:r w:rsidR="00653215">
        <w:rPr>
          <w:rFonts w:ascii="Times New Roman" w:eastAsiaTheme="minorEastAsia" w:hAnsi="Times New Roman" w:cs="Times New Roman"/>
          <w:sz w:val="24"/>
          <w:szCs w:val="24"/>
          <w:lang w:val="en-GB" w:eastAsia="ja-JP"/>
        </w:rPr>
        <w:t>n interrogation</w:t>
      </w:r>
      <w:r w:rsidR="004077CE" w:rsidRPr="004077CE">
        <w:rPr>
          <w:rFonts w:ascii="Times New Roman" w:eastAsiaTheme="minorEastAsia" w:hAnsi="Times New Roman" w:cs="Times New Roman"/>
          <w:sz w:val="24"/>
          <w:szCs w:val="24"/>
          <w:lang w:val="en-GB" w:eastAsia="ja-JP"/>
        </w:rPr>
        <w:t xml:space="preserve"> of the more recent period from the 1990s in which deregulation and internationalisation have reshaped higher education systems.</w:t>
      </w:r>
      <w:r w:rsidR="000E4C51">
        <w:rPr>
          <w:rFonts w:ascii="Times New Roman" w:eastAsiaTheme="minorEastAsia" w:hAnsi="Times New Roman" w:cs="Times New Roman"/>
          <w:sz w:val="24"/>
          <w:szCs w:val="24"/>
          <w:lang w:val="en-GB" w:eastAsia="ja-JP"/>
        </w:rPr>
        <w:t xml:space="preserve"> </w:t>
      </w:r>
      <w:r w:rsidR="00F447B4">
        <w:rPr>
          <w:rFonts w:ascii="Times New Roman" w:eastAsiaTheme="minorEastAsia" w:hAnsi="Times New Roman" w:cs="Times New Roman"/>
          <w:sz w:val="24"/>
          <w:szCs w:val="24"/>
          <w:lang w:val="en-GB" w:eastAsia="ja-JP"/>
        </w:rPr>
        <w:t>In “</w:t>
      </w:r>
      <w:r w:rsidR="00F447B4" w:rsidRPr="00F447B4">
        <w:rPr>
          <w:rFonts w:ascii="Times New Roman" w:eastAsiaTheme="minorEastAsia" w:hAnsi="Times New Roman" w:cs="Times New Roman"/>
          <w:sz w:val="24"/>
          <w:szCs w:val="24"/>
          <w:lang w:val="en-GB"/>
        </w:rPr>
        <w:t>Beyond the University: Higher Education Institutions Across Time and Space</w:t>
      </w:r>
      <w:r w:rsidR="00F447B4">
        <w:rPr>
          <w:rFonts w:ascii="Times New Roman" w:eastAsiaTheme="minorEastAsia" w:hAnsi="Times New Roman" w:cs="Times New Roman"/>
          <w:sz w:val="24"/>
          <w:szCs w:val="24"/>
          <w:lang w:val="en-GB"/>
        </w:rPr>
        <w:t>,</w:t>
      </w:r>
      <w:r w:rsidR="000F45F6">
        <w:rPr>
          <w:rFonts w:ascii="Times New Roman" w:eastAsiaTheme="minorEastAsia" w:hAnsi="Times New Roman" w:cs="Times New Roman"/>
          <w:sz w:val="24"/>
          <w:szCs w:val="24"/>
          <w:lang w:val="en-GB"/>
        </w:rPr>
        <w:t>”</w:t>
      </w:r>
      <w:r w:rsidR="00F447B4">
        <w:rPr>
          <w:rFonts w:ascii="Times New Roman" w:eastAsiaTheme="minorEastAsia" w:hAnsi="Times New Roman" w:cs="Times New Roman"/>
          <w:sz w:val="24"/>
          <w:szCs w:val="24"/>
          <w:lang w:val="en-GB"/>
        </w:rPr>
        <w:t xml:space="preserve"> Heather Ellis argues that the history of H.E. must not be limited to the history of the university, an institution which is both fixed in space and time, but must instead adopt a transnational and transhistorical approach.</w:t>
      </w:r>
      <w:r w:rsidR="00B1481A">
        <w:rPr>
          <w:rFonts w:ascii="Times New Roman" w:eastAsiaTheme="minorEastAsia" w:hAnsi="Times New Roman" w:cs="Times New Roman"/>
          <w:sz w:val="24"/>
          <w:szCs w:val="24"/>
          <w:lang w:val="en-GB"/>
        </w:rPr>
        <w:t xml:space="preserve"> </w:t>
      </w:r>
      <w:r w:rsidR="00F447B4">
        <w:rPr>
          <w:rFonts w:ascii="Times New Roman" w:eastAsiaTheme="minorEastAsia" w:hAnsi="Times New Roman" w:cs="Times New Roman"/>
          <w:sz w:val="24"/>
          <w:szCs w:val="24"/>
          <w:lang w:val="en-GB"/>
        </w:rPr>
        <w:t xml:space="preserve">As such, she advocates for a broader interpretation of the term institution, to include </w:t>
      </w:r>
      <w:r w:rsidR="00F447B4">
        <w:rPr>
          <w:rFonts w:ascii="Times New Roman" w:hAnsi="Times New Roman" w:cs="Times New Roman"/>
          <w:sz w:val="24"/>
          <w:szCs w:val="24"/>
        </w:rPr>
        <w:t>concepts, ideas and practices</w:t>
      </w:r>
      <w:r w:rsidR="00317006">
        <w:rPr>
          <w:rFonts w:ascii="Times New Roman" w:hAnsi="Times New Roman" w:cs="Times New Roman"/>
          <w:sz w:val="24"/>
          <w:szCs w:val="24"/>
        </w:rPr>
        <w:t>.</w:t>
      </w:r>
      <w:r w:rsidR="00013DA3">
        <w:rPr>
          <w:rFonts w:ascii="Times New Roman" w:hAnsi="Times New Roman" w:cs="Times New Roman"/>
          <w:sz w:val="24"/>
          <w:szCs w:val="24"/>
        </w:rPr>
        <w:t xml:space="preserve"> Commencing with an examination of H.E. and learning in the ancient world, this chapter then moves to an analysis of the key developments in H.E. over the course of </w:t>
      </w:r>
      <w:r w:rsidR="00F447B4">
        <w:rPr>
          <w:rFonts w:ascii="Times New Roman" w:hAnsi="Times New Roman" w:cs="Times New Roman"/>
          <w:sz w:val="24"/>
          <w:szCs w:val="24"/>
        </w:rPr>
        <w:t>the m</w:t>
      </w:r>
      <w:r w:rsidR="00F447B4" w:rsidRPr="00B855D4">
        <w:rPr>
          <w:rFonts w:ascii="Times New Roman" w:hAnsi="Times New Roman" w:cs="Times New Roman"/>
          <w:sz w:val="24"/>
          <w:szCs w:val="24"/>
        </w:rPr>
        <w:t xml:space="preserve">edieval, Renaissance, </w:t>
      </w:r>
      <w:r w:rsidR="00F447B4" w:rsidRPr="00B855D4">
        <w:rPr>
          <w:rFonts w:ascii="Times New Roman" w:hAnsi="Times New Roman" w:cs="Times New Roman"/>
          <w:sz w:val="24"/>
          <w:szCs w:val="24"/>
        </w:rPr>
        <w:lastRenderedPageBreak/>
        <w:t xml:space="preserve">Enlightenment and modern </w:t>
      </w:r>
      <w:r w:rsidR="00F447B4">
        <w:rPr>
          <w:rFonts w:ascii="Times New Roman" w:hAnsi="Times New Roman" w:cs="Times New Roman"/>
          <w:sz w:val="24"/>
          <w:szCs w:val="24"/>
        </w:rPr>
        <w:t>periods</w:t>
      </w:r>
      <w:r w:rsidR="00F447B4" w:rsidRPr="00B855D4">
        <w:rPr>
          <w:rFonts w:ascii="Times New Roman" w:hAnsi="Times New Roman" w:cs="Times New Roman"/>
          <w:sz w:val="24"/>
          <w:szCs w:val="24"/>
        </w:rPr>
        <w:t xml:space="preserve">. </w:t>
      </w:r>
      <w:r w:rsidR="00013DA3">
        <w:rPr>
          <w:rFonts w:ascii="Times New Roman" w:hAnsi="Times New Roman" w:cs="Times New Roman"/>
          <w:sz w:val="24"/>
          <w:szCs w:val="24"/>
        </w:rPr>
        <w:t xml:space="preserve">In particular, this chapter foregrounds the role of </w:t>
      </w:r>
      <w:r w:rsidR="00F447B4">
        <w:rPr>
          <w:rFonts w:ascii="Times New Roman" w:hAnsi="Times New Roman" w:cs="Times New Roman"/>
          <w:sz w:val="24"/>
          <w:szCs w:val="24"/>
        </w:rPr>
        <w:t xml:space="preserve">learned societies and academies as sites of research development and training in the late eighteenth and nineteenth centuries. </w:t>
      </w:r>
      <w:r w:rsidR="00013DA3">
        <w:rPr>
          <w:rFonts w:ascii="Times New Roman" w:hAnsi="Times New Roman" w:cs="Times New Roman"/>
          <w:sz w:val="24"/>
          <w:szCs w:val="24"/>
        </w:rPr>
        <w:t>Ellis concludes t</w:t>
      </w:r>
      <w:r w:rsidR="00F447B4">
        <w:rPr>
          <w:rFonts w:ascii="Times New Roman" w:hAnsi="Times New Roman" w:cs="Times New Roman"/>
          <w:sz w:val="24"/>
          <w:szCs w:val="24"/>
        </w:rPr>
        <w:t xml:space="preserve">he chapter with </w:t>
      </w:r>
      <w:r w:rsidR="00013DA3">
        <w:rPr>
          <w:rFonts w:ascii="Times New Roman" w:hAnsi="Times New Roman" w:cs="Times New Roman"/>
          <w:sz w:val="24"/>
          <w:szCs w:val="24"/>
        </w:rPr>
        <w:t xml:space="preserve">a consideration of the manner in which the status </w:t>
      </w:r>
      <w:r w:rsidR="00F447B4">
        <w:rPr>
          <w:rFonts w:ascii="Times New Roman" w:hAnsi="Times New Roman" w:cs="Times New Roman"/>
          <w:sz w:val="24"/>
          <w:szCs w:val="24"/>
        </w:rPr>
        <w:t xml:space="preserve">of the research university since the Second World War has shaped the writing of the history of higher education in recent years, </w:t>
      </w:r>
      <w:r w:rsidR="00013DA3">
        <w:rPr>
          <w:rFonts w:ascii="Times New Roman" w:hAnsi="Times New Roman" w:cs="Times New Roman"/>
          <w:sz w:val="24"/>
          <w:szCs w:val="24"/>
        </w:rPr>
        <w:t>and in particular</w:t>
      </w:r>
      <w:r w:rsidR="00F447B4">
        <w:rPr>
          <w:rFonts w:ascii="Times New Roman" w:hAnsi="Times New Roman" w:cs="Times New Roman"/>
          <w:sz w:val="24"/>
          <w:szCs w:val="24"/>
        </w:rPr>
        <w:t xml:space="preserve"> the dominan</w:t>
      </w:r>
      <w:r w:rsidR="00013DA3">
        <w:rPr>
          <w:rFonts w:ascii="Times New Roman" w:hAnsi="Times New Roman" w:cs="Times New Roman"/>
          <w:sz w:val="24"/>
          <w:szCs w:val="24"/>
        </w:rPr>
        <w:t xml:space="preserve">ce of </w:t>
      </w:r>
      <w:r w:rsidR="00F447B4">
        <w:rPr>
          <w:rFonts w:ascii="Times New Roman" w:hAnsi="Times New Roman" w:cs="Times New Roman"/>
          <w:sz w:val="24"/>
          <w:szCs w:val="24"/>
        </w:rPr>
        <w:t xml:space="preserve">the university as </w:t>
      </w:r>
      <w:r w:rsidR="00013DA3">
        <w:rPr>
          <w:rFonts w:ascii="Times New Roman" w:hAnsi="Times New Roman" w:cs="Times New Roman"/>
          <w:sz w:val="24"/>
          <w:szCs w:val="24"/>
        </w:rPr>
        <w:t xml:space="preserve">an </w:t>
      </w:r>
      <w:r w:rsidR="00F447B4">
        <w:rPr>
          <w:rFonts w:ascii="Times New Roman" w:hAnsi="Times New Roman" w:cs="Times New Roman"/>
          <w:sz w:val="24"/>
          <w:szCs w:val="24"/>
        </w:rPr>
        <w:t xml:space="preserve">institution. </w:t>
      </w:r>
    </w:p>
    <w:p w14:paraId="15CCEA64" w14:textId="7C0D29E3" w:rsidR="004174B9" w:rsidRDefault="00B1481A" w:rsidP="008E5A10">
      <w:pPr>
        <w:shd w:val="clear" w:color="auto" w:fill="FFFFFF"/>
        <w:spacing w:after="0" w:line="480" w:lineRule="auto"/>
        <w:ind w:firstLine="720"/>
        <w:jc w:val="both"/>
      </w:pPr>
      <w:r w:rsidRPr="007A5ADC">
        <w:rPr>
          <w:rFonts w:ascii="Times New Roman" w:eastAsia="Times New Roman" w:hAnsi="Times New Roman" w:cs="Times New Roman"/>
          <w:color w:val="222222"/>
          <w:sz w:val="24"/>
          <w:szCs w:val="24"/>
        </w:rPr>
        <w:t xml:space="preserve">In </w:t>
      </w:r>
      <w:r w:rsidR="000F45F6">
        <w:rPr>
          <w:rFonts w:ascii="Times New Roman" w:eastAsia="Times New Roman" w:hAnsi="Times New Roman" w:cs="Times New Roman"/>
          <w:color w:val="222222"/>
          <w:sz w:val="24"/>
          <w:szCs w:val="24"/>
        </w:rPr>
        <w:t>“</w:t>
      </w:r>
      <w:r w:rsidRPr="000F45F6">
        <w:rPr>
          <w:rFonts w:ascii="Times New Roman" w:eastAsia="Times New Roman" w:hAnsi="Times New Roman" w:cs="Times New Roman"/>
          <w:color w:val="222222"/>
          <w:sz w:val="24"/>
          <w:szCs w:val="24"/>
        </w:rPr>
        <w:t>Empire and Exchange in Higher Education: Cross Currents and Interconnections,</w:t>
      </w:r>
      <w:r w:rsidR="000F45F6">
        <w:rPr>
          <w:rFonts w:ascii="Times New Roman" w:eastAsia="Times New Roman" w:hAnsi="Times New Roman" w:cs="Times New Roman"/>
          <w:color w:val="222222"/>
          <w:sz w:val="24"/>
          <w:szCs w:val="24"/>
        </w:rPr>
        <w:t>”</w:t>
      </w:r>
      <w:r w:rsidRPr="007A5ADC">
        <w:rPr>
          <w:rFonts w:ascii="Times New Roman" w:eastAsia="Times New Roman" w:hAnsi="Times New Roman" w:cs="Times New Roman"/>
          <w:color w:val="222222"/>
          <w:sz w:val="24"/>
          <w:szCs w:val="24"/>
        </w:rPr>
        <w:t xml:space="preserve"> Jenny Collins</w:t>
      </w:r>
      <w:r w:rsidR="003B7279" w:rsidRPr="007A5ADC">
        <w:rPr>
          <w:rFonts w:ascii="Times New Roman" w:eastAsia="Times New Roman" w:hAnsi="Times New Roman" w:cs="Times New Roman"/>
          <w:color w:val="222222"/>
          <w:sz w:val="24"/>
          <w:szCs w:val="24"/>
        </w:rPr>
        <w:t xml:space="preserve"> explores the relationship </w:t>
      </w:r>
      <w:r w:rsidR="003B7279" w:rsidRPr="007A5ADC">
        <w:rPr>
          <w:rFonts w:ascii="Times New Roman" w:hAnsi="Times New Roman" w:cs="Times New Roman"/>
          <w:sz w:val="24"/>
          <w:szCs w:val="24"/>
        </w:rPr>
        <w:t xml:space="preserve">between </w:t>
      </w:r>
      <w:r w:rsidR="00ED2BF5" w:rsidRPr="007A5ADC">
        <w:rPr>
          <w:rFonts w:ascii="Times New Roman" w:hAnsi="Times New Roman" w:cs="Times New Roman"/>
          <w:sz w:val="24"/>
          <w:szCs w:val="24"/>
        </w:rPr>
        <w:t xml:space="preserve">education, society and social change, </w:t>
      </w:r>
      <w:r w:rsidR="003B7279" w:rsidRPr="007A5ADC">
        <w:rPr>
          <w:rFonts w:ascii="Times New Roman" w:hAnsi="Times New Roman" w:cs="Times New Roman"/>
          <w:sz w:val="24"/>
          <w:szCs w:val="24"/>
        </w:rPr>
        <w:t>presenting</w:t>
      </w:r>
      <w:r w:rsidR="00ED2BF5" w:rsidRPr="007A5ADC">
        <w:rPr>
          <w:rFonts w:ascii="Times New Roman" w:hAnsi="Times New Roman" w:cs="Times New Roman"/>
          <w:sz w:val="24"/>
          <w:szCs w:val="24"/>
        </w:rPr>
        <w:t xml:space="preserve"> key historiographical debates relating to higher education and empire</w:t>
      </w:r>
      <w:r w:rsidR="003B7279" w:rsidRPr="007A5ADC">
        <w:rPr>
          <w:rFonts w:ascii="Times New Roman" w:hAnsi="Times New Roman" w:cs="Times New Roman"/>
          <w:sz w:val="24"/>
          <w:szCs w:val="24"/>
        </w:rPr>
        <w:t xml:space="preserve">. She then introduces two case studies to </w:t>
      </w:r>
      <w:r w:rsidR="00ED2BF5" w:rsidRPr="007A5ADC">
        <w:rPr>
          <w:rFonts w:ascii="Times New Roman" w:hAnsi="Times New Roman" w:cs="Times New Roman"/>
          <w:sz w:val="24"/>
          <w:szCs w:val="24"/>
        </w:rPr>
        <w:t xml:space="preserve">illustrate the origins, debates and tensions in the field of higher education and overview new trends, directions and developments in scholarship in relation to the theme of empire and exchange.  The first case study </w:t>
      </w:r>
      <w:r w:rsidR="003B7279" w:rsidRPr="007A5ADC">
        <w:rPr>
          <w:rFonts w:ascii="Times New Roman" w:hAnsi="Times New Roman" w:cs="Times New Roman"/>
          <w:sz w:val="24"/>
          <w:szCs w:val="24"/>
        </w:rPr>
        <w:t>examines</w:t>
      </w:r>
      <w:r w:rsidR="00ED2BF5" w:rsidRPr="007A5ADC">
        <w:rPr>
          <w:rFonts w:ascii="Times New Roman" w:hAnsi="Times New Roman" w:cs="Times New Roman"/>
          <w:sz w:val="24"/>
          <w:szCs w:val="24"/>
        </w:rPr>
        <w:t xml:space="preserve"> the way tensions between imperial connections and local influences played out in the foundation of the first five universities in Australia and New Zealand in the years 1850 to 1874. </w:t>
      </w:r>
      <w:r w:rsidR="003B7279" w:rsidRPr="007A5ADC">
        <w:rPr>
          <w:rFonts w:ascii="Times New Roman" w:hAnsi="Times New Roman" w:cs="Times New Roman"/>
          <w:sz w:val="24"/>
          <w:szCs w:val="24"/>
        </w:rPr>
        <w:t xml:space="preserve">This </w:t>
      </w:r>
      <w:r w:rsidR="009A6AA8">
        <w:rPr>
          <w:rFonts w:ascii="Times New Roman" w:hAnsi="Times New Roman" w:cs="Times New Roman"/>
          <w:sz w:val="24"/>
          <w:szCs w:val="24"/>
        </w:rPr>
        <w:t>examination</w:t>
      </w:r>
      <w:r w:rsidR="003B7279" w:rsidRPr="007A5ADC">
        <w:rPr>
          <w:rFonts w:ascii="Times New Roman" w:hAnsi="Times New Roman" w:cs="Times New Roman"/>
          <w:sz w:val="24"/>
          <w:szCs w:val="24"/>
        </w:rPr>
        <w:t xml:space="preserve"> includes</w:t>
      </w:r>
      <w:r w:rsidR="007A5ADC" w:rsidRPr="007A5ADC">
        <w:rPr>
          <w:rFonts w:ascii="Times New Roman" w:hAnsi="Times New Roman" w:cs="Times New Roman"/>
          <w:sz w:val="24"/>
          <w:szCs w:val="24"/>
        </w:rPr>
        <w:t xml:space="preserve"> an analysis of the </w:t>
      </w:r>
      <w:bookmarkStart w:id="1" w:name="_Hlk503274040"/>
      <w:r w:rsidR="007A5ADC" w:rsidRPr="007A5ADC">
        <w:rPr>
          <w:rFonts w:ascii="Times New Roman" w:hAnsi="Times New Roman" w:cs="Times New Roman"/>
          <w:sz w:val="24"/>
          <w:szCs w:val="24"/>
        </w:rPr>
        <w:t xml:space="preserve">role </w:t>
      </w:r>
      <w:r w:rsidR="00ED2BF5" w:rsidRPr="007A5ADC">
        <w:rPr>
          <w:rFonts w:ascii="Times New Roman" w:hAnsi="Times New Roman" w:cs="Times New Roman"/>
          <w:sz w:val="24"/>
          <w:szCs w:val="24"/>
        </w:rPr>
        <w:t xml:space="preserve">of biographical </w:t>
      </w:r>
      <w:r w:rsidR="00ED2BF5" w:rsidRPr="004174B9">
        <w:rPr>
          <w:rFonts w:ascii="Times New Roman" w:hAnsi="Times New Roman" w:cs="Times New Roman"/>
          <w:sz w:val="24"/>
          <w:szCs w:val="24"/>
        </w:rPr>
        <w:t xml:space="preserve">research as a </w:t>
      </w:r>
      <w:r w:rsidR="007A5ADC" w:rsidRPr="004174B9">
        <w:rPr>
          <w:rFonts w:ascii="Times New Roman" w:hAnsi="Times New Roman" w:cs="Times New Roman"/>
          <w:sz w:val="24"/>
          <w:szCs w:val="24"/>
        </w:rPr>
        <w:t xml:space="preserve">mechanism through which </w:t>
      </w:r>
      <w:r w:rsidR="00ED2BF5" w:rsidRPr="004174B9">
        <w:rPr>
          <w:rFonts w:ascii="Times New Roman" w:hAnsi="Times New Roman" w:cs="Times New Roman"/>
          <w:sz w:val="24"/>
          <w:szCs w:val="24"/>
        </w:rPr>
        <w:t>to observe the exchange of ideas and the nature of social and educational change in higher education.</w:t>
      </w:r>
      <w:bookmarkEnd w:id="1"/>
      <w:r w:rsidR="004174B9" w:rsidRPr="004174B9">
        <w:rPr>
          <w:rFonts w:ascii="Times New Roman" w:hAnsi="Times New Roman" w:cs="Times New Roman"/>
          <w:sz w:val="24"/>
          <w:szCs w:val="24"/>
        </w:rPr>
        <w:t xml:space="preserve"> The second part of this chapter considers how ideas about knowledge, gender, class and race played out in the context of higher education in the years after the First World War when Britain as an imperial nation was in decline and the United States was expanding its engagement with the Anglophile world. Drawing on a range of scholarship, it examines the role of Carnegie travel grants and the extent to which key men and women facilitated the exchange of progressive educational ideas across national and cultural boundaries during the presidency of Frederick Paul Keppel (1923-1942).</w:t>
      </w:r>
      <w:r w:rsidR="004174B9">
        <w:t xml:space="preserve">  </w:t>
      </w:r>
    </w:p>
    <w:p w14:paraId="6688EBB7" w14:textId="7B89CB56" w:rsidR="00C9125F" w:rsidRDefault="002D5050" w:rsidP="0003454A">
      <w:pPr>
        <w:spacing w:after="0" w:line="480" w:lineRule="auto"/>
        <w:ind w:firstLine="720"/>
        <w:jc w:val="both"/>
        <w:rPr>
          <w:rFonts w:ascii="Times New Roman" w:hAnsi="Times New Roman" w:cs="Times New Roman"/>
          <w:sz w:val="24"/>
          <w:szCs w:val="24"/>
        </w:rPr>
      </w:pPr>
      <w:r w:rsidRPr="00EF1449">
        <w:rPr>
          <w:rFonts w:ascii="Times New Roman" w:eastAsiaTheme="minorEastAsia" w:hAnsi="Times New Roman" w:cs="Times New Roman"/>
          <w:sz w:val="24"/>
          <w:szCs w:val="24"/>
        </w:rPr>
        <w:lastRenderedPageBreak/>
        <w:t xml:space="preserve">In “Students in Higher and Further Education,” Ruth Watts illustrates how </w:t>
      </w:r>
      <w:r w:rsidR="00306171" w:rsidRPr="00EF1449">
        <w:rPr>
          <w:rFonts w:ascii="Times New Roman" w:eastAsiaTheme="minorEastAsia" w:hAnsi="Times New Roman" w:cs="Times New Roman"/>
          <w:sz w:val="24"/>
          <w:szCs w:val="24"/>
        </w:rPr>
        <w:t xml:space="preserve">the profile of those allowed access to higher and further education has varied </w:t>
      </w:r>
      <w:r w:rsidRPr="00EF1449">
        <w:rPr>
          <w:rFonts w:ascii="Times New Roman" w:hAnsi="Times New Roman" w:cs="Times New Roman"/>
          <w:sz w:val="24"/>
          <w:szCs w:val="24"/>
        </w:rPr>
        <w:t>over time and place according to different societ</w:t>
      </w:r>
      <w:r w:rsidR="00306171" w:rsidRPr="00EF1449">
        <w:rPr>
          <w:rFonts w:ascii="Times New Roman" w:hAnsi="Times New Roman" w:cs="Times New Roman"/>
          <w:sz w:val="24"/>
          <w:szCs w:val="24"/>
        </w:rPr>
        <w:t>al</w:t>
      </w:r>
      <w:r w:rsidRPr="00EF1449">
        <w:rPr>
          <w:rFonts w:ascii="Times New Roman" w:hAnsi="Times New Roman" w:cs="Times New Roman"/>
          <w:sz w:val="24"/>
          <w:szCs w:val="24"/>
        </w:rPr>
        <w:t xml:space="preserve"> assumptions</w:t>
      </w:r>
      <w:r w:rsidR="00306171" w:rsidRPr="00EF1449">
        <w:rPr>
          <w:rFonts w:ascii="Times New Roman" w:hAnsi="Times New Roman" w:cs="Times New Roman"/>
          <w:sz w:val="24"/>
          <w:szCs w:val="24"/>
        </w:rPr>
        <w:t>.</w:t>
      </w:r>
      <w:r w:rsidRPr="00EF1449">
        <w:rPr>
          <w:rFonts w:ascii="Times New Roman" w:hAnsi="Times New Roman" w:cs="Times New Roman"/>
          <w:sz w:val="24"/>
          <w:szCs w:val="24"/>
        </w:rPr>
        <w:t xml:space="preserve"> Drawing from </w:t>
      </w:r>
      <w:r w:rsidR="00306171" w:rsidRPr="00EF1449">
        <w:rPr>
          <w:rFonts w:ascii="Times New Roman" w:hAnsi="Times New Roman" w:cs="Times New Roman"/>
          <w:sz w:val="24"/>
          <w:szCs w:val="24"/>
        </w:rPr>
        <w:t xml:space="preserve">an extensive range of sources, and focusing on the period </w:t>
      </w:r>
      <w:r w:rsidR="00306171" w:rsidRPr="00EF1449">
        <w:rPr>
          <w:rFonts w:ascii="Times New Roman" w:hAnsi="Times New Roman" w:cs="Times New Roman"/>
          <w:i/>
          <w:sz w:val="24"/>
          <w:szCs w:val="24"/>
        </w:rPr>
        <w:t>circa</w:t>
      </w:r>
      <w:r w:rsidRPr="00EF1449">
        <w:rPr>
          <w:rFonts w:ascii="Times New Roman" w:hAnsi="Times New Roman" w:cs="Times New Roman"/>
          <w:sz w:val="24"/>
          <w:szCs w:val="24"/>
        </w:rPr>
        <w:t xml:space="preserve"> 1850 </w:t>
      </w:r>
      <w:r w:rsidR="00306171" w:rsidRPr="00EF1449">
        <w:rPr>
          <w:rFonts w:ascii="Times New Roman" w:hAnsi="Times New Roman" w:cs="Times New Roman"/>
          <w:sz w:val="24"/>
          <w:szCs w:val="24"/>
        </w:rPr>
        <w:t>to</w:t>
      </w:r>
      <w:r w:rsidRPr="00EF1449">
        <w:rPr>
          <w:rFonts w:ascii="Times New Roman" w:hAnsi="Times New Roman" w:cs="Times New Roman"/>
          <w:sz w:val="24"/>
          <w:szCs w:val="24"/>
        </w:rPr>
        <w:t xml:space="preserve"> 2014</w:t>
      </w:r>
      <w:r w:rsidR="00306171" w:rsidRPr="00EF1449">
        <w:rPr>
          <w:rFonts w:ascii="Times New Roman" w:hAnsi="Times New Roman" w:cs="Times New Roman"/>
          <w:sz w:val="24"/>
          <w:szCs w:val="24"/>
        </w:rPr>
        <w:t xml:space="preserve">, this chapter </w:t>
      </w:r>
      <w:r w:rsidR="008E5A10" w:rsidRPr="00EF1449">
        <w:rPr>
          <w:rFonts w:ascii="Times New Roman" w:hAnsi="Times New Roman" w:cs="Times New Roman"/>
          <w:sz w:val="24"/>
          <w:szCs w:val="24"/>
        </w:rPr>
        <w:t xml:space="preserve">examines the interface between </w:t>
      </w:r>
      <w:r w:rsidRPr="00EF1449">
        <w:rPr>
          <w:rFonts w:ascii="Times New Roman" w:hAnsi="Times New Roman" w:cs="Times New Roman"/>
          <w:sz w:val="24"/>
          <w:szCs w:val="24"/>
        </w:rPr>
        <w:t>class, gender/sexuality, ethnicity, (dis)ability</w:t>
      </w:r>
      <w:r w:rsidR="008E5A10" w:rsidRPr="00EF1449">
        <w:rPr>
          <w:rFonts w:ascii="Times New Roman" w:hAnsi="Times New Roman" w:cs="Times New Roman"/>
          <w:sz w:val="24"/>
          <w:szCs w:val="24"/>
        </w:rPr>
        <w:t xml:space="preserve"> and access</w:t>
      </w:r>
      <w:r w:rsidR="008947DC">
        <w:rPr>
          <w:rFonts w:ascii="Times New Roman" w:hAnsi="Times New Roman" w:cs="Times New Roman"/>
          <w:sz w:val="24"/>
          <w:szCs w:val="24"/>
        </w:rPr>
        <w:t xml:space="preserve"> to H.E. and F.E</w:t>
      </w:r>
      <w:r w:rsidR="008E5A10" w:rsidRPr="00EF1449">
        <w:rPr>
          <w:rFonts w:ascii="Times New Roman" w:hAnsi="Times New Roman" w:cs="Times New Roman"/>
          <w:sz w:val="24"/>
          <w:szCs w:val="24"/>
        </w:rPr>
        <w:t xml:space="preserve">. Two case studies are presented to illustrate the complexity of this interface: the first explores </w:t>
      </w:r>
      <w:r w:rsidRPr="00EF1449">
        <w:rPr>
          <w:rFonts w:ascii="Times New Roman" w:hAnsi="Times New Roman" w:cs="Times New Roman"/>
          <w:sz w:val="24"/>
          <w:szCs w:val="24"/>
        </w:rPr>
        <w:t>the</w:t>
      </w:r>
      <w:r w:rsidR="008947DC">
        <w:rPr>
          <w:rFonts w:ascii="Times New Roman" w:hAnsi="Times New Roman" w:cs="Times New Roman"/>
          <w:sz w:val="24"/>
          <w:szCs w:val="24"/>
        </w:rPr>
        <w:t xml:space="preserve"> </w:t>
      </w:r>
      <w:r w:rsidRPr="00EF1449">
        <w:rPr>
          <w:rFonts w:ascii="Times New Roman" w:hAnsi="Times New Roman" w:cs="Times New Roman"/>
          <w:sz w:val="24"/>
          <w:szCs w:val="24"/>
        </w:rPr>
        <w:t xml:space="preserve">history of women </w:t>
      </w:r>
      <w:r w:rsidR="008947DC">
        <w:rPr>
          <w:rFonts w:ascii="Times New Roman" w:hAnsi="Times New Roman" w:cs="Times New Roman"/>
          <w:sz w:val="24"/>
          <w:szCs w:val="24"/>
        </w:rPr>
        <w:t>in</w:t>
      </w:r>
      <w:r w:rsidRPr="00EF1449">
        <w:rPr>
          <w:rFonts w:ascii="Times New Roman" w:hAnsi="Times New Roman" w:cs="Times New Roman"/>
          <w:sz w:val="24"/>
          <w:szCs w:val="24"/>
        </w:rPr>
        <w:t xml:space="preserve"> science and the gender issues underlying this</w:t>
      </w:r>
      <w:r w:rsidR="008947DC">
        <w:rPr>
          <w:rFonts w:ascii="Times New Roman" w:hAnsi="Times New Roman" w:cs="Times New Roman"/>
          <w:sz w:val="24"/>
          <w:szCs w:val="24"/>
        </w:rPr>
        <w:t xml:space="preserve"> history</w:t>
      </w:r>
      <w:r w:rsidRPr="00EF1449">
        <w:rPr>
          <w:rFonts w:ascii="Times New Roman" w:hAnsi="Times New Roman" w:cs="Times New Roman"/>
          <w:sz w:val="24"/>
          <w:szCs w:val="24"/>
        </w:rPr>
        <w:t xml:space="preserve">; the </w:t>
      </w:r>
      <w:r w:rsidR="008E5A10" w:rsidRPr="00EF1449">
        <w:rPr>
          <w:rFonts w:ascii="Times New Roman" w:hAnsi="Times New Roman" w:cs="Times New Roman"/>
          <w:sz w:val="24"/>
          <w:szCs w:val="24"/>
        </w:rPr>
        <w:t>second</w:t>
      </w:r>
      <w:r w:rsidRPr="00EF1449">
        <w:rPr>
          <w:rFonts w:ascii="Times New Roman" w:hAnsi="Times New Roman" w:cs="Times New Roman"/>
          <w:sz w:val="24"/>
          <w:szCs w:val="24"/>
        </w:rPr>
        <w:t xml:space="preserve"> focuses on histories of students’ wider experience of </w:t>
      </w:r>
      <w:r w:rsidR="008947DC">
        <w:rPr>
          <w:rFonts w:ascii="Times New Roman" w:hAnsi="Times New Roman" w:cs="Times New Roman"/>
          <w:sz w:val="24"/>
          <w:szCs w:val="24"/>
        </w:rPr>
        <w:t>H.E. and F.E. I</w:t>
      </w:r>
      <w:r w:rsidRPr="00EF1449">
        <w:rPr>
          <w:rFonts w:ascii="Times New Roman" w:hAnsi="Times New Roman" w:cs="Times New Roman"/>
          <w:sz w:val="24"/>
          <w:szCs w:val="24"/>
        </w:rPr>
        <w:t>ssues of diversity such as class, ethnicity and religion</w:t>
      </w:r>
      <w:r w:rsidR="008947DC">
        <w:rPr>
          <w:rFonts w:ascii="Times New Roman" w:hAnsi="Times New Roman" w:cs="Times New Roman"/>
          <w:sz w:val="24"/>
          <w:szCs w:val="24"/>
        </w:rPr>
        <w:t xml:space="preserve"> underpin the analyses throughout this chapter</w:t>
      </w:r>
      <w:r w:rsidR="008947DC" w:rsidRPr="00C9125F">
        <w:rPr>
          <w:rFonts w:ascii="Times New Roman" w:hAnsi="Times New Roman" w:cs="Times New Roman"/>
          <w:sz w:val="24"/>
          <w:szCs w:val="24"/>
        </w:rPr>
        <w:t>.</w:t>
      </w:r>
      <w:r w:rsidRPr="00C9125F">
        <w:rPr>
          <w:rFonts w:ascii="Times New Roman" w:hAnsi="Times New Roman" w:cs="Times New Roman"/>
          <w:sz w:val="24"/>
          <w:szCs w:val="24"/>
        </w:rPr>
        <w:t xml:space="preserve"> </w:t>
      </w:r>
      <w:r w:rsidR="00C9125F" w:rsidRPr="00C9125F">
        <w:rPr>
          <w:rFonts w:ascii="Times New Roman" w:hAnsi="Times New Roman" w:cs="Times New Roman"/>
          <w:sz w:val="24"/>
          <w:szCs w:val="24"/>
        </w:rPr>
        <w:t>In “Women Professors and Deans: Access, Opportunity and Networks,</w:t>
      </w:r>
      <w:r w:rsidR="0003454A">
        <w:rPr>
          <w:rFonts w:ascii="Times New Roman" w:hAnsi="Times New Roman" w:cs="Times New Roman"/>
          <w:sz w:val="24"/>
          <w:szCs w:val="24"/>
        </w:rPr>
        <w:t xml:space="preserve">” </w:t>
      </w:r>
      <w:r w:rsidR="00C9125F">
        <w:rPr>
          <w:rFonts w:ascii="Times New Roman" w:hAnsi="Times New Roman" w:cs="Times New Roman"/>
          <w:sz w:val="24"/>
          <w:szCs w:val="24"/>
        </w:rPr>
        <w:t>Stephanie Spencer</w:t>
      </w:r>
      <w:r w:rsidR="00C9125F">
        <w:rPr>
          <w:rFonts w:ascii="Times New Roman" w:eastAsiaTheme="minorEastAsia" w:hAnsi="Times New Roman" w:cs="Times New Roman"/>
          <w:sz w:val="24"/>
          <w:szCs w:val="24"/>
        </w:rPr>
        <w:t xml:space="preserve"> </w:t>
      </w:r>
      <w:r w:rsidR="00D367C3">
        <w:rPr>
          <w:rFonts w:ascii="Times New Roman" w:eastAsiaTheme="minorEastAsia" w:hAnsi="Times New Roman" w:cs="Times New Roman"/>
          <w:sz w:val="24"/>
          <w:szCs w:val="24"/>
        </w:rPr>
        <w:t xml:space="preserve">and Sharon Smith </w:t>
      </w:r>
      <w:r w:rsidR="00C9125F" w:rsidRPr="00F1098C">
        <w:rPr>
          <w:rFonts w:ascii="Times New Roman" w:hAnsi="Times New Roman" w:cs="Times New Roman"/>
          <w:sz w:val="24"/>
          <w:szCs w:val="24"/>
        </w:rPr>
        <w:t>argue that the key tension in the historiography of women’s progress as academics lies in its position within women’s and feminist history and the history of education. The themes of institutions, networking, money, and religion provide four hubs from which to reflect on existing work and recogni</w:t>
      </w:r>
      <w:r w:rsidR="0003454A">
        <w:rPr>
          <w:rFonts w:ascii="Times New Roman" w:hAnsi="Times New Roman" w:cs="Times New Roman"/>
          <w:sz w:val="24"/>
          <w:szCs w:val="24"/>
        </w:rPr>
        <w:t>z</w:t>
      </w:r>
      <w:r w:rsidR="00C9125F" w:rsidRPr="00F1098C">
        <w:rPr>
          <w:rFonts w:ascii="Times New Roman" w:hAnsi="Times New Roman" w:cs="Times New Roman"/>
          <w:sz w:val="24"/>
          <w:szCs w:val="24"/>
        </w:rPr>
        <w:t xml:space="preserve">e potential new directions for those seeking either to improve our understanding of the past or the problems of the present. </w:t>
      </w:r>
      <w:r w:rsidR="00C9125F">
        <w:rPr>
          <w:rFonts w:ascii="Times New Roman" w:hAnsi="Times New Roman" w:cs="Times New Roman"/>
          <w:sz w:val="24"/>
          <w:szCs w:val="24"/>
        </w:rPr>
        <w:t xml:space="preserve">Spencer adds a further section, on ‘border crossings’ </w:t>
      </w:r>
      <w:r w:rsidR="00C9125F" w:rsidRPr="00F1098C">
        <w:rPr>
          <w:rFonts w:ascii="Times New Roman" w:hAnsi="Times New Roman" w:cs="Times New Roman"/>
          <w:sz w:val="24"/>
          <w:szCs w:val="24"/>
        </w:rPr>
        <w:t xml:space="preserve">as an additional lens through which to </w:t>
      </w:r>
      <w:r w:rsidR="00C9125F">
        <w:rPr>
          <w:rFonts w:ascii="Times New Roman" w:hAnsi="Times New Roman" w:cs="Times New Roman"/>
          <w:sz w:val="24"/>
          <w:szCs w:val="24"/>
        </w:rPr>
        <w:t>examine</w:t>
      </w:r>
      <w:r w:rsidR="00C9125F" w:rsidRPr="00F1098C">
        <w:rPr>
          <w:rFonts w:ascii="Times New Roman" w:hAnsi="Times New Roman" w:cs="Times New Roman"/>
          <w:sz w:val="24"/>
          <w:szCs w:val="24"/>
        </w:rPr>
        <w:t xml:space="preserve"> the field. Two case studies </w:t>
      </w:r>
      <w:r w:rsidR="00C9125F">
        <w:rPr>
          <w:rFonts w:ascii="Times New Roman" w:hAnsi="Times New Roman" w:cs="Times New Roman"/>
          <w:sz w:val="24"/>
          <w:szCs w:val="24"/>
        </w:rPr>
        <w:t>are employed</w:t>
      </w:r>
      <w:r w:rsidR="00534801">
        <w:rPr>
          <w:rFonts w:ascii="Times New Roman" w:hAnsi="Times New Roman" w:cs="Times New Roman"/>
          <w:sz w:val="24"/>
          <w:szCs w:val="24"/>
        </w:rPr>
        <w:t xml:space="preserve"> over the course of the chapter. T</w:t>
      </w:r>
      <w:r w:rsidR="00C9125F" w:rsidRPr="00F1098C">
        <w:rPr>
          <w:rFonts w:ascii="Times New Roman" w:hAnsi="Times New Roman" w:cs="Times New Roman"/>
          <w:sz w:val="24"/>
          <w:szCs w:val="24"/>
        </w:rPr>
        <w:t xml:space="preserve">he first focuses on the role of the British and International Federations of University Women, identifying how women worked together to expand career opportunities. The second considers how campaigns for academic equality today draw on historical explanations for the origins of the problem. </w:t>
      </w:r>
    </w:p>
    <w:p w14:paraId="32A9514F" w14:textId="43120A43" w:rsidR="00AB3AA4" w:rsidRPr="0004309A" w:rsidRDefault="00196E45" w:rsidP="0003454A">
      <w:pPr>
        <w:spacing w:after="0" w:line="480" w:lineRule="auto"/>
        <w:ind w:firstLine="720"/>
        <w:jc w:val="both"/>
        <w:rPr>
          <w:rFonts w:ascii="Times New Roman" w:hAnsi="Times New Roman"/>
          <w:sz w:val="24"/>
          <w:szCs w:val="24"/>
        </w:rPr>
      </w:pPr>
      <w:r w:rsidRPr="0004309A">
        <w:rPr>
          <w:rFonts w:ascii="Times New Roman" w:hAnsi="Times New Roman" w:cs="Times New Roman"/>
          <w:sz w:val="24"/>
          <w:szCs w:val="24"/>
        </w:rPr>
        <w:t xml:space="preserve">In “Women Workers’ Education,” Maria </w:t>
      </w:r>
      <w:proofErr w:type="spellStart"/>
      <w:r w:rsidRPr="0004309A">
        <w:rPr>
          <w:rFonts w:ascii="Times New Roman" w:hAnsi="Times New Roman" w:cs="Times New Roman"/>
          <w:sz w:val="24"/>
          <w:szCs w:val="24"/>
        </w:rPr>
        <w:t>Tamboukou</w:t>
      </w:r>
      <w:proofErr w:type="spellEnd"/>
      <w:r w:rsidRPr="0004309A">
        <w:rPr>
          <w:rFonts w:ascii="Times New Roman" w:hAnsi="Times New Roman" w:cs="Times New Roman"/>
          <w:sz w:val="24"/>
          <w:szCs w:val="24"/>
        </w:rPr>
        <w:t xml:space="preserve"> </w:t>
      </w:r>
      <w:r w:rsidR="00821B91" w:rsidRPr="0004309A">
        <w:rPr>
          <w:rFonts w:ascii="Times New Roman" w:hAnsi="Times New Roman"/>
          <w:sz w:val="24"/>
          <w:szCs w:val="24"/>
        </w:rPr>
        <w:t xml:space="preserve">follows genealogical lines in the history of the movement for women workers’ education drawing on </w:t>
      </w:r>
      <w:r w:rsidRPr="0004309A">
        <w:rPr>
          <w:rFonts w:ascii="Times New Roman" w:hAnsi="Times New Roman"/>
          <w:sz w:val="24"/>
          <w:szCs w:val="24"/>
        </w:rPr>
        <w:t xml:space="preserve">a wide range of sources and in the process deconstructing the contours of this cultural </w:t>
      </w:r>
      <w:proofErr w:type="spellStart"/>
      <w:r w:rsidRPr="0004309A">
        <w:rPr>
          <w:rFonts w:ascii="Times New Roman" w:hAnsi="Times New Roman"/>
          <w:sz w:val="24"/>
          <w:szCs w:val="24"/>
        </w:rPr>
        <w:t>labour</w:t>
      </w:r>
      <w:proofErr w:type="spellEnd"/>
      <w:r w:rsidRPr="0004309A">
        <w:rPr>
          <w:rFonts w:ascii="Times New Roman" w:hAnsi="Times New Roman"/>
          <w:sz w:val="24"/>
          <w:szCs w:val="24"/>
        </w:rPr>
        <w:t xml:space="preserve"> movement. T</w:t>
      </w:r>
      <w:r w:rsidR="0003454A">
        <w:rPr>
          <w:rFonts w:ascii="Times New Roman" w:hAnsi="Times New Roman"/>
          <w:sz w:val="24"/>
          <w:szCs w:val="24"/>
        </w:rPr>
        <w:t>his</w:t>
      </w:r>
      <w:r w:rsidRPr="0004309A">
        <w:rPr>
          <w:rFonts w:ascii="Times New Roman" w:hAnsi="Times New Roman"/>
          <w:sz w:val="24"/>
          <w:szCs w:val="24"/>
        </w:rPr>
        <w:t xml:space="preserve"> chapter suggests</w:t>
      </w:r>
      <w:r w:rsidR="00821B91" w:rsidRPr="0004309A">
        <w:rPr>
          <w:rFonts w:ascii="Times New Roman" w:hAnsi="Times New Roman"/>
          <w:sz w:val="24"/>
          <w:szCs w:val="24"/>
        </w:rPr>
        <w:t xml:space="preserve"> that women workers’ presence as students, educators, activists, as well as creators and writers </w:t>
      </w:r>
      <w:r w:rsidRPr="0004309A">
        <w:rPr>
          <w:rFonts w:ascii="Times New Roman" w:hAnsi="Times New Roman"/>
          <w:sz w:val="24"/>
          <w:szCs w:val="24"/>
        </w:rPr>
        <w:lastRenderedPageBreak/>
        <w:t>precipitated a wider</w:t>
      </w:r>
      <w:r w:rsidR="00821B91" w:rsidRPr="0004309A">
        <w:rPr>
          <w:rFonts w:ascii="Times New Roman" w:hAnsi="Times New Roman"/>
          <w:sz w:val="24"/>
          <w:szCs w:val="24"/>
        </w:rPr>
        <w:t xml:space="preserve"> socio-political and cultural movement for social change</w:t>
      </w:r>
      <w:r w:rsidRPr="0004309A">
        <w:rPr>
          <w:rFonts w:ascii="Times New Roman" w:hAnsi="Times New Roman"/>
          <w:sz w:val="24"/>
          <w:szCs w:val="24"/>
        </w:rPr>
        <w:t xml:space="preserve">. Ultimately, the chapter demonstrates the relevance of this movement’s </w:t>
      </w:r>
      <w:r w:rsidR="00821B91" w:rsidRPr="0004309A">
        <w:rPr>
          <w:rFonts w:ascii="Times New Roman" w:hAnsi="Times New Roman"/>
          <w:sz w:val="24"/>
          <w:szCs w:val="24"/>
        </w:rPr>
        <w:t xml:space="preserve">radical pedagogical practices </w:t>
      </w:r>
      <w:r w:rsidRPr="0004309A">
        <w:rPr>
          <w:rFonts w:ascii="Times New Roman" w:hAnsi="Times New Roman"/>
          <w:sz w:val="24"/>
          <w:szCs w:val="24"/>
        </w:rPr>
        <w:t>to contemporary analyses of education. Finally, in “Adult Education and Informal Education,” Mark Freeman…STILL TO ADD</w:t>
      </w:r>
    </w:p>
    <w:p w14:paraId="26458CD7" w14:textId="77777777" w:rsidR="00BD76FF" w:rsidRPr="00BD76FF" w:rsidRDefault="00BD76FF" w:rsidP="00BD76FF">
      <w:pPr>
        <w:shd w:val="clear" w:color="auto" w:fill="FFFFFF"/>
        <w:spacing w:after="0" w:line="240" w:lineRule="auto"/>
        <w:jc w:val="both"/>
        <w:rPr>
          <w:rFonts w:ascii="Times New Roman" w:eastAsia="Times New Roman" w:hAnsi="Times New Roman" w:cs="Times New Roman"/>
          <w:b/>
          <w:sz w:val="24"/>
          <w:szCs w:val="24"/>
          <w:lang w:val="en"/>
        </w:rPr>
      </w:pPr>
      <w:r w:rsidRPr="00BD76FF">
        <w:rPr>
          <w:rFonts w:ascii="Times New Roman" w:eastAsia="Times New Roman" w:hAnsi="Times New Roman" w:cs="Times New Roman"/>
          <w:b/>
          <w:sz w:val="24"/>
          <w:szCs w:val="24"/>
          <w:lang w:val="en"/>
        </w:rPr>
        <w:t>References</w:t>
      </w:r>
    </w:p>
    <w:p w14:paraId="5538C974" w14:textId="77777777" w:rsidR="00BD76FF" w:rsidRPr="00BD76FF" w:rsidRDefault="00BD76FF" w:rsidP="00BD76FF">
      <w:pPr>
        <w:shd w:val="clear" w:color="auto" w:fill="FFFFFF"/>
        <w:spacing w:after="0" w:line="240" w:lineRule="auto"/>
        <w:jc w:val="both"/>
        <w:rPr>
          <w:rFonts w:ascii="Times New Roman" w:eastAsia="Times New Roman" w:hAnsi="Times New Roman" w:cs="Times New Roman"/>
          <w:sz w:val="24"/>
          <w:szCs w:val="24"/>
          <w:lang w:val="en"/>
        </w:rPr>
      </w:pPr>
      <w:proofErr w:type="spellStart"/>
      <w:r w:rsidRPr="00BD76FF">
        <w:rPr>
          <w:rFonts w:ascii="Times New Roman" w:hAnsi="Times New Roman" w:cs="Times New Roman"/>
          <w:sz w:val="24"/>
          <w:szCs w:val="24"/>
        </w:rPr>
        <w:t>Albisetti</w:t>
      </w:r>
      <w:proofErr w:type="spellEnd"/>
      <w:r w:rsidRPr="00BD76FF">
        <w:rPr>
          <w:rFonts w:ascii="Times New Roman" w:hAnsi="Times New Roman" w:cs="Times New Roman"/>
          <w:sz w:val="24"/>
          <w:szCs w:val="24"/>
        </w:rPr>
        <w:t>, J. (1992) ‘American Women’s Colleges through European Eyes, 1865–1914,’ </w:t>
      </w:r>
      <w:r w:rsidRPr="00BD76FF">
        <w:rPr>
          <w:rFonts w:ascii="Times New Roman" w:hAnsi="Times New Roman" w:cs="Times New Roman"/>
          <w:i/>
          <w:iCs/>
          <w:sz w:val="24"/>
          <w:szCs w:val="24"/>
        </w:rPr>
        <w:t>History of Education Quarterly</w:t>
      </w:r>
      <w:r w:rsidRPr="00BD76FF">
        <w:rPr>
          <w:rFonts w:ascii="Times New Roman" w:hAnsi="Times New Roman" w:cs="Times New Roman"/>
          <w:sz w:val="24"/>
          <w:szCs w:val="24"/>
        </w:rPr>
        <w:t>, 32 (4), pp. 439–58.</w:t>
      </w:r>
    </w:p>
    <w:p w14:paraId="7E954D90" w14:textId="77777777" w:rsidR="00BD76FF" w:rsidRPr="00BD76FF" w:rsidRDefault="00BD76FF" w:rsidP="00BD76FF">
      <w:pPr>
        <w:shd w:val="clear" w:color="auto" w:fill="FFFFFF"/>
        <w:spacing w:after="0" w:line="240" w:lineRule="auto"/>
        <w:jc w:val="both"/>
        <w:rPr>
          <w:rFonts w:ascii="Times New Roman" w:hAnsi="Times New Roman" w:cs="Times New Roman"/>
          <w:spacing w:val="4"/>
          <w:sz w:val="24"/>
          <w:szCs w:val="24"/>
          <w:shd w:val="clear" w:color="auto" w:fill="FCFCFC"/>
        </w:rPr>
      </w:pPr>
      <w:r w:rsidRPr="00BD76FF">
        <w:rPr>
          <w:rFonts w:ascii="Times New Roman" w:hAnsi="Times New Roman" w:cs="Times New Roman"/>
          <w:sz w:val="24"/>
          <w:szCs w:val="24"/>
        </w:rPr>
        <w:t xml:space="preserve">Anderson, R. G. (1985) ‘Education and Society in Modern Scotland: A Comparative Perspective,’ </w:t>
      </w:r>
      <w:r w:rsidRPr="00BD76FF">
        <w:rPr>
          <w:rFonts w:ascii="Times New Roman" w:hAnsi="Times New Roman" w:cs="Times New Roman"/>
          <w:i/>
          <w:sz w:val="24"/>
          <w:szCs w:val="24"/>
        </w:rPr>
        <w:t>History of Education Quarterly</w:t>
      </w:r>
      <w:r w:rsidRPr="00BD76FF">
        <w:rPr>
          <w:rFonts w:ascii="Times New Roman" w:hAnsi="Times New Roman" w:cs="Times New Roman"/>
          <w:sz w:val="24"/>
          <w:szCs w:val="24"/>
        </w:rPr>
        <w:t>, Vol. 25, No. 4, pp. 459-481.</w:t>
      </w:r>
    </w:p>
    <w:p w14:paraId="40CD9921" w14:textId="77777777" w:rsidR="00BD76FF" w:rsidRPr="00BD76FF" w:rsidRDefault="00BD76FF" w:rsidP="00BD76FF">
      <w:pPr>
        <w:shd w:val="clear" w:color="auto" w:fill="FFFFFF"/>
        <w:spacing w:after="0" w:line="240" w:lineRule="auto"/>
        <w:jc w:val="both"/>
        <w:rPr>
          <w:rFonts w:ascii="Times New Roman" w:hAnsi="Times New Roman" w:cs="Times New Roman"/>
          <w:sz w:val="24"/>
          <w:szCs w:val="24"/>
        </w:rPr>
      </w:pPr>
      <w:r w:rsidRPr="00BD76FF">
        <w:rPr>
          <w:rFonts w:ascii="Times New Roman" w:hAnsi="Times New Roman" w:cs="Times New Roman"/>
          <w:sz w:val="24"/>
          <w:szCs w:val="24"/>
        </w:rPr>
        <w:t xml:space="preserve">Anderson, R. G. (2004) </w:t>
      </w:r>
      <w:r w:rsidRPr="00BD76FF">
        <w:rPr>
          <w:rFonts w:ascii="Times New Roman" w:hAnsi="Times New Roman" w:cs="Times New Roman"/>
          <w:i/>
          <w:sz w:val="24"/>
          <w:szCs w:val="24"/>
        </w:rPr>
        <w:t>European Universities from the Enlightenment to 1914</w:t>
      </w:r>
      <w:r w:rsidRPr="00BD76FF">
        <w:rPr>
          <w:rFonts w:ascii="Times New Roman" w:hAnsi="Times New Roman" w:cs="Times New Roman"/>
          <w:sz w:val="24"/>
          <w:szCs w:val="24"/>
        </w:rPr>
        <w:t xml:space="preserve"> (Oxford: Oxford University Press).</w:t>
      </w:r>
    </w:p>
    <w:p w14:paraId="2A785EBB" w14:textId="77777777" w:rsidR="00BD76FF" w:rsidRPr="00BD76FF" w:rsidRDefault="00BD76FF" w:rsidP="00BD76FF">
      <w:pPr>
        <w:shd w:val="clear" w:color="auto" w:fill="FFFFFF"/>
        <w:spacing w:after="0" w:line="240" w:lineRule="auto"/>
        <w:jc w:val="both"/>
        <w:rPr>
          <w:rFonts w:ascii="Times New Roman" w:hAnsi="Times New Roman" w:cs="Times New Roman"/>
          <w:sz w:val="24"/>
          <w:szCs w:val="24"/>
          <w:shd w:val="clear" w:color="auto" w:fill="FFFFFF"/>
        </w:rPr>
      </w:pPr>
      <w:r w:rsidRPr="00BD76FF">
        <w:rPr>
          <w:rFonts w:ascii="Times New Roman" w:hAnsi="Times New Roman" w:cs="Times New Roman"/>
          <w:sz w:val="24"/>
          <w:szCs w:val="24"/>
        </w:rPr>
        <w:t xml:space="preserve">Bailey, B. (1983) The Technical Educational Movement: A Late Nineteenth Century ‘Lobby,’ </w:t>
      </w:r>
      <w:r w:rsidRPr="00BD76FF">
        <w:rPr>
          <w:rFonts w:ascii="Times New Roman" w:hAnsi="Times New Roman" w:cs="Times New Roman"/>
          <w:i/>
          <w:sz w:val="24"/>
          <w:szCs w:val="24"/>
        </w:rPr>
        <w:t>Journal of Further and Higher Education</w:t>
      </w:r>
      <w:r w:rsidRPr="00BD76FF">
        <w:rPr>
          <w:rFonts w:ascii="Times New Roman" w:hAnsi="Times New Roman" w:cs="Times New Roman"/>
          <w:sz w:val="24"/>
          <w:szCs w:val="24"/>
        </w:rPr>
        <w:t xml:space="preserve">, 7, (3), </w:t>
      </w:r>
      <w:r w:rsidRPr="00BD76FF">
        <w:rPr>
          <w:rFonts w:ascii="Times New Roman" w:hAnsi="Times New Roman" w:cs="Times New Roman"/>
          <w:sz w:val="24"/>
          <w:szCs w:val="24"/>
          <w:shd w:val="clear" w:color="auto" w:fill="FFFFFF"/>
        </w:rPr>
        <w:t>55-68.</w:t>
      </w:r>
    </w:p>
    <w:p w14:paraId="66D6FA4E" w14:textId="1898C59A" w:rsidR="00BD76FF" w:rsidRPr="00BD76FF" w:rsidRDefault="00BD76FF" w:rsidP="00BD76FF">
      <w:pPr>
        <w:shd w:val="clear" w:color="auto" w:fill="FFFFFF"/>
        <w:spacing w:after="0" w:line="240" w:lineRule="auto"/>
        <w:jc w:val="both"/>
        <w:rPr>
          <w:rFonts w:ascii="Times New Roman" w:hAnsi="Times New Roman" w:cs="Times New Roman"/>
          <w:sz w:val="24"/>
          <w:szCs w:val="24"/>
        </w:rPr>
      </w:pPr>
      <w:r w:rsidRPr="00BD76FF">
        <w:rPr>
          <w:rFonts w:ascii="Times New Roman" w:hAnsi="Times New Roman" w:cs="Times New Roman"/>
          <w:sz w:val="24"/>
          <w:szCs w:val="24"/>
        </w:rPr>
        <w:t xml:space="preserve">Bates, </w:t>
      </w:r>
      <w:r w:rsidR="00AB4ED2">
        <w:rPr>
          <w:rFonts w:ascii="Times New Roman" w:hAnsi="Times New Roman" w:cs="Times New Roman"/>
          <w:sz w:val="24"/>
          <w:szCs w:val="24"/>
        </w:rPr>
        <w:t>I</w:t>
      </w:r>
      <w:r w:rsidRPr="00BD76FF">
        <w:rPr>
          <w:rFonts w:ascii="Times New Roman" w:hAnsi="Times New Roman" w:cs="Times New Roman"/>
          <w:sz w:val="24"/>
          <w:szCs w:val="24"/>
        </w:rPr>
        <w:t xml:space="preserve">., Hodkinson, P. and Unwin, L.  (1999) ‘Editorial,’ </w:t>
      </w:r>
      <w:r w:rsidRPr="00BD76FF">
        <w:rPr>
          <w:rFonts w:ascii="Times New Roman" w:hAnsi="Times New Roman" w:cs="Times New Roman"/>
          <w:i/>
          <w:sz w:val="24"/>
          <w:szCs w:val="24"/>
        </w:rPr>
        <w:t>British Educational Research Journal</w:t>
      </w:r>
      <w:r w:rsidRPr="00BD76FF">
        <w:rPr>
          <w:rFonts w:ascii="Times New Roman" w:hAnsi="Times New Roman" w:cs="Times New Roman"/>
          <w:sz w:val="24"/>
          <w:szCs w:val="24"/>
        </w:rPr>
        <w:t>, Vol. 25, No. 4, Special Issue on Post-Compulsory Education, pp. 419-425.</w:t>
      </w:r>
    </w:p>
    <w:p w14:paraId="604D8263" w14:textId="77777777" w:rsidR="00BD76FF" w:rsidRPr="00BD76FF" w:rsidRDefault="00BD76FF" w:rsidP="00BD76FF">
      <w:pPr>
        <w:shd w:val="clear" w:color="auto" w:fill="FFFFFF"/>
        <w:spacing w:after="0" w:line="240" w:lineRule="auto"/>
        <w:jc w:val="both"/>
        <w:rPr>
          <w:rFonts w:ascii="Times New Roman" w:eastAsia="Times New Roman" w:hAnsi="Times New Roman" w:cs="Times New Roman"/>
          <w:sz w:val="24"/>
          <w:szCs w:val="24"/>
          <w:lang w:val="en"/>
        </w:rPr>
      </w:pPr>
      <w:r w:rsidRPr="00BD76FF">
        <w:rPr>
          <w:rFonts w:ascii="Times New Roman" w:eastAsia="Times New Roman" w:hAnsi="Times New Roman" w:cs="Times New Roman"/>
          <w:sz w:val="24"/>
          <w:szCs w:val="24"/>
          <w:lang w:val="en"/>
        </w:rPr>
        <w:t xml:space="preserve">Berg, M. and </w:t>
      </w:r>
      <w:proofErr w:type="spellStart"/>
      <w:r w:rsidRPr="00BD76FF">
        <w:rPr>
          <w:rFonts w:ascii="Times New Roman" w:eastAsia="Times New Roman" w:hAnsi="Times New Roman" w:cs="Times New Roman"/>
          <w:sz w:val="24"/>
          <w:szCs w:val="24"/>
          <w:lang w:val="en"/>
        </w:rPr>
        <w:t>Seeber</w:t>
      </w:r>
      <w:proofErr w:type="spellEnd"/>
      <w:r w:rsidRPr="00BD76FF">
        <w:rPr>
          <w:rFonts w:ascii="Times New Roman" w:eastAsia="Times New Roman" w:hAnsi="Times New Roman" w:cs="Times New Roman"/>
          <w:sz w:val="24"/>
          <w:szCs w:val="24"/>
          <w:lang w:val="en"/>
        </w:rPr>
        <w:t xml:space="preserve">, B. (2017) </w:t>
      </w:r>
      <w:r w:rsidRPr="00BD76FF">
        <w:rPr>
          <w:rFonts w:ascii="Times New Roman" w:eastAsia="Times New Roman" w:hAnsi="Times New Roman" w:cs="Times New Roman"/>
          <w:i/>
          <w:sz w:val="24"/>
          <w:szCs w:val="24"/>
          <w:lang w:val="en"/>
        </w:rPr>
        <w:t>The Slow Professor: Challenging the Culture of Speed in the Academy</w:t>
      </w:r>
      <w:r w:rsidRPr="00BD76FF">
        <w:rPr>
          <w:rFonts w:ascii="Times New Roman" w:eastAsia="Times New Roman" w:hAnsi="Times New Roman" w:cs="Times New Roman"/>
          <w:sz w:val="24"/>
          <w:szCs w:val="24"/>
          <w:lang w:val="en"/>
        </w:rPr>
        <w:t xml:space="preserve"> (Toronto: University of Toronto Press).</w:t>
      </w:r>
    </w:p>
    <w:p w14:paraId="188FFA11" w14:textId="77777777" w:rsidR="00BD76FF" w:rsidRPr="00BD76FF" w:rsidRDefault="00BD76FF" w:rsidP="00BD76FF">
      <w:pPr>
        <w:shd w:val="clear" w:color="auto" w:fill="FFFFFF"/>
        <w:spacing w:after="0" w:line="240" w:lineRule="auto"/>
        <w:jc w:val="both"/>
        <w:rPr>
          <w:rFonts w:ascii="Times New Roman" w:hAnsi="Times New Roman" w:cs="Times New Roman"/>
          <w:sz w:val="24"/>
          <w:szCs w:val="24"/>
          <w:shd w:val="clear" w:color="auto" w:fill="FFFFFF"/>
        </w:rPr>
      </w:pPr>
      <w:r w:rsidRPr="00BD76FF">
        <w:rPr>
          <w:rFonts w:ascii="Times New Roman" w:hAnsi="Times New Roman" w:cs="Times New Roman"/>
          <w:sz w:val="24"/>
          <w:szCs w:val="24"/>
        </w:rPr>
        <w:t xml:space="preserve">Boyd, W. and King, E. (1975) </w:t>
      </w:r>
      <w:r w:rsidRPr="00BD76FF">
        <w:rPr>
          <w:rFonts w:ascii="Times New Roman" w:hAnsi="Times New Roman" w:cs="Times New Roman"/>
          <w:i/>
          <w:sz w:val="24"/>
          <w:szCs w:val="24"/>
        </w:rPr>
        <w:t xml:space="preserve">The History of Western Education </w:t>
      </w:r>
      <w:r w:rsidRPr="00BD76FF">
        <w:rPr>
          <w:rFonts w:ascii="Times New Roman" w:hAnsi="Times New Roman" w:cs="Times New Roman"/>
          <w:sz w:val="24"/>
          <w:szCs w:val="24"/>
        </w:rPr>
        <w:t>(London: Adam and Charles Black).</w:t>
      </w:r>
    </w:p>
    <w:p w14:paraId="66791971" w14:textId="77777777" w:rsidR="00BD76FF" w:rsidRPr="00BD76FF" w:rsidRDefault="00BD76FF" w:rsidP="00BD76FF">
      <w:pPr>
        <w:shd w:val="clear" w:color="auto" w:fill="FFFFFF"/>
        <w:spacing w:after="0" w:line="240" w:lineRule="auto"/>
        <w:ind w:right="240"/>
        <w:jc w:val="both"/>
        <w:outlineLvl w:val="2"/>
        <w:rPr>
          <w:rFonts w:ascii="Times New Roman" w:eastAsia="Times New Roman" w:hAnsi="Times New Roman" w:cs="Times New Roman"/>
          <w:iCs/>
          <w:sz w:val="24"/>
          <w:szCs w:val="24"/>
        </w:rPr>
      </w:pPr>
      <w:r w:rsidRPr="00BD76FF">
        <w:rPr>
          <w:rFonts w:ascii="Times New Roman" w:eastAsia="Times New Roman" w:hAnsi="Times New Roman" w:cs="Times New Roman"/>
          <w:iCs/>
          <w:sz w:val="24"/>
          <w:szCs w:val="24"/>
        </w:rPr>
        <w:t>Chan, S. (2017) ‘</w:t>
      </w:r>
      <w:r w:rsidRPr="00BD76FF">
        <w:rPr>
          <w:rFonts w:ascii="Times New Roman" w:hAnsi="Times New Roman" w:cs="Times New Roman"/>
          <w:i/>
          <w:sz w:val="24"/>
          <w:szCs w:val="24"/>
        </w:rPr>
        <w:t>A Review of Twenty-First Century Higher Education</w:t>
      </w:r>
      <w:r w:rsidRPr="00BD76FF">
        <w:rPr>
          <w:rFonts w:ascii="Times New Roman" w:hAnsi="Times New Roman" w:cs="Times New Roman"/>
          <w:sz w:val="24"/>
          <w:szCs w:val="24"/>
        </w:rPr>
        <w:t xml:space="preserve">,’ </w:t>
      </w:r>
      <w:r w:rsidRPr="00BD76FF">
        <w:rPr>
          <w:rFonts w:ascii="Times New Roman" w:hAnsi="Times New Roman" w:cs="Times New Roman"/>
          <w:i/>
          <w:sz w:val="24"/>
          <w:szCs w:val="24"/>
        </w:rPr>
        <w:t>Journal of Further and Higher Education</w:t>
      </w:r>
      <w:r w:rsidRPr="00BD76FF">
        <w:rPr>
          <w:rFonts w:ascii="Times New Roman" w:hAnsi="Times New Roman" w:cs="Times New Roman"/>
          <w:sz w:val="24"/>
          <w:szCs w:val="24"/>
        </w:rPr>
        <w:t>, DOI: 10.1080/0309877X.2016.1261094</w:t>
      </w:r>
    </w:p>
    <w:p w14:paraId="4ED1F7E4" w14:textId="77777777" w:rsidR="00BD76FF" w:rsidRPr="00BD76FF" w:rsidRDefault="00BD76FF" w:rsidP="00BD76FF">
      <w:pPr>
        <w:shd w:val="clear" w:color="auto" w:fill="FFFFFF"/>
        <w:spacing w:after="0" w:line="240" w:lineRule="auto"/>
        <w:jc w:val="both"/>
        <w:rPr>
          <w:rFonts w:ascii="Times New Roman" w:hAnsi="Times New Roman" w:cs="Times New Roman"/>
          <w:sz w:val="24"/>
          <w:szCs w:val="24"/>
          <w:shd w:val="clear" w:color="auto" w:fill="FFFFFF"/>
        </w:rPr>
      </w:pPr>
      <w:r w:rsidRPr="00BD76FF">
        <w:rPr>
          <w:rFonts w:ascii="Times New Roman" w:hAnsi="Times New Roman" w:cs="Times New Roman"/>
          <w:sz w:val="24"/>
          <w:szCs w:val="24"/>
          <w:shd w:val="clear" w:color="auto" w:fill="FFFFFF"/>
        </w:rPr>
        <w:t xml:space="preserve">Cunningham, B. (2008) ‘Further Education’ in McCulloch, G. and Crook, D. (eds.) </w:t>
      </w:r>
      <w:r w:rsidRPr="00BD76FF">
        <w:rPr>
          <w:rFonts w:ascii="Times New Roman" w:hAnsi="Times New Roman" w:cs="Times New Roman"/>
          <w:i/>
          <w:sz w:val="24"/>
          <w:szCs w:val="24"/>
          <w:shd w:val="clear" w:color="auto" w:fill="FFFFFF"/>
        </w:rPr>
        <w:t xml:space="preserve">The Routledge International Encyclopedia of Education </w:t>
      </w:r>
      <w:r w:rsidRPr="00BD76FF">
        <w:rPr>
          <w:rFonts w:ascii="Times New Roman" w:hAnsi="Times New Roman" w:cs="Times New Roman"/>
          <w:sz w:val="24"/>
          <w:szCs w:val="24"/>
          <w:shd w:val="clear" w:color="auto" w:fill="FFFFFF"/>
        </w:rPr>
        <w:t>(London: Routledge), pp. 263-4.</w:t>
      </w:r>
    </w:p>
    <w:p w14:paraId="681FB89F" w14:textId="77777777" w:rsidR="00BD76FF" w:rsidRPr="00BD76FF" w:rsidRDefault="00BD76FF" w:rsidP="00BD76FF">
      <w:pPr>
        <w:shd w:val="clear" w:color="auto" w:fill="FFFFFF"/>
        <w:spacing w:after="0" w:line="240" w:lineRule="auto"/>
        <w:ind w:right="240"/>
        <w:jc w:val="both"/>
        <w:outlineLvl w:val="2"/>
        <w:rPr>
          <w:rFonts w:ascii="Times New Roman" w:eastAsia="Times New Roman" w:hAnsi="Times New Roman" w:cs="Times New Roman"/>
          <w:bCs/>
          <w:sz w:val="24"/>
          <w:szCs w:val="24"/>
        </w:rPr>
      </w:pPr>
      <w:proofErr w:type="spellStart"/>
      <w:r w:rsidRPr="00BD76FF">
        <w:rPr>
          <w:rFonts w:ascii="Times New Roman" w:eastAsia="Times New Roman" w:hAnsi="Times New Roman" w:cs="Times New Roman"/>
          <w:iCs/>
          <w:sz w:val="24"/>
          <w:szCs w:val="24"/>
        </w:rPr>
        <w:t>Dmitrishin</w:t>
      </w:r>
      <w:proofErr w:type="spellEnd"/>
      <w:r w:rsidRPr="00BD76FF">
        <w:rPr>
          <w:rFonts w:ascii="Times New Roman" w:eastAsia="Times New Roman" w:hAnsi="Times New Roman" w:cs="Times New Roman"/>
          <w:iCs/>
          <w:sz w:val="24"/>
          <w:szCs w:val="24"/>
        </w:rPr>
        <w:t>, A. (2013) ‘</w:t>
      </w:r>
      <w:r w:rsidRPr="00BD76FF">
        <w:rPr>
          <w:rFonts w:ascii="Times New Roman" w:eastAsia="Times New Roman" w:hAnsi="Times New Roman" w:cs="Times New Roman"/>
          <w:bCs/>
          <w:sz w:val="24"/>
          <w:szCs w:val="24"/>
        </w:rPr>
        <w:t xml:space="preserve">Deconstructing distinctions: the European university in comparative historical perspective,’ </w:t>
      </w:r>
      <w:proofErr w:type="spellStart"/>
      <w:r w:rsidRPr="00BD76FF">
        <w:rPr>
          <w:rFonts w:ascii="Times New Roman" w:eastAsia="Times New Roman" w:hAnsi="Times New Roman" w:cs="Times New Roman"/>
          <w:bCs/>
          <w:i/>
          <w:sz w:val="24"/>
          <w:szCs w:val="24"/>
        </w:rPr>
        <w:t>Entremons</w:t>
      </w:r>
      <w:proofErr w:type="spellEnd"/>
      <w:r w:rsidRPr="00BD76FF">
        <w:rPr>
          <w:rFonts w:ascii="Times New Roman" w:eastAsia="Times New Roman" w:hAnsi="Times New Roman" w:cs="Times New Roman"/>
          <w:bCs/>
          <w:i/>
          <w:sz w:val="24"/>
          <w:szCs w:val="24"/>
        </w:rPr>
        <w:t>: UPF Journal of World History</w:t>
      </w:r>
      <w:r w:rsidRPr="00BD76FF">
        <w:rPr>
          <w:rFonts w:ascii="Times New Roman" w:eastAsia="Times New Roman" w:hAnsi="Times New Roman" w:cs="Times New Roman"/>
          <w:bCs/>
          <w:sz w:val="24"/>
          <w:szCs w:val="24"/>
        </w:rPr>
        <w:t>, 5, pp. 1-18.</w:t>
      </w:r>
    </w:p>
    <w:p w14:paraId="23FAA0F4" w14:textId="77777777" w:rsidR="00BD76FF" w:rsidRPr="00BD76FF" w:rsidRDefault="00BD76FF" w:rsidP="00BD76FF">
      <w:pPr>
        <w:shd w:val="clear" w:color="auto" w:fill="FFFFFF"/>
        <w:spacing w:after="0" w:line="240" w:lineRule="auto"/>
        <w:jc w:val="both"/>
        <w:rPr>
          <w:rFonts w:ascii="Times New Roman" w:hAnsi="Times New Roman" w:cs="Times New Roman"/>
          <w:sz w:val="24"/>
          <w:szCs w:val="24"/>
          <w:shd w:val="clear" w:color="auto" w:fill="FFFFFF"/>
        </w:rPr>
      </w:pPr>
      <w:proofErr w:type="spellStart"/>
      <w:r w:rsidRPr="00BD76FF">
        <w:rPr>
          <w:rFonts w:ascii="Times New Roman" w:hAnsi="Times New Roman" w:cs="Times New Roman"/>
          <w:sz w:val="24"/>
          <w:szCs w:val="24"/>
          <w:shd w:val="clear" w:color="auto" w:fill="FFFFFF"/>
        </w:rPr>
        <w:t>Dyhouse</w:t>
      </w:r>
      <w:proofErr w:type="spellEnd"/>
      <w:r w:rsidRPr="00BD76FF">
        <w:rPr>
          <w:rFonts w:ascii="Times New Roman" w:hAnsi="Times New Roman" w:cs="Times New Roman"/>
          <w:sz w:val="24"/>
          <w:szCs w:val="24"/>
          <w:shd w:val="clear" w:color="auto" w:fill="FFFFFF"/>
        </w:rPr>
        <w:t xml:space="preserve">, C. (1995) </w:t>
      </w:r>
      <w:r w:rsidRPr="00BD76FF">
        <w:rPr>
          <w:rFonts w:ascii="Times New Roman" w:hAnsi="Times New Roman" w:cs="Times New Roman"/>
          <w:iCs/>
          <w:sz w:val="24"/>
          <w:szCs w:val="24"/>
          <w:shd w:val="clear" w:color="auto" w:fill="FFFFFF"/>
        </w:rPr>
        <w:t>No</w:t>
      </w:r>
      <w:r w:rsidRPr="00BD76FF">
        <w:rPr>
          <w:rFonts w:ascii="Times New Roman" w:hAnsi="Times New Roman" w:cs="Times New Roman"/>
          <w:i/>
          <w:iCs/>
          <w:sz w:val="24"/>
          <w:szCs w:val="24"/>
          <w:shd w:val="clear" w:color="auto" w:fill="FFFFFF"/>
        </w:rPr>
        <w:t xml:space="preserve"> Distinction of Sex? Women in British Universities, 1870–1939</w:t>
      </w:r>
      <w:r w:rsidRPr="00BD76FF">
        <w:rPr>
          <w:rFonts w:ascii="Times New Roman" w:hAnsi="Times New Roman" w:cs="Times New Roman"/>
          <w:sz w:val="24"/>
          <w:szCs w:val="24"/>
          <w:shd w:val="clear" w:color="auto" w:fill="FFFFFF"/>
        </w:rPr>
        <w:t xml:space="preserve"> (London: UCL Press).</w:t>
      </w:r>
    </w:p>
    <w:p w14:paraId="60FD6769" w14:textId="0A0950A3" w:rsidR="00BD76FF" w:rsidRPr="00BD76FF" w:rsidRDefault="00BD76FF" w:rsidP="00BD76FF">
      <w:pPr>
        <w:shd w:val="clear" w:color="auto" w:fill="FFFFFF"/>
        <w:spacing w:after="0" w:line="240" w:lineRule="auto"/>
        <w:jc w:val="both"/>
        <w:rPr>
          <w:rFonts w:ascii="Times New Roman" w:hAnsi="Times New Roman" w:cs="Times New Roman"/>
          <w:color w:val="FF0000"/>
          <w:sz w:val="24"/>
          <w:szCs w:val="24"/>
        </w:rPr>
      </w:pPr>
      <w:r w:rsidRPr="00BD76FF">
        <w:rPr>
          <w:rFonts w:ascii="Times New Roman" w:hAnsi="Times New Roman" w:cs="Times New Roman"/>
          <w:sz w:val="24"/>
          <w:szCs w:val="24"/>
        </w:rPr>
        <w:t xml:space="preserve">Evans, B.J. (1982) ‘Further Education Pressure Groups: The Campaign for Continued and Technical Education in 1944,’ </w:t>
      </w:r>
      <w:r w:rsidRPr="00BD76FF">
        <w:rPr>
          <w:rFonts w:ascii="Times New Roman" w:hAnsi="Times New Roman" w:cs="Times New Roman"/>
          <w:i/>
          <w:sz w:val="24"/>
          <w:szCs w:val="24"/>
        </w:rPr>
        <w:t>History of Education</w:t>
      </w:r>
      <w:r w:rsidRPr="00BD76FF">
        <w:rPr>
          <w:rFonts w:ascii="Times New Roman" w:hAnsi="Times New Roman" w:cs="Times New Roman"/>
          <w:sz w:val="24"/>
          <w:szCs w:val="24"/>
        </w:rPr>
        <w:t>, 11, (1</w:t>
      </w:r>
      <w:r w:rsidRPr="002B1F41">
        <w:rPr>
          <w:rFonts w:ascii="Times New Roman" w:hAnsi="Times New Roman" w:cs="Times New Roman"/>
          <w:sz w:val="24"/>
          <w:szCs w:val="24"/>
        </w:rPr>
        <w:t>), pp.</w:t>
      </w:r>
      <w:r w:rsidR="002B1F41" w:rsidRPr="002B1F41">
        <w:rPr>
          <w:rFonts w:ascii="Times New Roman" w:hAnsi="Times New Roman" w:cs="Times New Roman"/>
          <w:sz w:val="24"/>
          <w:szCs w:val="24"/>
        </w:rPr>
        <w:t xml:space="preserve"> 45-55.</w:t>
      </w:r>
    </w:p>
    <w:p w14:paraId="74751EE1" w14:textId="77777777" w:rsidR="00BD76FF" w:rsidRPr="00BD76FF" w:rsidRDefault="00BD76FF" w:rsidP="00BD76FF">
      <w:pPr>
        <w:shd w:val="clear" w:color="auto" w:fill="FFFFFF"/>
        <w:spacing w:after="0" w:line="240" w:lineRule="auto"/>
        <w:jc w:val="both"/>
        <w:rPr>
          <w:rFonts w:ascii="Times New Roman" w:eastAsia="Times New Roman" w:hAnsi="Times New Roman" w:cs="Times New Roman"/>
          <w:sz w:val="24"/>
          <w:szCs w:val="24"/>
          <w:lang w:eastAsia="en-GB"/>
        </w:rPr>
      </w:pPr>
      <w:r w:rsidRPr="00BD76FF">
        <w:rPr>
          <w:rFonts w:ascii="Times New Roman" w:eastAsia="Times New Roman" w:hAnsi="Times New Roman" w:cs="Times New Roman"/>
          <w:sz w:val="24"/>
          <w:szCs w:val="24"/>
          <w:lang w:eastAsia="en-GB"/>
        </w:rPr>
        <w:t xml:space="preserve">Evans, R.J. (1977) </w:t>
      </w:r>
      <w:r w:rsidRPr="00BD76FF">
        <w:rPr>
          <w:rFonts w:ascii="Times New Roman" w:eastAsia="Times New Roman" w:hAnsi="Times New Roman" w:cs="Times New Roman"/>
          <w:i/>
          <w:sz w:val="24"/>
          <w:szCs w:val="24"/>
          <w:lang w:eastAsia="en-GB"/>
        </w:rPr>
        <w:t>The Feminists: Women’s Emancipation Movements in Europe, America and Australasia, 1840‒1920</w:t>
      </w:r>
      <w:r w:rsidRPr="00BD76FF">
        <w:rPr>
          <w:rFonts w:ascii="Times New Roman" w:eastAsia="Times New Roman" w:hAnsi="Times New Roman" w:cs="Times New Roman"/>
          <w:sz w:val="24"/>
          <w:szCs w:val="24"/>
          <w:lang w:eastAsia="en-GB"/>
        </w:rPr>
        <w:t xml:space="preserve"> (London: Croom Helm).</w:t>
      </w:r>
    </w:p>
    <w:p w14:paraId="4C2E819E" w14:textId="50F1DBD4" w:rsidR="00BD76FF" w:rsidRPr="00E1323F" w:rsidRDefault="00BD76FF" w:rsidP="00BD76FF">
      <w:pPr>
        <w:shd w:val="clear" w:color="auto" w:fill="FFFFFF"/>
        <w:spacing w:after="0" w:line="240" w:lineRule="auto"/>
        <w:jc w:val="both"/>
        <w:rPr>
          <w:rFonts w:ascii="Times New Roman" w:eastAsia="Times New Roman" w:hAnsi="Times New Roman" w:cs="Times New Roman"/>
          <w:sz w:val="24"/>
          <w:szCs w:val="24"/>
          <w:lang w:eastAsia="en-GB"/>
        </w:rPr>
      </w:pPr>
      <w:r w:rsidRPr="00BD76FF">
        <w:rPr>
          <w:rFonts w:ascii="Times New Roman" w:eastAsia="Times New Roman" w:hAnsi="Times New Roman" w:cs="Times New Roman"/>
          <w:sz w:val="24"/>
          <w:szCs w:val="24"/>
          <w:lang w:eastAsia="en-GB"/>
        </w:rPr>
        <w:t>FEFC (</w:t>
      </w:r>
      <w:r w:rsidRPr="00E1323F">
        <w:rPr>
          <w:rFonts w:ascii="Times New Roman" w:eastAsia="Times New Roman" w:hAnsi="Times New Roman" w:cs="Times New Roman"/>
          <w:sz w:val="24"/>
          <w:szCs w:val="24"/>
          <w:lang w:eastAsia="en-GB"/>
        </w:rPr>
        <w:t xml:space="preserve">Further Education Funding Council) </w:t>
      </w:r>
      <w:r w:rsidRPr="00E1323F">
        <w:rPr>
          <w:rFonts w:ascii="Times New Roman" w:eastAsia="Times New Roman" w:hAnsi="Times New Roman" w:cs="Times New Roman"/>
          <w:i/>
          <w:sz w:val="24"/>
          <w:szCs w:val="24"/>
          <w:lang w:eastAsia="en-GB"/>
        </w:rPr>
        <w:t>Learning Works: Widening Participation in Further Education</w:t>
      </w:r>
      <w:r w:rsidRPr="00E1323F">
        <w:rPr>
          <w:rFonts w:ascii="Times New Roman" w:eastAsia="Times New Roman" w:hAnsi="Times New Roman" w:cs="Times New Roman"/>
          <w:sz w:val="24"/>
          <w:szCs w:val="24"/>
          <w:lang w:eastAsia="en-GB"/>
        </w:rPr>
        <w:t>. ‘Kennedy Report’ (Coventry: FEFC).</w:t>
      </w:r>
    </w:p>
    <w:p w14:paraId="34F758B5" w14:textId="1CEF987A" w:rsidR="00E1323F" w:rsidRPr="00E1323F" w:rsidRDefault="00E1323F" w:rsidP="00BD76FF">
      <w:pPr>
        <w:shd w:val="clear" w:color="auto" w:fill="FFFFFF"/>
        <w:spacing w:after="0" w:line="240" w:lineRule="auto"/>
        <w:jc w:val="both"/>
        <w:rPr>
          <w:rFonts w:ascii="Times New Roman" w:eastAsia="Times New Roman" w:hAnsi="Times New Roman" w:cs="Times New Roman"/>
          <w:sz w:val="24"/>
          <w:szCs w:val="24"/>
          <w:lang w:eastAsia="en-GB"/>
        </w:rPr>
      </w:pPr>
      <w:proofErr w:type="spellStart"/>
      <w:r w:rsidRPr="00E1323F">
        <w:rPr>
          <w:rFonts w:ascii="Times New Roman" w:hAnsi="Times New Roman" w:cs="Times New Roman"/>
          <w:sz w:val="24"/>
          <w:szCs w:val="24"/>
        </w:rPr>
        <w:t>Felstead</w:t>
      </w:r>
      <w:proofErr w:type="spellEnd"/>
      <w:r w:rsidRPr="00E1323F">
        <w:rPr>
          <w:rFonts w:ascii="Times New Roman" w:hAnsi="Times New Roman" w:cs="Times New Roman"/>
          <w:sz w:val="24"/>
          <w:szCs w:val="24"/>
        </w:rPr>
        <w:t xml:space="preserve">, A. and Unwin, L. (2001) ‘Funding Post Compulsory Education and Training: A retrospective analysis of the TEC and FEFC systems and their impact on skills,’ </w:t>
      </w:r>
      <w:r w:rsidRPr="00E1323F">
        <w:rPr>
          <w:rFonts w:ascii="Times New Roman" w:hAnsi="Times New Roman" w:cs="Times New Roman"/>
          <w:i/>
          <w:sz w:val="24"/>
          <w:szCs w:val="24"/>
        </w:rPr>
        <w:t>Journal of Education and Work</w:t>
      </w:r>
      <w:r w:rsidRPr="00E1323F">
        <w:rPr>
          <w:rFonts w:ascii="Times New Roman" w:hAnsi="Times New Roman" w:cs="Times New Roman"/>
          <w:sz w:val="24"/>
          <w:szCs w:val="24"/>
        </w:rPr>
        <w:t>, 14:1, 91-111.</w:t>
      </w:r>
    </w:p>
    <w:p w14:paraId="2F2F692F" w14:textId="212AC927" w:rsidR="00BD76FF" w:rsidRPr="008E113C" w:rsidRDefault="00BD76FF" w:rsidP="00BD76FF">
      <w:pPr>
        <w:shd w:val="clear" w:color="auto" w:fill="FFFFFF"/>
        <w:spacing w:after="0" w:line="240" w:lineRule="auto"/>
        <w:jc w:val="both"/>
        <w:rPr>
          <w:rFonts w:ascii="Times New Roman" w:hAnsi="Times New Roman" w:cs="Times New Roman"/>
          <w:sz w:val="24"/>
          <w:szCs w:val="24"/>
        </w:rPr>
      </w:pPr>
      <w:r w:rsidRPr="00E1323F">
        <w:rPr>
          <w:rFonts w:ascii="Times New Roman" w:hAnsi="Times New Roman" w:cs="Times New Roman"/>
          <w:sz w:val="24"/>
          <w:szCs w:val="24"/>
        </w:rPr>
        <w:t xml:space="preserve">Fieldhouse, R. (1994) The </w:t>
      </w:r>
      <w:proofErr w:type="spellStart"/>
      <w:r w:rsidRPr="00E1323F">
        <w:rPr>
          <w:rFonts w:ascii="Times New Roman" w:hAnsi="Times New Roman" w:cs="Times New Roman"/>
          <w:sz w:val="24"/>
          <w:szCs w:val="24"/>
        </w:rPr>
        <w:t>Labour</w:t>
      </w:r>
      <w:proofErr w:type="spellEnd"/>
      <w:r w:rsidRPr="00E1323F">
        <w:rPr>
          <w:rFonts w:ascii="Times New Roman" w:hAnsi="Times New Roman" w:cs="Times New Roman"/>
          <w:sz w:val="24"/>
          <w:szCs w:val="24"/>
        </w:rPr>
        <w:t xml:space="preserve"> Government’s Further Education Policy, 1945-51,’ </w:t>
      </w:r>
      <w:r w:rsidRPr="00E1323F">
        <w:rPr>
          <w:rFonts w:ascii="Times New Roman" w:hAnsi="Times New Roman" w:cs="Times New Roman"/>
          <w:i/>
          <w:sz w:val="24"/>
          <w:szCs w:val="24"/>
        </w:rPr>
        <w:t>History of Education</w:t>
      </w:r>
      <w:r w:rsidRPr="00E1323F">
        <w:rPr>
          <w:rFonts w:ascii="Times New Roman" w:hAnsi="Times New Roman" w:cs="Times New Roman"/>
          <w:sz w:val="24"/>
          <w:szCs w:val="24"/>
        </w:rPr>
        <w:t xml:space="preserve">, 23, (3), pp. </w:t>
      </w:r>
      <w:r w:rsidR="008E113C" w:rsidRPr="00E1323F">
        <w:rPr>
          <w:rFonts w:ascii="Times New Roman" w:hAnsi="Times New Roman" w:cs="Times New Roman"/>
          <w:sz w:val="24"/>
          <w:szCs w:val="24"/>
        </w:rPr>
        <w:t>287-299</w:t>
      </w:r>
      <w:r w:rsidR="008E113C" w:rsidRPr="008E113C">
        <w:rPr>
          <w:rFonts w:ascii="Times New Roman" w:hAnsi="Times New Roman" w:cs="Times New Roman"/>
          <w:sz w:val="24"/>
          <w:szCs w:val="24"/>
        </w:rPr>
        <w:t>.</w:t>
      </w:r>
    </w:p>
    <w:p w14:paraId="48E3014C" w14:textId="77777777" w:rsidR="00BD76FF" w:rsidRPr="00BD76FF" w:rsidRDefault="00BD76FF" w:rsidP="00BD76FF">
      <w:pPr>
        <w:spacing w:after="0" w:line="240" w:lineRule="auto"/>
        <w:jc w:val="both"/>
        <w:rPr>
          <w:rFonts w:ascii="Times New Roman" w:hAnsi="Times New Roman" w:cs="Times New Roman"/>
          <w:sz w:val="24"/>
          <w:szCs w:val="24"/>
        </w:rPr>
      </w:pPr>
      <w:r w:rsidRPr="00BD76FF">
        <w:rPr>
          <w:rFonts w:ascii="Times New Roman" w:hAnsi="Times New Roman" w:cs="Times New Roman"/>
          <w:sz w:val="24"/>
          <w:szCs w:val="24"/>
        </w:rPr>
        <w:t>Fitzgerald, T. (2009) </w:t>
      </w:r>
      <w:r w:rsidRPr="00BD76FF">
        <w:rPr>
          <w:rFonts w:ascii="Times New Roman" w:hAnsi="Times New Roman" w:cs="Times New Roman"/>
          <w:i/>
          <w:iCs/>
          <w:sz w:val="24"/>
          <w:szCs w:val="24"/>
        </w:rPr>
        <w:t>Outsiders or Equals? A History of Women Professors at the University of New Zealand 1911</w:t>
      </w:r>
      <w:r w:rsidRPr="00BD76FF">
        <w:rPr>
          <w:rFonts w:ascii="Times New Roman" w:hAnsi="Times New Roman" w:cs="Times New Roman"/>
          <w:sz w:val="24"/>
          <w:szCs w:val="24"/>
        </w:rPr>
        <w:t>–</w:t>
      </w:r>
      <w:r w:rsidRPr="00BD76FF">
        <w:rPr>
          <w:rFonts w:ascii="Times New Roman" w:hAnsi="Times New Roman" w:cs="Times New Roman"/>
          <w:i/>
          <w:iCs/>
          <w:sz w:val="24"/>
          <w:szCs w:val="24"/>
        </w:rPr>
        <w:t>1961</w:t>
      </w:r>
      <w:r w:rsidRPr="00BD76FF">
        <w:rPr>
          <w:rFonts w:ascii="Times New Roman" w:hAnsi="Times New Roman" w:cs="Times New Roman"/>
          <w:sz w:val="24"/>
          <w:szCs w:val="24"/>
        </w:rPr>
        <w:t xml:space="preserve"> (Oxford: Peter Lang).</w:t>
      </w:r>
    </w:p>
    <w:p w14:paraId="47B5968D" w14:textId="77777777" w:rsidR="00BD76FF" w:rsidRPr="00BD76FF" w:rsidRDefault="00BD76FF" w:rsidP="00BD76FF">
      <w:pPr>
        <w:spacing w:after="0" w:line="240" w:lineRule="auto"/>
        <w:jc w:val="both"/>
        <w:rPr>
          <w:rFonts w:ascii="Times New Roman" w:hAnsi="Times New Roman" w:cs="Times New Roman"/>
          <w:sz w:val="24"/>
          <w:szCs w:val="24"/>
        </w:rPr>
      </w:pPr>
      <w:r w:rsidRPr="00BD76FF">
        <w:rPr>
          <w:rFonts w:ascii="Times New Roman" w:hAnsi="Times New Roman" w:cs="Times New Roman"/>
          <w:sz w:val="24"/>
          <w:szCs w:val="24"/>
        </w:rPr>
        <w:t xml:space="preserve">Fuller, K. and Harford, J. (2016) (Eds.) </w:t>
      </w:r>
      <w:r w:rsidRPr="00BD76FF">
        <w:rPr>
          <w:rFonts w:ascii="Times New Roman" w:hAnsi="Times New Roman" w:cs="Times New Roman"/>
          <w:i/>
          <w:sz w:val="24"/>
          <w:szCs w:val="24"/>
        </w:rPr>
        <w:t>Gender and Leadership in Education: Women Achieving against the Odds</w:t>
      </w:r>
      <w:r w:rsidRPr="00BD76FF">
        <w:rPr>
          <w:rFonts w:ascii="Times New Roman" w:hAnsi="Times New Roman" w:cs="Times New Roman"/>
          <w:sz w:val="24"/>
          <w:szCs w:val="24"/>
        </w:rPr>
        <w:t xml:space="preserve"> (Oxford: Peter Lang).</w:t>
      </w:r>
    </w:p>
    <w:p w14:paraId="1C5D862D" w14:textId="77777777" w:rsidR="00BD76FF" w:rsidRPr="00BD76FF" w:rsidRDefault="00BD76FF" w:rsidP="00BD76FF">
      <w:pPr>
        <w:shd w:val="clear" w:color="auto" w:fill="FFFFFF"/>
        <w:spacing w:after="0" w:line="240" w:lineRule="auto"/>
        <w:jc w:val="both"/>
        <w:rPr>
          <w:rFonts w:ascii="Times New Roman" w:hAnsi="Times New Roman" w:cs="Times New Roman"/>
          <w:sz w:val="24"/>
          <w:szCs w:val="24"/>
        </w:rPr>
      </w:pPr>
      <w:r w:rsidRPr="00BD76FF">
        <w:rPr>
          <w:rFonts w:ascii="Times New Roman" w:hAnsi="Times New Roman" w:cs="Times New Roman"/>
          <w:sz w:val="24"/>
          <w:szCs w:val="24"/>
        </w:rPr>
        <w:lastRenderedPageBreak/>
        <w:t xml:space="preserve">Giroux, H. (2002) Neoliberalism, Corporate culture, and the Promise of Higher Education: The University as a Democratic Public Sphere,’ </w:t>
      </w:r>
      <w:r w:rsidRPr="00BD76FF">
        <w:rPr>
          <w:rFonts w:ascii="Times New Roman" w:hAnsi="Times New Roman" w:cs="Times New Roman"/>
          <w:i/>
          <w:sz w:val="24"/>
          <w:szCs w:val="24"/>
        </w:rPr>
        <w:t>Harvard Educational Review</w:t>
      </w:r>
      <w:r w:rsidRPr="00BD76FF">
        <w:rPr>
          <w:rFonts w:ascii="Times New Roman" w:hAnsi="Times New Roman" w:cs="Times New Roman"/>
          <w:sz w:val="24"/>
          <w:szCs w:val="24"/>
        </w:rPr>
        <w:t>, 72, 4, pp. 425-463.</w:t>
      </w:r>
    </w:p>
    <w:p w14:paraId="4AF135DA" w14:textId="77777777" w:rsidR="00BD76FF" w:rsidRPr="00BD76FF" w:rsidRDefault="00BD76FF" w:rsidP="00BD76FF">
      <w:pPr>
        <w:shd w:val="clear" w:color="auto" w:fill="FFFFFF"/>
        <w:spacing w:after="0" w:line="240" w:lineRule="auto"/>
        <w:jc w:val="both"/>
        <w:rPr>
          <w:rFonts w:ascii="Times New Roman" w:hAnsi="Times New Roman" w:cs="Times New Roman"/>
          <w:sz w:val="24"/>
          <w:szCs w:val="24"/>
        </w:rPr>
      </w:pPr>
      <w:r w:rsidRPr="00BD76FF">
        <w:rPr>
          <w:rFonts w:ascii="Times New Roman" w:hAnsi="Times New Roman" w:cs="Times New Roman"/>
          <w:sz w:val="24"/>
          <w:szCs w:val="24"/>
        </w:rPr>
        <w:t xml:space="preserve">Goldin, C. and Katz, L. (2011) ‘Putting the ‘Co’ in Education: Timing, Reasons, and Consequences of College Coeducation from 1835 to the Present’, </w:t>
      </w:r>
      <w:r w:rsidRPr="00BD76FF">
        <w:rPr>
          <w:rFonts w:ascii="Times New Roman" w:hAnsi="Times New Roman" w:cs="Times New Roman"/>
          <w:i/>
          <w:sz w:val="24"/>
          <w:szCs w:val="24"/>
        </w:rPr>
        <w:t>Journal of Human Capital,</w:t>
      </w:r>
      <w:r w:rsidRPr="00BD76FF">
        <w:rPr>
          <w:rFonts w:ascii="Times New Roman" w:hAnsi="Times New Roman" w:cs="Times New Roman"/>
          <w:sz w:val="24"/>
          <w:szCs w:val="24"/>
        </w:rPr>
        <w:t xml:space="preserve"> 5 (4), pp. 377‒417.</w:t>
      </w:r>
    </w:p>
    <w:p w14:paraId="22ABCD4E" w14:textId="77777777" w:rsidR="00BD76FF" w:rsidRPr="00BD76FF" w:rsidRDefault="00BD76FF" w:rsidP="00BD76FF">
      <w:pPr>
        <w:shd w:val="clear" w:color="auto" w:fill="FFFFFF"/>
        <w:spacing w:after="0" w:line="240" w:lineRule="auto"/>
        <w:jc w:val="both"/>
        <w:rPr>
          <w:rFonts w:ascii="Times New Roman" w:hAnsi="Times New Roman" w:cs="Times New Roman"/>
          <w:color w:val="333333"/>
          <w:sz w:val="24"/>
          <w:szCs w:val="24"/>
          <w:shd w:val="clear" w:color="auto" w:fill="FFFFFF"/>
        </w:rPr>
      </w:pPr>
      <w:r w:rsidRPr="00BD76FF">
        <w:rPr>
          <w:rFonts w:ascii="Times New Roman" w:hAnsi="Times New Roman" w:cs="Times New Roman"/>
          <w:color w:val="333333"/>
          <w:sz w:val="24"/>
          <w:szCs w:val="24"/>
          <w:shd w:val="clear" w:color="auto" w:fill="FFFFFF"/>
        </w:rPr>
        <w:t xml:space="preserve">Green, A. and Lucas, N. (1999) (Eds.) </w:t>
      </w:r>
      <w:r w:rsidRPr="00BD76FF">
        <w:rPr>
          <w:rFonts w:ascii="Times New Roman" w:hAnsi="Times New Roman" w:cs="Times New Roman"/>
          <w:i/>
          <w:color w:val="333333"/>
          <w:sz w:val="24"/>
          <w:szCs w:val="24"/>
          <w:shd w:val="clear" w:color="auto" w:fill="FFFFFF"/>
        </w:rPr>
        <w:t>F.E. and Lifelong Learning: Realigning the Sector for the 21</w:t>
      </w:r>
      <w:r w:rsidRPr="00BD76FF">
        <w:rPr>
          <w:rFonts w:ascii="Times New Roman" w:hAnsi="Times New Roman" w:cs="Times New Roman"/>
          <w:i/>
          <w:color w:val="333333"/>
          <w:sz w:val="24"/>
          <w:szCs w:val="24"/>
          <w:shd w:val="clear" w:color="auto" w:fill="FFFFFF"/>
          <w:vertAlign w:val="superscript"/>
        </w:rPr>
        <w:t>st</w:t>
      </w:r>
      <w:r w:rsidRPr="00BD76FF">
        <w:rPr>
          <w:rFonts w:ascii="Times New Roman" w:hAnsi="Times New Roman" w:cs="Times New Roman"/>
          <w:i/>
          <w:color w:val="333333"/>
          <w:sz w:val="24"/>
          <w:szCs w:val="24"/>
          <w:shd w:val="clear" w:color="auto" w:fill="FFFFFF"/>
        </w:rPr>
        <w:t xml:space="preserve"> Century </w:t>
      </w:r>
      <w:r w:rsidRPr="00BD76FF">
        <w:rPr>
          <w:rFonts w:ascii="Times New Roman" w:hAnsi="Times New Roman" w:cs="Times New Roman"/>
          <w:color w:val="333333"/>
          <w:sz w:val="24"/>
          <w:szCs w:val="24"/>
          <w:shd w:val="clear" w:color="auto" w:fill="FFFFFF"/>
        </w:rPr>
        <w:t>(London: Institute of Education).</w:t>
      </w:r>
    </w:p>
    <w:p w14:paraId="33EFEC66" w14:textId="77777777" w:rsidR="00BD76FF" w:rsidRPr="00BD76FF" w:rsidRDefault="00BD76FF" w:rsidP="00BD76FF">
      <w:pPr>
        <w:shd w:val="clear" w:color="auto" w:fill="FFFFFF"/>
        <w:spacing w:after="0" w:line="240" w:lineRule="auto"/>
        <w:jc w:val="both"/>
        <w:rPr>
          <w:rFonts w:ascii="Times New Roman" w:hAnsi="Times New Roman" w:cs="Times New Roman"/>
          <w:sz w:val="24"/>
          <w:szCs w:val="24"/>
        </w:rPr>
      </w:pPr>
      <w:r w:rsidRPr="00BD76FF">
        <w:rPr>
          <w:rFonts w:ascii="Times New Roman" w:hAnsi="Times New Roman" w:cs="Times New Roman"/>
          <w:sz w:val="24"/>
          <w:szCs w:val="24"/>
          <w:lang w:val="en-IE" w:eastAsia="en-IE"/>
        </w:rPr>
        <w:t xml:space="preserve">Harford, J. (2007) 'An Experiment in the Development of Social Networks for Women: Women's Colleges in Ireland in the Nineteenth Century'. </w:t>
      </w:r>
      <w:proofErr w:type="spellStart"/>
      <w:r w:rsidRPr="00BD76FF">
        <w:rPr>
          <w:rFonts w:ascii="Times New Roman" w:hAnsi="Times New Roman" w:cs="Times New Roman"/>
          <w:i/>
          <w:iCs/>
          <w:sz w:val="24"/>
          <w:szCs w:val="24"/>
          <w:lang w:val="en-IE" w:eastAsia="en-IE"/>
        </w:rPr>
        <w:t>Paedagogica</w:t>
      </w:r>
      <w:proofErr w:type="spellEnd"/>
      <w:r w:rsidRPr="00BD76FF">
        <w:rPr>
          <w:rFonts w:ascii="Times New Roman" w:hAnsi="Times New Roman" w:cs="Times New Roman"/>
          <w:i/>
          <w:iCs/>
          <w:sz w:val="24"/>
          <w:szCs w:val="24"/>
          <w:lang w:val="en-IE" w:eastAsia="en-IE"/>
        </w:rPr>
        <w:t xml:space="preserve"> </w:t>
      </w:r>
      <w:proofErr w:type="spellStart"/>
      <w:r w:rsidRPr="00BD76FF">
        <w:rPr>
          <w:rFonts w:ascii="Times New Roman" w:hAnsi="Times New Roman" w:cs="Times New Roman"/>
          <w:i/>
          <w:iCs/>
          <w:sz w:val="24"/>
          <w:szCs w:val="24"/>
          <w:lang w:val="en-IE" w:eastAsia="en-IE"/>
        </w:rPr>
        <w:t>Historica</w:t>
      </w:r>
      <w:proofErr w:type="spellEnd"/>
      <w:r w:rsidRPr="00BD76FF">
        <w:rPr>
          <w:rFonts w:ascii="Times New Roman" w:hAnsi="Times New Roman" w:cs="Times New Roman"/>
          <w:i/>
          <w:iCs/>
          <w:sz w:val="24"/>
          <w:szCs w:val="24"/>
          <w:lang w:val="en-IE" w:eastAsia="en-IE"/>
        </w:rPr>
        <w:t>: International Journal of the History of Education</w:t>
      </w:r>
      <w:r w:rsidRPr="00BD76FF">
        <w:rPr>
          <w:rFonts w:ascii="Times New Roman" w:hAnsi="Times New Roman" w:cs="Times New Roman"/>
          <w:sz w:val="24"/>
          <w:szCs w:val="24"/>
          <w:lang w:val="en-IE" w:eastAsia="en-IE"/>
        </w:rPr>
        <w:t>, vol. 43, issue 3, pp. 365</w:t>
      </w:r>
      <w:r w:rsidRPr="00BD76FF">
        <w:rPr>
          <w:rFonts w:ascii="Times New Roman" w:hAnsi="Times New Roman" w:cs="Times New Roman"/>
          <w:sz w:val="24"/>
          <w:szCs w:val="24"/>
          <w:lang w:val="en-GB"/>
        </w:rPr>
        <w:t>–</w:t>
      </w:r>
      <w:r w:rsidRPr="00BD76FF">
        <w:rPr>
          <w:rFonts w:ascii="Times New Roman" w:hAnsi="Times New Roman" w:cs="Times New Roman"/>
          <w:sz w:val="24"/>
          <w:szCs w:val="24"/>
          <w:lang w:val="en-IE" w:eastAsia="en-IE"/>
        </w:rPr>
        <w:t>381.</w:t>
      </w:r>
    </w:p>
    <w:p w14:paraId="164CCE56" w14:textId="77777777" w:rsidR="00BD76FF" w:rsidRPr="00BD76FF" w:rsidRDefault="00BD76FF" w:rsidP="00BD76FF">
      <w:pPr>
        <w:shd w:val="clear" w:color="auto" w:fill="FFFFFF"/>
        <w:spacing w:after="0" w:line="240" w:lineRule="auto"/>
        <w:jc w:val="both"/>
        <w:rPr>
          <w:rFonts w:ascii="Times New Roman" w:hAnsi="Times New Roman" w:cs="Times New Roman"/>
          <w:sz w:val="24"/>
          <w:szCs w:val="24"/>
        </w:rPr>
      </w:pPr>
      <w:r w:rsidRPr="00BD76FF">
        <w:rPr>
          <w:rFonts w:ascii="Times New Roman" w:hAnsi="Times New Roman" w:cs="Times New Roman"/>
          <w:sz w:val="24"/>
          <w:szCs w:val="24"/>
        </w:rPr>
        <w:t xml:space="preserve">Harford, J. (2008) </w:t>
      </w:r>
      <w:r w:rsidRPr="00BD76FF">
        <w:rPr>
          <w:rFonts w:ascii="Times New Roman" w:hAnsi="Times New Roman" w:cs="Times New Roman"/>
          <w:i/>
          <w:sz w:val="24"/>
          <w:szCs w:val="24"/>
        </w:rPr>
        <w:t>The Opening of University Education to Women in Ireland</w:t>
      </w:r>
      <w:r w:rsidRPr="00BD76FF">
        <w:rPr>
          <w:rFonts w:ascii="Times New Roman" w:hAnsi="Times New Roman" w:cs="Times New Roman"/>
          <w:sz w:val="24"/>
          <w:szCs w:val="24"/>
        </w:rPr>
        <w:t xml:space="preserve"> (Dublin and Portland, OR: Irish Academic Press).</w:t>
      </w:r>
    </w:p>
    <w:p w14:paraId="2BD035D7" w14:textId="58DF5CEC" w:rsidR="00BD76FF" w:rsidRDefault="00BD76FF" w:rsidP="00BD76FF">
      <w:pPr>
        <w:shd w:val="clear" w:color="auto" w:fill="FFFFFF"/>
        <w:spacing w:after="0" w:line="240" w:lineRule="auto"/>
        <w:jc w:val="both"/>
        <w:rPr>
          <w:rFonts w:ascii="Times New Roman" w:hAnsi="Times New Roman" w:cs="Times New Roman"/>
          <w:sz w:val="24"/>
          <w:szCs w:val="24"/>
          <w:shd w:val="clear" w:color="auto" w:fill="FFFFFF"/>
        </w:rPr>
      </w:pPr>
      <w:r w:rsidRPr="00BD76FF">
        <w:rPr>
          <w:rFonts w:ascii="Times New Roman" w:hAnsi="Times New Roman" w:cs="Times New Roman"/>
          <w:sz w:val="24"/>
          <w:szCs w:val="24"/>
        </w:rPr>
        <w:t>Harford, J. (2018</w:t>
      </w:r>
      <w:r w:rsidR="006E4C53">
        <w:rPr>
          <w:rFonts w:ascii="Times New Roman" w:hAnsi="Times New Roman" w:cs="Times New Roman"/>
          <w:sz w:val="24"/>
          <w:szCs w:val="24"/>
        </w:rPr>
        <w:t>a</w:t>
      </w:r>
      <w:r w:rsidRPr="00BD76FF">
        <w:rPr>
          <w:rFonts w:ascii="Times New Roman" w:hAnsi="Times New Roman" w:cs="Times New Roman"/>
          <w:sz w:val="24"/>
          <w:szCs w:val="24"/>
        </w:rPr>
        <w:t>) ‘</w:t>
      </w:r>
      <w:r w:rsidRPr="00BD76FF">
        <w:rPr>
          <w:rFonts w:ascii="Times New Roman" w:hAnsi="Times New Roman" w:cs="Times New Roman"/>
          <w:sz w:val="24"/>
          <w:szCs w:val="24"/>
          <w:shd w:val="clear" w:color="auto" w:fill="FFFFFF"/>
        </w:rPr>
        <w:t xml:space="preserve">Women’s Education Associations: The Role of the Central Association of Irish Schoolmistresses and the Woman’s Education Association, Boston in Advancing the Cause for Women’s Admission to Trinity College Dublin and Harvard University,’ </w:t>
      </w:r>
      <w:proofErr w:type="spellStart"/>
      <w:r w:rsidRPr="00BD76FF">
        <w:rPr>
          <w:rFonts w:ascii="Times New Roman" w:hAnsi="Times New Roman" w:cs="Times New Roman"/>
          <w:i/>
          <w:sz w:val="24"/>
          <w:szCs w:val="24"/>
          <w:shd w:val="clear" w:color="auto" w:fill="FFFFFF"/>
        </w:rPr>
        <w:t>Paedagogica</w:t>
      </w:r>
      <w:proofErr w:type="spellEnd"/>
      <w:r w:rsidRPr="00BD76FF">
        <w:rPr>
          <w:rFonts w:ascii="Times New Roman" w:hAnsi="Times New Roman" w:cs="Times New Roman"/>
          <w:i/>
          <w:sz w:val="24"/>
          <w:szCs w:val="24"/>
          <w:shd w:val="clear" w:color="auto" w:fill="FFFFFF"/>
        </w:rPr>
        <w:t xml:space="preserve"> </w:t>
      </w:r>
      <w:proofErr w:type="spellStart"/>
      <w:r w:rsidRPr="00BD76FF">
        <w:rPr>
          <w:rFonts w:ascii="Times New Roman" w:hAnsi="Times New Roman" w:cs="Times New Roman"/>
          <w:i/>
          <w:sz w:val="24"/>
          <w:szCs w:val="24"/>
          <w:shd w:val="clear" w:color="auto" w:fill="FFFFFF"/>
        </w:rPr>
        <w:t>Historica</w:t>
      </w:r>
      <w:proofErr w:type="spellEnd"/>
      <w:r w:rsidRPr="00BD76FF">
        <w:rPr>
          <w:rFonts w:ascii="Times New Roman" w:hAnsi="Times New Roman" w:cs="Times New Roman"/>
          <w:i/>
          <w:sz w:val="24"/>
          <w:szCs w:val="24"/>
          <w:shd w:val="clear" w:color="auto" w:fill="FFFFFF"/>
        </w:rPr>
        <w:t>: International Journal of the History of Education</w:t>
      </w:r>
      <w:r w:rsidRPr="00BD76FF">
        <w:rPr>
          <w:rFonts w:ascii="Times New Roman" w:hAnsi="Times New Roman" w:cs="Times New Roman"/>
          <w:sz w:val="24"/>
          <w:szCs w:val="24"/>
          <w:shd w:val="clear" w:color="auto" w:fill="FFFFFF"/>
        </w:rPr>
        <w:t xml:space="preserve">, </w:t>
      </w:r>
      <w:r w:rsidRPr="00BD76FF">
        <w:rPr>
          <w:rFonts w:ascii="Calibri" w:hAnsi="Calibri" w:cs="Calibri"/>
          <w:color w:val="222222"/>
          <w:sz w:val="24"/>
          <w:szCs w:val="24"/>
          <w:shd w:val="clear" w:color="auto" w:fill="FFFFFF"/>
        </w:rPr>
        <w:t>10.1080/00309230.2017.1409772</w:t>
      </w:r>
      <w:r w:rsidRPr="00BD76FF">
        <w:rPr>
          <w:rFonts w:ascii="Times New Roman" w:hAnsi="Times New Roman" w:cs="Times New Roman"/>
          <w:sz w:val="24"/>
          <w:szCs w:val="24"/>
          <w:shd w:val="clear" w:color="auto" w:fill="FFFFFF"/>
        </w:rPr>
        <w:t>.</w:t>
      </w:r>
    </w:p>
    <w:p w14:paraId="762A6F6D" w14:textId="346FF34C" w:rsidR="006E4C53" w:rsidRPr="008E113C" w:rsidRDefault="006E4C53" w:rsidP="006E4C53">
      <w:pPr>
        <w:shd w:val="clear" w:color="auto" w:fill="FFFFFF"/>
        <w:spacing w:after="0" w:line="240" w:lineRule="auto"/>
        <w:jc w:val="both"/>
        <w:rPr>
          <w:rFonts w:ascii="Times New Roman" w:hAnsi="Times New Roman" w:cs="Times New Roman"/>
          <w:sz w:val="24"/>
          <w:szCs w:val="24"/>
        </w:rPr>
      </w:pPr>
      <w:r w:rsidRPr="008E113C">
        <w:rPr>
          <w:rFonts w:ascii="Times New Roman" w:hAnsi="Times New Roman" w:cs="Times New Roman"/>
          <w:sz w:val="24"/>
          <w:szCs w:val="24"/>
        </w:rPr>
        <w:t>Harford, J. (2018b) ‘</w:t>
      </w:r>
      <w:r w:rsidRPr="008E113C">
        <w:rPr>
          <w:rFonts w:ascii="Times New Roman" w:hAnsi="Times New Roman" w:cs="Times New Roman"/>
          <w:color w:val="222222"/>
          <w:sz w:val="24"/>
          <w:szCs w:val="24"/>
          <w:shd w:val="clear" w:color="auto" w:fill="FFFFFF"/>
        </w:rPr>
        <w:t>The Perspectives of Women Professors on the Professoriate: A Missing Piece in the Narrative on Gender Equality in the University,’ </w:t>
      </w:r>
      <w:r w:rsidRPr="008E113C">
        <w:rPr>
          <w:rFonts w:ascii="Times New Roman" w:hAnsi="Times New Roman" w:cs="Times New Roman"/>
          <w:i/>
          <w:iCs/>
          <w:color w:val="222222"/>
          <w:sz w:val="24"/>
          <w:szCs w:val="24"/>
          <w:shd w:val="clear" w:color="auto" w:fill="FFFFFF"/>
        </w:rPr>
        <w:t>Education Sciences, </w:t>
      </w:r>
      <w:r w:rsidRPr="008E113C">
        <w:rPr>
          <w:rFonts w:ascii="Times New Roman" w:hAnsi="Times New Roman" w:cs="Times New Roman"/>
          <w:color w:val="222222"/>
          <w:sz w:val="24"/>
          <w:szCs w:val="24"/>
          <w:shd w:val="clear" w:color="auto" w:fill="FFFFFF"/>
        </w:rPr>
        <w:t>8, 50; doi:10.3390/educsci8020050.</w:t>
      </w:r>
    </w:p>
    <w:p w14:paraId="0BFCA3F4" w14:textId="45D57A68" w:rsidR="006E4C53" w:rsidRPr="00BD76FF" w:rsidRDefault="006E4C53" w:rsidP="00BD76FF">
      <w:pPr>
        <w:shd w:val="clear" w:color="auto" w:fill="FFFFFF"/>
        <w:spacing w:after="0" w:line="240" w:lineRule="auto"/>
        <w:jc w:val="both"/>
        <w:rPr>
          <w:rFonts w:ascii="Times New Roman" w:hAnsi="Times New Roman" w:cs="Times New Roman"/>
          <w:sz w:val="24"/>
          <w:szCs w:val="24"/>
          <w:shd w:val="clear" w:color="auto" w:fill="FFFFFF"/>
        </w:rPr>
      </w:pPr>
      <w:r w:rsidRPr="00BD76FF">
        <w:rPr>
          <w:rFonts w:ascii="Times New Roman" w:hAnsi="Times New Roman" w:cs="Times New Roman"/>
          <w:sz w:val="24"/>
          <w:szCs w:val="24"/>
        </w:rPr>
        <w:t>Harford, J. (2018</w:t>
      </w:r>
      <w:r>
        <w:rPr>
          <w:rFonts w:ascii="Times New Roman" w:hAnsi="Times New Roman" w:cs="Times New Roman"/>
          <w:sz w:val="24"/>
          <w:szCs w:val="24"/>
        </w:rPr>
        <w:t>c</w:t>
      </w:r>
      <w:r w:rsidRPr="00BD76FF">
        <w:rPr>
          <w:rFonts w:ascii="Times New Roman" w:hAnsi="Times New Roman" w:cs="Times New Roman"/>
          <w:sz w:val="24"/>
          <w:szCs w:val="24"/>
        </w:rPr>
        <w:t xml:space="preserve">) (Ed.) </w:t>
      </w:r>
      <w:r w:rsidRPr="00BD76FF">
        <w:rPr>
          <w:rFonts w:ascii="Times New Roman" w:hAnsi="Times New Roman" w:cs="Times New Roman"/>
          <w:i/>
          <w:sz w:val="24"/>
          <w:szCs w:val="24"/>
        </w:rPr>
        <w:t>Education for All?</w:t>
      </w:r>
      <w:r w:rsidRPr="00BD76FF">
        <w:rPr>
          <w:rFonts w:ascii="Times New Roman" w:hAnsi="Times New Roman" w:cs="Times New Roman"/>
          <w:sz w:val="24"/>
          <w:szCs w:val="24"/>
        </w:rPr>
        <w:t xml:space="preserve"> </w:t>
      </w:r>
      <w:r w:rsidRPr="00BD76FF">
        <w:rPr>
          <w:rFonts w:ascii="Times New Roman" w:hAnsi="Times New Roman" w:cs="Times New Roman"/>
          <w:i/>
          <w:iCs/>
          <w:sz w:val="24"/>
          <w:szCs w:val="24"/>
          <w:shd w:val="clear" w:color="auto" w:fill="FFFFFF"/>
        </w:rPr>
        <w:t>The Legacy of Free Post-Primary Education in Ireland</w:t>
      </w:r>
      <w:r w:rsidRPr="00BD76FF">
        <w:rPr>
          <w:rFonts w:ascii="Times New Roman" w:hAnsi="Times New Roman" w:cs="Times New Roman"/>
          <w:sz w:val="24"/>
          <w:szCs w:val="24"/>
          <w:shd w:val="clear" w:color="auto" w:fill="FFFFFF"/>
        </w:rPr>
        <w:t>? (Oxford: Peter Lang).</w:t>
      </w:r>
    </w:p>
    <w:p w14:paraId="510A7E1B" w14:textId="63B3D767" w:rsidR="00BD76FF" w:rsidRPr="00BD76FF" w:rsidRDefault="00BD76FF" w:rsidP="00BD76FF">
      <w:pPr>
        <w:shd w:val="clear" w:color="auto" w:fill="FFFFFF"/>
        <w:spacing w:after="0" w:line="240" w:lineRule="auto"/>
        <w:jc w:val="both"/>
        <w:rPr>
          <w:rFonts w:ascii="Times New Roman" w:hAnsi="Times New Roman" w:cs="Times New Roman"/>
          <w:sz w:val="24"/>
          <w:szCs w:val="24"/>
        </w:rPr>
      </w:pPr>
      <w:r w:rsidRPr="00BD76FF">
        <w:rPr>
          <w:rFonts w:ascii="Times New Roman" w:hAnsi="Times New Roman" w:cs="Times New Roman"/>
          <w:sz w:val="24"/>
          <w:szCs w:val="24"/>
        </w:rPr>
        <w:t xml:space="preserve">Huddleston, P. and Unwin, L. (2002) </w:t>
      </w:r>
      <w:r w:rsidRPr="00BD76FF">
        <w:rPr>
          <w:rFonts w:ascii="Times New Roman" w:hAnsi="Times New Roman" w:cs="Times New Roman"/>
          <w:i/>
          <w:sz w:val="24"/>
          <w:szCs w:val="24"/>
        </w:rPr>
        <w:t>Teaching and Learning in Further Education: Diversity and Change</w:t>
      </w:r>
      <w:r w:rsidRPr="00BD76FF">
        <w:rPr>
          <w:rFonts w:ascii="Times New Roman" w:hAnsi="Times New Roman" w:cs="Times New Roman"/>
          <w:sz w:val="24"/>
          <w:szCs w:val="24"/>
        </w:rPr>
        <w:t xml:space="preserve"> (2</w:t>
      </w:r>
      <w:r w:rsidRPr="00BD76FF">
        <w:rPr>
          <w:rFonts w:ascii="Times New Roman" w:hAnsi="Times New Roman" w:cs="Times New Roman"/>
          <w:sz w:val="24"/>
          <w:szCs w:val="24"/>
          <w:vertAlign w:val="superscript"/>
        </w:rPr>
        <w:t>nd</w:t>
      </w:r>
      <w:r w:rsidRPr="00BD76FF">
        <w:rPr>
          <w:rFonts w:ascii="Times New Roman" w:hAnsi="Times New Roman" w:cs="Times New Roman"/>
          <w:sz w:val="24"/>
          <w:szCs w:val="24"/>
        </w:rPr>
        <w:t xml:space="preserve"> Edition) (London and New York: Routledge Falmer).</w:t>
      </w:r>
    </w:p>
    <w:p w14:paraId="1A94B8D6" w14:textId="77777777" w:rsidR="00BD76FF" w:rsidRPr="00BD76FF" w:rsidRDefault="00BD76FF" w:rsidP="00BD76FF">
      <w:pPr>
        <w:shd w:val="clear" w:color="auto" w:fill="FFFFFF"/>
        <w:spacing w:after="0" w:line="240" w:lineRule="auto"/>
        <w:jc w:val="both"/>
        <w:rPr>
          <w:rFonts w:ascii="Times New Roman" w:hAnsi="Times New Roman" w:cs="Times New Roman"/>
          <w:sz w:val="24"/>
          <w:szCs w:val="24"/>
        </w:rPr>
      </w:pPr>
      <w:proofErr w:type="spellStart"/>
      <w:r w:rsidRPr="00BD76FF">
        <w:rPr>
          <w:rFonts w:ascii="Times New Roman" w:hAnsi="Times New Roman" w:cs="Times New Roman"/>
          <w:sz w:val="24"/>
          <w:szCs w:val="24"/>
        </w:rPr>
        <w:t>Jarausch</w:t>
      </w:r>
      <w:proofErr w:type="spellEnd"/>
      <w:r w:rsidRPr="00BD76FF">
        <w:rPr>
          <w:rFonts w:ascii="Times New Roman" w:hAnsi="Times New Roman" w:cs="Times New Roman"/>
          <w:sz w:val="24"/>
          <w:szCs w:val="24"/>
        </w:rPr>
        <w:t xml:space="preserve">, K. H. (1983) (Ed.), </w:t>
      </w:r>
      <w:r w:rsidRPr="00BD76FF">
        <w:rPr>
          <w:rFonts w:ascii="Times New Roman" w:hAnsi="Times New Roman" w:cs="Times New Roman"/>
          <w:i/>
          <w:sz w:val="24"/>
          <w:szCs w:val="24"/>
        </w:rPr>
        <w:t>The Transformation of Higher Learning, 1860-1930: Expansion, Diversification, Social Opening, and Professionalization in England, Germany, Russia, and the United States</w:t>
      </w:r>
      <w:r w:rsidRPr="00BD76FF">
        <w:rPr>
          <w:rFonts w:ascii="Times New Roman" w:hAnsi="Times New Roman" w:cs="Times New Roman"/>
          <w:sz w:val="24"/>
          <w:szCs w:val="24"/>
        </w:rPr>
        <w:t xml:space="preserve"> (Chicago: University of Chicago Press).</w:t>
      </w:r>
    </w:p>
    <w:p w14:paraId="5683BA37" w14:textId="77777777" w:rsidR="00BD76FF" w:rsidRPr="00BD76FF" w:rsidRDefault="00BD76FF" w:rsidP="00BD76FF">
      <w:pPr>
        <w:shd w:val="clear" w:color="auto" w:fill="FFFFFF"/>
        <w:spacing w:after="0" w:line="240" w:lineRule="auto"/>
        <w:jc w:val="both"/>
        <w:rPr>
          <w:rFonts w:ascii="Times New Roman" w:hAnsi="Times New Roman" w:cs="Times New Roman"/>
          <w:bCs/>
          <w:sz w:val="24"/>
          <w:szCs w:val="24"/>
          <w:bdr w:val="none" w:sz="0" w:space="0" w:color="auto" w:frame="1"/>
          <w:shd w:val="clear" w:color="auto" w:fill="FFFFFF"/>
        </w:rPr>
      </w:pPr>
      <w:r w:rsidRPr="00BD76FF">
        <w:rPr>
          <w:rFonts w:ascii="Times New Roman" w:hAnsi="Times New Roman" w:cs="Times New Roman"/>
          <w:bCs/>
          <w:sz w:val="24"/>
          <w:szCs w:val="24"/>
          <w:bdr w:val="none" w:sz="0" w:space="0" w:color="auto" w:frame="1"/>
          <w:shd w:val="clear" w:color="auto" w:fill="FFFFFF"/>
        </w:rPr>
        <w:t xml:space="preserve">Lowe, R. and Yasuhara, Y. (2016) </w:t>
      </w:r>
      <w:r w:rsidRPr="00BD76FF">
        <w:rPr>
          <w:rFonts w:ascii="Times New Roman" w:hAnsi="Times New Roman" w:cs="Times New Roman"/>
          <w:bCs/>
          <w:i/>
          <w:sz w:val="24"/>
          <w:szCs w:val="24"/>
          <w:bdr w:val="none" w:sz="0" w:space="0" w:color="auto" w:frame="1"/>
          <w:shd w:val="clear" w:color="auto" w:fill="FFFFFF"/>
        </w:rPr>
        <w:t>The Origins of Higher Learning: Knowledge networks and the early development of universities</w:t>
      </w:r>
      <w:r w:rsidRPr="00BD76FF">
        <w:rPr>
          <w:rFonts w:ascii="Times New Roman" w:hAnsi="Times New Roman" w:cs="Times New Roman"/>
          <w:bCs/>
          <w:sz w:val="24"/>
          <w:szCs w:val="24"/>
          <w:bdr w:val="none" w:sz="0" w:space="0" w:color="auto" w:frame="1"/>
          <w:shd w:val="clear" w:color="auto" w:fill="FFFFFF"/>
        </w:rPr>
        <w:t xml:space="preserve"> (London: Routledge).</w:t>
      </w:r>
    </w:p>
    <w:p w14:paraId="168BACF8" w14:textId="77777777" w:rsidR="00BD76FF" w:rsidRPr="00BD76FF" w:rsidRDefault="00BD76FF" w:rsidP="00BD76FF">
      <w:pPr>
        <w:shd w:val="clear" w:color="auto" w:fill="FFFFFF"/>
        <w:spacing w:after="0" w:line="240" w:lineRule="auto"/>
        <w:jc w:val="both"/>
        <w:rPr>
          <w:rFonts w:ascii="Times New Roman" w:eastAsia="Times New Roman" w:hAnsi="Times New Roman" w:cs="Times New Roman"/>
          <w:sz w:val="24"/>
          <w:szCs w:val="24"/>
          <w:lang w:eastAsia="en-GB"/>
        </w:rPr>
      </w:pPr>
      <w:r w:rsidRPr="00BD76FF">
        <w:rPr>
          <w:rFonts w:ascii="Times New Roman" w:eastAsia="Times New Roman" w:hAnsi="Times New Roman" w:cs="Times New Roman"/>
          <w:sz w:val="24"/>
          <w:szCs w:val="24"/>
          <w:lang w:eastAsia="en-GB"/>
        </w:rPr>
        <w:t xml:space="preserve">Organization for Economic Cooperation and Development (OECD), (1974) </w:t>
      </w:r>
      <w:r w:rsidRPr="00BD76FF">
        <w:rPr>
          <w:rFonts w:ascii="Times New Roman" w:eastAsia="Times New Roman" w:hAnsi="Times New Roman" w:cs="Times New Roman"/>
          <w:i/>
          <w:sz w:val="24"/>
          <w:szCs w:val="24"/>
          <w:lang w:eastAsia="en-GB"/>
        </w:rPr>
        <w:t>Towards Mass Higher Education: Issues and Dilemmas</w:t>
      </w:r>
      <w:r w:rsidRPr="00BD76FF">
        <w:rPr>
          <w:rFonts w:ascii="Times New Roman" w:eastAsia="Times New Roman" w:hAnsi="Times New Roman" w:cs="Times New Roman"/>
          <w:sz w:val="24"/>
          <w:szCs w:val="24"/>
          <w:lang w:eastAsia="en-GB"/>
        </w:rPr>
        <w:t xml:space="preserve"> (Paris: OECD).</w:t>
      </w:r>
    </w:p>
    <w:p w14:paraId="07776988" w14:textId="349A8D42" w:rsidR="00BD76FF" w:rsidRPr="00BD76FF" w:rsidRDefault="00BD76FF" w:rsidP="00BD76FF">
      <w:pPr>
        <w:shd w:val="clear" w:color="auto" w:fill="FFFFFF"/>
        <w:spacing w:after="0" w:line="240" w:lineRule="auto"/>
        <w:jc w:val="both"/>
        <w:rPr>
          <w:rFonts w:ascii="Times New Roman" w:hAnsi="Times New Roman" w:cs="Times New Roman"/>
          <w:sz w:val="24"/>
          <w:szCs w:val="24"/>
          <w:shd w:val="clear" w:color="auto" w:fill="FFFFFF"/>
        </w:rPr>
      </w:pPr>
      <w:r w:rsidRPr="00BD76FF">
        <w:rPr>
          <w:rFonts w:ascii="Times New Roman" w:hAnsi="Times New Roman" w:cs="Times New Roman"/>
          <w:sz w:val="24"/>
          <w:szCs w:val="24"/>
          <w:shd w:val="clear" w:color="auto" w:fill="FFFFFF"/>
        </w:rPr>
        <w:t xml:space="preserve">Organization for Economic Cooperation and Development (OECD), (2002) </w:t>
      </w:r>
      <w:r w:rsidRPr="008E113C">
        <w:rPr>
          <w:rFonts w:ascii="Times New Roman" w:hAnsi="Times New Roman" w:cs="Times New Roman"/>
          <w:i/>
          <w:sz w:val="24"/>
          <w:szCs w:val="24"/>
          <w:shd w:val="clear" w:color="auto" w:fill="FFFFFF"/>
        </w:rPr>
        <w:t xml:space="preserve">Frascati Manual 2002: The </w:t>
      </w:r>
      <w:r w:rsidR="008E113C">
        <w:rPr>
          <w:rFonts w:ascii="Times New Roman" w:hAnsi="Times New Roman" w:cs="Times New Roman"/>
          <w:i/>
          <w:sz w:val="24"/>
          <w:szCs w:val="24"/>
          <w:shd w:val="clear" w:color="auto" w:fill="FFFFFF"/>
        </w:rPr>
        <w:t>M</w:t>
      </w:r>
      <w:r w:rsidRPr="008E113C">
        <w:rPr>
          <w:rFonts w:ascii="Times New Roman" w:hAnsi="Times New Roman" w:cs="Times New Roman"/>
          <w:i/>
          <w:sz w:val="24"/>
          <w:szCs w:val="24"/>
          <w:shd w:val="clear" w:color="auto" w:fill="FFFFFF"/>
        </w:rPr>
        <w:t xml:space="preserve">easurement of </w:t>
      </w:r>
      <w:r w:rsidR="008E113C">
        <w:rPr>
          <w:rFonts w:ascii="Times New Roman" w:hAnsi="Times New Roman" w:cs="Times New Roman"/>
          <w:i/>
          <w:sz w:val="24"/>
          <w:szCs w:val="24"/>
          <w:shd w:val="clear" w:color="auto" w:fill="FFFFFF"/>
        </w:rPr>
        <w:t>S</w:t>
      </w:r>
      <w:r w:rsidRPr="008E113C">
        <w:rPr>
          <w:rFonts w:ascii="Times New Roman" w:hAnsi="Times New Roman" w:cs="Times New Roman"/>
          <w:i/>
          <w:sz w:val="24"/>
          <w:szCs w:val="24"/>
          <w:shd w:val="clear" w:color="auto" w:fill="FFFFFF"/>
        </w:rPr>
        <w:t xml:space="preserve">cientific and </w:t>
      </w:r>
      <w:r w:rsidR="008E113C">
        <w:rPr>
          <w:rFonts w:ascii="Times New Roman" w:hAnsi="Times New Roman" w:cs="Times New Roman"/>
          <w:i/>
          <w:sz w:val="24"/>
          <w:szCs w:val="24"/>
          <w:shd w:val="clear" w:color="auto" w:fill="FFFFFF"/>
        </w:rPr>
        <w:t>T</w:t>
      </w:r>
      <w:r w:rsidRPr="008E113C">
        <w:rPr>
          <w:rFonts w:ascii="Times New Roman" w:hAnsi="Times New Roman" w:cs="Times New Roman"/>
          <w:i/>
          <w:sz w:val="24"/>
          <w:szCs w:val="24"/>
          <w:shd w:val="clear" w:color="auto" w:fill="FFFFFF"/>
        </w:rPr>
        <w:t xml:space="preserve">echnological </w:t>
      </w:r>
      <w:r w:rsidR="008E113C">
        <w:rPr>
          <w:rFonts w:ascii="Times New Roman" w:hAnsi="Times New Roman" w:cs="Times New Roman"/>
          <w:i/>
          <w:sz w:val="24"/>
          <w:szCs w:val="24"/>
          <w:shd w:val="clear" w:color="auto" w:fill="FFFFFF"/>
        </w:rPr>
        <w:t>A</w:t>
      </w:r>
      <w:r w:rsidRPr="008E113C">
        <w:rPr>
          <w:rFonts w:ascii="Times New Roman" w:hAnsi="Times New Roman" w:cs="Times New Roman"/>
          <w:i/>
          <w:sz w:val="24"/>
          <w:szCs w:val="24"/>
          <w:shd w:val="clear" w:color="auto" w:fill="FFFFFF"/>
        </w:rPr>
        <w:t>ctivities - Proposed Standard Practice for Surveys on Research and Experimental Development</w:t>
      </w:r>
      <w:r w:rsidRPr="00BD76FF">
        <w:rPr>
          <w:rFonts w:ascii="Times New Roman" w:hAnsi="Times New Roman" w:cs="Times New Roman"/>
          <w:sz w:val="24"/>
          <w:szCs w:val="24"/>
          <w:shd w:val="clear" w:color="auto" w:fill="FFFFFF"/>
        </w:rPr>
        <w:t xml:space="preserve"> (Paris: OECD).</w:t>
      </w:r>
    </w:p>
    <w:p w14:paraId="0B184C2B" w14:textId="77777777" w:rsidR="00BD76FF" w:rsidRPr="00BD76FF" w:rsidRDefault="00BD76FF" w:rsidP="00BD76FF">
      <w:pPr>
        <w:shd w:val="clear" w:color="auto" w:fill="FFFFFF"/>
        <w:spacing w:after="0" w:line="240" w:lineRule="auto"/>
        <w:jc w:val="both"/>
        <w:rPr>
          <w:rFonts w:ascii="Times New Roman" w:eastAsia="Times New Roman" w:hAnsi="Times New Roman" w:cs="Times New Roman"/>
          <w:kern w:val="36"/>
          <w:sz w:val="24"/>
          <w:szCs w:val="24"/>
        </w:rPr>
      </w:pPr>
      <w:r w:rsidRPr="00BD76FF">
        <w:rPr>
          <w:rFonts w:ascii="Times New Roman" w:eastAsia="Times New Roman" w:hAnsi="Times New Roman" w:cs="Times New Roman"/>
          <w:sz w:val="24"/>
          <w:szCs w:val="24"/>
          <w:lang w:eastAsia="en-GB"/>
        </w:rPr>
        <w:t xml:space="preserve">Pedersen, O. (1997) </w:t>
      </w:r>
      <w:r w:rsidRPr="00BD76FF">
        <w:rPr>
          <w:rFonts w:ascii="Times New Roman" w:eastAsia="Times New Roman" w:hAnsi="Times New Roman" w:cs="Times New Roman"/>
          <w:i/>
          <w:sz w:val="24"/>
          <w:szCs w:val="24"/>
          <w:lang w:eastAsia="en-GB"/>
        </w:rPr>
        <w:t>T</w:t>
      </w:r>
      <w:r w:rsidRPr="00BD76FF">
        <w:rPr>
          <w:rFonts w:ascii="Times New Roman" w:eastAsia="Times New Roman" w:hAnsi="Times New Roman" w:cs="Times New Roman"/>
          <w:bCs/>
          <w:i/>
          <w:kern w:val="36"/>
          <w:sz w:val="24"/>
          <w:szCs w:val="24"/>
        </w:rPr>
        <w:t>he First Universities: </w:t>
      </w:r>
      <w:proofErr w:type="spellStart"/>
      <w:r w:rsidRPr="00BD76FF">
        <w:rPr>
          <w:rFonts w:ascii="Times New Roman" w:eastAsia="Times New Roman" w:hAnsi="Times New Roman" w:cs="Times New Roman"/>
          <w:i/>
          <w:kern w:val="36"/>
          <w:sz w:val="24"/>
          <w:szCs w:val="24"/>
        </w:rPr>
        <w:t>Studium</w:t>
      </w:r>
      <w:proofErr w:type="spellEnd"/>
      <w:r w:rsidRPr="00BD76FF">
        <w:rPr>
          <w:rFonts w:ascii="Times New Roman" w:eastAsia="Times New Roman" w:hAnsi="Times New Roman" w:cs="Times New Roman"/>
          <w:i/>
          <w:kern w:val="36"/>
          <w:sz w:val="24"/>
          <w:szCs w:val="24"/>
        </w:rPr>
        <w:t xml:space="preserve"> </w:t>
      </w:r>
      <w:proofErr w:type="spellStart"/>
      <w:r w:rsidRPr="00BD76FF">
        <w:rPr>
          <w:rFonts w:ascii="Times New Roman" w:eastAsia="Times New Roman" w:hAnsi="Times New Roman" w:cs="Times New Roman"/>
          <w:i/>
          <w:kern w:val="36"/>
          <w:sz w:val="24"/>
          <w:szCs w:val="24"/>
        </w:rPr>
        <w:t>Generale</w:t>
      </w:r>
      <w:proofErr w:type="spellEnd"/>
      <w:r w:rsidRPr="00BD76FF">
        <w:rPr>
          <w:rFonts w:ascii="Times New Roman" w:eastAsia="Times New Roman" w:hAnsi="Times New Roman" w:cs="Times New Roman"/>
          <w:i/>
          <w:kern w:val="36"/>
          <w:sz w:val="24"/>
          <w:szCs w:val="24"/>
        </w:rPr>
        <w:t xml:space="preserve"> and the Origins of University Education in Europe</w:t>
      </w:r>
      <w:r w:rsidRPr="00BD76FF">
        <w:rPr>
          <w:rFonts w:ascii="Times New Roman" w:eastAsia="Times New Roman" w:hAnsi="Times New Roman" w:cs="Times New Roman"/>
          <w:kern w:val="36"/>
          <w:sz w:val="24"/>
          <w:szCs w:val="24"/>
        </w:rPr>
        <w:t xml:space="preserve"> (Cambridge: Cambridge University Press). </w:t>
      </w:r>
    </w:p>
    <w:p w14:paraId="3E2EC538" w14:textId="77777777" w:rsidR="00BD76FF" w:rsidRPr="00BD76FF" w:rsidRDefault="00BD76FF" w:rsidP="00BD76FF">
      <w:pPr>
        <w:shd w:val="clear" w:color="auto" w:fill="FFFFFF"/>
        <w:spacing w:after="0" w:line="240" w:lineRule="auto"/>
        <w:jc w:val="both"/>
        <w:rPr>
          <w:rFonts w:ascii="Times New Roman" w:hAnsi="Times New Roman" w:cs="Times New Roman"/>
          <w:sz w:val="24"/>
          <w:szCs w:val="24"/>
          <w:shd w:val="clear" w:color="auto" w:fill="FFFFFF"/>
        </w:rPr>
      </w:pPr>
      <w:r w:rsidRPr="00BD76FF">
        <w:rPr>
          <w:rFonts w:ascii="Times New Roman" w:hAnsi="Times New Roman" w:cs="Times New Roman"/>
          <w:sz w:val="24"/>
          <w:szCs w:val="24"/>
          <w:shd w:val="clear" w:color="auto" w:fill="FFFFFF"/>
        </w:rPr>
        <w:t xml:space="preserve">Perkin, H. (2007) ‘History of Universities,’ in </w:t>
      </w:r>
      <w:bookmarkStart w:id="2" w:name="_Hlk499116156"/>
      <w:r w:rsidRPr="00BD76FF">
        <w:rPr>
          <w:rFonts w:ascii="Times New Roman" w:hAnsi="Times New Roman" w:cs="Times New Roman"/>
          <w:sz w:val="24"/>
          <w:szCs w:val="24"/>
          <w:shd w:val="clear" w:color="auto" w:fill="FFFFFF"/>
          <w:lang w:val="en"/>
        </w:rPr>
        <w:t xml:space="preserve">Forest, J. F. and </w:t>
      </w:r>
      <w:proofErr w:type="spellStart"/>
      <w:r w:rsidRPr="00BD76FF">
        <w:rPr>
          <w:rFonts w:ascii="Times New Roman" w:hAnsi="Times New Roman" w:cs="Times New Roman"/>
          <w:sz w:val="24"/>
          <w:szCs w:val="24"/>
          <w:shd w:val="clear" w:color="auto" w:fill="FFFFFF"/>
          <w:lang w:val="en"/>
        </w:rPr>
        <w:t>Altbach</w:t>
      </w:r>
      <w:proofErr w:type="spellEnd"/>
      <w:r w:rsidRPr="00BD76FF">
        <w:rPr>
          <w:rFonts w:ascii="Times New Roman" w:hAnsi="Times New Roman" w:cs="Times New Roman"/>
          <w:sz w:val="24"/>
          <w:szCs w:val="24"/>
          <w:shd w:val="clear" w:color="auto" w:fill="FFFFFF"/>
          <w:lang w:val="en"/>
        </w:rPr>
        <w:t xml:space="preserve">, P.G. (Eds.) </w:t>
      </w:r>
      <w:r w:rsidRPr="00BD76FF">
        <w:rPr>
          <w:rFonts w:ascii="Times New Roman" w:hAnsi="Times New Roman" w:cs="Times New Roman"/>
          <w:i/>
          <w:spacing w:val="2"/>
          <w:sz w:val="24"/>
          <w:szCs w:val="24"/>
          <w:shd w:val="clear" w:color="auto" w:fill="FFFFFF"/>
        </w:rPr>
        <w:t>International Handbook of Higher Education</w:t>
      </w:r>
      <w:r w:rsidRPr="00BD76FF">
        <w:rPr>
          <w:rFonts w:ascii="Times New Roman" w:hAnsi="Times New Roman" w:cs="Times New Roman"/>
          <w:spacing w:val="2"/>
          <w:sz w:val="24"/>
          <w:szCs w:val="24"/>
          <w:shd w:val="clear" w:color="auto" w:fill="FFFFFF"/>
        </w:rPr>
        <w:t xml:space="preserve">, </w:t>
      </w:r>
      <w:r w:rsidRPr="00BD76FF">
        <w:rPr>
          <w:rFonts w:ascii="Times New Roman" w:hAnsi="Times New Roman" w:cs="Times New Roman"/>
          <w:i/>
          <w:spacing w:val="2"/>
          <w:sz w:val="24"/>
          <w:szCs w:val="24"/>
          <w:shd w:val="clear" w:color="auto" w:fill="FFFFFF"/>
        </w:rPr>
        <w:t>Part One: Global Themes and Contemporary Challenges</w:t>
      </w:r>
      <w:r w:rsidRPr="00BD76FF">
        <w:rPr>
          <w:rFonts w:ascii="Times New Roman" w:hAnsi="Times New Roman" w:cs="Times New Roman"/>
          <w:spacing w:val="2"/>
          <w:sz w:val="24"/>
          <w:szCs w:val="24"/>
          <w:shd w:val="clear" w:color="auto" w:fill="FFFFFF"/>
        </w:rPr>
        <w:t xml:space="preserve"> (S</w:t>
      </w:r>
      <w:r w:rsidRPr="00BD76FF">
        <w:rPr>
          <w:rFonts w:ascii="Times New Roman" w:hAnsi="Times New Roman" w:cs="Times New Roman"/>
          <w:spacing w:val="4"/>
          <w:sz w:val="24"/>
          <w:szCs w:val="24"/>
          <w:shd w:val="clear" w:color="auto" w:fill="FCFCFC"/>
        </w:rPr>
        <w:t>pringer, Dordrecht</w:t>
      </w:r>
      <w:r w:rsidRPr="00BD76FF">
        <w:rPr>
          <w:rFonts w:ascii="Times New Roman" w:hAnsi="Times New Roman" w:cs="Times New Roman"/>
          <w:sz w:val="24"/>
          <w:szCs w:val="24"/>
          <w:shd w:val="clear" w:color="auto" w:fill="FFFFFF"/>
        </w:rPr>
        <w:t>), pp. 159-206.</w:t>
      </w:r>
      <w:bookmarkEnd w:id="2"/>
    </w:p>
    <w:p w14:paraId="2350C6A5" w14:textId="77777777" w:rsidR="00BD76FF" w:rsidRPr="00BD76FF" w:rsidRDefault="00BD76FF" w:rsidP="00BD76FF">
      <w:pPr>
        <w:shd w:val="clear" w:color="auto" w:fill="FFFFFF"/>
        <w:spacing w:after="0" w:line="240" w:lineRule="auto"/>
        <w:jc w:val="both"/>
        <w:rPr>
          <w:rFonts w:ascii="Times New Roman" w:hAnsi="Times New Roman" w:cs="Times New Roman"/>
          <w:sz w:val="24"/>
          <w:szCs w:val="24"/>
          <w:shd w:val="clear" w:color="auto" w:fill="FFFFFF"/>
        </w:rPr>
      </w:pPr>
      <w:proofErr w:type="spellStart"/>
      <w:r w:rsidRPr="00BD76FF">
        <w:rPr>
          <w:rFonts w:ascii="Times New Roman" w:hAnsi="Times New Roman" w:cs="Times New Roman"/>
          <w:bCs/>
          <w:sz w:val="24"/>
          <w:szCs w:val="24"/>
          <w:bdr w:val="none" w:sz="0" w:space="0" w:color="auto" w:frame="1"/>
          <w:shd w:val="clear" w:color="auto" w:fill="FFFFFF"/>
        </w:rPr>
        <w:t>Rashdall</w:t>
      </w:r>
      <w:proofErr w:type="spellEnd"/>
      <w:r w:rsidRPr="00BD76FF">
        <w:rPr>
          <w:rFonts w:ascii="Times New Roman" w:hAnsi="Times New Roman" w:cs="Times New Roman"/>
          <w:bCs/>
          <w:sz w:val="24"/>
          <w:szCs w:val="24"/>
          <w:bdr w:val="none" w:sz="0" w:space="0" w:color="auto" w:frame="1"/>
          <w:shd w:val="clear" w:color="auto" w:fill="FFFFFF"/>
        </w:rPr>
        <w:t xml:space="preserve">, H. (2010) </w:t>
      </w:r>
      <w:r w:rsidRPr="00BD76FF">
        <w:rPr>
          <w:rFonts w:ascii="Times New Roman" w:hAnsi="Times New Roman" w:cs="Times New Roman"/>
          <w:bCs/>
          <w:i/>
          <w:sz w:val="24"/>
          <w:szCs w:val="24"/>
          <w:bdr w:val="none" w:sz="0" w:space="0" w:color="auto" w:frame="1"/>
          <w:shd w:val="clear" w:color="auto" w:fill="FFFFFF"/>
        </w:rPr>
        <w:t>The Universities of Europe in the Middle Ages: Volume 1, Salerno, Bologna, Paris</w:t>
      </w:r>
      <w:r w:rsidRPr="00BD76FF">
        <w:rPr>
          <w:rFonts w:ascii="Times New Roman" w:hAnsi="Times New Roman" w:cs="Times New Roman"/>
          <w:bCs/>
          <w:sz w:val="24"/>
          <w:szCs w:val="24"/>
          <w:bdr w:val="none" w:sz="0" w:space="0" w:color="auto" w:frame="1"/>
          <w:shd w:val="clear" w:color="auto" w:fill="FFFFFF"/>
        </w:rPr>
        <w:t xml:space="preserve"> (Cambridge: Cambridge University Press) (first published 1895).</w:t>
      </w:r>
    </w:p>
    <w:p w14:paraId="1CF2C43E" w14:textId="77777777" w:rsidR="00BD76FF" w:rsidRPr="00BD76FF" w:rsidRDefault="00BD76FF" w:rsidP="00BD76FF">
      <w:pPr>
        <w:keepNext/>
        <w:keepLines/>
        <w:shd w:val="clear" w:color="auto" w:fill="FFFFFF"/>
        <w:spacing w:after="0" w:line="240" w:lineRule="auto"/>
        <w:outlineLvl w:val="0"/>
        <w:rPr>
          <w:rFonts w:ascii="Times New Roman" w:eastAsia="Times New Roman" w:hAnsi="Times New Roman" w:cs="Times New Roman"/>
          <w:bCs/>
          <w:kern w:val="36"/>
          <w:sz w:val="24"/>
          <w:szCs w:val="24"/>
        </w:rPr>
      </w:pPr>
      <w:r w:rsidRPr="00BD76FF">
        <w:rPr>
          <w:rFonts w:ascii="Times New Roman" w:hAnsi="Times New Roman" w:cs="Times New Roman"/>
          <w:bCs/>
          <w:sz w:val="24"/>
          <w:szCs w:val="24"/>
          <w:bdr w:val="none" w:sz="0" w:space="0" w:color="auto" w:frame="1"/>
          <w:shd w:val="clear" w:color="auto" w:fill="FFFFFF"/>
        </w:rPr>
        <w:t xml:space="preserve">Rothblatt, S. and Wittrock, B. (1993) ‘Introduction: Universities and Higher Education’ in Rothblatt, S. and Wittrock, B. (Eds.) </w:t>
      </w:r>
      <w:r w:rsidRPr="00BD76FF">
        <w:rPr>
          <w:rFonts w:ascii="Times New Roman" w:hAnsi="Times New Roman" w:cs="Times New Roman"/>
          <w:bCs/>
          <w:i/>
          <w:sz w:val="24"/>
          <w:szCs w:val="24"/>
          <w:bdr w:val="none" w:sz="0" w:space="0" w:color="auto" w:frame="1"/>
          <w:shd w:val="clear" w:color="auto" w:fill="FFFFFF"/>
        </w:rPr>
        <w:t>The European and American University since 1800: Historical and Sociological Essays</w:t>
      </w:r>
      <w:r w:rsidRPr="00BD76FF">
        <w:rPr>
          <w:rFonts w:ascii="Times New Roman" w:hAnsi="Times New Roman" w:cs="Times New Roman"/>
          <w:bCs/>
          <w:sz w:val="24"/>
          <w:szCs w:val="24"/>
          <w:bdr w:val="none" w:sz="0" w:space="0" w:color="auto" w:frame="1"/>
          <w:shd w:val="clear" w:color="auto" w:fill="FFFFFF"/>
        </w:rPr>
        <w:t xml:space="preserve"> (Cambridge: Cambridge University Press), pp. 1-18.</w:t>
      </w:r>
    </w:p>
    <w:p w14:paraId="285F487B" w14:textId="77777777" w:rsidR="00BD76FF" w:rsidRPr="00BD76FF" w:rsidRDefault="00BD76FF" w:rsidP="00BD76FF">
      <w:pPr>
        <w:spacing w:after="0" w:line="240" w:lineRule="auto"/>
        <w:jc w:val="both"/>
        <w:rPr>
          <w:rFonts w:ascii="Times New Roman" w:eastAsia="Times New Roman" w:hAnsi="Times New Roman" w:cs="Times New Roman"/>
          <w:sz w:val="24"/>
          <w:szCs w:val="24"/>
          <w:lang w:eastAsia="en-GB"/>
        </w:rPr>
      </w:pPr>
      <w:r w:rsidRPr="00BD76FF">
        <w:rPr>
          <w:rFonts w:ascii="Times New Roman" w:hAnsi="Times New Roman" w:cs="Times New Roman"/>
          <w:sz w:val="24"/>
          <w:szCs w:val="24"/>
        </w:rPr>
        <w:t xml:space="preserve">Solomon, B. (1985) </w:t>
      </w:r>
      <w:r w:rsidRPr="00BD76FF">
        <w:rPr>
          <w:rFonts w:ascii="Times New Roman" w:hAnsi="Times New Roman" w:cs="Times New Roman"/>
          <w:i/>
          <w:iCs/>
          <w:sz w:val="24"/>
          <w:szCs w:val="24"/>
        </w:rPr>
        <w:t>In the Company of Educated Women: A History of Women and Higher Education in America</w:t>
      </w:r>
      <w:r w:rsidRPr="00BD76FF">
        <w:rPr>
          <w:rFonts w:ascii="Times New Roman" w:hAnsi="Times New Roman" w:cs="Times New Roman"/>
          <w:sz w:val="24"/>
          <w:szCs w:val="24"/>
        </w:rPr>
        <w:t xml:space="preserve"> (New Haven: Yale University Press)</w:t>
      </w:r>
      <w:r w:rsidRPr="00BD76FF">
        <w:rPr>
          <w:rFonts w:ascii="Times New Roman" w:eastAsia="Times New Roman" w:hAnsi="Times New Roman" w:cs="Times New Roman"/>
          <w:sz w:val="24"/>
          <w:szCs w:val="24"/>
          <w:lang w:eastAsia="en-GB"/>
        </w:rPr>
        <w:t>.</w:t>
      </w:r>
    </w:p>
    <w:p w14:paraId="6A6C54DF" w14:textId="77777777" w:rsidR="00BD76FF" w:rsidRPr="00BD76FF" w:rsidRDefault="00BD76FF" w:rsidP="00BD76FF">
      <w:pPr>
        <w:spacing w:after="0" w:line="240" w:lineRule="auto"/>
        <w:jc w:val="both"/>
        <w:rPr>
          <w:rFonts w:ascii="Times New Roman" w:hAnsi="Times New Roman" w:cs="Times New Roman"/>
          <w:sz w:val="24"/>
          <w:szCs w:val="24"/>
        </w:rPr>
      </w:pPr>
      <w:r w:rsidRPr="00BD76FF">
        <w:rPr>
          <w:rFonts w:ascii="Times New Roman" w:hAnsi="Times New Roman" w:cs="Times New Roman"/>
          <w:sz w:val="24"/>
          <w:szCs w:val="24"/>
        </w:rPr>
        <w:lastRenderedPageBreak/>
        <w:t xml:space="preserve">Scott, J. C. (2006) ‘The Mission of the University: Medieval to Postmodern Transformations, ‘ </w:t>
      </w:r>
      <w:r w:rsidRPr="00BD76FF">
        <w:rPr>
          <w:rFonts w:ascii="Times New Roman" w:hAnsi="Times New Roman" w:cs="Times New Roman"/>
          <w:i/>
          <w:sz w:val="24"/>
          <w:szCs w:val="24"/>
        </w:rPr>
        <w:t>The Journal of Higher Education</w:t>
      </w:r>
      <w:r w:rsidRPr="00BD76FF">
        <w:rPr>
          <w:rFonts w:ascii="Times New Roman" w:hAnsi="Times New Roman" w:cs="Times New Roman"/>
          <w:sz w:val="24"/>
          <w:szCs w:val="24"/>
        </w:rPr>
        <w:t>, Vol. 77, (1), pp. 1-39.</w:t>
      </w:r>
    </w:p>
    <w:p w14:paraId="5900E612" w14:textId="77777777" w:rsidR="00BD76FF" w:rsidRPr="00BD76FF" w:rsidRDefault="00BD76FF" w:rsidP="00BD76FF">
      <w:pPr>
        <w:spacing w:after="0" w:line="240" w:lineRule="auto"/>
        <w:jc w:val="both"/>
        <w:rPr>
          <w:rFonts w:ascii="Times New Roman" w:hAnsi="Times New Roman" w:cs="Times New Roman"/>
          <w:sz w:val="24"/>
          <w:szCs w:val="24"/>
        </w:rPr>
      </w:pPr>
      <w:proofErr w:type="spellStart"/>
      <w:r w:rsidRPr="00BD76FF">
        <w:rPr>
          <w:rFonts w:ascii="Times New Roman" w:hAnsi="Times New Roman" w:cs="Times New Roman"/>
          <w:sz w:val="24"/>
          <w:szCs w:val="24"/>
        </w:rPr>
        <w:t>Teichler</w:t>
      </w:r>
      <w:proofErr w:type="spellEnd"/>
      <w:r w:rsidRPr="00BD76FF">
        <w:rPr>
          <w:rFonts w:ascii="Times New Roman" w:hAnsi="Times New Roman" w:cs="Times New Roman"/>
          <w:sz w:val="24"/>
          <w:szCs w:val="24"/>
        </w:rPr>
        <w:t xml:space="preserve">, U. (2008) ‘The End of Alternatives to Universities or New Opportunities,’ in Taylor, J.S., </w:t>
      </w:r>
      <w:proofErr w:type="spellStart"/>
      <w:r w:rsidRPr="00BD76FF">
        <w:rPr>
          <w:rFonts w:ascii="Times New Roman" w:hAnsi="Times New Roman" w:cs="Times New Roman"/>
          <w:sz w:val="24"/>
          <w:szCs w:val="24"/>
        </w:rPr>
        <w:t>Brites</w:t>
      </w:r>
      <w:proofErr w:type="spellEnd"/>
      <w:r w:rsidRPr="00BD76FF">
        <w:rPr>
          <w:rFonts w:ascii="Times New Roman" w:hAnsi="Times New Roman" w:cs="Times New Roman"/>
          <w:sz w:val="24"/>
          <w:szCs w:val="24"/>
        </w:rPr>
        <w:t xml:space="preserve"> Ferreira, J, de Lourdes Machado, M. and Santiago, R. (Eds.) </w:t>
      </w:r>
      <w:r w:rsidRPr="00BD76FF">
        <w:rPr>
          <w:rFonts w:ascii="Times New Roman" w:hAnsi="Times New Roman" w:cs="Times New Roman"/>
          <w:i/>
          <w:sz w:val="24"/>
          <w:szCs w:val="24"/>
        </w:rPr>
        <w:t>Non-University Higher Education in Europe,</w:t>
      </w:r>
      <w:r w:rsidRPr="00BD76FF">
        <w:rPr>
          <w:rFonts w:ascii="Times New Roman" w:hAnsi="Times New Roman" w:cs="Times New Roman"/>
          <w:sz w:val="24"/>
          <w:szCs w:val="24"/>
        </w:rPr>
        <w:t xml:space="preserve"> (Springer), pp. 1-13.</w:t>
      </w:r>
    </w:p>
    <w:p w14:paraId="1287326F" w14:textId="77777777" w:rsidR="00BD76FF" w:rsidRPr="00BD76FF" w:rsidRDefault="00BD76FF" w:rsidP="00BD76FF">
      <w:pPr>
        <w:spacing w:after="0" w:line="240" w:lineRule="auto"/>
        <w:jc w:val="both"/>
        <w:rPr>
          <w:rFonts w:ascii="Times New Roman" w:hAnsi="Times New Roman" w:cs="Times New Roman"/>
          <w:sz w:val="24"/>
          <w:szCs w:val="24"/>
        </w:rPr>
      </w:pPr>
      <w:proofErr w:type="spellStart"/>
      <w:r w:rsidRPr="00BD76FF">
        <w:rPr>
          <w:rFonts w:ascii="Times New Roman" w:hAnsi="Times New Roman" w:cs="Times New Roman"/>
          <w:sz w:val="24"/>
          <w:szCs w:val="24"/>
        </w:rPr>
        <w:t>Trow</w:t>
      </w:r>
      <w:proofErr w:type="spellEnd"/>
      <w:r w:rsidRPr="00BD76FF">
        <w:rPr>
          <w:rFonts w:ascii="Times New Roman" w:hAnsi="Times New Roman" w:cs="Times New Roman"/>
          <w:sz w:val="24"/>
          <w:szCs w:val="24"/>
        </w:rPr>
        <w:t xml:space="preserve">, M. (2007) ‘Reﬂections on the Transition from Elite to Mass to Universal Access: Forms and Phases of Higher Education in Modern Societies since WWII’ in </w:t>
      </w:r>
      <w:r w:rsidRPr="00BD76FF">
        <w:rPr>
          <w:rFonts w:ascii="Times New Roman" w:hAnsi="Times New Roman" w:cs="Times New Roman"/>
          <w:sz w:val="24"/>
          <w:szCs w:val="24"/>
          <w:shd w:val="clear" w:color="auto" w:fill="FFFFFF"/>
          <w:lang w:val="en"/>
        </w:rPr>
        <w:t xml:space="preserve">Forest, J. F. and </w:t>
      </w:r>
      <w:proofErr w:type="spellStart"/>
      <w:r w:rsidRPr="00BD76FF">
        <w:rPr>
          <w:rFonts w:ascii="Times New Roman" w:hAnsi="Times New Roman" w:cs="Times New Roman"/>
          <w:sz w:val="24"/>
          <w:szCs w:val="24"/>
          <w:shd w:val="clear" w:color="auto" w:fill="FFFFFF"/>
          <w:lang w:val="en"/>
        </w:rPr>
        <w:t>Altbach</w:t>
      </w:r>
      <w:proofErr w:type="spellEnd"/>
      <w:r w:rsidRPr="00BD76FF">
        <w:rPr>
          <w:rFonts w:ascii="Times New Roman" w:hAnsi="Times New Roman" w:cs="Times New Roman"/>
          <w:sz w:val="24"/>
          <w:szCs w:val="24"/>
          <w:shd w:val="clear" w:color="auto" w:fill="FFFFFF"/>
          <w:lang w:val="en"/>
        </w:rPr>
        <w:t xml:space="preserve">, P.G. (Eds.) </w:t>
      </w:r>
      <w:r w:rsidRPr="00BD76FF">
        <w:rPr>
          <w:rFonts w:ascii="Times New Roman" w:hAnsi="Times New Roman" w:cs="Times New Roman"/>
          <w:i/>
          <w:spacing w:val="2"/>
          <w:sz w:val="24"/>
          <w:szCs w:val="24"/>
          <w:shd w:val="clear" w:color="auto" w:fill="FFFFFF"/>
        </w:rPr>
        <w:t>International Handbook of Higher Education</w:t>
      </w:r>
      <w:r w:rsidRPr="00BD76FF">
        <w:rPr>
          <w:rFonts w:ascii="Times New Roman" w:hAnsi="Times New Roman" w:cs="Times New Roman"/>
          <w:spacing w:val="2"/>
          <w:sz w:val="24"/>
          <w:szCs w:val="24"/>
          <w:shd w:val="clear" w:color="auto" w:fill="FFFFFF"/>
        </w:rPr>
        <w:t xml:space="preserve">, </w:t>
      </w:r>
      <w:r w:rsidRPr="00BD76FF">
        <w:rPr>
          <w:rFonts w:ascii="Times New Roman" w:hAnsi="Times New Roman" w:cs="Times New Roman"/>
          <w:i/>
          <w:spacing w:val="2"/>
          <w:sz w:val="24"/>
          <w:szCs w:val="24"/>
          <w:shd w:val="clear" w:color="auto" w:fill="FFFFFF"/>
        </w:rPr>
        <w:t>Part One: Global Themes and Contemporary Challenges</w:t>
      </w:r>
      <w:r w:rsidRPr="00BD76FF">
        <w:rPr>
          <w:rFonts w:ascii="Times New Roman" w:hAnsi="Times New Roman" w:cs="Times New Roman"/>
          <w:spacing w:val="2"/>
          <w:sz w:val="24"/>
          <w:szCs w:val="24"/>
          <w:shd w:val="clear" w:color="auto" w:fill="FFFFFF"/>
        </w:rPr>
        <w:t xml:space="preserve"> (S</w:t>
      </w:r>
      <w:r w:rsidRPr="00BD76FF">
        <w:rPr>
          <w:rFonts w:ascii="Times New Roman" w:hAnsi="Times New Roman" w:cs="Times New Roman"/>
          <w:spacing w:val="4"/>
          <w:sz w:val="24"/>
          <w:szCs w:val="24"/>
          <w:shd w:val="clear" w:color="auto" w:fill="FCFCFC"/>
        </w:rPr>
        <w:t>pringer, Dordrecht</w:t>
      </w:r>
      <w:r w:rsidRPr="00BD76FF">
        <w:rPr>
          <w:rFonts w:ascii="Times New Roman" w:hAnsi="Times New Roman" w:cs="Times New Roman"/>
          <w:sz w:val="24"/>
          <w:szCs w:val="24"/>
          <w:shd w:val="clear" w:color="auto" w:fill="FFFFFF"/>
        </w:rPr>
        <w:t>), pp. 243-280.</w:t>
      </w:r>
    </w:p>
    <w:p w14:paraId="67A68365" w14:textId="77777777" w:rsidR="00BD76FF" w:rsidRPr="00BD76FF" w:rsidRDefault="00BD76FF" w:rsidP="00BD76FF">
      <w:pPr>
        <w:spacing w:after="0" w:line="240" w:lineRule="auto"/>
        <w:jc w:val="both"/>
        <w:rPr>
          <w:rFonts w:ascii="Times New Roman" w:hAnsi="Times New Roman" w:cs="Times New Roman"/>
          <w:sz w:val="24"/>
          <w:szCs w:val="24"/>
        </w:rPr>
      </w:pPr>
      <w:r w:rsidRPr="00BD76FF">
        <w:rPr>
          <w:rFonts w:ascii="Times New Roman" w:hAnsi="Times New Roman" w:cs="Times New Roman"/>
          <w:sz w:val="24"/>
          <w:szCs w:val="24"/>
        </w:rPr>
        <w:t>Verger, J. (1992) ‘Patterns’ in de Ridder-</w:t>
      </w:r>
      <w:proofErr w:type="spellStart"/>
      <w:r w:rsidRPr="00BD76FF">
        <w:rPr>
          <w:rFonts w:ascii="Times New Roman" w:hAnsi="Times New Roman" w:cs="Times New Roman"/>
          <w:sz w:val="24"/>
          <w:szCs w:val="24"/>
        </w:rPr>
        <w:t>Symoens</w:t>
      </w:r>
      <w:proofErr w:type="spellEnd"/>
      <w:r w:rsidRPr="00BD76FF">
        <w:rPr>
          <w:rFonts w:ascii="Times New Roman" w:hAnsi="Times New Roman" w:cs="Times New Roman"/>
          <w:sz w:val="24"/>
          <w:szCs w:val="24"/>
        </w:rPr>
        <w:t xml:space="preserve">, H. (ed.) </w:t>
      </w:r>
      <w:r w:rsidRPr="00BD76FF">
        <w:rPr>
          <w:rFonts w:ascii="Times New Roman" w:hAnsi="Times New Roman" w:cs="Times New Roman"/>
          <w:i/>
          <w:sz w:val="24"/>
          <w:szCs w:val="24"/>
        </w:rPr>
        <w:t>A History of the University in Europe, Vol. 1: Universities in the Middle Ages</w:t>
      </w:r>
      <w:r w:rsidRPr="00BD76FF">
        <w:rPr>
          <w:rFonts w:ascii="Times New Roman" w:hAnsi="Times New Roman" w:cs="Times New Roman"/>
          <w:sz w:val="24"/>
          <w:szCs w:val="24"/>
        </w:rPr>
        <w:t xml:space="preserve"> (Cambridge: Cambridge University Press), pp. 35-76.</w:t>
      </w:r>
    </w:p>
    <w:p w14:paraId="7A0BA6EF" w14:textId="77777777" w:rsidR="00BD76FF" w:rsidRPr="00BD76FF" w:rsidRDefault="00BD76FF" w:rsidP="00BD76FF">
      <w:pPr>
        <w:shd w:val="clear" w:color="auto" w:fill="FFFFFF"/>
        <w:spacing w:after="0" w:line="240" w:lineRule="auto"/>
        <w:jc w:val="both"/>
        <w:rPr>
          <w:rFonts w:ascii="Times New Roman" w:eastAsia="Times New Roman" w:hAnsi="Times New Roman" w:cs="Times New Roman"/>
          <w:sz w:val="24"/>
          <w:szCs w:val="24"/>
        </w:rPr>
      </w:pPr>
      <w:proofErr w:type="spellStart"/>
      <w:r w:rsidRPr="00BD76FF">
        <w:rPr>
          <w:rFonts w:ascii="Times New Roman" w:eastAsia="Times New Roman" w:hAnsi="Times New Roman" w:cs="Times New Roman"/>
          <w:sz w:val="24"/>
          <w:szCs w:val="24"/>
        </w:rPr>
        <w:t>Wolhuter</w:t>
      </w:r>
      <w:proofErr w:type="spellEnd"/>
      <w:r w:rsidRPr="00BD76FF">
        <w:rPr>
          <w:rFonts w:ascii="Times New Roman" w:eastAsia="Times New Roman" w:hAnsi="Times New Roman" w:cs="Times New Roman"/>
          <w:sz w:val="24"/>
          <w:szCs w:val="24"/>
        </w:rPr>
        <w:t>, C.C. (2007) ‘Higher Education: Vanguard of Education System Faces Change’ in </w:t>
      </w:r>
      <w:proofErr w:type="spellStart"/>
      <w:r w:rsidRPr="00BD76FF">
        <w:rPr>
          <w:rFonts w:ascii="Times New Roman" w:eastAsia="Times New Roman" w:hAnsi="Times New Roman" w:cs="Times New Roman"/>
          <w:sz w:val="24"/>
          <w:szCs w:val="24"/>
        </w:rPr>
        <w:t>Wolhuter</w:t>
      </w:r>
      <w:proofErr w:type="spellEnd"/>
      <w:r w:rsidRPr="00BD76FF">
        <w:rPr>
          <w:rFonts w:ascii="Times New Roman" w:eastAsia="Times New Roman" w:hAnsi="Times New Roman" w:cs="Times New Roman"/>
          <w:sz w:val="24"/>
          <w:szCs w:val="24"/>
        </w:rPr>
        <w:t xml:space="preserve">, C.C., Lemmer, E.M. and de Wet, N.C. (Eds) </w:t>
      </w:r>
      <w:r w:rsidRPr="00BD76FF">
        <w:rPr>
          <w:rFonts w:ascii="Times New Roman" w:eastAsia="Times New Roman" w:hAnsi="Times New Roman" w:cs="Times New Roman"/>
          <w:i/>
          <w:sz w:val="24"/>
          <w:szCs w:val="24"/>
        </w:rPr>
        <w:t>Comparative Education: Education Systems and Contemporary Issues</w:t>
      </w:r>
      <w:r w:rsidRPr="00BD76FF">
        <w:rPr>
          <w:rFonts w:ascii="Times New Roman" w:eastAsia="Times New Roman" w:hAnsi="Times New Roman" w:cs="Times New Roman"/>
          <w:sz w:val="24"/>
          <w:szCs w:val="24"/>
        </w:rPr>
        <w:t xml:space="preserve"> (Pretoria: Van Schaik Publishers), pp. 210-221.</w:t>
      </w:r>
    </w:p>
    <w:p w14:paraId="2C101896" w14:textId="77777777" w:rsidR="002D5DDE" w:rsidRPr="00C14AF0" w:rsidRDefault="002D5DDE">
      <w:pPr>
        <w:rPr>
          <w:sz w:val="24"/>
          <w:szCs w:val="24"/>
        </w:rPr>
      </w:pPr>
    </w:p>
    <w:sectPr w:rsidR="002D5DDE" w:rsidRPr="00C14AF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4ADD85" w14:textId="77777777" w:rsidR="00CB611F" w:rsidRDefault="00CB611F" w:rsidP="00BD76FF">
      <w:pPr>
        <w:spacing w:after="0" w:line="240" w:lineRule="auto"/>
      </w:pPr>
      <w:r>
        <w:separator/>
      </w:r>
    </w:p>
  </w:endnote>
  <w:endnote w:type="continuationSeparator" w:id="0">
    <w:p w14:paraId="71681405" w14:textId="77777777" w:rsidR="00CB611F" w:rsidRDefault="00CB611F" w:rsidP="00BD76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auto"/>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5970CB" w14:textId="77777777" w:rsidR="00CB611F" w:rsidRDefault="00CB611F" w:rsidP="00BD76FF">
      <w:pPr>
        <w:spacing w:after="0" w:line="240" w:lineRule="auto"/>
      </w:pPr>
      <w:r>
        <w:separator/>
      </w:r>
    </w:p>
  </w:footnote>
  <w:footnote w:type="continuationSeparator" w:id="0">
    <w:p w14:paraId="39E91C5E" w14:textId="77777777" w:rsidR="00CB611F" w:rsidRDefault="00CB611F" w:rsidP="00BD76F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FD7F3A"/>
    <w:multiLevelType w:val="hybridMultilevel"/>
    <w:tmpl w:val="5000A2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F4C7157"/>
    <w:multiLevelType w:val="hybridMultilevel"/>
    <w:tmpl w:val="ACEA163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6CAF3850"/>
    <w:multiLevelType w:val="hybridMultilevel"/>
    <w:tmpl w:val="227AE2D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7A707904"/>
    <w:multiLevelType w:val="hybridMultilevel"/>
    <w:tmpl w:val="C7EE84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81860794">
    <w:abstractNumId w:val="1"/>
  </w:num>
  <w:num w:numId="2" w16cid:durableId="1324354104">
    <w:abstractNumId w:val="3"/>
  </w:num>
  <w:num w:numId="3" w16cid:durableId="890965713">
    <w:abstractNumId w:val="2"/>
  </w:num>
  <w:num w:numId="4" w16cid:durableId="15959431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76FF"/>
    <w:rsid w:val="00013DA3"/>
    <w:rsid w:val="0003454A"/>
    <w:rsid w:val="0004309A"/>
    <w:rsid w:val="0008424D"/>
    <w:rsid w:val="000E4C51"/>
    <w:rsid w:val="000F45F6"/>
    <w:rsid w:val="0012163B"/>
    <w:rsid w:val="0012396E"/>
    <w:rsid w:val="00153DBD"/>
    <w:rsid w:val="00196E45"/>
    <w:rsid w:val="00206FE7"/>
    <w:rsid w:val="002306CE"/>
    <w:rsid w:val="002353E1"/>
    <w:rsid w:val="002468DE"/>
    <w:rsid w:val="002708B9"/>
    <w:rsid w:val="002B1F41"/>
    <w:rsid w:val="002D5050"/>
    <w:rsid w:val="002D5DDE"/>
    <w:rsid w:val="00306171"/>
    <w:rsid w:val="00317006"/>
    <w:rsid w:val="003B7279"/>
    <w:rsid w:val="003C2C64"/>
    <w:rsid w:val="004077CE"/>
    <w:rsid w:val="004174B9"/>
    <w:rsid w:val="004421AE"/>
    <w:rsid w:val="004A4BB6"/>
    <w:rsid w:val="00534801"/>
    <w:rsid w:val="00551A92"/>
    <w:rsid w:val="005F558E"/>
    <w:rsid w:val="00630645"/>
    <w:rsid w:val="00653215"/>
    <w:rsid w:val="006E4C53"/>
    <w:rsid w:val="00731582"/>
    <w:rsid w:val="007A5ADC"/>
    <w:rsid w:val="007B1383"/>
    <w:rsid w:val="007F08F2"/>
    <w:rsid w:val="00821B91"/>
    <w:rsid w:val="00826FE1"/>
    <w:rsid w:val="008358EB"/>
    <w:rsid w:val="00864637"/>
    <w:rsid w:val="008947DC"/>
    <w:rsid w:val="00897EC2"/>
    <w:rsid w:val="008E113C"/>
    <w:rsid w:val="008E5A10"/>
    <w:rsid w:val="0090272C"/>
    <w:rsid w:val="00905306"/>
    <w:rsid w:val="00947149"/>
    <w:rsid w:val="009A23C0"/>
    <w:rsid w:val="009A6AA8"/>
    <w:rsid w:val="00A64799"/>
    <w:rsid w:val="00AB0A2D"/>
    <w:rsid w:val="00AB3AA4"/>
    <w:rsid w:val="00AB4ED2"/>
    <w:rsid w:val="00B1481A"/>
    <w:rsid w:val="00B236DB"/>
    <w:rsid w:val="00B5400A"/>
    <w:rsid w:val="00BD76FF"/>
    <w:rsid w:val="00BE03B1"/>
    <w:rsid w:val="00C14AF0"/>
    <w:rsid w:val="00C71133"/>
    <w:rsid w:val="00C9125F"/>
    <w:rsid w:val="00CB611F"/>
    <w:rsid w:val="00D367C3"/>
    <w:rsid w:val="00DE4EA1"/>
    <w:rsid w:val="00E1323F"/>
    <w:rsid w:val="00EC2CAB"/>
    <w:rsid w:val="00ED2BF5"/>
    <w:rsid w:val="00EF1449"/>
    <w:rsid w:val="00F447B4"/>
    <w:rsid w:val="00F74AF8"/>
    <w:rsid w:val="00FF59D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D65535"/>
  <w15:chartTrackingRefBased/>
  <w15:docId w15:val="{5DABE6D9-17EC-4E46-AB0A-C128194EA9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semiHidden/>
    <w:unhideWhenUsed/>
    <w:rsid w:val="00BD76FF"/>
    <w:pPr>
      <w:spacing w:line="240" w:lineRule="auto"/>
    </w:pPr>
    <w:rPr>
      <w:sz w:val="20"/>
      <w:szCs w:val="20"/>
    </w:rPr>
  </w:style>
  <w:style w:type="character" w:customStyle="1" w:styleId="CommentTextChar">
    <w:name w:val="Comment Text Char"/>
    <w:basedOn w:val="DefaultParagraphFont"/>
    <w:link w:val="CommentText"/>
    <w:uiPriority w:val="99"/>
    <w:semiHidden/>
    <w:rsid w:val="00BD76FF"/>
    <w:rPr>
      <w:sz w:val="20"/>
      <w:szCs w:val="20"/>
    </w:rPr>
  </w:style>
  <w:style w:type="paragraph" w:styleId="EndnoteText">
    <w:name w:val="endnote text"/>
    <w:basedOn w:val="Normal"/>
    <w:link w:val="EndnoteTextChar"/>
    <w:uiPriority w:val="99"/>
    <w:semiHidden/>
    <w:rsid w:val="00BD76FF"/>
    <w:pPr>
      <w:spacing w:after="0" w:line="240" w:lineRule="auto"/>
    </w:pPr>
    <w:rPr>
      <w:rFonts w:ascii="Times" w:eastAsia="Times" w:hAnsi="Times" w:cs="Times New Roman"/>
      <w:sz w:val="20"/>
      <w:szCs w:val="20"/>
    </w:rPr>
  </w:style>
  <w:style w:type="character" w:customStyle="1" w:styleId="EndnoteTextChar">
    <w:name w:val="Endnote Text Char"/>
    <w:basedOn w:val="DefaultParagraphFont"/>
    <w:link w:val="EndnoteText"/>
    <w:uiPriority w:val="99"/>
    <w:semiHidden/>
    <w:rsid w:val="00BD76FF"/>
    <w:rPr>
      <w:rFonts w:ascii="Times" w:eastAsia="Times" w:hAnsi="Times" w:cs="Times New Roman"/>
      <w:sz w:val="20"/>
      <w:szCs w:val="20"/>
    </w:rPr>
  </w:style>
  <w:style w:type="character" w:styleId="EndnoteReference">
    <w:name w:val="endnote reference"/>
    <w:semiHidden/>
    <w:rsid w:val="00BD76FF"/>
    <w:rPr>
      <w:vertAlign w:val="superscript"/>
    </w:rPr>
  </w:style>
  <w:style w:type="paragraph" w:styleId="FootnoteText">
    <w:name w:val="footnote text"/>
    <w:basedOn w:val="Normal"/>
    <w:link w:val="FootnoteTextChar"/>
    <w:uiPriority w:val="99"/>
    <w:semiHidden/>
    <w:unhideWhenUsed/>
    <w:rsid w:val="00BD76FF"/>
    <w:pPr>
      <w:spacing w:after="0" w:line="240" w:lineRule="auto"/>
    </w:pPr>
    <w:rPr>
      <w:sz w:val="20"/>
      <w:szCs w:val="20"/>
      <w:lang w:val="en-GB"/>
    </w:rPr>
  </w:style>
  <w:style w:type="character" w:customStyle="1" w:styleId="FootnoteTextChar">
    <w:name w:val="Footnote Text Char"/>
    <w:basedOn w:val="DefaultParagraphFont"/>
    <w:link w:val="FootnoteText"/>
    <w:uiPriority w:val="99"/>
    <w:semiHidden/>
    <w:rsid w:val="00BD76FF"/>
    <w:rPr>
      <w:sz w:val="20"/>
      <w:szCs w:val="20"/>
      <w:lang w:val="en-GB"/>
    </w:rPr>
  </w:style>
  <w:style w:type="character" w:styleId="FootnoteReference">
    <w:name w:val="footnote reference"/>
    <w:basedOn w:val="DefaultParagraphFont"/>
    <w:uiPriority w:val="99"/>
    <w:semiHidden/>
    <w:unhideWhenUsed/>
    <w:rsid w:val="00BD76FF"/>
    <w:rPr>
      <w:vertAlign w:val="superscript"/>
    </w:rPr>
  </w:style>
  <w:style w:type="character" w:styleId="CommentReference">
    <w:name w:val="annotation reference"/>
    <w:basedOn w:val="DefaultParagraphFont"/>
    <w:uiPriority w:val="99"/>
    <w:semiHidden/>
    <w:unhideWhenUsed/>
    <w:rsid w:val="00BD76FF"/>
    <w:rPr>
      <w:sz w:val="16"/>
      <w:szCs w:val="16"/>
    </w:rPr>
  </w:style>
  <w:style w:type="paragraph" w:styleId="BalloonText">
    <w:name w:val="Balloon Text"/>
    <w:basedOn w:val="Normal"/>
    <w:link w:val="BalloonTextChar"/>
    <w:uiPriority w:val="99"/>
    <w:semiHidden/>
    <w:unhideWhenUsed/>
    <w:rsid w:val="00BD76F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D76FF"/>
    <w:rPr>
      <w:rFonts w:ascii="Segoe UI" w:hAnsi="Segoe UI" w:cs="Segoe UI"/>
      <w:sz w:val="18"/>
      <w:szCs w:val="18"/>
    </w:rPr>
  </w:style>
  <w:style w:type="character" w:styleId="Hyperlink">
    <w:name w:val="Hyperlink"/>
    <w:basedOn w:val="DefaultParagraphFont"/>
    <w:uiPriority w:val="99"/>
    <w:unhideWhenUsed/>
    <w:rsid w:val="00630645"/>
    <w:rPr>
      <w:color w:val="0563C1" w:themeColor="hyperlink"/>
      <w:u w:val="single"/>
    </w:rPr>
  </w:style>
  <w:style w:type="character" w:styleId="UnresolvedMention">
    <w:name w:val="Unresolved Mention"/>
    <w:basedOn w:val="DefaultParagraphFont"/>
    <w:uiPriority w:val="99"/>
    <w:semiHidden/>
    <w:unhideWhenUsed/>
    <w:rsid w:val="00630645"/>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qualityresearchinternational.com/glossary/index.htm" TargetMode="External"/><Relationship Id="rId3" Type="http://schemas.openxmlformats.org/officeDocument/2006/relationships/settings" Target="settings.xml"/><Relationship Id="rId7" Type="http://schemas.openxmlformats.org/officeDocument/2006/relationships/hyperlink" Target="mailto:Judith.harford@ucd.i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5126</Words>
  <Characters>29222</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Judith</dc:creator>
  <cp:keywords/>
  <dc:description/>
  <cp:lastModifiedBy>Judith Harford</cp:lastModifiedBy>
  <cp:revision>2</cp:revision>
  <dcterms:created xsi:type="dcterms:W3CDTF">2023-05-10T09:35:00Z</dcterms:created>
  <dcterms:modified xsi:type="dcterms:W3CDTF">2023-05-10T09:35:00Z</dcterms:modified>
</cp:coreProperties>
</file>