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C872BE" w14:textId="623BAC8A" w:rsidR="00950273" w:rsidRPr="00C57F69" w:rsidRDefault="00DE18B7" w:rsidP="00B80189">
      <w:pPr>
        <w:spacing w:after="0" w:line="480" w:lineRule="auto"/>
        <w:jc w:val="both"/>
        <w:rPr>
          <w:rFonts w:ascii="Times New Roman" w:eastAsia="Times New Roman" w:hAnsi="Times New Roman" w:cs="Times New Roman"/>
          <w:b/>
          <w:bCs/>
          <w:spacing w:val="5"/>
          <w:sz w:val="24"/>
          <w:szCs w:val="24"/>
        </w:rPr>
      </w:pPr>
      <w:r>
        <w:rPr>
          <w:rFonts w:ascii="Times New Roman" w:eastAsia="Times New Roman" w:hAnsi="Times New Roman" w:cs="Times New Roman"/>
          <w:b/>
          <w:bCs/>
          <w:spacing w:val="5"/>
          <w:sz w:val="24"/>
          <w:szCs w:val="24"/>
        </w:rPr>
        <w:t xml:space="preserve">Becoming </w:t>
      </w:r>
      <w:r w:rsidR="0098613D" w:rsidRPr="00C57F69">
        <w:rPr>
          <w:rFonts w:ascii="Times New Roman" w:eastAsia="Times New Roman" w:hAnsi="Times New Roman" w:cs="Times New Roman"/>
          <w:b/>
          <w:bCs/>
          <w:spacing w:val="5"/>
          <w:sz w:val="24"/>
          <w:szCs w:val="24"/>
        </w:rPr>
        <w:t>Women</w:t>
      </w:r>
      <w:r>
        <w:rPr>
          <w:rFonts w:ascii="Times New Roman" w:eastAsia="Times New Roman" w:hAnsi="Times New Roman" w:cs="Times New Roman"/>
          <w:b/>
          <w:bCs/>
          <w:spacing w:val="5"/>
          <w:sz w:val="24"/>
          <w:szCs w:val="24"/>
        </w:rPr>
        <w:t xml:space="preserve"> Teachers</w:t>
      </w:r>
      <w:r w:rsidR="0098613D" w:rsidRPr="00C57F69">
        <w:rPr>
          <w:rFonts w:ascii="Times New Roman" w:eastAsia="Times New Roman" w:hAnsi="Times New Roman" w:cs="Times New Roman"/>
          <w:b/>
          <w:bCs/>
          <w:spacing w:val="5"/>
          <w:sz w:val="24"/>
          <w:szCs w:val="24"/>
        </w:rPr>
        <w:t xml:space="preserve">: </w:t>
      </w:r>
      <w:r w:rsidR="00133AB0" w:rsidRPr="00C57F69">
        <w:rPr>
          <w:rFonts w:ascii="Times New Roman" w:eastAsia="Times New Roman" w:hAnsi="Times New Roman" w:cs="Times New Roman"/>
          <w:b/>
          <w:bCs/>
          <w:spacing w:val="5"/>
          <w:sz w:val="24"/>
          <w:szCs w:val="24"/>
        </w:rPr>
        <w:t>Gender</w:t>
      </w:r>
      <w:r w:rsidR="00950273" w:rsidRPr="00C57F69">
        <w:rPr>
          <w:rFonts w:ascii="Times New Roman" w:eastAsia="Times New Roman" w:hAnsi="Times New Roman" w:cs="Times New Roman"/>
          <w:b/>
          <w:bCs/>
          <w:spacing w:val="5"/>
          <w:sz w:val="24"/>
          <w:szCs w:val="24"/>
        </w:rPr>
        <w:t xml:space="preserve"> and </w:t>
      </w:r>
      <w:r w:rsidR="0097263F" w:rsidRPr="00C57F69">
        <w:rPr>
          <w:rFonts w:ascii="Times New Roman" w:eastAsia="Times New Roman" w:hAnsi="Times New Roman" w:cs="Times New Roman"/>
          <w:b/>
          <w:bCs/>
          <w:spacing w:val="5"/>
          <w:sz w:val="24"/>
          <w:szCs w:val="24"/>
        </w:rPr>
        <w:t xml:space="preserve">Primary </w:t>
      </w:r>
      <w:r w:rsidR="00950273" w:rsidRPr="00C57F69">
        <w:rPr>
          <w:rFonts w:ascii="Times New Roman" w:eastAsia="Times New Roman" w:hAnsi="Times New Roman" w:cs="Times New Roman"/>
          <w:b/>
          <w:bCs/>
          <w:spacing w:val="5"/>
          <w:sz w:val="24"/>
          <w:szCs w:val="24"/>
        </w:rPr>
        <w:t>Teacher Training in Ireland, 1922-19</w:t>
      </w:r>
      <w:r w:rsidR="0097263F" w:rsidRPr="00C57F69">
        <w:rPr>
          <w:rFonts w:ascii="Times New Roman" w:eastAsia="Times New Roman" w:hAnsi="Times New Roman" w:cs="Times New Roman"/>
          <w:b/>
          <w:bCs/>
          <w:spacing w:val="5"/>
          <w:sz w:val="24"/>
          <w:szCs w:val="24"/>
        </w:rPr>
        <w:t>74</w:t>
      </w:r>
    </w:p>
    <w:p w14:paraId="1B655421" w14:textId="302DFBD7" w:rsidR="007E11AC" w:rsidRPr="00C57F69" w:rsidRDefault="009A31B3" w:rsidP="006C6A4C">
      <w:pPr>
        <w:spacing w:after="150" w:line="240" w:lineRule="auto"/>
        <w:jc w:val="both"/>
        <w:rPr>
          <w:rFonts w:ascii="Times New Roman" w:eastAsia="Times New Roman" w:hAnsi="Times New Roman" w:cs="Times New Roman"/>
          <w:b/>
          <w:bCs/>
          <w:spacing w:val="5"/>
          <w:sz w:val="24"/>
          <w:szCs w:val="24"/>
        </w:rPr>
      </w:pPr>
      <w:r w:rsidRPr="00C57F69">
        <w:rPr>
          <w:rFonts w:ascii="Times New Roman" w:eastAsia="Times New Roman" w:hAnsi="Times New Roman" w:cs="Times New Roman"/>
          <w:b/>
          <w:bCs/>
          <w:spacing w:val="5"/>
          <w:sz w:val="24"/>
          <w:szCs w:val="24"/>
        </w:rPr>
        <w:t xml:space="preserve">Judith Harford &amp; </w:t>
      </w:r>
      <w:r w:rsidR="00C65B52" w:rsidRPr="00C57F69">
        <w:rPr>
          <w:rFonts w:ascii="Times New Roman" w:eastAsia="Times New Roman" w:hAnsi="Times New Roman" w:cs="Times New Roman"/>
          <w:b/>
          <w:bCs/>
          <w:spacing w:val="5"/>
          <w:sz w:val="24"/>
          <w:szCs w:val="24"/>
        </w:rPr>
        <w:t>Á</w:t>
      </w:r>
      <w:r w:rsidRPr="00C57F69">
        <w:rPr>
          <w:rFonts w:ascii="Times New Roman" w:eastAsia="Times New Roman" w:hAnsi="Times New Roman" w:cs="Times New Roman"/>
          <w:b/>
          <w:bCs/>
          <w:spacing w:val="5"/>
          <w:sz w:val="24"/>
          <w:szCs w:val="24"/>
        </w:rPr>
        <w:t>ine Hyland</w:t>
      </w:r>
    </w:p>
    <w:p w14:paraId="1D4E49FE" w14:textId="77777777" w:rsidR="00B80189" w:rsidRPr="00C57F69" w:rsidRDefault="00B80189" w:rsidP="00B80189">
      <w:pPr>
        <w:spacing w:after="0" w:line="240" w:lineRule="auto"/>
        <w:jc w:val="both"/>
        <w:rPr>
          <w:rFonts w:ascii="Times New Roman" w:eastAsia="Times New Roman" w:hAnsi="Times New Roman" w:cs="Times New Roman"/>
          <w:b/>
          <w:bCs/>
          <w:spacing w:val="5"/>
          <w:sz w:val="24"/>
          <w:szCs w:val="24"/>
        </w:rPr>
      </w:pPr>
    </w:p>
    <w:p w14:paraId="209B3006" w14:textId="2734A8E9" w:rsidR="00B80189" w:rsidRPr="00C57F69" w:rsidRDefault="006C6A4C" w:rsidP="00EC3D81">
      <w:pPr>
        <w:spacing w:after="150" w:line="240" w:lineRule="auto"/>
        <w:jc w:val="both"/>
        <w:rPr>
          <w:rFonts w:ascii="Times New Roman" w:eastAsia="Times New Roman" w:hAnsi="Times New Roman" w:cs="Times New Roman"/>
          <w:b/>
          <w:bCs/>
          <w:spacing w:val="5"/>
          <w:sz w:val="24"/>
          <w:szCs w:val="24"/>
        </w:rPr>
      </w:pPr>
      <w:r w:rsidRPr="00C57F69">
        <w:rPr>
          <w:rFonts w:ascii="Times New Roman" w:eastAsia="Times New Roman" w:hAnsi="Times New Roman" w:cs="Times New Roman"/>
          <w:b/>
          <w:bCs/>
          <w:spacing w:val="5"/>
          <w:sz w:val="24"/>
          <w:szCs w:val="24"/>
        </w:rPr>
        <w:t>Abstract</w:t>
      </w:r>
    </w:p>
    <w:p w14:paraId="2E45033E" w14:textId="47948634" w:rsidR="00203BD3" w:rsidRPr="00C57F69" w:rsidRDefault="006C6A4C" w:rsidP="00744C0A">
      <w:pPr>
        <w:spacing w:after="0" w:line="480" w:lineRule="auto"/>
        <w:jc w:val="both"/>
        <w:rPr>
          <w:rFonts w:ascii="Times New Roman" w:hAnsi="Times New Roman" w:cs="Times New Roman"/>
          <w:sz w:val="24"/>
          <w:szCs w:val="24"/>
        </w:rPr>
      </w:pPr>
      <w:r w:rsidRPr="00C57F69">
        <w:rPr>
          <w:rFonts w:ascii="Times New Roman" w:eastAsia="Times New Roman" w:hAnsi="Times New Roman" w:cs="Times New Roman"/>
          <w:spacing w:val="5"/>
          <w:sz w:val="24"/>
          <w:szCs w:val="24"/>
        </w:rPr>
        <w:t xml:space="preserve">Drawing on archival material and oral testimony of former students, this paper examines the lives and experiences of women in </w:t>
      </w:r>
      <w:r w:rsidR="00490917" w:rsidRPr="00C57F69">
        <w:rPr>
          <w:rFonts w:ascii="Times New Roman" w:eastAsia="Times New Roman" w:hAnsi="Times New Roman" w:cs="Times New Roman"/>
          <w:spacing w:val="5"/>
          <w:sz w:val="24"/>
          <w:szCs w:val="24"/>
        </w:rPr>
        <w:t xml:space="preserve">Catholic </w:t>
      </w:r>
      <w:r w:rsidR="0097263F" w:rsidRPr="00C57F69">
        <w:rPr>
          <w:rFonts w:ascii="Times New Roman" w:eastAsia="Times New Roman" w:hAnsi="Times New Roman" w:cs="Times New Roman"/>
          <w:spacing w:val="5"/>
          <w:sz w:val="24"/>
          <w:szCs w:val="24"/>
        </w:rPr>
        <w:t xml:space="preserve">primary </w:t>
      </w:r>
      <w:r w:rsidRPr="00C57F69">
        <w:rPr>
          <w:rFonts w:ascii="Times New Roman" w:eastAsia="Times New Roman" w:hAnsi="Times New Roman" w:cs="Times New Roman"/>
          <w:spacing w:val="5"/>
          <w:sz w:val="24"/>
          <w:szCs w:val="24"/>
        </w:rPr>
        <w:t>teacher training colleges in Ireland in the period 1922-19</w:t>
      </w:r>
      <w:r w:rsidR="0097263F" w:rsidRPr="00C57F69">
        <w:rPr>
          <w:rFonts w:ascii="Times New Roman" w:eastAsia="Times New Roman" w:hAnsi="Times New Roman" w:cs="Times New Roman"/>
          <w:spacing w:val="5"/>
          <w:sz w:val="24"/>
          <w:szCs w:val="24"/>
        </w:rPr>
        <w:t>74</w:t>
      </w:r>
      <w:r w:rsidRPr="00C57F69">
        <w:rPr>
          <w:rFonts w:ascii="Times New Roman" w:eastAsia="Times New Roman" w:hAnsi="Times New Roman" w:cs="Times New Roman"/>
          <w:spacing w:val="5"/>
          <w:sz w:val="24"/>
          <w:szCs w:val="24"/>
        </w:rPr>
        <w:t>. It commences with a brief overview of the historical context in which these colleges emerged, situating their development within the socio-political and cultural context of the emerging Free State</w:t>
      </w:r>
      <w:r w:rsidR="0097263F" w:rsidRPr="00C57F69">
        <w:rPr>
          <w:rFonts w:ascii="Times New Roman" w:eastAsia="Times New Roman" w:hAnsi="Times New Roman" w:cs="Times New Roman"/>
          <w:spacing w:val="5"/>
          <w:sz w:val="24"/>
          <w:szCs w:val="24"/>
        </w:rPr>
        <w:t xml:space="preserve"> and the changing primary school curriculum</w:t>
      </w:r>
      <w:r w:rsidRPr="00C57F69">
        <w:rPr>
          <w:rFonts w:ascii="Times New Roman" w:eastAsia="Times New Roman" w:hAnsi="Times New Roman" w:cs="Times New Roman"/>
          <w:spacing w:val="5"/>
          <w:sz w:val="24"/>
          <w:szCs w:val="24"/>
        </w:rPr>
        <w:t xml:space="preserve">. </w:t>
      </w:r>
      <w:r w:rsidR="00490917" w:rsidRPr="00C57F69">
        <w:rPr>
          <w:rFonts w:ascii="Times New Roman" w:eastAsia="Times New Roman" w:hAnsi="Times New Roman" w:cs="Times New Roman"/>
          <w:spacing w:val="5"/>
          <w:sz w:val="24"/>
          <w:szCs w:val="24"/>
        </w:rPr>
        <w:t>R</w:t>
      </w:r>
      <w:r w:rsidRPr="00C57F69">
        <w:rPr>
          <w:rFonts w:ascii="Times New Roman" w:eastAsia="Times New Roman" w:hAnsi="Times New Roman" w:cs="Times New Roman"/>
          <w:spacing w:val="5"/>
          <w:sz w:val="24"/>
          <w:szCs w:val="24"/>
        </w:rPr>
        <w:t xml:space="preserve">esidential </w:t>
      </w:r>
      <w:r w:rsidR="0097263F" w:rsidRPr="00C57F69">
        <w:rPr>
          <w:rFonts w:ascii="Times New Roman" w:eastAsia="Times New Roman" w:hAnsi="Times New Roman" w:cs="Times New Roman"/>
          <w:spacing w:val="5"/>
          <w:sz w:val="24"/>
          <w:szCs w:val="24"/>
        </w:rPr>
        <w:t>and single-sex</w:t>
      </w:r>
      <w:r w:rsidR="00490917" w:rsidRPr="00C57F69">
        <w:rPr>
          <w:rFonts w:ascii="Times New Roman" w:eastAsia="Times New Roman" w:hAnsi="Times New Roman" w:cs="Times New Roman"/>
          <w:spacing w:val="5"/>
          <w:sz w:val="24"/>
          <w:szCs w:val="24"/>
        </w:rPr>
        <w:t>,</w:t>
      </w:r>
      <w:r w:rsidR="0097263F" w:rsidRPr="00C57F69">
        <w:rPr>
          <w:rFonts w:ascii="Times New Roman" w:eastAsia="Times New Roman" w:hAnsi="Times New Roman" w:cs="Times New Roman"/>
          <w:spacing w:val="5"/>
          <w:sz w:val="24"/>
          <w:szCs w:val="24"/>
        </w:rPr>
        <w:t xml:space="preserve"> </w:t>
      </w:r>
      <w:r w:rsidRPr="00C57F69">
        <w:rPr>
          <w:rFonts w:ascii="Times New Roman" w:eastAsia="Times New Roman" w:hAnsi="Times New Roman" w:cs="Times New Roman"/>
          <w:spacing w:val="5"/>
          <w:sz w:val="24"/>
          <w:szCs w:val="24"/>
        </w:rPr>
        <w:t>the paper argues that the colleges promoted a gendered ideology and culture of femininity</w:t>
      </w:r>
      <w:r w:rsidR="00084E12" w:rsidRPr="00C57F69">
        <w:rPr>
          <w:rFonts w:ascii="Times New Roman" w:eastAsia="Times New Roman" w:hAnsi="Times New Roman" w:cs="Times New Roman"/>
          <w:spacing w:val="5"/>
          <w:sz w:val="24"/>
          <w:szCs w:val="24"/>
        </w:rPr>
        <w:t xml:space="preserve"> </w:t>
      </w:r>
      <w:r w:rsidRPr="00C57F69">
        <w:rPr>
          <w:rFonts w:ascii="Times New Roman" w:eastAsia="Times New Roman" w:hAnsi="Times New Roman" w:cs="Times New Roman"/>
          <w:spacing w:val="5"/>
          <w:sz w:val="24"/>
          <w:szCs w:val="24"/>
        </w:rPr>
        <w:t xml:space="preserve">which </w:t>
      </w:r>
      <w:r w:rsidR="006A25BA" w:rsidRPr="00C57F69">
        <w:rPr>
          <w:rFonts w:ascii="Times New Roman" w:eastAsia="Times New Roman" w:hAnsi="Times New Roman" w:cs="Times New Roman"/>
          <w:spacing w:val="5"/>
          <w:sz w:val="24"/>
          <w:szCs w:val="24"/>
        </w:rPr>
        <w:t>mirrored</w:t>
      </w:r>
      <w:r w:rsidRPr="00C57F69">
        <w:rPr>
          <w:rFonts w:ascii="Times New Roman" w:eastAsia="Times New Roman" w:hAnsi="Times New Roman" w:cs="Times New Roman"/>
          <w:spacing w:val="5"/>
          <w:sz w:val="24"/>
          <w:szCs w:val="24"/>
        </w:rPr>
        <w:t xml:space="preserve"> the </w:t>
      </w:r>
      <w:r w:rsidRPr="00C57F69">
        <w:rPr>
          <w:rFonts w:ascii="Times New Roman" w:hAnsi="Times New Roman" w:cs="Times New Roman"/>
          <w:sz w:val="24"/>
          <w:szCs w:val="24"/>
        </w:rPr>
        <w:t>conservative, nationalistic and ultramontane agenda of post-Independence Ireland.</w:t>
      </w:r>
      <w:r w:rsidR="008E2F43" w:rsidRPr="00C57F69">
        <w:rPr>
          <w:rFonts w:ascii="Times New Roman" w:hAnsi="Times New Roman" w:cs="Times New Roman"/>
          <w:sz w:val="24"/>
          <w:szCs w:val="24"/>
        </w:rPr>
        <w:t xml:space="preserve"> </w:t>
      </w:r>
      <w:r w:rsidR="00203BD3" w:rsidRPr="00C57F69">
        <w:rPr>
          <w:rFonts w:ascii="Times New Roman" w:hAnsi="Times New Roman" w:cs="Times New Roman"/>
          <w:sz w:val="24"/>
          <w:szCs w:val="24"/>
        </w:rPr>
        <w:t xml:space="preserve">Paradoxically, while this often led to </w:t>
      </w:r>
      <w:r w:rsidR="008E2F43" w:rsidRPr="00C57F69">
        <w:rPr>
          <w:rFonts w:ascii="Times New Roman" w:hAnsi="Times New Roman" w:cs="Times New Roman"/>
          <w:sz w:val="24"/>
          <w:szCs w:val="24"/>
        </w:rPr>
        <w:t xml:space="preserve">a </w:t>
      </w:r>
      <w:r w:rsidR="008F610E" w:rsidRPr="00C57F69">
        <w:rPr>
          <w:rFonts w:ascii="Times New Roman" w:hAnsi="Times New Roman" w:cs="Times New Roman"/>
          <w:sz w:val="24"/>
          <w:szCs w:val="24"/>
        </w:rPr>
        <w:t>limited</w:t>
      </w:r>
      <w:r w:rsidR="008E2F43" w:rsidRPr="00C57F69">
        <w:rPr>
          <w:rFonts w:ascii="Times New Roman" w:hAnsi="Times New Roman" w:cs="Times New Roman"/>
          <w:sz w:val="24"/>
          <w:szCs w:val="24"/>
        </w:rPr>
        <w:t>, anti-intellectual experience and a hegemonic framing of women teachers’ professionalism</w:t>
      </w:r>
      <w:r w:rsidR="00203BD3" w:rsidRPr="00C57F69">
        <w:rPr>
          <w:rFonts w:ascii="Times New Roman" w:hAnsi="Times New Roman" w:cs="Times New Roman"/>
          <w:sz w:val="24"/>
          <w:szCs w:val="24"/>
        </w:rPr>
        <w:t xml:space="preserve">, many graduates used their new-found professional status as teachers to embrace </w:t>
      </w:r>
      <w:r w:rsidR="00960CCB" w:rsidRPr="00C57F69">
        <w:rPr>
          <w:rFonts w:ascii="Times New Roman" w:hAnsi="Times New Roman" w:cs="Times New Roman"/>
          <w:sz w:val="24"/>
          <w:szCs w:val="24"/>
        </w:rPr>
        <w:t>high-profile</w:t>
      </w:r>
      <w:r w:rsidR="00203BD3" w:rsidRPr="00C57F69">
        <w:rPr>
          <w:rFonts w:ascii="Times New Roman" w:hAnsi="Times New Roman" w:cs="Times New Roman"/>
          <w:sz w:val="24"/>
          <w:szCs w:val="24"/>
        </w:rPr>
        <w:t xml:space="preserve"> leadership roles in twentieth-century Ireland</w:t>
      </w:r>
      <w:r w:rsidR="00220C28" w:rsidRPr="00C57F69">
        <w:rPr>
          <w:rFonts w:ascii="Times New Roman" w:hAnsi="Times New Roman" w:cs="Times New Roman"/>
          <w:sz w:val="24"/>
          <w:szCs w:val="24"/>
        </w:rPr>
        <w:t>,</w:t>
      </w:r>
      <w:r w:rsidR="00960CCB" w:rsidRPr="00C57F69">
        <w:rPr>
          <w:rFonts w:ascii="Times New Roman" w:hAnsi="Times New Roman" w:cs="Times New Roman"/>
          <w:sz w:val="24"/>
          <w:szCs w:val="24"/>
        </w:rPr>
        <w:t xml:space="preserve"> often in male-dominated fields</w:t>
      </w:r>
      <w:r w:rsidR="00203BD3" w:rsidRPr="00C57F69">
        <w:rPr>
          <w:rFonts w:ascii="Times New Roman" w:hAnsi="Times New Roman" w:cs="Times New Roman"/>
          <w:sz w:val="24"/>
          <w:szCs w:val="24"/>
        </w:rPr>
        <w:t>.</w:t>
      </w:r>
    </w:p>
    <w:p w14:paraId="34A224CB" w14:textId="4A4FB996" w:rsidR="005567E0" w:rsidRPr="00C57F69" w:rsidRDefault="008F610E" w:rsidP="00744C0A">
      <w:pPr>
        <w:spacing w:after="0" w:line="480" w:lineRule="auto"/>
        <w:jc w:val="both"/>
        <w:rPr>
          <w:rFonts w:ascii="Times New Roman" w:hAnsi="Times New Roman" w:cs="Times New Roman"/>
          <w:b/>
          <w:bCs/>
          <w:sz w:val="24"/>
          <w:szCs w:val="24"/>
        </w:rPr>
      </w:pPr>
      <w:r w:rsidRPr="00C57F69">
        <w:rPr>
          <w:rFonts w:ascii="Times New Roman" w:hAnsi="Times New Roman" w:cs="Times New Roman"/>
          <w:b/>
          <w:bCs/>
          <w:sz w:val="24"/>
          <w:szCs w:val="24"/>
        </w:rPr>
        <w:t>Key words:</w:t>
      </w:r>
    </w:p>
    <w:p w14:paraId="49E1C254" w14:textId="4F8168F8" w:rsidR="005567E0" w:rsidRPr="00C57F69" w:rsidRDefault="008F610E" w:rsidP="008F610E">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t>Teacher training, primary, Ireland, Catholic, history</w:t>
      </w:r>
    </w:p>
    <w:p w14:paraId="42C3B049" w14:textId="6BA5932A" w:rsidR="00E607C9" w:rsidRPr="00C57F69" w:rsidRDefault="00EC074A" w:rsidP="00744C0A">
      <w:pPr>
        <w:spacing w:after="0" w:line="480" w:lineRule="auto"/>
        <w:jc w:val="both"/>
        <w:rPr>
          <w:rFonts w:ascii="Times New Roman" w:hAnsi="Times New Roman" w:cs="Times New Roman"/>
          <w:b/>
          <w:bCs/>
          <w:sz w:val="24"/>
          <w:szCs w:val="24"/>
        </w:rPr>
      </w:pPr>
      <w:bookmarkStart w:id="0" w:name="_Hlk123802398"/>
      <w:r w:rsidRPr="00C57F69">
        <w:rPr>
          <w:rFonts w:ascii="Times New Roman" w:hAnsi="Times New Roman" w:cs="Times New Roman"/>
          <w:b/>
          <w:bCs/>
          <w:sz w:val="24"/>
          <w:szCs w:val="24"/>
        </w:rPr>
        <w:t>Introduction</w:t>
      </w:r>
    </w:p>
    <w:p w14:paraId="7E53960A" w14:textId="6490BDBB" w:rsidR="00C57F69" w:rsidRPr="00C57F69" w:rsidRDefault="00E607C9" w:rsidP="00CE19B6">
      <w:pPr>
        <w:spacing w:after="0" w:line="480" w:lineRule="auto"/>
        <w:jc w:val="both"/>
        <w:rPr>
          <w:rFonts w:asciiTheme="majorBidi" w:hAnsiTheme="majorBidi" w:cstheme="majorBidi"/>
          <w:sz w:val="24"/>
          <w:szCs w:val="24"/>
        </w:rPr>
      </w:pPr>
      <w:r w:rsidRPr="00C57F69">
        <w:rPr>
          <w:rFonts w:asciiTheme="majorBidi" w:hAnsiTheme="majorBidi" w:cstheme="majorBidi"/>
          <w:sz w:val="24"/>
          <w:szCs w:val="24"/>
        </w:rPr>
        <w:t xml:space="preserve">Historically, women’s relationship with teaching has been a complex one. Teaching was one of the first occupations considered respectable for middle-class women, perceived as an extension of the maternal role. </w:t>
      </w:r>
      <w:r w:rsidR="000D374B" w:rsidRPr="00C57F69">
        <w:rPr>
          <w:rFonts w:asciiTheme="majorBidi" w:hAnsiTheme="majorBidi" w:cstheme="majorBidi"/>
          <w:sz w:val="24"/>
          <w:szCs w:val="24"/>
        </w:rPr>
        <w:t xml:space="preserve">Much of the rhetoric surrounding women’s admission to education in the nineteenth century </w:t>
      </w:r>
      <w:proofErr w:type="spellStart"/>
      <w:r w:rsidR="000D374B" w:rsidRPr="00C57F69">
        <w:rPr>
          <w:rFonts w:asciiTheme="majorBidi" w:hAnsiTheme="majorBidi" w:cstheme="majorBidi"/>
          <w:sz w:val="24"/>
          <w:szCs w:val="24"/>
        </w:rPr>
        <w:t>emphasised</w:t>
      </w:r>
      <w:proofErr w:type="spellEnd"/>
      <w:r w:rsidR="000D374B" w:rsidRPr="00C57F69">
        <w:rPr>
          <w:rFonts w:asciiTheme="majorBidi" w:hAnsiTheme="majorBidi" w:cstheme="majorBidi"/>
          <w:sz w:val="24"/>
          <w:szCs w:val="24"/>
        </w:rPr>
        <w:t xml:space="preserve"> the </w:t>
      </w:r>
      <w:proofErr w:type="spellStart"/>
      <w:r w:rsidR="000D374B" w:rsidRPr="00C57F69">
        <w:rPr>
          <w:rFonts w:asciiTheme="majorBidi" w:hAnsiTheme="majorBidi" w:cstheme="majorBidi"/>
          <w:sz w:val="24"/>
          <w:szCs w:val="24"/>
        </w:rPr>
        <w:t>idealised</w:t>
      </w:r>
      <w:proofErr w:type="spellEnd"/>
      <w:r w:rsidR="000D374B" w:rsidRPr="00C57F69">
        <w:rPr>
          <w:rFonts w:asciiTheme="majorBidi" w:hAnsiTheme="majorBidi" w:cstheme="majorBidi"/>
          <w:sz w:val="24"/>
          <w:szCs w:val="24"/>
        </w:rPr>
        <w:t xml:space="preserve"> and </w:t>
      </w:r>
      <w:proofErr w:type="spellStart"/>
      <w:r w:rsidR="000D374B" w:rsidRPr="00C57F69">
        <w:rPr>
          <w:rFonts w:asciiTheme="majorBidi" w:hAnsiTheme="majorBidi" w:cstheme="majorBidi"/>
          <w:sz w:val="24"/>
          <w:szCs w:val="24"/>
        </w:rPr>
        <w:t>romanticised</w:t>
      </w:r>
      <w:proofErr w:type="spellEnd"/>
      <w:r w:rsidR="000D374B" w:rsidRPr="00C57F69">
        <w:rPr>
          <w:rFonts w:asciiTheme="majorBidi" w:hAnsiTheme="majorBidi" w:cstheme="majorBidi"/>
          <w:sz w:val="24"/>
          <w:szCs w:val="24"/>
        </w:rPr>
        <w:t xml:space="preserve"> role women would play as teachers</w:t>
      </w:r>
      <w:bookmarkEnd w:id="0"/>
      <w:r w:rsidR="00C57F69" w:rsidRPr="00C57F69">
        <w:rPr>
          <w:rStyle w:val="EndnoteReference"/>
          <w:rFonts w:asciiTheme="majorBidi" w:hAnsiTheme="majorBidi" w:cstheme="majorBidi"/>
          <w:sz w:val="24"/>
          <w:szCs w:val="24"/>
        </w:rPr>
        <w:endnoteReference w:id="1"/>
      </w:r>
      <w:r w:rsidR="00C57F69" w:rsidRPr="00C57F69">
        <w:rPr>
          <w:rFonts w:asciiTheme="majorBidi" w:hAnsiTheme="majorBidi" w:cstheme="majorBidi"/>
          <w:sz w:val="24"/>
          <w:szCs w:val="24"/>
        </w:rPr>
        <w:t xml:space="preserve">. </w:t>
      </w:r>
      <w:proofErr w:type="spellStart"/>
      <w:r w:rsidR="00C57F69" w:rsidRPr="00C57F69">
        <w:rPr>
          <w:rFonts w:asciiTheme="majorBidi" w:hAnsiTheme="majorBidi" w:cstheme="majorBidi"/>
          <w:sz w:val="24"/>
          <w:szCs w:val="24"/>
        </w:rPr>
        <w:t>Tamboukou</w:t>
      </w:r>
      <w:proofErr w:type="spellEnd"/>
      <w:r w:rsidR="00C57F69" w:rsidRPr="00C57F69">
        <w:rPr>
          <w:rFonts w:asciiTheme="majorBidi" w:hAnsiTheme="majorBidi" w:cstheme="majorBidi"/>
          <w:sz w:val="24"/>
          <w:szCs w:val="24"/>
        </w:rPr>
        <w:t xml:space="preserve"> contends that during the nineteenth century, ‘teaching was seen as a communication </w:t>
      </w:r>
      <w:r w:rsidR="00C57F69" w:rsidRPr="00C57F69">
        <w:rPr>
          <w:rFonts w:asciiTheme="majorBidi" w:hAnsiTheme="majorBidi" w:cstheme="majorBidi"/>
          <w:sz w:val="24"/>
          <w:szCs w:val="24"/>
        </w:rPr>
        <w:lastRenderedPageBreak/>
        <w:t>channel, joining the private and public spheres of life.’</w:t>
      </w:r>
      <w:r w:rsidR="00C57F69" w:rsidRPr="00C57F69">
        <w:rPr>
          <w:rStyle w:val="EndnoteReference"/>
          <w:rFonts w:asciiTheme="majorBidi" w:hAnsiTheme="majorBidi" w:cstheme="majorBidi"/>
          <w:sz w:val="24"/>
          <w:szCs w:val="24"/>
        </w:rPr>
        <w:endnoteReference w:id="2"/>
      </w:r>
      <w:r w:rsidR="00C57F69" w:rsidRPr="00C57F69">
        <w:rPr>
          <w:rFonts w:asciiTheme="majorBidi" w:hAnsiTheme="majorBidi" w:cstheme="majorBidi"/>
          <w:sz w:val="24"/>
          <w:szCs w:val="24"/>
        </w:rPr>
        <w:t xml:space="preserve"> At various intervals single women teachers were valued over married and vice versa.</w:t>
      </w:r>
      <w:r w:rsidR="00C57F69" w:rsidRPr="00C57F69">
        <w:rPr>
          <w:rStyle w:val="EndnoteReference"/>
          <w:rFonts w:asciiTheme="majorBidi" w:hAnsiTheme="majorBidi" w:cstheme="majorBidi"/>
          <w:sz w:val="24"/>
          <w:szCs w:val="24"/>
        </w:rPr>
        <w:endnoteReference w:id="3"/>
      </w:r>
      <w:r w:rsidR="00C57F69" w:rsidRPr="00C57F69">
        <w:rPr>
          <w:rFonts w:asciiTheme="majorBidi" w:hAnsiTheme="majorBidi" w:cstheme="majorBidi"/>
          <w:sz w:val="24"/>
          <w:szCs w:val="24"/>
        </w:rPr>
        <w:t xml:space="preserve"> While sexual stereotyping and gendered occupational structures significantly shaped women’s experience of teaching, teaching also provided a platform from which women could extend the reach of their social and cultural capital, assuming key leadership roles in education and in wider public life.</w:t>
      </w:r>
      <w:r w:rsidR="00C57F69" w:rsidRPr="00C57F69">
        <w:rPr>
          <w:rStyle w:val="EndnoteReference"/>
          <w:rFonts w:asciiTheme="majorBidi" w:hAnsiTheme="majorBidi" w:cstheme="majorBidi"/>
          <w:sz w:val="24"/>
          <w:szCs w:val="24"/>
        </w:rPr>
        <w:endnoteReference w:id="4"/>
      </w:r>
      <w:r w:rsidR="00C57F69" w:rsidRPr="00C57F69">
        <w:rPr>
          <w:rFonts w:asciiTheme="majorBidi" w:hAnsiTheme="majorBidi" w:cstheme="majorBidi"/>
          <w:sz w:val="24"/>
          <w:szCs w:val="24"/>
        </w:rPr>
        <w:t xml:space="preserve"> Shining a spotlight on </w:t>
      </w:r>
      <w:r w:rsidR="00C57F69" w:rsidRPr="00C57F69">
        <w:rPr>
          <w:rFonts w:asciiTheme="majorBidi" w:eastAsia="Times New Roman" w:hAnsiTheme="majorBidi" w:cstheme="majorBidi"/>
          <w:spacing w:val="5"/>
          <w:sz w:val="24"/>
          <w:szCs w:val="24"/>
        </w:rPr>
        <w:t xml:space="preserve">the lives and experiences of women in Catholic primary teacher training colleges in Ireland in the period 1922-1974, this article begins by situating these colleges in their socio-historical context and examining their role in the mission of the Irish Free State. It then moves to an examination of the ways in which these colleges reinforced </w:t>
      </w:r>
      <w:r w:rsidR="00C57F69" w:rsidRPr="00C57F69">
        <w:rPr>
          <w:rFonts w:asciiTheme="majorBidi" w:hAnsiTheme="majorBidi" w:cstheme="majorBidi"/>
          <w:sz w:val="24"/>
          <w:szCs w:val="24"/>
        </w:rPr>
        <w:t xml:space="preserve">a gendered ideology which afforded women subordinate status within a deeply hierarchical social fabric and church structure. Focusing on two colleges, </w:t>
      </w:r>
      <w:proofErr w:type="spellStart"/>
      <w:r w:rsidR="00C57F69" w:rsidRPr="00C57F69">
        <w:rPr>
          <w:rFonts w:asciiTheme="majorBidi" w:hAnsiTheme="majorBidi" w:cstheme="majorBidi"/>
          <w:sz w:val="24"/>
          <w:szCs w:val="24"/>
        </w:rPr>
        <w:t>Carysfort</w:t>
      </w:r>
      <w:proofErr w:type="spellEnd"/>
      <w:r w:rsidR="00C57F69" w:rsidRPr="00C57F69">
        <w:rPr>
          <w:rFonts w:asciiTheme="majorBidi" w:hAnsiTheme="majorBidi" w:cstheme="majorBidi"/>
          <w:sz w:val="24"/>
          <w:szCs w:val="24"/>
        </w:rPr>
        <w:t xml:space="preserve"> College Dublin and Mary Immaculate Limerick, it examines the curriculum, ethos and mission of these colleges, drawing on oral testimony of former students.</w:t>
      </w:r>
      <w:r w:rsidR="00C57F69" w:rsidRPr="00C57F69">
        <w:rPr>
          <w:rStyle w:val="EndnoteReference"/>
          <w:rFonts w:asciiTheme="majorBidi" w:hAnsiTheme="majorBidi" w:cstheme="majorBidi"/>
          <w:sz w:val="24"/>
          <w:szCs w:val="24"/>
        </w:rPr>
        <w:endnoteReference w:id="5"/>
      </w:r>
      <w:r w:rsidR="00C57F69" w:rsidRPr="00C57F69">
        <w:rPr>
          <w:rFonts w:asciiTheme="majorBidi" w:hAnsiTheme="majorBidi" w:cstheme="majorBidi"/>
          <w:sz w:val="24"/>
          <w:szCs w:val="24"/>
        </w:rPr>
        <w:t xml:space="preserve"> </w:t>
      </w:r>
      <w:bookmarkStart w:id="3" w:name="_Hlk125009286"/>
      <w:r w:rsidR="00C57F69" w:rsidRPr="00C57F69">
        <w:rPr>
          <w:rFonts w:asciiTheme="majorBidi" w:hAnsiTheme="majorBidi" w:cstheme="majorBidi"/>
          <w:sz w:val="24"/>
          <w:szCs w:val="24"/>
        </w:rPr>
        <w:t>It concludes by looking at the complexity of the fact that while the culture of these colleges was gendered and often repressive, many graduates went on to fulfil key leadership roles across Irish society harnessing their education and their qualification as a teacher  as a fulcrum of social, political, cultural and economic exchange.</w:t>
      </w:r>
      <w:r w:rsidR="00C57F69" w:rsidRPr="00C57F69">
        <w:rPr>
          <w:rFonts w:asciiTheme="majorBidi" w:hAnsiTheme="majorBidi" w:cstheme="majorBidi"/>
          <w:sz w:val="24"/>
          <w:szCs w:val="24"/>
        </w:rPr>
        <w:tab/>
      </w:r>
    </w:p>
    <w:p w14:paraId="34358777" w14:textId="152E5B00" w:rsidR="00C57F69" w:rsidRPr="00C57F69" w:rsidRDefault="00C57F69" w:rsidP="00E13058">
      <w:pPr>
        <w:spacing w:after="0" w:line="480" w:lineRule="auto"/>
        <w:ind w:firstLine="720"/>
        <w:jc w:val="both"/>
        <w:rPr>
          <w:rFonts w:asciiTheme="majorBidi" w:hAnsiTheme="majorBidi" w:cstheme="majorBidi"/>
          <w:sz w:val="24"/>
          <w:szCs w:val="24"/>
        </w:rPr>
      </w:pPr>
      <w:bookmarkStart w:id="4" w:name="_Hlk124939499"/>
      <w:bookmarkEnd w:id="3"/>
      <w:r w:rsidRPr="00C57F69">
        <w:rPr>
          <w:rFonts w:asciiTheme="majorBidi" w:hAnsiTheme="majorBidi" w:cstheme="majorBidi"/>
          <w:sz w:val="24"/>
          <w:szCs w:val="24"/>
        </w:rPr>
        <w:t xml:space="preserve">As </w:t>
      </w:r>
      <w:proofErr w:type="spellStart"/>
      <w:r w:rsidRPr="00C57F69">
        <w:rPr>
          <w:rFonts w:asciiTheme="majorBidi" w:hAnsiTheme="majorBidi" w:cstheme="majorBidi"/>
          <w:sz w:val="24"/>
          <w:szCs w:val="24"/>
        </w:rPr>
        <w:t>Coolahan</w:t>
      </w:r>
      <w:proofErr w:type="spellEnd"/>
      <w:r w:rsidRPr="00C57F69">
        <w:rPr>
          <w:rFonts w:asciiTheme="majorBidi" w:hAnsiTheme="majorBidi" w:cstheme="majorBidi"/>
          <w:sz w:val="24"/>
          <w:szCs w:val="24"/>
        </w:rPr>
        <w:t xml:space="preserve"> notes ‘teacher education in Ireland was, for long, established  on  the  lines  commonly  found  in  many  European  countries’.</w:t>
      </w:r>
      <w:r w:rsidRPr="00C57F69">
        <w:rPr>
          <w:rStyle w:val="EndnoteReference"/>
          <w:rFonts w:asciiTheme="majorBidi" w:hAnsiTheme="majorBidi" w:cstheme="majorBidi"/>
          <w:sz w:val="24"/>
          <w:szCs w:val="24"/>
        </w:rPr>
        <w:endnoteReference w:id="6"/>
      </w:r>
      <w:r w:rsidRPr="00C57F69">
        <w:rPr>
          <w:rFonts w:asciiTheme="majorBidi" w:hAnsiTheme="majorBidi" w:cstheme="majorBidi"/>
          <w:sz w:val="24"/>
          <w:szCs w:val="24"/>
        </w:rPr>
        <w:t xml:space="preserve">  Primary  teacher education,  which  dates  from  the  1830s,  was  located  within  teacher  training  colleges, while secondary teacher education, located within the universities from its inception, dates from 1912.</w:t>
      </w:r>
      <w:r w:rsidRPr="00C57F69">
        <w:rPr>
          <w:rStyle w:val="EndnoteReference"/>
          <w:rFonts w:asciiTheme="majorBidi" w:hAnsiTheme="majorBidi" w:cstheme="majorBidi"/>
          <w:sz w:val="24"/>
          <w:szCs w:val="24"/>
        </w:rPr>
        <w:endnoteReference w:id="7"/>
      </w:r>
      <w:r w:rsidRPr="00C57F69">
        <w:rPr>
          <w:rFonts w:asciiTheme="majorBidi" w:hAnsiTheme="majorBidi" w:cstheme="majorBidi"/>
          <w:sz w:val="24"/>
          <w:szCs w:val="24"/>
        </w:rPr>
        <w:t xml:space="preserve"> From the 1830s to 1921, the Commissioners of National Education in Ireland managed and funded a multi-denominational training college for males and females in Marlborough Street, Dublin. However, the Catholic church objected to Catholics being trained in a multi-denominational college and by </w:t>
      </w:r>
      <w:r w:rsidRPr="00C57F69">
        <w:rPr>
          <w:rFonts w:asciiTheme="majorBidi" w:hAnsiTheme="majorBidi" w:cstheme="majorBidi"/>
          <w:sz w:val="24"/>
          <w:szCs w:val="24"/>
        </w:rPr>
        <w:lastRenderedPageBreak/>
        <w:t xml:space="preserve">the late nineteenth century they had established separate Catholic training for males and females. Some state funding was made available for these colleges – St. Patrick’s College, Drumcondra, Dublin and De La Salle College in Waterford for Catholic males; Our Lady of Mercy College, </w:t>
      </w:r>
      <w:proofErr w:type="spellStart"/>
      <w:r w:rsidRPr="00C57F69">
        <w:rPr>
          <w:rFonts w:asciiTheme="majorBidi" w:hAnsiTheme="majorBidi" w:cstheme="majorBidi"/>
          <w:sz w:val="24"/>
          <w:szCs w:val="24"/>
        </w:rPr>
        <w:t>Carysfort</w:t>
      </w:r>
      <w:proofErr w:type="spellEnd"/>
      <w:r w:rsidRPr="00C57F69">
        <w:rPr>
          <w:rFonts w:asciiTheme="majorBidi" w:hAnsiTheme="majorBidi" w:cstheme="majorBidi"/>
          <w:sz w:val="24"/>
          <w:szCs w:val="24"/>
        </w:rPr>
        <w:t>, Blackrock, Dublin and Mary Immaculate College, Limerick for Catholic females; and Kildare Place Training College, Dublin run by the Church of Ireland. In 1922, when the Free State assumed responsibility for education, Marlborough St. Training College was closed and state funding continued to be provided for denominational training colleges, under the management of the churches. The State set out the conditions for enrolling students and after 1922 the curriculum and examinations were controlled by the state Department of Education.</w:t>
      </w:r>
      <w:r w:rsidRPr="00C57F69">
        <w:rPr>
          <w:rStyle w:val="EndnoteReference"/>
          <w:rFonts w:asciiTheme="majorBidi" w:hAnsiTheme="majorBidi" w:cstheme="majorBidi"/>
          <w:sz w:val="24"/>
          <w:szCs w:val="24"/>
        </w:rPr>
        <w:endnoteReference w:id="8"/>
      </w:r>
      <w:r w:rsidRPr="00C57F69">
        <w:rPr>
          <w:rFonts w:asciiTheme="majorBidi" w:hAnsiTheme="majorBidi" w:cstheme="majorBidi"/>
          <w:sz w:val="24"/>
          <w:szCs w:val="24"/>
        </w:rPr>
        <w:t xml:space="preserve"> </w:t>
      </w:r>
    </w:p>
    <w:bookmarkEnd w:id="4"/>
    <w:p w14:paraId="772B3AB6" w14:textId="70E948BD" w:rsidR="00C57F69" w:rsidRPr="00C57F69" w:rsidRDefault="00C57F69" w:rsidP="00C15217">
      <w:pPr>
        <w:spacing w:after="0" w:line="480" w:lineRule="auto"/>
        <w:ind w:firstLine="720"/>
        <w:jc w:val="both"/>
        <w:rPr>
          <w:rFonts w:ascii="Times New Roman" w:hAnsi="Times New Roman" w:cs="Times New Roman"/>
          <w:sz w:val="24"/>
          <w:szCs w:val="24"/>
        </w:rPr>
      </w:pPr>
      <w:r w:rsidRPr="00C57F69">
        <w:rPr>
          <w:rFonts w:ascii="Times New Roman" w:hAnsi="Times New Roman" w:cs="Times New Roman"/>
          <w:sz w:val="24"/>
          <w:szCs w:val="24"/>
        </w:rPr>
        <w:t>1922 was a key date in the history of modern Ireland marking the end of centuries of British imperialist rule and the establishment of the Irish Free State. The policy choice following independence was the promotion of cultural nationalism and the de-</w:t>
      </w:r>
      <w:proofErr w:type="spellStart"/>
      <w:r w:rsidRPr="00C57F69">
        <w:rPr>
          <w:rFonts w:ascii="Times New Roman" w:hAnsi="Times New Roman" w:cs="Times New Roman"/>
          <w:sz w:val="24"/>
          <w:szCs w:val="24"/>
        </w:rPr>
        <w:t>anglicisation</w:t>
      </w:r>
      <w:proofErr w:type="spellEnd"/>
      <w:r w:rsidRPr="00C57F69">
        <w:rPr>
          <w:rFonts w:ascii="Times New Roman" w:hAnsi="Times New Roman" w:cs="Times New Roman"/>
          <w:sz w:val="24"/>
          <w:szCs w:val="24"/>
        </w:rPr>
        <w:t xml:space="preserve"> of Ireland. The spine of this policy was the reversal of the cultural assimilation and </w:t>
      </w:r>
      <w:proofErr w:type="spellStart"/>
      <w:r w:rsidRPr="00C57F69">
        <w:rPr>
          <w:rFonts w:ascii="Times New Roman" w:hAnsi="Times New Roman" w:cs="Times New Roman"/>
          <w:sz w:val="24"/>
          <w:szCs w:val="24"/>
        </w:rPr>
        <w:t>socialisation</w:t>
      </w:r>
      <w:proofErr w:type="spellEnd"/>
      <w:r w:rsidRPr="00C57F69">
        <w:rPr>
          <w:rFonts w:ascii="Times New Roman" w:hAnsi="Times New Roman" w:cs="Times New Roman"/>
          <w:sz w:val="24"/>
          <w:szCs w:val="24"/>
        </w:rPr>
        <w:t xml:space="preserve"> policy of previous centuries which had resulted in the systematic erosion of the Gaelic language and culture and the reproduction of the norms and values of the imperial power.</w:t>
      </w:r>
      <w:r w:rsidRPr="00C57F69">
        <w:rPr>
          <w:rStyle w:val="EndnoteReference"/>
          <w:rFonts w:ascii="Times New Roman" w:hAnsi="Times New Roman" w:cs="Times New Roman"/>
          <w:sz w:val="24"/>
          <w:szCs w:val="24"/>
        </w:rPr>
        <w:endnoteReference w:id="9"/>
      </w:r>
      <w:r w:rsidRPr="00C57F69">
        <w:rPr>
          <w:rFonts w:ascii="Times New Roman" w:hAnsi="Times New Roman" w:cs="Times New Roman"/>
          <w:sz w:val="24"/>
          <w:szCs w:val="24"/>
        </w:rPr>
        <w:t xml:space="preserve"> Reflecting the heavy emphasis on cultural nationalism which was to shape educational policy in the early decades of independence, Pádraig Ó </w:t>
      </w:r>
      <w:proofErr w:type="spellStart"/>
      <w:r w:rsidRPr="00C57F69">
        <w:rPr>
          <w:rFonts w:ascii="Times New Roman" w:hAnsi="Times New Roman" w:cs="Times New Roman"/>
          <w:sz w:val="24"/>
          <w:szCs w:val="24"/>
        </w:rPr>
        <w:t>Brolcháin</w:t>
      </w:r>
      <w:proofErr w:type="spellEnd"/>
      <w:r w:rsidRPr="00C57F69">
        <w:rPr>
          <w:rFonts w:ascii="Times New Roman" w:hAnsi="Times New Roman" w:cs="Times New Roman"/>
          <w:sz w:val="24"/>
          <w:szCs w:val="24"/>
        </w:rPr>
        <w:t xml:space="preserve">, the new chief executive officer for education in the </w:t>
      </w:r>
      <w:proofErr w:type="spellStart"/>
      <w:r w:rsidRPr="00C57F69">
        <w:rPr>
          <w:rFonts w:ascii="Times New Roman" w:hAnsi="Times New Roman" w:cs="Times New Roman"/>
          <w:sz w:val="24"/>
          <w:szCs w:val="24"/>
        </w:rPr>
        <w:t>Cumann</w:t>
      </w:r>
      <w:proofErr w:type="spellEnd"/>
      <w:r w:rsidRPr="00C57F69">
        <w:rPr>
          <w:rFonts w:ascii="Times New Roman" w:hAnsi="Times New Roman" w:cs="Times New Roman"/>
          <w:sz w:val="24"/>
          <w:szCs w:val="24"/>
        </w:rPr>
        <w:t xml:space="preserve"> </w:t>
      </w:r>
      <w:proofErr w:type="spellStart"/>
      <w:r w:rsidRPr="00C57F69">
        <w:rPr>
          <w:rFonts w:ascii="Times New Roman" w:hAnsi="Times New Roman" w:cs="Times New Roman"/>
          <w:sz w:val="24"/>
          <w:szCs w:val="24"/>
        </w:rPr>
        <w:t>na</w:t>
      </w:r>
      <w:proofErr w:type="spellEnd"/>
      <w:r w:rsidRPr="00C57F69">
        <w:rPr>
          <w:rFonts w:ascii="Times New Roman" w:hAnsi="Times New Roman" w:cs="Times New Roman"/>
          <w:sz w:val="24"/>
          <w:szCs w:val="24"/>
        </w:rPr>
        <w:t xml:space="preserve"> </w:t>
      </w:r>
      <w:proofErr w:type="spellStart"/>
      <w:r w:rsidRPr="00C57F69">
        <w:rPr>
          <w:rFonts w:ascii="Times New Roman" w:hAnsi="Times New Roman" w:cs="Times New Roman"/>
          <w:sz w:val="24"/>
          <w:szCs w:val="24"/>
        </w:rPr>
        <w:t>nGaedheal</w:t>
      </w:r>
      <w:proofErr w:type="spellEnd"/>
      <w:r w:rsidRPr="00C57F69">
        <w:rPr>
          <w:rFonts w:ascii="Times New Roman" w:hAnsi="Times New Roman" w:cs="Times New Roman"/>
          <w:sz w:val="24"/>
          <w:szCs w:val="24"/>
        </w:rPr>
        <w:t xml:space="preserve"> government</w:t>
      </w:r>
      <w:r w:rsidRPr="00C57F69">
        <w:rPr>
          <w:rStyle w:val="EndnoteReference"/>
          <w:rFonts w:ascii="Times New Roman" w:hAnsi="Times New Roman" w:cs="Times New Roman"/>
          <w:sz w:val="24"/>
          <w:szCs w:val="24"/>
        </w:rPr>
        <w:endnoteReference w:id="10"/>
      </w:r>
      <w:r w:rsidRPr="00C57F69">
        <w:rPr>
          <w:rFonts w:ascii="Times New Roman" w:hAnsi="Times New Roman" w:cs="Times New Roman"/>
          <w:sz w:val="24"/>
          <w:szCs w:val="24"/>
        </w:rPr>
        <w:t xml:space="preserve">, outlined the new direction for education policy in 1922 as follows: ‘In the administration of Irish education, it is the intention of the new government to work with all its might for the strengthening of the national </w:t>
      </w:r>
      <w:proofErr w:type="spellStart"/>
      <w:r w:rsidRPr="00C57F69">
        <w:rPr>
          <w:rFonts w:ascii="Times New Roman" w:hAnsi="Times New Roman" w:cs="Times New Roman"/>
          <w:sz w:val="24"/>
          <w:szCs w:val="24"/>
        </w:rPr>
        <w:t>fibre</w:t>
      </w:r>
      <w:proofErr w:type="spellEnd"/>
      <w:r w:rsidRPr="00C57F69">
        <w:rPr>
          <w:rFonts w:ascii="Times New Roman" w:hAnsi="Times New Roman" w:cs="Times New Roman"/>
          <w:sz w:val="24"/>
          <w:szCs w:val="24"/>
        </w:rPr>
        <w:t xml:space="preserve"> by giving the language, history, music and tradition of Ireland, their natural place in the life of Irish schools.’</w:t>
      </w:r>
      <w:r w:rsidRPr="00C57F69">
        <w:rPr>
          <w:rStyle w:val="EndnoteReference"/>
          <w:rFonts w:ascii="Times New Roman" w:hAnsi="Times New Roman" w:cs="Times New Roman"/>
          <w:sz w:val="24"/>
          <w:szCs w:val="24"/>
        </w:rPr>
        <w:endnoteReference w:id="11"/>
      </w:r>
    </w:p>
    <w:p w14:paraId="1C6D2528" w14:textId="2BE9E4CB" w:rsidR="00C57F69" w:rsidRPr="00C57F69" w:rsidRDefault="00C57F69" w:rsidP="003A4BDA">
      <w:pPr>
        <w:spacing w:after="0" w:line="480" w:lineRule="auto"/>
        <w:ind w:firstLine="720"/>
        <w:jc w:val="both"/>
        <w:rPr>
          <w:rFonts w:ascii="Times New Roman" w:hAnsi="Times New Roman" w:cs="Times New Roman"/>
          <w:sz w:val="24"/>
          <w:szCs w:val="24"/>
        </w:rPr>
      </w:pPr>
      <w:r w:rsidRPr="00C57F69">
        <w:rPr>
          <w:rFonts w:ascii="Times New Roman" w:hAnsi="Times New Roman" w:cs="Times New Roman"/>
          <w:sz w:val="24"/>
          <w:szCs w:val="24"/>
        </w:rPr>
        <w:t xml:space="preserve">This nationalist agenda was to run in parallel with a triumphalist phase in the rise of the Catholic Church in Irish society, the twin pillars of nationalism and Catholicism marking the </w:t>
      </w:r>
      <w:r w:rsidRPr="00C57F69">
        <w:rPr>
          <w:rFonts w:ascii="Times New Roman" w:hAnsi="Times New Roman" w:cs="Times New Roman"/>
          <w:sz w:val="24"/>
          <w:szCs w:val="24"/>
        </w:rPr>
        <w:lastRenderedPageBreak/>
        <w:t>foundation of a new ‘Irish Ireland.’</w:t>
      </w:r>
      <w:r w:rsidRPr="00C57F69">
        <w:rPr>
          <w:rStyle w:val="EndnoteReference"/>
          <w:rFonts w:ascii="Times New Roman" w:hAnsi="Times New Roman" w:cs="Times New Roman"/>
          <w:sz w:val="24"/>
          <w:szCs w:val="24"/>
        </w:rPr>
        <w:endnoteReference w:id="12"/>
      </w:r>
      <w:r w:rsidRPr="00C57F69">
        <w:rPr>
          <w:rFonts w:ascii="Times New Roman" w:hAnsi="Times New Roman" w:cs="Times New Roman"/>
          <w:sz w:val="24"/>
          <w:szCs w:val="24"/>
        </w:rPr>
        <w:t xml:space="preserve"> </w:t>
      </w:r>
      <w:bookmarkStart w:id="5" w:name="_Hlk125370874"/>
      <w:r w:rsidRPr="00C57F69">
        <w:rPr>
          <w:rFonts w:asciiTheme="majorBidi" w:hAnsiTheme="majorBidi" w:cstheme="majorBidi"/>
          <w:sz w:val="24"/>
          <w:szCs w:val="24"/>
        </w:rPr>
        <w:t xml:space="preserve">O’ </w:t>
      </w:r>
      <w:proofErr w:type="spellStart"/>
      <w:r w:rsidRPr="00C57F69">
        <w:rPr>
          <w:rFonts w:asciiTheme="majorBidi" w:hAnsiTheme="majorBidi" w:cstheme="majorBidi"/>
          <w:sz w:val="24"/>
          <w:szCs w:val="24"/>
        </w:rPr>
        <w:t>Corráin</w:t>
      </w:r>
      <w:proofErr w:type="spellEnd"/>
      <w:r w:rsidRPr="00C57F69">
        <w:rPr>
          <w:rFonts w:asciiTheme="majorBidi" w:hAnsiTheme="majorBidi" w:cstheme="majorBidi"/>
          <w:sz w:val="24"/>
          <w:szCs w:val="24"/>
        </w:rPr>
        <w:t xml:space="preserve"> (2018) notes that during the first fifty years of independence, irrespective of the political party in power, both church and state leaders worked to shape the country </w:t>
      </w:r>
      <w:r w:rsidRPr="00C57F69">
        <w:rPr>
          <w:rFonts w:asciiTheme="majorBidi" w:hAnsiTheme="majorBidi" w:cstheme="majorBidi"/>
          <w:sz w:val="24"/>
          <w:szCs w:val="24"/>
          <w:shd w:val="clear" w:color="auto" w:fill="FFFFFF"/>
        </w:rPr>
        <w:t>‘according to a philosophy of Catholic nationalism.’</w:t>
      </w:r>
      <w:r w:rsidRPr="00C57F69">
        <w:rPr>
          <w:rStyle w:val="EndnoteReference"/>
          <w:rFonts w:asciiTheme="majorBidi" w:hAnsiTheme="majorBidi" w:cstheme="majorBidi"/>
          <w:sz w:val="24"/>
          <w:szCs w:val="24"/>
          <w:shd w:val="clear" w:color="auto" w:fill="FFFFFF"/>
        </w:rPr>
        <w:endnoteReference w:id="13"/>
      </w:r>
      <w:r w:rsidRPr="00C57F69">
        <w:rPr>
          <w:rFonts w:asciiTheme="majorBidi" w:hAnsiTheme="majorBidi" w:cstheme="majorBidi"/>
          <w:sz w:val="24"/>
          <w:szCs w:val="24"/>
          <w:shd w:val="clear" w:color="auto" w:fill="FFFFFF"/>
        </w:rPr>
        <w:t xml:space="preserve"> </w:t>
      </w:r>
      <w:bookmarkEnd w:id="5"/>
      <w:r w:rsidRPr="00C57F69">
        <w:rPr>
          <w:rFonts w:asciiTheme="majorBidi" w:hAnsiTheme="majorBidi" w:cstheme="majorBidi"/>
          <w:sz w:val="24"/>
          <w:szCs w:val="24"/>
        </w:rPr>
        <w:t>Whyte contends that the alliance was natural given that most of the government ministers were Catholic, as was the majority of the population, and hence the implementation of Catholic ideology was only to be expected.</w:t>
      </w:r>
      <w:r w:rsidRPr="00C57F69">
        <w:rPr>
          <w:rStyle w:val="EndnoteReference"/>
          <w:rFonts w:asciiTheme="majorBidi" w:hAnsiTheme="majorBidi" w:cstheme="majorBidi"/>
          <w:sz w:val="24"/>
          <w:szCs w:val="24"/>
        </w:rPr>
        <w:endnoteReference w:id="14"/>
      </w:r>
      <w:r w:rsidRPr="00C57F69">
        <w:rPr>
          <w:rFonts w:asciiTheme="majorBidi" w:hAnsiTheme="majorBidi" w:cstheme="majorBidi"/>
          <w:sz w:val="24"/>
          <w:szCs w:val="24"/>
        </w:rPr>
        <w:t xml:space="preserve"> </w:t>
      </w:r>
      <w:r w:rsidRPr="00C57F69">
        <w:rPr>
          <w:rFonts w:ascii="Times New Roman" w:hAnsi="Times New Roman" w:cs="Times New Roman"/>
          <w:sz w:val="24"/>
          <w:szCs w:val="24"/>
        </w:rPr>
        <w:t>Keating goes further:</w:t>
      </w:r>
    </w:p>
    <w:p w14:paraId="38B6F05B" w14:textId="0DAAF425" w:rsidR="00C57F69" w:rsidRPr="00C57F69" w:rsidRDefault="00C57F69" w:rsidP="00D744D6">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The church and Ireland’s governing political and administrative elite… both conceptualized the Free State as a spiritual and national rebirth of a dynamic Christian tradition that was said to have existed in the early medieval period before the English occupation of the country, typified as the land of “saints and scholars,” a beacon of purity in a world otherwise sullied by sin.</w:t>
      </w:r>
      <w:r w:rsidRPr="00C57F69">
        <w:rPr>
          <w:rStyle w:val="EndnoteReference"/>
          <w:rFonts w:ascii="Times New Roman" w:hAnsi="Times New Roman" w:cs="Times New Roman"/>
          <w:sz w:val="24"/>
          <w:szCs w:val="24"/>
        </w:rPr>
        <w:endnoteReference w:id="15"/>
      </w:r>
    </w:p>
    <w:p w14:paraId="5E2011E9" w14:textId="77777777" w:rsidR="00C57F69" w:rsidRPr="00C57F69" w:rsidRDefault="00C57F69" w:rsidP="00EC352A">
      <w:pPr>
        <w:spacing w:after="0" w:line="330" w:lineRule="atLeast"/>
        <w:jc w:val="both"/>
        <w:rPr>
          <w:rFonts w:ascii="Times New Roman" w:eastAsia="Times New Roman" w:hAnsi="Times New Roman" w:cs="Times New Roman"/>
          <w:sz w:val="24"/>
          <w:szCs w:val="24"/>
        </w:rPr>
      </w:pPr>
    </w:p>
    <w:p w14:paraId="556E3597" w14:textId="7D787F55" w:rsidR="00C57F69" w:rsidRPr="00C57F69" w:rsidRDefault="00C57F69" w:rsidP="002071D8">
      <w:pPr>
        <w:spacing w:after="0" w:line="480" w:lineRule="auto"/>
        <w:jc w:val="both"/>
        <w:rPr>
          <w:rFonts w:ascii="Times New Roman" w:hAnsi="Times New Roman"/>
          <w:b/>
          <w:bCs/>
          <w:sz w:val="24"/>
          <w:szCs w:val="24"/>
        </w:rPr>
      </w:pPr>
      <w:r w:rsidRPr="00C57F69">
        <w:rPr>
          <w:rFonts w:ascii="Times New Roman" w:hAnsi="Times New Roman" w:cs="Times New Roman"/>
          <w:sz w:val="24"/>
          <w:szCs w:val="24"/>
        </w:rPr>
        <w:t>The first five decades following Independence thus represented the ‘apotheosis of this Church-State nexus,’ with an enactment in law of key features of the Catholic moral code, particularly in the areas of sexual morality and family relations. Central to this agenda was the propagation of a gendered ideology which afforded women subordinate status within a deeply hierarchical social fabric and church structure.</w:t>
      </w:r>
      <w:r w:rsidRPr="00C57F69">
        <w:rPr>
          <w:rStyle w:val="EndnoteReference"/>
          <w:rFonts w:ascii="Times New Roman" w:hAnsi="Times New Roman" w:cs="Times New Roman"/>
          <w:sz w:val="24"/>
          <w:szCs w:val="24"/>
        </w:rPr>
        <w:endnoteReference w:id="16"/>
      </w:r>
      <w:r w:rsidRPr="00C57F69">
        <w:rPr>
          <w:rFonts w:ascii="Times New Roman" w:hAnsi="Times New Roman" w:cs="Times New Roman"/>
          <w:sz w:val="24"/>
          <w:szCs w:val="24"/>
        </w:rPr>
        <w:t xml:space="preserve"> The culmination of this ideology was the introduction of a marriage ban for primary school teachers in 1932, the outcome of ideological assumptions which held that the most appropriate place for women in society was the home. As Harford and Redmond note, ‘it was effectively patriarchy as policy.’</w:t>
      </w:r>
      <w:r w:rsidRPr="00C57F69">
        <w:rPr>
          <w:rStyle w:val="EndnoteReference"/>
          <w:rFonts w:ascii="Times New Roman" w:hAnsi="Times New Roman" w:cs="Times New Roman"/>
          <w:sz w:val="24"/>
          <w:szCs w:val="24"/>
        </w:rPr>
        <w:endnoteReference w:id="17"/>
      </w:r>
      <w:r w:rsidRPr="00C57F69">
        <w:rPr>
          <w:rFonts w:ascii="Times New Roman" w:hAnsi="Times New Roman" w:cs="Times New Roman"/>
          <w:sz w:val="24"/>
          <w:szCs w:val="24"/>
        </w:rPr>
        <w:t xml:space="preserve"> The ban was also influenced by an economic ‘rationale’ and linked with high unemployment rates.</w:t>
      </w:r>
      <w:r w:rsidRPr="00C57F69">
        <w:rPr>
          <w:rStyle w:val="EndnoteReference"/>
          <w:rFonts w:ascii="Times New Roman" w:hAnsi="Times New Roman" w:cs="Times New Roman"/>
          <w:sz w:val="24"/>
          <w:szCs w:val="24"/>
        </w:rPr>
        <w:endnoteReference w:id="18"/>
      </w:r>
      <w:r w:rsidRPr="00C57F69">
        <w:rPr>
          <w:rFonts w:ascii="Times New Roman" w:hAnsi="Times New Roman" w:cs="Times New Roman"/>
          <w:sz w:val="24"/>
          <w:szCs w:val="24"/>
        </w:rPr>
        <w:t xml:space="preserve"> This conservative ideology is evident across a number of other Western nations which promoted a similar conservative ideology particularly following the First World War and effectively acted to curtail the number of women working outside of the home. </w:t>
      </w:r>
    </w:p>
    <w:p w14:paraId="5AC0D12B" w14:textId="09179C0B" w:rsidR="00C57F69" w:rsidRPr="00C57F69" w:rsidRDefault="00C57F69" w:rsidP="00D27AA8">
      <w:pPr>
        <w:spacing w:after="0" w:line="480" w:lineRule="auto"/>
        <w:ind w:firstLine="331"/>
        <w:jc w:val="both"/>
        <w:rPr>
          <w:rFonts w:ascii="Times New Roman" w:hAnsi="Times New Roman" w:cs="Times New Roman"/>
          <w:sz w:val="24"/>
          <w:szCs w:val="24"/>
        </w:rPr>
      </w:pPr>
      <w:r w:rsidRPr="00C57F69">
        <w:rPr>
          <w:rFonts w:ascii="Times New Roman" w:hAnsi="Times New Roman" w:cs="Times New Roman"/>
          <w:sz w:val="24"/>
          <w:szCs w:val="24"/>
        </w:rPr>
        <w:lastRenderedPageBreak/>
        <w:t xml:space="preserve">The 1937 Constitution further copper-fastened this dominant ideology, </w:t>
      </w:r>
      <w:proofErr w:type="spellStart"/>
      <w:r w:rsidRPr="00C57F69">
        <w:rPr>
          <w:rFonts w:ascii="Times New Roman" w:eastAsia="Times New Roman" w:hAnsi="Times New Roman" w:cs="Times New Roman"/>
          <w:sz w:val="24"/>
          <w:szCs w:val="24"/>
        </w:rPr>
        <w:t>recognising</w:t>
      </w:r>
      <w:proofErr w:type="spellEnd"/>
      <w:r w:rsidRPr="00C57F69">
        <w:rPr>
          <w:rFonts w:ascii="Times New Roman" w:eastAsia="Times New Roman" w:hAnsi="Times New Roman" w:cs="Times New Roman"/>
          <w:sz w:val="24"/>
          <w:szCs w:val="24"/>
        </w:rPr>
        <w:t xml:space="preserve"> the family as being ‘the natural and primary fundamental unit group of Society’ and highlighting a special position for women:</w:t>
      </w:r>
    </w:p>
    <w:p w14:paraId="32255349" w14:textId="6B8128C8" w:rsidR="00C57F69" w:rsidRPr="00C57F69" w:rsidRDefault="00C57F69" w:rsidP="001C7AAE">
      <w:pPr>
        <w:spacing w:line="300" w:lineRule="atLeast"/>
        <w:ind w:left="331"/>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xml:space="preserve">In particular, the State </w:t>
      </w:r>
      <w:proofErr w:type="spellStart"/>
      <w:r w:rsidRPr="00C57F69">
        <w:rPr>
          <w:rFonts w:ascii="Times New Roman" w:eastAsia="Times New Roman" w:hAnsi="Times New Roman" w:cs="Times New Roman"/>
          <w:sz w:val="24"/>
          <w:szCs w:val="24"/>
        </w:rPr>
        <w:t>recognises</w:t>
      </w:r>
      <w:proofErr w:type="spellEnd"/>
      <w:r w:rsidRPr="00C57F69">
        <w:rPr>
          <w:rFonts w:ascii="Times New Roman" w:eastAsia="Times New Roman" w:hAnsi="Times New Roman" w:cs="Times New Roman"/>
          <w:sz w:val="24"/>
          <w:szCs w:val="24"/>
        </w:rPr>
        <w:t xml:space="preserve"> that by her life within the home, woman gives to the State a support without which the common good cannot be achieved. The State shall, therefore, </w:t>
      </w:r>
      <w:proofErr w:type="spellStart"/>
      <w:r w:rsidRPr="00C57F69">
        <w:rPr>
          <w:rFonts w:ascii="Times New Roman" w:eastAsia="Times New Roman" w:hAnsi="Times New Roman" w:cs="Times New Roman"/>
          <w:sz w:val="24"/>
          <w:szCs w:val="24"/>
        </w:rPr>
        <w:t>endeavour</w:t>
      </w:r>
      <w:proofErr w:type="spellEnd"/>
      <w:r w:rsidRPr="00C57F69">
        <w:rPr>
          <w:rFonts w:ascii="Times New Roman" w:eastAsia="Times New Roman" w:hAnsi="Times New Roman" w:cs="Times New Roman"/>
          <w:sz w:val="24"/>
          <w:szCs w:val="24"/>
        </w:rPr>
        <w:t xml:space="preserve"> to ensure that mothers shall not be obliged by economic necessity to engage in </w:t>
      </w:r>
      <w:proofErr w:type="spellStart"/>
      <w:r w:rsidRPr="00C57F69">
        <w:rPr>
          <w:rFonts w:ascii="Times New Roman" w:eastAsia="Times New Roman" w:hAnsi="Times New Roman" w:cs="Times New Roman"/>
          <w:sz w:val="24"/>
          <w:szCs w:val="24"/>
        </w:rPr>
        <w:t>labour</w:t>
      </w:r>
      <w:proofErr w:type="spellEnd"/>
      <w:r w:rsidRPr="00C57F69">
        <w:rPr>
          <w:rFonts w:ascii="Times New Roman" w:eastAsia="Times New Roman" w:hAnsi="Times New Roman" w:cs="Times New Roman"/>
          <w:sz w:val="24"/>
          <w:szCs w:val="24"/>
        </w:rPr>
        <w:t xml:space="preserve"> to the neglect of their duties in the home. (Article 40.2, 1937 Irish Constitution).</w:t>
      </w:r>
    </w:p>
    <w:p w14:paraId="34A8D57E" w14:textId="45DF214E" w:rsidR="00C57F69" w:rsidRPr="00C57F69" w:rsidRDefault="00C57F69" w:rsidP="0012023E">
      <w:pPr>
        <w:spacing w:after="0" w:line="480" w:lineRule="auto"/>
        <w:jc w:val="both"/>
        <w:rPr>
          <w:rFonts w:ascii="Times New Roman" w:eastAsia="Times New Roman" w:hAnsi="Times New Roman" w:cs="Times New Roman"/>
          <w:sz w:val="24"/>
          <w:szCs w:val="24"/>
        </w:rPr>
      </w:pPr>
      <w:bookmarkStart w:id="7" w:name="_Hlk125720529"/>
      <w:r w:rsidRPr="00C57F69">
        <w:rPr>
          <w:rFonts w:ascii="Times New Roman" w:hAnsi="Times New Roman" w:cs="Times New Roman"/>
          <w:sz w:val="24"/>
          <w:szCs w:val="24"/>
        </w:rPr>
        <w:t>As Beaumont notes, while the Irish Free State Constitution had guaranteed equal rights and opportunities to both men and women, ‘by 1937, this guarantee of equal citizenship for women had been transformed into a more gender based definition.’</w:t>
      </w:r>
      <w:r w:rsidRPr="00C57F69">
        <w:rPr>
          <w:rStyle w:val="EndnoteReference"/>
          <w:rFonts w:ascii="Times New Roman" w:hAnsi="Times New Roman" w:cs="Times New Roman"/>
          <w:sz w:val="24"/>
          <w:szCs w:val="24"/>
        </w:rPr>
        <w:endnoteReference w:id="19"/>
      </w:r>
      <w:bookmarkEnd w:id="7"/>
      <w:r w:rsidRPr="00C57F69">
        <w:rPr>
          <w:rFonts w:ascii="Times New Roman" w:hAnsi="Times New Roman" w:cs="Times New Roman"/>
          <w:sz w:val="24"/>
          <w:szCs w:val="24"/>
        </w:rPr>
        <w:t xml:space="preserve"> Lee observes ‘the social clauses of the (1937) constitution blended prevailing Catholic concepts with popular attitudes rooted in the social structure… Article 41 </w:t>
      </w:r>
      <w:proofErr w:type="spellStart"/>
      <w:r w:rsidRPr="00C57F69">
        <w:rPr>
          <w:rFonts w:ascii="Times New Roman" w:hAnsi="Times New Roman" w:cs="Times New Roman"/>
          <w:sz w:val="24"/>
          <w:szCs w:val="24"/>
        </w:rPr>
        <w:t>emphasised</w:t>
      </w:r>
      <w:proofErr w:type="spellEnd"/>
      <w:r w:rsidRPr="00C57F69">
        <w:rPr>
          <w:rFonts w:ascii="Times New Roman" w:hAnsi="Times New Roman" w:cs="Times New Roman"/>
          <w:sz w:val="24"/>
          <w:szCs w:val="24"/>
        </w:rPr>
        <w:t xml:space="preserve"> (a woman’s place) within the home. De Valera</w:t>
      </w:r>
      <w:r w:rsidRPr="00C57F69">
        <w:rPr>
          <w:rStyle w:val="EndnoteReference"/>
          <w:rFonts w:ascii="Times New Roman" w:hAnsi="Times New Roman" w:cs="Times New Roman"/>
          <w:sz w:val="24"/>
          <w:szCs w:val="24"/>
        </w:rPr>
        <w:endnoteReference w:id="20"/>
      </w:r>
      <w:r w:rsidRPr="00C57F69">
        <w:rPr>
          <w:rFonts w:ascii="Times New Roman" w:hAnsi="Times New Roman" w:cs="Times New Roman"/>
          <w:sz w:val="24"/>
          <w:szCs w:val="24"/>
        </w:rPr>
        <w:t xml:space="preserve"> was clear that this was the only proper place for her’.</w:t>
      </w:r>
      <w:r w:rsidRPr="00C57F69">
        <w:rPr>
          <w:rStyle w:val="EndnoteReference"/>
          <w:rFonts w:ascii="Times New Roman" w:hAnsi="Times New Roman" w:cs="Times New Roman"/>
          <w:sz w:val="24"/>
          <w:szCs w:val="24"/>
        </w:rPr>
        <w:endnoteReference w:id="21"/>
      </w:r>
    </w:p>
    <w:p w14:paraId="2D7622B1" w14:textId="3746F2E9" w:rsidR="00C57F69" w:rsidRPr="00C57F69" w:rsidRDefault="00C57F69" w:rsidP="00461C6A">
      <w:pPr>
        <w:tabs>
          <w:tab w:val="left" w:pos="8647"/>
        </w:tabs>
        <w:spacing w:after="0" w:line="480" w:lineRule="auto"/>
        <w:ind w:firstLine="720"/>
        <w:jc w:val="both"/>
        <w:rPr>
          <w:rFonts w:ascii="Times New Roman" w:hAnsi="Times New Roman" w:cs="Times New Roman"/>
          <w:sz w:val="24"/>
          <w:szCs w:val="24"/>
        </w:rPr>
      </w:pPr>
      <w:r w:rsidRPr="00C57F69">
        <w:rPr>
          <w:rFonts w:ascii="Times New Roman" w:eastAsia="Calibri" w:hAnsi="Times New Roman" w:cs="Times New Roman"/>
          <w:sz w:val="24"/>
          <w:szCs w:val="24"/>
          <w:lang w:val="en-IE"/>
        </w:rPr>
        <w:t xml:space="preserve">McClintock argues that </w:t>
      </w:r>
      <w:r w:rsidRPr="00C57F69">
        <w:rPr>
          <w:rFonts w:ascii="Times New Roman" w:hAnsi="Times New Roman" w:cs="Times New Roman"/>
          <w:sz w:val="24"/>
          <w:szCs w:val="24"/>
          <w:shd w:val="clear" w:color="auto" w:fill="FFFFFF"/>
        </w:rPr>
        <w:t>‘all nationalisms are gendered, all are invented, and all are dangerous.’</w:t>
      </w:r>
      <w:r w:rsidRPr="00C57F69">
        <w:rPr>
          <w:rStyle w:val="EndnoteReference"/>
          <w:rFonts w:ascii="Times New Roman" w:eastAsia="Calibri" w:hAnsi="Times New Roman" w:cs="Times New Roman"/>
          <w:sz w:val="24"/>
          <w:szCs w:val="24"/>
          <w:lang w:val="en-IE"/>
        </w:rPr>
        <w:endnoteReference w:id="22"/>
      </w:r>
      <w:r w:rsidRPr="00C57F69">
        <w:rPr>
          <w:rFonts w:ascii="Times New Roman" w:hAnsi="Times New Roman" w:cs="Times New Roman"/>
          <w:sz w:val="24"/>
          <w:szCs w:val="24"/>
        </w:rPr>
        <w:t xml:space="preserve"> While women had played a central role in the fight for independence, the promise and potential of Irish independence did not provide the opportunities for women that many had expected. </w:t>
      </w:r>
      <w:proofErr w:type="spellStart"/>
      <w:r w:rsidRPr="00C57F69">
        <w:rPr>
          <w:rFonts w:ascii="Times New Roman" w:hAnsi="Times New Roman" w:cs="Times New Roman"/>
          <w:sz w:val="24"/>
          <w:szCs w:val="24"/>
        </w:rPr>
        <w:t>Valiulis</w:t>
      </w:r>
      <w:proofErr w:type="spellEnd"/>
      <w:r w:rsidRPr="00C57F69">
        <w:rPr>
          <w:rFonts w:ascii="Times New Roman" w:hAnsi="Times New Roman" w:cs="Times New Roman"/>
          <w:sz w:val="24"/>
          <w:szCs w:val="24"/>
        </w:rPr>
        <w:t xml:space="preserve"> attributes the paradigm shift in gender roles in the post-colonial period to an underlying sexism in nationalist thinking and the hegemonic power base of the Catholic Church.</w:t>
      </w:r>
      <w:r w:rsidRPr="00C57F69">
        <w:rPr>
          <w:rStyle w:val="EndnoteReference"/>
          <w:rFonts w:ascii="Times New Roman" w:hAnsi="Times New Roman" w:cs="Times New Roman"/>
          <w:sz w:val="24"/>
          <w:szCs w:val="24"/>
        </w:rPr>
        <w:endnoteReference w:id="23"/>
      </w:r>
      <w:r w:rsidRPr="00C57F69">
        <w:rPr>
          <w:rFonts w:ascii="Times New Roman" w:hAnsi="Times New Roman" w:cs="Times New Roman"/>
          <w:sz w:val="24"/>
          <w:szCs w:val="24"/>
        </w:rPr>
        <w:t xml:space="preserve"> </w:t>
      </w:r>
      <w:r w:rsidRPr="00C57F69">
        <w:rPr>
          <w:rFonts w:ascii="Times New Roman" w:eastAsia="Calibri" w:hAnsi="Times New Roman" w:cs="Times New Roman"/>
          <w:sz w:val="24"/>
          <w:szCs w:val="24"/>
          <w:lang w:val="en-GB"/>
        </w:rPr>
        <w:t>Dominant discourses of Irish womanhood in the Irish Free State idealised piety, devotion and selflessness, most powerfully represented through</w:t>
      </w:r>
      <w:r w:rsidRPr="00C57F69">
        <w:rPr>
          <w:rFonts w:ascii="Times New Roman" w:hAnsi="Times New Roman" w:cs="Times New Roman"/>
          <w:sz w:val="24"/>
          <w:szCs w:val="24"/>
        </w:rPr>
        <w:t xml:space="preserve"> ‘married, </w:t>
      </w:r>
      <w:proofErr w:type="spellStart"/>
      <w:r w:rsidRPr="00C57F69">
        <w:rPr>
          <w:rFonts w:ascii="Times New Roman" w:hAnsi="Times New Roman" w:cs="Times New Roman"/>
          <w:sz w:val="24"/>
          <w:szCs w:val="24"/>
        </w:rPr>
        <w:t>desexualised</w:t>
      </w:r>
      <w:proofErr w:type="spellEnd"/>
      <w:r w:rsidRPr="00C57F69">
        <w:rPr>
          <w:rFonts w:ascii="Times New Roman" w:hAnsi="Times New Roman" w:cs="Times New Roman"/>
          <w:sz w:val="24"/>
          <w:szCs w:val="24"/>
        </w:rPr>
        <w:t>, at-home motherhood’</w:t>
      </w:r>
      <w:r w:rsidRPr="00C57F69">
        <w:rPr>
          <w:rStyle w:val="EndnoteReference"/>
          <w:rFonts w:ascii="Times New Roman" w:hAnsi="Times New Roman" w:cs="Times New Roman"/>
          <w:sz w:val="24"/>
          <w:szCs w:val="24"/>
        </w:rPr>
        <w:endnoteReference w:id="24"/>
      </w:r>
      <w:r w:rsidRPr="00C57F69">
        <w:rPr>
          <w:rFonts w:ascii="Times New Roman" w:hAnsi="Times New Roman" w:cs="Times New Roman"/>
          <w:sz w:val="24"/>
          <w:szCs w:val="24"/>
        </w:rPr>
        <w:t xml:space="preserve"> or alternatively, the sacrosanct role of the nun.</w:t>
      </w:r>
      <w:r w:rsidRPr="00C57F69">
        <w:rPr>
          <w:rStyle w:val="EndnoteReference"/>
          <w:rFonts w:ascii="Times New Roman" w:hAnsi="Times New Roman" w:cs="Times New Roman"/>
          <w:sz w:val="24"/>
          <w:szCs w:val="24"/>
        </w:rPr>
        <w:endnoteReference w:id="25"/>
      </w:r>
      <w:r w:rsidRPr="00C57F69">
        <w:rPr>
          <w:rFonts w:ascii="Times New Roman" w:hAnsi="Times New Roman" w:cs="Times New Roman"/>
          <w:sz w:val="24"/>
          <w:szCs w:val="24"/>
        </w:rPr>
        <w:t xml:space="preserve"> Yet, despite their subordinate status, women were nonetheless critical to the machinery of the state. As mothers they were considered to exercise a major responsibility for the spiritual welfare of their families and for encouraging their children to enter religious life. As wives, they were called upon to act as ‘God’s police’ in the home, ensuring that their husbands attended religious gatherings and abstained from gambling and taking </w:t>
      </w:r>
      <w:r w:rsidRPr="00C57F69">
        <w:rPr>
          <w:rFonts w:ascii="Times New Roman" w:hAnsi="Times New Roman" w:cs="Times New Roman"/>
          <w:sz w:val="24"/>
          <w:szCs w:val="24"/>
        </w:rPr>
        <w:lastRenderedPageBreak/>
        <w:t>alcohol.</w:t>
      </w:r>
      <w:r w:rsidRPr="00C57F69">
        <w:rPr>
          <w:rStyle w:val="EndnoteReference"/>
          <w:rFonts w:ascii="Times New Roman" w:hAnsi="Times New Roman" w:cs="Times New Roman"/>
          <w:sz w:val="24"/>
          <w:szCs w:val="24"/>
        </w:rPr>
        <w:endnoteReference w:id="26"/>
      </w:r>
      <w:r w:rsidRPr="00C57F69">
        <w:rPr>
          <w:rFonts w:ascii="Times New Roman" w:hAnsi="Times New Roman" w:cs="Times New Roman"/>
          <w:sz w:val="24"/>
          <w:szCs w:val="24"/>
        </w:rPr>
        <w:t>As such they played a pivotal role in copper-fastening the church/state nexus and ensuring its primacy and longevity, advancing the church’s agenda and ensuring its hegemony. Addressing the Conference of Convent Secondary Schools in 1952, Deputy Seán Moylan, Minister for Education, observed ‘teach a man and you teach an individual; teach a woman and you teach a family.’</w:t>
      </w:r>
      <w:r w:rsidRPr="00C57F69">
        <w:rPr>
          <w:rStyle w:val="EndnoteReference"/>
          <w:rFonts w:ascii="Times New Roman" w:hAnsi="Times New Roman" w:cs="Times New Roman"/>
          <w:sz w:val="24"/>
          <w:szCs w:val="24"/>
        </w:rPr>
        <w:endnoteReference w:id="27"/>
      </w:r>
      <w:r w:rsidRPr="00C57F69">
        <w:rPr>
          <w:rFonts w:ascii="Times New Roman" w:hAnsi="Times New Roman" w:cs="Times New Roman"/>
          <w:sz w:val="24"/>
          <w:szCs w:val="24"/>
        </w:rPr>
        <w:t xml:space="preserve"> </w:t>
      </w:r>
    </w:p>
    <w:p w14:paraId="0D6C32EF" w14:textId="1085670C" w:rsidR="00C57F69" w:rsidRPr="00C57F69" w:rsidRDefault="00C57F69" w:rsidP="00E15883">
      <w:pPr>
        <w:spacing w:after="0" w:line="480" w:lineRule="auto"/>
        <w:ind w:firstLine="720"/>
        <w:jc w:val="both"/>
        <w:rPr>
          <w:rFonts w:ascii="Times New Roman" w:hAnsi="Times New Roman" w:cs="Times New Roman"/>
          <w:strike/>
          <w:sz w:val="24"/>
          <w:szCs w:val="24"/>
        </w:rPr>
      </w:pPr>
      <w:r w:rsidRPr="00C57F69">
        <w:rPr>
          <w:rFonts w:ascii="Times New Roman" w:eastAsia="Calibri" w:hAnsi="Times New Roman" w:cs="Times New Roman"/>
          <w:sz w:val="24"/>
          <w:szCs w:val="24"/>
          <w:lang w:val="en-GB"/>
        </w:rPr>
        <w:t>Woman’s powerful role as an instrument of the state masked but paradoxically guaranteed their submission and thus their service. By the close of the 1960s, Irish women had fewer rights than women in most other European countries; contraception was illegal, as was divorce under the Constitution, and abortion was deemed a criminal act. Single mothers and women separated in marriage were ineligible for welfare payments and gender discrimination operated across the employment and tax systems.</w:t>
      </w:r>
      <w:r w:rsidRPr="00C57F69">
        <w:rPr>
          <w:rStyle w:val="EndnoteReference"/>
          <w:rFonts w:ascii="Times New Roman" w:eastAsia="Calibri" w:hAnsi="Times New Roman" w:cs="Times New Roman"/>
          <w:sz w:val="24"/>
          <w:szCs w:val="24"/>
          <w:lang w:val="en-GB"/>
        </w:rPr>
        <w:endnoteReference w:id="28"/>
      </w:r>
      <w:r w:rsidRPr="00C57F69">
        <w:rPr>
          <w:rFonts w:ascii="Times New Roman" w:eastAsia="Calibri" w:hAnsi="Times New Roman" w:cs="Times New Roman"/>
          <w:sz w:val="24"/>
          <w:szCs w:val="24"/>
          <w:lang w:val="en-GB"/>
        </w:rPr>
        <w:t xml:space="preserve"> T</w:t>
      </w:r>
      <w:r w:rsidRPr="00C57F69">
        <w:rPr>
          <w:rFonts w:ascii="Times New Roman" w:hAnsi="Times New Roman" w:cs="Times New Roman"/>
          <w:sz w:val="24"/>
          <w:szCs w:val="24"/>
        </w:rPr>
        <w:t>his regression, while acute in the Irish context, was mirrored internationally by a movement towards authoritarian family models and restrictions on women’s employment opportunities and role in public life.</w:t>
      </w:r>
      <w:r w:rsidRPr="00C57F69">
        <w:rPr>
          <w:rStyle w:val="EndnoteReference"/>
          <w:rFonts w:ascii="Times New Roman" w:hAnsi="Times New Roman" w:cs="Times New Roman"/>
          <w:sz w:val="24"/>
          <w:szCs w:val="24"/>
        </w:rPr>
        <w:endnoteReference w:id="29"/>
      </w:r>
      <w:r w:rsidRPr="00C57F69">
        <w:t> </w:t>
      </w:r>
      <w:bookmarkStart w:id="8" w:name="_Hlk124942808"/>
    </w:p>
    <w:p w14:paraId="5F734136" w14:textId="31510CFE" w:rsidR="00C57F69" w:rsidRPr="00C57F69" w:rsidRDefault="00C57F69" w:rsidP="0012023E">
      <w:pPr>
        <w:spacing w:after="0" w:line="480" w:lineRule="auto"/>
        <w:ind w:firstLine="720"/>
        <w:jc w:val="both"/>
        <w:rPr>
          <w:rFonts w:ascii="Times New Roman" w:hAnsi="Times New Roman" w:cs="Times New Roman"/>
          <w:strike/>
          <w:sz w:val="24"/>
          <w:szCs w:val="24"/>
        </w:rPr>
      </w:pPr>
      <w:r w:rsidRPr="00C57F69">
        <w:rPr>
          <w:rFonts w:ascii="Times New Roman" w:hAnsi="Times New Roman" w:cs="Times New Roman"/>
          <w:sz w:val="24"/>
          <w:szCs w:val="24"/>
        </w:rPr>
        <w:t>Significant political and social change was on the horizon, however, and the late 1950s - 70s witnessed a redefinition of the role and status of women in Irish society as well as the framing of a new public policy paradigm.</w:t>
      </w:r>
      <w:r w:rsidRPr="00C57F69">
        <w:rPr>
          <w:rStyle w:val="EndnoteReference"/>
          <w:rFonts w:ascii="Times New Roman" w:hAnsi="Times New Roman" w:cs="Times New Roman"/>
          <w:sz w:val="24"/>
          <w:szCs w:val="24"/>
        </w:rPr>
        <w:endnoteReference w:id="30"/>
      </w:r>
      <w:r w:rsidRPr="00C57F69">
        <w:rPr>
          <w:rFonts w:ascii="Times New Roman" w:hAnsi="Times New Roman" w:cs="Times New Roman"/>
          <w:sz w:val="24"/>
          <w:szCs w:val="24"/>
        </w:rPr>
        <w:t xml:space="preserve"> This agenda was significantly shaped by external factors, including Ireland’s application for entry to the European Economic Community as well as a 1968 UN directive on the status of women which contributed to the formation of the Commission on the Status of Women whose 1972 report acted as a clarion call for reform.</w:t>
      </w:r>
      <w:r w:rsidRPr="00C57F69">
        <w:rPr>
          <w:rStyle w:val="EndnoteReference"/>
          <w:rFonts w:ascii="Times New Roman" w:hAnsi="Times New Roman" w:cs="Times New Roman"/>
          <w:sz w:val="24"/>
          <w:szCs w:val="24"/>
        </w:rPr>
        <w:endnoteReference w:id="31"/>
      </w:r>
      <w:r w:rsidRPr="00C57F69">
        <w:rPr>
          <w:rFonts w:ascii="Times New Roman" w:hAnsi="Times New Roman" w:cs="Times New Roman"/>
          <w:sz w:val="24"/>
          <w:szCs w:val="24"/>
        </w:rPr>
        <w:t xml:space="preserve"> </w:t>
      </w:r>
      <w:bookmarkStart w:id="9" w:name="_Hlk125370356"/>
      <w:r w:rsidRPr="00C57F69">
        <w:rPr>
          <w:rFonts w:asciiTheme="majorBidi" w:hAnsiTheme="majorBidi" w:cstheme="majorBidi"/>
          <w:sz w:val="24"/>
          <w:szCs w:val="24"/>
        </w:rPr>
        <w:t xml:space="preserve">As Ó’ </w:t>
      </w:r>
      <w:proofErr w:type="spellStart"/>
      <w:r w:rsidRPr="00C57F69">
        <w:rPr>
          <w:rFonts w:asciiTheme="majorBidi" w:hAnsiTheme="majorBidi" w:cstheme="majorBidi"/>
          <w:sz w:val="24"/>
          <w:szCs w:val="24"/>
        </w:rPr>
        <w:t>Corráin</w:t>
      </w:r>
      <w:proofErr w:type="spellEnd"/>
      <w:r w:rsidRPr="00C57F69">
        <w:rPr>
          <w:rFonts w:asciiTheme="majorBidi" w:hAnsiTheme="majorBidi" w:cstheme="majorBidi"/>
          <w:sz w:val="24"/>
          <w:szCs w:val="24"/>
        </w:rPr>
        <w:t xml:space="preserve"> notes, ‘</w:t>
      </w:r>
      <w:r w:rsidRPr="00C57F69">
        <w:rPr>
          <w:rFonts w:asciiTheme="majorBidi" w:hAnsiTheme="majorBidi" w:cstheme="majorBidi"/>
          <w:sz w:val="24"/>
          <w:szCs w:val="24"/>
          <w:shd w:val="clear" w:color="auto" w:fill="FFFFFF"/>
        </w:rPr>
        <w:t>once women were able to access alternative sources of power through the workplace and public life, a central pillar of the Church’s ideological control was removed.’</w:t>
      </w:r>
      <w:r w:rsidRPr="00C57F69">
        <w:rPr>
          <w:rStyle w:val="EndnoteReference"/>
          <w:rFonts w:asciiTheme="majorBidi" w:hAnsiTheme="majorBidi" w:cstheme="majorBidi"/>
          <w:sz w:val="24"/>
          <w:szCs w:val="24"/>
          <w:shd w:val="clear" w:color="auto" w:fill="FFFFFF"/>
        </w:rPr>
        <w:endnoteReference w:id="32"/>
      </w:r>
    </w:p>
    <w:bookmarkEnd w:id="8"/>
    <w:bookmarkEnd w:id="9"/>
    <w:p w14:paraId="3F293E42" w14:textId="77777777" w:rsidR="00C57F69" w:rsidRPr="00C57F69" w:rsidRDefault="00C57F69" w:rsidP="008461F4">
      <w:pPr>
        <w:spacing w:after="0" w:line="240" w:lineRule="auto"/>
        <w:ind w:firstLine="720"/>
        <w:jc w:val="both"/>
        <w:rPr>
          <w:rFonts w:ascii="Times New Roman" w:eastAsia="Times New Roman" w:hAnsi="Times New Roman" w:cs="Times New Roman"/>
          <w:sz w:val="24"/>
          <w:szCs w:val="24"/>
        </w:rPr>
      </w:pPr>
    </w:p>
    <w:p w14:paraId="717CB541" w14:textId="544F04A6" w:rsidR="00C57F69" w:rsidRPr="00C57F69" w:rsidRDefault="00C57F69" w:rsidP="0017118C">
      <w:pPr>
        <w:shd w:val="clear" w:color="auto" w:fill="FFFFFF"/>
        <w:spacing w:after="0" w:line="480" w:lineRule="auto"/>
        <w:ind w:right="29"/>
        <w:jc w:val="both"/>
        <w:rPr>
          <w:rFonts w:ascii="Times New Roman" w:eastAsia="Times New Roman" w:hAnsi="Times New Roman" w:cs="Times New Roman"/>
          <w:b/>
          <w:bCs/>
          <w:sz w:val="24"/>
          <w:szCs w:val="24"/>
        </w:rPr>
      </w:pPr>
      <w:r w:rsidRPr="00C57F69">
        <w:rPr>
          <w:rFonts w:ascii="Times New Roman" w:eastAsia="Times New Roman" w:hAnsi="Times New Roman" w:cs="Times New Roman"/>
          <w:b/>
          <w:bCs/>
          <w:sz w:val="24"/>
          <w:szCs w:val="24"/>
        </w:rPr>
        <w:t>Catholic Teacher Training Colleges for Women</w:t>
      </w:r>
    </w:p>
    <w:p w14:paraId="6DF4115D" w14:textId="4467D740" w:rsidR="00C57F69" w:rsidRPr="00C57F69" w:rsidRDefault="00C57F69" w:rsidP="0012023E">
      <w:pPr>
        <w:autoSpaceDE w:val="0"/>
        <w:autoSpaceDN w:val="0"/>
        <w:adjustRightInd w:val="0"/>
        <w:spacing w:after="0" w:line="480" w:lineRule="auto"/>
        <w:ind w:right="-158"/>
        <w:jc w:val="both"/>
        <w:rPr>
          <w:rFonts w:ascii="Times New Roman" w:eastAsia="Times New Roman" w:hAnsi="Times New Roman" w:cs="Times New Roman"/>
          <w:sz w:val="24"/>
          <w:szCs w:val="24"/>
        </w:rPr>
      </w:pPr>
      <w:r w:rsidRPr="00C57F69">
        <w:rPr>
          <w:rFonts w:ascii="Times New Roman" w:hAnsi="Times New Roman" w:cs="Times New Roman"/>
          <w:sz w:val="24"/>
          <w:szCs w:val="24"/>
        </w:rPr>
        <w:lastRenderedPageBreak/>
        <w:t xml:space="preserve">The Free State inherited two Catholic teacher training colleges for women, Our Lady of Mercy Training College in Dublin (known as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xml:space="preserve"> College) and Mary Immaculate Training College in Limerick.  Both colleges were run by the Sisters of Mercy and both were under the management of the Catholic bishop of the respective dioceses, although largely funded by the state.</w:t>
      </w:r>
      <w:r w:rsidRPr="00C57F69">
        <w:rPr>
          <w:rFonts w:ascii="Times New Roman" w:eastAsia="Times New Roman" w:hAnsi="Times New Roman" w:cs="Times New Roman"/>
          <w:sz w:val="24"/>
          <w:szCs w:val="24"/>
        </w:rPr>
        <w:t xml:space="preserve"> </w:t>
      </w:r>
      <w:r w:rsidRPr="00C57F69">
        <w:rPr>
          <w:rFonts w:ascii="Times New Roman" w:hAnsi="Times New Roman" w:cs="Times New Roman"/>
          <w:sz w:val="24"/>
          <w:szCs w:val="24"/>
        </w:rPr>
        <w:t>This arrangement appealed to successive governments, in part because the great majority of the nation’s politicians and public servants were themselves loyal middle-class Catholics but also because the teacher training colleges played a significant role in the state’s project of harnessing education as part of its Gaelic nation-building project.</w:t>
      </w:r>
      <w:r w:rsidRPr="00C57F69">
        <w:rPr>
          <w:rStyle w:val="EndnoteReference"/>
          <w:rFonts w:ascii="Times New Roman" w:hAnsi="Times New Roman" w:cs="Times New Roman"/>
          <w:sz w:val="24"/>
          <w:szCs w:val="24"/>
        </w:rPr>
        <w:endnoteReference w:id="33"/>
      </w:r>
      <w:r w:rsidRPr="00C57F69">
        <w:rPr>
          <w:rFonts w:ascii="Times New Roman" w:hAnsi="Times New Roman" w:cs="Times New Roman"/>
          <w:sz w:val="24"/>
          <w:szCs w:val="24"/>
        </w:rPr>
        <w:t xml:space="preserve"> As well as their involvement in teacher training, the Sisters of Mercy, founded by Catherine McAuley in 1831, was also heavily involved in the provision of education for the poorer and middle classes. They soon became the largest religious community of women to provide elementary education for females, McCauley believing education was critical to the formation of women since ‘whatever be the station they are destined to fill, their example will always have great influence.’</w:t>
      </w:r>
      <w:r w:rsidRPr="00C57F69">
        <w:rPr>
          <w:rStyle w:val="EndnoteReference"/>
          <w:rFonts w:ascii="Times New Roman" w:hAnsi="Times New Roman" w:cs="Times New Roman"/>
          <w:sz w:val="24"/>
          <w:szCs w:val="24"/>
        </w:rPr>
        <w:endnoteReference w:id="34"/>
      </w:r>
      <w:r w:rsidRPr="00C57F69">
        <w:rPr>
          <w:rFonts w:ascii="Times New Roman" w:hAnsi="Times New Roman" w:cs="Times New Roman"/>
          <w:sz w:val="24"/>
          <w:szCs w:val="24"/>
        </w:rPr>
        <w:t xml:space="preserve"> The order’s involvement in teacher training dates from 1836, its objective in this area being to ‘diffuse the blessing of a religious education more extensively.’</w:t>
      </w:r>
      <w:r w:rsidRPr="00C57F69">
        <w:rPr>
          <w:rStyle w:val="EndnoteReference"/>
          <w:rFonts w:ascii="Times New Roman" w:hAnsi="Times New Roman" w:cs="Times New Roman"/>
          <w:sz w:val="24"/>
          <w:szCs w:val="24"/>
        </w:rPr>
        <w:endnoteReference w:id="35"/>
      </w:r>
    </w:p>
    <w:p w14:paraId="65468AFD" w14:textId="3D83CE0B" w:rsidR="00C57F69" w:rsidRPr="00C57F69" w:rsidRDefault="00C57F69" w:rsidP="0084620E">
      <w:pPr>
        <w:autoSpaceDE w:val="0"/>
        <w:autoSpaceDN w:val="0"/>
        <w:adjustRightInd w:val="0"/>
        <w:spacing w:after="0" w:line="480" w:lineRule="auto"/>
        <w:ind w:right="-158" w:firstLine="720"/>
        <w:jc w:val="both"/>
        <w:rPr>
          <w:rFonts w:ascii="Times New Roman" w:hAnsi="Times New Roman" w:cs="Times New Roman"/>
          <w:sz w:val="24"/>
          <w:szCs w:val="24"/>
        </w:rPr>
      </w:pPr>
      <w:r w:rsidRPr="00C57F69">
        <w:rPr>
          <w:rFonts w:ascii="Times New Roman" w:hAnsi="Times New Roman" w:cs="Times New Roman"/>
          <w:sz w:val="24"/>
          <w:szCs w:val="24"/>
        </w:rPr>
        <w:t xml:space="preserve">Initially, there were various categories of entrants to both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xml:space="preserve"> and Mary Immaculate College. As well as graduates from secondary schools, entrants included former monitresses, pupil teachers and (from the late 1920s to the early 1960s) graduates of Irish-speaking preparatory colleges.</w:t>
      </w:r>
      <w:r w:rsidRPr="00C57F69">
        <w:rPr>
          <w:rStyle w:val="EndnoteReference"/>
          <w:rFonts w:ascii="Times New Roman" w:hAnsi="Times New Roman" w:cs="Times New Roman"/>
          <w:sz w:val="24"/>
          <w:szCs w:val="24"/>
        </w:rPr>
        <w:endnoteReference w:id="36"/>
      </w:r>
      <w:r w:rsidRPr="00C57F69">
        <w:rPr>
          <w:rFonts w:ascii="Times New Roman" w:hAnsi="Times New Roman" w:cs="Times New Roman"/>
          <w:sz w:val="24"/>
          <w:szCs w:val="24"/>
        </w:rPr>
        <w:t xml:space="preserve"> In addition, female members of religious orders were admitted on a non-competitive basis. Whereas the acceptance of members of religious orders was a matter for the college authorities, the annual intake of lay students was controlled by the state Department of Education and competition for places was significant. Places in primary teacher training colleges were highly prized. </w:t>
      </w:r>
      <w:bookmarkStart w:id="10" w:name="_Hlk125721017"/>
      <w:r w:rsidRPr="00C57F69">
        <w:rPr>
          <w:rFonts w:ascii="Times New Roman" w:hAnsi="Times New Roman" w:cs="Times New Roman"/>
          <w:sz w:val="24"/>
          <w:szCs w:val="24"/>
        </w:rPr>
        <w:t xml:space="preserve">At a time when university students in Ireland had to pay fees of approximately £50 per annum, as well as the cost of accommodation in a university city, the full cost of a student in a </w:t>
      </w:r>
      <w:r w:rsidRPr="00C57F69">
        <w:rPr>
          <w:rFonts w:ascii="Times New Roman" w:hAnsi="Times New Roman" w:cs="Times New Roman"/>
          <w:sz w:val="24"/>
          <w:szCs w:val="24"/>
        </w:rPr>
        <w:lastRenderedPageBreak/>
        <w:t xml:space="preserve">teacher training college, both tuition and boarding costs, was paid by the state. The only costs which fell to the students were the costs of the uniform and personal </w:t>
      </w:r>
      <w:bookmarkStart w:id="11" w:name="_Hlk125721165"/>
      <w:r w:rsidRPr="00C57F69">
        <w:rPr>
          <w:rFonts w:ascii="Times New Roman" w:hAnsi="Times New Roman" w:cs="Times New Roman"/>
          <w:sz w:val="24"/>
          <w:szCs w:val="24"/>
        </w:rPr>
        <w:t>expenses.</w:t>
      </w:r>
      <w:r w:rsidRPr="00C57F69">
        <w:rPr>
          <w:rStyle w:val="EndnoteReference"/>
          <w:rFonts w:ascii="Times New Roman" w:hAnsi="Times New Roman" w:cs="Times New Roman"/>
          <w:sz w:val="24"/>
          <w:szCs w:val="24"/>
        </w:rPr>
        <w:endnoteReference w:id="37"/>
      </w:r>
      <w:r w:rsidRPr="00C57F69">
        <w:rPr>
          <w:rFonts w:ascii="Times New Roman" w:hAnsi="Times New Roman" w:cs="Times New Roman"/>
          <w:sz w:val="24"/>
          <w:szCs w:val="24"/>
        </w:rPr>
        <w:t xml:space="preserve">  </w:t>
      </w:r>
      <w:bookmarkEnd w:id="10"/>
      <w:r w:rsidRPr="00C57F69">
        <w:rPr>
          <w:rFonts w:ascii="Times New Roman" w:hAnsi="Times New Roman" w:cs="Times New Roman"/>
          <w:sz w:val="24"/>
          <w:szCs w:val="24"/>
        </w:rPr>
        <w:t>During the early decades of independence when university fees and associated accommodation and living costs were beyond the capacity of most Irish families, especially those living outside the university cities, a free place in a training college was considered an attractive alternative to a university education.</w:t>
      </w:r>
      <w:r w:rsidRPr="00C57F69">
        <w:rPr>
          <w:rStyle w:val="EndnoteReference"/>
          <w:rFonts w:ascii="Times New Roman" w:hAnsi="Times New Roman" w:cs="Times New Roman"/>
          <w:sz w:val="24"/>
          <w:szCs w:val="24"/>
        </w:rPr>
        <w:endnoteReference w:id="38"/>
      </w:r>
      <w:r w:rsidRPr="00C57F69">
        <w:rPr>
          <w:rFonts w:ascii="Times New Roman" w:hAnsi="Times New Roman" w:cs="Times New Roman"/>
          <w:sz w:val="24"/>
          <w:szCs w:val="24"/>
        </w:rPr>
        <w:t xml:space="preserve"> </w:t>
      </w:r>
      <w:bookmarkEnd w:id="11"/>
    </w:p>
    <w:p w14:paraId="46F63D57" w14:textId="2178F2E7" w:rsidR="00C57F69" w:rsidRPr="00C57F69" w:rsidRDefault="00C57F69" w:rsidP="0084620E">
      <w:pPr>
        <w:autoSpaceDE w:val="0"/>
        <w:autoSpaceDN w:val="0"/>
        <w:adjustRightInd w:val="0"/>
        <w:spacing w:after="0" w:line="480" w:lineRule="auto"/>
        <w:ind w:right="-158" w:firstLine="720"/>
        <w:jc w:val="both"/>
        <w:rPr>
          <w:rFonts w:ascii="Times New Roman" w:hAnsi="Times New Roman" w:cs="Times New Roman"/>
          <w:sz w:val="24"/>
          <w:szCs w:val="24"/>
        </w:rPr>
      </w:pPr>
      <w:r w:rsidRPr="00C57F69">
        <w:rPr>
          <w:rFonts w:ascii="Times New Roman" w:hAnsi="Times New Roman" w:cs="Times New Roman"/>
          <w:sz w:val="24"/>
          <w:szCs w:val="24"/>
        </w:rPr>
        <w:t>From 1931, shortly after the Leaving Certificate</w:t>
      </w:r>
      <w:r w:rsidRPr="00C57F69">
        <w:rPr>
          <w:rStyle w:val="EndnoteReference"/>
          <w:rFonts w:ascii="Times New Roman" w:hAnsi="Times New Roman" w:cs="Times New Roman"/>
          <w:sz w:val="24"/>
          <w:szCs w:val="24"/>
        </w:rPr>
        <w:endnoteReference w:id="39"/>
      </w:r>
      <w:r w:rsidRPr="00C57F69">
        <w:rPr>
          <w:rFonts w:ascii="Times New Roman" w:hAnsi="Times New Roman" w:cs="Times New Roman"/>
          <w:sz w:val="24"/>
          <w:szCs w:val="24"/>
        </w:rPr>
        <w:t xml:space="preserve"> was introduced, a student’s results in that examination were the main determinant of success. Prospective female students were also required to pass entrance examinations in oral Irish, singing and </w:t>
      </w:r>
      <w:r w:rsidRPr="00C57F69">
        <w:rPr>
          <w:rFonts w:ascii="Times New Roman" w:eastAsia="Times New Roman" w:hAnsi="Times New Roman" w:cs="Times New Roman"/>
          <w:sz w:val="24"/>
          <w:szCs w:val="24"/>
        </w:rPr>
        <w:t>needlework.</w:t>
      </w:r>
      <w:r w:rsidRPr="00C57F69">
        <w:rPr>
          <w:rStyle w:val="EndnoteReference"/>
          <w:rFonts w:ascii="Times New Roman" w:eastAsia="Times New Roman" w:hAnsi="Times New Roman" w:cs="Times New Roman"/>
          <w:sz w:val="24"/>
          <w:szCs w:val="24"/>
        </w:rPr>
        <w:endnoteReference w:id="40"/>
      </w:r>
      <w:r w:rsidRPr="00C57F69">
        <w:rPr>
          <w:rFonts w:ascii="Times New Roman" w:eastAsia="Times New Roman" w:hAnsi="Times New Roman" w:cs="Times New Roman"/>
          <w:sz w:val="24"/>
          <w:szCs w:val="24"/>
        </w:rPr>
        <w:t xml:space="preserve"> </w:t>
      </w:r>
      <w:r w:rsidRPr="00C57F69">
        <w:rPr>
          <w:rFonts w:ascii="Times New Roman" w:hAnsi="Times New Roman" w:cs="Times New Roman"/>
          <w:sz w:val="24"/>
          <w:szCs w:val="24"/>
        </w:rPr>
        <w:t>From 1959 until entrance examinations were discontinued in the late 1980s, students were also required to pass an interview designed to assess their suitability for teaching. Males applying for entry to the corresponding teacher training colleges were also chosen on the basis of their Leaving Certificate results and were required to take an oral Irish examination, but they were not required to take examinations in either singing or needlework.</w:t>
      </w:r>
    </w:p>
    <w:p w14:paraId="192CE3F8" w14:textId="526E522F" w:rsidR="00C57F69" w:rsidRPr="00C57F69" w:rsidRDefault="00C57F69" w:rsidP="0084620E">
      <w:pPr>
        <w:autoSpaceDE w:val="0"/>
        <w:autoSpaceDN w:val="0"/>
        <w:adjustRightInd w:val="0"/>
        <w:spacing w:after="0" w:line="480" w:lineRule="auto"/>
        <w:ind w:right="-158" w:firstLine="720"/>
        <w:jc w:val="both"/>
        <w:rPr>
          <w:rFonts w:ascii="Times New Roman" w:eastAsia="Times New Roman" w:hAnsi="Times New Roman" w:cs="Times New Roman"/>
          <w:sz w:val="24"/>
          <w:szCs w:val="24"/>
        </w:rPr>
      </w:pPr>
      <w:r w:rsidRPr="00C57F69">
        <w:rPr>
          <w:rFonts w:ascii="Times New Roman" w:hAnsi="Times New Roman" w:cs="Times New Roman"/>
          <w:sz w:val="24"/>
          <w:szCs w:val="24"/>
        </w:rPr>
        <w:t>The fact that the numbers of students admitted to all of the primary teaching training colleges nationally</w:t>
      </w:r>
      <w:r w:rsidRPr="00C57F69">
        <w:rPr>
          <w:rStyle w:val="EndnoteReference"/>
          <w:rFonts w:ascii="Times New Roman" w:hAnsi="Times New Roman" w:cs="Times New Roman"/>
          <w:sz w:val="24"/>
          <w:szCs w:val="24"/>
        </w:rPr>
        <w:endnoteReference w:id="41"/>
      </w:r>
      <w:r w:rsidRPr="00C57F69">
        <w:rPr>
          <w:rFonts w:ascii="Times New Roman" w:hAnsi="Times New Roman" w:cs="Times New Roman"/>
          <w:sz w:val="24"/>
          <w:szCs w:val="24"/>
        </w:rPr>
        <w:t xml:space="preserve"> was determined annually by the state Department of Education meant that until the early 1970s the Department was able to ensure that there was a balance between the numbers of male and female teachers. In the early 1970s, a number of factors coalesced and led (inadvertently) to an increased </w:t>
      </w:r>
      <w:proofErr w:type="spellStart"/>
      <w:r w:rsidRPr="00C57F69">
        <w:rPr>
          <w:rFonts w:ascii="Times New Roman" w:hAnsi="Times New Roman" w:cs="Times New Roman"/>
          <w:sz w:val="24"/>
          <w:szCs w:val="24"/>
        </w:rPr>
        <w:t>feminisation</w:t>
      </w:r>
      <w:proofErr w:type="spellEnd"/>
      <w:r w:rsidRPr="00C57F69">
        <w:rPr>
          <w:rFonts w:ascii="Times New Roman" w:hAnsi="Times New Roman" w:cs="Times New Roman"/>
          <w:sz w:val="24"/>
          <w:szCs w:val="24"/>
        </w:rPr>
        <w:t xml:space="preserve"> of the profession. </w:t>
      </w:r>
      <w:bookmarkStart w:id="13" w:name="_Hlk125721468"/>
      <w:r w:rsidRPr="00C57F69">
        <w:rPr>
          <w:rFonts w:ascii="Times New Roman" w:hAnsi="Times New Roman" w:cs="Times New Roman"/>
          <w:sz w:val="24"/>
          <w:szCs w:val="24"/>
        </w:rPr>
        <w:t xml:space="preserve">The three main Catholic colleges,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xml:space="preserve"> College, Blackrock, Dublin, Mary Immaculate College, Limerick and St. Patrick’s College, Drumcondra, Dublin, became co-educational at that time. </w:t>
      </w:r>
      <w:bookmarkEnd w:id="13"/>
      <w:r w:rsidRPr="00C57F69">
        <w:rPr>
          <w:rFonts w:ascii="Times New Roman" w:hAnsi="Times New Roman" w:cs="Times New Roman"/>
          <w:sz w:val="24"/>
          <w:szCs w:val="24"/>
        </w:rPr>
        <w:t xml:space="preserve">In addition, Ireland’s membership of the European Economic Community (now the EU) required that Ireland adopt laws and practices that outlawed gender discrimination.  </w:t>
      </w:r>
      <w:bookmarkStart w:id="14" w:name="_Hlk125971267"/>
      <w:r w:rsidRPr="00C57F69">
        <w:rPr>
          <w:rFonts w:ascii="Times New Roman" w:hAnsi="Times New Roman" w:cs="Times New Roman"/>
          <w:sz w:val="24"/>
          <w:szCs w:val="24"/>
        </w:rPr>
        <w:t xml:space="preserve">In the case of the selection of students for teacher training, this meant that instead of having two separate order of merit lists (male and female) from which successful </w:t>
      </w:r>
      <w:r w:rsidRPr="00C57F69">
        <w:rPr>
          <w:rFonts w:ascii="Times New Roman" w:hAnsi="Times New Roman" w:cs="Times New Roman"/>
          <w:sz w:val="24"/>
          <w:szCs w:val="24"/>
        </w:rPr>
        <w:lastRenderedPageBreak/>
        <w:t>applicants were chosen, from the mid-1970s onwards,  the Department of Education had to choose successful candidates for teaching from one list (male and female combined). Since more highly qualified females applied for places in teacher training colleges than males, the proportion of successful applicants for teacher training from the mid-1970s onwards  was predominantly female. This trend was exacerbated by the introduction of grants for university education which resulted in more male students from lower socio-economic backgrounds attending university and entering professions other than teaching.</w:t>
      </w:r>
      <w:r w:rsidRPr="00C57F69">
        <w:rPr>
          <w:rStyle w:val="EndnoteReference"/>
          <w:rFonts w:ascii="Times New Roman" w:hAnsi="Times New Roman" w:cs="Times New Roman"/>
          <w:sz w:val="24"/>
          <w:szCs w:val="24"/>
        </w:rPr>
        <w:t xml:space="preserve"> </w:t>
      </w:r>
      <w:r w:rsidRPr="00C57F69">
        <w:rPr>
          <w:rStyle w:val="EndnoteReference"/>
          <w:rFonts w:ascii="Times New Roman" w:hAnsi="Times New Roman" w:cs="Times New Roman"/>
          <w:sz w:val="24"/>
          <w:szCs w:val="24"/>
        </w:rPr>
        <w:endnoteReference w:id="42"/>
      </w:r>
      <w:r w:rsidRPr="00C57F69">
        <w:rPr>
          <w:rFonts w:ascii="Times New Roman" w:hAnsi="Times New Roman" w:cs="Times New Roman"/>
          <w:sz w:val="24"/>
          <w:szCs w:val="24"/>
        </w:rPr>
        <w:t xml:space="preserve">  </w:t>
      </w:r>
    </w:p>
    <w:bookmarkEnd w:id="14"/>
    <w:p w14:paraId="0FA08A35" w14:textId="542F3B9F" w:rsidR="00C57F69" w:rsidRPr="00C57F69" w:rsidRDefault="00C57F69" w:rsidP="001375D9">
      <w:pPr>
        <w:autoSpaceDE w:val="0"/>
        <w:autoSpaceDN w:val="0"/>
        <w:adjustRightInd w:val="0"/>
        <w:spacing w:line="480" w:lineRule="auto"/>
        <w:ind w:right="-164" w:firstLine="567"/>
        <w:jc w:val="both"/>
        <w:rPr>
          <w:rFonts w:ascii="Times New Roman" w:hAnsi="Times New Roman" w:cs="Times New Roman"/>
          <w:spacing w:val="4"/>
          <w:sz w:val="24"/>
          <w:szCs w:val="24"/>
        </w:rPr>
      </w:pPr>
      <w:r w:rsidRPr="00C57F69">
        <w:rPr>
          <w:rFonts w:ascii="Times New Roman" w:hAnsi="Times New Roman" w:cs="Times New Roman"/>
          <w:sz w:val="24"/>
          <w:szCs w:val="24"/>
        </w:rPr>
        <w:t xml:space="preserve">The </w:t>
      </w:r>
      <w:proofErr w:type="spellStart"/>
      <w:r w:rsidRPr="00C57F69">
        <w:rPr>
          <w:rFonts w:ascii="Times New Roman" w:hAnsi="Times New Roman" w:cs="Times New Roman"/>
          <w:sz w:val="24"/>
          <w:szCs w:val="24"/>
        </w:rPr>
        <w:t>programme</w:t>
      </w:r>
      <w:proofErr w:type="spellEnd"/>
      <w:r w:rsidRPr="00C57F69">
        <w:rPr>
          <w:rFonts w:ascii="Times New Roman" w:hAnsi="Times New Roman" w:cs="Times New Roman"/>
          <w:sz w:val="24"/>
          <w:szCs w:val="24"/>
        </w:rPr>
        <w:t xml:space="preserve"> of instruction in the training colleges was of two years’ duration and was prescribed by the state Department of Education. The inspectorate of that department set and corrected the annual examinations and also inspected lecturers’ work. While this ensured that the </w:t>
      </w:r>
      <w:proofErr w:type="spellStart"/>
      <w:r w:rsidRPr="00C57F69">
        <w:rPr>
          <w:rFonts w:ascii="Times New Roman" w:hAnsi="Times New Roman" w:cs="Times New Roman"/>
          <w:sz w:val="24"/>
          <w:szCs w:val="24"/>
        </w:rPr>
        <w:t>programme</w:t>
      </w:r>
      <w:proofErr w:type="spellEnd"/>
      <w:r w:rsidRPr="00C57F69">
        <w:rPr>
          <w:rFonts w:ascii="Times New Roman" w:hAnsi="Times New Roman" w:cs="Times New Roman"/>
          <w:sz w:val="24"/>
          <w:szCs w:val="24"/>
        </w:rPr>
        <w:t xml:space="preserve"> was in line with the primary school curriculum, it also underscores the emphasis on ‘training’ rather than education which was at the heart of the training colleges’ mission.</w:t>
      </w:r>
      <w:r w:rsidRPr="00C57F69">
        <w:rPr>
          <w:rStyle w:val="EndnoteReference"/>
          <w:rFonts w:ascii="Times New Roman" w:hAnsi="Times New Roman" w:cs="Times New Roman"/>
          <w:sz w:val="24"/>
          <w:szCs w:val="24"/>
        </w:rPr>
        <w:endnoteReference w:id="43"/>
      </w:r>
      <w:r w:rsidRPr="00C57F69">
        <w:rPr>
          <w:rFonts w:ascii="Times New Roman" w:hAnsi="Times New Roman" w:cs="Times New Roman"/>
          <w:sz w:val="24"/>
          <w:szCs w:val="24"/>
        </w:rPr>
        <w:t xml:space="preserve"> As such, the emphasis was on teaching rather than on research or reflection, and student teachers attended classes </w:t>
      </w:r>
      <w:r w:rsidRPr="00C57F69">
        <w:rPr>
          <w:rFonts w:ascii="Times New Roman" w:hAnsi="Times New Roman" w:cs="Times New Roman"/>
          <w:spacing w:val="4"/>
          <w:sz w:val="24"/>
          <w:szCs w:val="24"/>
        </w:rPr>
        <w:t>from 9 a.m. to 5 p.m. weekdays and from 9 a.m. to 1 p.m. on Saturdays.</w:t>
      </w:r>
    </w:p>
    <w:p w14:paraId="593603C4" w14:textId="1C178FC5" w:rsidR="00C57F69" w:rsidRPr="00C57F69" w:rsidRDefault="00C57F69" w:rsidP="001375D9">
      <w:pPr>
        <w:autoSpaceDE w:val="0"/>
        <w:autoSpaceDN w:val="0"/>
        <w:adjustRightInd w:val="0"/>
        <w:spacing w:line="480" w:lineRule="auto"/>
        <w:ind w:right="-164" w:firstLine="567"/>
        <w:jc w:val="both"/>
        <w:rPr>
          <w:rFonts w:ascii="Times New Roman" w:hAnsi="Times New Roman" w:cs="Times New Roman"/>
          <w:spacing w:val="4"/>
          <w:sz w:val="24"/>
          <w:szCs w:val="24"/>
        </w:rPr>
      </w:pPr>
      <w:r w:rsidRPr="00C57F69">
        <w:rPr>
          <w:rFonts w:ascii="Times New Roman" w:hAnsi="Times New Roman" w:cs="Times New Roman"/>
          <w:spacing w:val="4"/>
          <w:sz w:val="24"/>
          <w:szCs w:val="24"/>
        </w:rPr>
        <w:t>Libraries were limited and rarely used and there was no expectation that teaching was research-informed or that lecturers engage in research.</w:t>
      </w:r>
      <w:r w:rsidRPr="00C57F69">
        <w:rPr>
          <w:rStyle w:val="EndnoteReference"/>
          <w:rFonts w:ascii="Times New Roman" w:hAnsi="Times New Roman" w:cs="Times New Roman"/>
          <w:spacing w:val="4"/>
          <w:sz w:val="24"/>
          <w:szCs w:val="24"/>
        </w:rPr>
        <w:t xml:space="preserve"> </w:t>
      </w:r>
      <w:r w:rsidRPr="00C57F69">
        <w:rPr>
          <w:rStyle w:val="EndnoteReference"/>
          <w:rFonts w:ascii="Times New Roman" w:hAnsi="Times New Roman" w:cs="Times New Roman"/>
          <w:spacing w:val="4"/>
          <w:sz w:val="24"/>
          <w:szCs w:val="24"/>
        </w:rPr>
        <w:endnoteReference w:id="44"/>
      </w:r>
      <w:r w:rsidRPr="00C57F69">
        <w:rPr>
          <w:rFonts w:ascii="Times New Roman" w:hAnsi="Times New Roman" w:cs="Times New Roman"/>
          <w:spacing w:val="4"/>
          <w:sz w:val="24"/>
          <w:szCs w:val="24"/>
        </w:rPr>
        <w:t xml:space="preserve"> </w:t>
      </w:r>
      <w:r w:rsidRPr="00C57F69">
        <w:rPr>
          <w:rFonts w:ascii="Times New Roman" w:hAnsi="Times New Roman" w:cs="Times New Roman"/>
          <w:sz w:val="24"/>
          <w:szCs w:val="24"/>
        </w:rPr>
        <w:t xml:space="preserve">The course of studies comprised three inter-locking strands: </w:t>
      </w:r>
      <w:r w:rsidRPr="00C57F69">
        <w:rPr>
          <w:rFonts w:ascii="Times New Roman" w:eastAsia="Times New Roman" w:hAnsi="Times New Roman" w:cs="Times New Roman"/>
          <w:sz w:val="24"/>
          <w:szCs w:val="24"/>
          <w:lang w:eastAsia="en-GB"/>
        </w:rPr>
        <w:t xml:space="preserve">a general education in academic subjects, an optional course, and ‘education studies’. The latter consisted of ‘principles of teaching’ and ‘practical teaching’ </w:t>
      </w:r>
      <w:proofErr w:type="spellStart"/>
      <w:r w:rsidRPr="00C57F69">
        <w:rPr>
          <w:rFonts w:ascii="Times New Roman" w:eastAsia="Times New Roman" w:hAnsi="Times New Roman" w:cs="Times New Roman"/>
          <w:sz w:val="24"/>
          <w:szCs w:val="24"/>
          <w:lang w:eastAsia="en-GB"/>
        </w:rPr>
        <w:t>organised</w:t>
      </w:r>
      <w:proofErr w:type="spellEnd"/>
      <w:r w:rsidRPr="00C57F69">
        <w:rPr>
          <w:rFonts w:ascii="Times New Roman" w:eastAsia="Times New Roman" w:hAnsi="Times New Roman" w:cs="Times New Roman"/>
          <w:sz w:val="24"/>
          <w:szCs w:val="24"/>
          <w:lang w:eastAsia="en-GB"/>
        </w:rPr>
        <w:t xml:space="preserve"> in block-release periods each year for every student and typically took place in primary schools usually located adjacent to the colleges. </w:t>
      </w:r>
      <w:r w:rsidRPr="00C57F69">
        <w:rPr>
          <w:rFonts w:ascii="Times New Roman" w:hAnsi="Times New Roman" w:cs="Times New Roman"/>
          <w:spacing w:val="4"/>
          <w:sz w:val="24"/>
          <w:szCs w:val="24"/>
        </w:rPr>
        <w:t xml:space="preserve">Sr. Loreto O’Connor, who was appointed President of Mary Immaculate College in 1959, observed: </w:t>
      </w:r>
    </w:p>
    <w:p w14:paraId="083B4B53" w14:textId="486FB999" w:rsidR="00C57F69" w:rsidRPr="00C57F69" w:rsidRDefault="00C57F69" w:rsidP="00A06C98">
      <w:pPr>
        <w:autoSpaceDE w:val="0"/>
        <w:autoSpaceDN w:val="0"/>
        <w:adjustRightInd w:val="0"/>
        <w:spacing w:line="276" w:lineRule="auto"/>
        <w:ind w:left="567" w:right="-164"/>
        <w:jc w:val="both"/>
        <w:rPr>
          <w:rFonts w:ascii="Times New Roman" w:hAnsi="Times New Roman" w:cs="Times New Roman"/>
          <w:spacing w:val="4"/>
          <w:sz w:val="24"/>
          <w:szCs w:val="24"/>
        </w:rPr>
      </w:pPr>
      <w:r w:rsidRPr="00C57F69">
        <w:rPr>
          <w:rFonts w:ascii="Times New Roman" w:hAnsi="Times New Roman" w:cs="Times New Roman"/>
          <w:spacing w:val="4"/>
          <w:sz w:val="24"/>
          <w:szCs w:val="24"/>
        </w:rPr>
        <w:t xml:space="preserve">While the </w:t>
      </w:r>
      <w:proofErr w:type="spellStart"/>
      <w:r w:rsidRPr="00C57F69">
        <w:rPr>
          <w:rFonts w:ascii="Times New Roman" w:hAnsi="Times New Roman" w:cs="Times New Roman"/>
          <w:spacing w:val="4"/>
          <w:sz w:val="24"/>
          <w:szCs w:val="24"/>
        </w:rPr>
        <w:t>programme</w:t>
      </w:r>
      <w:proofErr w:type="spellEnd"/>
      <w:r w:rsidRPr="00C57F69">
        <w:rPr>
          <w:rFonts w:ascii="Times New Roman" w:hAnsi="Times New Roman" w:cs="Times New Roman"/>
          <w:spacing w:val="4"/>
          <w:sz w:val="24"/>
          <w:szCs w:val="24"/>
        </w:rPr>
        <w:t xml:space="preserve"> incorporated both academic and professional components, greater emphasis was placed in the professional course. This included general principles of education, infant education and methodology of subjects on the primary school curriculum. </w:t>
      </w:r>
      <w:r w:rsidRPr="00C57F69">
        <w:rPr>
          <w:rFonts w:ascii="Times New Roman" w:hAnsi="Times New Roman" w:cs="Times New Roman"/>
          <w:spacing w:val="4"/>
          <w:sz w:val="24"/>
          <w:szCs w:val="24"/>
        </w:rPr>
        <w:lastRenderedPageBreak/>
        <w:t>It was some years before educational philosophy and sociology with the history of education were added</w:t>
      </w:r>
      <w:r w:rsidRPr="00C57F69">
        <w:rPr>
          <w:rStyle w:val="EndnoteReference"/>
          <w:rFonts w:ascii="Times New Roman" w:hAnsi="Times New Roman" w:cs="Times New Roman"/>
          <w:spacing w:val="4"/>
          <w:sz w:val="24"/>
          <w:szCs w:val="24"/>
        </w:rPr>
        <w:endnoteReference w:id="45"/>
      </w:r>
    </w:p>
    <w:p w14:paraId="6FA585E1" w14:textId="40CB2729" w:rsidR="00C57F69" w:rsidRPr="00C57F69" w:rsidRDefault="00C57F69" w:rsidP="00AB19C4">
      <w:pPr>
        <w:autoSpaceDE w:val="0"/>
        <w:autoSpaceDN w:val="0"/>
        <w:adjustRightInd w:val="0"/>
        <w:spacing w:line="480" w:lineRule="auto"/>
        <w:ind w:right="-164" w:firstLine="567"/>
        <w:jc w:val="both"/>
        <w:rPr>
          <w:rFonts w:ascii="Times New Roman" w:eastAsia="Times New Roman" w:hAnsi="Times New Roman" w:cs="Times New Roman"/>
          <w:sz w:val="24"/>
          <w:szCs w:val="24"/>
        </w:rPr>
      </w:pPr>
      <w:bookmarkStart w:id="15" w:name="_Hlk125976677"/>
      <w:r w:rsidRPr="00C57F69">
        <w:rPr>
          <w:rFonts w:ascii="Times New Roman" w:eastAsia="Times New Roman" w:hAnsi="Times New Roman" w:cs="Times New Roman"/>
          <w:sz w:val="24"/>
          <w:szCs w:val="24"/>
          <w:lang w:eastAsia="en-GB"/>
        </w:rPr>
        <w:t>From the mid-1920s until the B.Ed. degree was introduced in the mid-1970s, most lectures and examinations were conducted through the medium of the Irish language and senior inspectors from the Department of Education monitored standards of teaching practice.</w:t>
      </w:r>
      <w:r w:rsidRPr="00C57F69">
        <w:rPr>
          <w:rFonts w:ascii="Times New Roman" w:eastAsia="Times New Roman" w:hAnsi="Times New Roman" w:cs="Times New Roman"/>
          <w:sz w:val="24"/>
          <w:szCs w:val="24"/>
        </w:rPr>
        <w:t xml:space="preserve"> </w:t>
      </w:r>
      <w:bookmarkEnd w:id="15"/>
      <w:r w:rsidRPr="00C57F69">
        <w:rPr>
          <w:rFonts w:ascii="Times New Roman" w:eastAsia="Times New Roman" w:hAnsi="Times New Roman" w:cs="Times New Roman"/>
          <w:sz w:val="24"/>
          <w:szCs w:val="24"/>
        </w:rPr>
        <w:t xml:space="preserve">Obligatory subjects included: Irish; English; arithmetic; algebra; geometry; drawing; rural science; music; physical training; history and geography; and needlework and domestic economy. These subjects largely mirrored the subjects on the national school curriculum and when changes were made to the </w:t>
      </w:r>
      <w:proofErr w:type="spellStart"/>
      <w:r w:rsidRPr="00C57F69">
        <w:rPr>
          <w:rFonts w:ascii="Times New Roman" w:eastAsia="Times New Roman" w:hAnsi="Times New Roman" w:cs="Times New Roman"/>
          <w:sz w:val="24"/>
          <w:szCs w:val="24"/>
        </w:rPr>
        <w:t>programme</w:t>
      </w:r>
      <w:proofErr w:type="spellEnd"/>
      <w:r w:rsidRPr="00C57F69">
        <w:rPr>
          <w:rFonts w:ascii="Times New Roman" w:eastAsia="Times New Roman" w:hAnsi="Times New Roman" w:cs="Times New Roman"/>
          <w:sz w:val="24"/>
          <w:szCs w:val="24"/>
        </w:rPr>
        <w:t xml:space="preserve"> for national schools, parallel changes ensued in the training college </w:t>
      </w:r>
      <w:proofErr w:type="spellStart"/>
      <w:r w:rsidRPr="00C57F69">
        <w:rPr>
          <w:rFonts w:ascii="Times New Roman" w:eastAsia="Times New Roman" w:hAnsi="Times New Roman" w:cs="Times New Roman"/>
          <w:sz w:val="24"/>
          <w:szCs w:val="24"/>
        </w:rPr>
        <w:t>programme</w:t>
      </w:r>
      <w:proofErr w:type="spellEnd"/>
      <w:r w:rsidRPr="00C57F69">
        <w:rPr>
          <w:rFonts w:ascii="Times New Roman" w:eastAsia="Times New Roman" w:hAnsi="Times New Roman" w:cs="Times New Roman"/>
          <w:sz w:val="24"/>
          <w:szCs w:val="24"/>
        </w:rPr>
        <w:t>.</w:t>
      </w:r>
      <w:r w:rsidRPr="00C57F69">
        <w:rPr>
          <w:rStyle w:val="EndnoteReference"/>
          <w:rFonts w:ascii="Times New Roman" w:eastAsia="Times New Roman" w:hAnsi="Times New Roman" w:cs="Times New Roman"/>
          <w:sz w:val="24"/>
          <w:szCs w:val="24"/>
        </w:rPr>
        <w:endnoteReference w:id="46"/>
      </w:r>
    </w:p>
    <w:p w14:paraId="51135910" w14:textId="77777777" w:rsidR="00C57F69" w:rsidRPr="00C57F69" w:rsidRDefault="00C57F69" w:rsidP="001B6A4C">
      <w:pPr>
        <w:spacing w:after="0" w:line="240" w:lineRule="auto"/>
        <w:jc w:val="both"/>
        <w:rPr>
          <w:rFonts w:ascii="Times New Roman" w:hAnsi="Times New Roman" w:cs="Times New Roman"/>
          <w:sz w:val="24"/>
          <w:szCs w:val="24"/>
        </w:rPr>
      </w:pPr>
    </w:p>
    <w:p w14:paraId="03349DE8" w14:textId="149A8DDF" w:rsidR="00C57F69" w:rsidRPr="00C57F69" w:rsidRDefault="00C57F69" w:rsidP="008F03DF">
      <w:pPr>
        <w:spacing w:after="0" w:line="480" w:lineRule="auto"/>
        <w:jc w:val="both"/>
        <w:rPr>
          <w:rFonts w:ascii="Times New Roman" w:eastAsia="Times New Roman" w:hAnsi="Times New Roman" w:cs="Times New Roman"/>
          <w:b/>
          <w:bCs/>
          <w:sz w:val="24"/>
          <w:szCs w:val="24"/>
        </w:rPr>
      </w:pPr>
      <w:r w:rsidRPr="00C57F69">
        <w:rPr>
          <w:rFonts w:ascii="Times New Roman" w:eastAsia="Times New Roman" w:hAnsi="Times New Roman" w:cs="Times New Roman"/>
          <w:b/>
          <w:bCs/>
          <w:sz w:val="24"/>
          <w:szCs w:val="24"/>
        </w:rPr>
        <w:t xml:space="preserve">Our Lady of Mercy College, </w:t>
      </w:r>
      <w:proofErr w:type="spellStart"/>
      <w:r w:rsidRPr="00C57F69">
        <w:rPr>
          <w:rFonts w:ascii="Times New Roman" w:eastAsia="Times New Roman" w:hAnsi="Times New Roman" w:cs="Times New Roman"/>
          <w:b/>
          <w:bCs/>
          <w:sz w:val="24"/>
          <w:szCs w:val="24"/>
        </w:rPr>
        <w:t>Carysfort</w:t>
      </w:r>
      <w:proofErr w:type="spellEnd"/>
    </w:p>
    <w:p w14:paraId="065D55F9" w14:textId="77777777" w:rsidR="00C57F69" w:rsidRPr="00C57F69" w:rsidRDefault="00C57F69" w:rsidP="001B6A4C">
      <w:pPr>
        <w:spacing w:after="0" w:line="480" w:lineRule="auto"/>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xml:space="preserve">Our Lady of Mercy College, </w:t>
      </w:r>
      <w:proofErr w:type="spellStart"/>
      <w:r w:rsidRPr="00C57F69">
        <w:rPr>
          <w:rFonts w:ascii="Times New Roman" w:eastAsia="Times New Roman" w:hAnsi="Times New Roman" w:cs="Times New Roman"/>
          <w:sz w:val="24"/>
          <w:szCs w:val="24"/>
        </w:rPr>
        <w:t>Carysfort</w:t>
      </w:r>
      <w:proofErr w:type="spellEnd"/>
      <w:r w:rsidRPr="00C57F69">
        <w:rPr>
          <w:rFonts w:ascii="Times New Roman" w:eastAsia="Times New Roman" w:hAnsi="Times New Roman" w:cs="Times New Roman"/>
          <w:sz w:val="24"/>
          <w:szCs w:val="24"/>
        </w:rPr>
        <w:t xml:space="preserve">, was founded in 1877 as a single-sex, denominational, boarding institution for the preparation of female primary school teachers. Originally located in Baggot St., Dublin, it re-located in 1903 to the grounds of </w:t>
      </w:r>
      <w:proofErr w:type="spellStart"/>
      <w:r w:rsidRPr="00C57F69">
        <w:rPr>
          <w:rFonts w:ascii="Times New Roman" w:eastAsia="Times New Roman" w:hAnsi="Times New Roman" w:cs="Times New Roman"/>
          <w:sz w:val="24"/>
          <w:szCs w:val="24"/>
        </w:rPr>
        <w:t>Carysfort</w:t>
      </w:r>
      <w:proofErr w:type="spellEnd"/>
      <w:r w:rsidRPr="00C57F69">
        <w:rPr>
          <w:rFonts w:ascii="Times New Roman" w:eastAsia="Times New Roman" w:hAnsi="Times New Roman" w:cs="Times New Roman"/>
          <w:sz w:val="24"/>
          <w:szCs w:val="24"/>
        </w:rPr>
        <w:t xml:space="preserve"> House, Blackrock, Co. Dublin, which was also the site of the headquarters of the Sisters of Mercy of the diocese of Dublin and of their novitiate. </w:t>
      </w:r>
    </w:p>
    <w:p w14:paraId="529ACC1F" w14:textId="152E63F0" w:rsidR="00C57F69" w:rsidRPr="00C57F69" w:rsidRDefault="00C57F69" w:rsidP="007A7F8C">
      <w:pPr>
        <w:spacing w:after="0" w:line="480" w:lineRule="auto"/>
        <w:ind w:firstLine="720"/>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xml:space="preserve">The lifestyle of the students was not unlike that of the nuns and the residential aspects of the two-year training </w:t>
      </w:r>
      <w:proofErr w:type="spellStart"/>
      <w:r w:rsidRPr="00C57F69">
        <w:rPr>
          <w:rFonts w:ascii="Times New Roman" w:eastAsia="Times New Roman" w:hAnsi="Times New Roman" w:cs="Times New Roman"/>
          <w:sz w:val="24"/>
          <w:szCs w:val="24"/>
        </w:rPr>
        <w:t>programme</w:t>
      </w:r>
      <w:proofErr w:type="spellEnd"/>
      <w:r w:rsidRPr="00C57F69">
        <w:rPr>
          <w:rFonts w:ascii="Times New Roman" w:eastAsia="Times New Roman" w:hAnsi="Times New Roman" w:cs="Times New Roman"/>
          <w:sz w:val="24"/>
          <w:szCs w:val="24"/>
        </w:rPr>
        <w:t xml:space="preserve"> had a lot in common with the training of novice nuns. Indeed, a number of students attending the college </w:t>
      </w:r>
      <w:bookmarkStart w:id="16" w:name="_Hlk125977141"/>
      <w:r w:rsidRPr="00C57F69">
        <w:rPr>
          <w:rFonts w:ascii="Times New Roman" w:eastAsia="Times New Roman" w:hAnsi="Times New Roman" w:cs="Times New Roman"/>
          <w:sz w:val="24"/>
          <w:szCs w:val="24"/>
        </w:rPr>
        <w:t xml:space="preserve">in the period from the 1930s to the 1970s </w:t>
      </w:r>
      <w:bookmarkEnd w:id="16"/>
      <w:r w:rsidRPr="00C57F69">
        <w:rPr>
          <w:rFonts w:ascii="Times New Roman" w:eastAsia="Times New Roman" w:hAnsi="Times New Roman" w:cs="Times New Roman"/>
          <w:sz w:val="24"/>
          <w:szCs w:val="24"/>
        </w:rPr>
        <w:t>compared their notification of acceptance to the College as a ‘call to training’:</w:t>
      </w:r>
    </w:p>
    <w:p w14:paraId="257591E4" w14:textId="79869359" w:rsidR="00C57F69" w:rsidRPr="00C57F69" w:rsidRDefault="00C57F69" w:rsidP="007A7F8C">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I wasn’t given any choice - it was known as the ‘call to training’ in those days and you were groomed for that and if I wasn’t called this year, I was told I would have to go back and sit the Leaving Certificate again and do it next year so in fact I wasn’t given any choice.</w:t>
      </w:r>
      <w:r w:rsidRPr="00C57F69">
        <w:rPr>
          <w:rStyle w:val="EndnoteReference"/>
          <w:rFonts w:ascii="Times New Roman" w:hAnsi="Times New Roman" w:cs="Times New Roman"/>
          <w:sz w:val="24"/>
          <w:szCs w:val="24"/>
        </w:rPr>
        <w:endnoteReference w:id="47"/>
      </w:r>
      <w:r w:rsidRPr="00C57F69">
        <w:rPr>
          <w:rFonts w:ascii="Times New Roman" w:hAnsi="Times New Roman" w:cs="Times New Roman"/>
          <w:sz w:val="24"/>
          <w:szCs w:val="24"/>
        </w:rPr>
        <w:t xml:space="preserve"> </w:t>
      </w:r>
    </w:p>
    <w:p w14:paraId="3ACFA974" w14:textId="77777777" w:rsidR="00C57F69" w:rsidRPr="00C57F69" w:rsidRDefault="00C57F69" w:rsidP="007A7F8C">
      <w:pPr>
        <w:spacing w:after="0" w:line="240" w:lineRule="auto"/>
        <w:ind w:left="720"/>
        <w:jc w:val="both"/>
        <w:rPr>
          <w:rFonts w:ascii="Times New Roman" w:hAnsi="Times New Roman" w:cs="Times New Roman"/>
          <w:sz w:val="24"/>
          <w:szCs w:val="24"/>
        </w:rPr>
      </w:pPr>
    </w:p>
    <w:p w14:paraId="6ADFEFCB" w14:textId="159FBC07" w:rsidR="00C57F69" w:rsidRPr="00C57F69" w:rsidRDefault="00C57F69" w:rsidP="00F36F48">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t>Others observed there was little choice but to accept the call:</w:t>
      </w:r>
    </w:p>
    <w:p w14:paraId="69FEE06D" w14:textId="763C638A" w:rsidR="00C57F69" w:rsidRPr="00C57F69" w:rsidRDefault="00C57F69" w:rsidP="007A7F8C">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lastRenderedPageBreak/>
        <w:t xml:space="preserve">There was no decision in it – I just got the call to training – saying that I was called and that I’d be going to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xml:space="preserve"> Training College in Blackrock and to send a telegram if I was going. I remember what I said “call accepted – travelling Friday!” That was just how it was in those days.</w:t>
      </w:r>
      <w:r w:rsidRPr="00C57F69">
        <w:rPr>
          <w:rStyle w:val="EndnoteReference"/>
          <w:rFonts w:ascii="Times New Roman" w:hAnsi="Times New Roman" w:cs="Times New Roman"/>
          <w:sz w:val="24"/>
          <w:szCs w:val="24"/>
        </w:rPr>
        <w:endnoteReference w:id="48"/>
      </w:r>
    </w:p>
    <w:p w14:paraId="331147A9" w14:textId="77777777" w:rsidR="00C57F69" w:rsidRPr="00C57F69" w:rsidRDefault="00C57F69" w:rsidP="007A7F8C">
      <w:pPr>
        <w:spacing w:after="0" w:line="240" w:lineRule="auto"/>
        <w:ind w:left="720"/>
        <w:jc w:val="both"/>
        <w:rPr>
          <w:rFonts w:ascii="Times New Roman" w:hAnsi="Times New Roman" w:cs="Times New Roman"/>
          <w:sz w:val="24"/>
          <w:szCs w:val="24"/>
        </w:rPr>
      </w:pPr>
    </w:p>
    <w:p w14:paraId="7BB4A1D3" w14:textId="5C2A4EBC" w:rsidR="00C57F69" w:rsidRPr="00C57F69" w:rsidRDefault="00C57F69" w:rsidP="001B6A4C">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t xml:space="preserve">Some alluded to societal expectations that a teaching career was a temporary stop gap before marriage: </w:t>
      </w:r>
    </w:p>
    <w:p w14:paraId="047F03BA" w14:textId="13202BFD" w:rsidR="00C57F69" w:rsidRPr="00C57F69" w:rsidRDefault="00C57F69" w:rsidP="00820DDB">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There were certain careers that were open to women. You did the civil service or you did nursing or you did teaching, and this was seen as a handy way of amusing yourself until such time as somebody married you.</w:t>
      </w:r>
      <w:r w:rsidRPr="00C57F69">
        <w:rPr>
          <w:rStyle w:val="EndnoteReference"/>
          <w:rFonts w:ascii="Times New Roman" w:hAnsi="Times New Roman" w:cs="Times New Roman"/>
          <w:sz w:val="24"/>
          <w:szCs w:val="24"/>
        </w:rPr>
        <w:endnoteReference w:id="49"/>
      </w:r>
    </w:p>
    <w:p w14:paraId="54443B56" w14:textId="77777777" w:rsidR="00C57F69" w:rsidRPr="00C57F69" w:rsidRDefault="00C57F69" w:rsidP="00820DDB">
      <w:pPr>
        <w:spacing w:after="0" w:line="240" w:lineRule="auto"/>
        <w:ind w:left="720"/>
        <w:jc w:val="both"/>
        <w:rPr>
          <w:rFonts w:ascii="Times New Roman" w:eastAsia="Times New Roman" w:hAnsi="Times New Roman" w:cs="Times New Roman"/>
          <w:sz w:val="24"/>
          <w:szCs w:val="24"/>
        </w:rPr>
      </w:pPr>
    </w:p>
    <w:p w14:paraId="0E3D9A5E" w14:textId="24D50984" w:rsidR="00C57F69" w:rsidRPr="00C57F69" w:rsidRDefault="00C57F69" w:rsidP="00BD0366">
      <w:pPr>
        <w:autoSpaceDE w:val="0"/>
        <w:autoSpaceDN w:val="0"/>
        <w:adjustRightInd w:val="0"/>
        <w:spacing w:line="480" w:lineRule="auto"/>
        <w:ind w:right="-164" w:firstLine="567"/>
        <w:jc w:val="both"/>
        <w:rPr>
          <w:rFonts w:asciiTheme="majorBidi" w:eastAsia="Times New Roman" w:hAnsiTheme="majorBidi" w:cstheme="majorBidi"/>
          <w:sz w:val="24"/>
          <w:szCs w:val="24"/>
        </w:rPr>
      </w:pPr>
      <w:bookmarkStart w:id="17" w:name="_Hlk125455076"/>
      <w:r w:rsidRPr="00C57F69">
        <w:rPr>
          <w:rFonts w:ascii="Times New Roman" w:eastAsia="Times New Roman" w:hAnsi="Times New Roman" w:cs="Times New Roman"/>
          <w:sz w:val="24"/>
          <w:szCs w:val="24"/>
        </w:rPr>
        <w:t xml:space="preserve">Silence was imposed in dormitories and at mealtimes where a nun read from a religious text while meals were being served. </w:t>
      </w:r>
      <w:r w:rsidRPr="00C57F69">
        <w:rPr>
          <w:rFonts w:ascii="Times New Roman" w:eastAsia="Times New Roman" w:hAnsi="Times New Roman" w:cs="Times New Roman"/>
          <w:kern w:val="24"/>
          <w:sz w:val="24"/>
          <w:szCs w:val="24"/>
          <w:lang w:val="en-GB" w:eastAsia="en-IE"/>
        </w:rPr>
        <w:t xml:space="preserve">Dress (conservative and uniform) represented a disciplinary technology, legitimating and confirming an </w:t>
      </w:r>
      <w:r w:rsidRPr="00C57F69">
        <w:rPr>
          <w:rFonts w:ascii="Times New Roman" w:eastAsia="Times New Roman" w:hAnsi="Times New Roman" w:cs="Times New Roman"/>
          <w:i/>
          <w:iCs/>
          <w:kern w:val="24"/>
          <w:sz w:val="24"/>
          <w:szCs w:val="24"/>
          <w:lang w:val="en-GB" w:eastAsia="en-IE"/>
        </w:rPr>
        <w:t>appropriate</w:t>
      </w:r>
      <w:r w:rsidRPr="00C57F69">
        <w:rPr>
          <w:rFonts w:ascii="Times New Roman" w:eastAsia="Times New Roman" w:hAnsi="Times New Roman" w:cs="Times New Roman"/>
          <w:kern w:val="24"/>
          <w:sz w:val="24"/>
          <w:szCs w:val="24"/>
          <w:lang w:val="en-GB" w:eastAsia="en-IE"/>
        </w:rPr>
        <w:t xml:space="preserve"> performance of gender and validating the construction of a religious identity.</w:t>
      </w:r>
      <w:r w:rsidRPr="00C57F69">
        <w:rPr>
          <w:rStyle w:val="EndnoteReference"/>
          <w:rFonts w:ascii="Times New Roman" w:eastAsia="Times New Roman" w:hAnsi="Times New Roman" w:cs="Times New Roman"/>
          <w:kern w:val="24"/>
          <w:sz w:val="24"/>
          <w:szCs w:val="24"/>
          <w:lang w:val="en-GB" w:eastAsia="en-IE"/>
        </w:rPr>
        <w:endnoteReference w:id="50"/>
      </w:r>
      <w:r w:rsidRPr="00C57F69">
        <w:rPr>
          <w:rFonts w:ascii="Times New Roman" w:eastAsia="Times New Roman" w:hAnsi="Times New Roman" w:cs="Times New Roman"/>
          <w:kern w:val="24"/>
          <w:sz w:val="24"/>
          <w:szCs w:val="24"/>
          <w:lang w:val="en-GB" w:eastAsia="en-IE"/>
        </w:rPr>
        <w:t xml:space="preserve"> </w:t>
      </w:r>
      <w:r w:rsidRPr="00C57F69">
        <w:rPr>
          <w:rFonts w:ascii="Times New Roman" w:eastAsia="Times New Roman" w:hAnsi="Times New Roman" w:cs="Times New Roman"/>
          <w:sz w:val="24"/>
          <w:szCs w:val="24"/>
        </w:rPr>
        <w:t xml:space="preserve">Students were required to attend mass every morning at 7 a.m. and had to line up in regimented format in advance to undergo a uniform inspection. The uniform was a black serge dress measuring at least four inches below the knee with a small </w:t>
      </w:r>
      <w:proofErr w:type="spellStart"/>
      <w:r w:rsidRPr="00C57F69">
        <w:rPr>
          <w:rFonts w:ascii="Times New Roman" w:eastAsia="Times New Roman" w:hAnsi="Times New Roman" w:cs="Times New Roman"/>
          <w:sz w:val="24"/>
          <w:szCs w:val="24"/>
        </w:rPr>
        <w:t>v-neck</w:t>
      </w:r>
      <w:proofErr w:type="spellEnd"/>
      <w:r w:rsidRPr="00C57F69">
        <w:rPr>
          <w:rFonts w:ascii="Times New Roman" w:eastAsia="Times New Roman" w:hAnsi="Times New Roman" w:cs="Times New Roman"/>
          <w:sz w:val="24"/>
          <w:szCs w:val="24"/>
        </w:rPr>
        <w:t xml:space="preserve"> opening under which the student had to wear a “modesty vest” which covered every visible inch of flesh. For daily mass, students wore a black veil or mantilla and for Sunday mass the veil or mantilla was white. </w:t>
      </w:r>
      <w:r w:rsidRPr="00C57F69">
        <w:rPr>
          <w:rFonts w:ascii="Times New Roman" w:eastAsia="Times New Roman" w:hAnsi="Times New Roman" w:cs="Times New Roman"/>
          <w:kern w:val="24"/>
          <w:sz w:val="24"/>
          <w:szCs w:val="24"/>
          <w:lang w:val="en-GB" w:eastAsia="en-IE"/>
        </w:rPr>
        <w:t xml:space="preserve">Disciplinary power was exercised thus directly on the body, producing </w:t>
      </w:r>
      <w:r w:rsidRPr="00C57F69">
        <w:rPr>
          <w:rFonts w:ascii="Times New Roman" w:hAnsi="Times New Roman" w:cs="Times New Roman"/>
          <w:sz w:val="24"/>
          <w:szCs w:val="24"/>
          <w:shd w:val="clear" w:color="auto" w:fill="FFFFFF"/>
        </w:rPr>
        <w:t>‘subjected and practiced bodies, “docile” bodies.’</w:t>
      </w:r>
      <w:r w:rsidRPr="00C57F69">
        <w:rPr>
          <w:rStyle w:val="EndnoteReference"/>
          <w:rFonts w:ascii="Times New Roman" w:hAnsi="Times New Roman" w:cs="Times New Roman"/>
          <w:sz w:val="24"/>
          <w:szCs w:val="24"/>
          <w:shd w:val="clear" w:color="auto" w:fill="FFFFFF"/>
        </w:rPr>
        <w:endnoteReference w:id="51"/>
      </w:r>
      <w:r w:rsidRPr="00C57F69">
        <w:rPr>
          <w:rFonts w:ascii="Times New Roman" w:hAnsi="Times New Roman" w:cs="Times New Roman"/>
          <w:sz w:val="24"/>
          <w:szCs w:val="24"/>
          <w:shd w:val="clear" w:color="auto" w:fill="FFFFFF"/>
        </w:rPr>
        <w:t xml:space="preserve"> </w:t>
      </w:r>
      <w:r w:rsidRPr="00C57F69">
        <w:rPr>
          <w:rFonts w:ascii="Times New Roman" w:eastAsia="Times New Roman" w:hAnsi="Times New Roman" w:cs="Times New Roman"/>
          <w:sz w:val="24"/>
          <w:szCs w:val="24"/>
        </w:rPr>
        <w:t xml:space="preserve">Attendance at classes from 9 a.m. to 5 </w:t>
      </w:r>
      <w:proofErr w:type="spellStart"/>
      <w:r w:rsidRPr="00C57F69">
        <w:rPr>
          <w:rFonts w:ascii="Times New Roman" w:eastAsia="Times New Roman" w:hAnsi="Times New Roman" w:cs="Times New Roman"/>
          <w:sz w:val="24"/>
          <w:szCs w:val="24"/>
        </w:rPr>
        <w:t>p,m</w:t>
      </w:r>
      <w:proofErr w:type="spellEnd"/>
      <w:r w:rsidRPr="00C57F69">
        <w:rPr>
          <w:rFonts w:ascii="Times New Roman" w:eastAsia="Times New Roman" w:hAnsi="Times New Roman" w:cs="Times New Roman"/>
          <w:sz w:val="24"/>
          <w:szCs w:val="24"/>
        </w:rPr>
        <w:t xml:space="preserve">. daily and from 9 a.m. to 1 p.m. on Saturdays was compulsory. Attendance at two masses on Sunday morning and benediction at 6 pm on Sunday evening was also required. Evenings were spent on study and the only free time was on Saturday afternoon and Sundays from 1 to 6 p.m. </w:t>
      </w:r>
      <w:r w:rsidRPr="00C57F69">
        <w:rPr>
          <w:rFonts w:ascii="Times New Roman" w:eastAsia="Times New Roman" w:hAnsi="Times New Roman" w:cs="Times New Roman"/>
          <w:kern w:val="24"/>
          <w:sz w:val="24"/>
          <w:szCs w:val="24"/>
          <w:lang w:val="en-GB" w:eastAsia="en-IE"/>
        </w:rPr>
        <w:t>Conditions were harsh; dormitories were cold</w:t>
      </w:r>
      <w:r w:rsidRPr="00C57F69">
        <w:rPr>
          <w:rFonts w:ascii="Times New Roman" w:eastAsia="Times New Roman" w:hAnsi="Times New Roman" w:cs="Times New Roman"/>
          <w:sz w:val="24"/>
          <w:szCs w:val="24"/>
          <w:lang w:val="en-GB" w:eastAsia="en-IE"/>
        </w:rPr>
        <w:t xml:space="preserve"> and silence was imposed from bedtime until after breakfast the following morning. No visitors were permitted, and students were not allowed to go home for any family occasion, not even for a family funeral. </w:t>
      </w:r>
      <w:bookmarkStart w:id="18" w:name="_Hlk125977365"/>
      <w:r w:rsidRPr="00C57F69">
        <w:rPr>
          <w:rFonts w:asciiTheme="majorBidi" w:hAnsiTheme="majorBidi" w:cstheme="majorBidi"/>
          <w:sz w:val="24"/>
          <w:szCs w:val="24"/>
        </w:rPr>
        <w:t>The regime was described as follows by a student who attended the college from 1957 to 1959:</w:t>
      </w:r>
    </w:p>
    <w:p w14:paraId="5DB545A4" w14:textId="2669C1D2" w:rsidR="00C57F69" w:rsidRPr="00C57F69" w:rsidRDefault="00C57F69" w:rsidP="00BD0366">
      <w:pPr>
        <w:ind w:left="720"/>
        <w:jc w:val="both"/>
        <w:rPr>
          <w:rFonts w:asciiTheme="majorBidi" w:hAnsiTheme="majorBidi" w:cstheme="majorBidi"/>
          <w:sz w:val="24"/>
          <w:szCs w:val="24"/>
        </w:rPr>
      </w:pPr>
      <w:r w:rsidRPr="00C57F69">
        <w:rPr>
          <w:rFonts w:asciiTheme="majorBidi" w:hAnsiTheme="majorBidi" w:cstheme="majorBidi"/>
          <w:sz w:val="24"/>
          <w:szCs w:val="24"/>
        </w:rPr>
        <w:lastRenderedPageBreak/>
        <w:t xml:space="preserve">College life was dominated by bells and rules. … In many ways the life of a student teacher at that time resembled that of a postulant nun. Daily morning Mass at 7 a.m. was compulsory and a black veil had to be worn for this morning worship. … Classes ran all day from Monday to Friday and until lunchtime on Saturday.  The girls were permitted to leave the college after lunch but they had to be back and in uniform for tea on Saturday by 4.15 pm. On Sunday the students could leave between 1pm and 1.30 p.m. after two masses, breakfast, dinner and a priest’s lecture but they had to be back in college again and clad in uniform by 7p.m. … The students were expected to observe silence from night prayers until leaving the refectory after breakfast ….. </w:t>
      </w:r>
      <w:bookmarkStart w:id="19" w:name="_Hlk125455218"/>
      <w:r w:rsidRPr="00C57F69">
        <w:rPr>
          <w:rFonts w:asciiTheme="majorBidi" w:hAnsiTheme="majorBidi" w:cstheme="majorBidi"/>
          <w:sz w:val="24"/>
          <w:szCs w:val="24"/>
        </w:rPr>
        <w:t>Daily ablutions were taken in the dorm with cold water and a weekly bath was available with water which was sometimes hot!</w:t>
      </w:r>
      <w:r w:rsidRPr="00C57F69">
        <w:rPr>
          <w:rStyle w:val="EndnoteReference"/>
          <w:rFonts w:asciiTheme="majorBidi" w:hAnsiTheme="majorBidi" w:cstheme="majorBidi"/>
          <w:sz w:val="24"/>
          <w:szCs w:val="24"/>
        </w:rPr>
        <w:endnoteReference w:id="52"/>
      </w:r>
      <w:bookmarkEnd w:id="19"/>
    </w:p>
    <w:bookmarkEnd w:id="18"/>
    <w:p w14:paraId="423D549B" w14:textId="77777777" w:rsidR="00C57F69" w:rsidRPr="00C57F69" w:rsidRDefault="00C57F69" w:rsidP="00BD0366">
      <w:pPr>
        <w:spacing w:after="0" w:line="240" w:lineRule="auto"/>
        <w:ind w:left="720"/>
        <w:jc w:val="both"/>
        <w:rPr>
          <w:rFonts w:asciiTheme="majorBidi" w:hAnsiTheme="majorBidi" w:cstheme="majorBidi"/>
          <w:sz w:val="24"/>
          <w:szCs w:val="24"/>
        </w:rPr>
      </w:pPr>
    </w:p>
    <w:p w14:paraId="4FEAE1D4" w14:textId="1B63C625" w:rsidR="00C57F69" w:rsidRPr="00C57F69" w:rsidRDefault="00C57F69" w:rsidP="00BD0366">
      <w:pPr>
        <w:autoSpaceDE w:val="0"/>
        <w:autoSpaceDN w:val="0"/>
        <w:adjustRightInd w:val="0"/>
        <w:spacing w:line="480" w:lineRule="auto"/>
        <w:ind w:right="-164" w:firstLine="567"/>
        <w:jc w:val="both"/>
        <w:rPr>
          <w:rFonts w:asciiTheme="majorBidi" w:hAnsiTheme="majorBidi" w:cstheme="majorBidi"/>
          <w:sz w:val="24"/>
          <w:szCs w:val="24"/>
        </w:rPr>
      </w:pPr>
      <w:r w:rsidRPr="00C57F69">
        <w:rPr>
          <w:rFonts w:ascii="Times New Roman" w:hAnsi="Times New Roman" w:cs="Times New Roman"/>
          <w:sz w:val="24"/>
          <w:szCs w:val="24"/>
        </w:rPr>
        <w:t xml:space="preserve">While Edwards has argued in her study of women’s training colleges in Britain that women were afforded time and space away from family life to experiment, this freedom does not appear to have applied in the case of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xml:space="preserve"> or Mary Immaculate College.</w:t>
      </w:r>
      <w:r w:rsidRPr="00C57F69">
        <w:rPr>
          <w:rFonts w:ascii="Times New Roman" w:hAnsi="Times New Roman" w:cs="Times New Roman"/>
          <w:sz w:val="24"/>
          <w:szCs w:val="24"/>
          <w:vertAlign w:val="superscript"/>
        </w:rPr>
        <w:endnoteReference w:id="53"/>
      </w:r>
      <w:r w:rsidRPr="00C57F69">
        <w:rPr>
          <w:rFonts w:ascii="Times New Roman" w:hAnsi="Times New Roman" w:cs="Times New Roman"/>
          <w:sz w:val="24"/>
          <w:szCs w:val="24"/>
        </w:rPr>
        <w:t xml:space="preserve"> </w:t>
      </w:r>
      <w:r w:rsidRPr="00C57F69">
        <w:rPr>
          <w:rFonts w:ascii="Times New Roman" w:eastAsia="Times New Roman" w:hAnsi="Times New Roman" w:cs="Times New Roman"/>
          <w:sz w:val="24"/>
          <w:szCs w:val="24"/>
          <w:lang w:val="en-GB" w:eastAsia="en-IE"/>
        </w:rPr>
        <w:t>The imposition of silence and the separation from family life both represented powerful techniques for disciplining (and, indeed, controlling) the mind and the body.</w:t>
      </w:r>
      <w:r w:rsidRPr="00C57F69">
        <w:rPr>
          <w:rStyle w:val="EndnoteReference"/>
          <w:rFonts w:ascii="Times New Roman" w:eastAsia="Times New Roman" w:hAnsi="Times New Roman" w:cs="Times New Roman"/>
          <w:sz w:val="24"/>
          <w:szCs w:val="24"/>
          <w:lang w:val="en-GB" w:eastAsia="en-IE"/>
        </w:rPr>
        <w:endnoteReference w:id="54"/>
      </w:r>
      <w:r w:rsidRPr="00C57F69">
        <w:rPr>
          <w:rFonts w:ascii="Times New Roman" w:eastAsia="Times New Roman" w:hAnsi="Times New Roman" w:cs="Times New Roman"/>
          <w:sz w:val="24"/>
          <w:szCs w:val="24"/>
          <w:lang w:val="en-GB" w:eastAsia="en-IE"/>
        </w:rPr>
        <w:t xml:space="preserve"> </w:t>
      </w:r>
      <w:r w:rsidRPr="00C57F69">
        <w:rPr>
          <w:rFonts w:ascii="Times New Roman" w:hAnsi="Times New Roman" w:cs="Times New Roman"/>
          <w:sz w:val="24"/>
          <w:szCs w:val="24"/>
        </w:rPr>
        <w:t xml:space="preserve">Recalling her experience as a student at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xml:space="preserve"> in the 1940s, one woman remembers: </w:t>
      </w:r>
    </w:p>
    <w:p w14:paraId="08B35F95" w14:textId="4C57F1BE" w:rsidR="00C57F69" w:rsidRPr="00C57F69" w:rsidRDefault="00C57F69" w:rsidP="00D36D4A">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We wore a uniform, a black dress with a silver tie and black tights and black shoes. We were like novices. The discipline was so strict. We got out on a Saturday for a few hours from 4–6 and one Sunday a month we got out for a half day. We had to be back by seven at night. A bell was rung and if didn’t have your foot inside the door by the last toll you were considered late and you had to report to the head.</w:t>
      </w:r>
      <w:r w:rsidRPr="00C57F69">
        <w:rPr>
          <w:rStyle w:val="EndnoteReference"/>
          <w:rFonts w:ascii="Times New Roman" w:hAnsi="Times New Roman" w:cs="Times New Roman"/>
          <w:sz w:val="24"/>
          <w:szCs w:val="24"/>
        </w:rPr>
        <w:endnoteReference w:id="55"/>
      </w:r>
    </w:p>
    <w:p w14:paraId="64E1D5AC" w14:textId="77777777" w:rsidR="00C57F69" w:rsidRPr="00C57F69" w:rsidRDefault="00C57F69" w:rsidP="00D36D4A">
      <w:pPr>
        <w:spacing w:after="0" w:line="240" w:lineRule="auto"/>
        <w:ind w:left="720"/>
        <w:jc w:val="both"/>
        <w:rPr>
          <w:rFonts w:ascii="Times New Roman" w:hAnsi="Times New Roman" w:cs="Times New Roman"/>
          <w:sz w:val="24"/>
          <w:szCs w:val="24"/>
        </w:rPr>
      </w:pPr>
    </w:p>
    <w:p w14:paraId="596ED56D" w14:textId="77777777" w:rsidR="00C57F69" w:rsidRPr="00C57F69" w:rsidRDefault="00C57F69" w:rsidP="00F05C1D">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t xml:space="preserve">The same student observed: </w:t>
      </w:r>
    </w:p>
    <w:p w14:paraId="4195D7BD" w14:textId="3124CF33" w:rsidR="00C57F69" w:rsidRPr="00C57F69" w:rsidRDefault="00C57F69" w:rsidP="00D36D4A">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 xml:space="preserve">We never saw newspapers or heard the radio in </w:t>
      </w:r>
      <w:proofErr w:type="spellStart"/>
      <w:r w:rsidRPr="00C57F69">
        <w:rPr>
          <w:rFonts w:ascii="Times New Roman" w:hAnsi="Times New Roman" w:cs="Times New Roman"/>
          <w:sz w:val="24"/>
          <w:szCs w:val="24"/>
        </w:rPr>
        <w:t>Carysfort</w:t>
      </w:r>
      <w:proofErr w:type="spellEnd"/>
      <w:r w:rsidRPr="00C57F69">
        <w:rPr>
          <w:rFonts w:ascii="Times New Roman" w:hAnsi="Times New Roman" w:cs="Times New Roman"/>
          <w:sz w:val="24"/>
          <w:szCs w:val="24"/>
        </w:rPr>
        <w:t>. We had a little priest who used to come in and teach us religious instruction. Sometimes he would surreptitiously read a headline out of a newspaper, but he always had one eye on the door in case a nun came in. I think the nuns saw us almost as novices and hoped that some of us would possibly go on and become novices at some stage. We were entirely cut off and we never had any visitors … our letters were all read by the nuns before we could read them.</w:t>
      </w:r>
      <w:r w:rsidRPr="00C57F69">
        <w:rPr>
          <w:rStyle w:val="EndnoteReference"/>
          <w:rFonts w:ascii="Times New Roman" w:hAnsi="Times New Roman" w:cs="Times New Roman"/>
          <w:sz w:val="24"/>
          <w:szCs w:val="24"/>
        </w:rPr>
        <w:endnoteReference w:id="56"/>
      </w:r>
    </w:p>
    <w:p w14:paraId="6C2D9318" w14:textId="77777777" w:rsidR="00C57F69" w:rsidRPr="00C57F69" w:rsidRDefault="00C57F69" w:rsidP="00D36D4A">
      <w:pPr>
        <w:spacing w:after="0" w:line="240" w:lineRule="auto"/>
        <w:ind w:left="720"/>
        <w:jc w:val="both"/>
        <w:rPr>
          <w:rFonts w:ascii="Times New Roman" w:hAnsi="Times New Roman" w:cs="Times New Roman"/>
          <w:sz w:val="24"/>
          <w:szCs w:val="24"/>
        </w:rPr>
      </w:pPr>
    </w:p>
    <w:p w14:paraId="468A0D0F" w14:textId="2F3226D9" w:rsidR="00C57F69" w:rsidRPr="00C57F69" w:rsidRDefault="00C57F69" w:rsidP="00F05C1D">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t>Echoing the view that the environment was cloistered and controlled, another student recalled:</w:t>
      </w:r>
    </w:p>
    <w:p w14:paraId="3923CBD8" w14:textId="32F10BDB" w:rsidR="00C57F69" w:rsidRPr="00C57F69" w:rsidRDefault="00C57F69" w:rsidP="00D36D4A">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We weren’t allowed newspapers or radio. I remember my sister saying that she was four years in training and the only news that was put up on the bulletin board was that John McCormick [a famous Irish singer] had died. We weren’t allowed papers or radio or anything that would connect us with the outside world.</w:t>
      </w:r>
      <w:r w:rsidRPr="00C57F69">
        <w:rPr>
          <w:rStyle w:val="EndnoteReference"/>
          <w:rFonts w:ascii="Times New Roman" w:hAnsi="Times New Roman" w:cs="Times New Roman"/>
          <w:sz w:val="24"/>
          <w:szCs w:val="24"/>
        </w:rPr>
        <w:endnoteReference w:id="57"/>
      </w:r>
    </w:p>
    <w:p w14:paraId="26D43F9C" w14:textId="77777777" w:rsidR="00C57F69" w:rsidRPr="00C57F69" w:rsidRDefault="00C57F69" w:rsidP="00571F27">
      <w:pPr>
        <w:spacing w:after="0" w:line="240" w:lineRule="auto"/>
        <w:jc w:val="both"/>
        <w:rPr>
          <w:rFonts w:asciiTheme="majorBidi" w:eastAsia="Times New Roman" w:hAnsiTheme="majorBidi" w:cstheme="majorBidi"/>
          <w:sz w:val="24"/>
          <w:szCs w:val="24"/>
        </w:rPr>
      </w:pPr>
    </w:p>
    <w:p w14:paraId="27055E63" w14:textId="05731FF0" w:rsidR="00C57F69" w:rsidRPr="00C57F69" w:rsidRDefault="00C57F69" w:rsidP="00470895">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lastRenderedPageBreak/>
        <w:t xml:space="preserve">Reflecting on the ‘spartan and austere’ atmosphere, Fiona Poole, a student at the College from 1952 to 1954, and subsequently President of the Irish National Teachers </w:t>
      </w:r>
      <w:proofErr w:type="spellStart"/>
      <w:r w:rsidRPr="00C57F69">
        <w:rPr>
          <w:rFonts w:ascii="Times New Roman" w:hAnsi="Times New Roman" w:cs="Times New Roman"/>
          <w:sz w:val="24"/>
          <w:szCs w:val="24"/>
        </w:rPr>
        <w:t>Organisation</w:t>
      </w:r>
      <w:proofErr w:type="spellEnd"/>
      <w:r w:rsidRPr="00C57F69">
        <w:rPr>
          <w:rFonts w:ascii="Times New Roman" w:hAnsi="Times New Roman" w:cs="Times New Roman"/>
          <w:sz w:val="24"/>
          <w:szCs w:val="24"/>
        </w:rPr>
        <w:t>, remembered:</w:t>
      </w:r>
    </w:p>
    <w:p w14:paraId="0FC6A912" w14:textId="5DAAC9BA" w:rsidR="00C57F69" w:rsidRPr="00C57F69" w:rsidRDefault="00C57F69" w:rsidP="00571F27">
      <w:pPr>
        <w:spacing w:after="0" w:line="240" w:lineRule="auto"/>
        <w:ind w:left="720"/>
        <w:jc w:val="both"/>
        <w:rPr>
          <w:rFonts w:ascii="Times New Roman" w:hAnsi="Times New Roman" w:cs="Times New Roman"/>
          <w:sz w:val="24"/>
          <w:szCs w:val="24"/>
        </w:rPr>
      </w:pPr>
      <w:r w:rsidRPr="00C57F69">
        <w:rPr>
          <w:rFonts w:ascii="Times New Roman" w:hAnsi="Times New Roman" w:cs="Times New Roman"/>
          <w:sz w:val="24"/>
          <w:szCs w:val="24"/>
        </w:rPr>
        <w:t>Even a four-year old nowadays would rebel at such a regime. I recoil at the memory of the workhouse-style, unstylish uniform, which was inspected by a nun, as we lined up for Mass each morning, at an ungodly hour. I smile at the memory of a fellow student standing in line one morning, with her uniform on inside out. Did she stay in bed a minute or two too long, or did she fail to see properly in the semi-darkness?</w:t>
      </w:r>
      <w:r w:rsidRPr="00C57F69">
        <w:rPr>
          <w:rStyle w:val="EndnoteReference"/>
          <w:rFonts w:ascii="Times New Roman" w:hAnsi="Times New Roman" w:cs="Times New Roman"/>
          <w:sz w:val="24"/>
          <w:szCs w:val="24"/>
        </w:rPr>
        <w:endnoteReference w:id="58"/>
      </w:r>
    </w:p>
    <w:p w14:paraId="7C09C60C" w14:textId="77777777" w:rsidR="00C57F69" w:rsidRPr="00C57F69" w:rsidRDefault="00C57F69" w:rsidP="00571F27">
      <w:pPr>
        <w:spacing w:after="0" w:line="240" w:lineRule="auto"/>
        <w:ind w:left="720"/>
        <w:jc w:val="both"/>
        <w:rPr>
          <w:rFonts w:ascii="Times New Roman" w:hAnsi="Times New Roman" w:cs="Times New Roman"/>
          <w:sz w:val="24"/>
          <w:szCs w:val="24"/>
        </w:rPr>
      </w:pPr>
    </w:p>
    <w:p w14:paraId="31799251" w14:textId="1898C8C9" w:rsidR="00C57F69" w:rsidRPr="00C57F69" w:rsidRDefault="00C57F69" w:rsidP="00D36D4A">
      <w:pPr>
        <w:spacing w:after="0" w:line="480" w:lineRule="auto"/>
        <w:ind w:firstLine="720"/>
        <w:jc w:val="both"/>
        <w:rPr>
          <w:rFonts w:ascii="Times New Roman" w:hAnsi="Times New Roman" w:cs="Times New Roman"/>
          <w:sz w:val="24"/>
          <w:szCs w:val="24"/>
        </w:rPr>
      </w:pPr>
      <w:r w:rsidRPr="00C57F69">
        <w:rPr>
          <w:rFonts w:ascii="Times New Roman" w:hAnsi="Times New Roman" w:cs="Times New Roman"/>
          <w:sz w:val="24"/>
          <w:szCs w:val="24"/>
        </w:rPr>
        <w:t>Poole also observed that music was a compulsory subject as there was an expectation that, when employed as teachers, females would provide the music at mass on Sundays.</w:t>
      </w:r>
      <w:r w:rsidRPr="00C57F69">
        <w:rPr>
          <w:rStyle w:val="EndnoteReference"/>
          <w:rFonts w:ascii="Times New Roman" w:hAnsi="Times New Roman" w:cs="Times New Roman"/>
          <w:sz w:val="24"/>
          <w:szCs w:val="24"/>
        </w:rPr>
        <w:endnoteReference w:id="59"/>
      </w:r>
      <w:r w:rsidRPr="00C57F69">
        <w:rPr>
          <w:rFonts w:ascii="Times New Roman" w:hAnsi="Times New Roman" w:cs="Times New Roman"/>
          <w:sz w:val="24"/>
          <w:szCs w:val="24"/>
        </w:rPr>
        <w:t xml:space="preserve"> Áine Hyland, one of the authors of this paper, and a student at the College for three months from September to December 1959, recalled: </w:t>
      </w:r>
    </w:p>
    <w:p w14:paraId="7B5F8216" w14:textId="5F5FD649" w:rsidR="00C57F69" w:rsidRPr="00C57F69" w:rsidRDefault="00C57F69" w:rsidP="00390EE3">
      <w:pPr>
        <w:spacing w:after="0" w:line="240" w:lineRule="auto"/>
        <w:ind w:left="1440"/>
        <w:jc w:val="both"/>
        <w:rPr>
          <w:rFonts w:ascii="Times New Roman" w:hAnsi="Times New Roman" w:cs="Times New Roman"/>
          <w:sz w:val="24"/>
          <w:szCs w:val="24"/>
        </w:rPr>
      </w:pPr>
      <w:r w:rsidRPr="00C57F69">
        <w:rPr>
          <w:rFonts w:ascii="Times New Roman" w:hAnsi="Times New Roman" w:cs="Times New Roman"/>
          <w:sz w:val="24"/>
          <w:szCs w:val="24"/>
        </w:rPr>
        <w:t>Every student was known by a number – not by name. (My number was TC272). Conformity was essential. The atmosphere was cold and forbidding – a culture of fear prevailed and I rarely heard a kind word uttered either by staff or students.</w:t>
      </w:r>
      <w:r w:rsidRPr="00C57F69">
        <w:rPr>
          <w:rStyle w:val="EndnoteReference"/>
          <w:rFonts w:ascii="Times New Roman" w:hAnsi="Times New Roman" w:cs="Times New Roman"/>
          <w:sz w:val="24"/>
          <w:szCs w:val="24"/>
        </w:rPr>
        <w:endnoteReference w:id="60"/>
      </w:r>
    </w:p>
    <w:p w14:paraId="7AAC9F82" w14:textId="77777777" w:rsidR="00C57F69" w:rsidRPr="00C57F69" w:rsidRDefault="00C57F69" w:rsidP="00390EE3">
      <w:pPr>
        <w:spacing w:after="0" w:line="240" w:lineRule="auto"/>
        <w:ind w:left="1440"/>
        <w:jc w:val="both"/>
        <w:rPr>
          <w:rFonts w:ascii="Times New Roman" w:hAnsi="Times New Roman" w:cs="Times New Roman"/>
          <w:sz w:val="24"/>
          <w:szCs w:val="24"/>
        </w:rPr>
      </w:pPr>
    </w:p>
    <w:p w14:paraId="738C9D1A" w14:textId="1A0E7BDB" w:rsidR="00C57F69" w:rsidRPr="00C57F69" w:rsidRDefault="00C57F69" w:rsidP="00390EE3">
      <w:pPr>
        <w:spacing w:after="0" w:line="480" w:lineRule="auto"/>
        <w:jc w:val="both"/>
        <w:rPr>
          <w:rFonts w:ascii="Times New Roman" w:eastAsia="Times New Roman" w:hAnsi="Times New Roman" w:cs="Times New Roman"/>
          <w:sz w:val="24"/>
          <w:szCs w:val="24"/>
        </w:rPr>
      </w:pPr>
      <w:r w:rsidRPr="00C57F69">
        <w:rPr>
          <w:rFonts w:ascii="Times New Roman" w:hAnsi="Times New Roman" w:cs="Times New Roman"/>
          <w:sz w:val="24"/>
          <w:szCs w:val="24"/>
        </w:rPr>
        <w:t>Hyland also alluded to the anti-intellectual ethos which prevailed:</w:t>
      </w:r>
      <w:r w:rsidRPr="00C57F69">
        <w:rPr>
          <w:rFonts w:ascii="Times New Roman" w:eastAsia="Times New Roman" w:hAnsi="Times New Roman" w:cs="Times New Roman"/>
          <w:sz w:val="24"/>
          <w:szCs w:val="24"/>
        </w:rPr>
        <w:t xml:space="preserve"> ‘the College library consisted of one large room (afterwards to become the staff room) with a few tables, chairs and glass-fronted, locked cupboards containing a limited number of books covered in brown paper.’</w:t>
      </w:r>
      <w:r w:rsidRPr="00C57F69">
        <w:rPr>
          <w:rStyle w:val="EndnoteReference"/>
          <w:rFonts w:ascii="Times New Roman" w:eastAsia="Times New Roman" w:hAnsi="Times New Roman" w:cs="Times New Roman"/>
          <w:sz w:val="24"/>
          <w:szCs w:val="24"/>
        </w:rPr>
        <w:endnoteReference w:id="61"/>
      </w:r>
      <w:r w:rsidRPr="00C57F69">
        <w:rPr>
          <w:rFonts w:ascii="Times New Roman" w:eastAsia="Times New Roman" w:hAnsi="Times New Roman" w:cs="Times New Roman"/>
          <w:sz w:val="24"/>
          <w:szCs w:val="24"/>
        </w:rPr>
        <w:t xml:space="preserve"> </w:t>
      </w:r>
    </w:p>
    <w:p w14:paraId="42D07908" w14:textId="3E927857" w:rsidR="00C57F69" w:rsidRPr="00C57F69" w:rsidRDefault="00C57F69" w:rsidP="006C0B45">
      <w:pPr>
        <w:spacing w:after="0" w:line="480" w:lineRule="auto"/>
        <w:ind w:firstLine="720"/>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xml:space="preserve">Whilst the College uniform was no longer a requirement in the 1970s, the ethos and mission of the College during the early years of the 1970s (before the B.Ed. degree </w:t>
      </w:r>
      <w:proofErr w:type="spellStart"/>
      <w:r w:rsidRPr="00C57F69">
        <w:rPr>
          <w:rFonts w:ascii="Times New Roman" w:eastAsia="Times New Roman" w:hAnsi="Times New Roman" w:cs="Times New Roman"/>
          <w:sz w:val="24"/>
          <w:szCs w:val="24"/>
        </w:rPr>
        <w:t>programme</w:t>
      </w:r>
      <w:proofErr w:type="spellEnd"/>
      <w:r w:rsidRPr="00C57F69">
        <w:rPr>
          <w:rFonts w:ascii="Times New Roman" w:eastAsia="Times New Roman" w:hAnsi="Times New Roman" w:cs="Times New Roman"/>
          <w:sz w:val="24"/>
          <w:szCs w:val="24"/>
        </w:rPr>
        <w:t xml:space="preserve"> was introduced in 1974)</w:t>
      </w:r>
      <w:r w:rsidRPr="00C57F69">
        <w:rPr>
          <w:rStyle w:val="EndnoteReference"/>
          <w:rFonts w:ascii="Times New Roman" w:eastAsia="Times New Roman" w:hAnsi="Times New Roman" w:cs="Times New Roman"/>
          <w:sz w:val="24"/>
          <w:szCs w:val="24"/>
        </w:rPr>
        <w:endnoteReference w:id="62"/>
      </w:r>
      <w:r w:rsidRPr="00C57F69">
        <w:rPr>
          <w:rFonts w:ascii="Times New Roman" w:eastAsia="Times New Roman" w:hAnsi="Times New Roman" w:cs="Times New Roman"/>
          <w:sz w:val="24"/>
          <w:szCs w:val="24"/>
        </w:rPr>
        <w:t xml:space="preserve"> remained strictly authoritarian and regimented. Deirdre Mathews, a student from 1972-74, recalled:</w:t>
      </w:r>
    </w:p>
    <w:p w14:paraId="6ED25952" w14:textId="675F57C4" w:rsidR="00C57F69" w:rsidRPr="00C57F69" w:rsidRDefault="00C57F69" w:rsidP="001B6A4C">
      <w:pPr>
        <w:spacing w:after="0" w:line="276" w:lineRule="auto"/>
        <w:ind w:left="720"/>
        <w:contextualSpacing/>
        <w:jc w:val="both"/>
        <w:rPr>
          <w:rFonts w:ascii="Times New Roman" w:eastAsia="Times New Roman" w:hAnsi="Times New Roman" w:cs="Times New Roman"/>
          <w:kern w:val="24"/>
          <w:position w:val="1"/>
          <w:sz w:val="24"/>
          <w:szCs w:val="24"/>
          <w:lang w:val="en-GB" w:eastAsia="en-IE"/>
        </w:rPr>
      </w:pPr>
      <w:r w:rsidRPr="00C57F69">
        <w:rPr>
          <w:rFonts w:ascii="Times New Roman" w:eastAsia="Times New Roman" w:hAnsi="Times New Roman" w:cs="Times New Roman"/>
          <w:kern w:val="24"/>
          <w:position w:val="1"/>
          <w:sz w:val="24"/>
          <w:szCs w:val="24"/>
          <w:lang w:val="en-GB" w:eastAsia="en-IE"/>
        </w:rPr>
        <w:t xml:space="preserve">The two years I spent in </w:t>
      </w:r>
      <w:proofErr w:type="spellStart"/>
      <w:r w:rsidRPr="00C57F69">
        <w:rPr>
          <w:rFonts w:ascii="Times New Roman" w:eastAsia="Times New Roman" w:hAnsi="Times New Roman" w:cs="Times New Roman"/>
          <w:kern w:val="24"/>
          <w:position w:val="1"/>
          <w:sz w:val="24"/>
          <w:szCs w:val="24"/>
          <w:lang w:val="en-GB" w:eastAsia="en-IE"/>
        </w:rPr>
        <w:t>Carysfort</w:t>
      </w:r>
      <w:proofErr w:type="spellEnd"/>
      <w:r w:rsidRPr="00C57F69">
        <w:rPr>
          <w:rFonts w:ascii="Times New Roman" w:eastAsia="Times New Roman" w:hAnsi="Times New Roman" w:cs="Times New Roman"/>
          <w:kern w:val="24"/>
          <w:position w:val="1"/>
          <w:sz w:val="24"/>
          <w:szCs w:val="24"/>
          <w:lang w:val="en-GB" w:eastAsia="en-IE"/>
        </w:rPr>
        <w:t xml:space="preserve"> provided an experience that resembled an extension of my convent boarding school post-primary years. The student cohort was all-female and for those living in College accommodation, a strict night-time curfew existed.  Many of the lecturers were Sisters of Mercy and rules abounded; the majority of lectures commenced with roll call and a prayer. While students no longer had to wear college uniforms, a strict dress code still existed …. Lectures started at 8.40 a.m. and finished at 6.20 p.m. five days </w:t>
      </w:r>
      <w:r w:rsidRPr="00C57F69">
        <w:rPr>
          <w:rFonts w:ascii="Times New Roman" w:eastAsia="Times New Roman" w:hAnsi="Times New Roman" w:cs="Times New Roman"/>
          <w:kern w:val="24"/>
          <w:position w:val="1"/>
          <w:sz w:val="24"/>
          <w:szCs w:val="24"/>
          <w:lang w:val="en-GB" w:eastAsia="en-IE"/>
        </w:rPr>
        <w:lastRenderedPageBreak/>
        <w:t>a week with little or no free or study periods. I have no memory of studying in the library and can recall only a handful of books borrowed.</w:t>
      </w:r>
      <w:r w:rsidRPr="00C57F69">
        <w:rPr>
          <w:rStyle w:val="EndnoteReference"/>
          <w:rFonts w:ascii="Times New Roman" w:eastAsia="Times New Roman" w:hAnsi="Times New Roman" w:cs="Times New Roman"/>
          <w:kern w:val="24"/>
          <w:position w:val="1"/>
          <w:sz w:val="24"/>
          <w:szCs w:val="24"/>
          <w:lang w:val="en-GB" w:eastAsia="en-IE"/>
        </w:rPr>
        <w:endnoteReference w:id="63"/>
      </w:r>
    </w:p>
    <w:bookmarkEnd w:id="17"/>
    <w:p w14:paraId="7764E262" w14:textId="77777777" w:rsidR="00C57F69" w:rsidRPr="00C57F69" w:rsidRDefault="00C57F69" w:rsidP="00C64C8E">
      <w:pPr>
        <w:spacing w:after="0" w:line="480" w:lineRule="auto"/>
        <w:ind w:left="720"/>
        <w:contextualSpacing/>
        <w:jc w:val="both"/>
        <w:rPr>
          <w:rFonts w:ascii="Times New Roman" w:eastAsia="Times New Roman" w:hAnsi="Times New Roman" w:cs="Times New Roman"/>
          <w:kern w:val="24"/>
          <w:position w:val="1"/>
          <w:sz w:val="24"/>
          <w:szCs w:val="24"/>
          <w:lang w:val="en-GB" w:eastAsia="en-IE"/>
        </w:rPr>
      </w:pPr>
    </w:p>
    <w:p w14:paraId="4186FC86" w14:textId="1AF74A72" w:rsidR="00C57F69" w:rsidRPr="00C57F69" w:rsidRDefault="00C57F69" w:rsidP="006B64C0">
      <w:pPr>
        <w:spacing w:after="0" w:line="480" w:lineRule="auto"/>
        <w:contextualSpacing/>
        <w:jc w:val="both"/>
        <w:rPr>
          <w:rFonts w:asciiTheme="majorBidi" w:hAnsiTheme="majorBidi" w:cstheme="majorBidi"/>
          <w:sz w:val="24"/>
          <w:szCs w:val="24"/>
        </w:rPr>
      </w:pPr>
      <w:bookmarkStart w:id="21" w:name="_Hlk125455623"/>
      <w:r w:rsidRPr="00C57F69">
        <w:rPr>
          <w:rFonts w:ascii="Times New Roman" w:eastAsia="Times New Roman" w:hAnsi="Times New Roman" w:cs="Times New Roman"/>
          <w:kern w:val="24"/>
          <w:position w:val="1"/>
          <w:sz w:val="24"/>
          <w:szCs w:val="24"/>
          <w:lang w:val="en-GB" w:eastAsia="en-IE"/>
        </w:rPr>
        <w:t xml:space="preserve">Such was the level of rigidity and conservatism propagated by the college that students organised a strike in November 1973 demanding greater involvement in the </w:t>
      </w:r>
      <w:r w:rsidRPr="00C57F69">
        <w:rPr>
          <w:rFonts w:ascii="Times New Roman" w:hAnsi="Times New Roman" w:cs="Times New Roman"/>
          <w:sz w:val="24"/>
          <w:szCs w:val="24"/>
        </w:rPr>
        <w:t>nature of the curriculum taught and in the governance of the college.</w:t>
      </w:r>
      <w:r w:rsidRPr="00C57F69">
        <w:rPr>
          <w:rStyle w:val="EndnoteReference"/>
          <w:rFonts w:ascii="Times New Roman" w:hAnsi="Times New Roman" w:cs="Times New Roman"/>
          <w:sz w:val="24"/>
          <w:szCs w:val="24"/>
        </w:rPr>
        <w:endnoteReference w:id="64"/>
      </w:r>
      <w:r w:rsidRPr="00C57F69">
        <w:rPr>
          <w:rFonts w:ascii="Times New Roman" w:hAnsi="Times New Roman" w:cs="Times New Roman"/>
          <w:sz w:val="24"/>
          <w:szCs w:val="24"/>
        </w:rPr>
        <w:t xml:space="preserve"> </w:t>
      </w:r>
      <w:r w:rsidRPr="00C57F69">
        <w:rPr>
          <w:rFonts w:asciiTheme="majorBidi" w:hAnsiTheme="majorBidi" w:cstheme="majorBidi"/>
          <w:sz w:val="24"/>
          <w:szCs w:val="24"/>
        </w:rPr>
        <w:t xml:space="preserve">Influenced by developments at a structural and policy level not least the emergence of the Irish Women’s </w:t>
      </w:r>
      <w:proofErr w:type="spellStart"/>
      <w:r w:rsidRPr="00C57F69">
        <w:rPr>
          <w:rFonts w:asciiTheme="majorBidi" w:hAnsiTheme="majorBidi" w:cstheme="majorBidi"/>
          <w:sz w:val="24"/>
          <w:szCs w:val="24"/>
        </w:rPr>
        <w:t>Labour</w:t>
      </w:r>
      <w:proofErr w:type="spellEnd"/>
      <w:r w:rsidRPr="00C57F69">
        <w:rPr>
          <w:rFonts w:asciiTheme="majorBidi" w:hAnsiTheme="majorBidi" w:cstheme="majorBidi"/>
          <w:sz w:val="24"/>
          <w:szCs w:val="24"/>
        </w:rPr>
        <w:t xml:space="preserve"> Movement and the founding of the National Women’s Council of Ireland’s (NWCI) in the early 1970s, the protesters were equally likely buoyed up by a movement of students internationally agitating for change.</w:t>
      </w:r>
      <w:r w:rsidRPr="00C57F69">
        <w:rPr>
          <w:rStyle w:val="EndnoteReference"/>
          <w:rFonts w:asciiTheme="majorBidi" w:hAnsiTheme="majorBidi" w:cstheme="majorBidi"/>
          <w:sz w:val="24"/>
          <w:szCs w:val="24"/>
        </w:rPr>
        <w:endnoteReference w:id="65"/>
      </w:r>
      <w:r w:rsidRPr="00C57F69">
        <w:rPr>
          <w:rFonts w:asciiTheme="majorBidi" w:hAnsiTheme="majorBidi" w:cstheme="majorBidi"/>
          <w:sz w:val="24"/>
          <w:szCs w:val="24"/>
        </w:rPr>
        <w:t xml:space="preserve"> </w:t>
      </w:r>
      <w:r w:rsidRPr="00C57F69">
        <w:rPr>
          <w:rFonts w:ascii="Times New Roman" w:hAnsi="Times New Roman" w:cs="Times New Roman"/>
          <w:sz w:val="24"/>
          <w:szCs w:val="24"/>
        </w:rPr>
        <w:t xml:space="preserve">Commenting on the significance of this protest, </w:t>
      </w:r>
      <w:r w:rsidRPr="00C57F69">
        <w:rPr>
          <w:rFonts w:ascii="Times New Roman" w:eastAsia="Times New Roman" w:hAnsi="Times New Roman" w:cs="Times New Roman"/>
          <w:kern w:val="24"/>
          <w:position w:val="1"/>
          <w:sz w:val="24"/>
          <w:szCs w:val="24"/>
          <w:lang w:val="en-GB" w:eastAsia="en-IE"/>
        </w:rPr>
        <w:t>Catherine Byrne, President of the Students’ Representative Council at the time of the strike, observes:</w:t>
      </w:r>
    </w:p>
    <w:p w14:paraId="39742BA0" w14:textId="6E43120B" w:rsidR="00C57F69" w:rsidRPr="00C57F69" w:rsidRDefault="00C57F69" w:rsidP="00E40A66">
      <w:pPr>
        <w:spacing w:after="0" w:line="240" w:lineRule="auto"/>
        <w:ind w:left="720"/>
        <w:contextualSpacing/>
        <w:jc w:val="both"/>
        <w:rPr>
          <w:rFonts w:ascii="Times New Roman" w:eastAsia="Times New Roman" w:hAnsi="Times New Roman" w:cs="Times New Roman"/>
          <w:kern w:val="24"/>
          <w:position w:val="1"/>
          <w:sz w:val="24"/>
          <w:szCs w:val="24"/>
          <w:lang w:val="en-GB" w:eastAsia="en-IE"/>
        </w:rPr>
      </w:pPr>
      <w:r w:rsidRPr="00C57F69">
        <w:rPr>
          <w:rFonts w:ascii="Times New Roman" w:eastAsia="Times New Roman" w:hAnsi="Times New Roman" w:cs="Times New Roman"/>
          <w:kern w:val="24"/>
          <w:position w:val="1"/>
          <w:sz w:val="24"/>
          <w:szCs w:val="24"/>
          <w:lang w:val="en-GB" w:eastAsia="en-IE"/>
        </w:rPr>
        <w:t xml:space="preserve">The story of the </w:t>
      </w:r>
      <w:proofErr w:type="spellStart"/>
      <w:r w:rsidRPr="00C57F69">
        <w:rPr>
          <w:rFonts w:ascii="Times New Roman" w:eastAsia="Times New Roman" w:hAnsi="Times New Roman" w:cs="Times New Roman"/>
          <w:kern w:val="24"/>
          <w:position w:val="1"/>
          <w:sz w:val="24"/>
          <w:szCs w:val="24"/>
          <w:lang w:val="en-GB" w:eastAsia="en-IE"/>
        </w:rPr>
        <w:t>Carysfort</w:t>
      </w:r>
      <w:proofErr w:type="spellEnd"/>
      <w:r w:rsidRPr="00C57F69">
        <w:rPr>
          <w:rFonts w:ascii="Times New Roman" w:eastAsia="Times New Roman" w:hAnsi="Times New Roman" w:cs="Times New Roman"/>
          <w:kern w:val="24"/>
          <w:position w:val="1"/>
          <w:sz w:val="24"/>
          <w:szCs w:val="24"/>
          <w:lang w:val="en-GB" w:eastAsia="en-IE"/>
        </w:rPr>
        <w:t xml:space="preserve"> College boycott provides an early example of young Irish women rejecting the outdated rules, not just of an authoritarian, denominational teacher training College, but also of a society where the Catholic Church and male domination shaped and restricted the lives of women.</w:t>
      </w:r>
      <w:r w:rsidRPr="00C57F69">
        <w:rPr>
          <w:rStyle w:val="EndnoteReference"/>
          <w:rFonts w:ascii="Times New Roman" w:eastAsia="Times New Roman" w:hAnsi="Times New Roman" w:cs="Times New Roman"/>
          <w:kern w:val="24"/>
          <w:position w:val="1"/>
          <w:sz w:val="24"/>
          <w:szCs w:val="24"/>
          <w:lang w:val="en-GB" w:eastAsia="en-IE"/>
        </w:rPr>
        <w:endnoteReference w:id="66"/>
      </w:r>
    </w:p>
    <w:bookmarkEnd w:id="21"/>
    <w:p w14:paraId="1E182782" w14:textId="77777777" w:rsidR="00C57F69" w:rsidRPr="00C57F69" w:rsidRDefault="00C57F69" w:rsidP="00E40A66">
      <w:pPr>
        <w:spacing w:after="0" w:line="240" w:lineRule="auto"/>
        <w:ind w:left="720"/>
        <w:contextualSpacing/>
        <w:jc w:val="both"/>
        <w:rPr>
          <w:rFonts w:ascii="Times New Roman" w:eastAsia="Times New Roman" w:hAnsi="Times New Roman" w:cs="Times New Roman"/>
          <w:kern w:val="24"/>
          <w:position w:val="1"/>
          <w:sz w:val="24"/>
          <w:szCs w:val="24"/>
          <w:lang w:val="en-GB" w:eastAsia="en-IE"/>
        </w:rPr>
      </w:pPr>
    </w:p>
    <w:p w14:paraId="2996DE36" w14:textId="6B46BD69" w:rsidR="00C57F69" w:rsidRPr="00C57F69" w:rsidRDefault="00C57F69" w:rsidP="001B6A4C">
      <w:pPr>
        <w:spacing w:after="0" w:line="276" w:lineRule="auto"/>
        <w:ind w:left="720"/>
        <w:contextualSpacing/>
        <w:jc w:val="both"/>
        <w:rPr>
          <w:rFonts w:ascii="Times New Roman" w:eastAsia="Times New Roman" w:hAnsi="Times New Roman" w:cs="Times New Roman"/>
          <w:kern w:val="24"/>
          <w:position w:val="1"/>
          <w:sz w:val="24"/>
          <w:szCs w:val="24"/>
          <w:lang w:eastAsia="en-IE"/>
        </w:rPr>
      </w:pPr>
    </w:p>
    <w:p w14:paraId="1280FAED" w14:textId="77777777" w:rsidR="00C57F69" w:rsidRPr="00C57F69" w:rsidRDefault="00C57F69" w:rsidP="00473B27">
      <w:pPr>
        <w:spacing w:after="0" w:line="480" w:lineRule="auto"/>
        <w:jc w:val="both"/>
        <w:rPr>
          <w:rFonts w:ascii="Times New Roman" w:eastAsia="Times New Roman" w:hAnsi="Times New Roman" w:cs="Times New Roman"/>
          <w:b/>
          <w:bCs/>
          <w:sz w:val="24"/>
          <w:szCs w:val="24"/>
        </w:rPr>
      </w:pPr>
      <w:r w:rsidRPr="00C57F69">
        <w:rPr>
          <w:rFonts w:ascii="Times New Roman" w:eastAsia="Times New Roman" w:hAnsi="Times New Roman" w:cs="Times New Roman"/>
          <w:b/>
          <w:bCs/>
          <w:sz w:val="24"/>
          <w:szCs w:val="24"/>
        </w:rPr>
        <w:t xml:space="preserve">Mary Immaculate College, Limerick </w:t>
      </w:r>
    </w:p>
    <w:p w14:paraId="69519E5D" w14:textId="4B7CB710" w:rsidR="00C57F69" w:rsidRPr="00C57F69" w:rsidRDefault="00C57F69" w:rsidP="004244E9">
      <w:pPr>
        <w:spacing w:after="0" w:line="480" w:lineRule="auto"/>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xml:space="preserve">Mary Immaculate College was founded in 1898 with the explicit objective of addressing the shortage of properly trained teachers in national schools. Not surprisingly, given that the curriculum was laid down by the Department of Education from its establishment in 1924 and that the college was run by the Sisters of Mercy, the ethos and student experience was a mirror image of that of </w:t>
      </w:r>
      <w:proofErr w:type="spellStart"/>
      <w:r w:rsidRPr="00C57F69">
        <w:rPr>
          <w:rFonts w:ascii="Times New Roman" w:eastAsia="Times New Roman" w:hAnsi="Times New Roman" w:cs="Times New Roman"/>
          <w:sz w:val="24"/>
          <w:szCs w:val="24"/>
        </w:rPr>
        <w:t>Carysfort</w:t>
      </w:r>
      <w:proofErr w:type="spellEnd"/>
      <w:r w:rsidRPr="00C57F69">
        <w:rPr>
          <w:rFonts w:ascii="Times New Roman" w:eastAsia="Times New Roman" w:hAnsi="Times New Roman" w:cs="Times New Roman"/>
          <w:sz w:val="24"/>
          <w:szCs w:val="24"/>
        </w:rPr>
        <w:t xml:space="preserve"> College. Robust and unequivocal gendered norms were prized and promulgated in line with the dominant mores and values of Irish society. Inspectors’ reports of teaching practice at the College in the period under review </w:t>
      </w:r>
      <w:proofErr w:type="spellStart"/>
      <w:r w:rsidRPr="00C57F69">
        <w:rPr>
          <w:rFonts w:ascii="Times New Roman" w:eastAsia="Times New Roman" w:hAnsi="Times New Roman" w:cs="Times New Roman"/>
          <w:sz w:val="24"/>
          <w:szCs w:val="24"/>
        </w:rPr>
        <w:t>emphasise</w:t>
      </w:r>
      <w:proofErr w:type="spellEnd"/>
      <w:r w:rsidRPr="00C57F69">
        <w:rPr>
          <w:rFonts w:ascii="Times New Roman" w:eastAsia="Times New Roman" w:hAnsi="Times New Roman" w:cs="Times New Roman"/>
          <w:sz w:val="24"/>
          <w:szCs w:val="24"/>
        </w:rPr>
        <w:t xml:space="preserve"> the importance of ‘refined and lady-like </w:t>
      </w:r>
      <w:proofErr w:type="spellStart"/>
      <w:r w:rsidRPr="00C57F69">
        <w:rPr>
          <w:rFonts w:ascii="Times New Roman" w:eastAsia="Times New Roman" w:hAnsi="Times New Roman" w:cs="Times New Roman"/>
          <w:sz w:val="24"/>
          <w:szCs w:val="24"/>
        </w:rPr>
        <w:t>behaviour</w:t>
      </w:r>
      <w:proofErr w:type="spellEnd"/>
      <w:r w:rsidRPr="00C57F69">
        <w:rPr>
          <w:rFonts w:ascii="Times New Roman" w:eastAsia="Times New Roman" w:hAnsi="Times New Roman" w:cs="Times New Roman"/>
          <w:sz w:val="24"/>
          <w:szCs w:val="24"/>
        </w:rPr>
        <w:t>,’ ‘accent’ and ‘moral influence’.</w:t>
      </w:r>
      <w:r w:rsidRPr="00C57F69">
        <w:rPr>
          <w:rStyle w:val="EndnoteReference"/>
          <w:rFonts w:ascii="Times New Roman" w:eastAsia="Times New Roman" w:hAnsi="Times New Roman" w:cs="Times New Roman"/>
          <w:sz w:val="24"/>
          <w:szCs w:val="24"/>
        </w:rPr>
        <w:endnoteReference w:id="67"/>
      </w:r>
      <w:r w:rsidRPr="00C57F69">
        <w:rPr>
          <w:rFonts w:ascii="Times New Roman" w:eastAsia="Times New Roman" w:hAnsi="Times New Roman" w:cs="Times New Roman"/>
          <w:sz w:val="24"/>
          <w:szCs w:val="24"/>
        </w:rPr>
        <w:t xml:space="preserve"> Students were similarly cut off from </w:t>
      </w:r>
      <w:r w:rsidRPr="00C57F69">
        <w:rPr>
          <w:rFonts w:ascii="Times New Roman" w:eastAsia="Times New Roman" w:hAnsi="Times New Roman" w:cs="Times New Roman"/>
          <w:sz w:val="24"/>
          <w:szCs w:val="24"/>
        </w:rPr>
        <w:lastRenderedPageBreak/>
        <w:t>wider society in a repressive, controlled regime. Catherine Daly, a student at Mary Immaculate in the period 1919 – 21 recalled:</w:t>
      </w:r>
    </w:p>
    <w:p w14:paraId="645EE61F" w14:textId="3CD144EE" w:rsidR="00C57F69" w:rsidRPr="00C57F69" w:rsidRDefault="00C57F69" w:rsidP="00D459F8">
      <w:pPr>
        <w:spacing w:after="0" w:line="240" w:lineRule="auto"/>
        <w:ind w:left="720"/>
        <w:jc w:val="both"/>
        <w:rPr>
          <w:rFonts w:asciiTheme="majorBidi" w:hAnsiTheme="majorBidi" w:cstheme="majorBidi"/>
          <w:sz w:val="24"/>
          <w:szCs w:val="24"/>
        </w:rPr>
      </w:pPr>
      <w:r w:rsidRPr="00C57F69">
        <w:rPr>
          <w:rFonts w:asciiTheme="majorBidi" w:hAnsiTheme="majorBidi" w:cstheme="majorBidi"/>
          <w:sz w:val="24"/>
          <w:szCs w:val="24"/>
        </w:rPr>
        <w:t>We were not allowed to speak at breakfast. We were allowed to speak at lunch and at tea but had to keep silent again on our way to bed at 9 o’ clock. I envied those with cubicles near windows, especially in summer, as I had a cubicle in a dark corner near a corridor… Our uniform was black with a white collar which was laundered once a week. Our sheets were laundered once a month… Heating in the College was very poor. The central heating was just warm. We had to wear warm underclothing but our hands were always red and cold.</w:t>
      </w:r>
      <w:r w:rsidRPr="00C57F69">
        <w:rPr>
          <w:rStyle w:val="EndnoteReference"/>
          <w:rFonts w:asciiTheme="majorBidi" w:hAnsiTheme="majorBidi" w:cstheme="majorBidi"/>
          <w:sz w:val="24"/>
          <w:szCs w:val="24"/>
        </w:rPr>
        <w:endnoteReference w:id="68"/>
      </w:r>
    </w:p>
    <w:p w14:paraId="434E2A4A" w14:textId="77777777" w:rsidR="00C57F69" w:rsidRPr="00C57F69" w:rsidRDefault="00C57F69" w:rsidP="00D459F8">
      <w:pPr>
        <w:spacing w:after="0" w:line="240" w:lineRule="auto"/>
        <w:ind w:left="720"/>
        <w:jc w:val="both"/>
        <w:rPr>
          <w:rFonts w:asciiTheme="majorBidi" w:hAnsiTheme="majorBidi" w:cstheme="majorBidi"/>
          <w:sz w:val="24"/>
          <w:szCs w:val="24"/>
          <w:lang w:val="en-GB"/>
        </w:rPr>
      </w:pPr>
    </w:p>
    <w:p w14:paraId="74C4A2DF" w14:textId="037E4995" w:rsidR="00C57F69" w:rsidRPr="00C57F69" w:rsidRDefault="00C57F69" w:rsidP="00A65C1E">
      <w:pPr>
        <w:spacing w:after="0" w:line="480" w:lineRule="auto"/>
        <w:ind w:firstLine="720"/>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A particular emphasis was placed on students’ dress at Mary Immaculate College. Ryan notes that while the Catholic Church internationally exercised a watchful eye over women’s fashion and lifestyles, in the Irish context this was mediated through the lens of cultural nationalism ‘that constructed all evil influences as being imported from abroad and essentially alien to Irishness.’</w:t>
      </w:r>
      <w:r w:rsidRPr="00C57F69">
        <w:rPr>
          <w:rStyle w:val="EndnoteReference"/>
          <w:rFonts w:ascii="Times New Roman" w:eastAsia="Times New Roman" w:hAnsi="Times New Roman" w:cs="Times New Roman"/>
          <w:sz w:val="24"/>
          <w:szCs w:val="24"/>
        </w:rPr>
        <w:endnoteReference w:id="69"/>
      </w:r>
      <w:r w:rsidRPr="00C57F69">
        <w:rPr>
          <w:rFonts w:ascii="Times New Roman" w:eastAsia="Times New Roman" w:hAnsi="Times New Roman" w:cs="Times New Roman"/>
          <w:sz w:val="24"/>
          <w:szCs w:val="24"/>
        </w:rPr>
        <w:t xml:space="preserve"> Students were cautioned against wearing: </w:t>
      </w:r>
    </w:p>
    <w:p w14:paraId="36A93448" w14:textId="3A5D8ADE" w:rsidR="00C57F69" w:rsidRPr="00C57F69" w:rsidRDefault="00C57F69" w:rsidP="00D848F8">
      <w:pPr>
        <w:spacing w:line="300" w:lineRule="atLeast"/>
        <w:ind w:left="720"/>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Dresses cut in a suggestive style or so loosely about the neck as to allow the collar-bone to appear or cut equally low at the back; dresses with sleeves less than two inches below the elbow for daywear or more than one inch above the elbow for evening wear, or without sleeves to the wrist for church wear; dresses of transparent material, unless a slip complying with the above regulations be worn underneath; not wearing shades in stockings that suggested the nude.</w:t>
      </w:r>
      <w:r w:rsidRPr="00C57F69">
        <w:rPr>
          <w:rStyle w:val="EndnoteReference"/>
          <w:rFonts w:ascii="Times New Roman" w:eastAsia="Times New Roman" w:hAnsi="Times New Roman" w:cs="Times New Roman"/>
          <w:sz w:val="24"/>
          <w:szCs w:val="24"/>
        </w:rPr>
        <w:endnoteReference w:id="70"/>
      </w:r>
    </w:p>
    <w:p w14:paraId="14477DF5" w14:textId="77777777" w:rsidR="00C57F69" w:rsidRPr="00C57F69" w:rsidRDefault="00C57F69" w:rsidP="00D848F8">
      <w:pPr>
        <w:spacing w:after="0" w:line="330" w:lineRule="atLeast"/>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xml:space="preserve">Students were similarly admonished they should never: </w:t>
      </w:r>
    </w:p>
    <w:p w14:paraId="15B7E4A4" w14:textId="77777777" w:rsidR="00C57F69" w:rsidRPr="00C57F69" w:rsidRDefault="00C57F69" w:rsidP="00D848F8">
      <w:pPr>
        <w:spacing w:after="0" w:line="330" w:lineRule="atLeast"/>
        <w:jc w:val="both"/>
        <w:rPr>
          <w:rFonts w:ascii="Times New Roman" w:eastAsia="Times New Roman" w:hAnsi="Times New Roman" w:cs="Times New Roman"/>
          <w:sz w:val="24"/>
          <w:szCs w:val="24"/>
        </w:rPr>
      </w:pPr>
    </w:p>
    <w:p w14:paraId="67145264" w14:textId="49A912C3" w:rsidR="00C57F69" w:rsidRPr="00C57F69" w:rsidRDefault="00C57F69" w:rsidP="00127E83">
      <w:pPr>
        <w:spacing w:line="300" w:lineRule="atLeast"/>
        <w:ind w:left="720"/>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 .adopt immodest poses, talk loudly or laugh boisterously in public, utter coarse or irreverent exclamations, drink alcohol at dances or entertainments, attend improper cinema shows, plays or all night dances or partake in immodest or suggestive dances or sea-bathing.</w:t>
      </w:r>
      <w:r w:rsidRPr="00C57F69">
        <w:rPr>
          <w:rStyle w:val="EndnoteReference"/>
          <w:rFonts w:ascii="Times New Roman" w:eastAsia="Times New Roman" w:hAnsi="Times New Roman" w:cs="Times New Roman"/>
          <w:sz w:val="24"/>
          <w:szCs w:val="24"/>
        </w:rPr>
        <w:endnoteReference w:id="71"/>
      </w:r>
    </w:p>
    <w:p w14:paraId="6F0D2068" w14:textId="0C0A696C" w:rsidR="00C57F69" w:rsidRPr="00C57F69" w:rsidRDefault="00C57F69" w:rsidP="00D459F8">
      <w:pPr>
        <w:spacing w:after="0" w:line="480" w:lineRule="auto"/>
        <w:jc w:val="both"/>
        <w:rPr>
          <w:rFonts w:ascii="Times New Roman" w:eastAsia="Times New Roman" w:hAnsi="Times New Roman" w:cs="Times New Roman"/>
          <w:sz w:val="24"/>
          <w:szCs w:val="24"/>
        </w:rPr>
      </w:pPr>
      <w:r w:rsidRPr="00C57F69">
        <w:rPr>
          <w:rFonts w:ascii="Times New Roman" w:eastAsia="Times New Roman" w:hAnsi="Times New Roman" w:cs="Times New Roman"/>
          <w:sz w:val="24"/>
          <w:szCs w:val="24"/>
        </w:rPr>
        <w:t>The emphasis on students’ appearance reflected a preoccupation with women’s sexuality which the state, working in concert with the Catholic Church, sought to control through an ‘architecture of containment.’</w:t>
      </w:r>
      <w:r w:rsidRPr="00C57F69">
        <w:rPr>
          <w:rStyle w:val="EndnoteReference"/>
          <w:rFonts w:ascii="Times New Roman" w:eastAsia="Times New Roman" w:hAnsi="Times New Roman" w:cs="Times New Roman"/>
          <w:sz w:val="24"/>
          <w:szCs w:val="24"/>
        </w:rPr>
        <w:endnoteReference w:id="72"/>
      </w:r>
      <w:r w:rsidRPr="00C57F69">
        <w:rPr>
          <w:rFonts w:ascii="Times New Roman" w:eastAsia="Times New Roman" w:hAnsi="Times New Roman" w:cs="Times New Roman"/>
          <w:sz w:val="24"/>
          <w:szCs w:val="24"/>
        </w:rPr>
        <w:t xml:space="preserve"> Specifically, the state tried through legislative means to regulate access to contraception, sexual crime and public morals and the lives and impact of unmarried mothers.</w:t>
      </w:r>
      <w:r w:rsidRPr="00C57F69">
        <w:rPr>
          <w:rStyle w:val="EndnoteReference"/>
          <w:rFonts w:ascii="Times New Roman" w:eastAsia="Times New Roman" w:hAnsi="Times New Roman" w:cs="Times New Roman"/>
          <w:sz w:val="24"/>
          <w:szCs w:val="24"/>
        </w:rPr>
        <w:endnoteReference w:id="73"/>
      </w:r>
      <w:r w:rsidRPr="00C57F69">
        <w:rPr>
          <w:rFonts w:ascii="Times New Roman" w:eastAsia="Times New Roman" w:hAnsi="Times New Roman" w:cs="Times New Roman"/>
          <w:sz w:val="24"/>
          <w:szCs w:val="24"/>
        </w:rPr>
        <w:t xml:space="preserve"> </w:t>
      </w:r>
      <w:r w:rsidRPr="00C57F69">
        <w:rPr>
          <w:rFonts w:ascii="Times New Roman" w:hAnsi="Times New Roman" w:cs="Times New Roman"/>
          <w:sz w:val="24"/>
          <w:szCs w:val="24"/>
        </w:rPr>
        <w:t xml:space="preserve">‘A stigma that was almost impossible to shake,’ </w:t>
      </w:r>
      <w:proofErr w:type="spellStart"/>
      <w:r w:rsidRPr="00C57F69">
        <w:rPr>
          <w:rFonts w:ascii="Times New Roman" w:hAnsi="Times New Roman" w:cs="Times New Roman"/>
          <w:sz w:val="24"/>
          <w:szCs w:val="24"/>
        </w:rPr>
        <w:t>Luddy</w:t>
      </w:r>
      <w:proofErr w:type="spellEnd"/>
      <w:r w:rsidRPr="00C57F69">
        <w:rPr>
          <w:rFonts w:ascii="Times New Roman" w:hAnsi="Times New Roman" w:cs="Times New Roman"/>
          <w:sz w:val="24"/>
          <w:szCs w:val="24"/>
        </w:rPr>
        <w:t xml:space="preserve"> notes that unmarried mothers represented </w:t>
      </w:r>
      <w:r w:rsidRPr="00C57F69">
        <w:rPr>
          <w:rFonts w:ascii="Times New Roman" w:hAnsi="Times New Roman" w:cs="Times New Roman"/>
          <w:sz w:val="24"/>
          <w:szCs w:val="24"/>
        </w:rPr>
        <w:lastRenderedPageBreak/>
        <w:t>‘a symbol of unacceptable sexual activity and a problem that had the potential to blight the reputation not only of the family but of the nation.’</w:t>
      </w:r>
      <w:r w:rsidRPr="00C57F69">
        <w:rPr>
          <w:rStyle w:val="EndnoteReference"/>
          <w:rFonts w:ascii="Times New Roman" w:hAnsi="Times New Roman" w:cs="Times New Roman"/>
          <w:sz w:val="24"/>
          <w:szCs w:val="24"/>
        </w:rPr>
        <w:endnoteReference w:id="74"/>
      </w:r>
      <w:r w:rsidRPr="00C57F69">
        <w:rPr>
          <w:rFonts w:ascii="Times New Roman" w:hAnsi="Times New Roman" w:cs="Times New Roman"/>
          <w:sz w:val="24"/>
          <w:szCs w:val="24"/>
        </w:rPr>
        <w:t xml:space="preserve"> </w:t>
      </w:r>
      <w:r w:rsidRPr="00C57F69">
        <w:rPr>
          <w:rFonts w:ascii="Times New Roman" w:eastAsia="Times New Roman" w:hAnsi="Times New Roman" w:cs="Times New Roman"/>
          <w:sz w:val="24"/>
          <w:szCs w:val="24"/>
        </w:rPr>
        <w:t xml:space="preserve">It appears that students themselves </w:t>
      </w:r>
      <w:proofErr w:type="spellStart"/>
      <w:r w:rsidRPr="00C57F69">
        <w:rPr>
          <w:rFonts w:ascii="Times New Roman" w:eastAsia="Times New Roman" w:hAnsi="Times New Roman" w:cs="Times New Roman"/>
          <w:sz w:val="24"/>
          <w:szCs w:val="24"/>
        </w:rPr>
        <w:t>internalised</w:t>
      </w:r>
      <w:proofErr w:type="spellEnd"/>
      <w:r w:rsidRPr="00C57F69">
        <w:rPr>
          <w:rFonts w:ascii="Times New Roman" w:eastAsia="Times New Roman" w:hAnsi="Times New Roman" w:cs="Times New Roman"/>
          <w:sz w:val="24"/>
          <w:szCs w:val="24"/>
        </w:rPr>
        <w:t xml:space="preserve"> this stigma. </w:t>
      </w:r>
      <w:r w:rsidRPr="00C57F69">
        <w:rPr>
          <w:rFonts w:asciiTheme="majorBidi" w:eastAsia="Times New Roman" w:hAnsiTheme="majorBidi" w:cstheme="majorBidi"/>
          <w:sz w:val="24"/>
          <w:szCs w:val="24"/>
        </w:rPr>
        <w:t xml:space="preserve">Scholars have noted the extent to which female sexuality came to be established as an icon of national identity during this period. </w:t>
      </w:r>
      <w:proofErr w:type="spellStart"/>
      <w:r w:rsidRPr="00C57F69">
        <w:rPr>
          <w:rFonts w:asciiTheme="majorBidi" w:eastAsia="Times New Roman" w:hAnsiTheme="majorBidi" w:cstheme="majorBidi"/>
          <w:sz w:val="24"/>
          <w:szCs w:val="24"/>
        </w:rPr>
        <w:t>Leane</w:t>
      </w:r>
      <w:proofErr w:type="spellEnd"/>
      <w:r w:rsidRPr="00C57F69">
        <w:rPr>
          <w:rFonts w:asciiTheme="majorBidi" w:eastAsia="Times New Roman" w:hAnsiTheme="majorBidi" w:cstheme="majorBidi"/>
          <w:sz w:val="24"/>
          <w:szCs w:val="24"/>
        </w:rPr>
        <w:t xml:space="preserve"> argues that </w:t>
      </w:r>
      <w:r w:rsidRPr="00C57F69">
        <w:rPr>
          <w:rFonts w:asciiTheme="majorBidi" w:hAnsiTheme="majorBidi" w:cstheme="majorBidi"/>
          <w:sz w:val="24"/>
          <w:szCs w:val="24"/>
          <w:shd w:val="clear" w:color="auto" w:fill="FFFFFF"/>
        </w:rPr>
        <w:t xml:space="preserve">this identity was given ‘symbolic embodiment in the discursive construction of an </w:t>
      </w:r>
      <w:proofErr w:type="spellStart"/>
      <w:r w:rsidRPr="00C57F69">
        <w:rPr>
          <w:rFonts w:asciiTheme="majorBidi" w:hAnsiTheme="majorBidi" w:cstheme="majorBidi"/>
          <w:sz w:val="24"/>
          <w:szCs w:val="24"/>
          <w:shd w:val="clear" w:color="auto" w:fill="FFFFFF"/>
        </w:rPr>
        <w:t>idealised</w:t>
      </w:r>
      <w:proofErr w:type="spellEnd"/>
      <w:r w:rsidRPr="00C57F69">
        <w:rPr>
          <w:rFonts w:asciiTheme="majorBidi" w:hAnsiTheme="majorBidi" w:cstheme="majorBidi"/>
          <w:sz w:val="24"/>
          <w:szCs w:val="24"/>
          <w:shd w:val="clear" w:color="auto" w:fill="FFFFFF"/>
        </w:rPr>
        <w:t>, feminine subject, a subject who had purity and sexual morality as her defining characteristics.’</w:t>
      </w:r>
      <w:r w:rsidRPr="00C57F69">
        <w:rPr>
          <w:rStyle w:val="EndnoteReference"/>
          <w:rFonts w:asciiTheme="majorBidi" w:hAnsiTheme="majorBidi" w:cstheme="majorBidi"/>
          <w:sz w:val="24"/>
          <w:szCs w:val="24"/>
          <w:shd w:val="clear" w:color="auto" w:fill="FFFFFF"/>
        </w:rPr>
        <w:endnoteReference w:id="75"/>
      </w:r>
      <w:r w:rsidRPr="00C57F69">
        <w:rPr>
          <w:rFonts w:asciiTheme="majorBidi" w:hAnsiTheme="majorBidi" w:cstheme="majorBidi"/>
          <w:sz w:val="24"/>
          <w:szCs w:val="24"/>
          <w:shd w:val="clear" w:color="auto" w:fill="FFFFFF"/>
        </w:rPr>
        <w:t xml:space="preserve"> The Catholic Church was the key architect in establishing female sexuality as a symbol of national identity and the religious-run teacher training colleges were a central plank of this wider agenda. </w:t>
      </w:r>
      <w:r w:rsidRPr="00C57F69">
        <w:rPr>
          <w:rFonts w:ascii="Times New Roman" w:eastAsia="Times New Roman" w:hAnsi="Times New Roman" w:cs="Times New Roman"/>
          <w:sz w:val="24"/>
          <w:szCs w:val="24"/>
        </w:rPr>
        <w:t>The extent of Mary Immaculate students’ commitment to promoting strict regulation of the body and reforming deviance</w:t>
      </w:r>
      <w:r w:rsidRPr="00C57F69">
        <w:rPr>
          <w:rStyle w:val="EndnoteReference"/>
          <w:rFonts w:ascii="Times New Roman" w:eastAsia="Times New Roman" w:hAnsi="Times New Roman" w:cs="Times New Roman"/>
          <w:sz w:val="24"/>
          <w:szCs w:val="24"/>
        </w:rPr>
        <w:endnoteReference w:id="76"/>
      </w:r>
      <w:r w:rsidRPr="00C57F69">
        <w:rPr>
          <w:rFonts w:ascii="Times New Roman" w:eastAsia="Times New Roman" w:hAnsi="Times New Roman" w:cs="Times New Roman"/>
          <w:sz w:val="24"/>
          <w:szCs w:val="24"/>
        </w:rPr>
        <w:t xml:space="preserve"> was such that they founded the Mary Immaculate Modest Dress and Deportment Crusade in the late 1920s. What began as a code of dress and conduct primarily for student teachers in the College soon became known throughout the country and attracted a range of diverse members. The existence of the Crusade came to the attention of the Vatican and in May 1928, its promoters received a telegram from Cardinal </w:t>
      </w:r>
      <w:proofErr w:type="spellStart"/>
      <w:r w:rsidRPr="00C57F69">
        <w:rPr>
          <w:rFonts w:ascii="Times New Roman" w:eastAsia="Times New Roman" w:hAnsi="Times New Roman" w:cs="Times New Roman"/>
          <w:sz w:val="24"/>
          <w:szCs w:val="24"/>
        </w:rPr>
        <w:t>Gasparri</w:t>
      </w:r>
      <w:proofErr w:type="spellEnd"/>
      <w:r w:rsidRPr="00C57F69">
        <w:rPr>
          <w:rFonts w:ascii="Times New Roman" w:eastAsia="Times New Roman" w:hAnsi="Times New Roman" w:cs="Times New Roman"/>
          <w:sz w:val="24"/>
          <w:szCs w:val="24"/>
        </w:rPr>
        <w:t xml:space="preserve"> in Rome, Secretary of State to Pope Pius XI, ‘conveying papal commendation to all promoters and members of the Crusade.’</w:t>
      </w:r>
      <w:r w:rsidRPr="00C57F69">
        <w:rPr>
          <w:rStyle w:val="EndnoteReference"/>
          <w:rFonts w:ascii="Times New Roman" w:eastAsia="Times New Roman" w:hAnsi="Times New Roman" w:cs="Times New Roman"/>
          <w:sz w:val="24"/>
          <w:szCs w:val="24"/>
        </w:rPr>
        <w:endnoteReference w:id="77"/>
      </w:r>
    </w:p>
    <w:p w14:paraId="56E036A1" w14:textId="71158117" w:rsidR="00C57F69" w:rsidRPr="00C57F69" w:rsidRDefault="00C57F69" w:rsidP="00534DDD">
      <w:pPr>
        <w:spacing w:after="0" w:line="480" w:lineRule="auto"/>
        <w:ind w:firstLine="720"/>
        <w:jc w:val="both"/>
      </w:pPr>
      <w:r w:rsidRPr="00C57F69">
        <w:rPr>
          <w:rFonts w:ascii="Times New Roman" w:eastAsia="Times New Roman" w:hAnsi="Times New Roman" w:cs="Times New Roman"/>
          <w:sz w:val="24"/>
          <w:szCs w:val="24"/>
        </w:rPr>
        <w:t xml:space="preserve">Such surveillance and </w:t>
      </w:r>
      <w:proofErr w:type="spellStart"/>
      <w:r w:rsidRPr="00C57F69">
        <w:rPr>
          <w:rFonts w:ascii="Times New Roman" w:eastAsia="Times New Roman" w:hAnsi="Times New Roman" w:cs="Times New Roman"/>
          <w:sz w:val="24"/>
          <w:szCs w:val="24"/>
        </w:rPr>
        <w:t>socialisation</w:t>
      </w:r>
      <w:proofErr w:type="spellEnd"/>
      <w:r w:rsidRPr="00C57F69">
        <w:rPr>
          <w:rFonts w:ascii="Times New Roman" w:eastAsia="Times New Roman" w:hAnsi="Times New Roman" w:cs="Times New Roman"/>
          <w:sz w:val="24"/>
          <w:szCs w:val="24"/>
        </w:rPr>
        <w:t xml:space="preserve"> was not unique to the female training colleges. </w:t>
      </w:r>
      <w:r w:rsidRPr="00C57F69">
        <w:rPr>
          <w:rFonts w:ascii="Times New Roman" w:hAnsi="Times New Roman"/>
          <w:sz w:val="24"/>
          <w:szCs w:val="24"/>
        </w:rPr>
        <w:t xml:space="preserve">Male students were also encouraged to acquire particular postures, gestures and gait, along with a restrained, measured, competent and confident disposition. This included the modification and sometimes transformation of the speech and bodily </w:t>
      </w:r>
      <w:proofErr w:type="spellStart"/>
      <w:r w:rsidRPr="00C57F69">
        <w:rPr>
          <w:rFonts w:ascii="Times New Roman" w:hAnsi="Times New Roman"/>
          <w:sz w:val="24"/>
          <w:szCs w:val="24"/>
        </w:rPr>
        <w:t>demeanour</w:t>
      </w:r>
      <w:proofErr w:type="spellEnd"/>
      <w:r w:rsidRPr="00C57F69">
        <w:rPr>
          <w:rFonts w:ascii="Times New Roman" w:hAnsi="Times New Roman"/>
          <w:sz w:val="24"/>
          <w:szCs w:val="24"/>
        </w:rPr>
        <w:t xml:space="preserve"> of those students from rural backgrounds, from the working classes, and from the lower middle classes, in order to build them as refined gentlemanly men.</w:t>
      </w:r>
      <w:r w:rsidRPr="00C57F69">
        <w:rPr>
          <w:rStyle w:val="EndnoteReference"/>
          <w:rFonts w:ascii="Times New Roman" w:hAnsi="Times New Roman"/>
          <w:sz w:val="24"/>
          <w:szCs w:val="24"/>
        </w:rPr>
        <w:endnoteReference w:id="78"/>
      </w:r>
      <w:r w:rsidRPr="00C57F69">
        <w:rPr>
          <w:rFonts w:ascii="Times New Roman" w:hAnsi="Times New Roman"/>
          <w:sz w:val="24"/>
          <w:szCs w:val="24"/>
        </w:rPr>
        <w:t xml:space="preserve"> Comments from practice-teaching supervisors such as ‘took some time to get this young man to </w:t>
      </w:r>
      <w:r w:rsidRPr="00C57F69">
        <w:rPr>
          <w:rFonts w:ascii="Times New Roman" w:hAnsi="Times New Roman"/>
          <w:iCs/>
          <w:sz w:val="24"/>
          <w:szCs w:val="24"/>
        </w:rPr>
        <w:t>speak and act in a manly fashion</w:t>
      </w:r>
      <w:r w:rsidRPr="00C57F69">
        <w:rPr>
          <w:rFonts w:ascii="Times New Roman" w:hAnsi="Times New Roman"/>
          <w:i/>
          <w:iCs/>
          <w:sz w:val="24"/>
          <w:szCs w:val="24"/>
        </w:rPr>
        <w:t>’</w:t>
      </w:r>
      <w:r w:rsidRPr="00C57F69">
        <w:rPr>
          <w:rFonts w:ascii="Times New Roman" w:hAnsi="Times New Roman"/>
          <w:sz w:val="24"/>
          <w:szCs w:val="24"/>
        </w:rPr>
        <w:t>; ‘increased manliness desirable’; ‘complete lack of manliness’ reflect the powerful binary gendered messages propagated.</w:t>
      </w:r>
      <w:r w:rsidRPr="00C57F69">
        <w:rPr>
          <w:rStyle w:val="EndnoteReference"/>
          <w:rFonts w:ascii="Times New Roman" w:hAnsi="Times New Roman"/>
          <w:sz w:val="24"/>
          <w:szCs w:val="24"/>
        </w:rPr>
        <w:endnoteReference w:id="79"/>
      </w:r>
      <w:r w:rsidRPr="00C57F69">
        <w:rPr>
          <w:rFonts w:ascii="Times New Roman" w:hAnsi="Times New Roman"/>
          <w:sz w:val="24"/>
          <w:szCs w:val="24"/>
        </w:rPr>
        <w:t xml:space="preserve"> </w:t>
      </w:r>
      <w:bookmarkStart w:id="22" w:name="_Hlk126048516"/>
      <w:r w:rsidRPr="00C57F69">
        <w:rPr>
          <w:rFonts w:asciiTheme="majorBidi" w:hAnsiTheme="majorBidi" w:cstheme="majorBidi"/>
          <w:sz w:val="24"/>
          <w:szCs w:val="24"/>
        </w:rPr>
        <w:t xml:space="preserve">O’ </w:t>
      </w:r>
      <w:r w:rsidRPr="00C57F69">
        <w:rPr>
          <w:rFonts w:asciiTheme="majorBidi" w:hAnsiTheme="majorBidi" w:cstheme="majorBidi"/>
          <w:sz w:val="24"/>
          <w:szCs w:val="24"/>
        </w:rPr>
        <w:lastRenderedPageBreak/>
        <w:t>Donoghue notes that the gender regime of the male training colleges was ‘profoundly heterosexual, promulgating a celibate heterosexuality, in particular.’</w:t>
      </w:r>
      <w:r w:rsidRPr="00C57F69">
        <w:rPr>
          <w:rStyle w:val="EndnoteReference"/>
          <w:rFonts w:asciiTheme="majorBidi" w:hAnsiTheme="majorBidi" w:cstheme="majorBidi"/>
          <w:sz w:val="24"/>
          <w:szCs w:val="24"/>
        </w:rPr>
        <w:endnoteReference w:id="80"/>
      </w:r>
      <w:r w:rsidRPr="00C57F69">
        <w:rPr>
          <w:rFonts w:asciiTheme="majorBidi" w:hAnsiTheme="majorBidi" w:cstheme="majorBidi"/>
          <w:sz w:val="24"/>
          <w:szCs w:val="24"/>
        </w:rPr>
        <w:t xml:space="preserve"> Specific rules were introduced to discourage close relationships between males, such was the level of concern over homosexuality.</w:t>
      </w:r>
      <w:r w:rsidRPr="00C57F69">
        <w:rPr>
          <w:rFonts w:asciiTheme="majorBidi" w:hAnsiTheme="majorBidi" w:cstheme="majorBidi"/>
        </w:rPr>
        <w:t xml:space="preserve"> </w:t>
      </w:r>
    </w:p>
    <w:bookmarkEnd w:id="22"/>
    <w:p w14:paraId="10D28A6B" w14:textId="77777777" w:rsidR="00C57F69" w:rsidRPr="00C57F69" w:rsidRDefault="00C57F69" w:rsidP="00D6547F">
      <w:pPr>
        <w:spacing w:after="0" w:line="240" w:lineRule="auto"/>
        <w:ind w:firstLine="331"/>
        <w:jc w:val="both"/>
        <w:rPr>
          <w:rFonts w:ascii="Times New Roman" w:hAnsi="Times New Roman"/>
          <w:b/>
          <w:bCs/>
          <w:sz w:val="24"/>
          <w:szCs w:val="24"/>
        </w:rPr>
      </w:pPr>
    </w:p>
    <w:p w14:paraId="660840BE" w14:textId="150D1F55" w:rsidR="00C57F69" w:rsidRPr="00C57F69" w:rsidRDefault="00C57F69" w:rsidP="000440C1">
      <w:pPr>
        <w:spacing w:after="0" w:line="480" w:lineRule="auto"/>
        <w:jc w:val="both"/>
        <w:rPr>
          <w:rFonts w:ascii="Times New Roman" w:hAnsi="Times New Roman" w:cs="Times New Roman"/>
          <w:b/>
          <w:bCs/>
          <w:sz w:val="24"/>
          <w:szCs w:val="24"/>
        </w:rPr>
      </w:pPr>
      <w:r w:rsidRPr="00C57F69">
        <w:rPr>
          <w:rFonts w:ascii="Times New Roman" w:hAnsi="Times New Roman" w:cs="Times New Roman"/>
          <w:b/>
          <w:bCs/>
          <w:sz w:val="24"/>
          <w:szCs w:val="24"/>
        </w:rPr>
        <w:t>Leadership in the Training Colleges</w:t>
      </w:r>
    </w:p>
    <w:p w14:paraId="115A0ECD" w14:textId="1DF2D2E6" w:rsidR="00C57F69" w:rsidRPr="00C57F69" w:rsidRDefault="00C57F69" w:rsidP="003139A6">
      <w:pPr>
        <w:spacing w:after="0" w:line="480" w:lineRule="auto"/>
        <w:jc w:val="both"/>
        <w:rPr>
          <w:rFonts w:ascii="Times New Roman" w:hAnsi="Times New Roman" w:cs="Times New Roman"/>
          <w:sz w:val="24"/>
          <w:szCs w:val="24"/>
        </w:rPr>
      </w:pPr>
      <w:bookmarkStart w:id="23" w:name="_Hlk125978539"/>
      <w:r w:rsidRPr="00C57F69">
        <w:rPr>
          <w:rFonts w:ascii="Times New Roman" w:hAnsi="Times New Roman"/>
          <w:sz w:val="24"/>
          <w:szCs w:val="24"/>
        </w:rPr>
        <w:t xml:space="preserve">Paradoxically, while the culture of Catholic women’s training colleges in Ireland was always gendered and often repressive, the fact that students lived, were taught and studied in an environment which was dominated by women meant that their role models were usually </w:t>
      </w:r>
      <w:r w:rsidRPr="00C57F69">
        <w:rPr>
          <w:rFonts w:ascii="Times New Roman" w:hAnsi="Times New Roman" w:cs="Times New Roman"/>
          <w:sz w:val="24"/>
          <w:szCs w:val="24"/>
        </w:rPr>
        <w:t>women, although throughout the period from the 1920s to the 1970s, a small number of male academic staff were employed in the female colleges.</w:t>
      </w:r>
      <w:r w:rsidRPr="00C57F69">
        <w:rPr>
          <w:rStyle w:val="EndnoteReference"/>
          <w:rFonts w:ascii="Times New Roman" w:hAnsi="Times New Roman" w:cs="Times New Roman"/>
          <w:sz w:val="24"/>
          <w:szCs w:val="24"/>
        </w:rPr>
        <w:endnoteReference w:id="81"/>
      </w:r>
      <w:r w:rsidRPr="00C57F69">
        <w:rPr>
          <w:rFonts w:ascii="Times New Roman" w:hAnsi="Times New Roman" w:cs="Times New Roman"/>
          <w:sz w:val="24"/>
          <w:szCs w:val="24"/>
        </w:rPr>
        <w:t xml:space="preserve"> </w:t>
      </w:r>
      <w:bookmarkEnd w:id="23"/>
      <w:r w:rsidRPr="00C57F69">
        <w:rPr>
          <w:rFonts w:ascii="Times New Roman" w:hAnsi="Times New Roman" w:cs="Times New Roman"/>
          <w:sz w:val="24"/>
          <w:szCs w:val="24"/>
        </w:rPr>
        <w:t>The nun’s life served to disrupt the wife/mother binary advocated at the time provided opportunities for personal fulfilment and professional advancement, which life as a single woman did not.</w:t>
      </w:r>
      <w:r w:rsidRPr="00C57F69">
        <w:rPr>
          <w:rStyle w:val="EndnoteReference"/>
          <w:rFonts w:ascii="Times New Roman" w:hAnsi="Times New Roman" w:cs="Times New Roman"/>
          <w:sz w:val="24"/>
          <w:szCs w:val="24"/>
        </w:rPr>
        <w:endnoteReference w:id="82"/>
      </w:r>
      <w:r w:rsidRPr="00C57F69">
        <w:rPr>
          <w:rFonts w:ascii="Times New Roman" w:hAnsi="Times New Roman" w:cs="Times New Roman"/>
          <w:sz w:val="24"/>
          <w:szCs w:val="24"/>
        </w:rPr>
        <w:t xml:space="preserve"> From the time of their inception, religious orders in Ireland, as elsewhere, both </w:t>
      </w:r>
      <w:proofErr w:type="spellStart"/>
      <w:r w:rsidRPr="00C57F69">
        <w:rPr>
          <w:rFonts w:ascii="Times New Roman" w:hAnsi="Times New Roman" w:cs="Times New Roman"/>
          <w:sz w:val="24"/>
          <w:szCs w:val="24"/>
        </w:rPr>
        <w:t>favoured</w:t>
      </w:r>
      <w:proofErr w:type="spellEnd"/>
      <w:r w:rsidRPr="00C57F69">
        <w:rPr>
          <w:rFonts w:ascii="Times New Roman" w:hAnsi="Times New Roman" w:cs="Times New Roman"/>
          <w:sz w:val="24"/>
          <w:szCs w:val="24"/>
        </w:rPr>
        <w:t xml:space="preserve"> and promoted their own in terms of access to leadership positions and while women religious were taught not to consciously desire to be promoted, they were expected to assume leadership roles, and sometimes at very young ages.</w:t>
      </w:r>
      <w:r w:rsidRPr="00C57F69">
        <w:rPr>
          <w:rStyle w:val="EndnoteReference"/>
          <w:rFonts w:ascii="Times New Roman" w:hAnsi="Times New Roman" w:cs="Times New Roman"/>
          <w:sz w:val="24"/>
          <w:szCs w:val="24"/>
        </w:rPr>
        <w:endnoteReference w:id="83"/>
      </w:r>
      <w:r w:rsidRPr="00C57F69">
        <w:rPr>
          <w:rFonts w:ascii="Times New Roman" w:hAnsi="Times New Roman" w:cs="Times New Roman"/>
          <w:sz w:val="24"/>
          <w:szCs w:val="24"/>
        </w:rPr>
        <w:t xml:space="preserve"> </w:t>
      </w:r>
    </w:p>
    <w:p w14:paraId="1A4951E6" w14:textId="44AF3A63" w:rsidR="00C57F69" w:rsidRPr="00C57F69" w:rsidRDefault="00C57F69" w:rsidP="00935A24">
      <w:pPr>
        <w:spacing w:after="0" w:line="480" w:lineRule="auto"/>
        <w:ind w:firstLine="720"/>
        <w:jc w:val="both"/>
        <w:rPr>
          <w:rFonts w:ascii="Times New Roman" w:hAnsi="Times New Roman"/>
          <w:sz w:val="24"/>
          <w:szCs w:val="24"/>
        </w:rPr>
      </w:pPr>
      <w:r w:rsidRPr="00C57F69">
        <w:rPr>
          <w:rFonts w:ascii="Times New Roman" w:hAnsi="Times New Roman" w:cs="Times New Roman"/>
          <w:sz w:val="24"/>
          <w:szCs w:val="24"/>
        </w:rPr>
        <w:t xml:space="preserve">From their very inception, the presidents and the majority of the staff of both </w:t>
      </w:r>
      <w:proofErr w:type="spellStart"/>
      <w:r w:rsidRPr="00C57F69">
        <w:rPr>
          <w:rFonts w:ascii="Times New Roman" w:hAnsi="Times New Roman" w:cs="Times New Roman"/>
          <w:sz w:val="24"/>
          <w:szCs w:val="24"/>
        </w:rPr>
        <w:t>Caryfort</w:t>
      </w:r>
      <w:proofErr w:type="spellEnd"/>
      <w:r w:rsidRPr="00C57F69">
        <w:rPr>
          <w:rFonts w:ascii="Times New Roman" w:hAnsi="Times New Roman" w:cs="Times New Roman"/>
          <w:sz w:val="24"/>
          <w:szCs w:val="24"/>
        </w:rPr>
        <w:t xml:space="preserve"> and Mary Immaculate Colleges </w:t>
      </w:r>
      <w:r w:rsidRPr="00C57F69">
        <w:rPr>
          <w:rFonts w:ascii="Times New Roman" w:hAnsi="Times New Roman"/>
          <w:sz w:val="24"/>
          <w:szCs w:val="24"/>
        </w:rPr>
        <w:t xml:space="preserve">were members of the Mercy Congregation. </w:t>
      </w:r>
      <w:bookmarkStart w:id="24" w:name="_Hlk122618667"/>
      <w:r w:rsidRPr="00C57F69">
        <w:rPr>
          <w:rFonts w:ascii="Times New Roman" w:hAnsi="Times New Roman"/>
          <w:sz w:val="24"/>
          <w:szCs w:val="24"/>
        </w:rPr>
        <w:t>Both colleges had few lay or male staff members during this period</w:t>
      </w:r>
      <w:bookmarkEnd w:id="24"/>
      <w:r w:rsidRPr="00C57F69">
        <w:rPr>
          <w:rFonts w:ascii="Times New Roman" w:hAnsi="Times New Roman"/>
          <w:sz w:val="24"/>
          <w:szCs w:val="24"/>
        </w:rPr>
        <w:t>. By contrast, this was not the case in the Church of Ireland Training College, Kildare Place, Dublin, where almost all of the students were women, but where successive principals from the date of the college’s inception (1811) were male.</w:t>
      </w:r>
      <w:r w:rsidRPr="00C57F69">
        <w:rPr>
          <w:rStyle w:val="EndnoteReference"/>
          <w:rFonts w:ascii="Times New Roman" w:hAnsi="Times New Roman"/>
          <w:sz w:val="24"/>
          <w:szCs w:val="24"/>
        </w:rPr>
        <w:endnoteReference w:id="84"/>
      </w:r>
      <w:r w:rsidRPr="00C57F69">
        <w:rPr>
          <w:rFonts w:ascii="Times New Roman" w:hAnsi="Times New Roman"/>
          <w:sz w:val="24"/>
          <w:szCs w:val="24"/>
        </w:rPr>
        <w:t xml:space="preserve"> The women religious who were presidents of </w:t>
      </w:r>
      <w:proofErr w:type="spellStart"/>
      <w:r w:rsidRPr="00C57F69">
        <w:rPr>
          <w:rFonts w:ascii="Times New Roman" w:hAnsi="Times New Roman"/>
          <w:sz w:val="24"/>
          <w:szCs w:val="24"/>
        </w:rPr>
        <w:t>Carysfort</w:t>
      </w:r>
      <w:proofErr w:type="spellEnd"/>
      <w:r w:rsidRPr="00C57F69">
        <w:rPr>
          <w:rFonts w:ascii="Times New Roman" w:hAnsi="Times New Roman"/>
          <w:sz w:val="24"/>
          <w:szCs w:val="24"/>
        </w:rPr>
        <w:t xml:space="preserve"> and Mary Immaculate were formidable women. Mother Teresita McCormack, President of </w:t>
      </w:r>
      <w:proofErr w:type="spellStart"/>
      <w:r w:rsidRPr="00C57F69">
        <w:rPr>
          <w:rFonts w:ascii="Times New Roman" w:hAnsi="Times New Roman"/>
          <w:sz w:val="24"/>
          <w:szCs w:val="24"/>
        </w:rPr>
        <w:t>Carysfort</w:t>
      </w:r>
      <w:proofErr w:type="spellEnd"/>
      <w:r w:rsidRPr="00C57F69">
        <w:rPr>
          <w:rFonts w:ascii="Times New Roman" w:hAnsi="Times New Roman"/>
          <w:sz w:val="24"/>
          <w:szCs w:val="24"/>
        </w:rPr>
        <w:t xml:space="preserve"> from 1936 to 1968 was remembered by many former </w:t>
      </w:r>
      <w:proofErr w:type="spellStart"/>
      <w:r w:rsidRPr="00C57F69">
        <w:rPr>
          <w:rFonts w:ascii="Times New Roman" w:hAnsi="Times New Roman"/>
          <w:sz w:val="24"/>
          <w:szCs w:val="24"/>
        </w:rPr>
        <w:t>Carysfort</w:t>
      </w:r>
      <w:proofErr w:type="spellEnd"/>
      <w:r w:rsidRPr="00C57F69">
        <w:rPr>
          <w:rFonts w:ascii="Times New Roman" w:hAnsi="Times New Roman"/>
          <w:sz w:val="24"/>
          <w:szCs w:val="24"/>
        </w:rPr>
        <w:t xml:space="preserve"> students as authoritative.</w:t>
      </w:r>
      <w:r w:rsidRPr="00C57F69">
        <w:rPr>
          <w:rStyle w:val="EndnoteReference"/>
          <w:rFonts w:ascii="Times New Roman" w:hAnsi="Times New Roman"/>
          <w:sz w:val="24"/>
          <w:szCs w:val="24"/>
        </w:rPr>
        <w:endnoteReference w:id="85"/>
      </w:r>
      <w:r w:rsidRPr="00C57F69">
        <w:rPr>
          <w:rFonts w:ascii="Times New Roman" w:hAnsi="Times New Roman"/>
          <w:sz w:val="24"/>
          <w:szCs w:val="24"/>
        </w:rPr>
        <w:t xml:space="preserve"> She took personal responsibility, ‘military style,’ for </w:t>
      </w:r>
      <w:r w:rsidRPr="00C57F69">
        <w:rPr>
          <w:rFonts w:ascii="Times New Roman" w:hAnsi="Times New Roman"/>
          <w:sz w:val="24"/>
          <w:szCs w:val="24"/>
        </w:rPr>
        <w:lastRenderedPageBreak/>
        <w:t xml:space="preserve">inspecting students’ uniforms as they lined up for morning Mass at 6.45 a.m. and, while she had no academic role in the college, she regularly lectured the students on </w:t>
      </w:r>
      <w:proofErr w:type="spellStart"/>
      <w:r w:rsidRPr="00C57F69">
        <w:rPr>
          <w:rFonts w:ascii="Times New Roman" w:hAnsi="Times New Roman"/>
          <w:sz w:val="24"/>
          <w:szCs w:val="24"/>
        </w:rPr>
        <w:t>behaviour</w:t>
      </w:r>
      <w:proofErr w:type="spellEnd"/>
      <w:r w:rsidRPr="00C57F69">
        <w:rPr>
          <w:rFonts w:ascii="Times New Roman" w:hAnsi="Times New Roman"/>
          <w:sz w:val="24"/>
          <w:szCs w:val="24"/>
        </w:rPr>
        <w:t xml:space="preserve"> and deportment.</w:t>
      </w:r>
      <w:r w:rsidRPr="00C57F69">
        <w:rPr>
          <w:rStyle w:val="EndnoteReference"/>
          <w:rFonts w:ascii="Times New Roman" w:hAnsi="Times New Roman"/>
          <w:sz w:val="24"/>
          <w:szCs w:val="24"/>
        </w:rPr>
        <w:endnoteReference w:id="86"/>
      </w:r>
      <w:r w:rsidRPr="00C57F69">
        <w:rPr>
          <w:rFonts w:ascii="Times New Roman" w:hAnsi="Times New Roman"/>
          <w:sz w:val="24"/>
          <w:szCs w:val="24"/>
        </w:rPr>
        <w:t xml:space="preserve"> </w:t>
      </w:r>
    </w:p>
    <w:p w14:paraId="021FDA25" w14:textId="3FAC251B" w:rsidR="00C57F69" w:rsidRPr="00C57F69" w:rsidRDefault="00C57F69" w:rsidP="007E08C4">
      <w:pPr>
        <w:spacing w:after="0" w:line="480" w:lineRule="auto"/>
        <w:ind w:firstLine="720"/>
        <w:jc w:val="both"/>
        <w:rPr>
          <w:rFonts w:ascii="Times New Roman" w:hAnsi="Times New Roman" w:cs="Times New Roman"/>
          <w:sz w:val="24"/>
          <w:szCs w:val="24"/>
        </w:rPr>
      </w:pPr>
      <w:r w:rsidRPr="00C57F69">
        <w:rPr>
          <w:rFonts w:ascii="Times New Roman" w:hAnsi="Times New Roman"/>
          <w:sz w:val="24"/>
          <w:szCs w:val="24"/>
        </w:rPr>
        <w:t xml:space="preserve">Despite working in a higher education landscape shaped by male voices and agendas, McCormack knew how to leverage her role and status in order to carve out </w:t>
      </w:r>
      <w:r w:rsidRPr="00C57F69">
        <w:rPr>
          <w:rFonts w:ascii="Times New Roman" w:hAnsi="Times New Roman" w:cs="Times New Roman"/>
          <w:sz w:val="24"/>
          <w:szCs w:val="24"/>
        </w:rPr>
        <w:t>a level of autonomy, power and agency,</w:t>
      </w:r>
      <w:r w:rsidRPr="00C57F69">
        <w:rPr>
          <w:rFonts w:ascii="Times New Roman" w:hAnsi="Times New Roman"/>
          <w:sz w:val="24"/>
          <w:szCs w:val="24"/>
        </w:rPr>
        <w:t xml:space="preserve"> entering into </w:t>
      </w:r>
      <w:r w:rsidRPr="00C57F69">
        <w:rPr>
          <w:rFonts w:ascii="Times New Roman" w:hAnsi="Times New Roman" w:cs="Times New Roman"/>
          <w:sz w:val="24"/>
          <w:szCs w:val="24"/>
        </w:rPr>
        <w:t>‘patriarchal bargains’ with high-profile males in positions of influence.</w:t>
      </w:r>
      <w:r w:rsidRPr="00C57F69">
        <w:rPr>
          <w:rStyle w:val="EndnoteReference"/>
          <w:rFonts w:ascii="Times New Roman" w:hAnsi="Times New Roman" w:cs="Times New Roman"/>
          <w:sz w:val="24"/>
          <w:szCs w:val="24"/>
        </w:rPr>
        <w:endnoteReference w:id="87"/>
      </w:r>
      <w:r w:rsidRPr="00C57F69">
        <w:rPr>
          <w:rFonts w:ascii="Times New Roman" w:hAnsi="Times New Roman" w:cs="Times New Roman"/>
          <w:sz w:val="24"/>
          <w:szCs w:val="24"/>
        </w:rPr>
        <w:t xml:space="preserve"> A former student recalls: </w:t>
      </w:r>
    </w:p>
    <w:p w14:paraId="5E3CA0EE" w14:textId="6BE33D4D" w:rsidR="00C57F69" w:rsidRPr="00C57F69" w:rsidRDefault="00C57F69" w:rsidP="00CC2CD1">
      <w:pPr>
        <w:spacing w:after="0" w:line="240" w:lineRule="auto"/>
        <w:ind w:left="720"/>
        <w:jc w:val="both"/>
        <w:rPr>
          <w:rFonts w:ascii="Times New Roman" w:hAnsi="Times New Roman"/>
          <w:sz w:val="24"/>
          <w:szCs w:val="24"/>
        </w:rPr>
      </w:pPr>
      <w:r w:rsidRPr="00C57F69">
        <w:rPr>
          <w:rFonts w:ascii="Times New Roman" w:hAnsi="Times New Roman" w:cs="Times New Roman"/>
          <w:sz w:val="24"/>
          <w:szCs w:val="24"/>
        </w:rPr>
        <w:t>While</w:t>
      </w:r>
      <w:r w:rsidRPr="00C57F69">
        <w:rPr>
          <w:rFonts w:ascii="Times New Roman" w:hAnsi="Times New Roman"/>
          <w:sz w:val="24"/>
          <w:szCs w:val="24"/>
        </w:rPr>
        <w:t xml:space="preserve"> her </w:t>
      </w:r>
      <w:proofErr w:type="spellStart"/>
      <w:r w:rsidRPr="00C57F69">
        <w:rPr>
          <w:rFonts w:ascii="Times New Roman" w:hAnsi="Times New Roman"/>
          <w:sz w:val="24"/>
          <w:szCs w:val="24"/>
        </w:rPr>
        <w:t>demeanour</w:t>
      </w:r>
      <w:proofErr w:type="spellEnd"/>
      <w:r w:rsidRPr="00C57F69">
        <w:rPr>
          <w:rFonts w:ascii="Times New Roman" w:hAnsi="Times New Roman"/>
          <w:sz w:val="24"/>
          <w:szCs w:val="24"/>
        </w:rPr>
        <w:t xml:space="preserve"> towards students and staff was stiff and unbending, she could be charming to important visitors such as the then President of Ireland </w:t>
      </w:r>
      <w:proofErr w:type="spellStart"/>
      <w:r w:rsidRPr="00C57F69">
        <w:rPr>
          <w:rFonts w:ascii="Times New Roman" w:hAnsi="Times New Roman" w:cs="Times New Roman"/>
          <w:sz w:val="24"/>
          <w:szCs w:val="24"/>
        </w:rPr>
        <w:t>É</w:t>
      </w:r>
      <w:r w:rsidRPr="00C57F69">
        <w:rPr>
          <w:rFonts w:ascii="Times New Roman" w:hAnsi="Times New Roman"/>
          <w:sz w:val="24"/>
          <w:szCs w:val="24"/>
        </w:rPr>
        <w:t>amon</w:t>
      </w:r>
      <w:proofErr w:type="spellEnd"/>
      <w:r w:rsidRPr="00C57F69">
        <w:rPr>
          <w:rFonts w:ascii="Times New Roman" w:hAnsi="Times New Roman"/>
          <w:sz w:val="24"/>
          <w:szCs w:val="24"/>
        </w:rPr>
        <w:t xml:space="preserve"> de Valera (who had taught mathematics in </w:t>
      </w:r>
      <w:proofErr w:type="spellStart"/>
      <w:r w:rsidRPr="00C57F69">
        <w:rPr>
          <w:rFonts w:ascii="Times New Roman" w:hAnsi="Times New Roman"/>
          <w:sz w:val="24"/>
          <w:szCs w:val="24"/>
        </w:rPr>
        <w:t>Carysfort</w:t>
      </w:r>
      <w:proofErr w:type="spellEnd"/>
      <w:r w:rsidRPr="00C57F69">
        <w:rPr>
          <w:rFonts w:ascii="Times New Roman" w:hAnsi="Times New Roman"/>
          <w:sz w:val="24"/>
          <w:szCs w:val="24"/>
        </w:rPr>
        <w:t xml:space="preserve"> in the first two decades of the twentieth century) and his wife </w:t>
      </w:r>
      <w:proofErr w:type="spellStart"/>
      <w:r w:rsidRPr="00C57F69">
        <w:rPr>
          <w:rFonts w:ascii="Times New Roman" w:hAnsi="Times New Roman"/>
          <w:sz w:val="24"/>
          <w:szCs w:val="24"/>
        </w:rPr>
        <w:t>Sinéad</w:t>
      </w:r>
      <w:proofErr w:type="spellEnd"/>
      <w:r w:rsidRPr="00C57F69">
        <w:rPr>
          <w:rFonts w:ascii="Times New Roman" w:hAnsi="Times New Roman"/>
          <w:sz w:val="24"/>
          <w:szCs w:val="24"/>
        </w:rPr>
        <w:t>. She also ingratiated herself with successive Ministers for Education and senior departmental officials.</w:t>
      </w:r>
      <w:r w:rsidRPr="00C57F69">
        <w:rPr>
          <w:rStyle w:val="EndnoteReference"/>
          <w:rFonts w:ascii="Times New Roman" w:hAnsi="Times New Roman"/>
          <w:sz w:val="24"/>
          <w:szCs w:val="24"/>
        </w:rPr>
        <w:endnoteReference w:id="88"/>
      </w:r>
    </w:p>
    <w:p w14:paraId="14F79211" w14:textId="77777777" w:rsidR="00C57F69" w:rsidRPr="00C57F69" w:rsidRDefault="00C57F69" w:rsidP="00CC2CD1">
      <w:pPr>
        <w:spacing w:after="0" w:line="240" w:lineRule="auto"/>
        <w:ind w:left="720"/>
        <w:jc w:val="both"/>
        <w:rPr>
          <w:rFonts w:ascii="Times New Roman" w:hAnsi="Times New Roman"/>
          <w:sz w:val="24"/>
          <w:szCs w:val="24"/>
        </w:rPr>
      </w:pPr>
    </w:p>
    <w:p w14:paraId="515B3A3E" w14:textId="7B18FA86" w:rsidR="00C57F69" w:rsidRPr="00C57F69" w:rsidRDefault="00C57F69" w:rsidP="0092354D">
      <w:pPr>
        <w:spacing w:after="0" w:line="480" w:lineRule="auto"/>
        <w:jc w:val="both"/>
        <w:rPr>
          <w:rFonts w:ascii="Times New Roman" w:hAnsi="Times New Roman"/>
          <w:sz w:val="24"/>
          <w:szCs w:val="24"/>
        </w:rPr>
      </w:pPr>
      <w:r w:rsidRPr="00C57F69">
        <w:rPr>
          <w:rFonts w:ascii="Times New Roman" w:hAnsi="Times New Roman"/>
          <w:sz w:val="24"/>
          <w:szCs w:val="24"/>
        </w:rPr>
        <w:t xml:space="preserve">The same student also recalls the challenges McCormack faced as a female leader working in an androcentric space: </w:t>
      </w:r>
    </w:p>
    <w:p w14:paraId="4DA217C7" w14:textId="63D803B6" w:rsidR="00C57F69" w:rsidRPr="00C57F69" w:rsidRDefault="00C57F69" w:rsidP="007E34E5">
      <w:pPr>
        <w:spacing w:after="0" w:line="240" w:lineRule="auto"/>
        <w:ind w:left="720"/>
        <w:jc w:val="both"/>
        <w:rPr>
          <w:rFonts w:ascii="Times New Roman" w:hAnsi="Times New Roman"/>
          <w:sz w:val="24"/>
          <w:szCs w:val="24"/>
        </w:rPr>
      </w:pPr>
      <w:r w:rsidRPr="00C57F69">
        <w:rPr>
          <w:rFonts w:ascii="Times New Roman" w:hAnsi="Times New Roman"/>
          <w:sz w:val="24"/>
          <w:szCs w:val="24"/>
        </w:rPr>
        <w:t>Yes, Sister McCormack was stern and even quite unlikable, however, I think as a woman in a leadership role, she needed to be doubly as strong and formidable as men in equivalent roles. At the time, this was to some degree the expectation of a leader. Looking back on it now, we can see that it wasn’t really leadership at all, rather oppression.</w:t>
      </w:r>
      <w:r w:rsidRPr="00C57F69">
        <w:rPr>
          <w:rStyle w:val="EndnoteReference"/>
          <w:rFonts w:ascii="Times New Roman" w:hAnsi="Times New Roman"/>
          <w:sz w:val="24"/>
          <w:szCs w:val="24"/>
        </w:rPr>
        <w:endnoteReference w:id="89"/>
      </w:r>
    </w:p>
    <w:p w14:paraId="4518AA42" w14:textId="77777777" w:rsidR="00C57F69" w:rsidRPr="00C57F69" w:rsidRDefault="00C57F69" w:rsidP="007E34E5">
      <w:pPr>
        <w:spacing w:after="0" w:line="240" w:lineRule="auto"/>
        <w:ind w:left="720"/>
        <w:jc w:val="both"/>
        <w:rPr>
          <w:rFonts w:ascii="Times New Roman" w:hAnsi="Times New Roman"/>
          <w:sz w:val="24"/>
          <w:szCs w:val="24"/>
        </w:rPr>
      </w:pPr>
    </w:p>
    <w:p w14:paraId="404F7584" w14:textId="253DC5EE" w:rsidR="00C57F69" w:rsidRPr="00C57F69" w:rsidRDefault="00C57F69" w:rsidP="00AC34B1">
      <w:pPr>
        <w:spacing w:after="0" w:line="480" w:lineRule="auto"/>
        <w:jc w:val="both"/>
        <w:rPr>
          <w:rFonts w:ascii="Times New Roman" w:hAnsi="Times New Roman" w:cs="Times New Roman"/>
          <w:sz w:val="24"/>
          <w:szCs w:val="24"/>
        </w:rPr>
      </w:pPr>
      <w:r w:rsidRPr="00C57F69">
        <w:rPr>
          <w:rFonts w:ascii="Times New Roman" w:hAnsi="Times New Roman" w:cs="Times New Roman"/>
          <w:sz w:val="24"/>
          <w:szCs w:val="24"/>
        </w:rPr>
        <w:t>Not all nuns who were in leadership roles were so unapproachable. In Mary Immaculate College, Limerick, Sr</w:t>
      </w:r>
      <w:r w:rsidRPr="00C57F69">
        <w:rPr>
          <w:rFonts w:ascii="Times New Roman" w:hAnsi="Times New Roman"/>
          <w:sz w:val="24"/>
          <w:szCs w:val="24"/>
        </w:rPr>
        <w:t xml:space="preserve">. Veronica Cullinan, who was president from 1923 to 1945 and who taught English, was described by a former student as follows: ‘Her mind was penetrating and versatile and </w:t>
      </w:r>
      <w:r w:rsidRPr="00C57F69">
        <w:rPr>
          <w:rFonts w:ascii="Times New Roman" w:hAnsi="Times New Roman" w:cs="Times New Roman"/>
          <w:sz w:val="24"/>
          <w:szCs w:val="24"/>
        </w:rPr>
        <w:t>her heart so warm and loving.’</w:t>
      </w:r>
      <w:r w:rsidRPr="00C57F69">
        <w:rPr>
          <w:rStyle w:val="EndnoteReference"/>
          <w:rFonts w:ascii="Times New Roman" w:hAnsi="Times New Roman" w:cs="Times New Roman"/>
          <w:sz w:val="24"/>
          <w:szCs w:val="24"/>
        </w:rPr>
        <w:endnoteReference w:id="90"/>
      </w:r>
      <w:r w:rsidRPr="00C57F69">
        <w:rPr>
          <w:rFonts w:ascii="Times New Roman" w:hAnsi="Times New Roman" w:cs="Times New Roman"/>
          <w:sz w:val="24"/>
          <w:szCs w:val="24"/>
        </w:rPr>
        <w:t xml:space="preserve"> Her successor, Sr. </w:t>
      </w:r>
      <w:proofErr w:type="spellStart"/>
      <w:r w:rsidRPr="00C57F69">
        <w:rPr>
          <w:rFonts w:ascii="Times New Roman" w:hAnsi="Times New Roman" w:cs="Times New Roman"/>
          <w:sz w:val="24"/>
          <w:szCs w:val="24"/>
        </w:rPr>
        <w:t>Celsus</w:t>
      </w:r>
      <w:proofErr w:type="spellEnd"/>
      <w:r w:rsidRPr="00C57F69">
        <w:rPr>
          <w:rFonts w:ascii="Times New Roman" w:hAnsi="Times New Roman" w:cs="Times New Roman"/>
          <w:sz w:val="24"/>
          <w:szCs w:val="24"/>
        </w:rPr>
        <w:t xml:space="preserve"> Barry, president from 1945 to 1952, was described as ‘gracious and wise,’ a woman who during her years as principal, ‘endeared herself to both students and staff.’</w:t>
      </w:r>
      <w:r w:rsidRPr="00C57F69">
        <w:rPr>
          <w:rStyle w:val="EndnoteReference"/>
          <w:rFonts w:ascii="Times New Roman" w:hAnsi="Times New Roman" w:cs="Times New Roman"/>
          <w:sz w:val="24"/>
          <w:szCs w:val="24"/>
        </w:rPr>
        <w:endnoteReference w:id="91"/>
      </w:r>
      <w:r w:rsidRPr="00C57F69">
        <w:rPr>
          <w:rFonts w:ascii="Times New Roman" w:hAnsi="Times New Roman" w:cs="Times New Roman"/>
          <w:sz w:val="24"/>
          <w:szCs w:val="24"/>
        </w:rPr>
        <w:t xml:space="preserve"> Sr. Loreto, appointed president in 1959, was regarded as student-</w:t>
      </w:r>
      <w:proofErr w:type="spellStart"/>
      <w:r w:rsidRPr="00C57F69">
        <w:rPr>
          <w:rFonts w:ascii="Times New Roman" w:hAnsi="Times New Roman" w:cs="Times New Roman"/>
          <w:sz w:val="24"/>
          <w:szCs w:val="24"/>
        </w:rPr>
        <w:t>centred</w:t>
      </w:r>
      <w:proofErr w:type="spellEnd"/>
      <w:r w:rsidRPr="00C57F69">
        <w:rPr>
          <w:rFonts w:ascii="Times New Roman" w:hAnsi="Times New Roman" w:cs="Times New Roman"/>
          <w:sz w:val="24"/>
          <w:szCs w:val="24"/>
        </w:rPr>
        <w:t xml:space="preserve"> and as an academic woman interested in international trends in teacher education.</w:t>
      </w:r>
      <w:r w:rsidRPr="00C57F69">
        <w:rPr>
          <w:rStyle w:val="EndnoteReference"/>
          <w:rFonts w:ascii="Times New Roman" w:hAnsi="Times New Roman" w:cs="Times New Roman"/>
          <w:sz w:val="24"/>
          <w:szCs w:val="24"/>
        </w:rPr>
        <w:endnoteReference w:id="92"/>
      </w:r>
      <w:r w:rsidRPr="00C57F69">
        <w:rPr>
          <w:rFonts w:ascii="Times New Roman" w:hAnsi="Times New Roman" w:cs="Times New Roman"/>
          <w:sz w:val="24"/>
          <w:szCs w:val="24"/>
        </w:rPr>
        <w:t xml:space="preserve"> It would be interesting to reflect on the extent to which the Second Vatican Council (Vatican II) (1962-65) impacted these women and their leadership styles. A major outcome of the Council was an embracement by the Church of the modern world. This was brought about against the backdrop of </w:t>
      </w:r>
      <w:r w:rsidRPr="00C57F69">
        <w:rPr>
          <w:rFonts w:ascii="Times New Roman" w:hAnsi="Times New Roman" w:cs="Times New Roman"/>
          <w:sz w:val="24"/>
          <w:szCs w:val="24"/>
        </w:rPr>
        <w:lastRenderedPageBreak/>
        <w:t>a significant exodus of existing male and female religious to return to the world as lay people, a major decline in the average number of new recruits, and a consequent need to employ ever greater numbers of lay people both as classroom teachers and as school principals.</w:t>
      </w:r>
      <w:r w:rsidRPr="00C57F69">
        <w:rPr>
          <w:rStyle w:val="EndnoteReference"/>
          <w:rFonts w:ascii="Times New Roman" w:hAnsi="Times New Roman" w:cs="Times New Roman"/>
          <w:sz w:val="24"/>
          <w:szCs w:val="24"/>
        </w:rPr>
        <w:endnoteReference w:id="93"/>
      </w:r>
      <w:r w:rsidRPr="00C57F69">
        <w:rPr>
          <w:rFonts w:ascii="Times New Roman" w:hAnsi="Times New Roman" w:cs="Times New Roman"/>
          <w:sz w:val="24"/>
          <w:szCs w:val="24"/>
        </w:rPr>
        <w:t xml:space="preserve"> </w:t>
      </w:r>
    </w:p>
    <w:p w14:paraId="78180000" w14:textId="2A7F82DE" w:rsidR="00C57F69" w:rsidRPr="00C57F69" w:rsidRDefault="00C57F69" w:rsidP="00ED1F77">
      <w:pPr>
        <w:spacing w:after="0" w:line="480" w:lineRule="auto"/>
        <w:ind w:firstLine="720"/>
        <w:jc w:val="both"/>
        <w:rPr>
          <w:rFonts w:asciiTheme="majorBidi" w:hAnsiTheme="majorBidi" w:cstheme="majorBidi"/>
          <w:sz w:val="24"/>
          <w:szCs w:val="24"/>
        </w:rPr>
      </w:pPr>
      <w:bookmarkStart w:id="25" w:name="_Hlk126048597"/>
      <w:r w:rsidRPr="00C57F69">
        <w:rPr>
          <w:rFonts w:ascii="Times New Roman" w:hAnsi="Times New Roman" w:cs="Times New Roman"/>
          <w:sz w:val="24"/>
          <w:szCs w:val="24"/>
        </w:rPr>
        <w:t>What is clear is that in the period under review, the fact that females held all the senior positions in both colleges sent a strong message that despite Irish society’s</w:t>
      </w:r>
      <w:r w:rsidRPr="00C57F69">
        <w:rPr>
          <w:rFonts w:ascii="Times New Roman" w:hAnsi="Times New Roman"/>
          <w:sz w:val="24"/>
          <w:szCs w:val="24"/>
        </w:rPr>
        <w:t xml:space="preserve"> repressive culture, the students could aspire to leadership positions in their future careers. </w:t>
      </w:r>
      <w:r w:rsidRPr="00C57F69">
        <w:rPr>
          <w:rFonts w:asciiTheme="majorBidi" w:hAnsiTheme="majorBidi" w:cstheme="majorBidi"/>
          <w:sz w:val="24"/>
          <w:szCs w:val="24"/>
        </w:rPr>
        <w:t xml:space="preserve">Graduates of both </w:t>
      </w:r>
      <w:proofErr w:type="spellStart"/>
      <w:r w:rsidRPr="00C57F69">
        <w:rPr>
          <w:rFonts w:asciiTheme="majorBidi" w:hAnsiTheme="majorBidi" w:cstheme="majorBidi"/>
          <w:sz w:val="24"/>
          <w:szCs w:val="24"/>
        </w:rPr>
        <w:t>Carysfort</w:t>
      </w:r>
      <w:proofErr w:type="spellEnd"/>
      <w:r w:rsidRPr="00C57F69">
        <w:rPr>
          <w:rFonts w:asciiTheme="majorBidi" w:hAnsiTheme="majorBidi" w:cstheme="majorBidi"/>
          <w:sz w:val="24"/>
          <w:szCs w:val="24"/>
        </w:rPr>
        <w:t xml:space="preserve"> College and Mary Immaculate College, despite their largely restrictive, even anti-intellectual, experience of higher education, went on to play a major role in Irish education and in wider society. Catherine Byrne became an Equality Opportunities Officer for the European Trade Union Confederation and subsequently Deputy General Secretary of the Irish National Teachers </w:t>
      </w:r>
      <w:proofErr w:type="spellStart"/>
      <w:r w:rsidRPr="00C57F69">
        <w:rPr>
          <w:rFonts w:asciiTheme="majorBidi" w:hAnsiTheme="majorBidi" w:cstheme="majorBidi"/>
          <w:sz w:val="24"/>
          <w:szCs w:val="24"/>
        </w:rPr>
        <w:t>Organisation</w:t>
      </w:r>
      <w:proofErr w:type="spellEnd"/>
      <w:r w:rsidRPr="00C57F69">
        <w:rPr>
          <w:rFonts w:asciiTheme="majorBidi" w:hAnsiTheme="majorBidi" w:cstheme="majorBidi"/>
          <w:sz w:val="24"/>
          <w:szCs w:val="24"/>
        </w:rPr>
        <w:t xml:space="preserve">;  Fiona Poole was appointed the first woman president of the Irish National Teachers’ </w:t>
      </w:r>
      <w:proofErr w:type="spellStart"/>
      <w:r w:rsidRPr="00C57F69">
        <w:rPr>
          <w:rFonts w:asciiTheme="majorBidi" w:hAnsiTheme="majorBidi" w:cstheme="majorBidi"/>
          <w:sz w:val="24"/>
          <w:szCs w:val="24"/>
        </w:rPr>
        <w:t>Organisation</w:t>
      </w:r>
      <w:proofErr w:type="spellEnd"/>
      <w:r w:rsidRPr="00C57F69">
        <w:rPr>
          <w:rFonts w:asciiTheme="majorBidi" w:hAnsiTheme="majorBidi" w:cstheme="majorBidi"/>
          <w:sz w:val="24"/>
          <w:szCs w:val="24"/>
        </w:rPr>
        <w:t xml:space="preserve">; Kathy Hall became Professor and Head of Education at University College Cork; Teresa O’ Doherty became President of Marino Institute of Education; Regina Uí </w:t>
      </w:r>
      <w:proofErr w:type="spellStart"/>
      <w:r w:rsidRPr="00C57F69">
        <w:rPr>
          <w:rFonts w:asciiTheme="majorBidi" w:hAnsiTheme="majorBidi" w:cstheme="majorBidi"/>
          <w:sz w:val="24"/>
          <w:szCs w:val="24"/>
        </w:rPr>
        <w:t>Chollatáin</w:t>
      </w:r>
      <w:proofErr w:type="spellEnd"/>
      <w:r w:rsidRPr="00C57F69">
        <w:rPr>
          <w:rFonts w:asciiTheme="majorBidi" w:hAnsiTheme="majorBidi" w:cstheme="majorBidi"/>
          <w:sz w:val="24"/>
          <w:szCs w:val="24"/>
        </w:rPr>
        <w:t xml:space="preserve"> was appointed chair of Modern Irish and Literature and subsequently Principal and Dean of the College of Arts and Humanities at University College Dublin; Deirdre Mathews became an assistant chief inspector in the state Department of Education and Skills; and Mary Mitchell O’ Connor became a member of parliament with responsibility for a range of portfolios including education.</w:t>
      </w:r>
      <w:r w:rsidRPr="00C57F69">
        <w:rPr>
          <w:rFonts w:asciiTheme="majorBidi" w:hAnsiTheme="majorBidi" w:cstheme="majorBidi"/>
          <w:sz w:val="24"/>
          <w:szCs w:val="24"/>
          <w:shd w:val="clear" w:color="auto" w:fill="FFFFFF"/>
        </w:rPr>
        <w:t xml:space="preserve"> Noted philanthropist Carmel Naughton and author Roisin Meaney are also graduates.</w:t>
      </w:r>
    </w:p>
    <w:bookmarkEnd w:id="25"/>
    <w:p w14:paraId="6EF85ED5" w14:textId="77777777" w:rsidR="00C57F69" w:rsidRPr="00C57F69" w:rsidRDefault="00C57F69" w:rsidP="00ED1F77">
      <w:pPr>
        <w:spacing w:after="0" w:line="240" w:lineRule="auto"/>
        <w:jc w:val="both"/>
        <w:rPr>
          <w:rFonts w:asciiTheme="majorBidi" w:hAnsiTheme="majorBidi" w:cstheme="majorBidi"/>
          <w:sz w:val="24"/>
          <w:szCs w:val="24"/>
        </w:rPr>
      </w:pPr>
    </w:p>
    <w:p w14:paraId="7BB449FA" w14:textId="15C62EA6" w:rsidR="00C57F69" w:rsidRPr="00C57F69" w:rsidRDefault="00C57F69" w:rsidP="00AC34B1">
      <w:pPr>
        <w:spacing w:after="0" w:line="480" w:lineRule="auto"/>
        <w:jc w:val="both"/>
        <w:rPr>
          <w:rFonts w:asciiTheme="majorBidi" w:hAnsiTheme="majorBidi" w:cstheme="majorBidi"/>
          <w:b/>
          <w:bCs/>
          <w:sz w:val="24"/>
          <w:szCs w:val="24"/>
        </w:rPr>
      </w:pPr>
      <w:r w:rsidRPr="00C57F69">
        <w:rPr>
          <w:rFonts w:asciiTheme="majorBidi" w:hAnsiTheme="majorBidi" w:cstheme="majorBidi"/>
          <w:b/>
          <w:bCs/>
          <w:sz w:val="24"/>
          <w:szCs w:val="24"/>
        </w:rPr>
        <w:t>Conclusion</w:t>
      </w:r>
    </w:p>
    <w:p w14:paraId="0E808722" w14:textId="1EA19FB8" w:rsidR="006E1778" w:rsidRPr="00C57F69" w:rsidRDefault="00C57F69" w:rsidP="00BD2021">
      <w:pPr>
        <w:spacing w:after="0" w:line="480" w:lineRule="auto"/>
        <w:jc w:val="both"/>
        <w:rPr>
          <w:rFonts w:asciiTheme="majorBidi" w:hAnsiTheme="majorBidi" w:cstheme="majorBidi"/>
          <w:sz w:val="24"/>
          <w:szCs w:val="24"/>
        </w:rPr>
      </w:pPr>
      <w:proofErr w:type="spellStart"/>
      <w:r w:rsidRPr="00C57F69">
        <w:rPr>
          <w:rFonts w:asciiTheme="majorBidi" w:hAnsiTheme="majorBidi" w:cstheme="majorBidi"/>
          <w:sz w:val="24"/>
          <w:szCs w:val="24"/>
        </w:rPr>
        <w:t>Tamboukou</w:t>
      </w:r>
      <w:proofErr w:type="spellEnd"/>
      <w:r w:rsidRPr="00C57F69">
        <w:rPr>
          <w:rFonts w:asciiTheme="majorBidi" w:hAnsiTheme="majorBidi" w:cstheme="majorBidi"/>
          <w:sz w:val="24"/>
          <w:szCs w:val="24"/>
        </w:rPr>
        <w:t xml:space="preserve"> notes that education creates ‘paradoxical spaces, where the female self has attempted to surpass closed boundaries and to question the dichotomy of the feminized private and/or the masculine public.’</w:t>
      </w:r>
      <w:r w:rsidRPr="00C57F69">
        <w:rPr>
          <w:rStyle w:val="EndnoteReference"/>
          <w:rFonts w:asciiTheme="majorBidi" w:hAnsiTheme="majorBidi" w:cstheme="majorBidi"/>
          <w:sz w:val="24"/>
          <w:szCs w:val="24"/>
        </w:rPr>
        <w:endnoteReference w:id="94"/>
      </w:r>
      <w:r w:rsidRPr="00C57F69">
        <w:rPr>
          <w:rFonts w:asciiTheme="majorBidi" w:hAnsiTheme="majorBidi" w:cstheme="majorBidi"/>
          <w:sz w:val="24"/>
          <w:szCs w:val="24"/>
        </w:rPr>
        <w:t xml:space="preserve"> This article has demonstrated the complex, often contested spaces in which women became teachers, spaces which were overtly gendered, regimental and often repressive, </w:t>
      </w:r>
      <w:r w:rsidRPr="00C57F69">
        <w:rPr>
          <w:rFonts w:asciiTheme="majorBidi" w:hAnsiTheme="majorBidi" w:cstheme="majorBidi"/>
          <w:sz w:val="24"/>
          <w:szCs w:val="24"/>
        </w:rPr>
        <w:lastRenderedPageBreak/>
        <w:t>yet which provided a platform from which women could gain agency and affect broader social and economic reform. Mirroring international trends, the analysis of the tapestry of sources examined in this article supports the way in which the teaching role evolved over the course of the twentieth century mirroring and sometimes triggering wider social, political and economic reform for women.</w:t>
      </w:r>
      <w:r w:rsidRPr="00C57F69">
        <w:rPr>
          <w:rStyle w:val="EndnoteReference"/>
          <w:rFonts w:asciiTheme="majorBidi" w:hAnsiTheme="majorBidi" w:cstheme="majorBidi"/>
          <w:sz w:val="24"/>
          <w:szCs w:val="24"/>
        </w:rPr>
        <w:endnoteReference w:id="95"/>
      </w:r>
      <w:r w:rsidRPr="00C57F69">
        <w:rPr>
          <w:rFonts w:asciiTheme="majorBidi" w:hAnsiTheme="majorBidi" w:cstheme="majorBidi"/>
          <w:sz w:val="24"/>
          <w:szCs w:val="24"/>
        </w:rPr>
        <w:t xml:space="preserve"> </w:t>
      </w:r>
    </w:p>
    <w:sectPr w:rsidR="006E1778" w:rsidRPr="00C57F69">
      <w:footerReference w:type="default" r:id="rId8"/>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2DCDE3" w14:textId="77777777" w:rsidR="001F0DCF" w:rsidRDefault="001F0DCF" w:rsidP="00EC56F4">
      <w:pPr>
        <w:spacing w:after="0" w:line="240" w:lineRule="auto"/>
      </w:pPr>
      <w:r>
        <w:separator/>
      </w:r>
    </w:p>
  </w:endnote>
  <w:endnote w:type="continuationSeparator" w:id="0">
    <w:p w14:paraId="37FD2A84" w14:textId="77777777" w:rsidR="001F0DCF" w:rsidRDefault="001F0DCF" w:rsidP="00EC56F4">
      <w:pPr>
        <w:spacing w:after="0" w:line="240" w:lineRule="auto"/>
      </w:pPr>
      <w:r>
        <w:continuationSeparator/>
      </w:r>
    </w:p>
  </w:endnote>
  <w:endnote w:id="1">
    <w:p w14:paraId="4DF632C2" w14:textId="4EC37BF8"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Alison Prentice and Marjorie Theobald, </w:t>
      </w:r>
      <w:r w:rsidRPr="00C57F69">
        <w:rPr>
          <w:rFonts w:asciiTheme="majorBidi" w:hAnsiTheme="majorBidi" w:cstheme="majorBidi"/>
          <w:i/>
          <w:iCs/>
        </w:rPr>
        <w:t>Women who Taught: Perspectives on the History of Women and Teaching</w:t>
      </w:r>
      <w:r w:rsidRPr="00C57F69">
        <w:rPr>
          <w:rFonts w:asciiTheme="majorBidi" w:hAnsiTheme="majorBidi" w:cstheme="majorBidi"/>
        </w:rPr>
        <w:t xml:space="preserve"> (Toronto: University of Toronto Press, 1991); Alison Oram, </w:t>
      </w:r>
      <w:r w:rsidRPr="00C57F69">
        <w:rPr>
          <w:rFonts w:asciiTheme="majorBidi" w:hAnsiTheme="majorBidi" w:cstheme="majorBidi"/>
          <w:i/>
          <w:iCs/>
        </w:rPr>
        <w:t>Women Teachers and Feminist Politics, 1900-1939</w:t>
      </w:r>
      <w:r w:rsidRPr="00C57F69">
        <w:rPr>
          <w:rFonts w:asciiTheme="majorBidi" w:hAnsiTheme="majorBidi" w:cstheme="majorBidi"/>
        </w:rPr>
        <w:t xml:space="preserve"> (Manchester and New York: Manchester University Press, 1996); Judith Harford, </w:t>
      </w:r>
      <w:r w:rsidRPr="00C57F69">
        <w:rPr>
          <w:rFonts w:asciiTheme="majorBidi" w:hAnsiTheme="majorBidi" w:cstheme="majorBidi"/>
          <w:i/>
          <w:iCs/>
        </w:rPr>
        <w:t>The Opening of University Education to Women in Ireland</w:t>
      </w:r>
      <w:r w:rsidRPr="00C57F69">
        <w:rPr>
          <w:rFonts w:asciiTheme="majorBidi" w:hAnsiTheme="majorBidi" w:cstheme="majorBidi"/>
        </w:rPr>
        <w:t xml:space="preserve"> (Dublin: Irish Academic Press, 2008); Janina Trotman, </w:t>
      </w:r>
      <w:r w:rsidRPr="00C57F69">
        <w:rPr>
          <w:rFonts w:asciiTheme="majorBidi" w:hAnsiTheme="majorBidi" w:cstheme="majorBidi"/>
          <w:i/>
          <w:iCs/>
        </w:rPr>
        <w:t>Girls Becoming Teachers: An Historical Analysis of Western Australian Women Teachers, 1911-1940</w:t>
      </w:r>
      <w:r w:rsidRPr="00C57F69">
        <w:rPr>
          <w:rFonts w:asciiTheme="majorBidi" w:hAnsiTheme="majorBidi" w:cstheme="majorBidi"/>
        </w:rPr>
        <w:t xml:space="preserve"> (Amherst, New York: Cambria Press, 2008).</w:t>
      </w:r>
    </w:p>
  </w:endnote>
  <w:endnote w:id="2">
    <w:p w14:paraId="46130EBE" w14:textId="008637EA"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Maria </w:t>
      </w:r>
      <w:r w:rsidRPr="00C57F69">
        <w:rPr>
          <w:rStyle w:val="hlfld-contribauthor"/>
          <w:rFonts w:asciiTheme="majorBidi" w:hAnsiTheme="majorBidi" w:cstheme="majorBidi"/>
        </w:rPr>
        <w:t>Tamboukou, </w:t>
      </w:r>
      <w:r w:rsidRPr="00C57F69">
        <w:rPr>
          <w:rFonts w:asciiTheme="majorBidi" w:hAnsiTheme="majorBidi" w:cstheme="majorBidi"/>
        </w:rPr>
        <w:t>‘</w:t>
      </w:r>
      <w:r w:rsidRPr="00C57F69">
        <w:rPr>
          <w:rStyle w:val="nlmarticle-title"/>
          <w:rFonts w:asciiTheme="majorBidi" w:hAnsiTheme="majorBidi" w:cstheme="majorBidi"/>
        </w:rPr>
        <w:t>The Paradox of Being a Woman Teacher</w:t>
      </w:r>
      <w:r w:rsidRPr="00C57F69">
        <w:rPr>
          <w:rFonts w:asciiTheme="majorBidi" w:hAnsiTheme="majorBidi" w:cstheme="majorBidi"/>
        </w:rPr>
        <w:t>,’ </w:t>
      </w:r>
      <w:r w:rsidRPr="00C57F69">
        <w:rPr>
          <w:rFonts w:asciiTheme="majorBidi" w:hAnsiTheme="majorBidi" w:cstheme="majorBidi"/>
          <w:i/>
          <w:iCs/>
        </w:rPr>
        <w:t>Gender and Education</w:t>
      </w:r>
      <w:r w:rsidRPr="00C57F69">
        <w:rPr>
          <w:rFonts w:asciiTheme="majorBidi" w:hAnsiTheme="majorBidi" w:cstheme="majorBidi"/>
        </w:rPr>
        <w:t> 12, no. 4 (2000) : </w:t>
      </w:r>
      <w:r w:rsidRPr="00C57F69">
        <w:rPr>
          <w:rStyle w:val="nlmfpage"/>
          <w:rFonts w:asciiTheme="majorBidi" w:hAnsiTheme="majorBidi" w:cstheme="majorBidi"/>
        </w:rPr>
        <w:t>463</w:t>
      </w:r>
      <w:r w:rsidRPr="00C57F69">
        <w:rPr>
          <w:rFonts w:asciiTheme="majorBidi" w:hAnsiTheme="majorBidi" w:cstheme="majorBidi"/>
        </w:rPr>
        <w:t>–</w:t>
      </w:r>
      <w:r w:rsidRPr="00C57F69">
        <w:rPr>
          <w:rStyle w:val="nlmlpage"/>
          <w:rFonts w:asciiTheme="majorBidi" w:hAnsiTheme="majorBidi" w:cstheme="majorBidi"/>
        </w:rPr>
        <w:t>478</w:t>
      </w:r>
      <w:r w:rsidRPr="00C57F69">
        <w:rPr>
          <w:rFonts w:asciiTheme="majorBidi" w:hAnsiTheme="majorBidi" w:cstheme="majorBidi"/>
        </w:rPr>
        <w:t>.</w:t>
      </w:r>
    </w:p>
  </w:endnote>
  <w:endnote w:id="3">
    <w:p w14:paraId="76AC8386" w14:textId="1F22770D"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Jackie </w:t>
      </w:r>
      <w:r w:rsidRPr="00C57F69">
        <w:rPr>
          <w:rStyle w:val="hlfld-contribauthor"/>
          <w:rFonts w:asciiTheme="majorBidi" w:hAnsiTheme="majorBidi" w:cstheme="majorBidi"/>
        </w:rPr>
        <w:t>Blount,</w:t>
      </w:r>
      <w:r w:rsidRPr="00C57F69">
        <w:rPr>
          <w:rFonts w:asciiTheme="majorBidi" w:hAnsiTheme="majorBidi" w:cstheme="majorBidi"/>
        </w:rPr>
        <w:t xml:space="preserve"> ‘</w:t>
      </w:r>
      <w:r w:rsidRPr="00C57F69">
        <w:rPr>
          <w:rStyle w:val="nlmarticle-title"/>
          <w:rFonts w:asciiTheme="majorBidi" w:hAnsiTheme="majorBidi" w:cstheme="majorBidi"/>
        </w:rPr>
        <w:t>Spinsters, Bachelors, and Other Gender Transgressors in School Employment, 1850–1990</w:t>
      </w:r>
      <w:r w:rsidRPr="00C57F69">
        <w:rPr>
          <w:rFonts w:asciiTheme="majorBidi" w:hAnsiTheme="majorBidi" w:cstheme="majorBidi"/>
        </w:rPr>
        <w:t>,’ </w:t>
      </w:r>
      <w:r w:rsidRPr="00C57F69">
        <w:rPr>
          <w:rFonts w:asciiTheme="majorBidi" w:hAnsiTheme="majorBidi" w:cstheme="majorBidi"/>
          <w:i/>
          <w:iCs/>
        </w:rPr>
        <w:t>Review of Educational Research,</w:t>
      </w:r>
      <w:r w:rsidRPr="00C57F69">
        <w:rPr>
          <w:rFonts w:asciiTheme="majorBidi" w:hAnsiTheme="majorBidi" w:cstheme="majorBidi"/>
        </w:rPr>
        <w:t> 70, no. 1 (2000): </w:t>
      </w:r>
      <w:r w:rsidRPr="00C57F69">
        <w:rPr>
          <w:rStyle w:val="nlmfpage"/>
          <w:rFonts w:asciiTheme="majorBidi" w:hAnsiTheme="majorBidi" w:cstheme="majorBidi"/>
        </w:rPr>
        <w:t>83</w:t>
      </w:r>
      <w:r w:rsidRPr="00C57F69">
        <w:rPr>
          <w:rFonts w:asciiTheme="majorBidi" w:hAnsiTheme="majorBidi" w:cstheme="majorBidi"/>
        </w:rPr>
        <w:t>–</w:t>
      </w:r>
      <w:r w:rsidRPr="00C57F69">
        <w:rPr>
          <w:rStyle w:val="nlmlpage"/>
          <w:rFonts w:asciiTheme="majorBidi" w:hAnsiTheme="majorBidi" w:cstheme="majorBidi"/>
        </w:rPr>
        <w:t>101;</w:t>
      </w:r>
      <w:r w:rsidRPr="00C57F69">
        <w:rPr>
          <w:rFonts w:asciiTheme="majorBidi" w:hAnsiTheme="majorBidi" w:cstheme="majorBidi"/>
        </w:rPr>
        <w:t xml:space="preserve"> Kay </w:t>
      </w:r>
      <w:r w:rsidRPr="00C57F69">
        <w:rPr>
          <w:rStyle w:val="hlfld-contribauthor"/>
          <w:rFonts w:asciiTheme="majorBidi" w:hAnsiTheme="majorBidi" w:cstheme="majorBidi"/>
        </w:rPr>
        <w:t>Whitehead, </w:t>
      </w:r>
      <w:r w:rsidRPr="00C57F69">
        <w:rPr>
          <w:rFonts w:asciiTheme="majorBidi" w:hAnsiTheme="majorBidi" w:cstheme="majorBidi"/>
        </w:rPr>
        <w:t>‘</w:t>
      </w:r>
      <w:r w:rsidRPr="00C57F69">
        <w:rPr>
          <w:rStyle w:val="nlmarticle-title"/>
          <w:rFonts w:asciiTheme="majorBidi" w:hAnsiTheme="majorBidi" w:cstheme="majorBidi"/>
        </w:rPr>
        <w:t>Postwar Headteachers’ Perspectives of ‘Good’ Teachers</w:t>
      </w:r>
      <w:r w:rsidRPr="00C57F69">
        <w:rPr>
          <w:rFonts w:asciiTheme="majorBidi" w:hAnsiTheme="majorBidi" w:cstheme="majorBidi"/>
        </w:rPr>
        <w:t>,’ </w:t>
      </w:r>
      <w:r w:rsidRPr="00C57F69">
        <w:rPr>
          <w:rFonts w:asciiTheme="majorBidi" w:hAnsiTheme="majorBidi" w:cstheme="majorBidi"/>
          <w:i/>
          <w:iCs/>
        </w:rPr>
        <w:t>Journal of Educational Administration and History</w:t>
      </w:r>
      <w:r w:rsidRPr="00C57F69">
        <w:rPr>
          <w:rFonts w:asciiTheme="majorBidi" w:hAnsiTheme="majorBidi" w:cstheme="majorBidi"/>
        </w:rPr>
        <w:t> 35, no. 1 (2003): </w:t>
      </w:r>
      <w:r w:rsidRPr="00C57F69">
        <w:rPr>
          <w:rStyle w:val="nlmfpage"/>
          <w:rFonts w:asciiTheme="majorBidi" w:hAnsiTheme="majorBidi" w:cstheme="majorBidi"/>
        </w:rPr>
        <w:t>23</w:t>
      </w:r>
      <w:r w:rsidRPr="00C57F69">
        <w:rPr>
          <w:rFonts w:asciiTheme="majorBidi" w:hAnsiTheme="majorBidi" w:cstheme="majorBidi"/>
        </w:rPr>
        <w:t>–</w:t>
      </w:r>
      <w:r w:rsidRPr="00C57F69">
        <w:rPr>
          <w:rStyle w:val="nlmlpage"/>
          <w:rFonts w:asciiTheme="majorBidi" w:hAnsiTheme="majorBidi" w:cstheme="majorBidi"/>
        </w:rPr>
        <w:t>35</w:t>
      </w:r>
      <w:r w:rsidRPr="00C57F69">
        <w:rPr>
          <w:rFonts w:asciiTheme="majorBidi" w:hAnsiTheme="majorBidi" w:cstheme="majorBidi"/>
        </w:rPr>
        <w:t xml:space="preserve">; Jennifer </w:t>
      </w:r>
      <w:r w:rsidRPr="00C57F69">
        <w:rPr>
          <w:rFonts w:asciiTheme="majorBidi" w:eastAsia="Times New Roman" w:hAnsiTheme="majorBidi" w:cstheme="majorBidi"/>
          <w:lang w:val="en-IE" w:eastAsia="en-IE"/>
        </w:rPr>
        <w:t xml:space="preserve">Redmond and Judith Harford, 'One Man One Job: The Marriage Ban and the Employment of Women Teachers in Irish Primary Schools,’ </w:t>
      </w:r>
      <w:r w:rsidRPr="00C57F69">
        <w:rPr>
          <w:rFonts w:asciiTheme="majorBidi" w:eastAsia="Times New Roman" w:hAnsiTheme="majorBidi" w:cstheme="majorBidi"/>
          <w:i/>
          <w:iCs/>
          <w:lang w:val="en-IE" w:eastAsia="en-IE"/>
        </w:rPr>
        <w:t>Paedagogica Historica</w:t>
      </w:r>
      <w:r w:rsidRPr="00C57F69">
        <w:rPr>
          <w:rFonts w:asciiTheme="majorBidi" w:eastAsia="Times New Roman" w:hAnsiTheme="majorBidi" w:cstheme="majorBidi"/>
          <w:lang w:val="en-IE" w:eastAsia="en-IE"/>
        </w:rPr>
        <w:t>, 46, no. 5 (2010): 639</w:t>
      </w:r>
      <w:r w:rsidRPr="00C57F69">
        <w:rPr>
          <w:rFonts w:asciiTheme="majorBidi" w:eastAsia="Times New Roman" w:hAnsiTheme="majorBidi" w:cstheme="majorBidi"/>
        </w:rPr>
        <w:t>–</w:t>
      </w:r>
      <w:r w:rsidRPr="00C57F69">
        <w:rPr>
          <w:rFonts w:asciiTheme="majorBidi" w:eastAsia="Times New Roman" w:hAnsiTheme="majorBidi" w:cstheme="majorBidi"/>
          <w:lang w:val="en-IE" w:eastAsia="en-IE"/>
        </w:rPr>
        <w:t xml:space="preserve">654; </w:t>
      </w:r>
      <w:r w:rsidRPr="00C57F69">
        <w:rPr>
          <w:rFonts w:asciiTheme="majorBidi" w:hAnsiTheme="majorBidi" w:cstheme="majorBidi"/>
        </w:rPr>
        <w:t xml:space="preserve">Judith </w:t>
      </w:r>
      <w:r w:rsidRPr="00C57F69">
        <w:rPr>
          <w:rFonts w:asciiTheme="majorBidi" w:eastAsia="Times New Roman" w:hAnsiTheme="majorBidi" w:cstheme="majorBidi"/>
          <w:bCs/>
        </w:rPr>
        <w:t xml:space="preserve">Harford and Jennifer Redmond, </w:t>
      </w:r>
      <w:r w:rsidRPr="00C57F69">
        <w:rPr>
          <w:rFonts w:asciiTheme="majorBidi" w:eastAsia="Times New Roman" w:hAnsiTheme="majorBidi" w:cstheme="majorBidi"/>
          <w:bCs/>
          <w:kern w:val="32"/>
          <w:lang w:val="en-IE"/>
        </w:rPr>
        <w:t xml:space="preserve">‘I am amazed at how easily we accepted it’: The Marriage Ban, Teaching and Ideologies of Womanhood in Post-Independence Ireland,’ </w:t>
      </w:r>
      <w:r w:rsidRPr="00C57F69">
        <w:rPr>
          <w:rFonts w:asciiTheme="majorBidi" w:eastAsia="Times New Roman" w:hAnsiTheme="majorBidi" w:cstheme="majorBidi"/>
          <w:bCs/>
          <w:i/>
          <w:iCs/>
          <w:kern w:val="32"/>
          <w:lang w:val="en-IE"/>
        </w:rPr>
        <w:t>Gender and Education</w:t>
      </w:r>
      <w:r w:rsidRPr="00C57F69">
        <w:rPr>
          <w:rFonts w:asciiTheme="majorBidi" w:eastAsia="Times New Roman" w:hAnsiTheme="majorBidi" w:cstheme="majorBidi"/>
          <w:bCs/>
          <w:kern w:val="32"/>
          <w:lang w:val="en-IE"/>
        </w:rPr>
        <w:t>,</w:t>
      </w:r>
      <w:r w:rsidRPr="00C57F69">
        <w:rPr>
          <w:rFonts w:asciiTheme="majorBidi" w:eastAsia="Times New Roman" w:hAnsiTheme="majorBidi" w:cstheme="majorBidi"/>
          <w:lang w:val="en-IE" w:eastAsia="en-IE"/>
        </w:rPr>
        <w:t xml:space="preserve"> </w:t>
      </w:r>
      <w:r w:rsidRPr="00C57F69">
        <w:rPr>
          <w:rFonts w:asciiTheme="majorBidi" w:hAnsiTheme="majorBidi" w:cstheme="majorBidi"/>
        </w:rPr>
        <w:t>33, no. 2 (2021): 186-201</w:t>
      </w:r>
      <w:r w:rsidRPr="00C57F69">
        <w:rPr>
          <w:rFonts w:asciiTheme="majorBidi" w:eastAsia="Times New Roman" w:hAnsiTheme="majorBidi" w:cstheme="majorBidi"/>
          <w:lang w:val="en-IE" w:eastAsia="en-IE"/>
        </w:rPr>
        <w:t xml:space="preserve">. See also </w:t>
      </w:r>
      <w:r w:rsidRPr="00C57F69">
        <w:rPr>
          <w:rFonts w:asciiTheme="majorBidi" w:hAnsiTheme="majorBidi" w:cstheme="majorBidi"/>
        </w:rPr>
        <w:t xml:space="preserve">See also Úna Ní Bhroiméil (2006) ‘‘Sending Gossoons to be Made Oul’ Mollies Of’: Rule 127(b) and the Feminisation of Teaching in Ireland,’ </w:t>
      </w:r>
      <w:r w:rsidRPr="00C57F69">
        <w:rPr>
          <w:rFonts w:asciiTheme="majorBidi" w:hAnsiTheme="majorBidi" w:cstheme="majorBidi"/>
          <w:i/>
          <w:iCs/>
        </w:rPr>
        <w:t>Irish Educational Studies</w:t>
      </w:r>
      <w:r w:rsidRPr="00C57F69">
        <w:rPr>
          <w:rFonts w:asciiTheme="majorBidi" w:hAnsiTheme="majorBidi" w:cstheme="majorBidi"/>
        </w:rPr>
        <w:t>, 25, no. 1: 35-51.</w:t>
      </w:r>
    </w:p>
  </w:endnote>
  <w:endnote w:id="4">
    <w:p w14:paraId="62C5628C" w14:textId="204AEB50" w:rsidR="00C57F69" w:rsidRPr="00C57F69" w:rsidRDefault="00C57F69" w:rsidP="00C57F69">
      <w:pPr>
        <w:pStyle w:val="EndnoteText"/>
        <w:jc w:val="both"/>
        <w:rPr>
          <w:rFonts w:asciiTheme="majorBidi" w:hAnsiTheme="majorBidi" w:cstheme="majorBidi"/>
          <w:i/>
          <w:iCs/>
        </w:rPr>
      </w:pPr>
      <w:r w:rsidRPr="00C57F69">
        <w:rPr>
          <w:rStyle w:val="EndnoteReference"/>
          <w:rFonts w:asciiTheme="majorBidi" w:hAnsiTheme="majorBidi" w:cstheme="majorBidi"/>
        </w:rPr>
        <w:endnoteRef/>
      </w:r>
      <w:r w:rsidRPr="00C57F69">
        <w:rPr>
          <w:rFonts w:asciiTheme="majorBidi" w:hAnsiTheme="majorBidi" w:cstheme="majorBidi"/>
        </w:rPr>
        <w:t xml:space="preserve"> Judith </w:t>
      </w:r>
      <w:r w:rsidRPr="00C57F69">
        <w:rPr>
          <w:rFonts w:asciiTheme="majorBidi" w:eastAsia="Times New Roman" w:hAnsiTheme="majorBidi" w:cstheme="majorBidi"/>
          <w:bCs/>
        </w:rPr>
        <w:t xml:space="preserve">Harford, ‘The Gendering of Diaspora: Irish American Women Teachers and Political Activism,’ </w:t>
      </w:r>
      <w:r w:rsidRPr="00C57F69">
        <w:rPr>
          <w:rFonts w:asciiTheme="majorBidi" w:eastAsia="Times New Roman" w:hAnsiTheme="majorBidi" w:cstheme="majorBidi"/>
          <w:bCs/>
          <w:i/>
          <w:iCs/>
        </w:rPr>
        <w:t>Gender and Education</w:t>
      </w:r>
      <w:r w:rsidRPr="00C57F69">
        <w:rPr>
          <w:rFonts w:asciiTheme="majorBidi" w:eastAsia="Times New Roman" w:hAnsiTheme="majorBidi" w:cstheme="majorBidi"/>
          <w:bCs/>
        </w:rPr>
        <w:t>, 32, no. 1,</w:t>
      </w:r>
      <w:r w:rsidRPr="00C57F69">
        <w:rPr>
          <w:rFonts w:asciiTheme="majorBidi" w:hAnsiTheme="majorBidi" w:cstheme="majorBidi"/>
        </w:rPr>
        <w:t xml:space="preserve"> (2022); 112-128; Jane Martin, </w:t>
      </w:r>
      <w:r w:rsidRPr="00C57F69">
        <w:rPr>
          <w:rFonts w:asciiTheme="majorBidi" w:hAnsiTheme="majorBidi" w:cstheme="majorBidi"/>
          <w:i/>
          <w:iCs/>
        </w:rPr>
        <w:t>Gender and Education in England since 1770: A Social and Cultural History</w:t>
      </w:r>
      <w:r w:rsidRPr="00C57F69">
        <w:rPr>
          <w:rFonts w:asciiTheme="majorBidi" w:hAnsiTheme="majorBidi" w:cstheme="majorBidi"/>
        </w:rPr>
        <w:t xml:space="preserve"> (Cham: Palgrave Macmillan, 2022).</w:t>
      </w:r>
    </w:p>
  </w:endnote>
  <w:endnote w:id="5">
    <w:p w14:paraId="11DB6CD4" w14:textId="7F2EE904"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w:t>
      </w:r>
      <w:bookmarkStart w:id="1" w:name="_Hlk125978305"/>
      <w:bookmarkStart w:id="2" w:name="_Hlk125455696"/>
      <w:r w:rsidRPr="00C57F69">
        <w:rPr>
          <w:rFonts w:asciiTheme="majorBidi" w:hAnsiTheme="majorBidi" w:cstheme="majorBidi"/>
        </w:rPr>
        <w:t xml:space="preserve">The oral testimony of the women teachers is drawn from four sources. The first is a study of 14 women on the marriage ban and teaching in Ireland published as Judith </w:t>
      </w:r>
      <w:r w:rsidRPr="00C57F69">
        <w:rPr>
          <w:rFonts w:asciiTheme="majorBidi" w:eastAsia="Times New Roman" w:hAnsiTheme="majorBidi" w:cstheme="majorBidi"/>
        </w:rPr>
        <w:t xml:space="preserve">Harford and Jennifer Redmond, </w:t>
      </w:r>
      <w:r w:rsidRPr="00C57F69">
        <w:rPr>
          <w:rFonts w:asciiTheme="majorBidi" w:eastAsia="Times New Roman" w:hAnsiTheme="majorBidi" w:cstheme="majorBidi"/>
          <w:kern w:val="32"/>
          <w:lang w:val="en-IE"/>
        </w:rPr>
        <w:t xml:space="preserve">‘I am amazed at how easily we accepted it’: The Marriage Ban, Teaching and Ideologies of Womanhood in Post-Independence Ireland, </w:t>
      </w:r>
      <w:r w:rsidRPr="00C57F69">
        <w:rPr>
          <w:rFonts w:asciiTheme="majorBidi" w:eastAsia="Times New Roman" w:hAnsiTheme="majorBidi" w:cstheme="majorBidi"/>
          <w:i/>
          <w:iCs/>
          <w:kern w:val="32"/>
          <w:lang w:val="en-IE"/>
        </w:rPr>
        <w:t>Gender and Education</w:t>
      </w:r>
      <w:r w:rsidRPr="00C57F69">
        <w:rPr>
          <w:rFonts w:asciiTheme="majorBidi" w:eastAsia="Times New Roman" w:hAnsiTheme="majorBidi" w:cstheme="majorBidi"/>
          <w:kern w:val="32"/>
          <w:lang w:val="en-IE"/>
        </w:rPr>
        <w:t xml:space="preserve">, </w:t>
      </w:r>
      <w:r w:rsidRPr="00C57F69">
        <w:rPr>
          <w:rFonts w:asciiTheme="majorBidi" w:eastAsia="Times New Roman" w:hAnsiTheme="majorBidi" w:cstheme="majorBidi"/>
          <w:lang w:val="en-IE"/>
        </w:rPr>
        <w:t>33, issue 2 (2021): 186-201.</w:t>
      </w:r>
      <w:r w:rsidRPr="00C57F69">
        <w:rPr>
          <w:rFonts w:asciiTheme="majorBidi" w:hAnsiTheme="majorBidi" w:cstheme="majorBidi"/>
          <w:lang w:val="en-IE"/>
        </w:rPr>
        <w:t xml:space="preserve"> </w:t>
      </w:r>
      <w:r w:rsidRPr="00C57F69">
        <w:rPr>
          <w:rFonts w:asciiTheme="majorBidi" w:hAnsiTheme="majorBidi" w:cstheme="majorBidi"/>
        </w:rPr>
        <w:t>Participants were aged between 74 and 84 at the time of interview and drawn from ten counties from the island of Ireland</w:t>
      </w:r>
      <w:bookmarkEnd w:id="1"/>
      <w:r w:rsidRPr="00C57F69">
        <w:rPr>
          <w:rFonts w:asciiTheme="majorBidi" w:hAnsiTheme="majorBidi" w:cstheme="majorBidi"/>
        </w:rPr>
        <w:t xml:space="preserve">. The second source is </w:t>
      </w:r>
      <w:r w:rsidRPr="00C57F69">
        <w:rPr>
          <w:rFonts w:asciiTheme="majorBidi" w:hAnsiTheme="majorBidi" w:cstheme="majorBidi"/>
          <w:i/>
          <w:iCs/>
        </w:rPr>
        <w:t>Carysfort College Remembered</w:t>
      </w:r>
      <w:r w:rsidRPr="00C57F69">
        <w:rPr>
          <w:rFonts w:asciiTheme="majorBidi" w:hAnsiTheme="majorBidi" w:cstheme="majorBidi"/>
        </w:rPr>
        <w:t xml:space="preserve">, edited by Séamus MacGabhann, (Dublin: Carysfort College Commemoration Committee, 2018) which is a collection of essays penned by graduates and staff on their experience of the college. The recollections of four women who provide essays in this collection are drawn on for this article. The third source is a typescript memoir of Catherine Daly, a student at Mary Immaculate College in the period 1919-1921 published in Brian Hughes, Úna Ní Bhroiméil and Benjamin Ragan, </w:t>
      </w:r>
      <w:r w:rsidRPr="00C57F69">
        <w:rPr>
          <w:rFonts w:asciiTheme="majorBidi" w:hAnsiTheme="majorBidi" w:cstheme="majorBidi"/>
          <w:i/>
          <w:iCs/>
        </w:rPr>
        <w:t>Mary Immaculate College (eds.) Studying Revolution: Accounts of Mary Immaculate College,</w:t>
      </w:r>
      <w:r w:rsidRPr="00C57F69">
        <w:rPr>
          <w:i/>
          <w:iCs/>
        </w:rPr>
        <w:t xml:space="preserve"> </w:t>
      </w:r>
      <w:r w:rsidRPr="00C57F69">
        <w:rPr>
          <w:rFonts w:asciiTheme="majorBidi" w:hAnsiTheme="majorBidi" w:cstheme="majorBidi"/>
          <w:i/>
          <w:iCs/>
        </w:rPr>
        <w:t xml:space="preserve">1918–1923 </w:t>
      </w:r>
      <w:r w:rsidRPr="00C57F69">
        <w:rPr>
          <w:rFonts w:asciiTheme="majorBidi" w:hAnsiTheme="majorBidi" w:cstheme="majorBidi"/>
        </w:rPr>
        <w:t xml:space="preserve">(Limerick: Limerick City and County Council, 2022). The final source is the testimony of the second author of this article, who was </w:t>
      </w:r>
      <w:r w:rsidRPr="00C57F69">
        <w:rPr>
          <w:rFonts w:ascii="Times New Roman" w:hAnsi="Times New Roman" w:cs="Times New Roman"/>
        </w:rPr>
        <w:t>a student at Carysfort College in 1959 and Admissions Officer and senior lecturer in  the College from 1980 to 1987.</w:t>
      </w:r>
    </w:p>
    <w:bookmarkEnd w:id="2"/>
  </w:endnote>
  <w:endnote w:id="6">
    <w:p w14:paraId="42EEC943" w14:textId="645D4F39"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John Coolahan, ‘The  Republic  of  Ireland,’ </w:t>
      </w:r>
      <w:r w:rsidRPr="00C57F69">
        <w:rPr>
          <w:rFonts w:asciiTheme="majorBidi" w:hAnsiTheme="majorBidi" w:cstheme="majorBidi"/>
          <w:i/>
          <w:iCs/>
        </w:rPr>
        <w:t>European  Journal  of  Teacher  Education</w:t>
      </w:r>
      <w:r w:rsidRPr="00C57F69">
        <w:rPr>
          <w:rFonts w:asciiTheme="majorBidi" w:hAnsiTheme="majorBidi" w:cstheme="majorBidi"/>
        </w:rPr>
        <w:t>, 14, no. 3 (1991): 287.</w:t>
      </w:r>
    </w:p>
  </w:endnote>
  <w:endnote w:id="7">
    <w:p w14:paraId="64312E0F" w14:textId="57CC70A2" w:rsidR="00C57F69" w:rsidRPr="00C57F69" w:rsidRDefault="00C57F69" w:rsidP="00C57F69">
      <w:pPr>
        <w:pStyle w:val="EndnoteText"/>
        <w:jc w:val="both"/>
      </w:pPr>
      <w:r w:rsidRPr="00C57F69">
        <w:rPr>
          <w:rStyle w:val="EndnoteReference"/>
          <w:rFonts w:asciiTheme="majorBidi" w:hAnsiTheme="majorBidi" w:cstheme="majorBidi"/>
        </w:rPr>
        <w:endnoteRef/>
      </w:r>
      <w:r w:rsidRPr="00C57F69">
        <w:rPr>
          <w:rFonts w:asciiTheme="majorBidi" w:hAnsiTheme="majorBidi" w:cstheme="majorBidi"/>
        </w:rPr>
        <w:t xml:space="preserve"> Judith Harford, Teacher Education Policy in Ireland and the Challenges of the Twenty-First century,’ </w:t>
      </w:r>
      <w:r w:rsidRPr="00C57F69">
        <w:rPr>
          <w:rFonts w:asciiTheme="majorBidi" w:hAnsiTheme="majorBidi" w:cstheme="majorBidi"/>
          <w:i/>
          <w:iCs/>
        </w:rPr>
        <w:t>European Journal of Teacher Education</w:t>
      </w:r>
      <w:r w:rsidRPr="00C57F69">
        <w:rPr>
          <w:rFonts w:asciiTheme="majorBidi" w:hAnsiTheme="majorBidi" w:cstheme="majorBidi"/>
        </w:rPr>
        <w:t>, 33, no. 4 (2010): 349–360.</w:t>
      </w:r>
    </w:p>
  </w:endnote>
  <w:endnote w:id="8">
    <w:p w14:paraId="55855F8B" w14:textId="0BEA740F" w:rsidR="00C57F69" w:rsidRPr="00C57F69" w:rsidRDefault="00C57F69" w:rsidP="00C57F69">
      <w:pPr>
        <w:shd w:val="clear" w:color="auto" w:fill="FFFFFF"/>
        <w:spacing w:after="0" w:line="240" w:lineRule="auto"/>
        <w:jc w:val="both"/>
        <w:rPr>
          <w:rFonts w:asciiTheme="majorBidi" w:eastAsia="Times New Roman" w:hAnsiTheme="majorBidi" w:cstheme="majorBidi"/>
          <w:sz w:val="20"/>
          <w:szCs w:val="20"/>
          <w:lang w:val="en-IE" w:eastAsia="en-GB"/>
        </w:rPr>
      </w:pPr>
      <w:r w:rsidRPr="00C57F69">
        <w:rPr>
          <w:rStyle w:val="EndnoteReference"/>
          <w:rFonts w:asciiTheme="majorBidi" w:hAnsiTheme="majorBidi" w:cstheme="majorBidi"/>
          <w:sz w:val="20"/>
          <w:szCs w:val="20"/>
        </w:rPr>
        <w:endnoteRef/>
      </w:r>
      <w:r w:rsidRPr="00C57F69">
        <w:rPr>
          <w:rFonts w:asciiTheme="majorBidi" w:hAnsiTheme="majorBidi" w:cstheme="majorBidi"/>
          <w:sz w:val="20"/>
          <w:szCs w:val="20"/>
        </w:rPr>
        <w:t xml:space="preserve"> Tom </w:t>
      </w:r>
      <w:r w:rsidRPr="00C57F69">
        <w:rPr>
          <w:rFonts w:asciiTheme="majorBidi" w:eastAsia="Times New Roman" w:hAnsiTheme="majorBidi" w:cstheme="majorBidi"/>
          <w:sz w:val="20"/>
          <w:szCs w:val="20"/>
          <w:lang w:val="en-IE" w:eastAsia="en-GB"/>
        </w:rPr>
        <w:t xml:space="preserve">O’Donoghue, Judith Harford and Teresa O’ Doherty </w:t>
      </w:r>
      <w:r w:rsidRPr="00C57F69">
        <w:rPr>
          <w:rFonts w:asciiTheme="majorBidi" w:eastAsia="Times New Roman" w:hAnsiTheme="majorBidi" w:cstheme="majorBidi"/>
          <w:i/>
          <w:iCs/>
          <w:sz w:val="20"/>
          <w:szCs w:val="20"/>
          <w:lang w:val="en-IE" w:eastAsia="en-GB"/>
        </w:rPr>
        <w:t>Teacher Preparation in Ireland: History, Policy and Future Directions</w:t>
      </w:r>
      <w:r w:rsidRPr="00C57F69">
        <w:rPr>
          <w:rFonts w:asciiTheme="majorBidi" w:eastAsia="Times New Roman" w:hAnsiTheme="majorBidi" w:cstheme="majorBidi"/>
          <w:sz w:val="20"/>
          <w:szCs w:val="20"/>
          <w:lang w:val="en-IE" w:eastAsia="en-GB"/>
        </w:rPr>
        <w:t xml:space="preserve"> (Emerald: UK, 2017).</w:t>
      </w:r>
    </w:p>
  </w:endnote>
  <w:endnote w:id="9">
    <w:p w14:paraId="123044A6" w14:textId="06DAA00E" w:rsidR="00C57F69" w:rsidRPr="00C57F69" w:rsidRDefault="00C57F69" w:rsidP="00C57F69">
      <w:pPr>
        <w:pStyle w:val="EndnoteText"/>
        <w:jc w:val="both"/>
        <w:rPr>
          <w:rFonts w:ascii="Times New Roman" w:hAnsi="Times New Roman" w:cs="Times New Roman"/>
        </w:rPr>
      </w:pPr>
      <w:r w:rsidRPr="00C57F69">
        <w:rPr>
          <w:rStyle w:val="EndnoteReference"/>
          <w:rFonts w:asciiTheme="majorBidi" w:hAnsiTheme="majorBidi" w:cstheme="majorBidi"/>
        </w:rPr>
        <w:endnoteRef/>
      </w:r>
      <w:r w:rsidRPr="00C57F69">
        <w:rPr>
          <w:rFonts w:asciiTheme="majorBidi" w:hAnsiTheme="majorBidi" w:cstheme="majorBidi"/>
        </w:rPr>
        <w:t xml:space="preserve"> John Coolahan, </w:t>
      </w:r>
      <w:r w:rsidRPr="00C57F69">
        <w:rPr>
          <w:rFonts w:asciiTheme="majorBidi" w:hAnsiTheme="majorBidi" w:cstheme="majorBidi"/>
          <w:i/>
          <w:iCs/>
        </w:rPr>
        <w:t>Irish Education: Its History and Structure</w:t>
      </w:r>
      <w:r w:rsidRPr="00C57F69">
        <w:rPr>
          <w:rFonts w:asciiTheme="majorBidi" w:hAnsiTheme="majorBidi" w:cstheme="majorBidi"/>
        </w:rPr>
        <w:t xml:space="preserve"> (Dublin: Institute of Public Administration, 1981); Brian Fleming and Judith Harford, ‘Irish Educational</w:t>
      </w:r>
      <w:r w:rsidRPr="00C57F69">
        <w:rPr>
          <w:rFonts w:ascii="Times New Roman" w:hAnsi="Times New Roman" w:cs="Times New Roman"/>
        </w:rPr>
        <w:t xml:space="preserve"> Policy in the 1960s: A Decade of Transformation,</w:t>
      </w:r>
      <w:r w:rsidRPr="00C57F69">
        <w:rPr>
          <w:rFonts w:ascii="Times New Roman" w:hAnsi="Times New Roman" w:cs="Times New Roman"/>
          <w:i/>
          <w:iCs/>
        </w:rPr>
        <w:t>’ History of Education</w:t>
      </w:r>
      <w:r w:rsidRPr="00C57F69">
        <w:rPr>
          <w:rFonts w:ascii="Times New Roman" w:hAnsi="Times New Roman" w:cs="Times New Roman"/>
        </w:rPr>
        <w:t xml:space="preserve">, 43, no. 5 (2014): 635-656; Tom O’Donoghue, </w:t>
      </w:r>
      <w:r w:rsidRPr="00C57F69">
        <w:rPr>
          <w:rFonts w:ascii="Times New Roman" w:hAnsi="Times New Roman" w:cs="Times New Roman"/>
          <w:i/>
        </w:rPr>
        <w:t>Bilingual Education in Pre-independent Irish-speaking Ireland, 1800-1922</w:t>
      </w:r>
      <w:r w:rsidRPr="00C57F69">
        <w:rPr>
          <w:rFonts w:ascii="Times New Roman" w:hAnsi="Times New Roman" w:cs="Times New Roman"/>
        </w:rPr>
        <w:t xml:space="preserve"> (Ceredigion, Wales: Edwin Mellen Press, 2006). </w:t>
      </w:r>
    </w:p>
  </w:endnote>
  <w:endnote w:id="10">
    <w:p w14:paraId="2A3DCDF0" w14:textId="60D0A998" w:rsidR="00C57F69" w:rsidRPr="00C57F69" w:rsidRDefault="00C57F69" w:rsidP="00C57F69">
      <w:pPr>
        <w:pStyle w:val="EndnoteText"/>
        <w:jc w:val="both"/>
        <w:rPr>
          <w:rFonts w:ascii="Times New Roman" w:hAnsi="Times New Roman" w:cs="Times New Roman"/>
        </w:rPr>
      </w:pPr>
      <w:r w:rsidRPr="00C57F69">
        <w:rPr>
          <w:rStyle w:val="EndnoteReference"/>
        </w:rPr>
        <w:endnoteRef/>
      </w:r>
      <w:r w:rsidRPr="00C57F69">
        <w:t xml:space="preserve"> </w:t>
      </w:r>
      <w:r w:rsidRPr="00C57F69">
        <w:rPr>
          <w:rFonts w:ascii="Times New Roman" w:hAnsi="Times New Roman" w:cs="Times New Roman"/>
        </w:rPr>
        <w:t>Political party meaning Association of Irish People.</w:t>
      </w:r>
    </w:p>
  </w:endnote>
  <w:endnote w:id="11">
    <w:p w14:paraId="22EB9C07" w14:textId="03F1CE3A"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INTO (Irish National Teachers’ Organisation), </w:t>
      </w:r>
      <w:r w:rsidRPr="00C57F69">
        <w:rPr>
          <w:rFonts w:ascii="Times New Roman" w:hAnsi="Times New Roman" w:cs="Times New Roman"/>
          <w:i/>
          <w:iCs/>
        </w:rPr>
        <w:t>Irish School Weekly</w:t>
      </w:r>
      <w:r w:rsidRPr="00C57F69">
        <w:rPr>
          <w:rFonts w:ascii="Times New Roman" w:hAnsi="Times New Roman" w:cs="Times New Roman"/>
        </w:rPr>
        <w:t xml:space="preserve">, February 11, 1922: 127. </w:t>
      </w:r>
    </w:p>
  </w:endnote>
  <w:endnote w:id="12">
    <w:p w14:paraId="34BF70CA" w14:textId="6C4C08C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Tom O’Donoghue and Judith Harford, ‘A Comparative History of Church–State Relations in Irish Education’, </w:t>
      </w:r>
      <w:r w:rsidRPr="00C57F69">
        <w:rPr>
          <w:rFonts w:ascii="Times New Roman" w:hAnsi="Times New Roman" w:cs="Times New Roman"/>
          <w:i/>
          <w:iCs/>
        </w:rPr>
        <w:t>Comparative Education Review</w:t>
      </w:r>
      <w:r w:rsidRPr="00C57F69">
        <w:rPr>
          <w:rFonts w:ascii="Times New Roman" w:hAnsi="Times New Roman" w:cs="Times New Roman"/>
        </w:rPr>
        <w:t xml:space="preserve"> 55, no. 3 (2011): 315–41.</w:t>
      </w:r>
    </w:p>
  </w:endnote>
  <w:endnote w:id="13">
    <w:p w14:paraId="26DCCE2F" w14:textId="14735236" w:rsidR="00C57F69" w:rsidRPr="00C57F69" w:rsidRDefault="00C57F69" w:rsidP="00C57F69">
      <w:pPr>
        <w:pStyle w:val="EndnoteText"/>
        <w:jc w:val="both"/>
        <w:rPr>
          <w:rFonts w:asciiTheme="majorBidi" w:hAnsiTheme="majorBidi" w:cstheme="majorBidi"/>
        </w:rPr>
      </w:pPr>
      <w:r w:rsidRPr="00C57F69">
        <w:rPr>
          <w:rStyle w:val="EndnoteReference"/>
        </w:rPr>
        <w:endnoteRef/>
      </w:r>
      <w:r w:rsidRPr="00C57F69">
        <w:t xml:space="preserve"> </w:t>
      </w:r>
      <w:r w:rsidRPr="00C57F69">
        <w:rPr>
          <w:rFonts w:asciiTheme="majorBidi" w:hAnsiTheme="majorBidi" w:cstheme="majorBidi"/>
          <w:shd w:val="clear" w:color="auto" w:fill="FFFFFF"/>
        </w:rPr>
        <w:t xml:space="preserve">Daithí Ó Corráin’s ‘Catholicism in Ireland, 1880-2015: Rise, Ascendancy and Retreat’ in Thomas Bartlett (ed.) </w:t>
      </w:r>
      <w:r w:rsidRPr="00C57F69">
        <w:rPr>
          <w:rFonts w:asciiTheme="majorBidi" w:hAnsiTheme="majorBidi" w:cstheme="majorBidi"/>
          <w:i/>
          <w:iCs/>
          <w:shd w:val="clear" w:color="auto" w:fill="FFFFFF"/>
        </w:rPr>
        <w:t>The Cambridge </w:t>
      </w:r>
      <w:r w:rsidRPr="00C57F69">
        <w:rPr>
          <w:rStyle w:val="il"/>
          <w:rFonts w:asciiTheme="majorBidi" w:hAnsiTheme="majorBidi" w:cstheme="majorBidi"/>
          <w:i/>
          <w:iCs/>
          <w:shd w:val="clear" w:color="auto" w:fill="FFFFFF"/>
        </w:rPr>
        <w:t>History</w:t>
      </w:r>
      <w:r w:rsidRPr="00C57F69">
        <w:rPr>
          <w:rFonts w:asciiTheme="majorBidi" w:hAnsiTheme="majorBidi" w:cstheme="majorBidi"/>
          <w:i/>
          <w:iCs/>
          <w:shd w:val="clear" w:color="auto" w:fill="FFFFFF"/>
        </w:rPr>
        <w:t> of Ireland</w:t>
      </w:r>
      <w:r w:rsidRPr="00C57F69">
        <w:rPr>
          <w:rFonts w:asciiTheme="majorBidi" w:hAnsiTheme="majorBidi" w:cstheme="majorBidi"/>
          <w:shd w:val="clear" w:color="auto" w:fill="FFFFFF"/>
        </w:rPr>
        <w:t xml:space="preserve"> Vol. 4, 1880 to the Present (Cambridge: Cambridge University Press, 2018):</w:t>
      </w:r>
    </w:p>
    <w:p w14:paraId="4498B814" w14:textId="27259EC3" w:rsidR="00C57F69" w:rsidRPr="00C57F69" w:rsidRDefault="00C57F69" w:rsidP="00C57F69">
      <w:pPr>
        <w:pStyle w:val="EndnoteText"/>
        <w:jc w:val="both"/>
        <w:rPr>
          <w:rFonts w:asciiTheme="majorBidi" w:hAnsiTheme="majorBidi" w:cstheme="majorBidi"/>
        </w:rPr>
      </w:pPr>
      <w:r w:rsidRPr="00C57F69">
        <w:rPr>
          <w:rFonts w:asciiTheme="majorBidi" w:hAnsiTheme="majorBidi" w:cstheme="majorBidi"/>
        </w:rPr>
        <w:t>733.</w:t>
      </w:r>
    </w:p>
  </w:endnote>
  <w:endnote w:id="14">
    <w:p w14:paraId="5257ADEB" w14:textId="1C11C5C5"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J. H. Whyte, </w:t>
      </w:r>
      <w:r w:rsidRPr="00C57F69">
        <w:rPr>
          <w:rFonts w:ascii="Times New Roman" w:hAnsi="Times New Roman" w:cs="Times New Roman"/>
          <w:i/>
          <w:iCs/>
        </w:rPr>
        <w:t>Church and State in Modern Ireland, 1923–1979</w:t>
      </w:r>
      <w:r w:rsidRPr="00C57F69">
        <w:rPr>
          <w:rFonts w:ascii="Times New Roman" w:hAnsi="Times New Roman" w:cs="Times New Roman"/>
        </w:rPr>
        <w:t xml:space="preserve"> (Dublin: Gill and Macmillan, 1980).</w:t>
      </w:r>
    </w:p>
  </w:endnote>
  <w:endnote w:id="15">
    <w:p w14:paraId="3C5E168A" w14:textId="0E663F20"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Anthony Keating, ‘Censorship: The Cornerstone of Catholic Ireland,’ </w:t>
      </w:r>
      <w:r w:rsidRPr="00C57F69">
        <w:rPr>
          <w:rFonts w:ascii="Times New Roman" w:hAnsi="Times New Roman" w:cs="Times New Roman"/>
          <w:i/>
          <w:iCs/>
        </w:rPr>
        <w:t>A Journal of Church and State</w:t>
      </w:r>
      <w:r w:rsidRPr="00C57F69">
        <w:rPr>
          <w:rFonts w:ascii="Times New Roman" w:hAnsi="Times New Roman" w:cs="Times New Roman"/>
        </w:rPr>
        <w:t>, 57, no. 2 (2015): 290-291.</w:t>
      </w:r>
    </w:p>
  </w:endnote>
  <w:endnote w:id="16">
    <w:p w14:paraId="1B642B01" w14:textId="45181640" w:rsidR="00C57F69" w:rsidRPr="00C57F69" w:rsidRDefault="00C57F69" w:rsidP="00C57F69">
      <w:pPr>
        <w:widowControl w:val="0"/>
        <w:autoSpaceDE w:val="0"/>
        <w:autoSpaceDN w:val="0"/>
        <w:adjustRightInd w:val="0"/>
        <w:spacing w:after="0" w:line="240" w:lineRule="auto"/>
        <w:jc w:val="both"/>
        <w:rPr>
          <w:rFonts w:ascii="Times New Roman" w:hAnsi="Times New Roman" w:cs="Times New Roman"/>
          <w:sz w:val="20"/>
          <w:szCs w:val="20"/>
        </w:rPr>
      </w:pPr>
      <w:r w:rsidRPr="00C57F69">
        <w:rPr>
          <w:rStyle w:val="EndnoteReference"/>
          <w:rFonts w:ascii="Times New Roman" w:hAnsi="Times New Roman" w:cs="Times New Roman"/>
          <w:sz w:val="20"/>
          <w:szCs w:val="20"/>
        </w:rPr>
        <w:endnoteRef/>
      </w:r>
      <w:r w:rsidRPr="00C57F69">
        <w:rPr>
          <w:rFonts w:ascii="Times New Roman" w:hAnsi="Times New Roman" w:cs="Times New Roman"/>
          <w:sz w:val="20"/>
          <w:szCs w:val="20"/>
        </w:rPr>
        <w:t xml:space="preserve"> Judith </w:t>
      </w:r>
      <w:r w:rsidRPr="00C57F69">
        <w:rPr>
          <w:rFonts w:ascii="Times New Roman" w:eastAsia="Times New Roman" w:hAnsi="Times New Roman" w:cs="Times New Roman"/>
          <w:bCs/>
          <w:sz w:val="20"/>
          <w:szCs w:val="20"/>
        </w:rPr>
        <w:t xml:space="preserve">Harford and Jennifer Redmond, </w:t>
      </w:r>
      <w:bookmarkStart w:id="6" w:name="_Hlk519527836"/>
      <w:r w:rsidRPr="00C57F69">
        <w:rPr>
          <w:rFonts w:ascii="Times New Roman" w:eastAsia="Times New Roman" w:hAnsi="Times New Roman" w:cs="Times New Roman"/>
          <w:bCs/>
          <w:kern w:val="32"/>
          <w:sz w:val="20"/>
          <w:szCs w:val="20"/>
          <w:lang w:val="en-IE"/>
        </w:rPr>
        <w:t>‘I am amazed at how easily we accepted it’: The Marriage Ban, Teaching and Ideologies of Womanhood in Post-Independence Irelan</w:t>
      </w:r>
      <w:bookmarkEnd w:id="6"/>
      <w:r w:rsidRPr="00C57F69">
        <w:rPr>
          <w:rFonts w:ascii="Times New Roman" w:eastAsia="Times New Roman" w:hAnsi="Times New Roman" w:cs="Times New Roman"/>
          <w:bCs/>
          <w:kern w:val="32"/>
          <w:sz w:val="20"/>
          <w:szCs w:val="20"/>
          <w:lang w:val="en-IE"/>
        </w:rPr>
        <w:t xml:space="preserve">d,’ </w:t>
      </w:r>
      <w:r w:rsidRPr="00C57F69">
        <w:rPr>
          <w:rFonts w:ascii="Times New Roman" w:eastAsia="Times New Roman" w:hAnsi="Times New Roman" w:cs="Times New Roman"/>
          <w:bCs/>
          <w:i/>
          <w:iCs/>
          <w:kern w:val="32"/>
          <w:sz w:val="20"/>
          <w:szCs w:val="20"/>
          <w:lang w:val="en-IE"/>
        </w:rPr>
        <w:t>Gender and Education</w:t>
      </w:r>
      <w:r w:rsidRPr="00C57F69">
        <w:rPr>
          <w:rFonts w:ascii="Times New Roman" w:eastAsia="Times New Roman" w:hAnsi="Times New Roman" w:cs="Times New Roman"/>
          <w:bCs/>
          <w:kern w:val="32"/>
          <w:sz w:val="20"/>
          <w:szCs w:val="20"/>
          <w:lang w:val="en-IE"/>
        </w:rPr>
        <w:t>,</w:t>
      </w:r>
      <w:r w:rsidRPr="00C57F69">
        <w:rPr>
          <w:rFonts w:ascii="Times New Roman" w:eastAsia="Times New Roman" w:hAnsi="Times New Roman" w:cs="Times New Roman"/>
          <w:sz w:val="20"/>
          <w:szCs w:val="20"/>
          <w:lang w:val="en-IE" w:eastAsia="en-IE"/>
        </w:rPr>
        <w:t xml:space="preserve"> </w:t>
      </w:r>
      <w:r w:rsidRPr="00C57F69">
        <w:rPr>
          <w:rFonts w:ascii="Times New Roman" w:hAnsi="Times New Roman" w:cs="Times New Roman"/>
          <w:sz w:val="20"/>
          <w:szCs w:val="20"/>
        </w:rPr>
        <w:t xml:space="preserve">33, no. 2 (2021): 186-201; Jennifer </w:t>
      </w:r>
      <w:r w:rsidRPr="00C57F69">
        <w:rPr>
          <w:rFonts w:ascii="Times New Roman" w:eastAsia="Times New Roman" w:hAnsi="Times New Roman" w:cs="Times New Roman"/>
          <w:sz w:val="20"/>
          <w:szCs w:val="20"/>
          <w:lang w:val="en-IE" w:eastAsia="en-IE"/>
        </w:rPr>
        <w:t xml:space="preserve">Redmond and Judith Harford, 'One Man One Job: The Marriage Ban and the Employment of Women Teachers in Irish Primary Schools,’ </w:t>
      </w:r>
      <w:r w:rsidRPr="00C57F69">
        <w:rPr>
          <w:rFonts w:ascii="Times New Roman" w:eastAsia="Times New Roman" w:hAnsi="Times New Roman" w:cs="Times New Roman"/>
          <w:i/>
          <w:iCs/>
          <w:sz w:val="20"/>
          <w:szCs w:val="20"/>
          <w:lang w:val="en-IE" w:eastAsia="en-IE"/>
        </w:rPr>
        <w:t>Paedagogica Historica</w:t>
      </w:r>
      <w:r w:rsidRPr="00C57F69">
        <w:rPr>
          <w:rFonts w:ascii="Times New Roman" w:eastAsia="Times New Roman" w:hAnsi="Times New Roman" w:cs="Times New Roman"/>
          <w:sz w:val="20"/>
          <w:szCs w:val="20"/>
          <w:lang w:val="en-IE" w:eastAsia="en-IE"/>
        </w:rPr>
        <w:t>, 46, no. 5 (2010): 639</w:t>
      </w:r>
      <w:r w:rsidRPr="00C57F69">
        <w:rPr>
          <w:rFonts w:ascii="Times New Roman" w:eastAsia="Times New Roman" w:hAnsi="Times New Roman" w:cs="Times New Roman"/>
          <w:sz w:val="20"/>
          <w:szCs w:val="20"/>
          <w:lang w:val="en-GB"/>
        </w:rPr>
        <w:t>–</w:t>
      </w:r>
      <w:r w:rsidRPr="00C57F69">
        <w:rPr>
          <w:rFonts w:ascii="Times New Roman" w:eastAsia="Times New Roman" w:hAnsi="Times New Roman" w:cs="Times New Roman"/>
          <w:sz w:val="20"/>
          <w:szCs w:val="20"/>
          <w:lang w:val="en-IE" w:eastAsia="en-IE"/>
        </w:rPr>
        <w:t>654.</w:t>
      </w:r>
    </w:p>
  </w:endnote>
  <w:endnote w:id="17">
    <w:p w14:paraId="375C5E01" w14:textId="0D28D913"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eastAsia="Times New Roman" w:hAnsiTheme="majorBidi" w:cstheme="majorBidi"/>
          <w:bCs/>
        </w:rPr>
        <w:t xml:space="preserve">Harford and Redmond, </w:t>
      </w:r>
      <w:r w:rsidRPr="00C57F69">
        <w:rPr>
          <w:rFonts w:asciiTheme="majorBidi" w:eastAsia="Times New Roman" w:hAnsiTheme="majorBidi" w:cstheme="majorBidi"/>
          <w:bCs/>
          <w:kern w:val="32"/>
          <w:lang w:val="en-IE"/>
        </w:rPr>
        <w:t>‘I am amazed at how easily we accepted it’: The Marriage Ban, Teaching and Ideologies of Womanhood in Post-Independence Ireland,’ :</w:t>
      </w:r>
      <w:r w:rsidRPr="00C57F69">
        <w:rPr>
          <w:rFonts w:asciiTheme="majorBidi" w:hAnsiTheme="majorBidi" w:cstheme="majorBidi"/>
        </w:rPr>
        <w:t xml:space="preserve">187. See also </w:t>
      </w:r>
      <w:r w:rsidRPr="00C57F69">
        <w:rPr>
          <w:rFonts w:asciiTheme="majorBidi" w:hAnsiTheme="majorBidi" w:cstheme="majorBidi"/>
          <w:shd w:val="clear" w:color="auto" w:fill="FFFFFF"/>
        </w:rPr>
        <w:t>Nancy Cott, </w:t>
      </w:r>
      <w:r w:rsidRPr="00C57F69">
        <w:rPr>
          <w:rStyle w:val="Emphasis"/>
          <w:rFonts w:asciiTheme="majorBidi" w:hAnsiTheme="majorBidi" w:cstheme="majorBidi"/>
          <w:shd w:val="clear" w:color="auto" w:fill="FFFFFF"/>
        </w:rPr>
        <w:t xml:space="preserve">The Grounding of Modern Feminism </w:t>
      </w:r>
      <w:r w:rsidRPr="00C57F69">
        <w:rPr>
          <w:rStyle w:val="Emphasis"/>
          <w:rFonts w:asciiTheme="majorBidi" w:hAnsiTheme="majorBidi" w:cstheme="majorBidi"/>
          <w:i w:val="0"/>
          <w:iCs w:val="0"/>
          <w:shd w:val="clear" w:color="auto" w:fill="FFFFFF"/>
        </w:rPr>
        <w:t>(</w:t>
      </w:r>
      <w:r w:rsidRPr="00C57F69">
        <w:rPr>
          <w:rFonts w:asciiTheme="majorBidi" w:hAnsiTheme="majorBidi" w:cstheme="majorBidi"/>
          <w:shd w:val="clear" w:color="auto" w:fill="FFFFFF"/>
        </w:rPr>
        <w:t>New Haven, CT: Yale University Press, 1987); Penina Migdal </w:t>
      </w:r>
      <w:r w:rsidRPr="00C57F69">
        <w:rPr>
          <w:rStyle w:val="Emphasis"/>
          <w:rFonts w:asciiTheme="majorBidi" w:hAnsiTheme="majorBidi" w:cstheme="majorBidi"/>
          <w:i w:val="0"/>
          <w:iCs w:val="0"/>
          <w:shd w:val="clear" w:color="auto" w:fill="FFFFFF"/>
        </w:rPr>
        <w:t>Glazer</w:t>
      </w:r>
      <w:r w:rsidRPr="00C57F69">
        <w:rPr>
          <w:rFonts w:asciiTheme="majorBidi" w:hAnsiTheme="majorBidi" w:cstheme="majorBidi"/>
          <w:shd w:val="clear" w:color="auto" w:fill="FFFFFF"/>
        </w:rPr>
        <w:t> and Miriam </w:t>
      </w:r>
      <w:r w:rsidRPr="00C57F69">
        <w:rPr>
          <w:rStyle w:val="Emphasis"/>
          <w:rFonts w:asciiTheme="majorBidi" w:hAnsiTheme="majorBidi" w:cstheme="majorBidi"/>
          <w:i w:val="0"/>
          <w:iCs w:val="0"/>
          <w:shd w:val="clear" w:color="auto" w:fill="FFFFFF"/>
        </w:rPr>
        <w:t>Slater</w:t>
      </w:r>
      <w:r w:rsidRPr="00C57F69">
        <w:rPr>
          <w:rFonts w:asciiTheme="majorBidi" w:hAnsiTheme="majorBidi" w:cstheme="majorBidi"/>
          <w:shd w:val="clear" w:color="auto" w:fill="FFFFFF"/>
        </w:rPr>
        <w:t xml:space="preserve">, </w:t>
      </w:r>
      <w:r w:rsidRPr="00C57F69">
        <w:rPr>
          <w:rStyle w:val="Emphasis"/>
          <w:rFonts w:asciiTheme="majorBidi" w:hAnsiTheme="majorBidi" w:cstheme="majorBidi"/>
          <w:shd w:val="clear" w:color="auto" w:fill="FFFFFF"/>
        </w:rPr>
        <w:t>Unequal colleagues: The entrance of women into the professions, 1890-1940</w:t>
      </w:r>
      <w:r w:rsidRPr="00C57F69">
        <w:rPr>
          <w:rFonts w:asciiTheme="majorBidi" w:hAnsiTheme="majorBidi" w:cstheme="majorBidi"/>
          <w:shd w:val="clear" w:color="auto" w:fill="FFFFFF"/>
        </w:rPr>
        <w:t> (New Brunswick, NJ: Rutgers University Press, 1987).</w:t>
      </w:r>
    </w:p>
  </w:endnote>
  <w:endnote w:id="18">
    <w:p w14:paraId="6D8F1292" w14:textId="77777777" w:rsidR="00C57F69" w:rsidRPr="00C57F69" w:rsidRDefault="00C57F69" w:rsidP="00C57F69">
      <w:pPr>
        <w:pStyle w:val="EndnoteText"/>
        <w:jc w:val="both"/>
        <w:rPr>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Alison Oram, “Serving Two Masters? The Introduction of a Marriage Ban in Teaching in the 1920s.” In </w:t>
      </w:r>
      <w:r w:rsidRPr="00C57F69">
        <w:rPr>
          <w:rFonts w:ascii="Times New Roman" w:hAnsi="Times New Roman" w:cs="Times New Roman"/>
          <w:i/>
          <w:iCs/>
        </w:rPr>
        <w:t>The Sexual Dynamics of History: Men’s Power, Women’s Resistance</w:t>
      </w:r>
      <w:r w:rsidRPr="00C57F69">
        <w:rPr>
          <w:rFonts w:ascii="Times New Roman" w:hAnsi="Times New Roman" w:cs="Times New Roman"/>
        </w:rPr>
        <w:t xml:space="preserve">, edited London Feminist History Group, (London: Pluto Press, 1983): 134–148; Alison Oram, </w:t>
      </w:r>
      <w:r w:rsidRPr="00C57F69">
        <w:rPr>
          <w:rFonts w:ascii="Times New Roman" w:hAnsi="Times New Roman" w:cs="Times New Roman"/>
          <w:i/>
          <w:iCs/>
        </w:rPr>
        <w:t>Women Teachers and Feminist Politics, 1900–39</w:t>
      </w:r>
      <w:r w:rsidRPr="00C57F69">
        <w:rPr>
          <w:rFonts w:ascii="Times New Roman" w:hAnsi="Times New Roman" w:cs="Times New Roman"/>
        </w:rPr>
        <w:t xml:space="preserve"> (Manchester: Manchester University Press, 1996).</w:t>
      </w:r>
    </w:p>
  </w:endnote>
  <w:endnote w:id="19">
    <w:p w14:paraId="52B6CD03" w14:textId="77777777"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Caitriona Beaumont, ‘Women, Citizenship and Catholicism in the Irish Free State, 1922-1948,’ </w:t>
      </w:r>
      <w:r w:rsidRPr="00C57F69">
        <w:rPr>
          <w:rFonts w:asciiTheme="majorBidi" w:hAnsiTheme="majorBidi" w:cstheme="majorBidi"/>
          <w:i/>
          <w:iCs/>
        </w:rPr>
        <w:t>Women’s History Review</w:t>
      </w:r>
      <w:r w:rsidRPr="00C57F69">
        <w:rPr>
          <w:rFonts w:asciiTheme="majorBidi" w:hAnsiTheme="majorBidi" w:cstheme="majorBidi"/>
        </w:rPr>
        <w:t>, 6, no. 4 (1997): 563-585.</w:t>
      </w:r>
    </w:p>
  </w:endnote>
  <w:endnote w:id="20">
    <w:p w14:paraId="34C2F5A8" w14:textId="7AE93BF3"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Éamon de Valera (1882-1975) </w:t>
      </w:r>
      <w:r w:rsidRPr="00C57F69">
        <w:rPr>
          <w:rFonts w:asciiTheme="majorBidi" w:hAnsiTheme="majorBidi" w:cstheme="majorBidi"/>
          <w:shd w:val="clear" w:color="auto" w:fill="FFFFFF"/>
        </w:rPr>
        <w:t>served several terms as Taoiseach (head of government) and President of Ireland. He played a leading role in the drafting of the 1937 Constitution.  </w:t>
      </w:r>
      <w:r w:rsidRPr="00C57F69">
        <w:rPr>
          <w:rFonts w:asciiTheme="majorBidi" w:hAnsiTheme="majorBidi" w:cstheme="majorBidi"/>
        </w:rPr>
        <w:t xml:space="preserve"> </w:t>
      </w:r>
    </w:p>
  </w:endnote>
  <w:endnote w:id="21">
    <w:p w14:paraId="07B979EF" w14:textId="4D71AC47"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J.J. Lee, </w:t>
      </w:r>
      <w:r w:rsidRPr="00C57F69">
        <w:rPr>
          <w:rFonts w:asciiTheme="majorBidi" w:hAnsiTheme="majorBidi" w:cstheme="majorBidi"/>
          <w:i/>
          <w:iCs/>
          <w:lang w:val="en-IE"/>
        </w:rPr>
        <w:t>Ireland 1912-1985</w:t>
      </w:r>
      <w:r w:rsidRPr="00C57F69">
        <w:rPr>
          <w:rFonts w:asciiTheme="majorBidi" w:hAnsiTheme="majorBidi" w:cstheme="majorBidi"/>
          <w:lang w:val="en-IE"/>
        </w:rPr>
        <w:t xml:space="preserve"> (Cambridge: University press, 1989) : 206.</w:t>
      </w:r>
    </w:p>
  </w:endnote>
  <w:endnote w:id="22">
    <w:p w14:paraId="5D70A36A" w14:textId="5E63C530" w:rsidR="00C57F69" w:rsidRPr="00C57F69" w:rsidRDefault="00C57F69" w:rsidP="00C57F69">
      <w:pPr>
        <w:pStyle w:val="EndnoteText"/>
        <w:jc w:val="both"/>
      </w:pPr>
      <w:r w:rsidRPr="00C57F69">
        <w:rPr>
          <w:rStyle w:val="EndnoteReference"/>
          <w:rFonts w:ascii="Times New Roman" w:hAnsi="Times New Roman" w:cs="Times New Roman"/>
        </w:rPr>
        <w:endnoteRef/>
      </w:r>
      <w:r w:rsidRPr="00C57F69">
        <w:rPr>
          <w:rFonts w:ascii="Times New Roman" w:hAnsi="Times New Roman" w:cs="Times New Roman"/>
        </w:rPr>
        <w:t xml:space="preserve"> Anne </w:t>
      </w:r>
      <w:r w:rsidRPr="00C57F69">
        <w:rPr>
          <w:rFonts w:ascii="Times New Roman" w:hAnsi="Times New Roman" w:cs="Times New Roman"/>
          <w:shd w:val="clear" w:color="auto" w:fill="FFFFFF"/>
        </w:rPr>
        <w:t>McClintock, ‘“No Longer in a Future Heaven”: Women and Nationalism in South Africa.’ </w:t>
      </w:r>
      <w:r w:rsidRPr="00C57F69">
        <w:rPr>
          <w:rStyle w:val="Emphasis"/>
          <w:rFonts w:ascii="Times New Roman" w:hAnsi="Times New Roman" w:cs="Times New Roman"/>
          <w:shd w:val="clear" w:color="auto" w:fill="FFFFFF"/>
        </w:rPr>
        <w:t>Transition </w:t>
      </w:r>
      <w:r w:rsidRPr="00C57F69">
        <w:rPr>
          <w:rFonts w:ascii="Times New Roman" w:hAnsi="Times New Roman" w:cs="Times New Roman"/>
          <w:shd w:val="clear" w:color="auto" w:fill="FFFFFF"/>
        </w:rPr>
        <w:t>51 (1991): 105.</w:t>
      </w:r>
    </w:p>
  </w:endnote>
  <w:endnote w:id="23">
    <w:p w14:paraId="033D3169" w14:textId="77777777"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Maryann Gialanella Valiulis, ‘The Politics of Gender in the Irish Free State, 1922–1937,’ </w:t>
      </w:r>
      <w:r w:rsidRPr="00C57F69">
        <w:rPr>
          <w:rFonts w:ascii="Times New Roman" w:hAnsi="Times New Roman" w:cs="Times New Roman"/>
          <w:i/>
          <w:iCs/>
        </w:rPr>
        <w:t>Women's History Review</w:t>
      </w:r>
      <w:r w:rsidRPr="00C57F69">
        <w:rPr>
          <w:rFonts w:ascii="Times New Roman" w:hAnsi="Times New Roman" w:cs="Times New Roman"/>
        </w:rPr>
        <w:t>, 20, no. 4 (2011): 569-578.</w:t>
      </w:r>
    </w:p>
  </w:endnote>
  <w:endnote w:id="24">
    <w:p w14:paraId="02409406" w14:textId="3F4F6F0A" w:rsidR="00C57F69" w:rsidRPr="00C57F69" w:rsidRDefault="00C57F69" w:rsidP="00C57F69">
      <w:pPr>
        <w:pStyle w:val="EndnoteText"/>
        <w:jc w:val="both"/>
        <w:rPr>
          <w:rFonts w:ascii="Times New Roman" w:hAnsi="Times New Roman" w:cs="Times New Roman"/>
        </w:rPr>
      </w:pPr>
      <w:r w:rsidRPr="00C57F69">
        <w:rPr>
          <w:rStyle w:val="EndnoteReference"/>
        </w:rPr>
        <w:endnoteRef/>
      </w:r>
      <w:r w:rsidRPr="00C57F69">
        <w:t xml:space="preserve"> </w:t>
      </w:r>
      <w:r w:rsidRPr="00C57F69">
        <w:rPr>
          <w:rFonts w:ascii="Times New Roman" w:hAnsi="Times New Roman" w:cs="Times New Roman"/>
        </w:rPr>
        <w:t>Yvonne McKenna, ‘Embodied Ideals and Realities: Irish Nuns and Irish Womanhood, 1930s–1960s,’ Éire-Ireland 41 (1 &amp; 2): 40–63.</w:t>
      </w:r>
    </w:p>
  </w:endnote>
  <w:endnote w:id="25">
    <w:p w14:paraId="13556D50" w14:textId="76B50D79"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Tom Inglis, </w:t>
      </w:r>
      <w:r w:rsidRPr="00C57F69">
        <w:rPr>
          <w:rFonts w:ascii="Times New Roman" w:hAnsi="Times New Roman" w:cs="Times New Roman"/>
          <w:i/>
          <w:iCs/>
        </w:rPr>
        <w:t>Truth, Power and Lies: Irish Society and the Case of the Kerry Babies</w:t>
      </w:r>
      <w:r w:rsidRPr="00C57F69">
        <w:rPr>
          <w:rFonts w:ascii="Times New Roman" w:hAnsi="Times New Roman" w:cs="Times New Roman"/>
        </w:rPr>
        <w:t>, (Dublin: University College Dublin Press, 2003).</w:t>
      </w:r>
    </w:p>
  </w:endnote>
  <w:endnote w:id="26">
    <w:p w14:paraId="6D0956E8"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Tom O’Donoghue and Judith Harford, </w:t>
      </w:r>
      <w:r w:rsidRPr="00C57F69">
        <w:rPr>
          <w:rFonts w:ascii="Times New Roman" w:hAnsi="Times New Roman" w:cs="Times New Roman"/>
          <w:i/>
          <w:iCs/>
        </w:rPr>
        <w:t>Secondary School Education in Ireland: Memories and Life Histories, 1922–67</w:t>
      </w:r>
      <w:r w:rsidRPr="00C57F69">
        <w:rPr>
          <w:rFonts w:ascii="Times New Roman" w:hAnsi="Times New Roman" w:cs="Times New Roman"/>
        </w:rPr>
        <w:t>, (London: Palgrave Macmillan, 2016).</w:t>
      </w:r>
    </w:p>
  </w:endnote>
  <w:endnote w:id="27">
    <w:p w14:paraId="772E7524" w14:textId="6CA45E98"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‘Address by Seán Moylan, Minister for Education’, CCSS Report 1952 (Dublin: CCSS, 1952): 24.</w:t>
      </w:r>
    </w:p>
  </w:endnote>
  <w:endnote w:id="28">
    <w:p w14:paraId="26BE9D99" w14:textId="1A038BE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Jenny Beale, </w:t>
      </w:r>
      <w:r w:rsidRPr="00C57F69">
        <w:rPr>
          <w:rFonts w:ascii="Times New Roman" w:hAnsi="Times New Roman" w:cs="Times New Roman"/>
          <w:i/>
          <w:iCs/>
        </w:rPr>
        <w:t>Women in Ireland: Voices of Change</w:t>
      </w:r>
      <w:r w:rsidRPr="00C57F69">
        <w:rPr>
          <w:rFonts w:ascii="Times New Roman" w:hAnsi="Times New Roman" w:cs="Times New Roman"/>
        </w:rPr>
        <w:t xml:space="preserve"> (Dublin: Gill and Macmillan, 1986)</w:t>
      </w:r>
      <w:r w:rsidRPr="00C57F69">
        <w:rPr>
          <w:rFonts w:ascii="Times New Roman" w:eastAsia="Calibri" w:hAnsi="Times New Roman" w:cs="Times New Roman"/>
        </w:rPr>
        <w:t>.</w:t>
      </w:r>
    </w:p>
  </w:endnote>
  <w:endnote w:id="29">
    <w:p w14:paraId="7FD5C1F3" w14:textId="69D5D8D8"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L. O’Dowd, ‘Church, State and Women: The Aftermath of Partition,’ in </w:t>
      </w:r>
      <w:r w:rsidRPr="00C57F69">
        <w:rPr>
          <w:rStyle w:val="Emphasis"/>
          <w:rFonts w:ascii="Times New Roman" w:hAnsi="Times New Roman" w:cs="Times New Roman"/>
        </w:rPr>
        <w:t>Gender in Irish Society</w:t>
      </w:r>
      <w:r w:rsidRPr="00C57F69">
        <w:rPr>
          <w:rFonts w:ascii="Times New Roman" w:hAnsi="Times New Roman" w:cs="Times New Roman"/>
        </w:rPr>
        <w:t>, edited by C. Curtin, P. Jackson, and B. O’Connor, (Galway: Galway University Press, 1987): 3-36.</w:t>
      </w:r>
    </w:p>
  </w:endnote>
  <w:endnote w:id="30">
    <w:p w14:paraId="41DDAC09" w14:textId="2CD4E624"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shd w:val="clear" w:color="auto" w:fill="FFFFFF"/>
        </w:rPr>
        <w:t xml:space="preserve">Eileen Connolly, </w:t>
      </w:r>
      <w:r w:rsidRPr="00C57F69">
        <w:rPr>
          <w:rStyle w:val="Emphasis"/>
          <w:rFonts w:asciiTheme="majorBidi" w:hAnsiTheme="majorBidi" w:cstheme="majorBidi"/>
          <w:shd w:val="clear" w:color="auto" w:fill="FFFFFF"/>
        </w:rPr>
        <w:t>‘</w:t>
      </w:r>
      <w:r w:rsidRPr="00C57F69">
        <w:rPr>
          <w:rStyle w:val="Emphasis"/>
          <w:rFonts w:asciiTheme="majorBidi" w:hAnsiTheme="majorBidi" w:cstheme="majorBidi"/>
          <w:i w:val="0"/>
          <w:iCs w:val="0"/>
          <w:shd w:val="clear" w:color="auto" w:fill="FFFFFF"/>
        </w:rPr>
        <w:t>The State, Public Policy and Gender: Ireland in Transition, 1957-1977', unpublished PhD thesis</w:t>
      </w:r>
      <w:r w:rsidRPr="00C57F69">
        <w:rPr>
          <w:rFonts w:asciiTheme="majorBidi" w:hAnsiTheme="majorBidi" w:cstheme="majorBidi"/>
          <w:shd w:val="clear" w:color="auto" w:fill="FFFFFF"/>
        </w:rPr>
        <w:t>, Dublin City University (1998).</w:t>
      </w:r>
    </w:p>
  </w:endnote>
  <w:endnote w:id="31">
    <w:p w14:paraId="0C12A8A3" w14:textId="4ACC974C"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Rosemary Cullen Owens, </w:t>
      </w:r>
      <w:r w:rsidRPr="00C57F69">
        <w:rPr>
          <w:rFonts w:asciiTheme="majorBidi" w:hAnsiTheme="majorBidi" w:cstheme="majorBidi"/>
          <w:i/>
          <w:iCs/>
        </w:rPr>
        <w:t>A Social History of Women in Ireland 1870-1970</w:t>
      </w:r>
      <w:r w:rsidRPr="00C57F69">
        <w:rPr>
          <w:rFonts w:asciiTheme="majorBidi" w:hAnsiTheme="majorBidi" w:cstheme="majorBidi"/>
        </w:rPr>
        <w:t xml:space="preserve"> (Dublin: Gill and Macmillan, 2005).</w:t>
      </w:r>
    </w:p>
  </w:endnote>
  <w:endnote w:id="32">
    <w:p w14:paraId="4BF61F76" w14:textId="5FF0D353"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shd w:val="clear" w:color="auto" w:fill="FFFFFF"/>
        </w:rPr>
        <w:t xml:space="preserve">Daithí Ó Corráin’s ‘Catholicism in Ireland, 1880-2015: Rise, Ascendancy and Retreat’ in Thomas Bartlett (ed.) </w:t>
      </w:r>
      <w:r w:rsidRPr="00C57F69">
        <w:rPr>
          <w:rFonts w:asciiTheme="majorBidi" w:hAnsiTheme="majorBidi" w:cstheme="majorBidi"/>
          <w:i/>
          <w:iCs/>
          <w:shd w:val="clear" w:color="auto" w:fill="FFFFFF"/>
        </w:rPr>
        <w:t>The Cambridge </w:t>
      </w:r>
      <w:r w:rsidRPr="00C57F69">
        <w:rPr>
          <w:rStyle w:val="il"/>
          <w:rFonts w:asciiTheme="majorBidi" w:hAnsiTheme="majorBidi" w:cstheme="majorBidi"/>
          <w:i/>
          <w:iCs/>
          <w:shd w:val="clear" w:color="auto" w:fill="FFFFFF"/>
        </w:rPr>
        <w:t>History</w:t>
      </w:r>
      <w:r w:rsidRPr="00C57F69">
        <w:rPr>
          <w:rFonts w:asciiTheme="majorBidi" w:hAnsiTheme="majorBidi" w:cstheme="majorBidi"/>
          <w:i/>
          <w:iCs/>
          <w:shd w:val="clear" w:color="auto" w:fill="FFFFFF"/>
        </w:rPr>
        <w:t> of Ireland</w:t>
      </w:r>
      <w:r w:rsidRPr="00C57F69">
        <w:rPr>
          <w:rFonts w:asciiTheme="majorBidi" w:hAnsiTheme="majorBidi" w:cstheme="majorBidi"/>
          <w:shd w:val="clear" w:color="auto" w:fill="FFFFFF"/>
        </w:rPr>
        <w:t xml:space="preserve"> Vol. 4, 1880 to the Present (Cambridge: Cambridge University Press, 2018): 742.</w:t>
      </w:r>
    </w:p>
  </w:endnote>
  <w:endnote w:id="33">
    <w:p w14:paraId="2BE03715" w14:textId="0E865B8E"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Tom O’ Donoghue and Judith Harford, </w:t>
      </w:r>
      <w:r w:rsidRPr="00C57F69">
        <w:rPr>
          <w:rFonts w:ascii="Times New Roman" w:hAnsi="Times New Roman" w:cs="Times New Roman"/>
          <w:i/>
          <w:iCs/>
        </w:rPr>
        <w:t xml:space="preserve">Piety and Privilege: Catholic Secondary Schooling in Ireland and the Theocratic State, 1922–1967 </w:t>
      </w:r>
      <w:r w:rsidRPr="00C57F69">
        <w:rPr>
          <w:rFonts w:ascii="Times New Roman" w:hAnsi="Times New Roman" w:cs="Times New Roman"/>
        </w:rPr>
        <w:t>(Oxford: Oxford University Press, 2021).</w:t>
      </w:r>
    </w:p>
  </w:endnote>
  <w:endnote w:id="34">
    <w:p w14:paraId="582553F5" w14:textId="4B41F1E1"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i/>
          <w:iCs/>
        </w:rPr>
        <w:t>The Rule and Constitutions of the Religious Called Sisters of Mercy</w:t>
      </w:r>
      <w:r w:rsidRPr="00C57F69">
        <w:rPr>
          <w:rFonts w:ascii="Times New Roman" w:hAnsi="Times New Roman" w:cs="Times New Roman"/>
        </w:rPr>
        <w:t xml:space="preserve"> (Dublin, 1863)</w:t>
      </w:r>
      <w:r w:rsidRPr="00C57F69">
        <w:rPr>
          <w:rFonts w:ascii="Times New Roman" w:hAnsi="Times New Roman" w:cs="Times New Roman"/>
          <w:lang w:val="en-IE"/>
        </w:rPr>
        <w:t>.</w:t>
      </w:r>
    </w:p>
  </w:endnote>
  <w:endnote w:id="35">
    <w:p w14:paraId="333EE3D9" w14:textId="4EE5F9A6" w:rsidR="00C57F69" w:rsidRPr="00C57F69" w:rsidRDefault="00C57F69" w:rsidP="00C57F69">
      <w:pPr>
        <w:pStyle w:val="EndnoteText"/>
        <w:jc w:val="both"/>
        <w:rPr>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i/>
          <w:iCs/>
          <w:lang w:val="en-IE"/>
        </w:rPr>
        <w:t>A Guide for the Religious Called Sisters of Mercy</w:t>
      </w:r>
      <w:r w:rsidRPr="00C57F69">
        <w:rPr>
          <w:rFonts w:ascii="Times New Roman" w:hAnsi="Times New Roman" w:cs="Times New Roman"/>
          <w:lang w:val="en-IE"/>
        </w:rPr>
        <w:t>, Parts I and II, p. 20, cited in Eilis O’ Sullivan, ‘The Training of Women Teachers in Ireland, 1824-1919,’ with special reference to Mary Immaculate College and Limerick,’ Unpublished M.A. Thesis, University of Limerick, 1998: 36.</w:t>
      </w:r>
    </w:p>
  </w:endnote>
  <w:endnote w:id="36">
    <w:p w14:paraId="5FA01762" w14:textId="0129F1E3"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There were three preparatory colleges for Catholic girls aged 13 to 17 which provided free secondary education for girls who wanted to become primary teachers. These colleges were boarding institutions and were located in Tourmakeady, Co. Mayo; Dingle, Co. Kerry and Falcarragh, Co. Donegal.</w:t>
      </w:r>
      <w:r w:rsidRPr="00C57F69">
        <w:rPr>
          <w:rFonts w:ascii="Times New Roman" w:hAnsi="Times New Roman" w:cs="Times New Roman"/>
          <w:sz w:val="24"/>
          <w:szCs w:val="24"/>
        </w:rPr>
        <w:t xml:space="preserve"> </w:t>
      </w:r>
    </w:p>
  </w:endnote>
  <w:endnote w:id="37">
    <w:p w14:paraId="748BDCDE" w14:textId="7227F0EA"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This information was provided by the second author of this paper who was </w:t>
      </w:r>
      <w:r w:rsidRPr="00C57F69">
        <w:rPr>
          <w:rFonts w:ascii="Times New Roman" w:hAnsi="Times New Roman" w:cs="Times New Roman"/>
        </w:rPr>
        <w:t>a student at Carysfort College in 1959 and Admissions Officer and senior lecturer in  the College from 1980 to 1987.</w:t>
      </w:r>
    </w:p>
  </w:endnote>
  <w:endnote w:id="38">
    <w:p w14:paraId="4D3157B7" w14:textId="2F43D16E"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From the limited information available in relation to university fees in the middle of the twentieth century, e.g. the Report of the Commission on Higher Education (1968) and the Report on University Reorganisation (1972) it is reasonable to conclude that fees for university courses were about £50 p.a. </w:t>
      </w:r>
    </w:p>
  </w:endnote>
  <w:endnote w:id="39">
    <w:p w14:paraId="1968340F" w14:textId="57C64040" w:rsidR="00C57F69" w:rsidRPr="00C57F69" w:rsidRDefault="00C57F69" w:rsidP="00C57F69">
      <w:pPr>
        <w:pStyle w:val="EndnoteText"/>
        <w:jc w:val="both"/>
        <w:rPr>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The Leaving Certificate was the national examination at the end of senior cycle secondary education.  It was introduced by the Free State government to replace the Senior Certificate which had been administered by the Commissioners of National Education since the passing of the Intermediate Education Act in 1878.</w:t>
      </w:r>
      <w:r w:rsidRPr="00C57F69">
        <w:rPr>
          <w:lang w:val="en-IE"/>
        </w:rPr>
        <w:t xml:space="preserve"> </w:t>
      </w:r>
    </w:p>
  </w:endnote>
  <w:endnote w:id="40">
    <w:p w14:paraId="04A376B0" w14:textId="322E959E" w:rsidR="00C57F69" w:rsidRPr="00C57F69" w:rsidRDefault="00C57F69" w:rsidP="00C57F69">
      <w:pPr>
        <w:spacing w:after="0" w:line="240" w:lineRule="auto"/>
        <w:jc w:val="both"/>
        <w:rPr>
          <w:rFonts w:ascii="Times New Roman" w:eastAsia="Times New Roman" w:hAnsi="Times New Roman" w:cs="Times New Roman"/>
          <w:sz w:val="20"/>
          <w:szCs w:val="20"/>
          <w:lang w:val="en-IE" w:eastAsia="en-GB"/>
        </w:rPr>
      </w:pPr>
      <w:r w:rsidRPr="00C57F69">
        <w:rPr>
          <w:rStyle w:val="EndnoteReference"/>
          <w:rFonts w:ascii="Times New Roman" w:hAnsi="Times New Roman" w:cs="Times New Roman"/>
          <w:sz w:val="20"/>
          <w:szCs w:val="20"/>
        </w:rPr>
        <w:endnoteRef/>
      </w:r>
      <w:r w:rsidRPr="00C57F69">
        <w:rPr>
          <w:rFonts w:ascii="Times New Roman" w:hAnsi="Times New Roman" w:cs="Times New Roman"/>
          <w:sz w:val="20"/>
          <w:szCs w:val="20"/>
        </w:rPr>
        <w:t xml:space="preserve"> Tom </w:t>
      </w:r>
      <w:r w:rsidRPr="00C57F69">
        <w:rPr>
          <w:rFonts w:ascii="Times New Roman" w:eastAsia="Times New Roman" w:hAnsi="Times New Roman" w:cs="Times New Roman"/>
          <w:sz w:val="20"/>
          <w:szCs w:val="20"/>
          <w:lang w:val="en-IE" w:eastAsia="en-GB"/>
        </w:rPr>
        <w:t xml:space="preserve">O’Donoghue, Judith Harford and Teresa O’ Doherty, </w:t>
      </w:r>
      <w:r w:rsidRPr="00C57F69">
        <w:rPr>
          <w:rFonts w:ascii="Times New Roman" w:eastAsia="Times New Roman" w:hAnsi="Times New Roman" w:cs="Times New Roman"/>
          <w:i/>
          <w:iCs/>
          <w:sz w:val="20"/>
          <w:szCs w:val="20"/>
          <w:lang w:val="en-IE" w:eastAsia="en-GB"/>
        </w:rPr>
        <w:t>Teacher Preparation in Ireland: History, Policy and Future Directions</w:t>
      </w:r>
      <w:r w:rsidRPr="00C57F69">
        <w:rPr>
          <w:rFonts w:ascii="Times New Roman" w:eastAsia="Times New Roman" w:hAnsi="Times New Roman" w:cs="Times New Roman"/>
          <w:sz w:val="20"/>
          <w:szCs w:val="20"/>
          <w:lang w:val="en-IE" w:eastAsia="en-GB"/>
        </w:rPr>
        <w:t>, (UK: Emerald, 2017).</w:t>
      </w:r>
    </w:p>
  </w:endnote>
  <w:endnote w:id="41">
    <w:p w14:paraId="0D69D1F1" w14:textId="2D3F818D" w:rsidR="00C57F69" w:rsidRPr="00C57F69" w:rsidRDefault="00C57F69" w:rsidP="00C57F69">
      <w:pPr>
        <w:pStyle w:val="EndnoteText"/>
        <w:jc w:val="both"/>
        <w:rPr>
          <w:rFonts w:asciiTheme="majorBidi" w:hAnsiTheme="majorBidi" w:cstheme="majorBidi"/>
          <w:lang w:val="en-IE"/>
        </w:rPr>
      </w:pPr>
      <w:bookmarkStart w:id="12" w:name="_Hlk125721563"/>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In 1922, there were five teacher training colleges in all: Carysfort College, Mary Immaculate College Limerick; St. Patrick’s College Drumcondra; De la Salle College Waterford and the Church of Ireland College, Kildare Place and subsequently located in Rathmines, Dublin. </w:t>
      </w:r>
      <w:bookmarkEnd w:id="12"/>
    </w:p>
  </w:endnote>
  <w:endnote w:id="42">
    <w:p w14:paraId="08D6EB69" w14:textId="77777777"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Minute books of Carysfort College Governing Body, in the possession of Áine Hyland. </w:t>
      </w:r>
    </w:p>
  </w:endnote>
  <w:endnote w:id="43">
    <w:p w14:paraId="37152C63" w14:textId="474DCBE8"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The Irish school inspectorate, established in 1832, and pre-dating the founding of inspectorates in England and Wales, has had a long and intimate involvement in the development of the school system in Ireland at all levels. See John Coolahan and </w:t>
      </w:r>
      <w:r w:rsidRPr="00C57F69">
        <w:rPr>
          <w:rFonts w:asciiTheme="majorBidi" w:hAnsiTheme="majorBidi" w:cstheme="majorBidi"/>
        </w:rPr>
        <w:t xml:space="preserve">Patrick F. O’ Donovan, </w:t>
      </w:r>
      <w:r w:rsidRPr="00C57F69">
        <w:rPr>
          <w:rFonts w:asciiTheme="majorBidi" w:hAnsiTheme="majorBidi" w:cstheme="majorBidi"/>
          <w:i/>
          <w:iCs/>
        </w:rPr>
        <w:t>A History of Ireland's School Inspectorate, 1831–2008</w:t>
      </w:r>
      <w:r w:rsidRPr="00C57F69">
        <w:rPr>
          <w:rFonts w:asciiTheme="majorBidi" w:hAnsiTheme="majorBidi" w:cstheme="majorBidi"/>
        </w:rPr>
        <w:t xml:space="preserve"> (Dublin, Four Courts Press, 2009).  See also John Coolahan, ‘</w:t>
      </w:r>
      <w:r w:rsidRPr="00C57F69">
        <w:rPr>
          <w:rFonts w:asciiTheme="majorBidi" w:hAnsiTheme="majorBidi" w:cstheme="majorBidi"/>
          <w:shd w:val="clear" w:color="auto" w:fill="FFFFFF"/>
        </w:rPr>
        <w:t>The Fortunes of </w:t>
      </w:r>
      <w:r w:rsidRPr="00C57F69">
        <w:rPr>
          <w:rStyle w:val="il"/>
          <w:rFonts w:asciiTheme="majorBidi" w:hAnsiTheme="majorBidi" w:cstheme="majorBidi"/>
          <w:shd w:val="clear" w:color="auto" w:fill="FFFFFF"/>
        </w:rPr>
        <w:t>Education</w:t>
      </w:r>
      <w:r w:rsidRPr="00C57F69">
        <w:rPr>
          <w:rFonts w:asciiTheme="majorBidi" w:hAnsiTheme="majorBidi" w:cstheme="majorBidi"/>
          <w:shd w:val="clear" w:color="auto" w:fill="FFFFFF"/>
        </w:rPr>
        <w:t xml:space="preserve"> as a Subject of Study and of Research in Ireland, </w:t>
      </w:r>
      <w:r w:rsidRPr="00C57F69">
        <w:rPr>
          <w:rFonts w:asciiTheme="majorBidi" w:hAnsiTheme="majorBidi" w:cstheme="majorBidi"/>
          <w:i/>
          <w:iCs/>
          <w:shd w:val="clear" w:color="auto" w:fill="FFFFFF"/>
        </w:rPr>
        <w:t>Irish </w:t>
      </w:r>
      <w:r w:rsidRPr="00C57F69">
        <w:rPr>
          <w:rStyle w:val="il"/>
          <w:rFonts w:asciiTheme="majorBidi" w:hAnsiTheme="majorBidi" w:cstheme="majorBidi"/>
          <w:i/>
          <w:iCs/>
          <w:shd w:val="clear" w:color="auto" w:fill="FFFFFF"/>
        </w:rPr>
        <w:t>Educational</w:t>
      </w:r>
      <w:r w:rsidRPr="00C57F69">
        <w:rPr>
          <w:rFonts w:asciiTheme="majorBidi" w:hAnsiTheme="majorBidi" w:cstheme="majorBidi"/>
          <w:i/>
          <w:iCs/>
          <w:shd w:val="clear" w:color="auto" w:fill="FFFFFF"/>
        </w:rPr>
        <w:t> Studies</w:t>
      </w:r>
      <w:r w:rsidRPr="00C57F69">
        <w:rPr>
          <w:rFonts w:asciiTheme="majorBidi" w:hAnsiTheme="majorBidi" w:cstheme="majorBidi"/>
          <w:shd w:val="clear" w:color="auto" w:fill="FFFFFF"/>
        </w:rPr>
        <w:t>, 4:1, 1-34.</w:t>
      </w:r>
    </w:p>
  </w:endnote>
  <w:endnote w:id="44">
    <w:p w14:paraId="4C27796C" w14:textId="363CEFBB" w:rsidR="00C57F69" w:rsidRPr="00EC3E3C" w:rsidRDefault="00C57F69" w:rsidP="00EC3E3C">
      <w:pPr>
        <w:pStyle w:val="EndnoteText"/>
        <w:jc w:val="both"/>
        <w:rPr>
          <w:rFonts w:ascii="Times New Roman" w:hAnsi="Times New Roman" w:cs="Times New Roman"/>
        </w:rPr>
      </w:pPr>
      <w:r w:rsidRPr="00C57F69">
        <w:rPr>
          <w:rStyle w:val="EndnoteReference"/>
        </w:rPr>
        <w:endnoteRef/>
      </w:r>
      <w:r w:rsidRPr="00C57F69">
        <w:t xml:space="preserve"> </w:t>
      </w:r>
      <w:r w:rsidRPr="00C57F69">
        <w:rPr>
          <w:rFonts w:asciiTheme="majorBidi" w:hAnsiTheme="majorBidi" w:cstheme="majorBidi"/>
        </w:rPr>
        <w:t>See Deirdre Mathews, ‘On the Cusp of Change: My Experience of Carysfort College in the 70s’: 173-4 and Áine Hyland, ‘The Closure of Carysfort College of Education’:95-146.</w:t>
      </w:r>
    </w:p>
  </w:endnote>
  <w:endnote w:id="45">
    <w:p w14:paraId="502F6188" w14:textId="6DBA077A"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lang w:val="en-IE"/>
        </w:rPr>
        <w:t xml:space="preserve">Sr. Loreto O’Connor, </w:t>
      </w:r>
      <w:r w:rsidRPr="00C57F69">
        <w:rPr>
          <w:rFonts w:ascii="Times New Roman" w:hAnsi="Times New Roman" w:cs="Times New Roman"/>
          <w:i/>
          <w:iCs/>
          <w:lang w:val="en-IE"/>
        </w:rPr>
        <w:t>Passing on the Torch: A History of Mary Immaculate Training College 1898-1998</w:t>
      </w:r>
      <w:r w:rsidRPr="00C57F69">
        <w:rPr>
          <w:rFonts w:ascii="Times New Roman" w:hAnsi="Times New Roman" w:cs="Times New Roman"/>
          <w:lang w:val="en-IE"/>
        </w:rPr>
        <w:t>, (Limerick: Mary Immaculate College):36.</w:t>
      </w:r>
    </w:p>
  </w:endnote>
  <w:endnote w:id="46">
    <w:p w14:paraId="07B22BB3" w14:textId="4CAA36B2" w:rsidR="00C57F69" w:rsidRPr="00C57F69" w:rsidRDefault="00C57F69" w:rsidP="00C57F69">
      <w:pPr>
        <w:spacing w:after="0" w:line="240" w:lineRule="auto"/>
        <w:jc w:val="both"/>
        <w:rPr>
          <w:sz w:val="24"/>
          <w:szCs w:val="24"/>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eastAsia="Times New Roman" w:hAnsi="Times New Roman" w:cs="Times New Roman"/>
          <w:sz w:val="20"/>
          <w:szCs w:val="20"/>
        </w:rPr>
        <w:t>The 1922 Programme for National Education had laid a heavy emphasis on the Irish language and included a requirement that all work in infant classes should be carried out through the medium of Irish. This very quickly proved unrealistic and the programme was amended in 1926 to reduce to some extent the emphasis on Irish. When the Fianna Fáil government came to power in the early 1930s, the Irish language was again re-emphasised and the 1934 National Programme reflected this. Changes in 1956 presaged what would later (1971) be a significantly more child-centred curriculum, and introduced more modern methods to the teaching of infants. These changes were mirrored in the training college programmes and were reflected (for example) by the introduction of a revitalised infant teaching course in the mid-1950s and the provision of a specially equipped “Seomra na Naíonán” (infant classroom).</w:t>
      </w:r>
      <w:r w:rsidRPr="00C57F69">
        <w:rPr>
          <w:rFonts w:ascii="Times New Roman" w:eastAsia="Times New Roman" w:hAnsi="Times New Roman" w:cs="Times New Roman"/>
        </w:rPr>
        <w:t xml:space="preserve"> </w:t>
      </w:r>
      <w:r w:rsidRPr="00C57F69">
        <w:rPr>
          <w:rFonts w:asciiTheme="majorBidi" w:hAnsiTheme="majorBidi" w:cstheme="majorBidi"/>
          <w:sz w:val="20"/>
          <w:szCs w:val="20"/>
        </w:rPr>
        <w:t xml:space="preserve">The Infant Programme for National Schools was revised by the Department of Education between 1948 and 1951 and fundamentally altered the approach to infant teaching in Ireland. Young children were no longer viewed as receptacles of knowledge – they were to be seen as active agents in their own learning.  The significance of play and informal learning in infant classes, which had been ignored in the 1922, 1926 and 1932 National Programmes, was emphasised and this had implications for the training of teachers.  As happened subsequently when the new Primary Curriculum of 1971 was introduced, it took some time before the underlying philosophy of the new 1951 Infant Programme impacted on the training of teachers.  However, by the mid-1950s, in both Carysfort College and Mary Immaculate College, the Infant Education teacher training programme was an enlightened one. In </w:t>
      </w:r>
      <w:r w:rsidRPr="00C57F69">
        <w:rPr>
          <w:rFonts w:asciiTheme="majorBidi" w:hAnsiTheme="majorBidi" w:cstheme="majorBidi"/>
          <w:i/>
          <w:iCs/>
          <w:sz w:val="20"/>
          <w:szCs w:val="20"/>
        </w:rPr>
        <w:t>Carysfort College Remembered</w:t>
      </w:r>
      <w:r w:rsidRPr="00C57F69">
        <w:rPr>
          <w:rFonts w:asciiTheme="majorBidi" w:hAnsiTheme="majorBidi" w:cstheme="majorBidi"/>
          <w:sz w:val="20"/>
          <w:szCs w:val="20"/>
        </w:rPr>
        <w:t xml:space="preserve"> former students recall fond memories of the prototype infant education classroom in the college – which was described as “bright and colourful and a haven of peace and tranquility”. (p. 97).</w:t>
      </w:r>
    </w:p>
  </w:endnote>
  <w:endnote w:id="47">
    <w:p w14:paraId="34F415CE" w14:textId="5C395E6C"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lang w:val="en-IE"/>
        </w:rPr>
        <w:t>Cited in Harford and Redmond, 2021: 191.</w:t>
      </w:r>
    </w:p>
  </w:endnote>
  <w:endnote w:id="48">
    <w:p w14:paraId="05C39A79" w14:textId="0F128716" w:rsidR="00C57F69" w:rsidRPr="00C57F69" w:rsidRDefault="00C57F69" w:rsidP="00C57F69">
      <w:pPr>
        <w:pStyle w:val="EndnoteText"/>
        <w:jc w:val="both"/>
        <w:rPr>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lang w:val="en-IE"/>
        </w:rPr>
        <w:t>Cited in Harford and Redmond, 2021: 191.</w:t>
      </w:r>
    </w:p>
  </w:endnote>
  <w:endnote w:id="49">
    <w:p w14:paraId="137EB16A" w14:textId="6D75EBE3"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lang w:val="en-IE"/>
        </w:rPr>
        <w:t>Cited in Harford and Redmond, 2021: 192.</w:t>
      </w:r>
    </w:p>
  </w:endnote>
  <w:endnote w:id="50">
    <w:p w14:paraId="67790D52"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See for example Judith Butler, ‘Performative Acts and Gender Constitution: An Essay in Phenomenology and Feminist Theory,’ </w:t>
      </w:r>
      <w:r w:rsidRPr="00C57F69">
        <w:rPr>
          <w:rFonts w:ascii="Times New Roman" w:hAnsi="Times New Roman" w:cs="Times New Roman"/>
          <w:i/>
          <w:iCs/>
        </w:rPr>
        <w:t>Theatre Journal</w:t>
      </w:r>
      <w:r w:rsidRPr="00C57F69">
        <w:rPr>
          <w:rFonts w:ascii="Times New Roman" w:hAnsi="Times New Roman" w:cs="Times New Roman"/>
        </w:rPr>
        <w:t>, 40, no. 4. (Dec., 1988): 519-531 on gender as performative.</w:t>
      </w:r>
    </w:p>
  </w:endnote>
  <w:endnote w:id="51">
    <w:p w14:paraId="33EBABD5"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Michel </w:t>
      </w:r>
      <w:r w:rsidRPr="00C57F69">
        <w:rPr>
          <w:rFonts w:ascii="Times New Roman" w:eastAsia="Times New Roman" w:hAnsi="Times New Roman" w:cs="Times New Roman"/>
        </w:rPr>
        <w:t>Foucault, </w:t>
      </w:r>
      <w:r w:rsidRPr="00C57F69">
        <w:rPr>
          <w:rFonts w:ascii="Times New Roman" w:eastAsia="Times New Roman" w:hAnsi="Times New Roman" w:cs="Times New Roman"/>
          <w:i/>
          <w:iCs/>
          <w:bdr w:val="none" w:sz="0" w:space="0" w:color="auto" w:frame="1"/>
        </w:rPr>
        <w:t>Discipline and Punish: The Birth of the Prison</w:t>
      </w:r>
      <w:r w:rsidRPr="00C57F69">
        <w:rPr>
          <w:rFonts w:ascii="Times New Roman" w:eastAsia="Times New Roman" w:hAnsi="Times New Roman" w:cs="Times New Roman"/>
        </w:rPr>
        <w:t>, trans. A. Sheridan (Harmondsworth: Peregrine, 1977): 138-9.</w:t>
      </w:r>
    </w:p>
  </w:endnote>
  <w:endnote w:id="52">
    <w:p w14:paraId="2C862779" w14:textId="415319CE" w:rsidR="00C57F69" w:rsidRPr="00C57F69" w:rsidRDefault="00C57F69" w:rsidP="00C57F69">
      <w:pPr>
        <w:spacing w:after="0" w:line="240" w:lineRule="auto"/>
        <w:jc w:val="both"/>
        <w:rPr>
          <w:rFonts w:asciiTheme="majorBidi" w:hAnsiTheme="majorBidi" w:cstheme="majorBidi"/>
          <w:sz w:val="20"/>
          <w:szCs w:val="20"/>
        </w:rPr>
      </w:pPr>
      <w:r w:rsidRPr="00C57F69">
        <w:rPr>
          <w:rStyle w:val="EndnoteReference"/>
          <w:rFonts w:asciiTheme="majorBidi" w:hAnsiTheme="majorBidi" w:cstheme="majorBidi"/>
          <w:sz w:val="20"/>
          <w:szCs w:val="20"/>
        </w:rPr>
        <w:endnoteRef/>
      </w:r>
      <w:r w:rsidRPr="00C57F69">
        <w:rPr>
          <w:rFonts w:asciiTheme="majorBidi" w:hAnsiTheme="majorBidi" w:cstheme="majorBidi"/>
          <w:sz w:val="20"/>
          <w:szCs w:val="20"/>
        </w:rPr>
        <w:t xml:space="preserve"> Memories of Miriam O’Brien, as told to her daughter Ann Creaner in </w:t>
      </w:r>
      <w:r w:rsidRPr="00C57F69">
        <w:rPr>
          <w:rFonts w:asciiTheme="majorBidi" w:hAnsiTheme="majorBidi" w:cstheme="majorBidi"/>
          <w:i/>
          <w:iCs/>
          <w:sz w:val="20"/>
          <w:szCs w:val="20"/>
        </w:rPr>
        <w:t xml:space="preserve">Carysfort College Remembered </w:t>
      </w:r>
      <w:r w:rsidRPr="00C57F69">
        <w:rPr>
          <w:rFonts w:asciiTheme="majorBidi" w:hAnsiTheme="majorBidi" w:cstheme="majorBidi"/>
          <w:sz w:val="20"/>
          <w:szCs w:val="20"/>
        </w:rPr>
        <w:t xml:space="preserve">:38. See also Harford and Redmond, </w:t>
      </w:r>
      <w:r w:rsidRPr="00C57F69">
        <w:rPr>
          <w:rFonts w:ascii="Times New Roman" w:eastAsia="Times New Roman" w:hAnsi="Times New Roman" w:cs="Times New Roman"/>
          <w:bCs/>
          <w:kern w:val="32"/>
          <w:sz w:val="20"/>
          <w:szCs w:val="20"/>
          <w:lang w:val="en-IE"/>
        </w:rPr>
        <w:t xml:space="preserve">‘I am amazed at how easily we accepted it’: The Marriage Ban, Teaching and Ideologies of Womanhood in Post-Independence Ireland’ and </w:t>
      </w:r>
      <w:r w:rsidRPr="00C57F69">
        <w:rPr>
          <w:rFonts w:ascii="Times New Roman" w:hAnsi="Times New Roman" w:cs="Times New Roman"/>
          <w:sz w:val="20"/>
          <w:szCs w:val="20"/>
        </w:rPr>
        <w:t xml:space="preserve">Poole, ‘Reflections on My Time in Carysfort Training College 1952–54,’ in </w:t>
      </w:r>
      <w:r w:rsidRPr="00C57F69">
        <w:rPr>
          <w:rFonts w:ascii="Times New Roman" w:hAnsi="Times New Roman" w:cs="Times New Roman"/>
          <w:i/>
          <w:iCs/>
          <w:sz w:val="20"/>
          <w:szCs w:val="20"/>
        </w:rPr>
        <w:t>Carysfort College Remembered.</w:t>
      </w:r>
    </w:p>
  </w:endnote>
  <w:endnote w:id="53">
    <w:p w14:paraId="0FDBBDC0"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heme="majorBidi" w:hAnsiTheme="majorBidi" w:cstheme="majorBidi"/>
        </w:rPr>
        <w:endnoteRef/>
      </w:r>
      <w:r w:rsidRPr="00C57F69">
        <w:rPr>
          <w:rFonts w:asciiTheme="majorBidi" w:hAnsiTheme="majorBidi" w:cstheme="majorBidi"/>
        </w:rPr>
        <w:t xml:space="preserve"> Elizabeth Edwards, ‘The Culture of Femininity in Women’s Teacher Training Colleges 1900-50,</w:t>
      </w:r>
      <w:r w:rsidRPr="00C57F69">
        <w:rPr>
          <w:rFonts w:asciiTheme="majorBidi" w:hAnsiTheme="majorBidi" w:cstheme="majorBidi"/>
          <w:i/>
          <w:iCs/>
        </w:rPr>
        <w:t>’ History of Education</w:t>
      </w:r>
      <w:r w:rsidRPr="00C57F69">
        <w:rPr>
          <w:rFonts w:asciiTheme="majorBidi" w:hAnsiTheme="majorBidi" w:cstheme="majorBidi"/>
        </w:rPr>
        <w:t>, vol. 22, no. 3. (1993): 277-288.</w:t>
      </w:r>
    </w:p>
  </w:endnote>
  <w:endnote w:id="54">
    <w:p w14:paraId="003B7D93" w14:textId="349562EA"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Foucault, </w:t>
      </w:r>
      <w:r w:rsidRPr="00C57F69">
        <w:rPr>
          <w:rFonts w:ascii="Times New Roman" w:hAnsi="Times New Roman" w:cs="Times New Roman"/>
          <w:i/>
          <w:iCs/>
        </w:rPr>
        <w:t>Discipline and Punish</w:t>
      </w:r>
      <w:r w:rsidRPr="00C57F69">
        <w:rPr>
          <w:rFonts w:ascii="Times New Roman" w:hAnsi="Times New Roman" w:cs="Times New Roman"/>
        </w:rPr>
        <w:t>.</w:t>
      </w:r>
    </w:p>
  </w:endnote>
  <w:endnote w:id="55">
    <w:p w14:paraId="7015778F" w14:textId="43D614D3" w:rsidR="00C57F69" w:rsidRPr="00C57F69" w:rsidRDefault="00C57F69" w:rsidP="00C57F69">
      <w:pPr>
        <w:pStyle w:val="EndnoteText"/>
        <w:jc w:val="both"/>
      </w:pPr>
      <w:r w:rsidRPr="00C57F69">
        <w:rPr>
          <w:rStyle w:val="EndnoteReference"/>
          <w:rFonts w:ascii="Times New Roman" w:hAnsi="Times New Roman" w:cs="Times New Roman"/>
        </w:rPr>
        <w:endnoteRef/>
      </w:r>
      <w:r w:rsidRPr="00C57F69">
        <w:rPr>
          <w:rFonts w:ascii="Times New Roman" w:hAnsi="Times New Roman" w:cs="Times New Roman"/>
        </w:rPr>
        <w:t xml:space="preserve"> Cited in </w:t>
      </w:r>
      <w:r w:rsidRPr="00C57F69">
        <w:rPr>
          <w:rFonts w:ascii="Times New Roman" w:eastAsia="Times New Roman" w:hAnsi="Times New Roman" w:cs="Times New Roman"/>
          <w:bCs/>
        </w:rPr>
        <w:t>Harford and Redmond</w:t>
      </w:r>
      <w:r w:rsidRPr="00C57F69">
        <w:rPr>
          <w:rFonts w:ascii="Times New Roman" w:eastAsia="Times New Roman" w:hAnsi="Times New Roman" w:cs="Times New Roman"/>
          <w:bCs/>
          <w:kern w:val="32"/>
          <w:lang w:val="en-IE"/>
        </w:rPr>
        <w:t xml:space="preserve"> ‘I am amazed at how easily we accepted it’: The Marriage Ban, Teaching and Ideologies of Womanhood in Post-Independence Ireland,’: 197.</w:t>
      </w:r>
    </w:p>
  </w:endnote>
  <w:endnote w:id="56">
    <w:p w14:paraId="1EE6FC0C" w14:textId="45563B0D" w:rsidR="00C57F69" w:rsidRPr="00C57F69" w:rsidRDefault="00C57F69" w:rsidP="00C57F69">
      <w:pPr>
        <w:pStyle w:val="EndnoteText"/>
        <w:jc w:val="both"/>
      </w:pPr>
      <w:r w:rsidRPr="00C57F69">
        <w:rPr>
          <w:rStyle w:val="EndnoteReference"/>
        </w:rPr>
        <w:endnoteRef/>
      </w:r>
      <w:r w:rsidRPr="00C57F69">
        <w:t xml:space="preserve"> </w:t>
      </w:r>
      <w:r w:rsidRPr="00C57F69">
        <w:rPr>
          <w:rFonts w:ascii="Times New Roman" w:hAnsi="Times New Roman" w:cs="Times New Roman"/>
        </w:rPr>
        <w:t xml:space="preserve">Cited in </w:t>
      </w:r>
      <w:r w:rsidRPr="00C57F69">
        <w:rPr>
          <w:rFonts w:ascii="Times New Roman" w:eastAsia="Times New Roman" w:hAnsi="Times New Roman" w:cs="Times New Roman"/>
          <w:bCs/>
        </w:rPr>
        <w:t>Harford and Redmond</w:t>
      </w:r>
      <w:r w:rsidRPr="00C57F69">
        <w:rPr>
          <w:rFonts w:ascii="Times New Roman" w:eastAsia="Times New Roman" w:hAnsi="Times New Roman" w:cs="Times New Roman"/>
          <w:bCs/>
          <w:kern w:val="32"/>
          <w:lang w:val="en-IE"/>
        </w:rPr>
        <w:t xml:space="preserve"> ‘I am amazed at how easily we accepted it’: The Marriage Ban, Teaching and Ideologies of Womanhood in Post-Independence Ireland,’: 196.</w:t>
      </w:r>
    </w:p>
  </w:endnote>
  <w:endnote w:id="57">
    <w:p w14:paraId="2D4FFDAE"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Cited in </w:t>
      </w:r>
      <w:r w:rsidRPr="00C57F69">
        <w:rPr>
          <w:rFonts w:ascii="Times New Roman" w:eastAsia="Times New Roman" w:hAnsi="Times New Roman" w:cs="Times New Roman"/>
          <w:bCs/>
        </w:rPr>
        <w:t>Harford and Redmond</w:t>
      </w:r>
      <w:r w:rsidRPr="00C57F69">
        <w:rPr>
          <w:rFonts w:ascii="Times New Roman" w:eastAsia="Times New Roman" w:hAnsi="Times New Roman" w:cs="Times New Roman"/>
          <w:bCs/>
          <w:kern w:val="32"/>
          <w:lang w:val="en-IE"/>
        </w:rPr>
        <w:t xml:space="preserve"> ‘I am amazed at how easily we accepted it’: The Marriage Ban, Teaching and Ideologies of Womanhood in Post-Independence Ireland,’: 196.</w:t>
      </w:r>
    </w:p>
  </w:endnote>
  <w:endnote w:id="58">
    <w:p w14:paraId="144C14A2" w14:textId="0A2D434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Fiona Poole, ‘Reflections on My Time in Carysfort Training College 1952–54,’ </w:t>
      </w:r>
      <w:bookmarkStart w:id="20" w:name="_Hlk99978027"/>
      <w:r w:rsidRPr="00C57F69">
        <w:rPr>
          <w:rFonts w:ascii="Times New Roman" w:hAnsi="Times New Roman" w:cs="Times New Roman"/>
        </w:rPr>
        <w:t xml:space="preserve">in </w:t>
      </w:r>
      <w:r w:rsidRPr="00C57F69">
        <w:rPr>
          <w:rFonts w:ascii="Times New Roman" w:hAnsi="Times New Roman" w:cs="Times New Roman"/>
          <w:i/>
          <w:iCs/>
        </w:rPr>
        <w:t>Carysfort College Remembered</w:t>
      </w:r>
      <w:r w:rsidRPr="00C57F69">
        <w:rPr>
          <w:rFonts w:ascii="Times New Roman" w:hAnsi="Times New Roman" w:cs="Times New Roman"/>
        </w:rPr>
        <w:t xml:space="preserve">, edited Séamus MacGabhann, (Dublin: Carysfort College Commemoration Committee): </w:t>
      </w:r>
      <w:bookmarkEnd w:id="20"/>
      <w:r w:rsidRPr="00C57F69">
        <w:rPr>
          <w:rFonts w:ascii="Times New Roman" w:hAnsi="Times New Roman" w:cs="Times New Roman"/>
        </w:rPr>
        <w:t>273.</w:t>
      </w:r>
    </w:p>
  </w:endnote>
  <w:endnote w:id="59">
    <w:p w14:paraId="16851798" w14:textId="282F3405"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i/>
          <w:iCs/>
        </w:rPr>
        <w:t>Ibid</w:t>
      </w:r>
      <w:r w:rsidRPr="00C57F69">
        <w:rPr>
          <w:rFonts w:ascii="Times New Roman" w:hAnsi="Times New Roman" w:cs="Times New Roman"/>
        </w:rPr>
        <w:t>: 272.</w:t>
      </w:r>
    </w:p>
  </w:endnote>
  <w:endnote w:id="60">
    <w:p w14:paraId="05F1844A" w14:textId="6E5B3D46" w:rsidR="00C57F69" w:rsidRPr="00C57F69" w:rsidRDefault="00C57F69" w:rsidP="00C57F69">
      <w:pPr>
        <w:pStyle w:val="EndnoteText"/>
        <w:jc w:val="both"/>
      </w:pPr>
      <w:r w:rsidRPr="00C57F69">
        <w:rPr>
          <w:rStyle w:val="EndnoteReference"/>
        </w:rPr>
        <w:endnoteRef/>
      </w:r>
      <w:r w:rsidRPr="00C57F69">
        <w:t xml:space="preserve"> </w:t>
      </w:r>
      <w:r w:rsidRPr="00C57F69">
        <w:rPr>
          <w:rFonts w:ascii="Times New Roman" w:hAnsi="Times New Roman" w:cs="Times New Roman"/>
        </w:rPr>
        <w:t xml:space="preserve">Áine Hyland, ‘The Closure of Carysfort College of Education,’ in </w:t>
      </w:r>
      <w:r w:rsidRPr="00C57F69">
        <w:rPr>
          <w:rFonts w:ascii="Times New Roman" w:hAnsi="Times New Roman" w:cs="Times New Roman"/>
          <w:i/>
          <w:iCs/>
        </w:rPr>
        <w:t>Carysfort College Remembered</w:t>
      </w:r>
      <w:r w:rsidRPr="00C57F69">
        <w:rPr>
          <w:rFonts w:ascii="Times New Roman" w:hAnsi="Times New Roman" w:cs="Times New Roman"/>
        </w:rPr>
        <w:t xml:space="preserve">, edited Séamus MacGabhann, (Dublin: Carysfort College Commemoration Committee): 97. </w:t>
      </w:r>
    </w:p>
  </w:endnote>
  <w:endnote w:id="61">
    <w:p w14:paraId="72A8942A" w14:textId="29830F35"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Áine Hyland, ‘The Closure of Carysfort College of Education,’ in </w:t>
      </w:r>
      <w:r w:rsidRPr="00C57F69">
        <w:rPr>
          <w:rFonts w:ascii="Times New Roman" w:hAnsi="Times New Roman" w:cs="Times New Roman"/>
          <w:i/>
          <w:iCs/>
        </w:rPr>
        <w:t>Carysfort College Remembered</w:t>
      </w:r>
      <w:r w:rsidRPr="00C57F69">
        <w:rPr>
          <w:rFonts w:ascii="Times New Roman" w:hAnsi="Times New Roman" w:cs="Times New Roman"/>
        </w:rPr>
        <w:t xml:space="preserve">, edited Séamus MacGabhann, (Dublin: Carysfort College Commemoration Committee): 97. </w:t>
      </w:r>
    </w:p>
  </w:endnote>
  <w:endnote w:id="62">
    <w:p w14:paraId="141F79E0" w14:textId="5A89AD47" w:rsidR="00C57F69" w:rsidRPr="00C57F69" w:rsidRDefault="00C57F69" w:rsidP="00C57F69">
      <w:pPr>
        <w:autoSpaceDE w:val="0"/>
        <w:autoSpaceDN w:val="0"/>
        <w:adjustRightInd w:val="0"/>
        <w:spacing w:after="0" w:line="240" w:lineRule="auto"/>
        <w:jc w:val="both"/>
        <w:rPr>
          <w:rFonts w:asciiTheme="majorBidi" w:eastAsia="MinionPro-Regular" w:hAnsiTheme="majorBidi" w:cstheme="majorBidi"/>
          <w:sz w:val="20"/>
          <w:szCs w:val="20"/>
          <w:lang w:val="en-IE"/>
        </w:rPr>
      </w:pPr>
      <w:r w:rsidRPr="00C57F69">
        <w:rPr>
          <w:rStyle w:val="EndnoteReference"/>
          <w:rFonts w:asciiTheme="majorBidi" w:hAnsiTheme="majorBidi" w:cstheme="majorBidi"/>
          <w:sz w:val="20"/>
          <w:szCs w:val="20"/>
        </w:rPr>
        <w:endnoteRef/>
      </w:r>
      <w:r w:rsidRPr="00C57F69">
        <w:rPr>
          <w:rFonts w:asciiTheme="majorBidi" w:hAnsiTheme="majorBidi" w:cstheme="majorBidi"/>
          <w:sz w:val="20"/>
          <w:szCs w:val="20"/>
        </w:rPr>
        <w:t xml:space="preserve"> The introduction of a three-year B Ed programme meant that colleges of education (previously training colleges) were now </w:t>
      </w:r>
      <w:r w:rsidRPr="00C57F69">
        <w:rPr>
          <w:rFonts w:asciiTheme="majorBidi" w:eastAsia="MinionPro-Regular" w:hAnsiTheme="majorBidi" w:cstheme="majorBidi"/>
          <w:sz w:val="20"/>
          <w:szCs w:val="20"/>
          <w:lang w:val="en-IE"/>
        </w:rPr>
        <w:t>affiliated with universities, and teaching was now an all-graduate profession.</w:t>
      </w:r>
    </w:p>
  </w:endnote>
  <w:endnote w:id="63">
    <w:p w14:paraId="5EC82997" w14:textId="1A6C6AB4"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Deirdre Mathews, ‘On the Cusp of Change: My Experience of Carysfort College in the 70s’: 173-4.</w:t>
      </w:r>
    </w:p>
  </w:endnote>
  <w:endnote w:id="64">
    <w:p w14:paraId="0DF521CE" w14:textId="4C1D24C9"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Judith </w:t>
      </w:r>
      <w:r w:rsidRPr="00C57F69">
        <w:rPr>
          <w:rFonts w:asciiTheme="majorBidi" w:eastAsia="Times New Roman" w:hAnsiTheme="majorBidi" w:cstheme="majorBidi"/>
          <w:bCs/>
        </w:rPr>
        <w:t xml:space="preserve">Harford and Tom O’ Donoghue, </w:t>
      </w:r>
      <w:r w:rsidRPr="00C57F69">
        <w:rPr>
          <w:rFonts w:asciiTheme="majorBidi" w:hAnsiTheme="majorBidi" w:cstheme="majorBidi"/>
        </w:rPr>
        <w:t xml:space="preserve">'Challenging the Dominant Church Hegemony in Times of Risk and Promise: Carysfort Women Resist,' </w:t>
      </w:r>
      <w:r w:rsidRPr="00C57F69">
        <w:rPr>
          <w:rFonts w:asciiTheme="majorBidi" w:hAnsiTheme="majorBidi" w:cstheme="majorBidi"/>
          <w:i/>
          <w:iCs/>
        </w:rPr>
        <w:t>Gender and Education</w:t>
      </w:r>
      <w:r w:rsidRPr="00C57F69">
        <w:rPr>
          <w:rFonts w:asciiTheme="majorBidi" w:hAnsiTheme="majorBidi" w:cstheme="majorBidi"/>
        </w:rPr>
        <w:t>, 33, no. 3 (2021): 372-384.</w:t>
      </w:r>
    </w:p>
  </w:endnote>
  <w:endnote w:id="65">
    <w:p w14:paraId="7083547C" w14:textId="72D8D79F" w:rsidR="00C57F69" w:rsidRPr="00C57F69" w:rsidRDefault="00C57F69" w:rsidP="00C57F69">
      <w:pPr>
        <w:pStyle w:val="EndnoteText"/>
        <w:jc w:val="both"/>
      </w:pPr>
      <w:r w:rsidRPr="00C57F69">
        <w:rPr>
          <w:rStyle w:val="EndnoteReference"/>
          <w:rFonts w:asciiTheme="majorBidi" w:hAnsiTheme="majorBidi" w:cstheme="majorBidi"/>
        </w:rPr>
        <w:endnoteRef/>
      </w:r>
      <w:r w:rsidRPr="00C57F69">
        <w:rPr>
          <w:rFonts w:asciiTheme="majorBidi" w:hAnsiTheme="majorBidi" w:cstheme="majorBidi"/>
        </w:rPr>
        <w:t xml:space="preserve"> André </w:t>
      </w:r>
      <w:r w:rsidRPr="00C57F69">
        <w:rPr>
          <w:rStyle w:val="hlfld-contribauthor"/>
          <w:rFonts w:asciiTheme="majorBidi" w:hAnsiTheme="majorBidi" w:cstheme="majorBidi"/>
        </w:rPr>
        <w:t>Robert</w:t>
      </w:r>
      <w:r w:rsidRPr="00C57F69">
        <w:rPr>
          <w:rFonts w:asciiTheme="majorBidi" w:hAnsiTheme="majorBidi" w:cstheme="majorBidi"/>
        </w:rPr>
        <w:t xml:space="preserve"> and </w:t>
      </w:r>
      <w:r w:rsidRPr="00C57F69">
        <w:rPr>
          <w:rStyle w:val="nlmgiven-names"/>
          <w:rFonts w:asciiTheme="majorBidi" w:hAnsiTheme="majorBidi" w:cstheme="majorBidi"/>
        </w:rPr>
        <w:t>Jeffrey</w:t>
      </w:r>
      <w:r w:rsidRPr="00C57F69">
        <w:rPr>
          <w:rStyle w:val="hlfld-contribauthor"/>
          <w:rFonts w:asciiTheme="majorBidi" w:hAnsiTheme="majorBidi" w:cstheme="majorBidi"/>
        </w:rPr>
        <w:t> Tyssens</w:t>
      </w:r>
      <w:r w:rsidRPr="00C57F69">
        <w:rPr>
          <w:rFonts w:asciiTheme="majorBidi" w:hAnsiTheme="majorBidi" w:cstheme="majorBidi"/>
        </w:rPr>
        <w:t>. </w:t>
      </w:r>
      <w:r w:rsidRPr="00C57F69">
        <w:rPr>
          <w:rStyle w:val="nlmyear"/>
          <w:rFonts w:asciiTheme="majorBidi" w:hAnsiTheme="majorBidi" w:cstheme="majorBidi"/>
        </w:rPr>
        <w:t>2008</w:t>
      </w:r>
      <w:r w:rsidRPr="00C57F69">
        <w:rPr>
          <w:rFonts w:asciiTheme="majorBidi" w:hAnsiTheme="majorBidi" w:cstheme="majorBidi"/>
        </w:rPr>
        <w:t>. “</w:t>
      </w:r>
      <w:r w:rsidRPr="00C57F69">
        <w:rPr>
          <w:rStyle w:val="nlmarticle-title"/>
          <w:rFonts w:asciiTheme="majorBidi" w:hAnsiTheme="majorBidi" w:cstheme="majorBidi"/>
        </w:rPr>
        <w:t>Mapping Teachers’ Strikes: A ‘Professionalist’ Approach</w:t>
      </w:r>
      <w:r w:rsidRPr="00C57F69">
        <w:rPr>
          <w:rFonts w:asciiTheme="majorBidi" w:hAnsiTheme="majorBidi" w:cstheme="majorBidi"/>
        </w:rPr>
        <w:t>.” </w:t>
      </w:r>
      <w:r w:rsidRPr="00C57F69">
        <w:rPr>
          <w:rFonts w:asciiTheme="majorBidi" w:hAnsiTheme="majorBidi" w:cstheme="majorBidi"/>
          <w:i/>
          <w:iCs/>
        </w:rPr>
        <w:t>Paedagogica Historica</w:t>
      </w:r>
      <w:r w:rsidRPr="00C57F69">
        <w:rPr>
          <w:rFonts w:asciiTheme="majorBidi" w:hAnsiTheme="majorBidi" w:cstheme="majorBidi"/>
        </w:rPr>
        <w:t> 44, no. 5 (2008): </w:t>
      </w:r>
      <w:r w:rsidRPr="00C57F69">
        <w:rPr>
          <w:rStyle w:val="nlmfpage"/>
          <w:rFonts w:asciiTheme="majorBidi" w:hAnsiTheme="majorBidi" w:cstheme="majorBidi"/>
        </w:rPr>
        <w:t>501</w:t>
      </w:r>
      <w:r w:rsidRPr="00C57F69">
        <w:rPr>
          <w:rFonts w:asciiTheme="majorBidi" w:hAnsiTheme="majorBidi" w:cstheme="majorBidi"/>
        </w:rPr>
        <w:t>–</w:t>
      </w:r>
      <w:r w:rsidRPr="00C57F69">
        <w:rPr>
          <w:rStyle w:val="nlmlpage"/>
          <w:rFonts w:asciiTheme="majorBidi" w:hAnsiTheme="majorBidi" w:cstheme="majorBidi"/>
        </w:rPr>
        <w:t>516.</w:t>
      </w:r>
    </w:p>
  </w:endnote>
  <w:endnote w:id="66">
    <w:p w14:paraId="7BD82B28" w14:textId="10D65462" w:rsidR="00C57F69" w:rsidRPr="00C57F69" w:rsidRDefault="00C57F69" w:rsidP="00C57F69">
      <w:pPr>
        <w:pStyle w:val="EndnoteText"/>
        <w:jc w:val="both"/>
      </w:pPr>
      <w:r w:rsidRPr="00C57F69">
        <w:rPr>
          <w:rStyle w:val="EndnoteReference"/>
          <w:rFonts w:ascii="Times New Roman" w:hAnsi="Times New Roman" w:cs="Times New Roman"/>
        </w:rPr>
        <w:endnoteRef/>
      </w:r>
      <w:r w:rsidRPr="00C57F69">
        <w:rPr>
          <w:rFonts w:ascii="Times New Roman" w:hAnsi="Times New Roman" w:cs="Times New Roman"/>
        </w:rPr>
        <w:t xml:space="preserve"> Catherine Byrne ‘The Inside Story of the Carysfort College Strike,’ in </w:t>
      </w:r>
      <w:r w:rsidRPr="00C57F69">
        <w:rPr>
          <w:rFonts w:ascii="Times New Roman" w:hAnsi="Times New Roman" w:cs="Times New Roman"/>
          <w:i/>
          <w:iCs/>
        </w:rPr>
        <w:t>Carysfort College Remembered</w:t>
      </w:r>
      <w:r w:rsidRPr="00C57F69">
        <w:rPr>
          <w:rFonts w:ascii="Times New Roman" w:hAnsi="Times New Roman" w:cs="Times New Roman"/>
        </w:rPr>
        <w:t>, edited Séamus MacGabhann, (Dublin: Carysfort College Commemoration Committee): 9.</w:t>
      </w:r>
    </w:p>
  </w:endnote>
  <w:endnote w:id="67">
    <w:p w14:paraId="41EC1FAF" w14:textId="117ED7E6"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Teaching Practice Reports of students from Mary Immaculate College, 1915-1924 published in Brian Hughes, Úna Ní Bhroiméil, Benjamin Ragan, </w:t>
      </w:r>
      <w:r w:rsidRPr="00C57F69">
        <w:rPr>
          <w:rFonts w:asciiTheme="majorBidi" w:hAnsiTheme="majorBidi" w:cstheme="majorBidi"/>
          <w:i/>
          <w:iCs/>
        </w:rPr>
        <w:t xml:space="preserve">Mary Immaculate College (eds.) Studying Revolution: Accounts of Mary Immaculate College, 1918–1923 </w:t>
      </w:r>
      <w:r w:rsidRPr="00C57F69">
        <w:rPr>
          <w:rFonts w:asciiTheme="majorBidi" w:hAnsiTheme="majorBidi" w:cstheme="majorBidi"/>
        </w:rPr>
        <w:t>(Limerick: Limerick City and County Council, 2022): 34-37.</w:t>
      </w:r>
    </w:p>
  </w:endnote>
  <w:endnote w:id="68">
    <w:p w14:paraId="533042A9" w14:textId="72A8E5B7"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Memoir of Catherine Daly, a student at Mary Immaculate College in the period 1919-1921 published in Brian Hughes, Úna Ní Bhroiméil and Benjamin Ragan, </w:t>
      </w:r>
      <w:r w:rsidRPr="00C57F69">
        <w:rPr>
          <w:rFonts w:asciiTheme="majorBidi" w:hAnsiTheme="majorBidi" w:cstheme="majorBidi"/>
          <w:i/>
          <w:iCs/>
        </w:rPr>
        <w:t xml:space="preserve">Mary Immaculate College (eds.) Studying Revolution: Accounts of Mary Immaculate College, 1918–1923 </w:t>
      </w:r>
      <w:r w:rsidRPr="00C57F69">
        <w:rPr>
          <w:rFonts w:asciiTheme="majorBidi" w:hAnsiTheme="majorBidi" w:cstheme="majorBidi"/>
        </w:rPr>
        <w:t>(Limerick: Limerick City and County Council, 2022): 19-21.</w:t>
      </w:r>
    </w:p>
  </w:endnote>
  <w:endnote w:id="69">
    <w:p w14:paraId="743F1AB0" w14:textId="77777777"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Louise Ryan</w:t>
      </w:r>
      <w:r w:rsidRPr="00C57F69">
        <w:rPr>
          <w:rFonts w:asciiTheme="majorBidi" w:hAnsiTheme="majorBidi" w:cstheme="majorBidi"/>
          <w:i/>
          <w:iCs/>
        </w:rPr>
        <w:t>, Gender, Identity and the Irish Press, 1922-1937: Embodying the Nation</w:t>
      </w:r>
      <w:r w:rsidRPr="00C57F69">
        <w:rPr>
          <w:rFonts w:asciiTheme="majorBidi" w:hAnsiTheme="majorBidi" w:cstheme="majorBidi"/>
        </w:rPr>
        <w:t>, (Lewiston, New York: Edwin Mellen Press, 2001):43.</w:t>
      </w:r>
    </w:p>
  </w:endnote>
  <w:endnote w:id="70">
    <w:p w14:paraId="1157EC86" w14:textId="334EBA91"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Mary Immaculate College Training College Annual, Vol. 1, 1927, p. 36, cited in Úna Ní Bhroiméil, “Images and Icons: Female Teachers’ Representations of Self and Self-Control in 1920s Ireland.” </w:t>
      </w:r>
      <w:r w:rsidRPr="00C57F69">
        <w:rPr>
          <w:rStyle w:val="Emphasis"/>
          <w:rFonts w:asciiTheme="majorBidi" w:hAnsiTheme="majorBidi" w:cstheme="majorBidi"/>
        </w:rPr>
        <w:t>History of Education Review</w:t>
      </w:r>
      <w:r w:rsidRPr="00C57F69">
        <w:rPr>
          <w:rFonts w:asciiTheme="majorBidi" w:hAnsiTheme="majorBidi" w:cstheme="majorBidi"/>
        </w:rPr>
        <w:t> 37, no. 1, (2008): 8</w:t>
      </w:r>
      <w:r w:rsidRPr="00C57F69">
        <w:t>.</w:t>
      </w:r>
    </w:p>
  </w:endnote>
  <w:endnote w:id="71">
    <w:p w14:paraId="3100CF9F" w14:textId="68BA3F20"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Mary Immaculate College Training College Annual, Vol. 1, 1927: 36; vol. 2, 1928; 17-18, cited in Úna Ní Bhroiméil, “Images and Icons: Female Teachers’ Representations of Self and Self-Control in 1920s Ireland.” </w:t>
      </w:r>
      <w:r w:rsidRPr="00C57F69">
        <w:rPr>
          <w:rStyle w:val="Emphasis"/>
          <w:rFonts w:asciiTheme="majorBidi" w:hAnsiTheme="majorBidi" w:cstheme="majorBidi"/>
        </w:rPr>
        <w:t>History of Education Review</w:t>
      </w:r>
      <w:r w:rsidRPr="00C57F69">
        <w:rPr>
          <w:rFonts w:asciiTheme="majorBidi" w:hAnsiTheme="majorBidi" w:cstheme="majorBidi"/>
        </w:rPr>
        <w:t xml:space="preserve"> 37, no. 1, (2008): 9.  </w:t>
      </w:r>
    </w:p>
  </w:endnote>
  <w:endnote w:id="72">
    <w:p w14:paraId="2FA06A42" w14:textId="1370FDB8"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James Smith, </w:t>
      </w:r>
      <w:r w:rsidRPr="00C57F69">
        <w:rPr>
          <w:rFonts w:asciiTheme="majorBidi" w:hAnsiTheme="majorBidi" w:cstheme="majorBidi"/>
          <w:i/>
          <w:iCs/>
        </w:rPr>
        <w:t>Ireland’s Magdalen Laundries and the Nation’s Architecture of Containment</w:t>
      </w:r>
      <w:r w:rsidRPr="00C57F69">
        <w:rPr>
          <w:rFonts w:asciiTheme="majorBidi" w:hAnsiTheme="majorBidi" w:cstheme="majorBidi"/>
        </w:rPr>
        <w:t xml:space="preserve"> (Notre Dame: University of Notre Dame Press, 2007).</w:t>
      </w:r>
    </w:p>
  </w:endnote>
  <w:endnote w:id="73">
    <w:p w14:paraId="34A2AED5" w14:textId="39A736CD" w:rsidR="00C57F69" w:rsidRPr="00C57F69" w:rsidRDefault="00C57F69" w:rsidP="00C57F69">
      <w:pPr>
        <w:pStyle w:val="EndnoteText"/>
        <w:jc w:val="both"/>
      </w:pPr>
      <w:r w:rsidRPr="00C57F69">
        <w:rPr>
          <w:rStyle w:val="EndnoteReference"/>
          <w:rFonts w:asciiTheme="majorBidi" w:hAnsiTheme="majorBidi" w:cstheme="majorBidi"/>
        </w:rPr>
        <w:endnoteRef/>
      </w:r>
      <w:r w:rsidRPr="00C57F69">
        <w:rPr>
          <w:rFonts w:asciiTheme="majorBidi" w:hAnsiTheme="majorBidi" w:cstheme="majorBidi"/>
        </w:rPr>
        <w:t xml:space="preserve"> Sandra Mc Avoy, ‘The Regulation of Sexuality in the Irish Free State, 1929 – 1935’ in Greta Jones and Elizabeth Malcolm (eds.) </w:t>
      </w:r>
      <w:r w:rsidRPr="00C57F69">
        <w:rPr>
          <w:rFonts w:asciiTheme="majorBidi" w:hAnsiTheme="majorBidi" w:cstheme="majorBidi"/>
          <w:i/>
          <w:iCs/>
        </w:rPr>
        <w:t>Medicine, Disease and the State in Ireland, 1650 - 1940</w:t>
      </w:r>
      <w:r w:rsidRPr="00C57F69">
        <w:rPr>
          <w:rFonts w:asciiTheme="majorBidi" w:hAnsiTheme="majorBidi" w:cstheme="majorBidi"/>
        </w:rPr>
        <w:t xml:space="preserve"> (Cork: Cork University Press, 1999): 253 – 266.</w:t>
      </w:r>
    </w:p>
  </w:endnote>
  <w:endnote w:id="74">
    <w:p w14:paraId="2E258AFB" w14:textId="2F71AEA2"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Maria Luddy, ‘Unmarried Mothers in Ireland, 1880-1973, </w:t>
      </w:r>
      <w:r w:rsidRPr="00C57F69">
        <w:rPr>
          <w:rFonts w:ascii="Times New Roman" w:hAnsi="Times New Roman" w:cs="Times New Roman"/>
          <w:i/>
          <w:iCs/>
        </w:rPr>
        <w:t>Women’s History Review</w:t>
      </w:r>
      <w:r w:rsidRPr="00C57F69">
        <w:rPr>
          <w:rFonts w:ascii="Times New Roman" w:hAnsi="Times New Roman" w:cs="Times New Roman"/>
        </w:rPr>
        <w:t>, 20, no. 1 (2011): 110.</w:t>
      </w:r>
    </w:p>
  </w:endnote>
  <w:endnote w:id="75">
    <w:p w14:paraId="3730AA69" w14:textId="78CC527D"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shd w:val="clear" w:color="auto" w:fill="FFFFFF"/>
        </w:rPr>
        <w:t xml:space="preserve">Máire Leane, </w:t>
      </w:r>
      <w:r w:rsidRPr="00C57F69">
        <w:rPr>
          <w:rFonts w:asciiTheme="majorBidi" w:hAnsiTheme="majorBidi" w:cstheme="majorBidi"/>
          <w:i/>
          <w:iCs/>
          <w:shd w:val="clear" w:color="auto" w:fill="FFFFFF"/>
        </w:rPr>
        <w:t>Female Sexuality in Ireland 1920 to 1940: Construction and Regulation</w:t>
      </w:r>
      <w:r w:rsidRPr="00C57F69">
        <w:rPr>
          <w:rFonts w:asciiTheme="majorBidi" w:hAnsiTheme="majorBidi" w:cstheme="majorBidi"/>
          <w:shd w:val="clear" w:color="auto" w:fill="FFFFFF"/>
        </w:rPr>
        <w:t>. PhD Thesis, University College Cork, 1999.</w:t>
      </w:r>
    </w:p>
  </w:endnote>
  <w:endnote w:id="76">
    <w:p w14:paraId="6D93F3D9"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heme="majorBidi" w:hAnsiTheme="majorBidi" w:cstheme="majorBidi"/>
        </w:rPr>
        <w:endnoteRef/>
      </w:r>
      <w:r w:rsidRPr="00C57F69">
        <w:rPr>
          <w:rFonts w:asciiTheme="majorBidi" w:hAnsiTheme="majorBidi" w:cstheme="majorBidi"/>
        </w:rPr>
        <w:t xml:space="preserve"> Foucault, </w:t>
      </w:r>
      <w:r w:rsidRPr="00C57F69">
        <w:rPr>
          <w:rFonts w:asciiTheme="majorBidi" w:hAnsiTheme="majorBidi" w:cstheme="majorBidi"/>
          <w:i/>
          <w:iCs/>
        </w:rPr>
        <w:t>Discipline and Punish</w:t>
      </w:r>
      <w:r w:rsidRPr="00C57F69">
        <w:rPr>
          <w:rFonts w:asciiTheme="majorBidi" w:hAnsiTheme="majorBidi" w:cstheme="majorBidi"/>
        </w:rPr>
        <w:t>.</w:t>
      </w:r>
    </w:p>
  </w:endnote>
  <w:endnote w:id="77">
    <w:p w14:paraId="07EE62FB" w14:textId="47F4850B"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Cited in </w:t>
      </w:r>
      <w:r w:rsidRPr="00C57F69">
        <w:rPr>
          <w:rFonts w:ascii="Times New Roman" w:hAnsi="Times New Roman" w:cs="Times New Roman"/>
          <w:lang w:val="en-IE"/>
        </w:rPr>
        <w:t xml:space="preserve">Sr. Loreto O’Connor, </w:t>
      </w:r>
      <w:r w:rsidRPr="00C57F69">
        <w:rPr>
          <w:rFonts w:ascii="Times New Roman" w:hAnsi="Times New Roman" w:cs="Times New Roman"/>
          <w:i/>
          <w:iCs/>
          <w:lang w:val="en-IE"/>
        </w:rPr>
        <w:t>Passing on the Torch</w:t>
      </w:r>
      <w:r w:rsidRPr="00C57F69">
        <w:rPr>
          <w:rFonts w:ascii="Times New Roman" w:hAnsi="Times New Roman" w:cs="Times New Roman"/>
          <w:lang w:val="en-IE"/>
        </w:rPr>
        <w:t>:40.</w:t>
      </w:r>
    </w:p>
  </w:endnote>
  <w:endnote w:id="78">
    <w:p w14:paraId="5FFECB95"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Dónal O’Donoghue, ‘</w:t>
      </w:r>
      <w:hyperlink r:id="rId1" w:history="1">
        <w:r w:rsidRPr="00C57F69">
          <w:rPr>
            <w:rStyle w:val="Hyperlink"/>
            <w:rFonts w:ascii="Times New Roman" w:hAnsi="Times New Roman" w:cs="Times New Roman"/>
            <w:color w:val="auto"/>
            <w:u w:val="none"/>
          </w:rPr>
          <w:t>Speak and Act in a Manly Fashion: The Role of the Body in the Construction of Men and Masculinity in Primary Teacher Education in Ireland</w:t>
        </w:r>
      </w:hyperlink>
      <w:r w:rsidRPr="00C57F69">
        <w:rPr>
          <w:rFonts w:ascii="Times New Roman" w:hAnsi="Times New Roman" w:cs="Times New Roman"/>
        </w:rPr>
        <w:t xml:space="preserve">,’ </w:t>
      </w:r>
      <w:r w:rsidRPr="00C57F69">
        <w:rPr>
          <w:rFonts w:ascii="Times New Roman" w:hAnsi="Times New Roman" w:cs="Times New Roman"/>
          <w:i/>
        </w:rPr>
        <w:t>Irish Journal of Sociology,</w:t>
      </w:r>
      <w:r w:rsidRPr="00C57F69">
        <w:rPr>
          <w:rFonts w:ascii="Times New Roman" w:hAnsi="Times New Roman" w:cs="Times New Roman"/>
        </w:rPr>
        <w:t xml:space="preserve"> 14, no. 2</w:t>
      </w:r>
      <w:r w:rsidRPr="00C57F69">
        <w:rPr>
          <w:rFonts w:ascii="Times New Roman" w:hAnsi="Times New Roman" w:cs="Times New Roman"/>
          <w:i/>
        </w:rPr>
        <w:t xml:space="preserve"> </w:t>
      </w:r>
      <w:r w:rsidRPr="00C57F69">
        <w:rPr>
          <w:rFonts w:ascii="Times New Roman" w:hAnsi="Times New Roman" w:cs="Times New Roman"/>
          <w:iCs/>
        </w:rPr>
        <w:t>(</w:t>
      </w:r>
      <w:r w:rsidRPr="00C57F69">
        <w:rPr>
          <w:rFonts w:ascii="Times New Roman" w:hAnsi="Times New Roman" w:cs="Times New Roman"/>
        </w:rPr>
        <w:t>2005): 231-253.</w:t>
      </w:r>
    </w:p>
  </w:endnote>
  <w:endnote w:id="79">
    <w:p w14:paraId="4CD507CB" w14:textId="77777777"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i/>
          <w:iCs/>
        </w:rPr>
        <w:t>Ibid.</w:t>
      </w:r>
    </w:p>
  </w:endnote>
  <w:endnote w:id="80">
    <w:p w14:paraId="6106527A" w14:textId="37803B3D"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O’ Donoghue, ‘Speak and Act in a Manly Fashion’: 237.</w:t>
      </w:r>
    </w:p>
  </w:endnote>
  <w:endnote w:id="81">
    <w:p w14:paraId="5715B169" w14:textId="42B6C03B"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For example, Éamonn de Valera lectured in Mathematics in Carysfort in the first and second decades of the twentieth centuries. Vincent O’Brien and subsequently his son, Oliver O’Brien, lectured in Music from the 1920s until the closure of the college in 1988. Tomás Ó Con Cheanainn lectured in the Irish Department in Carysfort in the 1950s before his appointment as Professor of Irish in University College Dublin. Seamus Heaney was a lecturer and subsequently Head of English during the 1970s.  </w:t>
      </w:r>
    </w:p>
  </w:endnote>
  <w:endnote w:id="82">
    <w:p w14:paraId="014DC688" w14:textId="79812EF3"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Rebecca Rogers, “Retrograde or Modern? Unveiling the Teaching Nun in Nineteenth Century France,” Social History 23, no. 2 (1998): 147.</w:t>
      </w:r>
    </w:p>
  </w:endnote>
  <w:endnote w:id="83">
    <w:p w14:paraId="17C065B7" w14:textId="4A096CF4" w:rsidR="00C57F69" w:rsidRPr="00C57F69" w:rsidRDefault="00C57F69" w:rsidP="00C57F69">
      <w:pPr>
        <w:pStyle w:val="EndnoteText"/>
        <w:jc w:val="both"/>
        <w:rPr>
          <w:rFonts w:ascii="Times New Roman" w:hAnsi="Times New Roman" w:cs="Times New Roman"/>
        </w:rPr>
      </w:pPr>
      <w:r w:rsidRPr="00C57F69">
        <w:rPr>
          <w:rStyle w:val="EndnoteReference"/>
          <w:rFonts w:ascii="Times New Roman" w:hAnsi="Times New Roman" w:cs="Times New Roman"/>
        </w:rPr>
        <w:endnoteRef/>
      </w:r>
      <w:r w:rsidRPr="00C57F69">
        <w:rPr>
          <w:rFonts w:ascii="Times New Roman" w:hAnsi="Times New Roman" w:cs="Times New Roman"/>
        </w:rPr>
        <w:t xml:space="preserve"> Judith </w:t>
      </w:r>
      <w:r w:rsidRPr="00C57F69">
        <w:rPr>
          <w:rFonts w:ascii="Times New Roman" w:eastAsia="Times New Roman" w:hAnsi="Times New Roman" w:cs="Times New Roman"/>
          <w:lang w:val="en-IE" w:eastAsia="en-IE"/>
        </w:rPr>
        <w:t xml:space="preserve">Harford and Tom O’ Donoghue, 'Continuity and Change in the Perspectives of Women Religious,’ </w:t>
      </w:r>
      <w:r w:rsidRPr="00C57F69">
        <w:rPr>
          <w:rFonts w:ascii="Times New Roman" w:eastAsia="Times New Roman" w:hAnsi="Times New Roman" w:cs="Times New Roman"/>
          <w:i/>
          <w:iCs/>
          <w:lang w:val="en-IE" w:eastAsia="en-IE"/>
        </w:rPr>
        <w:t>Paedagogica Historica</w:t>
      </w:r>
      <w:r w:rsidRPr="00C57F69">
        <w:rPr>
          <w:rFonts w:ascii="Times New Roman" w:eastAsia="Times New Roman" w:hAnsi="Times New Roman" w:cs="Times New Roman"/>
          <w:lang w:val="en-IE" w:eastAsia="en-IE"/>
        </w:rPr>
        <w:t>, vol. 47, issue 3 (2011): 399-413.</w:t>
      </w:r>
    </w:p>
  </w:endnote>
  <w:endnote w:id="84">
    <w:p w14:paraId="536BE9BE" w14:textId="72E0652A" w:rsidR="00C57F69" w:rsidRPr="00C57F69" w:rsidRDefault="00C57F69" w:rsidP="00C57F69">
      <w:pPr>
        <w:pStyle w:val="EndnoteText"/>
        <w:jc w:val="both"/>
      </w:pPr>
      <w:r w:rsidRPr="00C57F69">
        <w:rPr>
          <w:rStyle w:val="EndnoteReference"/>
        </w:rPr>
        <w:endnoteRef/>
      </w:r>
      <w:r w:rsidRPr="00C57F69">
        <w:t xml:space="preserve"> </w:t>
      </w:r>
      <w:r w:rsidRPr="00C57F69">
        <w:rPr>
          <w:rFonts w:ascii="Times New Roman" w:hAnsi="Times New Roman" w:cs="Times New Roman"/>
        </w:rPr>
        <w:t xml:space="preserve">Although it was in effect a female college, the Principal of the College was always a male, usually an ordained clergyman and almost all of the teaching staff was male until the 1960s. See Susan M. Parkes, </w:t>
      </w:r>
      <w:r w:rsidRPr="00C57F69">
        <w:rPr>
          <w:rFonts w:ascii="Times New Roman" w:eastAsia="Times New Roman" w:hAnsi="Times New Roman" w:cs="Times New Roman"/>
          <w:i/>
          <w:iCs/>
          <w:kern w:val="36"/>
        </w:rPr>
        <w:t xml:space="preserve">Kildare Place: The History of the Church of Ireland Training College and College of Education 1811-2010 </w:t>
      </w:r>
      <w:r w:rsidRPr="00C57F69">
        <w:rPr>
          <w:rFonts w:ascii="Times New Roman" w:eastAsia="Times New Roman" w:hAnsi="Times New Roman" w:cs="Times New Roman"/>
          <w:kern w:val="36"/>
        </w:rPr>
        <w:t>(Dublin: Church of Ireland College of Education Publications, 2011).</w:t>
      </w:r>
    </w:p>
  </w:endnote>
  <w:endnote w:id="85">
    <w:p w14:paraId="25CD11F3" w14:textId="6681D320" w:rsidR="00C57F69" w:rsidRPr="00C57F69" w:rsidRDefault="00C57F69" w:rsidP="00C57F69">
      <w:pPr>
        <w:pStyle w:val="EndnoteText"/>
        <w:jc w:val="both"/>
        <w:rPr>
          <w:rFonts w:asciiTheme="majorBidi" w:hAnsiTheme="majorBidi" w:cstheme="majorBidi"/>
          <w:lang w:val="en-IE"/>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heme="majorBidi" w:hAnsiTheme="majorBidi" w:cstheme="majorBidi"/>
          <w:lang w:val="en-IE"/>
        </w:rPr>
        <w:t xml:space="preserve">Seamus MacGabhann, </w:t>
      </w:r>
      <w:r w:rsidRPr="00C57F69">
        <w:rPr>
          <w:rFonts w:asciiTheme="majorBidi" w:hAnsiTheme="majorBidi" w:cstheme="majorBidi"/>
          <w:i/>
          <w:iCs/>
          <w:lang w:val="en-IE"/>
        </w:rPr>
        <w:t>Carysfort College Remembered,</w:t>
      </w:r>
      <w:r w:rsidRPr="00C57F69">
        <w:rPr>
          <w:rFonts w:asciiTheme="majorBidi" w:hAnsiTheme="majorBidi" w:cstheme="majorBidi"/>
          <w:lang w:val="en-IE"/>
        </w:rPr>
        <w:t xml:space="preserve"> </w:t>
      </w:r>
    </w:p>
  </w:endnote>
  <w:endnote w:id="86">
    <w:p w14:paraId="5981A0CD" w14:textId="3B99F167"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Ibid.</w:t>
      </w:r>
    </w:p>
  </w:endnote>
  <w:endnote w:id="87">
    <w:p w14:paraId="79B9C8FF" w14:textId="11B72855" w:rsidR="00C57F69" w:rsidRPr="00C57F69" w:rsidRDefault="00C57F69" w:rsidP="00C57F69">
      <w:pPr>
        <w:pStyle w:val="EndnoteText"/>
        <w:jc w:val="both"/>
      </w:pPr>
      <w:r w:rsidRPr="00C57F69">
        <w:rPr>
          <w:rStyle w:val="EndnoteReference"/>
          <w:rFonts w:ascii="Times New Roman" w:hAnsi="Times New Roman" w:cs="Times New Roman"/>
        </w:rPr>
        <w:endnoteRef/>
      </w:r>
      <w:r w:rsidRPr="00C57F69">
        <w:rPr>
          <w:rFonts w:ascii="Times New Roman" w:hAnsi="Times New Roman" w:cs="Times New Roman"/>
        </w:rPr>
        <w:t xml:space="preserve"> See H.R. Ebaugh, ‘Patriarchal Bargains and Latent Avenues of Social Mobility: Nuns in the Roman Catholic Church’, </w:t>
      </w:r>
      <w:r w:rsidRPr="00C57F69">
        <w:rPr>
          <w:rFonts w:ascii="Times New Roman" w:hAnsi="Times New Roman" w:cs="Times New Roman"/>
          <w:i/>
          <w:iCs/>
        </w:rPr>
        <w:t>Gender and Society</w:t>
      </w:r>
      <w:r w:rsidRPr="00C57F69">
        <w:rPr>
          <w:rFonts w:ascii="Times New Roman" w:hAnsi="Times New Roman" w:cs="Times New Roman"/>
        </w:rPr>
        <w:t>, Vol. 7, No. 3 (September 1993): 400–14.</w:t>
      </w:r>
    </w:p>
  </w:endnote>
  <w:endnote w:id="88">
    <w:p w14:paraId="47BB57DE" w14:textId="7F59C8E8"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Fonts w:ascii="Times New Roman" w:hAnsi="Times New Roman" w:cs="Times New Roman"/>
        </w:rPr>
        <w:t>Recollection of Áine Hyland, a student at Carysfort College in 1959 and Admissions Officer and senior lecturer in  the College from 1980 to 1987.</w:t>
      </w:r>
    </w:p>
  </w:endnote>
  <w:endnote w:id="89">
    <w:p w14:paraId="71134531" w14:textId="63B8013C"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Ibid.</w:t>
      </w:r>
    </w:p>
  </w:endnote>
  <w:endnote w:id="90">
    <w:p w14:paraId="45EAC5AD" w14:textId="7187A13F"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lang w:val="en-IE"/>
        </w:rPr>
        <w:t>Mary Immaculate Annual 1960:12, excerpt of letter from past student, quoted in Sr. Loreto O’Connor,</w:t>
      </w:r>
      <w:r w:rsidRPr="00C57F69">
        <w:rPr>
          <w:rFonts w:ascii="Times New Roman" w:hAnsi="Times New Roman" w:cs="Times New Roman"/>
          <w:i/>
          <w:iCs/>
          <w:lang w:val="en-IE"/>
        </w:rPr>
        <w:t xml:space="preserve"> Passing on the Torch</w:t>
      </w:r>
      <w:r w:rsidRPr="00C57F69">
        <w:rPr>
          <w:rFonts w:ascii="Times New Roman" w:hAnsi="Times New Roman" w:cs="Times New Roman"/>
          <w:lang w:val="en-IE"/>
        </w:rPr>
        <w:t>:13.</w:t>
      </w:r>
    </w:p>
  </w:endnote>
  <w:endnote w:id="91">
    <w:p w14:paraId="3AF48DB4" w14:textId="26DCCDA1"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Sr. Loreto O’Connor, </w:t>
      </w:r>
      <w:r w:rsidRPr="00C57F69">
        <w:rPr>
          <w:rFonts w:ascii="Times New Roman" w:hAnsi="Times New Roman" w:cs="Times New Roman"/>
          <w:i/>
          <w:iCs/>
          <w:lang w:val="en-IE"/>
        </w:rPr>
        <w:t>Passing the Torch</w:t>
      </w:r>
      <w:r w:rsidRPr="00C57F69">
        <w:rPr>
          <w:rFonts w:ascii="Times New Roman" w:hAnsi="Times New Roman" w:cs="Times New Roman"/>
          <w:lang w:val="en-IE"/>
        </w:rPr>
        <w:t xml:space="preserve">: 49. </w:t>
      </w:r>
    </w:p>
  </w:endnote>
  <w:endnote w:id="92">
    <w:p w14:paraId="6D203270" w14:textId="1A0E8B3A" w:rsidR="00C57F69" w:rsidRPr="00C57F69" w:rsidRDefault="00C57F69" w:rsidP="00C57F69">
      <w:pPr>
        <w:pStyle w:val="EndnoteText"/>
        <w:jc w:val="both"/>
        <w:rPr>
          <w:rFonts w:ascii="Times New Roman" w:hAnsi="Times New Roman" w:cs="Times New Roman"/>
          <w:lang w:val="en-IE"/>
        </w:rPr>
      </w:pPr>
      <w:r w:rsidRPr="00C57F69">
        <w:rPr>
          <w:rStyle w:val="EndnoteReference"/>
          <w:rFonts w:ascii="Times New Roman" w:hAnsi="Times New Roman" w:cs="Times New Roman"/>
        </w:rPr>
        <w:endnoteRef/>
      </w:r>
      <w:r w:rsidRPr="00C57F69">
        <w:rPr>
          <w:rFonts w:ascii="Times New Roman" w:hAnsi="Times New Roman" w:cs="Times New Roman"/>
        </w:rPr>
        <w:t xml:space="preserve"> </w:t>
      </w:r>
      <w:r w:rsidRPr="00C57F69">
        <w:rPr>
          <w:rFonts w:ascii="Times New Roman" w:hAnsi="Times New Roman" w:cs="Times New Roman"/>
          <w:lang w:val="en-IE"/>
        </w:rPr>
        <w:t>One of the authors of this paper, Áine Hyland, was interviewed by Sr. Loreto in 1959 and remembers the interviewer as being respectful, interesting and enthusiastic.</w:t>
      </w:r>
    </w:p>
  </w:endnote>
  <w:endnote w:id="93">
    <w:p w14:paraId="4E1E92EE" w14:textId="0ED4E616" w:rsidR="00C57F69" w:rsidRPr="00C57F69" w:rsidRDefault="00C57F69" w:rsidP="00C57F69">
      <w:pPr>
        <w:pStyle w:val="EndnoteText"/>
        <w:jc w:val="both"/>
      </w:pPr>
      <w:r w:rsidRPr="00C57F69">
        <w:rPr>
          <w:rStyle w:val="EndnoteReference"/>
          <w:rFonts w:ascii="Times New Roman" w:hAnsi="Times New Roman" w:cs="Times New Roman"/>
        </w:rPr>
        <w:endnoteRef/>
      </w:r>
      <w:r w:rsidRPr="00C57F69">
        <w:rPr>
          <w:rFonts w:ascii="Times New Roman" w:hAnsi="Times New Roman" w:cs="Times New Roman"/>
        </w:rPr>
        <w:t xml:space="preserve"> Tom </w:t>
      </w:r>
      <w:r w:rsidRPr="00C57F69">
        <w:rPr>
          <w:rFonts w:ascii="Times New Roman" w:eastAsia="Times New Roman" w:hAnsi="Times New Roman" w:cs="Times New Roman"/>
        </w:rPr>
        <w:t xml:space="preserve">O'Donoghue and Judith Harford, 'Addressing the Apparent Paradox of the Catholic Sister Principal: Insights from an Oral History of Catholic female religious,' </w:t>
      </w:r>
      <w:r w:rsidRPr="00C57F69">
        <w:rPr>
          <w:rFonts w:ascii="Times New Roman" w:eastAsia="Times New Roman" w:hAnsi="Times New Roman" w:cs="Times New Roman"/>
          <w:i/>
          <w:iCs/>
        </w:rPr>
        <w:t>History of Education</w:t>
      </w:r>
      <w:r w:rsidRPr="00C57F69">
        <w:rPr>
          <w:rFonts w:ascii="Times New Roman" w:eastAsia="Times New Roman" w:hAnsi="Times New Roman" w:cs="Times New Roman"/>
          <w:iCs/>
        </w:rPr>
        <w:t>, 42, issue 6 (2013):765</w:t>
      </w:r>
      <w:r w:rsidRPr="00C57F69">
        <w:rPr>
          <w:rFonts w:ascii="Times New Roman" w:eastAsia="Times New Roman" w:hAnsi="Times New Roman" w:cs="Times New Roman"/>
        </w:rPr>
        <w:t>–</w:t>
      </w:r>
      <w:r w:rsidRPr="00C57F69">
        <w:rPr>
          <w:rFonts w:ascii="Times New Roman" w:eastAsia="Times New Roman" w:hAnsi="Times New Roman" w:cs="Times New Roman"/>
          <w:iCs/>
        </w:rPr>
        <w:t>782.</w:t>
      </w:r>
    </w:p>
  </w:endnote>
  <w:endnote w:id="94">
    <w:p w14:paraId="3BC7473C" w14:textId="7F326761" w:rsidR="00C57F69" w:rsidRPr="00C57F69" w:rsidRDefault="00C57F69" w:rsidP="00C57F69">
      <w:pPr>
        <w:pStyle w:val="EndnoteText"/>
        <w:jc w:val="both"/>
        <w:rPr>
          <w:rFonts w:asciiTheme="majorBidi" w:hAnsiTheme="majorBidi" w:cstheme="majorBidi"/>
        </w:rPr>
      </w:pPr>
      <w:r w:rsidRPr="00C57F69">
        <w:rPr>
          <w:rStyle w:val="EndnoteReference"/>
          <w:rFonts w:asciiTheme="majorBidi" w:hAnsiTheme="majorBidi" w:cstheme="majorBidi"/>
        </w:rPr>
        <w:endnoteRef/>
      </w:r>
      <w:r w:rsidRPr="00C57F69">
        <w:rPr>
          <w:rFonts w:asciiTheme="majorBidi" w:hAnsiTheme="majorBidi" w:cstheme="majorBidi"/>
        </w:rPr>
        <w:t xml:space="preserve"> </w:t>
      </w:r>
      <w:r w:rsidRPr="00C57F69">
        <w:rPr>
          <w:rStyle w:val="hlfld-contribauthor"/>
          <w:rFonts w:asciiTheme="majorBidi" w:hAnsiTheme="majorBidi" w:cstheme="majorBidi"/>
        </w:rPr>
        <w:t>Tamboukou, </w:t>
      </w:r>
      <w:r w:rsidRPr="00C57F69">
        <w:rPr>
          <w:rFonts w:asciiTheme="majorBidi" w:hAnsiTheme="majorBidi" w:cstheme="majorBidi"/>
        </w:rPr>
        <w:t>‘</w:t>
      </w:r>
      <w:r w:rsidRPr="00C57F69">
        <w:rPr>
          <w:rStyle w:val="nlmarticle-title"/>
          <w:rFonts w:asciiTheme="majorBidi" w:hAnsiTheme="majorBidi" w:cstheme="majorBidi"/>
        </w:rPr>
        <w:t>The Paradox of Being a Woman Teacher</w:t>
      </w:r>
      <w:r w:rsidRPr="00C57F69">
        <w:rPr>
          <w:rFonts w:asciiTheme="majorBidi" w:hAnsiTheme="majorBidi" w:cstheme="majorBidi"/>
        </w:rPr>
        <w:t>,’ 476.</w:t>
      </w:r>
    </w:p>
  </w:endnote>
  <w:endnote w:id="95">
    <w:p w14:paraId="1F5D05C1" w14:textId="4496B993" w:rsidR="00C57F69" w:rsidRPr="00ED3FD0" w:rsidRDefault="00C57F69" w:rsidP="00C57F69">
      <w:pPr>
        <w:pStyle w:val="EndnoteText"/>
        <w:jc w:val="both"/>
        <w:rPr>
          <w:rFonts w:asciiTheme="majorBidi" w:hAnsiTheme="majorBidi" w:cstheme="majorBidi"/>
          <w:color w:val="FF0000"/>
        </w:rPr>
      </w:pPr>
      <w:r w:rsidRPr="00C57F69">
        <w:rPr>
          <w:rStyle w:val="EndnoteReference"/>
          <w:rFonts w:asciiTheme="majorBidi" w:hAnsiTheme="majorBidi" w:cstheme="majorBidi"/>
        </w:rPr>
        <w:endnoteRef/>
      </w:r>
      <w:r w:rsidRPr="00C57F69">
        <w:rPr>
          <w:rFonts w:asciiTheme="majorBidi" w:hAnsiTheme="majorBidi" w:cstheme="majorBidi"/>
        </w:rPr>
        <w:t xml:space="preserve"> Geraldine </w:t>
      </w:r>
      <w:r w:rsidRPr="00C57F69">
        <w:rPr>
          <w:rStyle w:val="hlfld-contribauthor"/>
          <w:rFonts w:asciiTheme="majorBidi" w:hAnsiTheme="majorBidi" w:cstheme="majorBidi"/>
        </w:rPr>
        <w:t>Clifford, </w:t>
      </w:r>
      <w:r w:rsidRPr="00C57F69">
        <w:rPr>
          <w:rFonts w:asciiTheme="majorBidi" w:hAnsiTheme="majorBidi" w:cstheme="majorBidi"/>
          <w:i/>
          <w:iCs/>
        </w:rPr>
        <w:t>Those Good Gertrudes: A Social History of Women Teachers in America</w:t>
      </w:r>
      <w:r w:rsidRPr="00C57F69">
        <w:rPr>
          <w:rFonts w:asciiTheme="majorBidi" w:hAnsiTheme="majorBidi" w:cstheme="majorBidi"/>
        </w:rPr>
        <w:t> (</w:t>
      </w:r>
      <w:r w:rsidRPr="00C57F69">
        <w:rPr>
          <w:rStyle w:val="nlmpublisher-loc"/>
          <w:rFonts w:asciiTheme="majorBidi" w:hAnsiTheme="majorBidi" w:cstheme="majorBidi"/>
        </w:rPr>
        <w:t>Baltimore</w:t>
      </w:r>
      <w:r w:rsidRPr="00C57F69">
        <w:rPr>
          <w:rFonts w:asciiTheme="majorBidi" w:hAnsiTheme="majorBidi" w:cstheme="majorBidi"/>
        </w:rPr>
        <w:t>: </w:t>
      </w:r>
      <w:r w:rsidRPr="00C57F69">
        <w:rPr>
          <w:rStyle w:val="nlmpublisher-name"/>
          <w:rFonts w:asciiTheme="majorBidi" w:hAnsiTheme="majorBidi" w:cstheme="majorBidi"/>
        </w:rPr>
        <w:t xml:space="preserve">John Hopkins University Press, 2014); Jane Martin and Joyce Goodman (eds). </w:t>
      </w:r>
      <w:r w:rsidRPr="00C57F69">
        <w:rPr>
          <w:rStyle w:val="nlmpublisher-name"/>
          <w:rFonts w:asciiTheme="majorBidi" w:hAnsiTheme="majorBidi" w:cstheme="majorBidi"/>
          <w:i/>
          <w:iCs/>
        </w:rPr>
        <w:t xml:space="preserve">Women and Education: Major Themes in Education </w:t>
      </w:r>
      <w:r w:rsidRPr="00C57F69">
        <w:rPr>
          <w:rStyle w:val="nlmpublisher-name"/>
          <w:rFonts w:asciiTheme="majorBidi" w:hAnsiTheme="majorBidi" w:cstheme="majorBidi"/>
        </w:rPr>
        <w:t xml:space="preserve">(vol. 3) (London: Routledge, 2010); Marjorie Theobald, </w:t>
      </w:r>
      <w:r w:rsidRPr="00C57F69">
        <w:rPr>
          <w:rStyle w:val="nlmpublisher-name"/>
          <w:rFonts w:asciiTheme="majorBidi" w:hAnsiTheme="majorBidi" w:cstheme="majorBidi"/>
          <w:i/>
          <w:iCs/>
        </w:rPr>
        <w:t>Knowing Women:</w:t>
      </w:r>
      <w:r w:rsidRPr="00C57F69">
        <w:rPr>
          <w:rStyle w:val="nlmpublisher-name"/>
          <w:rFonts w:asciiTheme="majorBidi" w:hAnsiTheme="majorBidi" w:cstheme="majorBidi"/>
        </w:rPr>
        <w:t xml:space="preserve"> </w:t>
      </w:r>
      <w:r w:rsidRPr="00C57F69">
        <w:rPr>
          <w:rStyle w:val="nlmpublisher-name"/>
          <w:rFonts w:asciiTheme="majorBidi" w:hAnsiTheme="majorBidi" w:cstheme="majorBidi"/>
          <w:i/>
          <w:iCs/>
        </w:rPr>
        <w:t xml:space="preserve">Origins of Women’s Education in Nineteenth-Century Australia </w:t>
      </w:r>
      <w:r w:rsidRPr="00C57F69">
        <w:rPr>
          <w:rStyle w:val="nlmpublisher-name"/>
          <w:rFonts w:asciiTheme="majorBidi" w:hAnsiTheme="majorBidi" w:cstheme="majorBidi"/>
        </w:rPr>
        <w:t xml:space="preserve">(Cambridge: Cambridge University Press); Kathleen </w:t>
      </w:r>
      <w:r w:rsidRPr="00C57F69">
        <w:rPr>
          <w:rStyle w:val="hlfld-contribauthor"/>
          <w:rFonts w:asciiTheme="majorBidi" w:hAnsiTheme="majorBidi" w:cstheme="majorBidi"/>
        </w:rPr>
        <w:t>Weiler,</w:t>
      </w:r>
      <w:r w:rsidRPr="00C57F69">
        <w:rPr>
          <w:rFonts w:asciiTheme="majorBidi" w:hAnsiTheme="majorBidi" w:cstheme="majorBidi"/>
        </w:rPr>
        <w:t> </w:t>
      </w:r>
      <w:r w:rsidRPr="00C57F69">
        <w:rPr>
          <w:rFonts w:asciiTheme="majorBidi" w:hAnsiTheme="majorBidi" w:cstheme="majorBidi"/>
          <w:i/>
          <w:iCs/>
        </w:rPr>
        <w:t>Country Schoolwomen: Teaching in Rural California, 1850–1950</w:t>
      </w:r>
      <w:r w:rsidRPr="00C57F69">
        <w:rPr>
          <w:rFonts w:asciiTheme="majorBidi" w:hAnsiTheme="majorBidi" w:cstheme="majorBidi"/>
        </w:rPr>
        <w:t> (</w:t>
      </w:r>
      <w:r w:rsidRPr="00C57F69">
        <w:rPr>
          <w:rStyle w:val="nlmpublisher-loc"/>
          <w:rFonts w:asciiTheme="majorBidi" w:hAnsiTheme="majorBidi" w:cstheme="majorBidi"/>
        </w:rPr>
        <w:t>Stanford</w:t>
      </w:r>
      <w:r w:rsidRPr="00C57F69">
        <w:rPr>
          <w:rFonts w:asciiTheme="majorBidi" w:hAnsiTheme="majorBidi" w:cstheme="majorBidi"/>
        </w:rPr>
        <w:t>: </w:t>
      </w:r>
      <w:r w:rsidRPr="00C57F69">
        <w:rPr>
          <w:rStyle w:val="nlmpublisher-name"/>
          <w:rFonts w:asciiTheme="majorBidi" w:hAnsiTheme="majorBidi" w:cstheme="majorBidi"/>
        </w:rPr>
        <w:t>Stanford University Press, 1998)</w:t>
      </w:r>
      <w:r w:rsidRPr="00C57F69">
        <w:rPr>
          <w:rFonts w:asciiTheme="majorBidi" w:hAnsiTheme="majorBidi" w:cstheme="majorBidi"/>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Pro-Regular">
    <w:altName w:val="Yu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2822989"/>
      <w:docPartObj>
        <w:docPartGallery w:val="Page Numbers (Bottom of Page)"/>
        <w:docPartUnique/>
      </w:docPartObj>
    </w:sdtPr>
    <w:sdtEndPr>
      <w:rPr>
        <w:noProof/>
      </w:rPr>
    </w:sdtEndPr>
    <w:sdtContent>
      <w:p w14:paraId="7CB020D4" w14:textId="617D99BC" w:rsidR="00E91670" w:rsidRDefault="00E9167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0A4D0BE" w14:textId="77777777" w:rsidR="00E91670" w:rsidRDefault="00E916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BB744" w14:textId="77777777" w:rsidR="001F0DCF" w:rsidRDefault="001F0DCF" w:rsidP="00EC56F4">
      <w:pPr>
        <w:spacing w:after="0" w:line="240" w:lineRule="auto"/>
      </w:pPr>
      <w:r>
        <w:separator/>
      </w:r>
    </w:p>
  </w:footnote>
  <w:footnote w:type="continuationSeparator" w:id="0">
    <w:p w14:paraId="4E4F2A0D" w14:textId="77777777" w:rsidR="001F0DCF" w:rsidRDefault="001F0DCF" w:rsidP="00EC56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82FC3"/>
    <w:multiLevelType w:val="hybridMultilevel"/>
    <w:tmpl w:val="22DA74A2"/>
    <w:lvl w:ilvl="0" w:tplc="EA987284">
      <w:start w:val="1"/>
      <w:numFmt w:val="bullet"/>
      <w:lvlText w:val=""/>
      <w:lvlJc w:val="left"/>
      <w:pPr>
        <w:tabs>
          <w:tab w:val="num" w:pos="720"/>
        </w:tabs>
        <w:ind w:left="720" w:hanging="360"/>
      </w:pPr>
      <w:rPr>
        <w:rFonts w:ascii="Wingdings 3" w:hAnsi="Wingdings 3" w:hint="default"/>
      </w:rPr>
    </w:lvl>
    <w:lvl w:ilvl="1" w:tplc="917258DA" w:tentative="1">
      <w:start w:val="1"/>
      <w:numFmt w:val="bullet"/>
      <w:lvlText w:val=""/>
      <w:lvlJc w:val="left"/>
      <w:pPr>
        <w:tabs>
          <w:tab w:val="num" w:pos="1440"/>
        </w:tabs>
        <w:ind w:left="1440" w:hanging="360"/>
      </w:pPr>
      <w:rPr>
        <w:rFonts w:ascii="Wingdings 3" w:hAnsi="Wingdings 3" w:hint="default"/>
      </w:rPr>
    </w:lvl>
    <w:lvl w:ilvl="2" w:tplc="090EB40A" w:tentative="1">
      <w:start w:val="1"/>
      <w:numFmt w:val="bullet"/>
      <w:lvlText w:val=""/>
      <w:lvlJc w:val="left"/>
      <w:pPr>
        <w:tabs>
          <w:tab w:val="num" w:pos="2160"/>
        </w:tabs>
        <w:ind w:left="2160" w:hanging="360"/>
      </w:pPr>
      <w:rPr>
        <w:rFonts w:ascii="Wingdings 3" w:hAnsi="Wingdings 3" w:hint="default"/>
      </w:rPr>
    </w:lvl>
    <w:lvl w:ilvl="3" w:tplc="70F4A80E" w:tentative="1">
      <w:start w:val="1"/>
      <w:numFmt w:val="bullet"/>
      <w:lvlText w:val=""/>
      <w:lvlJc w:val="left"/>
      <w:pPr>
        <w:tabs>
          <w:tab w:val="num" w:pos="2880"/>
        </w:tabs>
        <w:ind w:left="2880" w:hanging="360"/>
      </w:pPr>
      <w:rPr>
        <w:rFonts w:ascii="Wingdings 3" w:hAnsi="Wingdings 3" w:hint="default"/>
      </w:rPr>
    </w:lvl>
    <w:lvl w:ilvl="4" w:tplc="C9A08FD4" w:tentative="1">
      <w:start w:val="1"/>
      <w:numFmt w:val="bullet"/>
      <w:lvlText w:val=""/>
      <w:lvlJc w:val="left"/>
      <w:pPr>
        <w:tabs>
          <w:tab w:val="num" w:pos="3600"/>
        </w:tabs>
        <w:ind w:left="3600" w:hanging="360"/>
      </w:pPr>
      <w:rPr>
        <w:rFonts w:ascii="Wingdings 3" w:hAnsi="Wingdings 3" w:hint="default"/>
      </w:rPr>
    </w:lvl>
    <w:lvl w:ilvl="5" w:tplc="36A266D0" w:tentative="1">
      <w:start w:val="1"/>
      <w:numFmt w:val="bullet"/>
      <w:lvlText w:val=""/>
      <w:lvlJc w:val="left"/>
      <w:pPr>
        <w:tabs>
          <w:tab w:val="num" w:pos="4320"/>
        </w:tabs>
        <w:ind w:left="4320" w:hanging="360"/>
      </w:pPr>
      <w:rPr>
        <w:rFonts w:ascii="Wingdings 3" w:hAnsi="Wingdings 3" w:hint="default"/>
      </w:rPr>
    </w:lvl>
    <w:lvl w:ilvl="6" w:tplc="A6BAB6E0" w:tentative="1">
      <w:start w:val="1"/>
      <w:numFmt w:val="bullet"/>
      <w:lvlText w:val=""/>
      <w:lvlJc w:val="left"/>
      <w:pPr>
        <w:tabs>
          <w:tab w:val="num" w:pos="5040"/>
        </w:tabs>
        <w:ind w:left="5040" w:hanging="360"/>
      </w:pPr>
      <w:rPr>
        <w:rFonts w:ascii="Wingdings 3" w:hAnsi="Wingdings 3" w:hint="default"/>
      </w:rPr>
    </w:lvl>
    <w:lvl w:ilvl="7" w:tplc="3FB44122" w:tentative="1">
      <w:start w:val="1"/>
      <w:numFmt w:val="bullet"/>
      <w:lvlText w:val=""/>
      <w:lvlJc w:val="left"/>
      <w:pPr>
        <w:tabs>
          <w:tab w:val="num" w:pos="5760"/>
        </w:tabs>
        <w:ind w:left="5760" w:hanging="360"/>
      </w:pPr>
      <w:rPr>
        <w:rFonts w:ascii="Wingdings 3" w:hAnsi="Wingdings 3" w:hint="default"/>
      </w:rPr>
    </w:lvl>
    <w:lvl w:ilvl="8" w:tplc="3B86CC8A"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3EE5277E"/>
    <w:multiLevelType w:val="hybridMultilevel"/>
    <w:tmpl w:val="901CFCE6"/>
    <w:lvl w:ilvl="0" w:tplc="86E20D98">
      <w:start w:val="1"/>
      <w:numFmt w:val="bullet"/>
      <w:lvlText w:val=""/>
      <w:lvlJc w:val="left"/>
      <w:pPr>
        <w:tabs>
          <w:tab w:val="num" w:pos="720"/>
        </w:tabs>
        <w:ind w:left="720" w:hanging="360"/>
      </w:pPr>
      <w:rPr>
        <w:rFonts w:ascii="Wingdings 3" w:hAnsi="Wingdings 3" w:hint="default"/>
      </w:rPr>
    </w:lvl>
    <w:lvl w:ilvl="1" w:tplc="CF7EA64C" w:tentative="1">
      <w:start w:val="1"/>
      <w:numFmt w:val="bullet"/>
      <w:lvlText w:val=""/>
      <w:lvlJc w:val="left"/>
      <w:pPr>
        <w:tabs>
          <w:tab w:val="num" w:pos="1440"/>
        </w:tabs>
        <w:ind w:left="1440" w:hanging="360"/>
      </w:pPr>
      <w:rPr>
        <w:rFonts w:ascii="Wingdings 3" w:hAnsi="Wingdings 3" w:hint="default"/>
      </w:rPr>
    </w:lvl>
    <w:lvl w:ilvl="2" w:tplc="364A378A" w:tentative="1">
      <w:start w:val="1"/>
      <w:numFmt w:val="bullet"/>
      <w:lvlText w:val=""/>
      <w:lvlJc w:val="left"/>
      <w:pPr>
        <w:tabs>
          <w:tab w:val="num" w:pos="2160"/>
        </w:tabs>
        <w:ind w:left="2160" w:hanging="360"/>
      </w:pPr>
      <w:rPr>
        <w:rFonts w:ascii="Wingdings 3" w:hAnsi="Wingdings 3" w:hint="default"/>
      </w:rPr>
    </w:lvl>
    <w:lvl w:ilvl="3" w:tplc="3BA81F48" w:tentative="1">
      <w:start w:val="1"/>
      <w:numFmt w:val="bullet"/>
      <w:lvlText w:val=""/>
      <w:lvlJc w:val="left"/>
      <w:pPr>
        <w:tabs>
          <w:tab w:val="num" w:pos="2880"/>
        </w:tabs>
        <w:ind w:left="2880" w:hanging="360"/>
      </w:pPr>
      <w:rPr>
        <w:rFonts w:ascii="Wingdings 3" w:hAnsi="Wingdings 3" w:hint="default"/>
      </w:rPr>
    </w:lvl>
    <w:lvl w:ilvl="4" w:tplc="67E8A568" w:tentative="1">
      <w:start w:val="1"/>
      <w:numFmt w:val="bullet"/>
      <w:lvlText w:val=""/>
      <w:lvlJc w:val="left"/>
      <w:pPr>
        <w:tabs>
          <w:tab w:val="num" w:pos="3600"/>
        </w:tabs>
        <w:ind w:left="3600" w:hanging="360"/>
      </w:pPr>
      <w:rPr>
        <w:rFonts w:ascii="Wingdings 3" w:hAnsi="Wingdings 3" w:hint="default"/>
      </w:rPr>
    </w:lvl>
    <w:lvl w:ilvl="5" w:tplc="288E3840" w:tentative="1">
      <w:start w:val="1"/>
      <w:numFmt w:val="bullet"/>
      <w:lvlText w:val=""/>
      <w:lvlJc w:val="left"/>
      <w:pPr>
        <w:tabs>
          <w:tab w:val="num" w:pos="4320"/>
        </w:tabs>
        <w:ind w:left="4320" w:hanging="360"/>
      </w:pPr>
      <w:rPr>
        <w:rFonts w:ascii="Wingdings 3" w:hAnsi="Wingdings 3" w:hint="default"/>
      </w:rPr>
    </w:lvl>
    <w:lvl w:ilvl="6" w:tplc="46908322" w:tentative="1">
      <w:start w:val="1"/>
      <w:numFmt w:val="bullet"/>
      <w:lvlText w:val=""/>
      <w:lvlJc w:val="left"/>
      <w:pPr>
        <w:tabs>
          <w:tab w:val="num" w:pos="5040"/>
        </w:tabs>
        <w:ind w:left="5040" w:hanging="360"/>
      </w:pPr>
      <w:rPr>
        <w:rFonts w:ascii="Wingdings 3" w:hAnsi="Wingdings 3" w:hint="default"/>
      </w:rPr>
    </w:lvl>
    <w:lvl w:ilvl="7" w:tplc="39E8EC46" w:tentative="1">
      <w:start w:val="1"/>
      <w:numFmt w:val="bullet"/>
      <w:lvlText w:val=""/>
      <w:lvlJc w:val="left"/>
      <w:pPr>
        <w:tabs>
          <w:tab w:val="num" w:pos="5760"/>
        </w:tabs>
        <w:ind w:left="5760" w:hanging="360"/>
      </w:pPr>
      <w:rPr>
        <w:rFonts w:ascii="Wingdings 3" w:hAnsi="Wingdings 3" w:hint="default"/>
      </w:rPr>
    </w:lvl>
    <w:lvl w:ilvl="8" w:tplc="D7C2B8C8"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4BA00ED2"/>
    <w:multiLevelType w:val="hybridMultilevel"/>
    <w:tmpl w:val="79E6DB42"/>
    <w:lvl w:ilvl="0" w:tplc="101C6514">
      <w:start w:val="1"/>
      <w:numFmt w:val="bullet"/>
      <w:lvlText w:val=""/>
      <w:lvlJc w:val="left"/>
      <w:pPr>
        <w:tabs>
          <w:tab w:val="num" w:pos="720"/>
        </w:tabs>
        <w:ind w:left="720" w:hanging="360"/>
      </w:pPr>
      <w:rPr>
        <w:rFonts w:ascii="Wingdings 3" w:hAnsi="Wingdings 3" w:hint="default"/>
      </w:rPr>
    </w:lvl>
    <w:lvl w:ilvl="1" w:tplc="07488E44">
      <w:start w:val="1"/>
      <w:numFmt w:val="bullet"/>
      <w:lvlText w:val=""/>
      <w:lvlJc w:val="left"/>
      <w:pPr>
        <w:tabs>
          <w:tab w:val="num" w:pos="1440"/>
        </w:tabs>
        <w:ind w:left="1440" w:hanging="360"/>
      </w:pPr>
      <w:rPr>
        <w:rFonts w:ascii="Wingdings 3" w:hAnsi="Wingdings 3" w:hint="default"/>
      </w:rPr>
    </w:lvl>
    <w:lvl w:ilvl="2" w:tplc="60AC44C4" w:tentative="1">
      <w:start w:val="1"/>
      <w:numFmt w:val="bullet"/>
      <w:lvlText w:val=""/>
      <w:lvlJc w:val="left"/>
      <w:pPr>
        <w:tabs>
          <w:tab w:val="num" w:pos="2160"/>
        </w:tabs>
        <w:ind w:left="2160" w:hanging="360"/>
      </w:pPr>
      <w:rPr>
        <w:rFonts w:ascii="Wingdings 3" w:hAnsi="Wingdings 3" w:hint="default"/>
      </w:rPr>
    </w:lvl>
    <w:lvl w:ilvl="3" w:tplc="95B83660" w:tentative="1">
      <w:start w:val="1"/>
      <w:numFmt w:val="bullet"/>
      <w:lvlText w:val=""/>
      <w:lvlJc w:val="left"/>
      <w:pPr>
        <w:tabs>
          <w:tab w:val="num" w:pos="2880"/>
        </w:tabs>
        <w:ind w:left="2880" w:hanging="360"/>
      </w:pPr>
      <w:rPr>
        <w:rFonts w:ascii="Wingdings 3" w:hAnsi="Wingdings 3" w:hint="default"/>
      </w:rPr>
    </w:lvl>
    <w:lvl w:ilvl="4" w:tplc="74FC5B76" w:tentative="1">
      <w:start w:val="1"/>
      <w:numFmt w:val="bullet"/>
      <w:lvlText w:val=""/>
      <w:lvlJc w:val="left"/>
      <w:pPr>
        <w:tabs>
          <w:tab w:val="num" w:pos="3600"/>
        </w:tabs>
        <w:ind w:left="3600" w:hanging="360"/>
      </w:pPr>
      <w:rPr>
        <w:rFonts w:ascii="Wingdings 3" w:hAnsi="Wingdings 3" w:hint="default"/>
      </w:rPr>
    </w:lvl>
    <w:lvl w:ilvl="5" w:tplc="23BADD0C" w:tentative="1">
      <w:start w:val="1"/>
      <w:numFmt w:val="bullet"/>
      <w:lvlText w:val=""/>
      <w:lvlJc w:val="left"/>
      <w:pPr>
        <w:tabs>
          <w:tab w:val="num" w:pos="4320"/>
        </w:tabs>
        <w:ind w:left="4320" w:hanging="360"/>
      </w:pPr>
      <w:rPr>
        <w:rFonts w:ascii="Wingdings 3" w:hAnsi="Wingdings 3" w:hint="default"/>
      </w:rPr>
    </w:lvl>
    <w:lvl w:ilvl="6" w:tplc="C6F8CCA2" w:tentative="1">
      <w:start w:val="1"/>
      <w:numFmt w:val="bullet"/>
      <w:lvlText w:val=""/>
      <w:lvlJc w:val="left"/>
      <w:pPr>
        <w:tabs>
          <w:tab w:val="num" w:pos="5040"/>
        </w:tabs>
        <w:ind w:left="5040" w:hanging="360"/>
      </w:pPr>
      <w:rPr>
        <w:rFonts w:ascii="Wingdings 3" w:hAnsi="Wingdings 3" w:hint="default"/>
      </w:rPr>
    </w:lvl>
    <w:lvl w:ilvl="7" w:tplc="165293B6" w:tentative="1">
      <w:start w:val="1"/>
      <w:numFmt w:val="bullet"/>
      <w:lvlText w:val=""/>
      <w:lvlJc w:val="left"/>
      <w:pPr>
        <w:tabs>
          <w:tab w:val="num" w:pos="5760"/>
        </w:tabs>
        <w:ind w:left="5760" w:hanging="360"/>
      </w:pPr>
      <w:rPr>
        <w:rFonts w:ascii="Wingdings 3" w:hAnsi="Wingdings 3" w:hint="default"/>
      </w:rPr>
    </w:lvl>
    <w:lvl w:ilvl="8" w:tplc="18EEBB0E"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6E161E08"/>
    <w:multiLevelType w:val="multilevel"/>
    <w:tmpl w:val="9A96E2F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num w:numId="1" w16cid:durableId="1558316695">
    <w:abstractNumId w:val="2"/>
  </w:num>
  <w:num w:numId="2" w16cid:durableId="482501346">
    <w:abstractNumId w:val="0"/>
  </w:num>
  <w:num w:numId="3" w16cid:durableId="1779446442">
    <w:abstractNumId w:val="1"/>
  </w:num>
  <w:num w:numId="4" w16cid:durableId="14566768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A4C"/>
    <w:rsid w:val="00001072"/>
    <w:rsid w:val="000015CA"/>
    <w:rsid w:val="00010F7F"/>
    <w:rsid w:val="00020179"/>
    <w:rsid w:val="000211A1"/>
    <w:rsid w:val="00037EE7"/>
    <w:rsid w:val="000440C1"/>
    <w:rsid w:val="00055E27"/>
    <w:rsid w:val="000635CB"/>
    <w:rsid w:val="00063E4B"/>
    <w:rsid w:val="000672B3"/>
    <w:rsid w:val="000700E9"/>
    <w:rsid w:val="00070903"/>
    <w:rsid w:val="00070E03"/>
    <w:rsid w:val="000731D4"/>
    <w:rsid w:val="00073BB1"/>
    <w:rsid w:val="00073D9F"/>
    <w:rsid w:val="000766BB"/>
    <w:rsid w:val="00082BBB"/>
    <w:rsid w:val="00084E12"/>
    <w:rsid w:val="00086342"/>
    <w:rsid w:val="000904C8"/>
    <w:rsid w:val="0009475D"/>
    <w:rsid w:val="00097EB6"/>
    <w:rsid w:val="000A004C"/>
    <w:rsid w:val="000A3E44"/>
    <w:rsid w:val="000A5F83"/>
    <w:rsid w:val="000B062E"/>
    <w:rsid w:val="000D28C8"/>
    <w:rsid w:val="000D374B"/>
    <w:rsid w:val="000D635E"/>
    <w:rsid w:val="000E42D3"/>
    <w:rsid w:val="000E483D"/>
    <w:rsid w:val="000E7FD1"/>
    <w:rsid w:val="000F16ED"/>
    <w:rsid w:val="000F2D4D"/>
    <w:rsid w:val="000F7AEC"/>
    <w:rsid w:val="001013E6"/>
    <w:rsid w:val="001027D9"/>
    <w:rsid w:val="00106B3E"/>
    <w:rsid w:val="00113314"/>
    <w:rsid w:val="0012023E"/>
    <w:rsid w:val="00124164"/>
    <w:rsid w:val="00127255"/>
    <w:rsid w:val="00127B2C"/>
    <w:rsid w:val="00127E83"/>
    <w:rsid w:val="00127F57"/>
    <w:rsid w:val="00132A67"/>
    <w:rsid w:val="00133AB0"/>
    <w:rsid w:val="00133B68"/>
    <w:rsid w:val="001361C6"/>
    <w:rsid w:val="001375D9"/>
    <w:rsid w:val="001458A4"/>
    <w:rsid w:val="0015582D"/>
    <w:rsid w:val="00157345"/>
    <w:rsid w:val="001615DC"/>
    <w:rsid w:val="00164A15"/>
    <w:rsid w:val="00166F63"/>
    <w:rsid w:val="00170480"/>
    <w:rsid w:val="00170CD4"/>
    <w:rsid w:val="0017118C"/>
    <w:rsid w:val="00173C62"/>
    <w:rsid w:val="00174054"/>
    <w:rsid w:val="00181A48"/>
    <w:rsid w:val="00182881"/>
    <w:rsid w:val="00185F9B"/>
    <w:rsid w:val="00187BFB"/>
    <w:rsid w:val="0019264B"/>
    <w:rsid w:val="00195149"/>
    <w:rsid w:val="00195400"/>
    <w:rsid w:val="00196EDC"/>
    <w:rsid w:val="001A4184"/>
    <w:rsid w:val="001A7226"/>
    <w:rsid w:val="001B2F9A"/>
    <w:rsid w:val="001B4087"/>
    <w:rsid w:val="001B4B2D"/>
    <w:rsid w:val="001B6A4C"/>
    <w:rsid w:val="001B7EFB"/>
    <w:rsid w:val="001C7577"/>
    <w:rsid w:val="001C7AAE"/>
    <w:rsid w:val="001D264B"/>
    <w:rsid w:val="001D2C2D"/>
    <w:rsid w:val="001E0E67"/>
    <w:rsid w:val="001F0284"/>
    <w:rsid w:val="001F0DCF"/>
    <w:rsid w:val="001F5DF2"/>
    <w:rsid w:val="001F6726"/>
    <w:rsid w:val="001F7C96"/>
    <w:rsid w:val="00201EBF"/>
    <w:rsid w:val="00202F78"/>
    <w:rsid w:val="0020393D"/>
    <w:rsid w:val="00203BD3"/>
    <w:rsid w:val="002071D8"/>
    <w:rsid w:val="00210147"/>
    <w:rsid w:val="00210B0A"/>
    <w:rsid w:val="00220C28"/>
    <w:rsid w:val="00223451"/>
    <w:rsid w:val="00223940"/>
    <w:rsid w:val="002272E2"/>
    <w:rsid w:val="002324E5"/>
    <w:rsid w:val="00241909"/>
    <w:rsid w:val="0024331C"/>
    <w:rsid w:val="00243E42"/>
    <w:rsid w:val="002441F0"/>
    <w:rsid w:val="0024632A"/>
    <w:rsid w:val="00250CB6"/>
    <w:rsid w:val="0025728D"/>
    <w:rsid w:val="00260557"/>
    <w:rsid w:val="00261E07"/>
    <w:rsid w:val="002627A3"/>
    <w:rsid w:val="00272754"/>
    <w:rsid w:val="0027594F"/>
    <w:rsid w:val="002765E8"/>
    <w:rsid w:val="00280A57"/>
    <w:rsid w:val="0028206D"/>
    <w:rsid w:val="00284117"/>
    <w:rsid w:val="00285848"/>
    <w:rsid w:val="00285BD1"/>
    <w:rsid w:val="00293A11"/>
    <w:rsid w:val="002947EA"/>
    <w:rsid w:val="002A6CCD"/>
    <w:rsid w:val="002A717E"/>
    <w:rsid w:val="002C26BD"/>
    <w:rsid w:val="002C4769"/>
    <w:rsid w:val="002C4C2D"/>
    <w:rsid w:val="002C5875"/>
    <w:rsid w:val="002D2455"/>
    <w:rsid w:val="002D2A1D"/>
    <w:rsid w:val="002D7ED7"/>
    <w:rsid w:val="002E2457"/>
    <w:rsid w:val="002E627C"/>
    <w:rsid w:val="002F0260"/>
    <w:rsid w:val="002F2E34"/>
    <w:rsid w:val="002F78F6"/>
    <w:rsid w:val="00301028"/>
    <w:rsid w:val="00307223"/>
    <w:rsid w:val="003139A6"/>
    <w:rsid w:val="00325AFE"/>
    <w:rsid w:val="003262DD"/>
    <w:rsid w:val="003364E3"/>
    <w:rsid w:val="00337FBA"/>
    <w:rsid w:val="003421F1"/>
    <w:rsid w:val="00352987"/>
    <w:rsid w:val="0035577F"/>
    <w:rsid w:val="00362BBB"/>
    <w:rsid w:val="00363270"/>
    <w:rsid w:val="0036492B"/>
    <w:rsid w:val="00365D8D"/>
    <w:rsid w:val="0036668A"/>
    <w:rsid w:val="00366CE8"/>
    <w:rsid w:val="00373557"/>
    <w:rsid w:val="00373A99"/>
    <w:rsid w:val="00382918"/>
    <w:rsid w:val="003860BB"/>
    <w:rsid w:val="00387069"/>
    <w:rsid w:val="00390EE3"/>
    <w:rsid w:val="00396AED"/>
    <w:rsid w:val="00397F12"/>
    <w:rsid w:val="003A05AB"/>
    <w:rsid w:val="003A2EB4"/>
    <w:rsid w:val="003A4BDA"/>
    <w:rsid w:val="003A7760"/>
    <w:rsid w:val="003B5CEA"/>
    <w:rsid w:val="003C162A"/>
    <w:rsid w:val="003C276C"/>
    <w:rsid w:val="003D4019"/>
    <w:rsid w:val="003D67BE"/>
    <w:rsid w:val="003E11C2"/>
    <w:rsid w:val="003E259F"/>
    <w:rsid w:val="003E3002"/>
    <w:rsid w:val="003E575B"/>
    <w:rsid w:val="003E6C92"/>
    <w:rsid w:val="003E7C75"/>
    <w:rsid w:val="003F7909"/>
    <w:rsid w:val="004029A5"/>
    <w:rsid w:val="004065E4"/>
    <w:rsid w:val="0041043C"/>
    <w:rsid w:val="00410B6C"/>
    <w:rsid w:val="00414C54"/>
    <w:rsid w:val="004244E9"/>
    <w:rsid w:val="004259C1"/>
    <w:rsid w:val="00427B58"/>
    <w:rsid w:val="00432BC1"/>
    <w:rsid w:val="004345B6"/>
    <w:rsid w:val="00434AD5"/>
    <w:rsid w:val="00435229"/>
    <w:rsid w:val="0043714A"/>
    <w:rsid w:val="00440023"/>
    <w:rsid w:val="00440830"/>
    <w:rsid w:val="00455F63"/>
    <w:rsid w:val="00461C6A"/>
    <w:rsid w:val="00470895"/>
    <w:rsid w:val="00471CC1"/>
    <w:rsid w:val="00473B27"/>
    <w:rsid w:val="00477C0F"/>
    <w:rsid w:val="0048538D"/>
    <w:rsid w:val="00490917"/>
    <w:rsid w:val="00493B9E"/>
    <w:rsid w:val="004B7D4C"/>
    <w:rsid w:val="004C60B1"/>
    <w:rsid w:val="004E1DE3"/>
    <w:rsid w:val="004E36FA"/>
    <w:rsid w:val="004E66F5"/>
    <w:rsid w:val="004E7911"/>
    <w:rsid w:val="004F0D41"/>
    <w:rsid w:val="004F429B"/>
    <w:rsid w:val="004F7530"/>
    <w:rsid w:val="005056A2"/>
    <w:rsid w:val="00513D5E"/>
    <w:rsid w:val="0051532E"/>
    <w:rsid w:val="005209F8"/>
    <w:rsid w:val="00523B15"/>
    <w:rsid w:val="005261D4"/>
    <w:rsid w:val="00534DDD"/>
    <w:rsid w:val="00540EFD"/>
    <w:rsid w:val="00541A8F"/>
    <w:rsid w:val="0054606F"/>
    <w:rsid w:val="00553A1A"/>
    <w:rsid w:val="005567E0"/>
    <w:rsid w:val="00561625"/>
    <w:rsid w:val="00563395"/>
    <w:rsid w:val="005672C9"/>
    <w:rsid w:val="00567E9C"/>
    <w:rsid w:val="0057038A"/>
    <w:rsid w:val="00571BC1"/>
    <w:rsid w:val="00571F27"/>
    <w:rsid w:val="0059144A"/>
    <w:rsid w:val="00591D6F"/>
    <w:rsid w:val="0059576A"/>
    <w:rsid w:val="00595E00"/>
    <w:rsid w:val="005B2313"/>
    <w:rsid w:val="005B4B26"/>
    <w:rsid w:val="005C21AB"/>
    <w:rsid w:val="005C288A"/>
    <w:rsid w:val="005C776B"/>
    <w:rsid w:val="005D4B8A"/>
    <w:rsid w:val="005E5EB2"/>
    <w:rsid w:val="005F0A76"/>
    <w:rsid w:val="005F40BA"/>
    <w:rsid w:val="006007CB"/>
    <w:rsid w:val="00612F90"/>
    <w:rsid w:val="006130E5"/>
    <w:rsid w:val="00617D01"/>
    <w:rsid w:val="00620F26"/>
    <w:rsid w:val="006238C7"/>
    <w:rsid w:val="00632F24"/>
    <w:rsid w:val="00635DD4"/>
    <w:rsid w:val="006362C9"/>
    <w:rsid w:val="006376B8"/>
    <w:rsid w:val="0064104B"/>
    <w:rsid w:val="00646479"/>
    <w:rsid w:val="006472CA"/>
    <w:rsid w:val="00655874"/>
    <w:rsid w:val="00656AB2"/>
    <w:rsid w:val="00660B5C"/>
    <w:rsid w:val="006612C4"/>
    <w:rsid w:val="00672675"/>
    <w:rsid w:val="0067337E"/>
    <w:rsid w:val="00680A7A"/>
    <w:rsid w:val="00682A3C"/>
    <w:rsid w:val="00684137"/>
    <w:rsid w:val="00685E6E"/>
    <w:rsid w:val="006875AA"/>
    <w:rsid w:val="006974CD"/>
    <w:rsid w:val="006A25BA"/>
    <w:rsid w:val="006B17A2"/>
    <w:rsid w:val="006B39F1"/>
    <w:rsid w:val="006B5F18"/>
    <w:rsid w:val="006B64C0"/>
    <w:rsid w:val="006C0B45"/>
    <w:rsid w:val="006C6A4C"/>
    <w:rsid w:val="006D20D6"/>
    <w:rsid w:val="006D2CAE"/>
    <w:rsid w:val="006D3A77"/>
    <w:rsid w:val="006E1778"/>
    <w:rsid w:val="006E3E76"/>
    <w:rsid w:val="006E57E8"/>
    <w:rsid w:val="006E67EA"/>
    <w:rsid w:val="006E6AFC"/>
    <w:rsid w:val="006F439E"/>
    <w:rsid w:val="006F478D"/>
    <w:rsid w:val="0070330D"/>
    <w:rsid w:val="00704615"/>
    <w:rsid w:val="00713C6A"/>
    <w:rsid w:val="0072731D"/>
    <w:rsid w:val="00727CDD"/>
    <w:rsid w:val="00727FED"/>
    <w:rsid w:val="007303BC"/>
    <w:rsid w:val="00730A4B"/>
    <w:rsid w:val="0073393C"/>
    <w:rsid w:val="00734D21"/>
    <w:rsid w:val="007358EA"/>
    <w:rsid w:val="00735F1C"/>
    <w:rsid w:val="00744C0A"/>
    <w:rsid w:val="00746031"/>
    <w:rsid w:val="007524EA"/>
    <w:rsid w:val="007528B6"/>
    <w:rsid w:val="007561DB"/>
    <w:rsid w:val="00760998"/>
    <w:rsid w:val="00761C1E"/>
    <w:rsid w:val="007709FF"/>
    <w:rsid w:val="00773EFC"/>
    <w:rsid w:val="007773D7"/>
    <w:rsid w:val="00792B0E"/>
    <w:rsid w:val="00797E4C"/>
    <w:rsid w:val="007A0AD2"/>
    <w:rsid w:val="007A143E"/>
    <w:rsid w:val="007A1A95"/>
    <w:rsid w:val="007A7F8C"/>
    <w:rsid w:val="007B1F83"/>
    <w:rsid w:val="007B23DB"/>
    <w:rsid w:val="007B5E2E"/>
    <w:rsid w:val="007C0910"/>
    <w:rsid w:val="007C33E9"/>
    <w:rsid w:val="007C545B"/>
    <w:rsid w:val="007D142B"/>
    <w:rsid w:val="007E08C4"/>
    <w:rsid w:val="007E11AC"/>
    <w:rsid w:val="007E34E5"/>
    <w:rsid w:val="007E4495"/>
    <w:rsid w:val="007F531A"/>
    <w:rsid w:val="007F70BA"/>
    <w:rsid w:val="007F74AA"/>
    <w:rsid w:val="008043F1"/>
    <w:rsid w:val="0080542A"/>
    <w:rsid w:val="00805ABD"/>
    <w:rsid w:val="00807507"/>
    <w:rsid w:val="008124E3"/>
    <w:rsid w:val="008148E2"/>
    <w:rsid w:val="008153B1"/>
    <w:rsid w:val="008154F4"/>
    <w:rsid w:val="00815601"/>
    <w:rsid w:val="00815882"/>
    <w:rsid w:val="00820DDB"/>
    <w:rsid w:val="00833147"/>
    <w:rsid w:val="00835570"/>
    <w:rsid w:val="00835E52"/>
    <w:rsid w:val="00837488"/>
    <w:rsid w:val="00842DE9"/>
    <w:rsid w:val="008457BF"/>
    <w:rsid w:val="008461F4"/>
    <w:rsid w:val="0084620E"/>
    <w:rsid w:val="008504AD"/>
    <w:rsid w:val="00850619"/>
    <w:rsid w:val="00852689"/>
    <w:rsid w:val="00853573"/>
    <w:rsid w:val="008537CF"/>
    <w:rsid w:val="00853FBA"/>
    <w:rsid w:val="00854F6C"/>
    <w:rsid w:val="00860607"/>
    <w:rsid w:val="008665B7"/>
    <w:rsid w:val="008702E4"/>
    <w:rsid w:val="008704FD"/>
    <w:rsid w:val="00892364"/>
    <w:rsid w:val="00894D3C"/>
    <w:rsid w:val="00895378"/>
    <w:rsid w:val="00896971"/>
    <w:rsid w:val="008978F3"/>
    <w:rsid w:val="008A6FFC"/>
    <w:rsid w:val="008B3151"/>
    <w:rsid w:val="008B6A7F"/>
    <w:rsid w:val="008C2143"/>
    <w:rsid w:val="008C52BA"/>
    <w:rsid w:val="008C68D5"/>
    <w:rsid w:val="008D1C41"/>
    <w:rsid w:val="008D247A"/>
    <w:rsid w:val="008D42D0"/>
    <w:rsid w:val="008D4D49"/>
    <w:rsid w:val="008E2E9B"/>
    <w:rsid w:val="008E2F43"/>
    <w:rsid w:val="008E54E5"/>
    <w:rsid w:val="008F03DF"/>
    <w:rsid w:val="008F0F24"/>
    <w:rsid w:val="008F3FDF"/>
    <w:rsid w:val="008F5743"/>
    <w:rsid w:val="008F610E"/>
    <w:rsid w:val="008F6C18"/>
    <w:rsid w:val="00900356"/>
    <w:rsid w:val="00910785"/>
    <w:rsid w:val="00910D5B"/>
    <w:rsid w:val="0091148B"/>
    <w:rsid w:val="00911521"/>
    <w:rsid w:val="00913581"/>
    <w:rsid w:val="009150E3"/>
    <w:rsid w:val="00922BAE"/>
    <w:rsid w:val="0092354D"/>
    <w:rsid w:val="00925868"/>
    <w:rsid w:val="009260ED"/>
    <w:rsid w:val="009334AF"/>
    <w:rsid w:val="00935A24"/>
    <w:rsid w:val="009367B9"/>
    <w:rsid w:val="00940554"/>
    <w:rsid w:val="00940F74"/>
    <w:rsid w:val="0094122E"/>
    <w:rsid w:val="00946ECC"/>
    <w:rsid w:val="00950273"/>
    <w:rsid w:val="0095282A"/>
    <w:rsid w:val="0095465E"/>
    <w:rsid w:val="00960CCB"/>
    <w:rsid w:val="00960D5E"/>
    <w:rsid w:val="00967FFA"/>
    <w:rsid w:val="0097263F"/>
    <w:rsid w:val="009736BF"/>
    <w:rsid w:val="009756F0"/>
    <w:rsid w:val="009758E1"/>
    <w:rsid w:val="00980415"/>
    <w:rsid w:val="0098100D"/>
    <w:rsid w:val="009859D1"/>
    <w:rsid w:val="0098613D"/>
    <w:rsid w:val="00992048"/>
    <w:rsid w:val="00993BC3"/>
    <w:rsid w:val="0099453C"/>
    <w:rsid w:val="00997E07"/>
    <w:rsid w:val="009A31B3"/>
    <w:rsid w:val="009A3DD4"/>
    <w:rsid w:val="009B273A"/>
    <w:rsid w:val="009B5891"/>
    <w:rsid w:val="009C25C0"/>
    <w:rsid w:val="009C73DD"/>
    <w:rsid w:val="009D19D5"/>
    <w:rsid w:val="009D3461"/>
    <w:rsid w:val="009D4DC9"/>
    <w:rsid w:val="009E59CC"/>
    <w:rsid w:val="009F0C1D"/>
    <w:rsid w:val="009F4DF4"/>
    <w:rsid w:val="009F691C"/>
    <w:rsid w:val="00A01AF8"/>
    <w:rsid w:val="00A06C98"/>
    <w:rsid w:val="00A1598E"/>
    <w:rsid w:val="00A20734"/>
    <w:rsid w:val="00A23E15"/>
    <w:rsid w:val="00A30DE1"/>
    <w:rsid w:val="00A3183C"/>
    <w:rsid w:val="00A34EC8"/>
    <w:rsid w:val="00A40808"/>
    <w:rsid w:val="00A40CEB"/>
    <w:rsid w:val="00A43629"/>
    <w:rsid w:val="00A478C9"/>
    <w:rsid w:val="00A65C1E"/>
    <w:rsid w:val="00A761B6"/>
    <w:rsid w:val="00A80D2F"/>
    <w:rsid w:val="00A817E9"/>
    <w:rsid w:val="00A84D90"/>
    <w:rsid w:val="00A90EE8"/>
    <w:rsid w:val="00A91A7F"/>
    <w:rsid w:val="00A936F5"/>
    <w:rsid w:val="00A9711D"/>
    <w:rsid w:val="00A976AC"/>
    <w:rsid w:val="00AA1573"/>
    <w:rsid w:val="00AA4695"/>
    <w:rsid w:val="00AB19C4"/>
    <w:rsid w:val="00AB26A8"/>
    <w:rsid w:val="00AB4313"/>
    <w:rsid w:val="00AB460C"/>
    <w:rsid w:val="00AB4DBF"/>
    <w:rsid w:val="00AB53A1"/>
    <w:rsid w:val="00AC1025"/>
    <w:rsid w:val="00AC34B1"/>
    <w:rsid w:val="00AC6736"/>
    <w:rsid w:val="00AC7917"/>
    <w:rsid w:val="00AD1199"/>
    <w:rsid w:val="00AD5FA5"/>
    <w:rsid w:val="00AD73E7"/>
    <w:rsid w:val="00AD760E"/>
    <w:rsid w:val="00AE203A"/>
    <w:rsid w:val="00AE6869"/>
    <w:rsid w:val="00AE6D27"/>
    <w:rsid w:val="00AF36C4"/>
    <w:rsid w:val="00AF538B"/>
    <w:rsid w:val="00B05B29"/>
    <w:rsid w:val="00B13143"/>
    <w:rsid w:val="00B26919"/>
    <w:rsid w:val="00B34E24"/>
    <w:rsid w:val="00B3518B"/>
    <w:rsid w:val="00B354EB"/>
    <w:rsid w:val="00B364A4"/>
    <w:rsid w:val="00B365F7"/>
    <w:rsid w:val="00B3675E"/>
    <w:rsid w:val="00B459C8"/>
    <w:rsid w:val="00B469EB"/>
    <w:rsid w:val="00B479D2"/>
    <w:rsid w:val="00B5264D"/>
    <w:rsid w:val="00B54467"/>
    <w:rsid w:val="00B54561"/>
    <w:rsid w:val="00B57680"/>
    <w:rsid w:val="00B61134"/>
    <w:rsid w:val="00B6686C"/>
    <w:rsid w:val="00B678FD"/>
    <w:rsid w:val="00B67D3D"/>
    <w:rsid w:val="00B74758"/>
    <w:rsid w:val="00B76D2F"/>
    <w:rsid w:val="00B7774F"/>
    <w:rsid w:val="00B77F2A"/>
    <w:rsid w:val="00B80189"/>
    <w:rsid w:val="00B8228C"/>
    <w:rsid w:val="00B85659"/>
    <w:rsid w:val="00B85986"/>
    <w:rsid w:val="00B903DE"/>
    <w:rsid w:val="00BA43E8"/>
    <w:rsid w:val="00BA6430"/>
    <w:rsid w:val="00BA7C5E"/>
    <w:rsid w:val="00BB0E9B"/>
    <w:rsid w:val="00BB7E59"/>
    <w:rsid w:val="00BC04BF"/>
    <w:rsid w:val="00BD0366"/>
    <w:rsid w:val="00BD2021"/>
    <w:rsid w:val="00BD38A1"/>
    <w:rsid w:val="00BE403F"/>
    <w:rsid w:val="00BF56EE"/>
    <w:rsid w:val="00C05B16"/>
    <w:rsid w:val="00C07408"/>
    <w:rsid w:val="00C15217"/>
    <w:rsid w:val="00C16241"/>
    <w:rsid w:val="00C16D64"/>
    <w:rsid w:val="00C325C2"/>
    <w:rsid w:val="00C33774"/>
    <w:rsid w:val="00C34887"/>
    <w:rsid w:val="00C34AB5"/>
    <w:rsid w:val="00C34DBD"/>
    <w:rsid w:val="00C3511C"/>
    <w:rsid w:val="00C364C3"/>
    <w:rsid w:val="00C46985"/>
    <w:rsid w:val="00C50173"/>
    <w:rsid w:val="00C53532"/>
    <w:rsid w:val="00C546BF"/>
    <w:rsid w:val="00C565A3"/>
    <w:rsid w:val="00C57F69"/>
    <w:rsid w:val="00C608D5"/>
    <w:rsid w:val="00C62023"/>
    <w:rsid w:val="00C64C8E"/>
    <w:rsid w:val="00C65305"/>
    <w:rsid w:val="00C65B52"/>
    <w:rsid w:val="00C675E8"/>
    <w:rsid w:val="00C67706"/>
    <w:rsid w:val="00C7575F"/>
    <w:rsid w:val="00C7631C"/>
    <w:rsid w:val="00C778CA"/>
    <w:rsid w:val="00C8047E"/>
    <w:rsid w:val="00C81D8D"/>
    <w:rsid w:val="00C83AC2"/>
    <w:rsid w:val="00C87C91"/>
    <w:rsid w:val="00C930B5"/>
    <w:rsid w:val="00C96F66"/>
    <w:rsid w:val="00CA11C0"/>
    <w:rsid w:val="00CA570E"/>
    <w:rsid w:val="00CA6123"/>
    <w:rsid w:val="00CA6698"/>
    <w:rsid w:val="00CA79D9"/>
    <w:rsid w:val="00CA7B6B"/>
    <w:rsid w:val="00CC0199"/>
    <w:rsid w:val="00CC2CD1"/>
    <w:rsid w:val="00CC3C23"/>
    <w:rsid w:val="00CC4208"/>
    <w:rsid w:val="00CC6916"/>
    <w:rsid w:val="00CC72B3"/>
    <w:rsid w:val="00CD6AAD"/>
    <w:rsid w:val="00CE19B6"/>
    <w:rsid w:val="00D03DC5"/>
    <w:rsid w:val="00D03E0D"/>
    <w:rsid w:val="00D04429"/>
    <w:rsid w:val="00D10AC5"/>
    <w:rsid w:val="00D15150"/>
    <w:rsid w:val="00D1548F"/>
    <w:rsid w:val="00D17035"/>
    <w:rsid w:val="00D227F0"/>
    <w:rsid w:val="00D22DA2"/>
    <w:rsid w:val="00D25839"/>
    <w:rsid w:val="00D25D4C"/>
    <w:rsid w:val="00D27AA8"/>
    <w:rsid w:val="00D3323E"/>
    <w:rsid w:val="00D33294"/>
    <w:rsid w:val="00D360CF"/>
    <w:rsid w:val="00D36D4A"/>
    <w:rsid w:val="00D43F15"/>
    <w:rsid w:val="00D45365"/>
    <w:rsid w:val="00D459F8"/>
    <w:rsid w:val="00D576F0"/>
    <w:rsid w:val="00D60FE7"/>
    <w:rsid w:val="00D63D0D"/>
    <w:rsid w:val="00D6547F"/>
    <w:rsid w:val="00D744D6"/>
    <w:rsid w:val="00D75106"/>
    <w:rsid w:val="00D76486"/>
    <w:rsid w:val="00D76B2F"/>
    <w:rsid w:val="00D8096F"/>
    <w:rsid w:val="00D834C6"/>
    <w:rsid w:val="00D848F8"/>
    <w:rsid w:val="00D9159E"/>
    <w:rsid w:val="00D92D05"/>
    <w:rsid w:val="00D93908"/>
    <w:rsid w:val="00D93C13"/>
    <w:rsid w:val="00D93EAF"/>
    <w:rsid w:val="00DA0D65"/>
    <w:rsid w:val="00DA5593"/>
    <w:rsid w:val="00DB296B"/>
    <w:rsid w:val="00DB5307"/>
    <w:rsid w:val="00DB58BB"/>
    <w:rsid w:val="00DB5E18"/>
    <w:rsid w:val="00DC2E60"/>
    <w:rsid w:val="00DC3E0B"/>
    <w:rsid w:val="00DC5603"/>
    <w:rsid w:val="00DD12B2"/>
    <w:rsid w:val="00DD4B18"/>
    <w:rsid w:val="00DE18B7"/>
    <w:rsid w:val="00DE22A2"/>
    <w:rsid w:val="00DE646D"/>
    <w:rsid w:val="00DE6BAA"/>
    <w:rsid w:val="00DE70B8"/>
    <w:rsid w:val="00DE7B32"/>
    <w:rsid w:val="00DF1288"/>
    <w:rsid w:val="00DF1313"/>
    <w:rsid w:val="00DF149B"/>
    <w:rsid w:val="00E0216B"/>
    <w:rsid w:val="00E04AD2"/>
    <w:rsid w:val="00E07A81"/>
    <w:rsid w:val="00E13058"/>
    <w:rsid w:val="00E15883"/>
    <w:rsid w:val="00E27D80"/>
    <w:rsid w:val="00E31C11"/>
    <w:rsid w:val="00E40362"/>
    <w:rsid w:val="00E40A66"/>
    <w:rsid w:val="00E40D7B"/>
    <w:rsid w:val="00E44AB4"/>
    <w:rsid w:val="00E607C9"/>
    <w:rsid w:val="00E6090B"/>
    <w:rsid w:val="00E625F5"/>
    <w:rsid w:val="00E7005C"/>
    <w:rsid w:val="00E73345"/>
    <w:rsid w:val="00E7336B"/>
    <w:rsid w:val="00E82FF3"/>
    <w:rsid w:val="00E8488F"/>
    <w:rsid w:val="00E854C3"/>
    <w:rsid w:val="00E85BC1"/>
    <w:rsid w:val="00E87565"/>
    <w:rsid w:val="00E91670"/>
    <w:rsid w:val="00E9255F"/>
    <w:rsid w:val="00E95017"/>
    <w:rsid w:val="00E959E3"/>
    <w:rsid w:val="00EB1B6F"/>
    <w:rsid w:val="00EB3E5A"/>
    <w:rsid w:val="00EC074A"/>
    <w:rsid w:val="00EC352A"/>
    <w:rsid w:val="00EC3D81"/>
    <w:rsid w:val="00EC3E3C"/>
    <w:rsid w:val="00EC56F4"/>
    <w:rsid w:val="00EC5AA5"/>
    <w:rsid w:val="00ED11C4"/>
    <w:rsid w:val="00ED16EE"/>
    <w:rsid w:val="00ED1F77"/>
    <w:rsid w:val="00ED399B"/>
    <w:rsid w:val="00ED3FD0"/>
    <w:rsid w:val="00EE10CE"/>
    <w:rsid w:val="00EE1275"/>
    <w:rsid w:val="00EE4129"/>
    <w:rsid w:val="00EE543D"/>
    <w:rsid w:val="00EF0D49"/>
    <w:rsid w:val="00EF5586"/>
    <w:rsid w:val="00F0352D"/>
    <w:rsid w:val="00F05128"/>
    <w:rsid w:val="00F05487"/>
    <w:rsid w:val="00F05C1D"/>
    <w:rsid w:val="00F121FD"/>
    <w:rsid w:val="00F12955"/>
    <w:rsid w:val="00F13B9B"/>
    <w:rsid w:val="00F15910"/>
    <w:rsid w:val="00F15B73"/>
    <w:rsid w:val="00F1666F"/>
    <w:rsid w:val="00F212D4"/>
    <w:rsid w:val="00F25128"/>
    <w:rsid w:val="00F30419"/>
    <w:rsid w:val="00F31693"/>
    <w:rsid w:val="00F32904"/>
    <w:rsid w:val="00F32D14"/>
    <w:rsid w:val="00F33AB5"/>
    <w:rsid w:val="00F33C50"/>
    <w:rsid w:val="00F3475D"/>
    <w:rsid w:val="00F36F48"/>
    <w:rsid w:val="00F45F4B"/>
    <w:rsid w:val="00F52DE1"/>
    <w:rsid w:val="00F56B0E"/>
    <w:rsid w:val="00F700BA"/>
    <w:rsid w:val="00F73BEC"/>
    <w:rsid w:val="00F7416D"/>
    <w:rsid w:val="00F753B7"/>
    <w:rsid w:val="00F8146E"/>
    <w:rsid w:val="00F86EB4"/>
    <w:rsid w:val="00F92021"/>
    <w:rsid w:val="00FA2826"/>
    <w:rsid w:val="00FA3D1A"/>
    <w:rsid w:val="00FB3DF8"/>
    <w:rsid w:val="00FB5AC6"/>
    <w:rsid w:val="00FB6AC8"/>
    <w:rsid w:val="00FB6D0C"/>
    <w:rsid w:val="00FB7EDF"/>
    <w:rsid w:val="00FC557C"/>
    <w:rsid w:val="00FC7125"/>
    <w:rsid w:val="00FE165F"/>
    <w:rsid w:val="00FE5303"/>
    <w:rsid w:val="00FE7FDB"/>
    <w:rsid w:val="00FF5017"/>
    <w:rsid w:val="00FF56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01C0C"/>
  <w15:docId w15:val="{FB934BF1-29F5-466D-B8FD-D1B58D79B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6A4C"/>
  </w:style>
  <w:style w:type="paragraph" w:styleId="Heading1">
    <w:name w:val="heading 1"/>
    <w:basedOn w:val="Normal"/>
    <w:next w:val="Normal"/>
    <w:link w:val="Heading1Char"/>
    <w:uiPriority w:val="9"/>
    <w:qFormat/>
    <w:rsid w:val="00D360CF"/>
    <w:pPr>
      <w:keepNext/>
      <w:keepLines/>
      <w:spacing w:before="480" w:after="0" w:line="240" w:lineRule="auto"/>
      <w:outlineLvl w:val="0"/>
    </w:pPr>
    <w:rPr>
      <w:rFonts w:asciiTheme="majorHAnsi" w:eastAsiaTheme="majorEastAsia" w:hAnsiTheme="majorHAnsi" w:cstheme="majorBidi"/>
      <w:b/>
      <w:bCs/>
      <w:color w:val="2F5496" w:themeColor="accent1" w:themeShade="BF"/>
      <w:sz w:val="28"/>
      <w:szCs w:val="28"/>
      <w:lang w:val="en-GB"/>
    </w:rPr>
  </w:style>
  <w:style w:type="paragraph" w:styleId="Heading2">
    <w:name w:val="heading 2"/>
    <w:basedOn w:val="Normal"/>
    <w:next w:val="Normal"/>
    <w:link w:val="Heading2Char"/>
    <w:uiPriority w:val="9"/>
    <w:semiHidden/>
    <w:unhideWhenUsed/>
    <w:qFormat/>
    <w:rsid w:val="009F4DF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B5F1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50273"/>
    <w:rPr>
      <w:color w:val="0000FF"/>
      <w:u w:val="single"/>
    </w:rPr>
  </w:style>
  <w:style w:type="paragraph" w:styleId="FootnoteText">
    <w:name w:val="footnote text"/>
    <w:basedOn w:val="Normal"/>
    <w:link w:val="FootnoteTextChar"/>
    <w:uiPriority w:val="99"/>
    <w:unhideWhenUsed/>
    <w:rsid w:val="00EC56F4"/>
    <w:pPr>
      <w:spacing w:after="0" w:line="240" w:lineRule="auto"/>
    </w:pPr>
    <w:rPr>
      <w:sz w:val="20"/>
      <w:szCs w:val="20"/>
    </w:rPr>
  </w:style>
  <w:style w:type="character" w:customStyle="1" w:styleId="FootnoteTextChar">
    <w:name w:val="Footnote Text Char"/>
    <w:basedOn w:val="DefaultParagraphFont"/>
    <w:link w:val="FootnoteText"/>
    <w:uiPriority w:val="99"/>
    <w:rsid w:val="00EC56F4"/>
    <w:rPr>
      <w:sz w:val="20"/>
      <w:szCs w:val="20"/>
    </w:rPr>
  </w:style>
  <w:style w:type="character" w:styleId="FootnoteReference">
    <w:name w:val="footnote reference"/>
    <w:basedOn w:val="DefaultParagraphFont"/>
    <w:semiHidden/>
    <w:unhideWhenUsed/>
    <w:rsid w:val="00EC56F4"/>
    <w:rPr>
      <w:vertAlign w:val="superscript"/>
    </w:rPr>
  </w:style>
  <w:style w:type="paragraph" w:styleId="PlainText">
    <w:name w:val="Plain Text"/>
    <w:basedOn w:val="Normal"/>
    <w:link w:val="PlainTextChar"/>
    <w:uiPriority w:val="99"/>
    <w:unhideWhenUsed/>
    <w:rsid w:val="00D360CF"/>
    <w:pPr>
      <w:spacing w:after="0" w:line="240" w:lineRule="auto"/>
    </w:pPr>
    <w:rPr>
      <w:rFonts w:ascii="Calibri" w:hAnsi="Calibri"/>
      <w:szCs w:val="21"/>
      <w:lang w:val="en-GB"/>
    </w:rPr>
  </w:style>
  <w:style w:type="character" w:customStyle="1" w:styleId="PlainTextChar">
    <w:name w:val="Plain Text Char"/>
    <w:basedOn w:val="DefaultParagraphFont"/>
    <w:link w:val="PlainText"/>
    <w:uiPriority w:val="99"/>
    <w:rsid w:val="00D360CF"/>
    <w:rPr>
      <w:rFonts w:ascii="Calibri" w:hAnsi="Calibri"/>
      <w:szCs w:val="21"/>
      <w:lang w:val="en-GB"/>
    </w:rPr>
  </w:style>
  <w:style w:type="paragraph" w:styleId="EndnoteText">
    <w:name w:val="endnote text"/>
    <w:basedOn w:val="Normal"/>
    <w:link w:val="EndnoteTextChar"/>
    <w:uiPriority w:val="99"/>
    <w:unhideWhenUsed/>
    <w:rsid w:val="00D360CF"/>
    <w:pPr>
      <w:spacing w:after="0" w:line="240" w:lineRule="auto"/>
    </w:pPr>
    <w:rPr>
      <w:rFonts w:eastAsiaTheme="minorEastAsia"/>
      <w:sz w:val="20"/>
      <w:szCs w:val="20"/>
      <w:lang w:val="en-GB" w:eastAsia="en-GB"/>
    </w:rPr>
  </w:style>
  <w:style w:type="character" w:customStyle="1" w:styleId="EndnoteTextChar">
    <w:name w:val="Endnote Text Char"/>
    <w:basedOn w:val="DefaultParagraphFont"/>
    <w:link w:val="EndnoteText"/>
    <w:uiPriority w:val="99"/>
    <w:rsid w:val="00D360CF"/>
    <w:rPr>
      <w:rFonts w:eastAsiaTheme="minorEastAsia"/>
      <w:sz w:val="20"/>
      <w:szCs w:val="20"/>
      <w:lang w:val="en-GB" w:eastAsia="en-GB"/>
    </w:rPr>
  </w:style>
  <w:style w:type="character" w:styleId="EndnoteReference">
    <w:name w:val="endnote reference"/>
    <w:basedOn w:val="DefaultParagraphFont"/>
    <w:uiPriority w:val="99"/>
    <w:semiHidden/>
    <w:unhideWhenUsed/>
    <w:rsid w:val="00D360CF"/>
    <w:rPr>
      <w:vertAlign w:val="superscript"/>
    </w:rPr>
  </w:style>
  <w:style w:type="character" w:customStyle="1" w:styleId="Heading1Char">
    <w:name w:val="Heading 1 Char"/>
    <w:basedOn w:val="DefaultParagraphFont"/>
    <w:link w:val="Heading1"/>
    <w:uiPriority w:val="9"/>
    <w:rsid w:val="00D360CF"/>
    <w:rPr>
      <w:rFonts w:asciiTheme="majorHAnsi" w:eastAsiaTheme="majorEastAsia" w:hAnsiTheme="majorHAnsi" w:cstheme="majorBidi"/>
      <w:b/>
      <w:bCs/>
      <w:color w:val="2F5496" w:themeColor="accent1" w:themeShade="BF"/>
      <w:sz w:val="28"/>
      <w:szCs w:val="28"/>
      <w:lang w:val="en-GB"/>
    </w:rPr>
  </w:style>
  <w:style w:type="character" w:customStyle="1" w:styleId="st">
    <w:name w:val="st"/>
    <w:basedOn w:val="DefaultParagraphFont"/>
    <w:rsid w:val="00D360CF"/>
  </w:style>
  <w:style w:type="character" w:styleId="Emphasis">
    <w:name w:val="Emphasis"/>
    <w:basedOn w:val="DefaultParagraphFont"/>
    <w:uiPriority w:val="20"/>
    <w:qFormat/>
    <w:rsid w:val="00D360CF"/>
    <w:rPr>
      <w:i/>
      <w:iCs/>
    </w:rPr>
  </w:style>
  <w:style w:type="paragraph" w:styleId="BodyText">
    <w:name w:val="Body Text"/>
    <w:basedOn w:val="Normal"/>
    <w:link w:val="BodyTextChar"/>
    <w:uiPriority w:val="1"/>
    <w:qFormat/>
    <w:rsid w:val="00F15910"/>
    <w:pPr>
      <w:autoSpaceDE w:val="0"/>
      <w:autoSpaceDN w:val="0"/>
      <w:adjustRightInd w:val="0"/>
      <w:spacing w:after="0" w:line="240" w:lineRule="auto"/>
      <w:ind w:left="518" w:firstLine="302"/>
    </w:pPr>
    <w:rPr>
      <w:rFonts w:ascii="Times New Roman" w:hAnsi="Times New Roman" w:cs="Times New Roman"/>
      <w:lang w:val="en-GB"/>
    </w:rPr>
  </w:style>
  <w:style w:type="character" w:customStyle="1" w:styleId="BodyTextChar">
    <w:name w:val="Body Text Char"/>
    <w:basedOn w:val="DefaultParagraphFont"/>
    <w:link w:val="BodyText"/>
    <w:uiPriority w:val="1"/>
    <w:rsid w:val="00F15910"/>
    <w:rPr>
      <w:rFonts w:ascii="Times New Roman" w:hAnsi="Times New Roman" w:cs="Times New Roman"/>
      <w:lang w:val="en-GB"/>
    </w:rPr>
  </w:style>
  <w:style w:type="character" w:customStyle="1" w:styleId="Heading2Char">
    <w:name w:val="Heading 2 Char"/>
    <w:basedOn w:val="DefaultParagraphFont"/>
    <w:link w:val="Heading2"/>
    <w:uiPriority w:val="9"/>
    <w:semiHidden/>
    <w:rsid w:val="009F4DF4"/>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D170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7035"/>
  </w:style>
  <w:style w:type="paragraph" w:styleId="Footer">
    <w:name w:val="footer"/>
    <w:basedOn w:val="Normal"/>
    <w:link w:val="FooterChar"/>
    <w:uiPriority w:val="99"/>
    <w:unhideWhenUsed/>
    <w:rsid w:val="00D170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7035"/>
  </w:style>
  <w:style w:type="character" w:styleId="UnresolvedMention">
    <w:name w:val="Unresolved Mention"/>
    <w:basedOn w:val="DefaultParagraphFont"/>
    <w:uiPriority w:val="99"/>
    <w:semiHidden/>
    <w:unhideWhenUsed/>
    <w:rsid w:val="0059576A"/>
    <w:rPr>
      <w:color w:val="605E5C"/>
      <w:shd w:val="clear" w:color="auto" w:fill="E1DFDD"/>
    </w:rPr>
  </w:style>
  <w:style w:type="character" w:styleId="FollowedHyperlink">
    <w:name w:val="FollowedHyperlink"/>
    <w:basedOn w:val="DefaultParagraphFont"/>
    <w:uiPriority w:val="99"/>
    <w:semiHidden/>
    <w:unhideWhenUsed/>
    <w:rsid w:val="00470895"/>
    <w:rPr>
      <w:color w:val="954F72" w:themeColor="followedHyperlink"/>
      <w:u w:val="single"/>
    </w:rPr>
  </w:style>
  <w:style w:type="character" w:customStyle="1" w:styleId="Heading3Char">
    <w:name w:val="Heading 3 Char"/>
    <w:basedOn w:val="DefaultParagraphFont"/>
    <w:link w:val="Heading3"/>
    <w:uiPriority w:val="9"/>
    <w:semiHidden/>
    <w:rsid w:val="006B5F18"/>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F73BEC"/>
    <w:rPr>
      <w:b/>
      <w:bCs/>
    </w:rPr>
  </w:style>
  <w:style w:type="paragraph" w:styleId="NormalWeb">
    <w:name w:val="Normal (Web)"/>
    <w:basedOn w:val="Normal"/>
    <w:uiPriority w:val="99"/>
    <w:semiHidden/>
    <w:unhideWhenUsed/>
    <w:rsid w:val="0048538D"/>
    <w:rPr>
      <w:rFonts w:ascii="Times New Roman" w:hAnsi="Times New Roman" w:cs="Times New Roman"/>
      <w:sz w:val="24"/>
      <w:szCs w:val="24"/>
    </w:rPr>
  </w:style>
  <w:style w:type="paragraph" w:styleId="Revision">
    <w:name w:val="Revision"/>
    <w:hidden/>
    <w:uiPriority w:val="99"/>
    <w:semiHidden/>
    <w:rsid w:val="0095465E"/>
    <w:pPr>
      <w:spacing w:after="0" w:line="240" w:lineRule="auto"/>
    </w:pPr>
  </w:style>
  <w:style w:type="character" w:customStyle="1" w:styleId="il">
    <w:name w:val="il"/>
    <w:basedOn w:val="DefaultParagraphFont"/>
    <w:rsid w:val="0054606F"/>
  </w:style>
  <w:style w:type="character" w:customStyle="1" w:styleId="ref-lnk">
    <w:name w:val="ref-lnk"/>
    <w:basedOn w:val="DefaultParagraphFont"/>
    <w:rsid w:val="00E607C9"/>
  </w:style>
  <w:style w:type="character" w:customStyle="1" w:styleId="hlfld-contribauthor">
    <w:name w:val="hlfld-contribauthor"/>
    <w:basedOn w:val="DefaultParagraphFont"/>
    <w:rsid w:val="000904C8"/>
  </w:style>
  <w:style w:type="character" w:customStyle="1" w:styleId="nlmgiven-names">
    <w:name w:val="nlm_given-names"/>
    <w:basedOn w:val="DefaultParagraphFont"/>
    <w:rsid w:val="000904C8"/>
  </w:style>
  <w:style w:type="character" w:customStyle="1" w:styleId="nlmyear">
    <w:name w:val="nlm_year"/>
    <w:basedOn w:val="DefaultParagraphFont"/>
    <w:rsid w:val="000904C8"/>
  </w:style>
  <w:style w:type="character" w:customStyle="1" w:styleId="nlmarticle-title">
    <w:name w:val="nlm_article-title"/>
    <w:basedOn w:val="DefaultParagraphFont"/>
    <w:rsid w:val="000904C8"/>
  </w:style>
  <w:style w:type="character" w:customStyle="1" w:styleId="nlmfpage">
    <w:name w:val="nlm_fpage"/>
    <w:basedOn w:val="DefaultParagraphFont"/>
    <w:rsid w:val="000904C8"/>
  </w:style>
  <w:style w:type="character" w:customStyle="1" w:styleId="nlmlpage">
    <w:name w:val="nlm_lpage"/>
    <w:basedOn w:val="DefaultParagraphFont"/>
    <w:rsid w:val="000904C8"/>
  </w:style>
  <w:style w:type="character" w:customStyle="1" w:styleId="bold">
    <w:name w:val="bold"/>
    <w:basedOn w:val="DefaultParagraphFont"/>
    <w:rsid w:val="009758E1"/>
  </w:style>
  <w:style w:type="character" w:customStyle="1" w:styleId="nlmpublisher-loc">
    <w:name w:val="nlm_publisher-loc"/>
    <w:basedOn w:val="DefaultParagraphFont"/>
    <w:rsid w:val="00BD2021"/>
  </w:style>
  <w:style w:type="character" w:customStyle="1" w:styleId="nlmpublisher-name">
    <w:name w:val="nlm_publisher-name"/>
    <w:basedOn w:val="DefaultParagraphFont"/>
    <w:rsid w:val="00BD2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944033">
      <w:bodyDiv w:val="1"/>
      <w:marLeft w:val="0"/>
      <w:marRight w:val="0"/>
      <w:marTop w:val="0"/>
      <w:marBottom w:val="0"/>
      <w:divBdr>
        <w:top w:val="none" w:sz="0" w:space="0" w:color="auto"/>
        <w:left w:val="none" w:sz="0" w:space="0" w:color="auto"/>
        <w:bottom w:val="none" w:sz="0" w:space="0" w:color="auto"/>
        <w:right w:val="none" w:sz="0" w:space="0" w:color="auto"/>
      </w:divBdr>
    </w:div>
    <w:div w:id="330791031">
      <w:bodyDiv w:val="1"/>
      <w:marLeft w:val="0"/>
      <w:marRight w:val="0"/>
      <w:marTop w:val="0"/>
      <w:marBottom w:val="0"/>
      <w:divBdr>
        <w:top w:val="none" w:sz="0" w:space="0" w:color="auto"/>
        <w:left w:val="none" w:sz="0" w:space="0" w:color="auto"/>
        <w:bottom w:val="none" w:sz="0" w:space="0" w:color="auto"/>
        <w:right w:val="none" w:sz="0" w:space="0" w:color="auto"/>
      </w:divBdr>
    </w:div>
    <w:div w:id="371543515">
      <w:bodyDiv w:val="1"/>
      <w:marLeft w:val="0"/>
      <w:marRight w:val="0"/>
      <w:marTop w:val="0"/>
      <w:marBottom w:val="0"/>
      <w:divBdr>
        <w:top w:val="none" w:sz="0" w:space="0" w:color="auto"/>
        <w:left w:val="none" w:sz="0" w:space="0" w:color="auto"/>
        <w:bottom w:val="none" w:sz="0" w:space="0" w:color="auto"/>
        <w:right w:val="none" w:sz="0" w:space="0" w:color="auto"/>
      </w:divBdr>
      <w:divsChild>
        <w:div w:id="912744048">
          <w:marLeft w:val="0"/>
          <w:marRight w:val="0"/>
          <w:marTop w:val="150"/>
          <w:marBottom w:val="0"/>
          <w:divBdr>
            <w:top w:val="none" w:sz="0" w:space="0" w:color="auto"/>
            <w:left w:val="none" w:sz="0" w:space="0" w:color="auto"/>
            <w:bottom w:val="none" w:sz="0" w:space="0" w:color="auto"/>
            <w:right w:val="none" w:sz="0" w:space="0" w:color="auto"/>
          </w:divBdr>
        </w:div>
        <w:div w:id="1528979190">
          <w:marLeft w:val="0"/>
          <w:marRight w:val="0"/>
          <w:marTop w:val="150"/>
          <w:marBottom w:val="0"/>
          <w:divBdr>
            <w:top w:val="none" w:sz="0" w:space="0" w:color="auto"/>
            <w:left w:val="none" w:sz="0" w:space="0" w:color="auto"/>
            <w:bottom w:val="none" w:sz="0" w:space="0" w:color="auto"/>
            <w:right w:val="none" w:sz="0" w:space="0" w:color="auto"/>
          </w:divBdr>
        </w:div>
        <w:div w:id="1902907055">
          <w:marLeft w:val="0"/>
          <w:marRight w:val="0"/>
          <w:marTop w:val="0"/>
          <w:marBottom w:val="75"/>
          <w:divBdr>
            <w:top w:val="none" w:sz="0" w:space="0" w:color="auto"/>
            <w:left w:val="none" w:sz="0" w:space="0" w:color="auto"/>
            <w:bottom w:val="none" w:sz="0" w:space="0" w:color="auto"/>
            <w:right w:val="none" w:sz="0" w:space="0" w:color="auto"/>
          </w:divBdr>
        </w:div>
      </w:divsChild>
    </w:div>
    <w:div w:id="504630106">
      <w:bodyDiv w:val="1"/>
      <w:marLeft w:val="0"/>
      <w:marRight w:val="0"/>
      <w:marTop w:val="0"/>
      <w:marBottom w:val="0"/>
      <w:divBdr>
        <w:top w:val="none" w:sz="0" w:space="0" w:color="auto"/>
        <w:left w:val="none" w:sz="0" w:space="0" w:color="auto"/>
        <w:bottom w:val="none" w:sz="0" w:space="0" w:color="auto"/>
        <w:right w:val="none" w:sz="0" w:space="0" w:color="auto"/>
      </w:divBdr>
    </w:div>
    <w:div w:id="528226558">
      <w:bodyDiv w:val="1"/>
      <w:marLeft w:val="0"/>
      <w:marRight w:val="0"/>
      <w:marTop w:val="0"/>
      <w:marBottom w:val="0"/>
      <w:divBdr>
        <w:top w:val="none" w:sz="0" w:space="0" w:color="auto"/>
        <w:left w:val="none" w:sz="0" w:space="0" w:color="auto"/>
        <w:bottom w:val="none" w:sz="0" w:space="0" w:color="auto"/>
        <w:right w:val="none" w:sz="0" w:space="0" w:color="auto"/>
      </w:divBdr>
      <w:divsChild>
        <w:div w:id="374552042">
          <w:marLeft w:val="0"/>
          <w:marRight w:val="0"/>
          <w:marTop w:val="150"/>
          <w:marBottom w:val="0"/>
          <w:divBdr>
            <w:top w:val="none" w:sz="0" w:space="0" w:color="auto"/>
            <w:left w:val="none" w:sz="0" w:space="0" w:color="auto"/>
            <w:bottom w:val="none" w:sz="0" w:space="0" w:color="auto"/>
            <w:right w:val="none" w:sz="0" w:space="0" w:color="auto"/>
          </w:divBdr>
        </w:div>
        <w:div w:id="1090127056">
          <w:marLeft w:val="0"/>
          <w:marRight w:val="0"/>
          <w:marTop w:val="0"/>
          <w:marBottom w:val="75"/>
          <w:divBdr>
            <w:top w:val="none" w:sz="0" w:space="0" w:color="auto"/>
            <w:left w:val="none" w:sz="0" w:space="0" w:color="auto"/>
            <w:bottom w:val="none" w:sz="0" w:space="0" w:color="auto"/>
            <w:right w:val="none" w:sz="0" w:space="0" w:color="auto"/>
          </w:divBdr>
        </w:div>
        <w:div w:id="1731689955">
          <w:marLeft w:val="0"/>
          <w:marRight w:val="0"/>
          <w:marTop w:val="150"/>
          <w:marBottom w:val="0"/>
          <w:divBdr>
            <w:top w:val="none" w:sz="0" w:space="0" w:color="auto"/>
            <w:left w:val="none" w:sz="0" w:space="0" w:color="auto"/>
            <w:bottom w:val="none" w:sz="0" w:space="0" w:color="auto"/>
            <w:right w:val="none" w:sz="0" w:space="0" w:color="auto"/>
          </w:divBdr>
        </w:div>
      </w:divsChild>
    </w:div>
    <w:div w:id="576284039">
      <w:bodyDiv w:val="1"/>
      <w:marLeft w:val="0"/>
      <w:marRight w:val="0"/>
      <w:marTop w:val="0"/>
      <w:marBottom w:val="0"/>
      <w:divBdr>
        <w:top w:val="none" w:sz="0" w:space="0" w:color="auto"/>
        <w:left w:val="none" w:sz="0" w:space="0" w:color="auto"/>
        <w:bottom w:val="none" w:sz="0" w:space="0" w:color="auto"/>
        <w:right w:val="none" w:sz="0" w:space="0" w:color="auto"/>
      </w:divBdr>
    </w:div>
    <w:div w:id="627246778">
      <w:bodyDiv w:val="1"/>
      <w:marLeft w:val="0"/>
      <w:marRight w:val="0"/>
      <w:marTop w:val="0"/>
      <w:marBottom w:val="0"/>
      <w:divBdr>
        <w:top w:val="none" w:sz="0" w:space="0" w:color="auto"/>
        <w:left w:val="none" w:sz="0" w:space="0" w:color="auto"/>
        <w:bottom w:val="none" w:sz="0" w:space="0" w:color="auto"/>
        <w:right w:val="none" w:sz="0" w:space="0" w:color="auto"/>
      </w:divBdr>
      <w:divsChild>
        <w:div w:id="369108119">
          <w:marLeft w:val="0"/>
          <w:marRight w:val="0"/>
          <w:marTop w:val="0"/>
          <w:marBottom w:val="75"/>
          <w:divBdr>
            <w:top w:val="none" w:sz="0" w:space="0" w:color="auto"/>
            <w:left w:val="none" w:sz="0" w:space="0" w:color="auto"/>
            <w:bottom w:val="none" w:sz="0" w:space="0" w:color="auto"/>
            <w:right w:val="none" w:sz="0" w:space="0" w:color="auto"/>
          </w:divBdr>
        </w:div>
        <w:div w:id="1076318023">
          <w:marLeft w:val="0"/>
          <w:marRight w:val="0"/>
          <w:marTop w:val="150"/>
          <w:marBottom w:val="0"/>
          <w:divBdr>
            <w:top w:val="none" w:sz="0" w:space="0" w:color="auto"/>
            <w:left w:val="none" w:sz="0" w:space="0" w:color="auto"/>
            <w:bottom w:val="none" w:sz="0" w:space="0" w:color="auto"/>
            <w:right w:val="none" w:sz="0" w:space="0" w:color="auto"/>
          </w:divBdr>
        </w:div>
        <w:div w:id="1854957066">
          <w:marLeft w:val="0"/>
          <w:marRight w:val="0"/>
          <w:marTop w:val="150"/>
          <w:marBottom w:val="0"/>
          <w:divBdr>
            <w:top w:val="none" w:sz="0" w:space="0" w:color="auto"/>
            <w:left w:val="none" w:sz="0" w:space="0" w:color="auto"/>
            <w:bottom w:val="none" w:sz="0" w:space="0" w:color="auto"/>
            <w:right w:val="none" w:sz="0" w:space="0" w:color="auto"/>
          </w:divBdr>
        </w:div>
      </w:divsChild>
    </w:div>
    <w:div w:id="678240379">
      <w:bodyDiv w:val="1"/>
      <w:marLeft w:val="0"/>
      <w:marRight w:val="0"/>
      <w:marTop w:val="0"/>
      <w:marBottom w:val="0"/>
      <w:divBdr>
        <w:top w:val="none" w:sz="0" w:space="0" w:color="auto"/>
        <w:left w:val="none" w:sz="0" w:space="0" w:color="auto"/>
        <w:bottom w:val="none" w:sz="0" w:space="0" w:color="auto"/>
        <w:right w:val="none" w:sz="0" w:space="0" w:color="auto"/>
      </w:divBdr>
    </w:div>
    <w:div w:id="863707399">
      <w:bodyDiv w:val="1"/>
      <w:marLeft w:val="0"/>
      <w:marRight w:val="0"/>
      <w:marTop w:val="0"/>
      <w:marBottom w:val="0"/>
      <w:divBdr>
        <w:top w:val="none" w:sz="0" w:space="0" w:color="auto"/>
        <w:left w:val="none" w:sz="0" w:space="0" w:color="auto"/>
        <w:bottom w:val="none" w:sz="0" w:space="0" w:color="auto"/>
        <w:right w:val="none" w:sz="0" w:space="0" w:color="auto"/>
      </w:divBdr>
    </w:div>
    <w:div w:id="886381765">
      <w:bodyDiv w:val="1"/>
      <w:marLeft w:val="0"/>
      <w:marRight w:val="0"/>
      <w:marTop w:val="0"/>
      <w:marBottom w:val="0"/>
      <w:divBdr>
        <w:top w:val="none" w:sz="0" w:space="0" w:color="auto"/>
        <w:left w:val="none" w:sz="0" w:space="0" w:color="auto"/>
        <w:bottom w:val="none" w:sz="0" w:space="0" w:color="auto"/>
        <w:right w:val="none" w:sz="0" w:space="0" w:color="auto"/>
      </w:divBdr>
    </w:div>
    <w:div w:id="1091896193">
      <w:bodyDiv w:val="1"/>
      <w:marLeft w:val="0"/>
      <w:marRight w:val="0"/>
      <w:marTop w:val="0"/>
      <w:marBottom w:val="0"/>
      <w:divBdr>
        <w:top w:val="none" w:sz="0" w:space="0" w:color="auto"/>
        <w:left w:val="none" w:sz="0" w:space="0" w:color="auto"/>
        <w:bottom w:val="none" w:sz="0" w:space="0" w:color="auto"/>
        <w:right w:val="none" w:sz="0" w:space="0" w:color="auto"/>
      </w:divBdr>
    </w:div>
    <w:div w:id="1142430142">
      <w:bodyDiv w:val="1"/>
      <w:marLeft w:val="0"/>
      <w:marRight w:val="0"/>
      <w:marTop w:val="0"/>
      <w:marBottom w:val="0"/>
      <w:divBdr>
        <w:top w:val="none" w:sz="0" w:space="0" w:color="auto"/>
        <w:left w:val="none" w:sz="0" w:space="0" w:color="auto"/>
        <w:bottom w:val="none" w:sz="0" w:space="0" w:color="auto"/>
        <w:right w:val="none" w:sz="0" w:space="0" w:color="auto"/>
      </w:divBdr>
      <w:divsChild>
        <w:div w:id="449665506">
          <w:marLeft w:val="0"/>
          <w:marRight w:val="0"/>
          <w:marTop w:val="150"/>
          <w:marBottom w:val="0"/>
          <w:divBdr>
            <w:top w:val="none" w:sz="0" w:space="0" w:color="auto"/>
            <w:left w:val="none" w:sz="0" w:space="0" w:color="auto"/>
            <w:bottom w:val="none" w:sz="0" w:space="0" w:color="auto"/>
            <w:right w:val="none" w:sz="0" w:space="0" w:color="auto"/>
          </w:divBdr>
        </w:div>
        <w:div w:id="1235698496">
          <w:marLeft w:val="0"/>
          <w:marRight w:val="0"/>
          <w:marTop w:val="150"/>
          <w:marBottom w:val="0"/>
          <w:divBdr>
            <w:top w:val="none" w:sz="0" w:space="0" w:color="auto"/>
            <w:left w:val="none" w:sz="0" w:space="0" w:color="auto"/>
            <w:bottom w:val="none" w:sz="0" w:space="0" w:color="auto"/>
            <w:right w:val="none" w:sz="0" w:space="0" w:color="auto"/>
          </w:divBdr>
        </w:div>
        <w:div w:id="1749691917">
          <w:marLeft w:val="0"/>
          <w:marRight w:val="0"/>
          <w:marTop w:val="0"/>
          <w:marBottom w:val="75"/>
          <w:divBdr>
            <w:top w:val="none" w:sz="0" w:space="0" w:color="auto"/>
            <w:left w:val="none" w:sz="0" w:space="0" w:color="auto"/>
            <w:bottom w:val="none" w:sz="0" w:space="0" w:color="auto"/>
            <w:right w:val="none" w:sz="0" w:space="0" w:color="auto"/>
          </w:divBdr>
        </w:div>
      </w:divsChild>
    </w:div>
    <w:div w:id="1227641308">
      <w:bodyDiv w:val="1"/>
      <w:marLeft w:val="0"/>
      <w:marRight w:val="0"/>
      <w:marTop w:val="0"/>
      <w:marBottom w:val="0"/>
      <w:divBdr>
        <w:top w:val="none" w:sz="0" w:space="0" w:color="auto"/>
        <w:left w:val="none" w:sz="0" w:space="0" w:color="auto"/>
        <w:bottom w:val="none" w:sz="0" w:space="0" w:color="auto"/>
        <w:right w:val="none" w:sz="0" w:space="0" w:color="auto"/>
      </w:divBdr>
      <w:divsChild>
        <w:div w:id="111824169">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1991589792">
              <w:marLeft w:val="0"/>
              <w:marRight w:val="0"/>
              <w:marTop w:val="240"/>
              <w:marBottom w:val="0"/>
              <w:divBdr>
                <w:top w:val="none" w:sz="0" w:space="0" w:color="auto"/>
                <w:left w:val="none" w:sz="0" w:space="0" w:color="auto"/>
                <w:bottom w:val="none" w:sz="0" w:space="0" w:color="auto"/>
                <w:right w:val="none" w:sz="0" w:space="0" w:color="auto"/>
              </w:divBdr>
            </w:div>
          </w:divsChild>
        </w:div>
        <w:div w:id="822820143">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591551903">
              <w:marLeft w:val="0"/>
              <w:marRight w:val="0"/>
              <w:marTop w:val="240"/>
              <w:marBottom w:val="0"/>
              <w:divBdr>
                <w:top w:val="none" w:sz="0" w:space="0" w:color="auto"/>
                <w:left w:val="none" w:sz="0" w:space="0" w:color="auto"/>
                <w:bottom w:val="none" w:sz="0" w:space="0" w:color="auto"/>
                <w:right w:val="none" w:sz="0" w:space="0" w:color="auto"/>
              </w:divBdr>
            </w:div>
          </w:divsChild>
        </w:div>
        <w:div w:id="901059283">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1688018877">
              <w:marLeft w:val="0"/>
              <w:marRight w:val="0"/>
              <w:marTop w:val="240"/>
              <w:marBottom w:val="0"/>
              <w:divBdr>
                <w:top w:val="none" w:sz="0" w:space="0" w:color="auto"/>
                <w:left w:val="none" w:sz="0" w:space="0" w:color="auto"/>
                <w:bottom w:val="none" w:sz="0" w:space="0" w:color="auto"/>
                <w:right w:val="none" w:sz="0" w:space="0" w:color="auto"/>
              </w:divBdr>
            </w:div>
          </w:divsChild>
        </w:div>
        <w:div w:id="1025013481">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1071538421">
              <w:marLeft w:val="0"/>
              <w:marRight w:val="0"/>
              <w:marTop w:val="240"/>
              <w:marBottom w:val="0"/>
              <w:divBdr>
                <w:top w:val="none" w:sz="0" w:space="0" w:color="auto"/>
                <w:left w:val="none" w:sz="0" w:space="0" w:color="auto"/>
                <w:bottom w:val="none" w:sz="0" w:space="0" w:color="auto"/>
                <w:right w:val="none" w:sz="0" w:space="0" w:color="auto"/>
              </w:divBdr>
            </w:div>
          </w:divsChild>
        </w:div>
        <w:div w:id="1350256556">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1499271768">
              <w:marLeft w:val="0"/>
              <w:marRight w:val="0"/>
              <w:marTop w:val="240"/>
              <w:marBottom w:val="0"/>
              <w:divBdr>
                <w:top w:val="none" w:sz="0" w:space="0" w:color="auto"/>
                <w:left w:val="none" w:sz="0" w:space="0" w:color="auto"/>
                <w:bottom w:val="none" w:sz="0" w:space="0" w:color="auto"/>
                <w:right w:val="none" w:sz="0" w:space="0" w:color="auto"/>
              </w:divBdr>
            </w:div>
          </w:divsChild>
        </w:div>
        <w:div w:id="1594053126">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925842218">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264729051">
      <w:bodyDiv w:val="1"/>
      <w:marLeft w:val="0"/>
      <w:marRight w:val="0"/>
      <w:marTop w:val="0"/>
      <w:marBottom w:val="0"/>
      <w:divBdr>
        <w:top w:val="none" w:sz="0" w:space="0" w:color="auto"/>
        <w:left w:val="none" w:sz="0" w:space="0" w:color="auto"/>
        <w:bottom w:val="none" w:sz="0" w:space="0" w:color="auto"/>
        <w:right w:val="none" w:sz="0" w:space="0" w:color="auto"/>
      </w:divBdr>
    </w:div>
    <w:div w:id="1303001656">
      <w:bodyDiv w:val="1"/>
      <w:marLeft w:val="0"/>
      <w:marRight w:val="0"/>
      <w:marTop w:val="0"/>
      <w:marBottom w:val="0"/>
      <w:divBdr>
        <w:top w:val="none" w:sz="0" w:space="0" w:color="auto"/>
        <w:left w:val="none" w:sz="0" w:space="0" w:color="auto"/>
        <w:bottom w:val="none" w:sz="0" w:space="0" w:color="auto"/>
        <w:right w:val="none" w:sz="0" w:space="0" w:color="auto"/>
      </w:divBdr>
    </w:div>
    <w:div w:id="1304313775">
      <w:bodyDiv w:val="1"/>
      <w:marLeft w:val="0"/>
      <w:marRight w:val="0"/>
      <w:marTop w:val="0"/>
      <w:marBottom w:val="0"/>
      <w:divBdr>
        <w:top w:val="none" w:sz="0" w:space="0" w:color="auto"/>
        <w:left w:val="none" w:sz="0" w:space="0" w:color="auto"/>
        <w:bottom w:val="none" w:sz="0" w:space="0" w:color="auto"/>
        <w:right w:val="none" w:sz="0" w:space="0" w:color="auto"/>
      </w:divBdr>
    </w:div>
    <w:div w:id="1318220790">
      <w:bodyDiv w:val="1"/>
      <w:marLeft w:val="0"/>
      <w:marRight w:val="0"/>
      <w:marTop w:val="0"/>
      <w:marBottom w:val="0"/>
      <w:divBdr>
        <w:top w:val="none" w:sz="0" w:space="0" w:color="auto"/>
        <w:left w:val="none" w:sz="0" w:space="0" w:color="auto"/>
        <w:bottom w:val="none" w:sz="0" w:space="0" w:color="auto"/>
        <w:right w:val="none" w:sz="0" w:space="0" w:color="auto"/>
      </w:divBdr>
      <w:divsChild>
        <w:div w:id="2119982599">
          <w:blockQuote w:val="1"/>
          <w:marLeft w:val="384"/>
          <w:marRight w:val="384"/>
          <w:marTop w:val="240"/>
          <w:marBottom w:val="240"/>
          <w:divBdr>
            <w:top w:val="none" w:sz="0" w:space="0" w:color="auto"/>
            <w:left w:val="none" w:sz="0" w:space="0" w:color="auto"/>
            <w:bottom w:val="none" w:sz="0" w:space="0" w:color="auto"/>
            <w:right w:val="none" w:sz="0" w:space="0" w:color="auto"/>
          </w:divBdr>
          <w:divsChild>
            <w:div w:id="194779605">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478885617">
      <w:bodyDiv w:val="1"/>
      <w:marLeft w:val="0"/>
      <w:marRight w:val="0"/>
      <w:marTop w:val="0"/>
      <w:marBottom w:val="0"/>
      <w:divBdr>
        <w:top w:val="none" w:sz="0" w:space="0" w:color="auto"/>
        <w:left w:val="none" w:sz="0" w:space="0" w:color="auto"/>
        <w:bottom w:val="none" w:sz="0" w:space="0" w:color="auto"/>
        <w:right w:val="none" w:sz="0" w:space="0" w:color="auto"/>
      </w:divBdr>
    </w:div>
    <w:div w:id="1603301166">
      <w:bodyDiv w:val="1"/>
      <w:marLeft w:val="0"/>
      <w:marRight w:val="0"/>
      <w:marTop w:val="0"/>
      <w:marBottom w:val="0"/>
      <w:divBdr>
        <w:top w:val="none" w:sz="0" w:space="0" w:color="auto"/>
        <w:left w:val="none" w:sz="0" w:space="0" w:color="auto"/>
        <w:bottom w:val="none" w:sz="0" w:space="0" w:color="auto"/>
        <w:right w:val="none" w:sz="0" w:space="0" w:color="auto"/>
      </w:divBdr>
    </w:div>
    <w:div w:id="1774859977">
      <w:bodyDiv w:val="1"/>
      <w:marLeft w:val="0"/>
      <w:marRight w:val="0"/>
      <w:marTop w:val="0"/>
      <w:marBottom w:val="0"/>
      <w:divBdr>
        <w:top w:val="none" w:sz="0" w:space="0" w:color="auto"/>
        <w:left w:val="none" w:sz="0" w:space="0" w:color="auto"/>
        <w:bottom w:val="none" w:sz="0" w:space="0" w:color="auto"/>
        <w:right w:val="none" w:sz="0" w:space="0" w:color="auto"/>
      </w:divBdr>
    </w:div>
    <w:div w:id="1835753522">
      <w:bodyDiv w:val="1"/>
      <w:marLeft w:val="0"/>
      <w:marRight w:val="0"/>
      <w:marTop w:val="0"/>
      <w:marBottom w:val="0"/>
      <w:divBdr>
        <w:top w:val="none" w:sz="0" w:space="0" w:color="auto"/>
        <w:left w:val="none" w:sz="0" w:space="0" w:color="auto"/>
        <w:bottom w:val="none" w:sz="0" w:space="0" w:color="auto"/>
        <w:right w:val="none" w:sz="0" w:space="0" w:color="auto"/>
      </w:divBdr>
    </w:div>
    <w:div w:id="1873110496">
      <w:bodyDiv w:val="1"/>
      <w:marLeft w:val="0"/>
      <w:marRight w:val="0"/>
      <w:marTop w:val="0"/>
      <w:marBottom w:val="0"/>
      <w:divBdr>
        <w:top w:val="none" w:sz="0" w:space="0" w:color="auto"/>
        <w:left w:val="none" w:sz="0" w:space="0" w:color="auto"/>
        <w:bottom w:val="none" w:sz="0" w:space="0" w:color="auto"/>
        <w:right w:val="none" w:sz="0" w:space="0" w:color="auto"/>
      </w:divBdr>
      <w:divsChild>
        <w:div w:id="13659239">
          <w:marLeft w:val="0"/>
          <w:marRight w:val="0"/>
          <w:marTop w:val="150"/>
          <w:marBottom w:val="0"/>
          <w:divBdr>
            <w:top w:val="none" w:sz="0" w:space="0" w:color="auto"/>
            <w:left w:val="none" w:sz="0" w:space="0" w:color="auto"/>
            <w:bottom w:val="none" w:sz="0" w:space="0" w:color="auto"/>
            <w:right w:val="none" w:sz="0" w:space="0" w:color="auto"/>
          </w:divBdr>
        </w:div>
        <w:div w:id="1436249753">
          <w:marLeft w:val="0"/>
          <w:marRight w:val="0"/>
          <w:marTop w:val="0"/>
          <w:marBottom w:val="75"/>
          <w:divBdr>
            <w:top w:val="none" w:sz="0" w:space="0" w:color="auto"/>
            <w:left w:val="none" w:sz="0" w:space="0" w:color="auto"/>
            <w:bottom w:val="none" w:sz="0" w:space="0" w:color="auto"/>
            <w:right w:val="none" w:sz="0" w:space="0" w:color="auto"/>
          </w:divBdr>
        </w:div>
        <w:div w:id="1541018488">
          <w:marLeft w:val="0"/>
          <w:marRight w:val="0"/>
          <w:marTop w:val="150"/>
          <w:marBottom w:val="0"/>
          <w:divBdr>
            <w:top w:val="none" w:sz="0" w:space="0" w:color="auto"/>
            <w:left w:val="none" w:sz="0" w:space="0" w:color="auto"/>
            <w:bottom w:val="none" w:sz="0" w:space="0" w:color="auto"/>
            <w:right w:val="none" w:sz="0" w:space="0" w:color="auto"/>
          </w:divBdr>
        </w:div>
      </w:divsChild>
    </w:div>
    <w:div w:id="2042586664">
      <w:bodyDiv w:val="1"/>
      <w:marLeft w:val="0"/>
      <w:marRight w:val="0"/>
      <w:marTop w:val="0"/>
      <w:marBottom w:val="0"/>
      <w:divBdr>
        <w:top w:val="none" w:sz="0" w:space="0" w:color="auto"/>
        <w:left w:val="none" w:sz="0" w:space="0" w:color="auto"/>
        <w:bottom w:val="none" w:sz="0" w:space="0" w:color="auto"/>
        <w:right w:val="none" w:sz="0" w:space="0" w:color="auto"/>
      </w:divBdr>
      <w:divsChild>
        <w:div w:id="84229607">
          <w:marLeft w:val="0"/>
          <w:marRight w:val="0"/>
          <w:marTop w:val="0"/>
          <w:marBottom w:val="75"/>
          <w:divBdr>
            <w:top w:val="none" w:sz="0" w:space="0" w:color="auto"/>
            <w:left w:val="none" w:sz="0" w:space="0" w:color="auto"/>
            <w:bottom w:val="none" w:sz="0" w:space="0" w:color="auto"/>
            <w:right w:val="none" w:sz="0" w:space="0" w:color="auto"/>
          </w:divBdr>
        </w:div>
        <w:div w:id="621494103">
          <w:marLeft w:val="0"/>
          <w:marRight w:val="0"/>
          <w:marTop w:val="150"/>
          <w:marBottom w:val="0"/>
          <w:divBdr>
            <w:top w:val="none" w:sz="0" w:space="0" w:color="auto"/>
            <w:left w:val="none" w:sz="0" w:space="0" w:color="auto"/>
            <w:bottom w:val="none" w:sz="0" w:space="0" w:color="auto"/>
            <w:right w:val="none" w:sz="0" w:space="0" w:color="auto"/>
          </w:divBdr>
        </w:div>
        <w:div w:id="1492257457">
          <w:marLeft w:val="0"/>
          <w:marRight w:val="0"/>
          <w:marTop w:val="150"/>
          <w:marBottom w:val="0"/>
          <w:divBdr>
            <w:top w:val="none" w:sz="0" w:space="0" w:color="auto"/>
            <w:left w:val="none" w:sz="0" w:space="0" w:color="auto"/>
            <w:bottom w:val="none" w:sz="0" w:space="0" w:color="auto"/>
            <w:right w:val="none" w:sz="0" w:space="0" w:color="auto"/>
          </w:divBdr>
        </w:div>
      </w:divsChild>
    </w:div>
    <w:div w:id="2043089560">
      <w:bodyDiv w:val="1"/>
      <w:marLeft w:val="0"/>
      <w:marRight w:val="0"/>
      <w:marTop w:val="0"/>
      <w:marBottom w:val="0"/>
      <w:divBdr>
        <w:top w:val="none" w:sz="0" w:space="0" w:color="auto"/>
        <w:left w:val="none" w:sz="0" w:space="0" w:color="auto"/>
        <w:bottom w:val="none" w:sz="0" w:space="0" w:color="auto"/>
        <w:right w:val="none" w:sz="0" w:space="0" w:color="auto"/>
      </w:divBdr>
      <w:divsChild>
        <w:div w:id="294144695">
          <w:marLeft w:val="0"/>
          <w:marRight w:val="0"/>
          <w:marTop w:val="0"/>
          <w:marBottom w:val="300"/>
          <w:divBdr>
            <w:top w:val="none" w:sz="0" w:space="0" w:color="auto"/>
            <w:left w:val="none" w:sz="0" w:space="0" w:color="auto"/>
            <w:bottom w:val="single" w:sz="6" w:space="2" w:color="D8E8EB"/>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irj.sagepub.com/content/14/2/231.sh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1E023-10BF-4A2E-92EE-0B51F3439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6091</Words>
  <Characters>34724</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 Harford</dc:creator>
  <cp:keywords/>
  <dc:description/>
  <cp:lastModifiedBy>Judith Harford</cp:lastModifiedBy>
  <cp:revision>2</cp:revision>
  <dcterms:created xsi:type="dcterms:W3CDTF">2023-05-10T08:31:00Z</dcterms:created>
  <dcterms:modified xsi:type="dcterms:W3CDTF">2023-05-10T08:31:00Z</dcterms:modified>
</cp:coreProperties>
</file>