
<file path=[Content_Types].xml><?xml version="1.0" encoding="utf-8"?>
<Types xmlns="http://schemas.openxmlformats.org/package/2006/content-types">
  <Default Extension="bin" ContentType="application/vnd.ms-word.attachedToolbars"/>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6508D6" w14:textId="4EFD87B0" w:rsidR="00661045" w:rsidRPr="00606D67" w:rsidRDefault="00EE3914" w:rsidP="00713EE2">
      <w:pPr>
        <w:pStyle w:val="Articletitle"/>
        <w:rPr>
          <w:color w:val="000000" w:themeColor="text1"/>
        </w:rPr>
      </w:pPr>
      <w:r w:rsidRPr="00606D67">
        <w:rPr>
          <w:color w:val="000000" w:themeColor="text1"/>
        </w:rPr>
        <w:t xml:space="preserve">The Social Determinants of Mental Illness: A Rapid Review of Systematic Reviews </w:t>
      </w:r>
    </w:p>
    <w:p w14:paraId="0010D6CF" w14:textId="5906BAC3" w:rsidR="00442B9C" w:rsidRPr="00606D67" w:rsidRDefault="00235FB8" w:rsidP="009914A5">
      <w:pPr>
        <w:pStyle w:val="Authornames"/>
        <w:rPr>
          <w:color w:val="000000" w:themeColor="text1"/>
        </w:rPr>
      </w:pPr>
      <w:r w:rsidRPr="00606D67">
        <w:rPr>
          <w:color w:val="000000" w:themeColor="text1"/>
        </w:rPr>
        <w:t xml:space="preserve">L. </w:t>
      </w:r>
      <w:proofErr w:type="spellStart"/>
      <w:r w:rsidRPr="00606D67">
        <w:rPr>
          <w:color w:val="000000" w:themeColor="text1"/>
        </w:rPr>
        <w:t>Huggard</w:t>
      </w:r>
      <w:r w:rsidR="004F428E" w:rsidRPr="00606D67">
        <w:rPr>
          <w:color w:val="000000" w:themeColor="text1"/>
          <w:vertAlign w:val="superscript"/>
        </w:rPr>
        <w:t>a</w:t>
      </w:r>
      <w:proofErr w:type="spellEnd"/>
      <w:r w:rsidR="005426EA" w:rsidRPr="00606D67">
        <w:rPr>
          <w:color w:val="000000" w:themeColor="text1"/>
        </w:rPr>
        <w:t>,</w:t>
      </w:r>
      <w:r w:rsidR="00CF5A0B" w:rsidRPr="00606D67">
        <w:rPr>
          <w:color w:val="000000" w:themeColor="text1"/>
        </w:rPr>
        <w:t xml:space="preserve"> R. </w:t>
      </w:r>
      <w:proofErr w:type="spellStart"/>
      <w:r w:rsidR="00CF5A0B" w:rsidRPr="00606D67">
        <w:rPr>
          <w:color w:val="000000" w:themeColor="text1"/>
        </w:rPr>
        <w:t>Murphy</w:t>
      </w:r>
      <w:r w:rsidR="00741C91" w:rsidRPr="00606D67">
        <w:rPr>
          <w:color w:val="000000" w:themeColor="text1"/>
          <w:vertAlign w:val="superscript"/>
        </w:rPr>
        <w:t>a</w:t>
      </w:r>
      <w:proofErr w:type="spellEnd"/>
      <w:r w:rsidR="00CF5A0B" w:rsidRPr="00606D67">
        <w:rPr>
          <w:color w:val="000000" w:themeColor="text1"/>
        </w:rPr>
        <w:t>, C</w:t>
      </w:r>
      <w:r w:rsidR="005A1059" w:rsidRPr="00606D67">
        <w:rPr>
          <w:color w:val="000000" w:themeColor="text1"/>
        </w:rPr>
        <w:t xml:space="preserve">. </w:t>
      </w:r>
      <w:proofErr w:type="spellStart"/>
      <w:proofErr w:type="gramStart"/>
      <w:r w:rsidR="005A1059" w:rsidRPr="00606D67">
        <w:rPr>
          <w:color w:val="000000" w:themeColor="text1"/>
        </w:rPr>
        <w:t>O’Connor</w:t>
      </w:r>
      <w:r w:rsidR="00741C91" w:rsidRPr="00606D67">
        <w:rPr>
          <w:color w:val="000000" w:themeColor="text1"/>
          <w:vertAlign w:val="superscript"/>
        </w:rPr>
        <w:t>a</w:t>
      </w:r>
      <w:proofErr w:type="spellEnd"/>
      <w:r w:rsidR="00CF5A0B" w:rsidRPr="00606D67">
        <w:rPr>
          <w:color w:val="000000" w:themeColor="text1"/>
          <w:vertAlign w:val="superscript"/>
        </w:rPr>
        <w:t xml:space="preserve"> </w:t>
      </w:r>
      <w:r w:rsidR="00A60632" w:rsidRPr="00606D67">
        <w:rPr>
          <w:color w:val="000000" w:themeColor="text1"/>
        </w:rPr>
        <w:t>,</w:t>
      </w:r>
      <w:proofErr w:type="gramEnd"/>
      <w:r w:rsidR="00A60632" w:rsidRPr="00606D67">
        <w:rPr>
          <w:color w:val="000000" w:themeColor="text1"/>
        </w:rPr>
        <w:t xml:space="preserve"> </w:t>
      </w:r>
      <w:r w:rsidR="00CF5A0B" w:rsidRPr="00606D67">
        <w:rPr>
          <w:color w:val="000000" w:themeColor="text1"/>
        </w:rPr>
        <w:t xml:space="preserve">and  </w:t>
      </w:r>
      <w:r w:rsidR="005A1059" w:rsidRPr="00606D67">
        <w:rPr>
          <w:color w:val="000000" w:themeColor="text1"/>
        </w:rPr>
        <w:t xml:space="preserve">F. </w:t>
      </w:r>
      <w:proofErr w:type="spellStart"/>
      <w:r w:rsidR="005A1059" w:rsidRPr="00606D67">
        <w:rPr>
          <w:color w:val="000000" w:themeColor="text1"/>
        </w:rPr>
        <w:t>Nearchou</w:t>
      </w:r>
      <w:r w:rsidR="00741C91" w:rsidRPr="00606D67">
        <w:rPr>
          <w:color w:val="000000" w:themeColor="text1"/>
          <w:vertAlign w:val="superscript"/>
        </w:rPr>
        <w:t>a</w:t>
      </w:r>
      <w:proofErr w:type="spellEnd"/>
      <w:r w:rsidR="005426EA" w:rsidRPr="00606D67">
        <w:rPr>
          <w:color w:val="000000" w:themeColor="text1"/>
          <w:vertAlign w:val="superscript"/>
        </w:rPr>
        <w:t>*</w:t>
      </w:r>
    </w:p>
    <w:p w14:paraId="210D673E" w14:textId="11BF102F" w:rsidR="00997B0F" w:rsidRPr="00606D67" w:rsidRDefault="00B64FA3" w:rsidP="00A2360E">
      <w:pPr>
        <w:pStyle w:val="Affiliation"/>
        <w:rPr>
          <w:color w:val="000000" w:themeColor="text1"/>
        </w:rPr>
      </w:pPr>
      <w:proofErr w:type="spellStart"/>
      <w:r w:rsidRPr="00606D67">
        <w:rPr>
          <w:color w:val="000000" w:themeColor="text1"/>
          <w:vertAlign w:val="superscript"/>
        </w:rPr>
        <w:t>a</w:t>
      </w:r>
      <w:r w:rsidRPr="00606D67">
        <w:rPr>
          <w:color w:val="000000" w:themeColor="text1"/>
        </w:rPr>
        <w:t>University</w:t>
      </w:r>
      <w:proofErr w:type="spellEnd"/>
      <w:r w:rsidR="00E91FB3" w:rsidRPr="00606D67">
        <w:rPr>
          <w:color w:val="000000" w:themeColor="text1"/>
        </w:rPr>
        <w:t xml:space="preserve"> College Dublin</w:t>
      </w:r>
      <w:r w:rsidRPr="00606D67">
        <w:rPr>
          <w:color w:val="000000" w:themeColor="text1"/>
        </w:rPr>
        <w:t xml:space="preserve">, </w:t>
      </w:r>
      <w:r w:rsidR="0038481D" w:rsidRPr="00606D67">
        <w:rPr>
          <w:color w:val="000000" w:themeColor="text1"/>
        </w:rPr>
        <w:t>Dublin</w:t>
      </w:r>
      <w:r w:rsidRPr="00606D67">
        <w:rPr>
          <w:color w:val="000000" w:themeColor="text1"/>
        </w:rPr>
        <w:t xml:space="preserve">, </w:t>
      </w:r>
      <w:r w:rsidR="0038481D" w:rsidRPr="00606D67">
        <w:rPr>
          <w:color w:val="000000" w:themeColor="text1"/>
        </w:rPr>
        <w:t>Ireland</w:t>
      </w:r>
      <w:r w:rsidR="00CF5A0B" w:rsidRPr="00606D67">
        <w:rPr>
          <w:color w:val="000000" w:themeColor="text1"/>
        </w:rPr>
        <w:t xml:space="preserve"> </w:t>
      </w:r>
    </w:p>
    <w:p w14:paraId="293C929A" w14:textId="18598F61" w:rsidR="006D57AA" w:rsidRPr="00606D67" w:rsidRDefault="00C14585" w:rsidP="00F06D54">
      <w:pPr>
        <w:pStyle w:val="Articletitle"/>
        <w:rPr>
          <w:color w:val="000000" w:themeColor="text1"/>
        </w:rPr>
      </w:pPr>
      <w:r w:rsidRPr="00606D67">
        <w:rPr>
          <w:color w:val="000000" w:themeColor="text1"/>
        </w:rPr>
        <w:br w:type="page"/>
      </w:r>
      <w:r w:rsidR="00E91FB3" w:rsidRPr="00606D67">
        <w:rPr>
          <w:color w:val="000000" w:themeColor="text1"/>
        </w:rPr>
        <w:lastRenderedPageBreak/>
        <w:t xml:space="preserve">The Social Determinants of Mental Illness: A Rapid Review of Systematic Reviews </w:t>
      </w:r>
    </w:p>
    <w:p w14:paraId="7D101104" w14:textId="44CB303A" w:rsidR="004D0312" w:rsidRPr="00606D67" w:rsidRDefault="000F393E" w:rsidP="00F06D54">
      <w:pPr>
        <w:pStyle w:val="Keywords"/>
        <w:rPr>
          <w:color w:val="000000" w:themeColor="text1"/>
          <w:szCs w:val="22"/>
        </w:rPr>
      </w:pPr>
      <w:r w:rsidRPr="00606D67">
        <w:rPr>
          <w:color w:val="000000" w:themeColor="text1"/>
          <w:szCs w:val="22"/>
        </w:rPr>
        <w:t xml:space="preserve">Previous research agendas have </w:t>
      </w:r>
      <w:r w:rsidR="0090693C" w:rsidRPr="00606D67">
        <w:rPr>
          <w:color w:val="000000" w:themeColor="text1"/>
          <w:szCs w:val="22"/>
        </w:rPr>
        <w:t>prioritised the r</w:t>
      </w:r>
      <w:r w:rsidRPr="00606D67">
        <w:rPr>
          <w:color w:val="000000" w:themeColor="text1"/>
          <w:szCs w:val="22"/>
        </w:rPr>
        <w:t xml:space="preserve">ole of biological determinants in mental illness aetiology. </w:t>
      </w:r>
      <w:r w:rsidR="006A4F67" w:rsidRPr="00606D67">
        <w:rPr>
          <w:color w:val="000000" w:themeColor="text1"/>
          <w:szCs w:val="22"/>
        </w:rPr>
        <w:t xml:space="preserve">This is of particular concern, as </w:t>
      </w:r>
      <w:r w:rsidR="00935F97" w:rsidRPr="00606D67">
        <w:rPr>
          <w:color w:val="000000" w:themeColor="text1"/>
          <w:szCs w:val="22"/>
        </w:rPr>
        <w:t xml:space="preserve">endorsing biological determinants </w:t>
      </w:r>
      <w:r w:rsidR="00DF3DA6" w:rsidRPr="00606D67">
        <w:rPr>
          <w:color w:val="000000" w:themeColor="text1"/>
          <w:szCs w:val="22"/>
        </w:rPr>
        <w:t>ha</w:t>
      </w:r>
      <w:r w:rsidR="00935F97" w:rsidRPr="00606D67">
        <w:rPr>
          <w:color w:val="000000" w:themeColor="text1"/>
          <w:szCs w:val="22"/>
        </w:rPr>
        <w:t>s</w:t>
      </w:r>
      <w:r w:rsidR="00884CEB" w:rsidRPr="00606D67">
        <w:rPr>
          <w:color w:val="000000" w:themeColor="text1"/>
          <w:szCs w:val="22"/>
        </w:rPr>
        <w:t xml:space="preserve"> been</w:t>
      </w:r>
      <w:r w:rsidR="00A65981" w:rsidRPr="00606D67">
        <w:rPr>
          <w:color w:val="000000" w:themeColor="text1"/>
          <w:szCs w:val="22"/>
        </w:rPr>
        <w:t xml:space="preserve"> shown to </w:t>
      </w:r>
      <w:r w:rsidR="006A4F67" w:rsidRPr="00606D67">
        <w:rPr>
          <w:color w:val="000000" w:themeColor="text1"/>
          <w:szCs w:val="22"/>
        </w:rPr>
        <w:t xml:space="preserve">promote negative attitudes towards people with mental illness. </w:t>
      </w:r>
      <w:r w:rsidRPr="00606D67">
        <w:rPr>
          <w:color w:val="000000" w:themeColor="text1"/>
          <w:szCs w:val="22"/>
        </w:rPr>
        <w:t xml:space="preserve">The aim of this review was to </w:t>
      </w:r>
      <w:r w:rsidR="0090693C" w:rsidRPr="00606D67">
        <w:rPr>
          <w:color w:val="000000" w:themeColor="text1"/>
          <w:szCs w:val="22"/>
        </w:rPr>
        <w:t>provide an overview of</w:t>
      </w:r>
      <w:r w:rsidR="00DD0563" w:rsidRPr="00606D67">
        <w:rPr>
          <w:color w:val="000000" w:themeColor="text1"/>
          <w:szCs w:val="22"/>
        </w:rPr>
        <w:t xml:space="preserve"> </w:t>
      </w:r>
      <w:r w:rsidR="00F063F0" w:rsidRPr="00606D67">
        <w:rPr>
          <w:color w:val="000000" w:themeColor="text1"/>
          <w:szCs w:val="22"/>
        </w:rPr>
        <w:t xml:space="preserve">high-quality </w:t>
      </w:r>
      <w:r w:rsidRPr="00606D67">
        <w:rPr>
          <w:color w:val="000000" w:themeColor="text1"/>
          <w:szCs w:val="22"/>
        </w:rPr>
        <w:t>evidence of the social determinants of mental illness. A rapid review of systematic reviews was conducted</w:t>
      </w:r>
      <w:r w:rsidR="00C53C87" w:rsidRPr="00606D67">
        <w:rPr>
          <w:color w:val="000000" w:themeColor="text1"/>
          <w:szCs w:val="22"/>
        </w:rPr>
        <w:t>.</w:t>
      </w:r>
      <w:r w:rsidR="00461BD3" w:rsidRPr="00606D67">
        <w:rPr>
          <w:color w:val="000000" w:themeColor="text1"/>
          <w:szCs w:val="22"/>
        </w:rPr>
        <w:t xml:space="preserve"> </w:t>
      </w:r>
      <w:r w:rsidR="00031E69" w:rsidRPr="00606D67">
        <w:rPr>
          <w:color w:val="000000" w:themeColor="text1"/>
          <w:szCs w:val="22"/>
        </w:rPr>
        <w:t>Five databases were searched:</w:t>
      </w:r>
      <w:r w:rsidR="00D24E66" w:rsidRPr="00606D67">
        <w:rPr>
          <w:color w:val="000000" w:themeColor="text1"/>
          <w:szCs w:val="22"/>
        </w:rPr>
        <w:t xml:space="preserve"> Embase, </w:t>
      </w:r>
      <w:r w:rsidR="000F1B4B" w:rsidRPr="00606D67">
        <w:rPr>
          <w:color w:val="000000" w:themeColor="text1"/>
          <w:szCs w:val="22"/>
        </w:rPr>
        <w:t>Medline</w:t>
      </w:r>
      <w:r w:rsidR="00D24E66" w:rsidRPr="00606D67">
        <w:rPr>
          <w:color w:val="000000" w:themeColor="text1"/>
          <w:szCs w:val="22"/>
        </w:rPr>
        <w:t>,</w:t>
      </w:r>
      <w:r w:rsidR="000F1B4B" w:rsidRPr="00606D67">
        <w:rPr>
          <w:color w:val="000000" w:themeColor="text1"/>
          <w:szCs w:val="22"/>
        </w:rPr>
        <w:t xml:space="preserve"> Academic Search Complete, CINAHL P</w:t>
      </w:r>
      <w:r w:rsidR="00632828" w:rsidRPr="00606D67">
        <w:rPr>
          <w:color w:val="000000" w:themeColor="text1"/>
          <w:szCs w:val="22"/>
        </w:rPr>
        <w:t>lus</w:t>
      </w:r>
      <w:r w:rsidR="00B111C1" w:rsidRPr="00606D67">
        <w:rPr>
          <w:color w:val="000000" w:themeColor="text1"/>
          <w:szCs w:val="22"/>
        </w:rPr>
        <w:t>, and PsycINFO</w:t>
      </w:r>
      <w:r w:rsidR="00180AC4" w:rsidRPr="00606D67">
        <w:rPr>
          <w:color w:val="000000" w:themeColor="text1"/>
          <w:szCs w:val="22"/>
        </w:rPr>
        <w:t xml:space="preserve">. </w:t>
      </w:r>
      <w:r w:rsidR="00801182" w:rsidRPr="00606D67">
        <w:rPr>
          <w:color w:val="000000" w:themeColor="text1"/>
          <w:szCs w:val="22"/>
        </w:rPr>
        <w:t>Systematic reviews</w:t>
      </w:r>
      <w:r w:rsidR="00704590" w:rsidRPr="00606D67">
        <w:rPr>
          <w:color w:val="000000" w:themeColor="text1"/>
          <w:szCs w:val="22"/>
        </w:rPr>
        <w:t xml:space="preserve"> or meta-analyses</w:t>
      </w:r>
      <w:r w:rsidR="00180AC4" w:rsidRPr="00606D67">
        <w:rPr>
          <w:color w:val="000000" w:themeColor="text1"/>
          <w:szCs w:val="22"/>
        </w:rPr>
        <w:t xml:space="preserve"> </w:t>
      </w:r>
      <w:r w:rsidR="00D62AEB" w:rsidRPr="00606D67">
        <w:rPr>
          <w:color w:val="000000" w:themeColor="text1"/>
          <w:szCs w:val="22"/>
        </w:rPr>
        <w:t xml:space="preserve">that </w:t>
      </w:r>
      <w:r w:rsidR="00180AC4" w:rsidRPr="00606D67">
        <w:rPr>
          <w:color w:val="000000" w:themeColor="text1"/>
          <w:szCs w:val="22"/>
        </w:rPr>
        <w:t>described any social determinant of mental illness, were published in peer-review journals in English, and focused on human participants</w:t>
      </w:r>
      <w:r w:rsidR="00D62AEB" w:rsidRPr="00606D67">
        <w:rPr>
          <w:color w:val="000000" w:themeColor="text1"/>
          <w:szCs w:val="22"/>
        </w:rPr>
        <w:t xml:space="preserve"> were included.</w:t>
      </w:r>
      <w:r w:rsidR="00B5548B" w:rsidRPr="00606D67">
        <w:rPr>
          <w:color w:val="000000" w:themeColor="text1"/>
          <w:szCs w:val="22"/>
        </w:rPr>
        <w:t xml:space="preserve"> </w:t>
      </w:r>
      <w:r w:rsidR="00CA79CD" w:rsidRPr="00606D67">
        <w:rPr>
          <w:color w:val="000000" w:themeColor="text1"/>
        </w:rPr>
        <w:t xml:space="preserve">The </w:t>
      </w:r>
      <w:r w:rsidR="00A56F18" w:rsidRPr="00606D67">
        <w:rPr>
          <w:color w:val="000000" w:themeColor="text1"/>
        </w:rPr>
        <w:t>Preferred Reporting Items for Systematic Review and Meta-Analyses (PRISMA) guidelines</w:t>
      </w:r>
      <w:r w:rsidR="00CA79CD" w:rsidRPr="00606D67">
        <w:rPr>
          <w:color w:val="000000" w:themeColor="text1"/>
        </w:rPr>
        <w:t xml:space="preserve"> were applied for the selection procedure</w:t>
      </w:r>
      <w:r w:rsidR="00A56F18" w:rsidRPr="00606D67">
        <w:rPr>
          <w:color w:val="000000" w:themeColor="text1"/>
        </w:rPr>
        <w:t xml:space="preserve">. </w:t>
      </w:r>
      <w:r w:rsidRPr="00606D67">
        <w:rPr>
          <w:color w:val="000000" w:themeColor="text1"/>
          <w:szCs w:val="22"/>
        </w:rPr>
        <w:t xml:space="preserve">Thirty-seven </w:t>
      </w:r>
      <w:r w:rsidR="00F063F0" w:rsidRPr="00606D67">
        <w:rPr>
          <w:color w:val="000000" w:themeColor="text1"/>
          <w:szCs w:val="22"/>
        </w:rPr>
        <w:t>systematic</w:t>
      </w:r>
      <w:r w:rsidRPr="00606D67">
        <w:rPr>
          <w:color w:val="000000" w:themeColor="text1"/>
          <w:szCs w:val="22"/>
        </w:rPr>
        <w:t xml:space="preserve"> reviews were </w:t>
      </w:r>
      <w:r w:rsidR="00B5548B" w:rsidRPr="00606D67">
        <w:rPr>
          <w:color w:val="000000" w:themeColor="text1"/>
          <w:szCs w:val="22"/>
        </w:rPr>
        <w:t>deemed eligible</w:t>
      </w:r>
      <w:r w:rsidRPr="00606D67">
        <w:rPr>
          <w:color w:val="000000" w:themeColor="text1"/>
          <w:szCs w:val="22"/>
        </w:rPr>
        <w:t xml:space="preserve"> for review and narrative synthesis.</w:t>
      </w:r>
      <w:r w:rsidR="007975FA" w:rsidRPr="00606D67">
        <w:rPr>
          <w:color w:val="000000" w:themeColor="text1"/>
          <w:szCs w:val="22"/>
        </w:rPr>
        <w:t xml:space="preserve"> </w:t>
      </w:r>
      <w:r w:rsidRPr="00606D67">
        <w:rPr>
          <w:color w:val="000000" w:themeColor="text1"/>
          <w:szCs w:val="22"/>
        </w:rPr>
        <w:t xml:space="preserve">Determinants identified included conflict, violence and maltreatment, life events and experiences, racism and discrimination, culture and migration, social interaction and support, structural policies and inequality, financial factors, employment factors, housing and living conditions, and demographic factors. </w:t>
      </w:r>
      <w:r w:rsidR="00CA79CD" w:rsidRPr="00606D67">
        <w:rPr>
          <w:color w:val="000000" w:themeColor="text1"/>
          <w:szCs w:val="22"/>
        </w:rPr>
        <w:t xml:space="preserve">We recommend </w:t>
      </w:r>
      <w:r w:rsidR="00E322A5" w:rsidRPr="00606D67">
        <w:rPr>
          <w:color w:val="000000" w:themeColor="text1"/>
          <w:szCs w:val="22"/>
        </w:rPr>
        <w:t>that m</w:t>
      </w:r>
      <w:r w:rsidRPr="00606D67">
        <w:rPr>
          <w:color w:val="000000" w:themeColor="text1"/>
          <w:szCs w:val="22"/>
        </w:rPr>
        <w:t xml:space="preserve">ental health nurses ensure adequate support </w:t>
      </w:r>
      <w:r w:rsidR="00E322A5" w:rsidRPr="00606D67">
        <w:rPr>
          <w:color w:val="000000" w:themeColor="text1"/>
          <w:szCs w:val="22"/>
        </w:rPr>
        <w:t>be</w:t>
      </w:r>
      <w:r w:rsidRPr="00606D67">
        <w:rPr>
          <w:color w:val="000000" w:themeColor="text1"/>
          <w:szCs w:val="22"/>
        </w:rPr>
        <w:t xml:space="preserve"> provided to those affected by the evidenced social determinants of mental illness. </w:t>
      </w:r>
    </w:p>
    <w:p w14:paraId="756F59DB" w14:textId="77777777" w:rsidR="00F06D54" w:rsidRPr="00606D67" w:rsidRDefault="00F06D54" w:rsidP="00F06D54">
      <w:pPr>
        <w:pStyle w:val="Paragraph"/>
        <w:rPr>
          <w:color w:val="000000" w:themeColor="text1"/>
        </w:rPr>
      </w:pPr>
    </w:p>
    <w:p w14:paraId="55467727" w14:textId="13CE65F6" w:rsidR="00997B0F" w:rsidRPr="00606D67" w:rsidRDefault="00F01924" w:rsidP="00106DAF">
      <w:pPr>
        <w:pStyle w:val="Heading1"/>
        <w:rPr>
          <w:color w:val="000000" w:themeColor="text1"/>
        </w:rPr>
      </w:pPr>
      <w:r w:rsidRPr="00606D67">
        <w:rPr>
          <w:color w:val="000000" w:themeColor="text1"/>
        </w:rPr>
        <w:t xml:space="preserve">Introduction </w:t>
      </w:r>
    </w:p>
    <w:p w14:paraId="07F2A2DD" w14:textId="0FA9952D" w:rsidR="00364C5E" w:rsidRPr="00606D67" w:rsidRDefault="00432C87" w:rsidP="00432C87">
      <w:pPr>
        <w:rPr>
          <w:color w:val="000000" w:themeColor="text1"/>
        </w:rPr>
      </w:pPr>
      <w:r w:rsidRPr="00606D67">
        <w:rPr>
          <w:color w:val="000000" w:themeColor="text1"/>
        </w:rPr>
        <w:t xml:space="preserve">The aetiology of mental illness is relatively unknown, though continually amassing evidence points towards a complex interplay of genetic and social/environmental factors being responsible. </w:t>
      </w:r>
      <w:r w:rsidR="00DA1F3B" w:rsidRPr="00606D67">
        <w:rPr>
          <w:color w:val="000000" w:themeColor="text1"/>
        </w:rPr>
        <w:t>However, r</w:t>
      </w:r>
      <w:r w:rsidRPr="00606D67">
        <w:rPr>
          <w:color w:val="000000" w:themeColor="text1"/>
        </w:rPr>
        <w:t>ecent decades have seen extensive efforts being placed into conceptualising mental illness as a</w:t>
      </w:r>
      <w:r w:rsidR="007B2793" w:rsidRPr="00606D67">
        <w:rPr>
          <w:color w:val="000000" w:themeColor="text1"/>
        </w:rPr>
        <w:t xml:space="preserve"> </w:t>
      </w:r>
      <w:r w:rsidRPr="00606D67">
        <w:rPr>
          <w:color w:val="000000" w:themeColor="text1"/>
        </w:rPr>
        <w:t>brain diseas</w:t>
      </w:r>
      <w:r w:rsidR="007C325C" w:rsidRPr="00606D67">
        <w:rPr>
          <w:color w:val="000000" w:themeColor="text1"/>
        </w:rPr>
        <w:t>e</w:t>
      </w:r>
      <w:r w:rsidRPr="00606D67">
        <w:rPr>
          <w:color w:val="000000" w:themeColor="text1"/>
        </w:rPr>
        <w:t>, or a</w:t>
      </w:r>
      <w:r w:rsidR="00EA4E35" w:rsidRPr="00606D67">
        <w:rPr>
          <w:color w:val="000000" w:themeColor="text1"/>
        </w:rPr>
        <w:t xml:space="preserve"> </w:t>
      </w:r>
      <w:r w:rsidRPr="00606D67">
        <w:rPr>
          <w:color w:val="000000" w:themeColor="text1"/>
        </w:rPr>
        <w:t xml:space="preserve">disease like any other, while funding bodies have prioritised neurobiological investigations over social </w:t>
      </w:r>
      <w:r w:rsidR="00355887" w:rsidRPr="00606D67">
        <w:rPr>
          <w:color w:val="000000" w:themeColor="text1"/>
        </w:rPr>
        <w:fldChar w:fldCharType="begin"/>
      </w:r>
      <w:r w:rsidR="00355887" w:rsidRPr="00606D67">
        <w:rPr>
          <w:color w:val="000000" w:themeColor="text1"/>
        </w:rPr>
        <w:instrText xml:space="preserve"> ADDIN ZOTERO_ITEM CSL_CITATION {"citationID":"KjDDTXWI","properties":{"formattedCitation":"(Lebowitz &amp; Appelbaum, 2019; Read et al., 2006; Schomerus et al., 2012)","plainCitation":"(Lebowitz &amp; Appelbaum, 2019; Read et al., 2006; Schomerus et al., 2012)","noteIndex":0},"citationItems":[{"id":1140,"uris":["http://zotero.org/users/5273986/items/GN8VEKMP"],"itemData":{"id":1140,"type":"article-journal","abstract":"Mental disorders are increasingly conceptualized as biomedical diseases, explained as manifestations of genetic and neurobiological abnormalities. Here, we discuss changes in the dominant explanatory accounts of psychopathology that have occurred over time and the driving forces behind these shifts, lay out some real-world evidence for the increasing ascendancy of biomedical explanations, and provide an overview of the types of attitudes and beliefs that may be affected by them. We examine theoretical and conceptual models that are relevant to understanding how biomedical conceptualizations might affect attitudes and beliefs about mental disorders, and we review some empirical evidence that bears on this question. Finally, we examine possible strategies for combatting potential negative effects of biomedical explanations and discuss important conclusions and directions for future research.","container-title":"Annual Review of Clinical Psychology","DOI":"10.1146/annurev-clinpsy-050718-095416","issue":"1","note":"_eprint: https://doi.org/10.1146/annurev-clinpsy-050718-095416\nPMID: 30444641","page":"555-577","source":"Annual Reviews","title":"Biomedical explanations of psychopathology and their implications for attitudes and beliefs about mental disorders","volume":"15","author":[{"family":"Lebowitz","given":"Matthew S."},{"family":"Appelbaum","given":"Paul S."}],"issued":{"date-parts":[["2019"]]}}},{"id":622,"uris":["http://zotero.org/users/5273986/items/PDPN4WRD"],"itemData":{"id":622,"type":"article-journal","abstract":"Objective: Many anti-stigma programmes use the ‘mental illness is an illness like any other’ approach. This review evaluates the effectiveness of this approach in relation to schizophrenia. Method: The academic literature was searched, via PsycINFO and MEDLINE, to identify peer-reviewed studies addressing whether public espousal of a biogenetic paradigm has increased over time, and whether biogenetic causal beliefs and diagnostic labelling are associated with less negative attitudes. Results: The public, internationally, continues to prefer psychosocial to biogenetic explanations and treatments for schizophrenia. Biogenetic causal theories and diagnostic labelling as ‘illness’, are both positively related to perceptions of dangerousness and unpredictability, and to fear and desire for social distance. Conclusion: An evidence-based approach to reducing discrimination would seek a range of alternatives to the ‘mental illness is an illness like any other’ approach, based on enhanced understanding, from multi-disciplinary research, of the causes of prejudice.","container-title":"Acta Psychiatrica Scandinavica","DOI":"https://doi.org/10.1111/j.1600-0447.2006.00824.x","ISSN":"1600-0447","issue":"5","language":"en","note":"_eprint: https://onlinelibrary.wiley.com/doi/pdf/10.1111/j.1600-0447.2006.00824.x","page":"303-318","source":"Wiley Online Library","title":"Prejudice and schizophrenia: a review of the ‘mental illness is an illness like any other’ approach","title-short":"Prejudice and schizophrenia","volume":"114","author":[{"family":"Read","given":"J."},{"family":"Haslam","given":"N."},{"family":"Sayce","given":"L."},{"family":"Davies","given":"E."}],"issued":{"date-parts":[["2006"]]}}},{"id":388,"uris":["http://zotero.org/users/5273986/items/6IQP6NIR"],"itemData":{"id":388,"type":"article-journal","abstract":"Schomerus G, Schwahn C, Holzinger A, Corrigan PW, Grabe HJ, Carta MG, Angermeyer MC. Evolution of public attitudes about mental illness: a systematic review and meta-analysis. Objective: To explore whether the increase in knowledge about the biological correlates of mental disorders over the last decades has translated into improved public understanding of mental illness, increased readiness to seek mental health care and more tolerant attitudes towards mentally ill persons. Method: A systematic review of all studies on mental illness-related beliefs and attitudes in the general population published before 31 March 2011, examining the time trends of attitudes with a follow-up interval of at least 2 years and using national representative population samples. A subsample of methodologically homogeneous studies was further included in a meta-regression analysis of time trends. Results: Thirty-three reports on 16 studies on national time trends met our inclusion criteria, six of which were eligible for a meta-regression analysis. Two major trends emerged: there was a coherent trend to greater mental health literacy, in particular towards a biological model of mental illness, and greater acceptance of professional help for mental health problems. In contrast, however, no changes or even changes to the worse were observed regarding the attitudes towards people with mental illness. Conclusion: Increasing public understanding of the biological correlates of mental illness seems not to result in better social acceptance of persons with mental illness.","container-title":"Acta Psychiatrica Scandinavica","DOI":"10.1111/j.1600-0447.2012.01826.x","ISSN":"1600-0447","issue":"6","language":"en","license":"© 2012 John Wiley &amp; Sons A/S","note":"_eprint: https://onlinelibrary.wiley.com/doi/pdf/10.1111/j.1600-0447.2012.01826.x","page":"440-452","source":"Wiley Online Library","title":"Evolution of public attitudes about mental illness: a systematic review and meta-analysis","title-short":"Evolution of public attitudes about mental illness","volume":"125","author":[{"family":"Schomerus","given":"G."},{"family":"Schwahn","given":"C."},{"family":"Holzinger","given":"A."},{"family":"Corrigan","given":"P. W."},{"family":"Grabe","given":"H. J."},{"family":"Carta","given":"M. G."},{"family":"Angermeyer","given":"M. C."}],"issued":{"date-parts":[["2012"]]}}}],"schema":"https://github.com/citation-style-language/schema/raw/master/csl-citation.json"} </w:instrText>
      </w:r>
      <w:r w:rsidR="00355887" w:rsidRPr="00606D67">
        <w:rPr>
          <w:color w:val="000000" w:themeColor="text1"/>
        </w:rPr>
        <w:fldChar w:fldCharType="separate"/>
      </w:r>
      <w:r w:rsidR="00355887" w:rsidRPr="00606D67">
        <w:rPr>
          <w:color w:val="000000" w:themeColor="text1"/>
        </w:rPr>
        <w:t>(Lebowitz &amp; Appelbaum, 2019; Read et al., 2006; Schomerus et al., 2012)</w:t>
      </w:r>
      <w:r w:rsidR="00355887" w:rsidRPr="00606D67">
        <w:rPr>
          <w:color w:val="000000" w:themeColor="text1"/>
        </w:rPr>
        <w:fldChar w:fldCharType="end"/>
      </w:r>
      <w:r w:rsidR="00081BB6" w:rsidRPr="00606D67">
        <w:rPr>
          <w:color w:val="000000" w:themeColor="text1"/>
        </w:rPr>
        <w:t xml:space="preserve">. </w:t>
      </w:r>
      <w:r w:rsidR="00FF1874" w:rsidRPr="00606D67">
        <w:rPr>
          <w:color w:val="000000" w:themeColor="text1"/>
        </w:rPr>
        <w:t>Recent yea</w:t>
      </w:r>
      <w:r w:rsidRPr="00606D67">
        <w:rPr>
          <w:color w:val="000000" w:themeColor="text1"/>
        </w:rPr>
        <w:t xml:space="preserve">rs have seen a rise in </w:t>
      </w:r>
      <w:r w:rsidR="003B4228" w:rsidRPr="00606D67">
        <w:rPr>
          <w:color w:val="000000" w:themeColor="text1"/>
        </w:rPr>
        <w:t xml:space="preserve">public </w:t>
      </w:r>
      <w:r w:rsidRPr="00606D67">
        <w:rPr>
          <w:color w:val="000000" w:themeColor="text1"/>
        </w:rPr>
        <w:t xml:space="preserve">mental health </w:t>
      </w:r>
      <w:r w:rsidR="003B4228" w:rsidRPr="00606D67">
        <w:rPr>
          <w:color w:val="000000" w:themeColor="text1"/>
        </w:rPr>
        <w:t>awareness</w:t>
      </w:r>
      <w:r w:rsidRPr="00606D67">
        <w:rPr>
          <w:color w:val="000000" w:themeColor="text1"/>
        </w:rPr>
        <w:t xml:space="preserve"> </w:t>
      </w:r>
      <w:r w:rsidR="007C325C" w:rsidRPr="00606D67">
        <w:rPr>
          <w:color w:val="000000" w:themeColor="text1"/>
        </w:rPr>
        <w:t xml:space="preserve">which </w:t>
      </w:r>
      <w:r w:rsidRPr="00606D67">
        <w:rPr>
          <w:color w:val="000000" w:themeColor="text1"/>
        </w:rPr>
        <w:t xml:space="preserve">has favoured a medical model of mental </w:t>
      </w:r>
      <w:r w:rsidRPr="00606D67">
        <w:rPr>
          <w:color w:val="000000" w:themeColor="text1"/>
        </w:rPr>
        <w:lastRenderedPageBreak/>
        <w:t xml:space="preserve">illness, with greater emphasis placed on the biological </w:t>
      </w:r>
      <w:r w:rsidR="007C325C" w:rsidRPr="00606D67">
        <w:rPr>
          <w:color w:val="000000" w:themeColor="text1"/>
        </w:rPr>
        <w:t xml:space="preserve">rather </w:t>
      </w:r>
      <w:r w:rsidR="009D15DC" w:rsidRPr="00606D67">
        <w:rPr>
          <w:color w:val="000000" w:themeColor="text1"/>
        </w:rPr>
        <w:t>t</w:t>
      </w:r>
      <w:r w:rsidRPr="00606D67">
        <w:rPr>
          <w:color w:val="000000" w:themeColor="text1"/>
        </w:rPr>
        <w:t>han the social determinants</w:t>
      </w:r>
      <w:r w:rsidR="007C325C" w:rsidRPr="00606D67">
        <w:rPr>
          <w:color w:val="000000" w:themeColor="text1"/>
        </w:rPr>
        <w:t xml:space="preserve"> of mental illness</w:t>
      </w:r>
      <w:r w:rsidRPr="00606D67">
        <w:rPr>
          <w:color w:val="000000" w:themeColor="text1"/>
        </w:rPr>
        <w:t xml:space="preserve"> </w:t>
      </w:r>
      <w:r w:rsidR="00FF1874" w:rsidRPr="00606D67">
        <w:rPr>
          <w:color w:val="000000" w:themeColor="text1"/>
        </w:rPr>
        <w:fldChar w:fldCharType="begin"/>
      </w:r>
      <w:r w:rsidR="00FF1874" w:rsidRPr="00606D67">
        <w:rPr>
          <w:color w:val="000000" w:themeColor="text1"/>
        </w:rPr>
        <w:instrText xml:space="preserve"> ADDIN ZOTERO_ITEM CSL_CITATION {"citationID":"fI1d5uGO","properties":{"formattedCitation":"(Schomerus et al., 2012)","plainCitation":"(Schomerus et al., 2012)","noteIndex":0},"citationItems":[{"id":388,"uris":["http://zotero.org/users/5273986/items/6IQP6NIR"],"itemData":{"id":388,"type":"article-journal","abstract":"Schomerus G, Schwahn C, Holzinger A, Corrigan PW, Grabe HJ, Carta MG, Angermeyer MC. Evolution of public attitudes about mental illness: a systematic review and meta-analysis. Objective: To explore whether the increase in knowledge about the biological correlates of mental disorders over the last decades has translated into improved public understanding of mental illness, increased readiness to seek mental health care and more tolerant attitudes towards mentally ill persons. Method: A systematic review of all studies on mental illness-related beliefs and attitudes in the general population published before 31 March 2011, examining the time trends of attitudes with a follow-up interval of at least 2 years and using national representative population samples. A subsample of methodologically homogeneous studies was further included in a meta-regression analysis of time trends. Results: Thirty-three reports on 16 studies on national time trends met our inclusion criteria, six of which were eligible for a meta-regression analysis. Two major trends emerged: there was a coherent trend to greater mental health literacy, in particular towards a biological model of mental illness, and greater acceptance of professional help for mental health problems. In contrast, however, no changes or even changes to the worse were observed regarding the attitudes towards people with mental illness. Conclusion: Increasing public understanding of the biological correlates of mental illness seems not to result in better social acceptance of persons with mental illness.","container-title":"Acta Psychiatrica Scandinavica","DOI":"10.1111/j.1600-0447.2012.01826.x","ISSN":"1600-0447","issue":"6","language":"en","license":"© 2012 John Wiley &amp; Sons A/S","note":"_eprint: https://onlinelibrary.wiley.com/doi/pdf/10.1111/j.1600-0447.2012.01826.x","page":"440-452","source":"Wiley Online Library","title":"Evolution of public attitudes about mental illness: a systematic review and meta-analysis","title-short":"Evolution of public attitudes about mental illness","volume":"125","author":[{"family":"Schomerus","given":"G."},{"family":"Schwahn","given":"C."},{"family":"Holzinger","given":"A."},{"family":"Corrigan","given":"P. W."},{"family":"Grabe","given":"H. J."},{"family":"Carta","given":"M. G."},{"family":"Angermeyer","given":"M. C."}],"issued":{"date-parts":[["2012"]]}}}],"schema":"https://github.com/citation-style-language/schema/raw/master/csl-citation.json"} </w:instrText>
      </w:r>
      <w:r w:rsidR="00FF1874" w:rsidRPr="00606D67">
        <w:rPr>
          <w:color w:val="000000" w:themeColor="text1"/>
        </w:rPr>
        <w:fldChar w:fldCharType="separate"/>
      </w:r>
      <w:r w:rsidR="00FF1874" w:rsidRPr="00606D67">
        <w:rPr>
          <w:color w:val="000000" w:themeColor="text1"/>
        </w:rPr>
        <w:t>(Schomerus et al., 2012)</w:t>
      </w:r>
      <w:r w:rsidR="00FF1874" w:rsidRPr="00606D67">
        <w:rPr>
          <w:color w:val="000000" w:themeColor="text1"/>
        </w:rPr>
        <w:fldChar w:fldCharType="end"/>
      </w:r>
      <w:r w:rsidRPr="00606D67">
        <w:rPr>
          <w:color w:val="000000" w:themeColor="text1"/>
        </w:rPr>
        <w:t>. Social determinant</w:t>
      </w:r>
      <w:r w:rsidR="007C325C" w:rsidRPr="00606D67">
        <w:rPr>
          <w:color w:val="000000" w:themeColor="text1"/>
        </w:rPr>
        <w:t>s</w:t>
      </w:r>
      <w:r w:rsidRPr="00606D67">
        <w:rPr>
          <w:color w:val="000000" w:themeColor="text1"/>
        </w:rPr>
        <w:t xml:space="preserve"> are </w:t>
      </w:r>
      <w:r w:rsidR="009B3AAE" w:rsidRPr="00606D67">
        <w:rPr>
          <w:color w:val="000000" w:themeColor="text1"/>
        </w:rPr>
        <w:t xml:space="preserve">aspects of one’s </w:t>
      </w:r>
      <w:r w:rsidR="00D4002C" w:rsidRPr="00606D67">
        <w:rPr>
          <w:color w:val="000000" w:themeColor="text1"/>
        </w:rPr>
        <w:t xml:space="preserve">environment, relationships and lifestyle that impact mental health/illness. </w:t>
      </w:r>
    </w:p>
    <w:p w14:paraId="6089769A" w14:textId="474FC3D5" w:rsidR="00432C87" w:rsidRPr="00606D67" w:rsidRDefault="00432C87" w:rsidP="00432C87">
      <w:pPr>
        <w:rPr>
          <w:color w:val="000000" w:themeColor="text1"/>
        </w:rPr>
      </w:pPr>
      <w:r w:rsidRPr="00606D67">
        <w:rPr>
          <w:color w:val="000000" w:themeColor="text1"/>
        </w:rPr>
        <w:tab/>
      </w:r>
      <w:r w:rsidR="00BF54EC" w:rsidRPr="00606D67">
        <w:rPr>
          <w:color w:val="000000" w:themeColor="text1"/>
        </w:rPr>
        <w:t>The</w:t>
      </w:r>
      <w:r w:rsidRPr="00606D67">
        <w:rPr>
          <w:color w:val="000000" w:themeColor="text1"/>
        </w:rPr>
        <w:t xml:space="preserve"> medical model of mental illness is often argued to inadequately represent the current state of </w:t>
      </w:r>
      <w:r w:rsidR="00657723" w:rsidRPr="00606D67">
        <w:rPr>
          <w:color w:val="000000" w:themeColor="text1"/>
        </w:rPr>
        <w:t xml:space="preserve">the </w:t>
      </w:r>
      <w:r w:rsidRPr="00606D67">
        <w:rPr>
          <w:color w:val="000000" w:themeColor="text1"/>
        </w:rPr>
        <w:t xml:space="preserve">empirical literature and has led to concern </w:t>
      </w:r>
      <w:r w:rsidR="00383C7D" w:rsidRPr="00606D67">
        <w:rPr>
          <w:color w:val="000000" w:themeColor="text1"/>
        </w:rPr>
        <w:t xml:space="preserve">about </w:t>
      </w:r>
      <w:r w:rsidRPr="00606D67">
        <w:rPr>
          <w:color w:val="000000" w:themeColor="text1"/>
        </w:rPr>
        <w:t>the extent</w:t>
      </w:r>
      <w:r w:rsidR="00383C7D" w:rsidRPr="00606D67">
        <w:rPr>
          <w:color w:val="000000" w:themeColor="text1"/>
        </w:rPr>
        <w:t xml:space="preserve"> to</w:t>
      </w:r>
      <w:r w:rsidRPr="00606D67">
        <w:rPr>
          <w:color w:val="000000" w:themeColor="text1"/>
        </w:rPr>
        <w:t xml:space="preserve"> which both members of the public and mental health professionals rely on these explanations </w:t>
      </w:r>
      <w:r w:rsidR="00081BB6" w:rsidRPr="00606D67">
        <w:rPr>
          <w:color w:val="000000" w:themeColor="text1"/>
        </w:rPr>
        <w:fldChar w:fldCharType="begin"/>
      </w:r>
      <w:r w:rsidR="002625CA" w:rsidRPr="00606D67">
        <w:rPr>
          <w:color w:val="000000" w:themeColor="text1"/>
        </w:rPr>
        <w:instrText xml:space="preserve"> ADDIN ZOTERO_ITEM CSL_CITATION {"citationID":"pJR8DywA","properties":{"formattedCitation":"(Deacon &amp; Lickel, 2009; Lebowitz &amp; Appelbaum, 2019; Lilienfeld &amp; Treadway, 2016; Schwartz et al., 2016)","plainCitation":"(Deacon &amp; Lickel, 2009; Lebowitz &amp; Appelbaum, 2019; Lilienfeld &amp; Treadway, 2016; Schwartz et al., 2016)","noteIndex":0},"citationItems":[{"id":1499,"uris":["http://zotero.org/users/5273986/items/7NUBURLE"],"itemData":{"id":1499,"type":"article-journal","abstract":"Significant advances have been made in understanding mind-brain relationships and the role of biological vulnerabilities in the development of mental disorders. However, we are concerned that the enthusiastic promotion of the brain disease model by NIMH and other prominent sources has far outstripped the available scientific data and may actually be increasing the stigma associated with mental disorders. Dr. Insel's statement that \"mental disorders are brain disorders\" suggests that problems like anxiety and mood disorders are caused by identifiable brain abnormalities. Insel elaborated on this position at the 2008 annual meeting of the American Psychiatric Association by explaining that mental disorders are not caused by brain lesions as with neurological disorders, but rather from abnormal development of brain circuitry. One reason that mental disorders are described as brain diseases by scientific authorities, despite failing to meet the basic definition of a disease—an abnormality in bodily structure or function—is the reductionist philosophy that abnormal psychological phenomena are the product of a disordered brain. (PsycInfo Database Record (c) 2022 APA, all rights reserved)","container-title":"the Behavior Therapist","ISSN":"0278-8403","issue":"6","note":"publisher-place: US\npublisher: Association for Behavioral and Cognitive Therapies","page":"113-118","source":"APA PsycNet","title":"On the brain disease model of mental disorders","volume":"32","author":[{"family":"Deacon","given":"Brett J."},{"family":"Lickel","given":"James J."}],"issued":{"date-parts":[["2009"]]}}},{"id":1140,"uris":["http://zotero.org/users/5273986/items/GN8VEKMP"],"itemData":{"id":1140,"type":"article-journal","abstract":"Mental disorders are increasingly conceptualized as biomedical diseases, explained as manifestations of genetic and neurobiological abnormalities. Here, we discuss changes in the dominant explanatory accounts of psychopathology that have occurred over time and the driving forces behind these shifts, lay out some real-world evidence for the increasing ascendancy of biomedical explanations, and provide an overview of the types of attitudes and beliefs that may be affected by them. We examine theoretical and conceptual models that are relevant to understanding how biomedical conceptualizations might affect attitudes and beliefs about mental disorders, and we review some empirical evidence that bears on this question. Finally, we examine possible strategies for combatting potential negative effects of biomedical explanations and discuss important conclusions and directions for future research.","container-title":"Annual Review of Clinical Psychology","DOI":"10.1146/annurev-clinpsy-050718-095416","issue":"1","note":"_eprint: https://doi.org/10.1146/annurev-clinpsy-050718-095416\nPMID: 30444641","page":"555-577","source":"Annual Reviews","title":"Biomedical explanations of psychopathology and their implications for attitudes and beliefs about mental disorders","volume":"15","author":[{"family":"Lebowitz","given":"Matthew S."},{"family":"Appelbaum","given":"Paul S."}],"issued":{"date-parts":[["2019"]]}}},{"id":1501,"uris":["http://zotero.org/users/5273986/items/JIY4LIM4"],"itemData":{"id":1501,"type":"article-journal","abstract":"Since at least the middle of the past century, one overarching model of psychiatric classification, namely, that of the Diagnostic and Statistical Manual of Mental Disorders and International Classification of Diseases (DSM-ICD), has reigned supreme. This DSM-ICD approach embraces an Aristotelian view of mental disorders as largely discrete entities that are characterized by distinctive signs, symptoms, and natural histories. Over the past several years, however, a competing vision, namely, the Research Domain Criteria (RDoC) initiative launched by the National Institute of Mental Health, has emerged in response to accumulating anomalies within the DSM-ICD system. In contrast to DSM-ICD, RDoC embraces a Galilean view of psychopathology as the product of dysfunctions in neural circuitry. RDoC appears to be a valuable endeavor that holds out the long-term promise of an alternative system of mental illness classification. We delineate three sets of pressing challenges – conceptual, methodological, and logistical/pragmatic – that must be addressed for RDoC to realize its scientific potential, and conclude with a call for further research, including investigation of a rapprochement between Aristotelian and Galilean approaches to psychiatric classification.","container-title":"Annual review of clinical psychology","DOI":"10.1146/annurev-clinpsy-021815-093122","ISSN":"1548-5943","journalAbbreviation":"Annu Rev Clin Psychol","note":"PMID: 26845519\nPMCID: PMC5154554","page":"435-463","source":"PubMed Central","title":"Clashing diagnostic approaches: DSM-ICD versus RDoC","title-short":"Clashing Diagnostic Approaches","volume":"12","author":[{"family":"Lilienfeld","given":"Scott O."},{"family":"Treadway","given":"Michael T."}],"issued":{"date-parts":[["2016"]]}}},{"id":1504,"uris":["http://zotero.org/users/5273986/items/E8SK5ANB"],"itemData":{"id":1504,"type":"article-journal","abstract":"In the present article, we appraise the increasingly prominent role of neuroscience within psychology and offer cautions and recommendations regarding the future of psychology as a field. We contend that the conflict between eliminative reductionism (the belief that the neural level of analysis will eventually render the psychological level of analysis superfluous) and emergent properties (the assumption that higher-order mental functions are not directly reducible to neural processes) is critical if we are to identify the optimal role for neuroscience within psychology. We argue for an interdisciplinary future for psychology in which the considerable strengths of neuroscience complement and extend the strengths of other subfields of psychology. For this goal to be achieved, a balance must be struck between an increasing focus on neuroscience and the continued importance of other areas of psychology. We discuss the implications of the growing prominence of neuroscience for the broader profession of psychology, especially with respect to funding agency priorities, hiring practices in psychology departments, methodological rigor, and the training of future generations of students. We conclude with recommendations for advancing psychology as both a social science and a natural science. (PsycInfo Database Record (c) 2020 APA, all rights reserved)","container-title":"American Psychologist","DOI":"10.1037/a0039678","ISSN":"1935-990X","issue":"1","note":"publisher-place: US\npublisher: American Psychological Association","page":"52-70","source":"APA PsycNet","title":"The role of neuroscience within psychology: A call for inclusiveness over exclusiveness","title-short":"The role of neuroscience within psychology","volume":"71","author":[{"family":"Schwartz","given":"Seth J."},{"family":"Lilienfeld","given":"Scott O."},{"family":"Meca","given":"Alan"},{"family":"Sauvigné","given":"Katheryn C."}],"issued":{"date-parts":[["2016"]]}}}],"schema":"https://github.com/citation-style-language/schema/raw/master/csl-citation.json"} </w:instrText>
      </w:r>
      <w:r w:rsidR="00081BB6" w:rsidRPr="00606D67">
        <w:rPr>
          <w:color w:val="000000" w:themeColor="text1"/>
        </w:rPr>
        <w:fldChar w:fldCharType="separate"/>
      </w:r>
      <w:r w:rsidR="002625CA" w:rsidRPr="00606D67">
        <w:rPr>
          <w:color w:val="000000" w:themeColor="text1"/>
        </w:rPr>
        <w:t>(Deacon &amp; Lickel, 2009; Lebowitz &amp; Appelbaum, 2019; Lilienfeld &amp; Treadway, 2016; Schwartz et al., 2016)</w:t>
      </w:r>
      <w:r w:rsidR="00081BB6" w:rsidRPr="00606D67">
        <w:rPr>
          <w:color w:val="000000" w:themeColor="text1"/>
        </w:rPr>
        <w:fldChar w:fldCharType="end"/>
      </w:r>
      <w:r w:rsidR="00B638AC" w:rsidRPr="00606D67">
        <w:rPr>
          <w:color w:val="000000" w:themeColor="text1"/>
        </w:rPr>
        <w:t>.</w:t>
      </w:r>
      <w:r w:rsidRPr="00606D67">
        <w:rPr>
          <w:color w:val="000000" w:themeColor="text1"/>
        </w:rPr>
        <w:t xml:space="preserve"> There is evidence of the</w:t>
      </w:r>
      <w:r w:rsidR="00884CEB" w:rsidRPr="00606D67">
        <w:rPr>
          <w:color w:val="000000" w:themeColor="text1"/>
        </w:rPr>
        <w:t xml:space="preserve"> important</w:t>
      </w:r>
      <w:r w:rsidRPr="00606D67">
        <w:rPr>
          <w:color w:val="000000" w:themeColor="text1"/>
        </w:rPr>
        <w:t xml:space="preserve"> role of social factors in aetiology </w:t>
      </w:r>
      <w:r w:rsidR="002B55BA" w:rsidRPr="00606D67">
        <w:rPr>
          <w:color w:val="000000" w:themeColor="text1"/>
        </w:rPr>
        <w:t>(WHO, 2014)</w:t>
      </w:r>
      <w:r w:rsidRPr="00606D67">
        <w:rPr>
          <w:color w:val="000000" w:themeColor="text1"/>
        </w:rPr>
        <w:t xml:space="preserve">, yet </w:t>
      </w:r>
      <w:r w:rsidR="005C1BE1" w:rsidRPr="00606D67">
        <w:rPr>
          <w:color w:val="000000" w:themeColor="text1"/>
        </w:rPr>
        <w:t xml:space="preserve">social </w:t>
      </w:r>
      <w:r w:rsidR="00770D35" w:rsidRPr="00606D67">
        <w:rPr>
          <w:color w:val="000000" w:themeColor="text1"/>
        </w:rPr>
        <w:t>determinants</w:t>
      </w:r>
      <w:r w:rsidR="005C1BE1" w:rsidRPr="00606D67">
        <w:rPr>
          <w:color w:val="000000" w:themeColor="text1"/>
        </w:rPr>
        <w:t xml:space="preserve"> are</w:t>
      </w:r>
      <w:r w:rsidRPr="00606D67">
        <w:rPr>
          <w:color w:val="000000" w:themeColor="text1"/>
        </w:rPr>
        <w:t xml:space="preserve"> often underrepresented and seen as categorically distinct from </w:t>
      </w:r>
      <w:r w:rsidR="00974008" w:rsidRPr="00606D67">
        <w:rPr>
          <w:color w:val="000000" w:themeColor="text1"/>
        </w:rPr>
        <w:t>biological</w:t>
      </w:r>
      <w:r w:rsidRPr="00606D67">
        <w:rPr>
          <w:color w:val="000000" w:themeColor="text1"/>
        </w:rPr>
        <w:t xml:space="preserve"> determinants. There is reason to believe</w:t>
      </w:r>
      <w:r w:rsidR="00383C7D" w:rsidRPr="00606D67">
        <w:rPr>
          <w:color w:val="000000" w:themeColor="text1"/>
        </w:rPr>
        <w:t xml:space="preserve"> that</w:t>
      </w:r>
      <w:r w:rsidRPr="00606D67">
        <w:rPr>
          <w:color w:val="000000" w:themeColor="text1"/>
        </w:rPr>
        <w:t xml:space="preserve"> such social determinants are poorly understood by members of the public. Studies have found that non-expert members of the public view biological and social determinants as being incompatible with one another and tend to prioritise</w:t>
      </w:r>
      <w:r w:rsidR="00D776F1" w:rsidRPr="00606D67">
        <w:rPr>
          <w:color w:val="000000" w:themeColor="text1"/>
        </w:rPr>
        <w:t xml:space="preserve"> their beliefs </w:t>
      </w:r>
      <w:r w:rsidR="00884CEB" w:rsidRPr="00606D67">
        <w:rPr>
          <w:color w:val="000000" w:themeColor="text1"/>
        </w:rPr>
        <w:t xml:space="preserve">in </w:t>
      </w:r>
      <w:r w:rsidRPr="00606D67">
        <w:rPr>
          <w:color w:val="000000" w:themeColor="text1"/>
        </w:rPr>
        <w:t>one over the other</w:t>
      </w:r>
      <w:r w:rsidR="0090693C" w:rsidRPr="00606D67">
        <w:rPr>
          <w:color w:val="000000" w:themeColor="text1"/>
        </w:rPr>
        <w:t xml:space="preserve"> </w:t>
      </w:r>
      <w:r w:rsidR="00DC5B62" w:rsidRPr="00606D67">
        <w:rPr>
          <w:color w:val="000000" w:themeColor="text1"/>
        </w:rPr>
        <w:fldChar w:fldCharType="begin"/>
      </w:r>
      <w:r w:rsidR="007570B6" w:rsidRPr="00606D67">
        <w:rPr>
          <w:color w:val="000000" w:themeColor="text1"/>
        </w:rPr>
        <w:instrText xml:space="preserve"> ADDIN ZOTERO_ITEM CSL_CITATION {"citationID":"Tjx762jc","properties":{"formattedCitation":"(Goldstein &amp; Rosselli, 2003; Lebowitz et al., 2013; Miresco &amp; Kirmayer, 2006; O\\uc0\\u8217{}Connor &amp; Vaughan, 2021; Racine et al., 2010; Schomerus et al., 2006)","plainCitation":"(Goldstein &amp; Rosselli, 2003; Lebowitz et al., 2013; Miresco &amp; Kirmayer, 2006; O’Connor &amp; Vaughan, 2021; Racine et al., 2010; Schomerus et al., 2006)","noteIndex":0},"citationItems":[{"id":1506,"uris":["http://zotero.org/users/5273986/items/532UTMJQ"],"itemData":{"id":1506,"type":"article-journal","abstract":"Background: There is a growing trend to view depression as a biological illness rather than a psychosocial condition, even though there is no consensus as to what causes depression. Furthermore, there are mixed data on the impact of advocating the biological model.Aims: This study examined public perceptions concerning the etiology of depression as well as the relationship between such perceptions and treatment preferences, empowerment, and stigma.Method: Survey techniques were used to assess how 66 college students view the etiology of depression. Etiology beliefs, as well as demographic data, were regressed upon measures of treatment preference, empowerment, and stigma.Results: Factor analysis produced three distinct models of etiology: biological, psychological, and environmental. Regression analyses showed that endorsement of the biological model was associated with increased empowerment, preference for psychotherapy, and decreased stigma. Endorsing the psychological model was associated with an increased belief that people can help themselves and increased stigma. Endorsing the environmental model was associated with a mixture of positive and negative beliefs concerning depression.Conclusions: Endorsement of each etiological model is associated with both positive and negative consequences. The current public emphasis on viewing depression as biologically based should thus be viewed with some caution.Declaration of interest: None.","container-title":"Journal of Mental Health","DOI":"10.1080/09638230310001627919","ISSN":"0963-8237","issue":"6","note":"publisher: Routledge\n_eprint: https://doi.org/10.1080/09638230310001627919","page":"551-563","source":"Taylor and Francis+NEJM","title":"Etiological paradigms of depression: The relationship between perceived causes, empowerment, treatment preferences, and stigma","title-short":"Etiological paradigms of depression","volume":"12","author":[{"family":"Goldstein","given":"Benjamin"},{"family":"Rosselli","given":"Francine"}],"issued":{"date-parts":[["2003",12,1]]}}},{"id":1510,"uris":["http://zotero.org/users/5273986/items/LTPLFFLT"],"itemData":{"id":1510,"type":"article-journal","abstract":"Objective: Previous research has shown that biological (e.g., genetic, biochemical) accounts of depression—currently in ascendancy—are linked to the general public’s pessimism about the syndrome’s prognosis. This research examined for the first time whether people with depressive symptoms would associate biological accounts of depression with pessimism about their own prognoses and whether a psychoeducation intervention portraying the biology of depression as malleable could decrease prognostic pessimism among symptomatic individuals. Method: In 3 studies, participants were recruited online and assessed for depression symptoms. Those with significant depressive symptomatology (a Beck Depression Inventory-II score of at least 16) rated their endorsement of biochemical and genetic causal attributions for their symptoms and indicated expected length of symptom duration. An audiovisual intervention emphasizing the malleability of gene effects and neurochemistry was developed, and its effects on symptomatic individuals’ prognostic pessimism, feelings of agency, guilt, and general hopelessness were measured. Results: Biochemical and genetic causal attributions for depression were significantly associated with prognostic pessimism among symptomatic individuals. The malleability intervention significantly reduced prognostic pessimism, increased feelings of agency, and decreased general hopelessness. Conclusions: Biochemical and genetic attributions for depression are related to prognostic pessimism among individuals with depressive symptoms, and not just among the general public. However, emphasizing the malleability of gene effects and brain chemistry in depression can foster more optimism about depression-related beliefs. (PsycINFO Database Record (c) 2016 APA, all rights reserved)","container-title":"Journal of Consulting and Clinical Psychology","DOI":"10.1037/a0031730","ISSN":"1939-2117","issue":"3","note":"publisher-place: US\npublisher: American Psychological Association","page":"518-527","source":"APA PsycNet","title":"Fixable or fate? Perceptions of the biology of depression","title-short":"Fixable or fate?","volume":"81","author":[{"family":"Lebowitz","given":"Matthew S."},{"family":"Ahn","given":"Woo-kyoung"},{"family":"Nolen-Hoeksema","given":"Susan"}],"issued":{"date-parts":[["2013"]]}}},{"id":1508,"uris":["http://zotero.org/users/5273986/items/MKKPQGBQ"],"itemData":{"id":1508,"type":"article-journal","abstract":"Objective: Despite attempts in psychiatry to adopt an integrative biopsychosocial model, social scientists have observed that psychiatrists continue to operate according to a mind-brain dichotomy in ways that are often covert and unacknowledged and suggest that the same intuitive cognitive schemas that people use to make judgments of responsibility lead to dualistic reasoning among clinicians. The goal of this study was to confirm these observations. Method: Self-report questionnaires were sent to the 270 psychiatrists and psychologists in the Department of Psychiatry at McGill University. In response to clinical vignettes, the participants rated the level of intentionality, controllability, responsibility, and blame attributable to the patients, as well as the importance of neurobiological, psychological, and social factors in explaining the patients’ symptoms. Results: A total of 136 faculty members (50.4%) responded, and 127 were included in the analysis. Factor analysis revealed a single dimension of responsibility regarding the patients’ illnesses that correlated positively with ratings of psychological etiology and negatively with ratings of neurobiological etiology. Psychological and neurobiological ratings were inversely correlated. Multivariate analyses of variance supported these results. Conclusions: Mental health professionals continue to employ a mind-brain dichotomy when reasoning about clinical cases. The more a behavioral problem is seen as originating in “psychological” processes, the more a patient tends to be viewed as responsible and blameworthy for his or her symptoms; conversely, the more behaviors are attributed to neurobiological causes, the less likely patients are to be viewed as responsible and blameworthy.","container-title":"American Journal of Psychiatry","DOI":"10.1176/ajp.2006.163.5.913","ISSN":"0002-953X","issue":"5","journalAbbreviation":"AJP","note":"publisher: American Psychiatric Publishing","page":"913-918","source":"ajp.psychiatryonline.org (Atypon)","title":"The persistence of mind-brain dualism in psychiatric reasoning about clinical scenarios","volume":"163","author":[{"family":"Miresco","given":"Marc J."},{"family":"Kirmayer","given":"Laurence J."}],"issued":{"date-parts":[["2006",5]]}},"label":"page"},{"id":959,"uris":["http://zotero.org/users/5273986/items/8HPYET3W"],"itemData":{"id":959,"type":"article-journal","abstract":"The current paper reports three experimental studies that investigate how selectively emphasising different treatment approaches (biological, psychological or social) for mental health difficulties affects lay beliefs about those illnesses. Online experimental vignettes exposed participants to different treatment narratives for a clinical case of Major Depressive Disorder (Study 1; n=164), Generalized Anxiety Disorder (Study 2; n=173) and Schizophrenia (Study 3, n=170). Measures of causal attributions and illness perceptions assessed effects on beliefs about the causes and course of the illness. Emphasising psychological treatment of Major Depressive Disorder promoted more causal attributions to personal weakness, while endorsing biological treatment weakened confidence in individual control over the course of the illness. For Generalized Anxiety Disorder, stressing social treatment encouraged more causal attributions to personal weakness and lifestyle factors. Causal attributions for Schizophrenia did not shift according to treatment modality, but highlighting biological treatment made the symptoms appear more treatable, while emphasising psychological treatment made the illness seem more personally controllable. As lay understandings of the causes and course of mental illness have implications for help-seeking, treatment engagement and stigma, effects on illness beliefs may be an important consideration when endorsing a particular treatment approach in public discourse or clinical communication.","container-title":"Psychiatry Research","DOI":"10.1016/j.psychres.2021.113726","ISSN":"0165-1781","journalAbbreviation":"Psychiatry Research","language":"en","page":"113726","source":"ScienceDirect","title":"Does selectively endorsing different approaches to treating mental illness affect lay beliefs about the cause and course of mental illness?","volume":"297","author":[{"family":"O'Connor","given":"Cliodhna"},{"family":"Vaughan","given":"Sarah"}],"issued":{"date-parts":[["2021",3,1]]}}},{"id":1513,"uris":["http://zotero.org/users/5273986/items/AEVZF7BU"],"itemData":{"id":1513,"type":"article-journal","abstract":"Technological innovations in neuroscience have opened new windows to the understanding of brain function and the neuronal underpinnings of brain activity in neuropsychiatric disorders and social behavior. Public interest and support for neuroscience research through initiatives like the Decade of the Brain project and increasingly diverse brain-related initiatives have created new interfaces between neuroscience and society. Against this backdrop of dynamic innovation, we set out to examine how different features of neuroscience are depicted in print media. We used the ‘guided news’ function of the LexisNexis Academic database with keyword searches to find news articles published between 1995 and 2004 in major U.S. and U.K. English-language news sources. We performed searches on headlines, lead paragraphs, and body terms to maximize search yields. All articles were coded for overall tone of coverage, details on reported studies, presence of ethical, legal, and social discussion as well as the emerging interpretations of neuroscience – in the form of neuro-essentialism, neuro-realism, and neuro-policy. We found that print media coverage of the use of neurotechnology for diagnosis or therapy in neuropsychiatric disorders was generally optimistic. We also found that, even within articles that were identified as research reports, many did not provide details about research studies. We also gained additional insights into the previously identified phenomena of neuro-essentialism, neuro-realism, and neuro-policy showing some profound impacts of neuroscience on personal identity and policy-making. Our results highlight the implications of transfer of neuroscience knowledge to society given the substantial and authoritative weight ascribed to neuroscience knowledge in defining who we are. We also discuss the impact of these findings on neuroscience and on the respective contributions of the social sciences and the biological sciences in contemporary psychiatry and mental health policy.","container-title":"Social Science &amp; Medicine","DOI":"10.1016/j.socscimed.2010.05.017","ISSN":"0277-9536","issue":"4","journalAbbreviation":"Social Science &amp; Medicine","language":"en","page":"725-733","source":"ScienceDirect","title":"Contemporary neuroscience in the media","volume":"71","author":[{"family":"Racine","given":"Eric"},{"family":"Waldman","given":"Sarah"},{"family":"Rosenberg","given":"Jarett"},{"family":"Illes","given":"Judy"}],"issued":{"date-parts":[["2010",8,1]]}}},{"id":1567,"uris":["http://zotero.org/users/5273986/items/ZSG8RJSV"],"itemData":{"id":1567,"type":"article-journal","abstract":"When the lay public is asked to prioritize their causal beliefs for a vignette depicting either schizophrenia or depression, psychosocial causes are most popular for depression, but a large proportion of respondents prefers biological causes for schizophrenia. Recognition of the vignette as mental illness enhances the likelihood to endorse brain disease as a cause and reduces choices of certain psychosocial causes.","container-title":"Psychiatry Research","DOI":"10.1016/j.psychres.2006.05.002","ISSN":"0165-1781","issue":"2","journalAbbreviation":"Psychiatry Research","language":"en","page":"233-236","source":"ScienceDirect","title":"Public beliefs about the causes of mental disorders revisited","volume":"144","author":[{"family":"Schomerus","given":"Georg"},{"family":"Matschinger","given":"Herbert"},{"family":"Angermeyer","given":"Matthias C."}],"issued":{"date-parts":[["2006",11,15]]}}}],"schema":"https://github.com/citation-style-language/schema/raw/master/csl-citation.json"} </w:instrText>
      </w:r>
      <w:r w:rsidR="00DC5B62" w:rsidRPr="00606D67">
        <w:rPr>
          <w:color w:val="000000" w:themeColor="text1"/>
        </w:rPr>
        <w:fldChar w:fldCharType="separate"/>
      </w:r>
      <w:r w:rsidR="007570B6" w:rsidRPr="00606D67">
        <w:rPr>
          <w:color w:val="000000" w:themeColor="text1"/>
        </w:rPr>
        <w:t>(Goldstein &amp; Rosselli, 2003; Lebowitz et al., 2013; Miresco &amp; Kirmayer, 2006; Racine et al., 2010; Schomerus et al., 2006)</w:t>
      </w:r>
      <w:r w:rsidR="00DC5B62" w:rsidRPr="00606D67">
        <w:rPr>
          <w:color w:val="000000" w:themeColor="text1"/>
        </w:rPr>
        <w:fldChar w:fldCharType="end"/>
      </w:r>
      <w:r w:rsidRPr="00606D67">
        <w:rPr>
          <w:color w:val="000000" w:themeColor="text1"/>
        </w:rPr>
        <w:t xml:space="preserve">. This phenomenon has also been observed in mental health professionals; even when asked to think of different domains as non-mutually exclusive, professionals’ ratings of biological factors were strongly negatively correlated with other factors </w:t>
      </w:r>
      <w:r w:rsidR="00A50030" w:rsidRPr="00606D67">
        <w:rPr>
          <w:color w:val="000000" w:themeColor="text1"/>
        </w:rPr>
        <w:fldChar w:fldCharType="begin"/>
      </w:r>
      <w:r w:rsidR="00EA2A2F" w:rsidRPr="00606D67">
        <w:rPr>
          <w:color w:val="000000" w:themeColor="text1"/>
        </w:rPr>
        <w:instrText xml:space="preserve"> ADDIN ZOTERO_ITEM CSL_CITATION {"citationID":"CGm6t3lV","properties":{"formattedCitation":"(Ahn et al., 2009)","plainCitation":"(Ahn et al., 2009)","noteIndex":0},"citationItems":[{"id":1518,"uris":["http://zotero.org/users/5273986/items/QGPDLY7P"],"itemData":{"id":1518,"type":"article-journal","abstract":"The current experiments examine mental health clinicians’ beliefs about biological, psychological, and environmental bases of the DSM-IV-TR mental disorders and the consequences of those causal beliefs for judging treatment effectiveness. Study 1 found a large negative correlation between clinicians’ beliefs about biological bases and environmental/psychological bases, suggesting that clinicians conceptualize mental disorders along a single continuum spanning from highly biological disorders (e.g., autistic disorder) to highly nonbiological disorders (e.g., adjustment disorders). Study 2 replicated this finding by having clinicians list what they thought were the specific causes of nine familiar mental disorders and rate their bio–psycho–environmental bases. Study 3 further found that clinicians believe medication to be more effective for biologically based mental disorders and psychotherapy to be more effective for psychosocially based mental disorders. These results demonstrate that even expert mental health clinicians make strong distinctions between psychological and biological phenomena.","container-title":"Cognitive Science","DOI":"10.1111/j.1551-6709.2009.01008.x","ISSN":"1551-6709","issue":"2","language":"en","note":"_eprint: https://onlinelibrary.wiley.com/doi/pdf/10.1111/j.1551-6709.2009.01008.x","page":"147-182","source":"Wiley Online Library","title":"Mental health clinicians’ beliefs about the biological, psychological, and environmental bases of mental disorders","volume":"33","author":[{"family":"Ahn","given":"Woo-kyoung"},{"family":"Proctor","given":"Caroline C."},{"family":"Flanagan","given":"Elizabeth H."}],"issued":{"date-parts":[["2009"]]}},"label":"page"}],"schema":"https://github.com/citation-style-language/schema/raw/master/csl-citation.json"} </w:instrText>
      </w:r>
      <w:r w:rsidR="00A50030" w:rsidRPr="00606D67">
        <w:rPr>
          <w:color w:val="000000" w:themeColor="text1"/>
        </w:rPr>
        <w:fldChar w:fldCharType="separate"/>
      </w:r>
      <w:r w:rsidR="00EA2A2F" w:rsidRPr="00606D67">
        <w:rPr>
          <w:color w:val="000000" w:themeColor="text1"/>
        </w:rPr>
        <w:t>(Ahn et al., 2009)</w:t>
      </w:r>
      <w:r w:rsidR="00A50030" w:rsidRPr="00606D67">
        <w:rPr>
          <w:color w:val="000000" w:themeColor="text1"/>
        </w:rPr>
        <w:fldChar w:fldCharType="end"/>
      </w:r>
      <w:r w:rsidRPr="00606D67">
        <w:rPr>
          <w:color w:val="000000" w:themeColor="text1"/>
        </w:rPr>
        <w:t xml:space="preserve">.  </w:t>
      </w:r>
    </w:p>
    <w:p w14:paraId="1497D959" w14:textId="1CA8DD0A" w:rsidR="00432C87" w:rsidRPr="00606D67" w:rsidRDefault="00432C87" w:rsidP="00432C87">
      <w:pPr>
        <w:rPr>
          <w:color w:val="000000" w:themeColor="text1"/>
        </w:rPr>
      </w:pPr>
      <w:r w:rsidRPr="00606D67">
        <w:rPr>
          <w:color w:val="000000" w:themeColor="text1"/>
        </w:rPr>
        <w:tab/>
        <w:t>A major concern surrounding</w:t>
      </w:r>
      <w:r w:rsidR="0070146E" w:rsidRPr="00606D67">
        <w:rPr>
          <w:color w:val="000000" w:themeColor="text1"/>
        </w:rPr>
        <w:t xml:space="preserve"> the tendency to prioritise biological </w:t>
      </w:r>
      <w:r w:rsidR="00FF09F7" w:rsidRPr="00606D67">
        <w:rPr>
          <w:color w:val="000000" w:themeColor="text1"/>
        </w:rPr>
        <w:t xml:space="preserve">determinants </w:t>
      </w:r>
      <w:r w:rsidR="0070146E" w:rsidRPr="00606D67">
        <w:rPr>
          <w:color w:val="000000" w:themeColor="text1"/>
        </w:rPr>
        <w:t>over social determinants relates</w:t>
      </w:r>
      <w:r w:rsidRPr="00606D67">
        <w:rPr>
          <w:color w:val="000000" w:themeColor="text1"/>
        </w:rPr>
        <w:t xml:space="preserve"> to its public impact. Endorsing biological determinants of mental illness is positive in that it may reduce attributions of blame placed on individuals with mental illness </w:t>
      </w:r>
      <w:r w:rsidR="003135FD" w:rsidRPr="00606D67">
        <w:rPr>
          <w:color w:val="000000" w:themeColor="text1"/>
        </w:rPr>
        <w:fldChar w:fldCharType="begin"/>
      </w:r>
      <w:r w:rsidR="003135FD" w:rsidRPr="00606D67">
        <w:rPr>
          <w:color w:val="000000" w:themeColor="text1"/>
        </w:rPr>
        <w:instrText xml:space="preserve"> ADDIN ZOTERO_ITEM CSL_CITATION {"citationID":"5Jd4FIcE","properties":{"formattedCitation":"(Haslam &amp; Kvaale, 2015; Lebowitz &amp; Appelbaum, 2019)","plainCitation":"(Haslam &amp; Kvaale, 2015; Lebowitz &amp; Appelbaum, 2019)","noteIndex":0},"citationItems":[{"id":387,"uris":["http://zotero.org/users/5273986/items/I6THCY4H"],"itemData":{"id":387,"type":"article-journal","abstract":"Biogenetic explanations of mental disorder are increasingly prominent. However, they have decidedly mixed implications for how affected persons are perceived. We review evidence of these mixed blessings from three perspectives: how people with mental disorders are viewed by the public, by themselves, and by clinicians. Although biogenetic explanations may soften public stigma by diminishing blame, they increase it by inducing pessimism, avoidance, and the belief that affected people are dangerous and unpredictable. These explanations may also induce pessimism and helplessness among affected people and reduce the empathy their treating clinicians feel for them. We interpret these findings in light of social psychology research on essentialist and mechanistic thinking.","container-title":"Current Directions in Psychological Science","DOI":"10.1177/0963721415588082","ISSN":"0963-7214","issue":"5","journalAbbreviation":"Curr Dir Psychol Sci","language":"en","note":"publisher: SAGE Publications Inc","page":"399-404","source":"SAGE Journals","title":"Biogenetic explanations of mental disorder: The mixed-blessings model","title-short":"Biogenetic Explanations of Mental Disorder","volume":"24","author":[{"family":"Haslam","given":"Nick"},{"family":"Kvaale","given":"Erlend P."}],"issued":{"date-parts":[["2015",10,1]]}}},{"id":1140,"uris":["http://zotero.org/users/5273986/items/GN8VEKMP"],"itemData":{"id":1140,"type":"article-journal","abstract":"Mental disorders are increasingly conceptualized as biomedical diseases, explained as manifestations of genetic and neurobiological abnormalities. Here, we discuss changes in the dominant explanatory accounts of psychopathology that have occurred over time and the driving forces behind these shifts, lay out some real-world evidence for the increasing ascendancy of biomedical explanations, and provide an overview of the types of attitudes and beliefs that may be affected by them. We examine theoretical and conceptual models that are relevant to understanding how biomedical conceptualizations might affect attitudes and beliefs about mental disorders, and we review some empirical evidence that bears on this question. Finally, we examine possible strategies for combatting potential negative effects of biomedical explanations and discuss important conclusions and directions for future research.","container-title":"Annual Review of Clinical Psychology","DOI":"10.1146/annurev-clinpsy-050718-095416","issue":"1","note":"_eprint: https://doi.org/10.1146/annurev-clinpsy-050718-095416\nPMID: 30444641","page":"555-577","source":"Annual Reviews","title":"Biomedical explanations of psychopathology and their implications for attitudes and beliefs about mental disorders","volume":"15","author":[{"family":"Lebowitz","given":"Matthew S."},{"family":"Appelbaum","given":"Paul S."}],"issued":{"date-parts":[["2019"]]}}}],"schema":"https://github.com/citation-style-language/schema/raw/master/csl-citation.json"} </w:instrText>
      </w:r>
      <w:r w:rsidR="003135FD" w:rsidRPr="00606D67">
        <w:rPr>
          <w:color w:val="000000" w:themeColor="text1"/>
        </w:rPr>
        <w:fldChar w:fldCharType="separate"/>
      </w:r>
      <w:r w:rsidR="003135FD" w:rsidRPr="00606D67">
        <w:rPr>
          <w:color w:val="000000" w:themeColor="text1"/>
        </w:rPr>
        <w:t>(Haslam &amp; Kvaale, 2015; Lebowitz &amp; Appelbaum, 2019)</w:t>
      </w:r>
      <w:r w:rsidR="003135FD" w:rsidRPr="00606D67">
        <w:rPr>
          <w:color w:val="000000" w:themeColor="text1"/>
        </w:rPr>
        <w:fldChar w:fldCharType="end"/>
      </w:r>
      <w:r w:rsidR="0063764C" w:rsidRPr="00606D67">
        <w:rPr>
          <w:color w:val="000000" w:themeColor="text1"/>
        </w:rPr>
        <w:t xml:space="preserve">. </w:t>
      </w:r>
      <w:r w:rsidRPr="00606D67">
        <w:rPr>
          <w:color w:val="000000" w:themeColor="text1"/>
        </w:rPr>
        <w:t xml:space="preserve">This is overshadowed, however, by the other negative attitudinal consequences of this belief. Extensive meta-analytic evidence has suggested that endorsing biological </w:t>
      </w:r>
      <w:r w:rsidRPr="00606D67">
        <w:rPr>
          <w:color w:val="000000" w:themeColor="text1"/>
        </w:rPr>
        <w:lastRenderedPageBreak/>
        <w:t xml:space="preserve">determinants over social is also associated with lower optimism </w:t>
      </w:r>
      <w:r w:rsidR="00383C7D" w:rsidRPr="00606D67">
        <w:rPr>
          <w:color w:val="000000" w:themeColor="text1"/>
        </w:rPr>
        <w:t xml:space="preserve">about </w:t>
      </w:r>
      <w:r w:rsidRPr="00606D67">
        <w:rPr>
          <w:color w:val="000000" w:themeColor="text1"/>
        </w:rPr>
        <w:t xml:space="preserve">recovery prospects, and greater stigmatising attitudes – namely, </w:t>
      </w:r>
      <w:r w:rsidR="00F65FD0" w:rsidRPr="00606D67">
        <w:rPr>
          <w:color w:val="000000" w:themeColor="text1"/>
        </w:rPr>
        <w:t>biological attributions predict</w:t>
      </w:r>
      <w:r w:rsidRPr="00606D67">
        <w:rPr>
          <w:color w:val="000000" w:themeColor="text1"/>
        </w:rPr>
        <w:t xml:space="preserve"> stronger perceptions of dangerousness, and greater desire to be socially distanced from people with mental illness. This has been observed in members of the public and mental health professionals alike</w:t>
      </w:r>
      <w:r w:rsidR="00363207" w:rsidRPr="00606D67">
        <w:rPr>
          <w:color w:val="000000" w:themeColor="text1"/>
        </w:rPr>
        <w:t xml:space="preserve">, </w:t>
      </w:r>
      <w:r w:rsidR="00B02C07" w:rsidRPr="00606D67">
        <w:rPr>
          <w:color w:val="000000" w:themeColor="text1"/>
        </w:rPr>
        <w:t>using both</w:t>
      </w:r>
      <w:r w:rsidR="00363207" w:rsidRPr="00606D67">
        <w:rPr>
          <w:color w:val="000000" w:themeColor="text1"/>
        </w:rPr>
        <w:t xml:space="preserve"> cross-sectional and experimental </w:t>
      </w:r>
      <w:r w:rsidR="00B02C07" w:rsidRPr="00606D67">
        <w:rPr>
          <w:color w:val="000000" w:themeColor="text1"/>
        </w:rPr>
        <w:t>study designs</w:t>
      </w:r>
      <w:r w:rsidRPr="00606D67">
        <w:rPr>
          <w:color w:val="000000" w:themeColor="text1"/>
        </w:rPr>
        <w:t xml:space="preserve"> </w:t>
      </w:r>
      <w:r w:rsidR="0063764C" w:rsidRPr="00606D67">
        <w:rPr>
          <w:color w:val="000000" w:themeColor="text1"/>
        </w:rPr>
        <w:fldChar w:fldCharType="begin"/>
      </w:r>
      <w:r w:rsidR="0063764C" w:rsidRPr="00606D67">
        <w:rPr>
          <w:color w:val="000000" w:themeColor="text1"/>
        </w:rPr>
        <w:instrText xml:space="preserve"> ADDIN ZOTERO_ITEM CSL_CITATION {"citationID":"rXKPzWUM","properties":{"formattedCitation":"(Haslam &amp; Kvaale, 2015; Larkings &amp; Brown, 2018; Lebowitz &amp; Appelbaum, 2019)","plainCitation":"(Haslam &amp; Kvaale, 2015; Larkings &amp; Brown, 2018; Lebowitz &amp; Appelbaum, 2019)","noteIndex":0},"citationItems":[{"id":387,"uris":["http://zotero.org/users/5273986/items/I6THCY4H"],"itemData":{"id":387,"type":"article-journal","abstract":"Biogenetic explanations of mental disorder are increasingly prominent. However, they have decidedly mixed implications for how affected persons are perceived. We review evidence of these mixed blessings from three perspectives: how people with mental disorders are viewed by the public, by themselves, and by clinicians. Although biogenetic explanations may soften public stigma by diminishing blame, they increase it by inducing pessimism, avoidance, and the belief that affected people are dangerous and unpredictable. These explanations may also induce pessimism and helplessness among affected people and reduce the empathy their treating clinicians feel for them. We interpret these findings in light of social psychology research on essentialist and mechanistic thinking.","container-title":"Current Directions in Psychological Science","DOI":"10.1177/0963721415588082","ISSN":"0963-7214","issue":"5","journalAbbreviation":"Curr Dir Psychol Sci","language":"en","note":"publisher: SAGE Publications Inc","page":"399-404","source":"SAGE Journals","title":"Biogenetic explanations of mental disorder: The mixed-blessings model","title-short":"Biogenetic Explanations of Mental Disorder","volume":"24","author":[{"family":"Haslam","given":"Nick"},{"family":"Kvaale","given":"Erlend P."}],"issued":{"date-parts":[["2015",10,1]]}}},{"id":601,"uris":["http://zotero.org/users/5273986/items/XDIRBPTX"],"itemData":{"id":601,"type":"article-journal","abstract":"Viewing mental illness as an ‘illness like any other’ and promoting biogenetic causes have been explored as a stigma-reduction strategy. The relationship between causal beliefs and mental illness stigma has been researched extensively in the general public, but has gained less attention in more clinically-relevant populations (i.e. people with mental illness and mental health professionals). A systematic review examining whether endorsing biogenetic causes decreases mental illness stigma in people with mental illness and mental health professionals was undertaken using the preferred reporting items for systematic reviews and meta-analyses guidelines. Multiple databases were searched, and studies that explored the relationship between biogenetic causal beliefs and mental illness stigma in people with mental illness or mental health professionals were considered. Studies were included if they focussed on depression, schizophrenia, or mental illness in general, were in English, and had adult participants. The search identified 11 journal articles reporting on 15 studies, which were included in this review. Of these, only two provided evidence that endorsing biogenetic causes was associated with less mental illness stigma in people with mental illness or mental health professionals. The majority of studies in the present review (n = 10) found that biogenetic causal beliefs were associated with increased stigma or negative attitudes towards mental illness. The present review highlights the lack of research exploring the impacts of endorsing biogenetic causes in people with mental illness and mental health professionals. Clinical implications associated with these results are discussed, and suggestions are made for further research that examines the relationship between causal beliefs and treatment variables.","container-title":"International Journal of Mental Health Nursing","DOI":"https://doi.org/10.1111/inm.12390","ISSN":"1447-0349","issue":"3","language":"en","license":"© 2017 Australian College of Mental Health Nurses Inc.","note":"_eprint: https://onlinelibrary.wiley.com/doi/pdf/10.1111/inm.12390","page":"928-941","source":"Wiley Online Library","title":"Do biogenetic causal beliefs reduce mental illness stigma in people with mental illness and in mental health professionals? A systematic review","title-short":"Do biogenetic causal beliefs reduce mental illness stigma in people with mental illness and in mental health professionals?","volume":"27","author":[{"family":"Larkings","given":"Josephine S."},{"family":"Brown","given":"Patricia M."}],"issued":{"date-parts":[["2018"]]}}},{"id":1140,"uris":["http://zotero.org/users/5273986/items/GN8VEKMP"],"itemData":{"id":1140,"type":"article-journal","abstract":"Mental disorders are increasingly conceptualized as biomedical diseases, explained as manifestations of genetic and neurobiological abnormalities. Here, we discuss changes in the dominant explanatory accounts of psychopathology that have occurred over time and the driving forces behind these shifts, lay out some real-world evidence for the increasing ascendancy of biomedical explanations, and provide an overview of the types of attitudes and beliefs that may be affected by them. We examine theoretical and conceptual models that are relevant to understanding how biomedical conceptualizations might affect attitudes and beliefs about mental disorders, and we review some empirical evidence that bears on this question. Finally, we examine possible strategies for combatting potential negative effects of biomedical explanations and discuss important conclusions and directions for future research.","container-title":"Annual Review of Clinical Psychology","DOI":"10.1146/annurev-clinpsy-050718-095416","issue":"1","note":"_eprint: https://doi.org/10.1146/annurev-clinpsy-050718-095416\nPMID: 30444641","page":"555-577","source":"Annual Reviews","title":"Biomedical explanations of psychopathology and their implications for attitudes and beliefs about mental disorders","volume":"15","author":[{"family":"Lebowitz","given":"Matthew S."},{"family":"Appelbaum","given":"Paul S."}],"issued":{"date-parts":[["2019"]]}}}],"schema":"https://github.com/citation-style-language/schema/raw/master/csl-citation.json"} </w:instrText>
      </w:r>
      <w:r w:rsidR="0063764C" w:rsidRPr="00606D67">
        <w:rPr>
          <w:color w:val="000000" w:themeColor="text1"/>
        </w:rPr>
        <w:fldChar w:fldCharType="separate"/>
      </w:r>
      <w:r w:rsidR="0063764C" w:rsidRPr="00606D67">
        <w:rPr>
          <w:color w:val="000000" w:themeColor="text1"/>
        </w:rPr>
        <w:t>(Haslam &amp; Kvaale, 2015; Larkings &amp; Brown, 2018; Lebowitz &amp; Appelbaum, 2019)</w:t>
      </w:r>
      <w:r w:rsidR="0063764C" w:rsidRPr="00606D67">
        <w:rPr>
          <w:color w:val="000000" w:themeColor="text1"/>
        </w:rPr>
        <w:fldChar w:fldCharType="end"/>
      </w:r>
      <w:r w:rsidRPr="00606D67">
        <w:rPr>
          <w:color w:val="000000" w:themeColor="text1"/>
        </w:rPr>
        <w:t>. Such stigma may have serious ramifications for people with mental illness, as social support is a key factor known to aid recovery</w:t>
      </w:r>
      <w:r w:rsidR="00904224" w:rsidRPr="00606D67">
        <w:rPr>
          <w:color w:val="000000" w:themeColor="text1"/>
        </w:rPr>
        <w:t xml:space="preserve"> </w:t>
      </w:r>
      <w:r w:rsidR="002B0F1D" w:rsidRPr="00606D67">
        <w:rPr>
          <w:color w:val="000000" w:themeColor="text1"/>
        </w:rPr>
        <w:fldChar w:fldCharType="begin"/>
      </w:r>
      <w:r w:rsidR="001E497F" w:rsidRPr="00606D67">
        <w:rPr>
          <w:color w:val="000000" w:themeColor="text1"/>
        </w:rPr>
        <w:instrText xml:space="preserve"> ADDIN ZOTERO_ITEM CSL_CITATION {"citationID":"rHOPCwVC","properties":{"formattedCitation":"(Bj\\uc0\\u248{}rlykhaug et al., 2021)","plainCitation":"(Bjørlykhaug et al., 2021)","noteIndex":0},"citationItems":[{"id":1430,"uris":["http://zotero.org/users/5273986/items/25RBBQRX"],"itemData":{"id":1430,"type":"article-journal","abstract":"Several systematic reviews have suggested the linkages between social support and mental health or the use of mental health services in general. There is a need to develop the knowledge on different associations between social support, social work and mental health recovery, and the various features of social support. Inequality in health is a rising problem. Broader integration of social support-orientation in services and policy can play an important role in reducing health inequalities and enhance recovery. In this article we aim to scope existing literature regarding (a) the associations between social support, mental health and recovery, and (b) describe features of community mental health services that incorporate social support. Further, we discuss facilitators and barriers for social work and social support. Advanced searches were conducted in five relevant databases: Social Science Premium Collection, CINAHL, SweMed+, Idunn, and PsychInfo Ovid, and we did a qualitative synthesis of the included papers. Twenty-nine papers met the inclusion criteria in this scope and are organized into two major themes: a) Associations between mental health and social support, and b) Key features of social support-oriented community mental health services.","container-title":"Nordic Social Work Research","DOI":"10.1080/2156857X.2020.1868553","ISSN":"2156-857X","issue":"0","note":"publisher: Routledge\n_eprint: https://doi.org/10.1080/2156857X.2020.1868553","page":"1-32","source":"Taylor and Francis+NEJM","title":"Social support and recovery from mental health problems: a scoping review","title-short":"Social support and recovery from mental health problems","volume":"0","author":[{"family":"Bjørlykhaug","given":"Knut Ivar"},{"family":"Karlsson","given":"Bengt"},{"family":"Hesook","given":"Suzie Kim"},{"family":"Kleppe","given":"Lise C."}],"issued":{"date-parts":[["2021",1,4]]}}}],"schema":"https://github.com/citation-style-language/schema/raw/master/csl-citation.json"} </w:instrText>
      </w:r>
      <w:r w:rsidR="002B0F1D" w:rsidRPr="00606D67">
        <w:rPr>
          <w:color w:val="000000" w:themeColor="text1"/>
        </w:rPr>
        <w:fldChar w:fldCharType="separate"/>
      </w:r>
      <w:r w:rsidR="001E497F" w:rsidRPr="00606D67">
        <w:rPr>
          <w:color w:val="000000" w:themeColor="text1"/>
        </w:rPr>
        <w:t>(Bjørlykhaug et al., 2021)</w:t>
      </w:r>
      <w:r w:rsidR="002B0F1D" w:rsidRPr="00606D67">
        <w:rPr>
          <w:color w:val="000000" w:themeColor="text1"/>
        </w:rPr>
        <w:fldChar w:fldCharType="end"/>
      </w:r>
      <w:r w:rsidRPr="00606D67">
        <w:rPr>
          <w:color w:val="000000" w:themeColor="text1"/>
        </w:rPr>
        <w:t xml:space="preserve">. Moreover, stigma may lead to difficulty accessing basic facilities such as housing </w:t>
      </w:r>
      <w:r w:rsidR="00CA295C" w:rsidRPr="00606D67">
        <w:rPr>
          <w:color w:val="000000" w:themeColor="text1"/>
        </w:rPr>
        <w:fldChar w:fldCharType="begin"/>
      </w:r>
      <w:r w:rsidR="00CA295C" w:rsidRPr="00606D67">
        <w:rPr>
          <w:color w:val="000000" w:themeColor="text1"/>
        </w:rPr>
        <w:instrText xml:space="preserve"> ADDIN ZOTERO_ITEM CSL_CITATION {"citationID":"vDzOtwXC","properties":{"formattedCitation":"(Mejia-Lancheros et al., 2021)","plainCitation":"(Mejia-Lancheros et al., 2021)","noteIndex":0},"citationItems":[{"id":1435,"uris":["http://zotero.org/users/5273986/items/WDQIZIKP"],"itemData":{"id":1435,"type":"article-journal","abstract":"Rationale\nStigma and discrimination are negatively associated with social and health status. People who are homeless often experience systemic stigma and discrimination.\nObjective\nIn this study, we analyze the longitudinal interrelationships between the trajectories of housing (housing stability) and well-being outcomes (i.e., recovery, quality of life, and community functioning) and the trajectories of discrimination and stigma in a sample of adults with mental illness and recent experiences of homelessness in Toronto, Canada. We also examined the effect of the Housing First (HF) intervention on these interrelationships.\nMethod\nThe Group-Based Trajectory Model was used to estimate the interrelationship (or intersections) between discrimination and stigma with housing stability, recovery, quality of life, and community functioning in 274 participants of the At Home/Chez Soi, phase 2, Toronto site randomized trial over a two-year follow-up period.\nResults\nThree distinct trajectory groups were observed for discrimination (Low,Moderate decrease, and moderate increase), stigma (Low, Moderate, and High), recovery (Low, Moderate, and High), and the quality of life (Low, Moderate, and High). Two-trajectory groups (Low and High) were identified for housing stability and community functioning. The analyses showed that the trajectory groups for discrimination and stigma are strongly and contemporaneously interrelated with thetrajectory groups for housing stability, recovery, quality of life, and community functioning ability. The HF intervention had a mitigating effect on the changes across select trajectory groups, particularly for members of the Low and High discrimination and stigma trajectories group.\nConclusion\nPersistent mental health-related discrimination and stigma trajectories are longitudinally and contemporaneously interrelated with housing and well-being outcomes in persons experiencing mental illness and recent homelessness. These findings indicate the need for interventions and actions to reduce stigma toward thispopulation. Such interventions may improve housing stability, quality of life, mental health recovery, and community functioning.","container-title":"Social Science &amp; Medicine","DOI":"10.1016/j.socscimed.2020.113463","ISSN":"0277-9536","journalAbbreviation":"Social Science &amp; Medicine","language":"en","page":"113463","source":"ScienceDirect","title":"Longitudinal interrelationships of mental health discrimination and stigma with housing and well-being outcomes in adults with mental illness and recent experience of homelessness","volume":"268","author":[{"family":"Mejia-Lancheros","given":"Cilia"},{"family":"Lachaud","given":"James"},{"family":"Woodhall-Melnik","given":"Julia"},{"family":"O'Campo","given":"Patricia"},{"family":"Hwang","given":"Stephen W."},{"family":"Stergiopoulos","given":"Vicky"}],"issued":{"date-parts":[["2021",1,1]]}}}],"schema":"https://github.com/citation-style-language/schema/raw/master/csl-citation.json"} </w:instrText>
      </w:r>
      <w:r w:rsidR="00CA295C" w:rsidRPr="00606D67">
        <w:rPr>
          <w:color w:val="000000" w:themeColor="text1"/>
        </w:rPr>
        <w:fldChar w:fldCharType="separate"/>
      </w:r>
      <w:r w:rsidR="00CA295C" w:rsidRPr="00606D67">
        <w:rPr>
          <w:color w:val="000000" w:themeColor="text1"/>
        </w:rPr>
        <w:t>(Mejia-Lancheros et al., 2021)</w:t>
      </w:r>
      <w:r w:rsidR="00CA295C" w:rsidRPr="00606D67">
        <w:rPr>
          <w:color w:val="000000" w:themeColor="text1"/>
        </w:rPr>
        <w:fldChar w:fldCharType="end"/>
      </w:r>
      <w:r w:rsidRPr="00606D67">
        <w:rPr>
          <w:color w:val="000000" w:themeColor="text1"/>
        </w:rPr>
        <w:t xml:space="preserve">, employment </w:t>
      </w:r>
      <w:r w:rsidR="007908D0" w:rsidRPr="00606D67">
        <w:rPr>
          <w:color w:val="000000" w:themeColor="text1"/>
        </w:rPr>
        <w:fldChar w:fldCharType="begin"/>
      </w:r>
      <w:r w:rsidR="007908D0" w:rsidRPr="00606D67">
        <w:rPr>
          <w:color w:val="000000" w:themeColor="text1"/>
        </w:rPr>
        <w:instrText xml:space="preserve"> ADDIN ZOTERO_ITEM CSL_CITATION {"citationID":"6BUvJgCp","properties":{"formattedCitation":"(Brouwers, 2020)","plainCitation":"(Brouwers, 2020)","noteIndex":0},"citationItems":[{"id":1433,"uris":["http://zotero.org/users/5273986/items/QENTRMY7"],"itemData":{"id":1433,"type":"article-journal","abstract":"As yet, little is known about the effects of mental health stigma on sustainable employment. This is surprising, as mental health stigma is common, and because people with severe and common mental disorders are 7 and 3 times more likely to be unemployed, respectively, than people with no disorders. As the global lifetime prevalence of mental disorders is 29%, the high unemployment rates of people with these health problems constitute an important and urgent public health inequality problem that needs to be addressed.","container-title":"BMC Psychology","DOI":"10.1186/s40359-020-00399-0","ISSN":"2050-7283","issue":"1","journalAbbreviation":"BMC Psychol","language":"en","page":"36","source":"Springer Link","title":"Social stigma is an underestimated contributing factor to unemployment in people with mental illness or mental health issues: position paper and future directions","title-short":"Social stigma is an underestimated contributing factor to unemployment in people with mental illness or mental health issues","volume":"8","author":[{"family":"Brouwers","given":"Evelien P. M."}],"issued":{"date-parts":[["2020",4,21]]}}}],"schema":"https://github.com/citation-style-language/schema/raw/master/csl-citation.json"} </w:instrText>
      </w:r>
      <w:r w:rsidR="007908D0" w:rsidRPr="00606D67">
        <w:rPr>
          <w:color w:val="000000" w:themeColor="text1"/>
        </w:rPr>
        <w:fldChar w:fldCharType="separate"/>
      </w:r>
      <w:r w:rsidR="007908D0" w:rsidRPr="00606D67">
        <w:rPr>
          <w:color w:val="000000" w:themeColor="text1"/>
        </w:rPr>
        <w:t>(Brouwers, 2020)</w:t>
      </w:r>
      <w:r w:rsidR="007908D0" w:rsidRPr="00606D67">
        <w:rPr>
          <w:color w:val="000000" w:themeColor="text1"/>
        </w:rPr>
        <w:fldChar w:fldCharType="end"/>
      </w:r>
      <w:r w:rsidRPr="00606D67">
        <w:rPr>
          <w:color w:val="000000" w:themeColor="text1"/>
        </w:rPr>
        <w:t xml:space="preserve"> and healthcare </w:t>
      </w:r>
      <w:r w:rsidR="00A24C12" w:rsidRPr="00606D67">
        <w:rPr>
          <w:color w:val="000000" w:themeColor="text1"/>
        </w:rPr>
        <w:fldChar w:fldCharType="begin"/>
      </w:r>
      <w:r w:rsidR="00A24C12" w:rsidRPr="00606D67">
        <w:rPr>
          <w:color w:val="000000" w:themeColor="text1"/>
        </w:rPr>
        <w:instrText xml:space="preserve"> ADDIN ZOTERO_ITEM CSL_CITATION {"citationID":"49MBb5nX","properties":{"formattedCitation":"(Knaak et al., 2017)","plainCitation":"(Knaak et al., 2017)","noteIndex":0},"citationItems":[{"id":1437,"uris":["http://zotero.org/users/5273986/items/IELI68NW"],"itemData":{"id":1437,"type":"article-journal","abstract":"Mental illness-related stigma, including that which exists in the healthcare system and among healthcare providers, creates serious barriers to access and quality care. It is also a major concern for healthcare practitioners themselves, both as a workplace culture issue and as a barrier for help seeking. This article provides an overview of the main barriers to access and quality care created by stigmatization in healthcare, a consideration of contributing factors, and a summary of Canadian-based research into promising practices and approaches to combatting stigma in healthcare environments.","container-title":"Healthcare Management Forum","DOI":"10.1177/0840470416679413","ISSN":"0840-4704","issue":"2","journalAbbreviation":"Healthc Manage Forum","language":"en","note":"publisher: SAGE Publications Inc","page":"111-116","source":"SAGE Journals","title":"Mental illness-related stigma in healthcare: Barriers to access and care and evidence-based solutions","title-short":"Mental illness-related stigma in healthcare","volume":"30","author":[{"family":"Knaak","given":"Stephanie"},{"family":"Mantler","given":"Ed"},{"family":"Szeto","given":"Andrew"}],"issued":{"date-parts":[["2017",3,1]]}}}],"schema":"https://github.com/citation-style-language/schema/raw/master/csl-citation.json"} </w:instrText>
      </w:r>
      <w:r w:rsidR="00A24C12" w:rsidRPr="00606D67">
        <w:rPr>
          <w:color w:val="000000" w:themeColor="text1"/>
        </w:rPr>
        <w:fldChar w:fldCharType="separate"/>
      </w:r>
      <w:r w:rsidR="00A24C12" w:rsidRPr="00606D67">
        <w:rPr>
          <w:color w:val="000000" w:themeColor="text1"/>
        </w:rPr>
        <w:t>(Knaak et al., 2017)</w:t>
      </w:r>
      <w:r w:rsidR="00A24C12" w:rsidRPr="00606D67">
        <w:rPr>
          <w:color w:val="000000" w:themeColor="text1"/>
        </w:rPr>
        <w:fldChar w:fldCharType="end"/>
      </w:r>
      <w:r w:rsidRPr="00606D67">
        <w:rPr>
          <w:color w:val="000000" w:themeColor="text1"/>
        </w:rPr>
        <w:t xml:space="preserve">, further exacerbating social inequalities. Low optimism around recovery prospects may also have major implications for those with mental illness, as it may lead to lower willingness to seek treatment </w:t>
      </w:r>
      <w:r w:rsidR="00A24C12" w:rsidRPr="00606D67">
        <w:rPr>
          <w:color w:val="000000" w:themeColor="text1"/>
        </w:rPr>
        <w:fldChar w:fldCharType="begin"/>
      </w:r>
      <w:r w:rsidR="00A24C12" w:rsidRPr="00606D67">
        <w:rPr>
          <w:color w:val="000000" w:themeColor="text1"/>
        </w:rPr>
        <w:instrText xml:space="preserve"> ADDIN ZOTERO_ITEM CSL_CITATION {"citationID":"MluOwsuO","properties":{"formattedCitation":"(Haslam &amp; Kvaale, 2015; Lebowitz &amp; Appelbaum, 2019)","plainCitation":"(Haslam &amp; Kvaale, 2015; Lebowitz &amp; Appelbaum, 2019)","noteIndex":0},"citationItems":[{"id":387,"uris":["http://zotero.org/users/5273986/items/I6THCY4H"],"itemData":{"id":387,"type":"article-journal","abstract":"Biogenetic explanations of mental disorder are increasingly prominent. However, they have decidedly mixed implications for how affected persons are perceived. We review evidence of these mixed blessings from three perspectives: how people with mental disorders are viewed by the public, by themselves, and by clinicians. Although biogenetic explanations may soften public stigma by diminishing blame, they increase it by inducing pessimism, avoidance, and the belief that affected people are dangerous and unpredictable. These explanations may also induce pessimism and helplessness among affected people and reduce the empathy their treating clinicians feel for them. We interpret these findings in light of social psychology research on essentialist and mechanistic thinking.","container-title":"Current Directions in Psychological Science","DOI":"10.1177/0963721415588082","ISSN":"0963-7214","issue":"5","journalAbbreviation":"Curr Dir Psychol Sci","language":"en","note":"publisher: SAGE Publications Inc","page":"399-404","source":"SAGE Journals","title":"Biogenetic explanations of mental disorder: The mixed-blessings model","title-short":"Biogenetic Explanations of Mental Disorder","volume":"24","author":[{"family":"Haslam","given":"Nick"},{"family":"Kvaale","given":"Erlend P."}],"issued":{"date-parts":[["2015",10,1]]}}},{"id":1140,"uris":["http://zotero.org/users/5273986/items/GN8VEKMP"],"itemData":{"id":1140,"type":"article-journal","abstract":"Mental disorders are increasingly conceptualized as biomedical diseases, explained as manifestations of genetic and neurobiological abnormalities. Here, we discuss changes in the dominant explanatory accounts of psychopathology that have occurred over time and the driving forces behind these shifts, lay out some real-world evidence for the increasing ascendancy of biomedical explanations, and provide an overview of the types of attitudes and beliefs that may be affected by them. We examine theoretical and conceptual models that are relevant to understanding how biomedical conceptualizations might affect attitudes and beliefs about mental disorders, and we review some empirical evidence that bears on this question. Finally, we examine possible strategies for combatting potential negative effects of biomedical explanations and discuss important conclusions and directions for future research.","container-title":"Annual Review of Clinical Psychology","DOI":"10.1146/annurev-clinpsy-050718-095416","issue":"1","note":"_eprint: https://doi.org/10.1146/annurev-clinpsy-050718-095416\nPMID: 30444641","page":"555-577","source":"Annual Reviews","title":"Biomedical explanations of psychopathology and their implications for attitudes and beliefs about mental disorders","volume":"15","author":[{"family":"Lebowitz","given":"Matthew S."},{"family":"Appelbaum","given":"Paul S."}],"issued":{"date-parts":[["2019"]]}}}],"schema":"https://github.com/citation-style-language/schema/raw/master/csl-citation.json"} </w:instrText>
      </w:r>
      <w:r w:rsidR="00A24C12" w:rsidRPr="00606D67">
        <w:rPr>
          <w:color w:val="000000" w:themeColor="text1"/>
        </w:rPr>
        <w:fldChar w:fldCharType="separate"/>
      </w:r>
      <w:r w:rsidR="00A24C12" w:rsidRPr="00606D67">
        <w:rPr>
          <w:color w:val="000000" w:themeColor="text1"/>
        </w:rPr>
        <w:t>(Haslam &amp; Kvaale, 2015; Lebowitz &amp; Appelbaum, 2019)</w:t>
      </w:r>
      <w:r w:rsidR="00A24C12" w:rsidRPr="00606D67">
        <w:rPr>
          <w:color w:val="000000" w:themeColor="text1"/>
        </w:rPr>
        <w:fldChar w:fldCharType="end"/>
      </w:r>
      <w:r w:rsidRPr="00606D67">
        <w:rPr>
          <w:color w:val="000000" w:themeColor="text1"/>
        </w:rPr>
        <w:t>.</w:t>
      </w:r>
    </w:p>
    <w:p w14:paraId="457749B6" w14:textId="68DEFFF4" w:rsidR="00C11050" w:rsidRPr="00606D67" w:rsidRDefault="00432C87" w:rsidP="008C097F">
      <w:pPr>
        <w:ind w:firstLine="720"/>
        <w:rPr>
          <w:color w:val="000000" w:themeColor="text1"/>
        </w:rPr>
      </w:pPr>
      <w:r w:rsidRPr="00606D67">
        <w:rPr>
          <w:color w:val="000000" w:themeColor="text1"/>
        </w:rPr>
        <w:t>Mental health professionals’ beliefs about the determinants of mental illness may also impact the type and quality of care that patients receive</w:t>
      </w:r>
      <w:r w:rsidR="001B4BA2" w:rsidRPr="00606D67">
        <w:rPr>
          <w:color w:val="000000" w:themeColor="text1"/>
        </w:rPr>
        <w:t xml:space="preserve"> </w:t>
      </w:r>
      <w:r w:rsidR="0007793A" w:rsidRPr="00606D67">
        <w:rPr>
          <w:color w:val="000000" w:themeColor="text1"/>
        </w:rPr>
        <w:fldChar w:fldCharType="begin"/>
      </w:r>
      <w:r w:rsidR="0007793A" w:rsidRPr="00606D67">
        <w:rPr>
          <w:color w:val="000000" w:themeColor="text1"/>
        </w:rPr>
        <w:instrText xml:space="preserve"> ADDIN ZOTERO_ITEM CSL_CITATION {"citationID":"HNHlqQig","properties":{"formattedCitation":"(Thornicroft, 2008)","plainCitation":"(Thornicroft, 2008)","noteIndex":0},"citationItems":[{"id":1560,"uris":["http://zotero.org/users/5273986/items/SDQCYUZI"],"itemData":{"id":1560,"type":"article-journal","abstract":"This editorial provides an overview of how far access to mental health care is limited by perceptions of stigma and anticipated discrimination. Globally over 70% of young people and adults with mental illness receive no treatment from healthcare staff. The rates of non-treatment are far higher in low income countries. Evidence from some descriptive studies and epidemiological surveys suggest that potent factors increasing the likelihood of treatment avoidance, or long delays before presenting for care include: (i) lack of knowledge about the features and treatability of mental illnesses; (ii) ignorance about how to access assessment and treatment; (iii) prejudice against people who have mental illness, and (iv) expectations of discrimination against people who have a diagnosis of mental illness. The associations between low rates of help seeking, and stigma and discrimination are as yet poorly understood and require more careful characterisation and analysis, providing the platform for more effective action to ensure that a greater proportion of people with mental illness are effectively treated in future.","container-title":"Epidemiology and Psychiatric Sciences","DOI":"10.1017/S1121189X00002621","ISSN":"2038-1816, 1121-189X","issue":"1","language":"en","note":"publisher: Cambridge University Press","page":"14-19","source":"Cambridge University Press","title":"Stigma and discrimination limit access to mental health care","volume":"17","author":[{"family":"Thornicroft","given":"Graham"}],"issued":{"date-parts":[["2008",3]]}}}],"schema":"https://github.com/citation-style-language/schema/raw/master/csl-citation.json"} </w:instrText>
      </w:r>
      <w:r w:rsidR="0007793A" w:rsidRPr="00606D67">
        <w:rPr>
          <w:color w:val="000000" w:themeColor="text1"/>
        </w:rPr>
        <w:fldChar w:fldCharType="separate"/>
      </w:r>
      <w:r w:rsidR="0007793A" w:rsidRPr="00606D67">
        <w:rPr>
          <w:color w:val="000000" w:themeColor="text1"/>
        </w:rPr>
        <w:t>(Thornicroft, 2008)</w:t>
      </w:r>
      <w:r w:rsidR="0007793A" w:rsidRPr="00606D67">
        <w:rPr>
          <w:color w:val="000000" w:themeColor="text1"/>
        </w:rPr>
        <w:fldChar w:fldCharType="end"/>
      </w:r>
      <w:r w:rsidRPr="00606D67">
        <w:rPr>
          <w:color w:val="000000" w:themeColor="text1"/>
        </w:rPr>
        <w:t>.</w:t>
      </w:r>
      <w:r w:rsidR="00DF31A5" w:rsidRPr="00606D67">
        <w:rPr>
          <w:color w:val="000000" w:themeColor="text1"/>
        </w:rPr>
        <w:t xml:space="preserve"> </w:t>
      </w:r>
      <w:r w:rsidR="00F125B6" w:rsidRPr="00606D67">
        <w:rPr>
          <w:color w:val="000000" w:themeColor="text1"/>
        </w:rPr>
        <w:t>M</w:t>
      </w:r>
      <w:r w:rsidR="00DF31A5" w:rsidRPr="00606D67">
        <w:rPr>
          <w:color w:val="000000" w:themeColor="text1"/>
        </w:rPr>
        <w:t xml:space="preserve">ental health professionals </w:t>
      </w:r>
      <w:r w:rsidR="00FF34F8" w:rsidRPr="00606D67">
        <w:rPr>
          <w:color w:val="000000" w:themeColor="text1"/>
        </w:rPr>
        <w:t>who</w:t>
      </w:r>
      <w:r w:rsidR="00DF31A5" w:rsidRPr="00606D67">
        <w:rPr>
          <w:color w:val="000000" w:themeColor="text1"/>
        </w:rPr>
        <w:t xml:space="preserve"> believe mental illness is biologically determined are more likely to endorse medication over psychotherapy </w:t>
      </w:r>
      <w:r w:rsidR="00973BA4" w:rsidRPr="00606D67">
        <w:rPr>
          <w:color w:val="000000" w:themeColor="text1"/>
        </w:rPr>
        <w:fldChar w:fldCharType="begin"/>
      </w:r>
      <w:r w:rsidR="00973BA4" w:rsidRPr="00606D67">
        <w:rPr>
          <w:color w:val="000000" w:themeColor="text1"/>
        </w:rPr>
        <w:instrText xml:space="preserve"> ADDIN ZOTERO_ITEM CSL_CITATION {"citationID":"yZ69YXHY","properties":{"formattedCitation":"(Angermeyer &amp; Schomerus, 2017; Lebowitz &amp; Ahn, 2014)","plainCitation":"(Angermeyer &amp; Schomerus, 2017; Lebowitz &amp; Ahn, 2014)","noteIndex":0},"citationItems":[{"id":1569,"uris":["http://zotero.org/users/5273986/items/AQ4VYCH8"],"itemData":{"id":1569,"type":"article-journal","abstract":"Aims.Population surveys have become a frequently used method to explore stigma, help-seeking and illness beliefs related to mental illness. Methodological quality however differs greatly between studies, and our current knowledge seems heavily biased towards high-income countries. A critical appraisal of advances and shortcomings of psychiatric attitude research is missing. This review summarises and appraises the state of the art in population-based attitude research on mental health.Methods.Systematic review of all peer-reviewed papers reporting representative population studies on beliefs and attitudes about mental disorders published between January 2005 and December 2014 (n = 478).Results.Over the decade covered by this review considerably more papers on psychiatric attitude research have been published than over the whole time period before. Most papers originated in Europe (36.3%), North America (23.2%) and Australia (22.6%), only 14.6% of all papers included data from low- or middle income countries. The vast majority of papers (80.1%) used correlational cross-sectional analyses, only 4% used experimental or quasi-experimental designs. Data in 45.9% of all papers were obtained with face-to-face interviews, followed by telephone (34.5%), mail (7.3%) and online surveys (4.0%). In almost half of papers (44.6%) case-vignettes served as stimulus for eliciting responses from interviewees. In 20.7% instruments meeting established psychometric criteria were used. The most frequently studied disorder was depression (44.6% of all paper), followed by schizophrenia (33%). 11.7% of papers reported time trend analyses of attitudes and beliefs, 7.5% cross-cultural comparisons. The most common focus of research was on mental health literacy (in total 63.4% of all papers, followed by various forms of stigma (48.3%).There was a scarcity of papers (12.1%) based on established theoretical frameworks.Conclusions.In the current boom of attitude research, an avant-garde of studies uses profound and innovative methodology, but there are still blind spots and a large proportion of conventional studies. We discuss current and future methodological challenges that psychiatric attitude research needs to embrace. More innovative and methodologically sound studies are needed to provide an empirical basis for evidence-based interventions aimed at reducing misconceptions about mental disorders and improve attitudes towards those afflicted.","container-title":"Epidemiology and Psychiatric Sciences","DOI":"10.1017/S2045796016000627","ISSN":"2045-7960, 2045-7979","issue":"3","language":"en","note":"publisher: Cambridge University Press","page":"252-264","source":"Cambridge University Press","title":"State of the art of population-based attitude research on mental health: a systematic review","title-short":"State of the art of population-based attitude research on mental health","volume":"26","author":[{"family":"Angermeyer","given":"M. C."},{"family":"Schomerus","given":"G."}],"issued":{"date-parts":[["2017",6]]}}},{"id":787,"uris":["http://zotero.org/users/5273986/items/MJ4MX8WX"],"itemData":{"id":787,"type":"article-journal","abstract":"Mental disorders are increasingly understood in terms of biological mechanisms. We examined how such biological explanations of patients’ symptoms would affect mental health clinicians’ empathy—a crucial component of the relationship between treatment-providers and patients—as well as their clinical judgments and recommendations. In a series of studies, US clinicians read descriptions of potential patients whose symptoms were explained using either biological or psychosocial information. Biological explanations have been thought to make patients appear less accountable for their disorders, which could increase clinicians’ empathy. To the contrary, biological explanations evoked significantly less empathy. These results are consistent with other research and theory that has suggested that biological accounts of psychopathology can exacerbate perceptions of patients as abnormal, distinct from the rest of the population, meriting social exclusion, and even less than fully human. Although the ongoing shift toward biomedical conceptualizations has many benefits, our results reveal unintended negative consequences.","container-title":"Proceedings of the National Academy of Sciences","DOI":"10.1073/pnas.1414058111","ISSN":"0027-8424, 1091-6490","issue":"50","journalAbbreviation":"PNAS","language":"en","note":"publisher: National Academy of Sciences\nsection: Social Sciences\nPMID: 25453068","page":"17786-17790","source":"www.pnas.org","title":"Effects of biological explanations for mental disorders on clinicians’ empathy","volume":"111","author":[{"family":"Lebowitz","given":"Matthew S."},{"family":"Ahn","given":"Woo-kyoung"}],"issued":{"date-parts":[["2014",12,16]]}}}],"schema":"https://github.com/citation-style-language/schema/raw/master/csl-citation.json"} </w:instrText>
      </w:r>
      <w:r w:rsidR="00973BA4" w:rsidRPr="00606D67">
        <w:rPr>
          <w:color w:val="000000" w:themeColor="text1"/>
        </w:rPr>
        <w:fldChar w:fldCharType="separate"/>
      </w:r>
      <w:r w:rsidR="00973BA4" w:rsidRPr="00606D67">
        <w:rPr>
          <w:color w:val="000000" w:themeColor="text1"/>
        </w:rPr>
        <w:t>(Angermeyer &amp; Schomerus, 2017; Lebowitz &amp; Ahn, 2014)</w:t>
      </w:r>
      <w:r w:rsidR="00973BA4" w:rsidRPr="00606D67">
        <w:rPr>
          <w:color w:val="000000" w:themeColor="text1"/>
        </w:rPr>
        <w:fldChar w:fldCharType="end"/>
      </w:r>
      <w:r w:rsidR="00DF31A5" w:rsidRPr="00606D67">
        <w:rPr>
          <w:color w:val="000000" w:themeColor="text1"/>
        </w:rPr>
        <w:t>.</w:t>
      </w:r>
      <w:r w:rsidR="008C6ED0" w:rsidRPr="00606D67">
        <w:rPr>
          <w:color w:val="000000" w:themeColor="text1"/>
        </w:rPr>
        <w:t xml:space="preserve"> </w:t>
      </w:r>
      <w:proofErr w:type="spellStart"/>
      <w:r w:rsidR="008C6ED0" w:rsidRPr="00606D67">
        <w:rPr>
          <w:color w:val="000000" w:themeColor="text1"/>
        </w:rPr>
        <w:t>Lebowitz</w:t>
      </w:r>
      <w:proofErr w:type="spellEnd"/>
      <w:r w:rsidR="008C6ED0" w:rsidRPr="00606D67">
        <w:rPr>
          <w:color w:val="000000" w:themeColor="text1"/>
        </w:rPr>
        <w:t xml:space="preserve"> and Ahn</w:t>
      </w:r>
      <w:r w:rsidR="00C11050" w:rsidRPr="00606D67">
        <w:rPr>
          <w:color w:val="000000" w:themeColor="text1"/>
        </w:rPr>
        <w:t xml:space="preserve"> </w:t>
      </w:r>
      <w:r w:rsidR="00973BA4" w:rsidRPr="00606D67">
        <w:rPr>
          <w:color w:val="000000" w:themeColor="text1"/>
        </w:rPr>
        <w:fldChar w:fldCharType="begin"/>
      </w:r>
      <w:r w:rsidR="008C6ED0" w:rsidRPr="00606D67">
        <w:rPr>
          <w:color w:val="000000" w:themeColor="text1"/>
        </w:rPr>
        <w:instrText xml:space="preserve"> ADDIN ZOTERO_ITEM CSL_CITATION {"citationID":"gQYa3aFG","properties":{"formattedCitation":"(2014)","plainCitation":"(2014)","noteIndex":0},"citationItems":[{"id":787,"uris":["http://zotero.org/users/5273986/items/MJ4MX8WX"],"itemData":{"id":787,"type":"article-journal","abstract":"Mental disorders are increasingly understood in terms of biological mechanisms. We examined how such biological explanations of patients’ symptoms would affect mental health clinicians’ empathy—a crucial component of the relationship between treatment-providers and patients—as well as their clinical judgments and recommendations. In a series of studies, US clinicians read descriptions of potential patients whose symptoms were explained using either biological or psychosocial information. Biological explanations have been thought to make patients appear less accountable for their disorders, which could increase clinicians’ empathy. To the contrary, biological explanations evoked significantly less empathy. These results are consistent with other research and theory that has suggested that biological accounts of psychopathology can exacerbate perceptions of patients as abnormal, distinct from the rest of the population, meriting social exclusion, and even less than fully human. Although the ongoing shift toward biomedical conceptualizations has many benefits, our results reveal unintended negative consequences.","container-title":"Proceedings of the National Academy of Sciences","DOI":"10.1073/pnas.1414058111","ISSN":"0027-8424, 1091-6490","issue":"50","journalAbbreviation":"PNAS","language":"en","note":"publisher: National Academy of Sciences\nsection: Social Sciences\nPMID: 25453068","page":"17786-17790","source":"www.pnas.org","title":"Effects of biological explanations for mental disorders on clinicians’ empathy","volume":"111","author":[{"family":"Lebowitz","given":"Matthew S."},{"family":"Ahn","given":"Woo-kyoung"}],"issued":{"date-parts":[["2014",12,16]]}},"label":"page","suppress-author":true}],"schema":"https://github.com/citation-style-language/schema/raw/master/csl-citation.json"} </w:instrText>
      </w:r>
      <w:r w:rsidR="00973BA4" w:rsidRPr="00606D67">
        <w:rPr>
          <w:color w:val="000000" w:themeColor="text1"/>
        </w:rPr>
        <w:fldChar w:fldCharType="separate"/>
      </w:r>
      <w:r w:rsidR="008C6ED0" w:rsidRPr="00606D67">
        <w:rPr>
          <w:color w:val="000000" w:themeColor="text1"/>
        </w:rPr>
        <w:t>(2014)</w:t>
      </w:r>
      <w:r w:rsidR="00973BA4" w:rsidRPr="00606D67">
        <w:rPr>
          <w:color w:val="000000" w:themeColor="text1"/>
        </w:rPr>
        <w:fldChar w:fldCharType="end"/>
      </w:r>
      <w:r w:rsidR="00922A01" w:rsidRPr="00606D67">
        <w:rPr>
          <w:color w:val="000000" w:themeColor="text1"/>
        </w:rPr>
        <w:t xml:space="preserve"> </w:t>
      </w:r>
      <w:r w:rsidR="00C82DCA" w:rsidRPr="00606D67">
        <w:rPr>
          <w:color w:val="000000" w:themeColor="text1"/>
        </w:rPr>
        <w:t xml:space="preserve">also </w:t>
      </w:r>
      <w:r w:rsidR="00F125B6" w:rsidRPr="00606D67">
        <w:rPr>
          <w:color w:val="000000" w:themeColor="text1"/>
        </w:rPr>
        <w:t>found that mental health professionals showed less empathy for clients when their mental illness diagnosis was described as being biologically determined than when it was described as being socially determined.</w:t>
      </w:r>
      <w:r w:rsidR="00D91B9D" w:rsidRPr="00606D67">
        <w:rPr>
          <w:color w:val="000000" w:themeColor="text1"/>
        </w:rPr>
        <w:t xml:space="preserve"> Empathy is an important component of mental healthcare; </w:t>
      </w:r>
      <w:r w:rsidR="00220CE0" w:rsidRPr="00606D67">
        <w:rPr>
          <w:color w:val="000000" w:themeColor="text1"/>
        </w:rPr>
        <w:t xml:space="preserve">research has shown that </w:t>
      </w:r>
      <w:r w:rsidR="00D91B9D" w:rsidRPr="00606D67">
        <w:rPr>
          <w:color w:val="000000" w:themeColor="text1"/>
        </w:rPr>
        <w:t xml:space="preserve">nurses who </w:t>
      </w:r>
      <w:r w:rsidR="002F7EBA" w:rsidRPr="00606D67">
        <w:rPr>
          <w:color w:val="000000" w:themeColor="text1"/>
        </w:rPr>
        <w:t xml:space="preserve">approach their patients with empathy have shown to </w:t>
      </w:r>
      <w:r w:rsidR="00FC59D3" w:rsidRPr="00606D67">
        <w:rPr>
          <w:color w:val="000000" w:themeColor="text1"/>
        </w:rPr>
        <w:t>facilitate more positive outcomes</w:t>
      </w:r>
      <w:r w:rsidR="00687F87" w:rsidRPr="00606D67">
        <w:rPr>
          <w:color w:val="000000" w:themeColor="text1"/>
        </w:rPr>
        <w:t xml:space="preserve"> </w:t>
      </w:r>
      <w:r w:rsidR="00922A01" w:rsidRPr="00606D67">
        <w:rPr>
          <w:color w:val="000000" w:themeColor="text1"/>
        </w:rPr>
        <w:fldChar w:fldCharType="begin"/>
      </w:r>
      <w:r w:rsidR="00922A01" w:rsidRPr="00606D67">
        <w:rPr>
          <w:color w:val="000000" w:themeColor="text1"/>
        </w:rPr>
        <w:instrText xml:space="preserve"> ADDIN ZOTERO_ITEM CSL_CITATION {"citationID":"RlqgDOLT","properties":{"formattedCitation":"(Reynolds &amp; Scott, 2000)","plainCitation":"(Reynolds &amp; Scott, 2000)","noteIndex":0},"citationItems":[{"id":1563,"uris":["http://zotero.org/users/5273986/items/QA27JJAX"],"itemData":{"id":1563,"type":"article-journal","abstract":"Do nurses and other professional helpers normally display much empathy? Empathy, the ability to perceive and reason, as well as the ability to communicate understanding of the other person’s feelings and their attached meanings, is held to be a core characteristic of a helping relationship. This paper examines some of the observations that motivated the authors’ interest in how registered nurses learn how to offer empathy to clients. First, while empathy is crucial to all helping relationships, professional helpers do not normally offer much empathy. Second, while nurses are meant to provide helping relationships, they do not tend to show much empathy to clients. The relevance of empathy to clinical nursing and the potential consequences of low-empathy nursing for clients is considered. It will be shown that, in the past, a low level of empathy has been reported among the helping professions, including nursing, indicating that many professional helpers are not as helpful as they ought to be. While most studies of empathy in professional relationships are more than a decade old, more recent studies report similar results.","container-title":"Journal of Advanced Nursing","DOI":"10.1046/j.1365-2648.2000.01242.x","ISSN":"1365-2648","issue":"1","language":"en","note":"_eprint: https://onlinelibrary.wiley.com/doi/pdf/10.1046/j.1365-2648.2000.01242.x","page":"226-234","source":"Wiley Online Library","title":"Do nurses and other professional helpers normally display much empathy?","volume":"31","author":[{"family":"Reynolds","given":"William J."},{"family":"Scott","given":"Brian"}],"issued":{"date-parts":[["2000"]]}}}],"schema":"https://github.com/citation-style-language/schema/raw/master/csl-citation.json"} </w:instrText>
      </w:r>
      <w:r w:rsidR="00922A01" w:rsidRPr="00606D67">
        <w:rPr>
          <w:color w:val="000000" w:themeColor="text1"/>
        </w:rPr>
        <w:fldChar w:fldCharType="separate"/>
      </w:r>
      <w:r w:rsidR="00922A01" w:rsidRPr="00606D67">
        <w:rPr>
          <w:color w:val="000000" w:themeColor="text1"/>
        </w:rPr>
        <w:t>(Reynolds &amp; Scott, 2000)</w:t>
      </w:r>
      <w:r w:rsidR="00922A01" w:rsidRPr="00606D67">
        <w:rPr>
          <w:color w:val="000000" w:themeColor="text1"/>
        </w:rPr>
        <w:fldChar w:fldCharType="end"/>
      </w:r>
      <w:r w:rsidR="00EB43F7" w:rsidRPr="00606D67">
        <w:rPr>
          <w:color w:val="000000" w:themeColor="text1"/>
        </w:rPr>
        <w:t>.</w:t>
      </w:r>
      <w:r w:rsidR="00687F87" w:rsidRPr="00606D67">
        <w:rPr>
          <w:color w:val="000000" w:themeColor="text1"/>
        </w:rPr>
        <w:t xml:space="preserve"> Empathy is also a key factor of psychotherapeutic success, </w:t>
      </w:r>
      <w:r w:rsidR="00EB43F7" w:rsidRPr="00606D67">
        <w:rPr>
          <w:color w:val="000000" w:themeColor="text1"/>
        </w:rPr>
        <w:t>as</w:t>
      </w:r>
      <w:r w:rsidR="00687F87" w:rsidRPr="00606D67">
        <w:rPr>
          <w:color w:val="000000" w:themeColor="text1"/>
        </w:rPr>
        <w:t xml:space="preserve"> lack of empathy may undermine or harm the therapeutic </w:t>
      </w:r>
      <w:r w:rsidR="00687F87" w:rsidRPr="00606D67">
        <w:rPr>
          <w:color w:val="000000" w:themeColor="text1"/>
        </w:rPr>
        <w:lastRenderedPageBreak/>
        <w:t xml:space="preserve">alliance, which in turn can impede recovery </w:t>
      </w:r>
      <w:r w:rsidR="00922A01" w:rsidRPr="00606D67">
        <w:rPr>
          <w:color w:val="000000" w:themeColor="text1"/>
        </w:rPr>
        <w:fldChar w:fldCharType="begin"/>
      </w:r>
      <w:r w:rsidR="00922A01" w:rsidRPr="00606D67">
        <w:rPr>
          <w:color w:val="000000" w:themeColor="text1"/>
        </w:rPr>
        <w:instrText xml:space="preserve"> ADDIN ZOTERO_ITEM CSL_CITATION {"citationID":"QLwrpreX","properties":{"formattedCitation":"(Watson, 2016)","plainCitation":"(Watson, 2016)","noteIndex":0},"citationItems":[{"id":1495,"uris":["http://zotero.org/users/5273986/items/2NTXTJA6"],"itemData":{"id":1495,"type":"chapter","abstract":"Research has consistently demonstrated that therapist empathy is one of the most potent predictors of client progress in psychotherapy across every therapeutic modality (Constantino et al., 2008; Elliott, Bohart, Watson, &amp; Greenberg, 2011; Norcross &amp; Lambert, 2011a, 2011b; Norcross &amp; Wampold, 2011; Sandage &amp; Worthington, 2010; Watson &amp; Watson, 2010). However, although empathy is seen as the bedrock of psychotherapy, its power is often underestimated and not well understood. There are numerous working definitions of empathy, including those from developmental science and social psychology, as well as from the psychotherapy literature (Gibbons, 2011; Singer, 2006; Watson, 2007). Rogers (1951/1965) defined empathy as the ability to perceive accurately the internal frames of reference of others. His definition highlights empathy as both an emotional and a cognitive process. In this regard, he was careful to distinguish identification from empathy, seeing the former as indicating a loss of boundaries otherwise conceptualized as emotional contagion. Rogers (1959, 1975) and Kohut (1971, 1977) used the term to describe a way of being with others to promote healing in psychotherapy. This usage drew on the meaning of the word that emphasized the capacity to understand the experiences, thoughts, and feelings of another. Numerous theorists have seen empathy as a basic relationship skill that is required to understand others at even the most basic level Barrett-Lennard (1993) posited a model of empathy as an active, cyclical process characterized by three phases: empathic resonance, empathic communication, and perceived or received empathy. In the first phase, therapists resonate to their clients’ experiences using information from their own bodily reactions and inner experience to understand how their clients are feeling moment to moment and to understand the significance and meaning of events for them. In the second phase, therapists communicate their understanding to their clients, and in the third phase, clients apprehend and receive their therapists’ empathy to feel understood (Watson, 2007). Bohart and Greenberg (1997), in their review of empathy, differentiated among three types of empathy: person, affective, and cognitive. Person empathy is an understanding of the whole person in situ. It requires an understanding of what clients have experienced, including their histories and life stories, to acquire a holistic understanding of who they are and how they developed. Affective empathy refers to being attuned to the affective experience of others as revealed by their body language and narratives to understand clearly the impact and significance of events for them. Cognitive empathy is the capacity to understand and make sense of clients’ narratives. According to neuroscientists, empathy is a “complex form of psychological inference that enables us to understand the personal experiences of another person through cognitive, evaluative and affective processes” (Danziger, Prkachin, &amp; Willer, 2006, p. 2494). (PsycInfo Database Record (c) 2020 APA, all rights reserved)","container-title":"Humanistic psychotherapies: Handbook of research and practice, 2nd ed","event-place":"Washington, DC, US","ISBN":"978-1-4338-2077-9","note":"DOI: 10.1037/14775-005","page":"115-145","publisher":"American Psychological Association","publisher-place":"Washington, DC, US","source":"APA PsycNet","title":"The role of empathy in psychotherapy: Theory, research, and practice","title-short":"The role of empathy in psychotherapy","author":[{"family":"Watson","given":"Jeanne C."}],"issued":{"date-parts":[["2016"]]}}}],"schema":"https://github.com/citation-style-language/schema/raw/master/csl-citation.json"} </w:instrText>
      </w:r>
      <w:r w:rsidR="00922A01" w:rsidRPr="00606D67">
        <w:rPr>
          <w:color w:val="000000" w:themeColor="text1"/>
        </w:rPr>
        <w:fldChar w:fldCharType="separate"/>
      </w:r>
      <w:r w:rsidR="00922A01" w:rsidRPr="00606D67">
        <w:rPr>
          <w:color w:val="000000" w:themeColor="text1"/>
        </w:rPr>
        <w:t>(Watson, 2016)</w:t>
      </w:r>
      <w:r w:rsidR="00922A01" w:rsidRPr="00606D67">
        <w:rPr>
          <w:color w:val="000000" w:themeColor="text1"/>
        </w:rPr>
        <w:fldChar w:fldCharType="end"/>
      </w:r>
      <w:r w:rsidR="00687F87" w:rsidRPr="00606D67">
        <w:rPr>
          <w:color w:val="000000" w:themeColor="text1"/>
        </w:rPr>
        <w:t xml:space="preserve">. Mental health </w:t>
      </w:r>
      <w:r w:rsidR="00220CE0" w:rsidRPr="00606D67">
        <w:rPr>
          <w:color w:val="000000" w:themeColor="text1"/>
        </w:rPr>
        <w:t>professionals</w:t>
      </w:r>
      <w:r w:rsidR="00687F87" w:rsidRPr="00606D67">
        <w:rPr>
          <w:color w:val="000000" w:themeColor="text1"/>
        </w:rPr>
        <w:t xml:space="preserve"> should thus be aware of the </w:t>
      </w:r>
      <w:r w:rsidR="000A45D3" w:rsidRPr="00606D67">
        <w:rPr>
          <w:color w:val="000000" w:themeColor="text1"/>
        </w:rPr>
        <w:t>implications</w:t>
      </w:r>
      <w:r w:rsidR="00687F87" w:rsidRPr="00606D67">
        <w:rPr>
          <w:color w:val="000000" w:themeColor="text1"/>
        </w:rPr>
        <w:t xml:space="preserve"> of their own beliefs about the determinants of mental illness</w:t>
      </w:r>
      <w:r w:rsidR="000462DF" w:rsidRPr="00606D67">
        <w:rPr>
          <w:color w:val="000000" w:themeColor="text1"/>
        </w:rPr>
        <w:t xml:space="preserve">. </w:t>
      </w:r>
    </w:p>
    <w:p w14:paraId="72348CBA" w14:textId="5ECA593D" w:rsidR="00FF6CE8" w:rsidRPr="00606D67" w:rsidRDefault="00432C87" w:rsidP="00743EBA">
      <w:pPr>
        <w:pStyle w:val="Heading2"/>
        <w:rPr>
          <w:color w:val="000000" w:themeColor="text1"/>
        </w:rPr>
      </w:pPr>
      <w:r w:rsidRPr="00606D67">
        <w:rPr>
          <w:color w:val="000000" w:themeColor="text1"/>
        </w:rPr>
        <w:t xml:space="preserve">The Present Study </w:t>
      </w:r>
      <w:r w:rsidR="00BF71D4" w:rsidRPr="00606D67">
        <w:rPr>
          <w:color w:val="000000" w:themeColor="text1"/>
        </w:rPr>
        <w:t xml:space="preserve">  </w:t>
      </w:r>
    </w:p>
    <w:p w14:paraId="006DA8E3" w14:textId="10E55DAC" w:rsidR="00BF71D4" w:rsidRPr="00606D67" w:rsidRDefault="008414F4" w:rsidP="00067C23">
      <w:pPr>
        <w:rPr>
          <w:color w:val="000000" w:themeColor="text1"/>
        </w:rPr>
      </w:pPr>
      <w:proofErr w:type="gramStart"/>
      <w:r w:rsidRPr="00606D67">
        <w:rPr>
          <w:color w:val="000000" w:themeColor="text1"/>
        </w:rPr>
        <w:t>In light of</w:t>
      </w:r>
      <w:proofErr w:type="gramEnd"/>
      <w:r w:rsidRPr="00606D67">
        <w:rPr>
          <w:color w:val="000000" w:themeColor="text1"/>
        </w:rPr>
        <w:t xml:space="preserve"> evidence of the negative implications related to the overuse of biological explanations of mental illness, there is an imperative need to gain insight into </w:t>
      </w:r>
      <w:r w:rsidR="00EB4DAE" w:rsidRPr="00606D67">
        <w:rPr>
          <w:color w:val="000000" w:themeColor="text1"/>
        </w:rPr>
        <w:t>the</w:t>
      </w:r>
      <w:r w:rsidR="00D55EDD" w:rsidRPr="00606D67">
        <w:rPr>
          <w:color w:val="000000" w:themeColor="text1"/>
        </w:rPr>
        <w:t xml:space="preserve"> diverse array of social determinants of mental illness</w:t>
      </w:r>
      <w:r w:rsidR="001B5E00" w:rsidRPr="00606D67">
        <w:rPr>
          <w:color w:val="000000" w:themeColor="text1"/>
        </w:rPr>
        <w:t xml:space="preserve">. </w:t>
      </w:r>
      <w:r w:rsidR="004F0F0F" w:rsidRPr="00606D67">
        <w:rPr>
          <w:color w:val="000000" w:themeColor="text1"/>
        </w:rPr>
        <w:t>Despite their significance, social determinants seem to have been neglected by dominant mental illness narratives</w:t>
      </w:r>
      <w:r w:rsidR="00F27BE9" w:rsidRPr="00606D67">
        <w:rPr>
          <w:color w:val="000000" w:themeColor="text1"/>
        </w:rPr>
        <w:t xml:space="preserve">. </w:t>
      </w:r>
      <w:r w:rsidRPr="00606D67">
        <w:rPr>
          <w:color w:val="000000" w:themeColor="text1"/>
        </w:rPr>
        <w:t>Thus, the present rapid literature review of reviews aims to provide an overview and synthesis of existing evidence of the social determinants of mental illness, with the goal</w:t>
      </w:r>
      <w:r w:rsidR="00F20B06" w:rsidRPr="00606D67">
        <w:rPr>
          <w:color w:val="000000" w:themeColor="text1"/>
        </w:rPr>
        <w:t>s</w:t>
      </w:r>
      <w:r w:rsidRPr="00606D67">
        <w:rPr>
          <w:color w:val="000000" w:themeColor="text1"/>
        </w:rPr>
        <w:t xml:space="preserve"> of </w:t>
      </w:r>
      <w:r w:rsidR="00D37B9A" w:rsidRPr="00606D67">
        <w:rPr>
          <w:color w:val="000000" w:themeColor="text1"/>
        </w:rPr>
        <w:t xml:space="preserve">both </w:t>
      </w:r>
      <w:r w:rsidR="00472450" w:rsidRPr="00606D67">
        <w:rPr>
          <w:color w:val="000000" w:themeColor="text1"/>
        </w:rPr>
        <w:t xml:space="preserve">raising awareness of </w:t>
      </w:r>
      <w:r w:rsidR="00B0488B" w:rsidRPr="00606D67">
        <w:rPr>
          <w:color w:val="000000" w:themeColor="text1"/>
        </w:rPr>
        <w:t xml:space="preserve">their </w:t>
      </w:r>
      <w:r w:rsidR="00F20B06" w:rsidRPr="00606D67">
        <w:rPr>
          <w:color w:val="000000" w:themeColor="text1"/>
        </w:rPr>
        <w:t xml:space="preserve">significance </w:t>
      </w:r>
      <w:r w:rsidR="00D37B9A" w:rsidRPr="00606D67">
        <w:rPr>
          <w:color w:val="000000" w:themeColor="text1"/>
        </w:rPr>
        <w:t>and</w:t>
      </w:r>
      <w:r w:rsidR="00472450" w:rsidRPr="00606D67">
        <w:rPr>
          <w:color w:val="000000" w:themeColor="text1"/>
        </w:rPr>
        <w:t xml:space="preserve"> reveal</w:t>
      </w:r>
      <w:r w:rsidR="00D37B9A" w:rsidRPr="00606D67">
        <w:rPr>
          <w:color w:val="000000" w:themeColor="text1"/>
        </w:rPr>
        <w:t>ing</w:t>
      </w:r>
      <w:r w:rsidR="00472450" w:rsidRPr="00606D67">
        <w:rPr>
          <w:color w:val="000000" w:themeColor="text1"/>
        </w:rPr>
        <w:t xml:space="preserve"> potential avenues for future research. </w:t>
      </w:r>
      <w:r w:rsidR="00F20B06" w:rsidRPr="00606D67">
        <w:rPr>
          <w:color w:val="000000" w:themeColor="text1"/>
        </w:rPr>
        <w:t xml:space="preserve">Prevailing definitions for social determinants in the existing literature are often vague or incomprehensive, and as such, the present review will seek to reveal which social determinants have been explored in previous research. </w:t>
      </w:r>
      <w:r w:rsidRPr="00606D67">
        <w:rPr>
          <w:color w:val="000000" w:themeColor="text1"/>
        </w:rPr>
        <w:t xml:space="preserve">In this review, </w:t>
      </w:r>
      <w:r w:rsidR="00F20B06" w:rsidRPr="00606D67">
        <w:rPr>
          <w:color w:val="000000" w:themeColor="text1"/>
        </w:rPr>
        <w:t>social determinant is defined any aspect of one’s environment, relationships or lifestyle that impacts mental health/illness. For instance, it does not include biological processes, genetics, cognitive factors, behavioural factors, or physical illness. M</w:t>
      </w:r>
      <w:r w:rsidR="00D559E2" w:rsidRPr="00606D67">
        <w:rPr>
          <w:color w:val="000000" w:themeColor="text1"/>
        </w:rPr>
        <w:t>ental illness is defined as any mental illness</w:t>
      </w:r>
      <w:r w:rsidR="00FB633B" w:rsidRPr="00606D67">
        <w:rPr>
          <w:color w:val="000000" w:themeColor="text1"/>
        </w:rPr>
        <w:t>-</w:t>
      </w:r>
      <w:r w:rsidR="00D559E2" w:rsidRPr="00606D67">
        <w:rPr>
          <w:color w:val="000000" w:themeColor="text1"/>
        </w:rPr>
        <w:t xml:space="preserve">related symptoms or diagnoses, and excludes neurodevelopmental disorders, substance use, suicide, quality of life and resilience. </w:t>
      </w:r>
      <w:r w:rsidRPr="00606D67">
        <w:rPr>
          <w:color w:val="000000" w:themeColor="text1"/>
        </w:rPr>
        <w:t xml:space="preserve">The research question </w:t>
      </w:r>
      <w:r w:rsidR="008A2F3D" w:rsidRPr="00606D67">
        <w:rPr>
          <w:color w:val="000000" w:themeColor="text1"/>
        </w:rPr>
        <w:t>guiding</w:t>
      </w:r>
      <w:r w:rsidRPr="00606D67">
        <w:rPr>
          <w:color w:val="000000" w:themeColor="text1"/>
        </w:rPr>
        <w:t xml:space="preserve"> this review is, “what are the social determinants of mental illness?”. </w:t>
      </w:r>
    </w:p>
    <w:p w14:paraId="0F14773D" w14:textId="770FD1FC" w:rsidR="008414F4" w:rsidRPr="00606D67" w:rsidRDefault="008414F4" w:rsidP="00C76AC1">
      <w:pPr>
        <w:pStyle w:val="Heading1"/>
        <w:rPr>
          <w:color w:val="000000" w:themeColor="text1"/>
        </w:rPr>
      </w:pPr>
      <w:r w:rsidRPr="00606D67">
        <w:rPr>
          <w:color w:val="000000" w:themeColor="text1"/>
        </w:rPr>
        <w:lastRenderedPageBreak/>
        <w:t xml:space="preserve">Methods </w:t>
      </w:r>
    </w:p>
    <w:p w14:paraId="34F797F3" w14:textId="5BDC37FB" w:rsidR="008414F4" w:rsidRPr="00606D67" w:rsidRDefault="008414F4" w:rsidP="00C76AC1">
      <w:pPr>
        <w:pStyle w:val="Heading2"/>
        <w:rPr>
          <w:color w:val="000000" w:themeColor="text1"/>
        </w:rPr>
      </w:pPr>
      <w:r w:rsidRPr="00606D67">
        <w:rPr>
          <w:color w:val="000000" w:themeColor="text1"/>
        </w:rPr>
        <w:t xml:space="preserve">Design </w:t>
      </w:r>
    </w:p>
    <w:p w14:paraId="6F7B6453" w14:textId="2016258B" w:rsidR="00C76AC1" w:rsidRPr="00606D67" w:rsidRDefault="00C76AC1" w:rsidP="00C76AC1">
      <w:pPr>
        <w:rPr>
          <w:color w:val="000000" w:themeColor="text1"/>
        </w:rPr>
      </w:pPr>
      <w:r w:rsidRPr="00606D67">
        <w:rPr>
          <w:color w:val="000000" w:themeColor="text1"/>
        </w:rPr>
        <w:t xml:space="preserve">The current literature contains an extensive body of research on the social determinants of mental illness. Conducting a review of systematic reviews holds the advantage of gathering this vast scientific literature in one place </w:t>
      </w:r>
      <w:r w:rsidR="00111F1F" w:rsidRPr="00606D67">
        <w:rPr>
          <w:color w:val="000000" w:themeColor="text1"/>
        </w:rPr>
        <w:fldChar w:fldCharType="begin"/>
      </w:r>
      <w:r w:rsidR="00111F1F" w:rsidRPr="00606D67">
        <w:rPr>
          <w:color w:val="000000" w:themeColor="text1"/>
        </w:rPr>
        <w:instrText xml:space="preserve"> ADDIN ZOTERO_ITEM CSL_CITATION {"citationID":"9B9mRt2i","properties":{"formattedCitation":"(Smith et al., 2011)","plainCitation":"(Smith et al., 2011)","noteIndex":0},"citationItems":[{"id":1521,"uris":["http://zotero.org/users/5273986/items/MGKSFHE7"],"itemData":{"id":1521,"type":"article-journal","abstract":"Hundreds of studies of maternity care interventions have been published, too many for most people involved in providing maternity care to identify and consider when making decisions. It became apparent that systematic reviews of individual studies were required to appraise, summarise and bring together existing studies in a single place. However, decision makers are increasingly faced by a plethora of such reviews and these are likely to be of variable quality and scope, with more than one review of important topics. Systematic reviews (or overviews) of reviews are a logical and appropriate next step, allowing the findings of separate reviews to be compared and contrasted, providing clinical decision makers with the evidence they need.","container-title":"BMC Medical Research Methodology","DOI":"10.1186/1471-2288-11-15","ISSN":"1471-2288","issue":"1","journalAbbreviation":"BMC Medical Research Methodology","page":"15","source":"BioMed Central","title":"Methodology in conducting a systematic review of systematic reviews of healthcare interventions","volume":"11","author":[{"family":"Smith","given":"Valerie"},{"family":"Devane","given":"Declan"},{"family":"Begley","given":"Cecily M."},{"family":"Clarke","given":"Mike"}],"issued":{"date-parts":[["2011",2,3]]}}}],"schema":"https://github.com/citation-style-language/schema/raw/master/csl-citation.json"} </w:instrText>
      </w:r>
      <w:r w:rsidR="00111F1F" w:rsidRPr="00606D67">
        <w:rPr>
          <w:color w:val="000000" w:themeColor="text1"/>
        </w:rPr>
        <w:fldChar w:fldCharType="separate"/>
      </w:r>
      <w:r w:rsidR="00111F1F" w:rsidRPr="00606D67">
        <w:rPr>
          <w:color w:val="000000" w:themeColor="text1"/>
        </w:rPr>
        <w:t>(Smith et al., 2011)</w:t>
      </w:r>
      <w:r w:rsidR="00111F1F" w:rsidRPr="00606D67">
        <w:rPr>
          <w:color w:val="000000" w:themeColor="text1"/>
        </w:rPr>
        <w:fldChar w:fldCharType="end"/>
      </w:r>
      <w:r w:rsidRPr="00606D67">
        <w:rPr>
          <w:color w:val="000000" w:themeColor="text1"/>
        </w:rPr>
        <w:t xml:space="preserve">. To our knowledge, only one review of systematic reviews has been conducted previously </w:t>
      </w:r>
      <w:r w:rsidR="00E714CA" w:rsidRPr="00606D67">
        <w:rPr>
          <w:color w:val="000000" w:themeColor="text1"/>
        </w:rPr>
        <w:fldChar w:fldCharType="begin"/>
      </w:r>
      <w:r w:rsidR="00E714CA" w:rsidRPr="00606D67">
        <w:rPr>
          <w:color w:val="000000" w:themeColor="text1"/>
        </w:rPr>
        <w:instrText xml:space="preserve"> ADDIN ZOTERO_ITEM CSL_CITATION {"citationID":"rXLEClyd","properties":{"formattedCitation":"(Lund et al., 2018)","plainCitation":"(Lund et al., 2018)","noteIndex":0},"citationItems":[{"id":1394,"uris":["http://zotero.org/users/5273986/items/NG2WJEIQ"],"itemData":{"id":1394,"type":"article-journal","abstract":"Mental health has been included in the UN Sustainable Development Goals. However, uncertainty exists about the extent to which the major social determinants of mental disorders are addressed by these goals. The aim of this study was to develop a conceptual framework for the social determinants of mental disorders that is aligned with the Sustainable Development Goals, to use this framework to systematically review evidence regarding these social determinants, and to identify potential mechanisms and targets for interventions. We did a systematic review of reviews using a conceptual framework comprising demographic, economic, neighbourhood, environmental events, and social and culture domains. We included 289 articles in the final Review. This study sheds new light on how the Sustainable Development Goals are relevant for addressing the social determinants of mental disorders, and how these goals could be optimised to prevent mental disorders.","container-title":"The Lancet Psychiatry","DOI":"10.1016/S2215-0366(18)30060-9","ISSN":"2215-0366","issue":"4","journalAbbreviation":"The Lancet Psychiatry","language":"en","page":"357-369","source":"ScienceDirect","title":"Social determinants of mental disorders and the Sustainable Development Goals: a systematic review of reviews","title-short":"Social determinants of mental disorders and the Sustainable Development Goals","volume":"5","author":[{"family":"Lund","given":"Crick"},{"family":"Brooke-Sumner","given":"Carrie"},{"family":"Baingana","given":"Florence"},{"family":"Baron","given":"Emily Claire"},{"family":"Breuer","given":"Erica"},{"family":"Chandra","given":"Prabha"},{"family":"Haushofer","given":"Johannes"},{"family":"Herrman","given":"Helen"},{"family":"Jordans","given":"Mark"},{"family":"Kieling","given":"Christian"},{"family":"Medina-Mora","given":"Maria Elena"},{"family":"Morgan","given":"Ellen"},{"family":"Omigbodun","given":"Olayinka"},{"family":"Tol","given":"Wietse"},{"family":"Patel","given":"Vikram"},{"family":"Saxena","given":"Shekhar"}],"issued":{"date-parts":[["2018",4,1]]}}}],"schema":"https://github.com/citation-style-language/schema/raw/master/csl-citation.json"} </w:instrText>
      </w:r>
      <w:r w:rsidR="00E714CA" w:rsidRPr="00606D67">
        <w:rPr>
          <w:color w:val="000000" w:themeColor="text1"/>
        </w:rPr>
        <w:fldChar w:fldCharType="separate"/>
      </w:r>
      <w:r w:rsidR="00E714CA" w:rsidRPr="00606D67">
        <w:rPr>
          <w:color w:val="000000" w:themeColor="text1"/>
        </w:rPr>
        <w:t>(Lund et al., 2018)</w:t>
      </w:r>
      <w:r w:rsidR="00E714CA" w:rsidRPr="00606D67">
        <w:rPr>
          <w:color w:val="000000" w:themeColor="text1"/>
        </w:rPr>
        <w:fldChar w:fldCharType="end"/>
      </w:r>
      <w:r w:rsidRPr="00606D67">
        <w:rPr>
          <w:color w:val="000000" w:themeColor="text1"/>
        </w:rPr>
        <w:t xml:space="preserve">, which used the sustainable development goals </w:t>
      </w:r>
      <w:r w:rsidR="007A7009" w:rsidRPr="00606D67">
        <w:rPr>
          <w:color w:val="000000" w:themeColor="text1"/>
        </w:rPr>
        <w:fldChar w:fldCharType="begin"/>
      </w:r>
      <w:r w:rsidR="00845551" w:rsidRPr="00606D67">
        <w:rPr>
          <w:color w:val="000000" w:themeColor="text1"/>
        </w:rPr>
        <w:instrText xml:space="preserve"> ADDIN ZOTERO_ITEM CSL_CITATION {"citationID":"HyeT3N1h","properties":{"formattedCitation":"(UN General Assembly, 2015)","plainCitation":"(UN General Assembly, 2015)","noteIndex":0},"citationItems":[{"id":1572,"uris":["http://zotero.org/users/5273986/items/8ETFN4W6"],"itemData":{"id":1572,"type":"document","title":"Resolution adopted by the general assembly on 25 September 2015. Transforming our world: the 2030 agenda for sustainable development.","URL":"http://www.un.org/ga/search/view_doc.asp?symbol=A/RES/70/1&amp;Lang=E","author":[{"family":"UN General Assembly","given":""}],"issued":{"date-parts":[["2015"]]}}}],"schema":"https://github.com/citation-style-language/schema/raw/master/csl-citation.json"} </w:instrText>
      </w:r>
      <w:r w:rsidR="007A7009" w:rsidRPr="00606D67">
        <w:rPr>
          <w:color w:val="000000" w:themeColor="text1"/>
        </w:rPr>
        <w:fldChar w:fldCharType="separate"/>
      </w:r>
      <w:r w:rsidR="007A7009" w:rsidRPr="00606D67">
        <w:rPr>
          <w:color w:val="000000" w:themeColor="text1"/>
        </w:rPr>
        <w:t>(UN General Assembly, 2015)</w:t>
      </w:r>
      <w:r w:rsidR="007A7009" w:rsidRPr="00606D67">
        <w:rPr>
          <w:color w:val="000000" w:themeColor="text1"/>
        </w:rPr>
        <w:fldChar w:fldCharType="end"/>
      </w:r>
      <w:r w:rsidRPr="00606D67">
        <w:rPr>
          <w:color w:val="000000" w:themeColor="text1"/>
        </w:rPr>
        <w:t xml:space="preserve"> as a conceptual framework for their search strategy. No previous review of reviews, however, ha</w:t>
      </w:r>
      <w:r w:rsidR="00254D3D" w:rsidRPr="00606D67">
        <w:rPr>
          <w:color w:val="000000" w:themeColor="text1"/>
        </w:rPr>
        <w:t>s</w:t>
      </w:r>
      <w:r w:rsidRPr="00606D67">
        <w:rPr>
          <w:color w:val="000000" w:themeColor="text1"/>
        </w:rPr>
        <w:t xml:space="preserve"> used an exploratory search approach.</w:t>
      </w:r>
      <w:r w:rsidR="000269C0" w:rsidRPr="00606D67">
        <w:rPr>
          <w:color w:val="000000" w:themeColor="text1"/>
        </w:rPr>
        <w:t xml:space="preserve"> Thus,</w:t>
      </w:r>
      <w:r w:rsidRPr="00606D67">
        <w:rPr>
          <w:color w:val="000000" w:themeColor="text1"/>
        </w:rPr>
        <w:t xml:space="preserve"> </w:t>
      </w:r>
      <w:r w:rsidR="000269C0" w:rsidRPr="00606D67">
        <w:rPr>
          <w:color w:val="000000" w:themeColor="text1"/>
        </w:rPr>
        <w:t xml:space="preserve">the </w:t>
      </w:r>
      <w:r w:rsidRPr="00606D67">
        <w:rPr>
          <w:color w:val="000000" w:themeColor="text1"/>
        </w:rPr>
        <w:t xml:space="preserve">aim of the current review is to address existing gaps and paint a more holistic picture of the known social determinants of mental illness. Guidelines of the Preferred Reporting Items for Systematic Reviews and Meta-Analyses (PRISMA) protocol were applied </w:t>
      </w:r>
      <w:r w:rsidR="00F2602E" w:rsidRPr="00606D67">
        <w:rPr>
          <w:color w:val="000000" w:themeColor="text1"/>
        </w:rPr>
        <w:fldChar w:fldCharType="begin"/>
      </w:r>
      <w:r w:rsidR="00F2602E" w:rsidRPr="00606D67">
        <w:rPr>
          <w:color w:val="000000" w:themeColor="text1"/>
        </w:rPr>
        <w:instrText xml:space="preserve"> ADDIN ZOTERO_ITEM CSL_CITATION {"citationID":"kAUi5sZV","properties":{"formattedCitation":"(Page et al., 2021)","plainCitation":"(Page et al., 2021)","noteIndex":0},"citationItems":[{"id":1524,"uris":["http://zotero.org/users/5273986/items/36RGDLLQ"],"itemData":{"id":1524,"type":"article-journal","container-title":"Systematic Reviews","DOI":"10.1186/s13643-021-01626-4","ISSN":"2046-4053","issue":"1","journalAbbreviation":"Systematic Reviews","page":"89","source":"BioMed Central","title":"The PRISMA 2020 statement: an updated guideline for reporting systematic reviews","title-short":"The PRISMA 2020 statement","volume":"10","author":[{"family":"Page","given":"Matthew J."},{"family":"McKenzie","given":"Joanne E."},{"family":"Bossuyt","given":"Patrick M."},{"family":"Boutron","given":"Isabelle"},{"family":"Hoffmann","given":"Tammy C."},{"family":"Mulrow","given":"Cynthia D."},{"family":"Shamseer","given":"Larissa"},{"family":"Tetzlaff","given":"Jennifer M."},{"family":"Akl","given":"Elie A."},{"family":"Brennan","given":"Sue E."},{"family":"Chou","given":"Roger"},{"family":"Glanville","given":"Julie"},{"family":"Grimshaw","given":"Jeremy M."},{"family":"Hróbjartsson","given":"Asbjørn"},{"family":"Lalu","given":"Manoj M."},{"family":"Li","given":"Tianjing"},{"family":"Loder","given":"Elizabeth W."},{"family":"Mayo-Wilson","given":"Evan"},{"family":"McDonald","given":"Steve"},{"family":"McGuinness","given":"Luke A."},{"family":"Stewart","given":"Lesley A."},{"family":"Thomas","given":"James"},{"family":"Tricco","given":"Andrea C."},{"family":"Welch","given":"Vivian A."},{"family":"Whiting","given":"Penny"},{"family":"Moher","given":"David"}],"issued":{"date-parts":[["2021",3,29]]}}}],"schema":"https://github.com/citation-style-language/schema/raw/master/csl-citation.json"} </w:instrText>
      </w:r>
      <w:r w:rsidR="00F2602E" w:rsidRPr="00606D67">
        <w:rPr>
          <w:color w:val="000000" w:themeColor="text1"/>
        </w:rPr>
        <w:fldChar w:fldCharType="separate"/>
      </w:r>
      <w:r w:rsidR="00F2602E" w:rsidRPr="00606D67">
        <w:rPr>
          <w:color w:val="000000" w:themeColor="text1"/>
        </w:rPr>
        <w:t>(Page et al., 2021)</w:t>
      </w:r>
      <w:r w:rsidR="00F2602E" w:rsidRPr="00606D67">
        <w:rPr>
          <w:color w:val="000000" w:themeColor="text1"/>
        </w:rPr>
        <w:fldChar w:fldCharType="end"/>
      </w:r>
      <w:r w:rsidRPr="00606D67">
        <w:rPr>
          <w:color w:val="000000" w:themeColor="text1"/>
        </w:rPr>
        <w:t>, and the study protocol was registered with PROSPERO (ID:</w:t>
      </w:r>
      <w:r w:rsidR="005D2A1F" w:rsidRPr="00606D67">
        <w:rPr>
          <w:color w:val="000000" w:themeColor="text1"/>
        </w:rPr>
        <w:t xml:space="preserve"> </w:t>
      </w:r>
      <w:r w:rsidR="0045755E" w:rsidRPr="00606D67">
        <w:rPr>
          <w:color w:val="000000" w:themeColor="text1"/>
        </w:rPr>
        <w:t>CRD42022321751</w:t>
      </w:r>
      <w:r w:rsidRPr="00606D67">
        <w:rPr>
          <w:color w:val="000000" w:themeColor="text1"/>
        </w:rPr>
        <w:t xml:space="preserve">). </w:t>
      </w:r>
    </w:p>
    <w:p w14:paraId="47BD2CDB" w14:textId="77777777" w:rsidR="00AE13B3" w:rsidRPr="00606D67" w:rsidRDefault="00AE13B3" w:rsidP="00AE13B3">
      <w:pPr>
        <w:pStyle w:val="Heading2"/>
        <w:rPr>
          <w:color w:val="000000" w:themeColor="text1"/>
        </w:rPr>
      </w:pPr>
      <w:r w:rsidRPr="00606D67">
        <w:rPr>
          <w:color w:val="000000" w:themeColor="text1"/>
        </w:rPr>
        <w:t xml:space="preserve">Search Strategy  </w:t>
      </w:r>
    </w:p>
    <w:p w14:paraId="1397400A" w14:textId="3082CFBA" w:rsidR="00AE13B3" w:rsidRPr="00606D67" w:rsidRDefault="00AE13B3" w:rsidP="00AE13B3">
      <w:pPr>
        <w:rPr>
          <w:color w:val="000000" w:themeColor="text1"/>
          <w:lang w:val="en-US"/>
        </w:rPr>
      </w:pPr>
      <w:r w:rsidRPr="00606D67">
        <w:rPr>
          <w:color w:val="000000" w:themeColor="text1"/>
        </w:rPr>
        <w:t xml:space="preserve">Following the PEO (Population, Exposure, Outcome; </w:t>
      </w:r>
      <w:r w:rsidR="00F2602E" w:rsidRPr="00606D67">
        <w:rPr>
          <w:color w:val="000000" w:themeColor="text1"/>
        </w:rPr>
        <w:fldChar w:fldCharType="begin"/>
      </w:r>
      <w:r w:rsidR="00845551" w:rsidRPr="00606D67">
        <w:rPr>
          <w:color w:val="000000" w:themeColor="text1"/>
        </w:rPr>
        <w:instrText xml:space="preserve"> ADDIN ZOTERO_ITEM CSL_CITATION {"citationID":"w1IkNtDD","properties":{"formattedCitation":"(Moola et al., 2015)","plainCitation":"(Moola et al., 2015)","dontUpdate":true,"noteIndex":0},"citationItems":[{"id":1490,"uris":["http://zotero.org/users/5273986/items/GQVESAZW"],"itemData":{"id":1490,"type":"article-journal","abstract":"The systematic review of evidence is the research method which underpins the traditional approach to evidence-based healthcare. There is currently no uniform methodology for conducting a systematic review of association (etiology). This study outlines and describes the Joanna Briggs Institute's approach and guidance for synthesizing evidence related to association with a predominant focus on etiology and contributes to the emerging field of systematic review methodologies. It should be noted that questions of association typically address etiological or prognostic issues.\n        The systematic review of studies to answer questions of etiology follows the same basic principles of systematic review of other types of data. An a priori protocol must inform the conduct of the systematic review, comprehensive searching must be performed and critical appraisal of retrieved studies must be carried out.\n        The overarching objective of systematic reviews of etiology is to identify and synthesize the best available evidence on the factors of interest that are associated with a particular disease or outcome. The traditional PICO (population, interventions, comparators and outcomes) format for systematic reviews of effects does not align with questions relating to etiology. A systematic review of etiology should include the following aspects: population, exposure of interest (independent variable) and outcome (dependent variable).\n        Studies of etiology are predominantly explanatory or predictive. The objective of reviews of explanatory or predictive studies is to contribute to, and improve our understanding of, the relationship of health-related events or outcomes by examining the association between variables. When interpreting possible associations between variables based on observational study data, caution must be exercised due to the likely presence of confounding variables or moderators that may impact on the results.\n        As with all systematic reviews, there are various approaches to present the results, including a narrative, graphical or tabular summary, or meta-analysis. When meta-analysis is not possible, a set of alternative methods for synthesizing research is available. On the basis of the research question and objectives, narrative, tabular and/or visual approaches can be used for data synthesis. There are some special considerations when conducting meta-analysis for questions related to risk and correlation. These include, but are not limited to, causal inference.\n        Systematic review and meta-analysis of studies related to etiology is an emerging methodology in the field of evidence synthesis. These reviews can provide useful information for healthcare professionals and policymakers on the burden of disease. The standardized Joanna Briggs Institute approach offers a rigorous and transparent method to conduct reviews of etiology.","container-title":"JBI Evidence Implementation","DOI":"10.1097/XEB.0000000000000064","ISSN":"2691-3321","issue":"3","language":"en-US","page":"163–169","source":"journals.lww.com","title":"Conducting systematic reviews of association (etiology): The Joanna Briggs Institute's approach","title-short":"Conducting systematic reviews of association (etiology)","volume":"13","author":[{"family":"Moola","given":"Sandeep"},{"family":"Munn","given":"Zachary"},{"family":"Sears","given":"Kim"},{"family":"Sfetcu","given":"Raluca"},{"family":"Currie","given":"Marian"},{"family":"Lisy","given":"Karolina"},{"family":"Tufanaru","given":"Catalin"},{"family":"Qureshi","given":"Rubab"},{"family":"Mattis","given":"Patrick"},{"family":"Mu","given":"Peifan"}],"issued":{"date-parts":[["2015",9]]}}}],"schema":"https://github.com/citation-style-language/schema/raw/master/csl-citation.json"} </w:instrText>
      </w:r>
      <w:r w:rsidR="00F2602E" w:rsidRPr="00606D67">
        <w:rPr>
          <w:color w:val="000000" w:themeColor="text1"/>
        </w:rPr>
        <w:fldChar w:fldCharType="separate"/>
      </w:r>
      <w:r w:rsidR="000439F5" w:rsidRPr="00606D67">
        <w:rPr>
          <w:color w:val="000000" w:themeColor="text1"/>
        </w:rPr>
        <w:t>Moola et al., 2015)</w:t>
      </w:r>
      <w:r w:rsidR="00F2602E" w:rsidRPr="00606D67">
        <w:rPr>
          <w:color w:val="000000" w:themeColor="text1"/>
        </w:rPr>
        <w:fldChar w:fldCharType="end"/>
      </w:r>
      <w:r w:rsidRPr="00606D67">
        <w:rPr>
          <w:color w:val="000000" w:themeColor="text1"/>
        </w:rPr>
        <w:t xml:space="preserve"> search strategy, a search string was developed using</w:t>
      </w:r>
      <w:r w:rsidR="005D2A1F" w:rsidRPr="00606D67">
        <w:rPr>
          <w:color w:val="000000" w:themeColor="text1"/>
        </w:rPr>
        <w:t xml:space="preserve"> as</w:t>
      </w:r>
      <w:r w:rsidRPr="00606D67">
        <w:rPr>
          <w:color w:val="000000" w:themeColor="text1"/>
        </w:rPr>
        <w:t xml:space="preserve"> key words </w:t>
      </w:r>
      <w:r w:rsidR="005D2A1F" w:rsidRPr="00606D67">
        <w:rPr>
          <w:color w:val="000000" w:themeColor="text1"/>
        </w:rPr>
        <w:t xml:space="preserve">the terms </w:t>
      </w:r>
      <w:r w:rsidRPr="00606D67">
        <w:rPr>
          <w:color w:val="000000" w:themeColor="text1"/>
        </w:rPr>
        <w:t>‘determinant’ and ‘mental illness’. Searches were limited to title and abstracts only. Five databases were searched up to 25</w:t>
      </w:r>
      <w:r w:rsidRPr="00606D67">
        <w:rPr>
          <w:color w:val="000000" w:themeColor="text1"/>
          <w:vertAlign w:val="superscript"/>
        </w:rPr>
        <w:t>th</w:t>
      </w:r>
      <w:r w:rsidRPr="00606D67">
        <w:rPr>
          <w:color w:val="000000" w:themeColor="text1"/>
        </w:rPr>
        <w:t xml:space="preserve"> April 2022; PsycINFO, Medline (PubMed), Academic Search Complete, EMBASE and CINAHL P</w:t>
      </w:r>
      <w:r w:rsidR="00080B86" w:rsidRPr="00606D67">
        <w:rPr>
          <w:color w:val="000000" w:themeColor="text1"/>
        </w:rPr>
        <w:t>lus</w:t>
      </w:r>
      <w:r w:rsidRPr="00606D67">
        <w:rPr>
          <w:color w:val="000000" w:themeColor="text1"/>
        </w:rPr>
        <w:t>.  Studies were included in the review if they met the following inclusion criteria: (1) peer reviewed systematic reviews,</w:t>
      </w:r>
      <w:r w:rsidR="0033514C" w:rsidRPr="00606D67">
        <w:rPr>
          <w:color w:val="000000" w:themeColor="text1"/>
        </w:rPr>
        <w:t xml:space="preserve"> </w:t>
      </w:r>
      <w:r w:rsidRPr="00606D67">
        <w:rPr>
          <w:color w:val="000000" w:themeColor="text1"/>
          <w:lang w:val="en-US"/>
        </w:rPr>
        <w:t>meta-analyses, meta-syntheses, rapid reviews</w:t>
      </w:r>
      <w:r w:rsidR="0033514C" w:rsidRPr="00606D67">
        <w:rPr>
          <w:color w:val="000000" w:themeColor="text1"/>
          <w:lang w:val="en-US"/>
        </w:rPr>
        <w:t xml:space="preserve"> and</w:t>
      </w:r>
      <w:r w:rsidRPr="00606D67">
        <w:rPr>
          <w:color w:val="000000" w:themeColor="text1"/>
          <w:lang w:val="en-US"/>
        </w:rPr>
        <w:t xml:space="preserve"> scoping reviews, (2) focused on human populations, (3) published in English, and (4) described any social determinant(s) of mental health/illness.</w:t>
      </w:r>
      <w:r w:rsidR="00317240" w:rsidRPr="00606D67">
        <w:rPr>
          <w:color w:val="000000" w:themeColor="text1"/>
          <w:lang w:val="en-US"/>
        </w:rPr>
        <w:t xml:space="preserve"> Articles were excluded if </w:t>
      </w:r>
      <w:r w:rsidR="00A26060" w:rsidRPr="00606D67">
        <w:rPr>
          <w:color w:val="000000" w:themeColor="text1"/>
          <w:lang w:val="en-US"/>
        </w:rPr>
        <w:t>they focused on highly specific populations not applicable to the general public.</w:t>
      </w:r>
      <w:r w:rsidRPr="00606D67">
        <w:rPr>
          <w:color w:val="000000" w:themeColor="text1"/>
          <w:lang w:val="en-US"/>
        </w:rPr>
        <w:t xml:space="preserve"> Where mental health/illness was not </w:t>
      </w:r>
      <w:r w:rsidRPr="00606D67">
        <w:rPr>
          <w:color w:val="000000" w:themeColor="text1"/>
          <w:lang w:val="en-US"/>
        </w:rPr>
        <w:lastRenderedPageBreak/>
        <w:t xml:space="preserve">presented as a primary outcome, articles were included only if sufficient data specific to mental illness </w:t>
      </w:r>
      <w:r w:rsidR="00830612" w:rsidRPr="00606D67">
        <w:rPr>
          <w:color w:val="000000" w:themeColor="text1"/>
          <w:lang w:val="en-US"/>
        </w:rPr>
        <w:t xml:space="preserve">were </w:t>
      </w:r>
      <w:r w:rsidRPr="00606D67">
        <w:rPr>
          <w:color w:val="000000" w:themeColor="text1"/>
          <w:lang w:val="en-US"/>
        </w:rPr>
        <w:t xml:space="preserve">available for extraction. </w:t>
      </w:r>
    </w:p>
    <w:p w14:paraId="2C807D27" w14:textId="374FA536" w:rsidR="00AE13B3" w:rsidRPr="00606D67" w:rsidRDefault="00927D4A" w:rsidP="00AE13B3">
      <w:pPr>
        <w:pStyle w:val="Heading2"/>
        <w:rPr>
          <w:color w:val="000000" w:themeColor="text1"/>
        </w:rPr>
      </w:pPr>
      <w:r w:rsidRPr="00606D67">
        <w:rPr>
          <w:color w:val="000000" w:themeColor="text1"/>
        </w:rPr>
        <w:t>Screening and Data Extraction</w:t>
      </w:r>
    </w:p>
    <w:p w14:paraId="3C03E03A" w14:textId="221D1727" w:rsidR="00927D4A" w:rsidRPr="00606D67" w:rsidRDefault="00AE13B3" w:rsidP="00183EFE">
      <w:pPr>
        <w:rPr>
          <w:color w:val="000000" w:themeColor="text1"/>
        </w:rPr>
      </w:pPr>
      <w:r w:rsidRPr="00606D67">
        <w:rPr>
          <w:color w:val="000000" w:themeColor="text1"/>
        </w:rPr>
        <w:t>Articles (</w:t>
      </w:r>
      <w:r w:rsidRPr="00606D67">
        <w:rPr>
          <w:i/>
          <w:iCs/>
          <w:color w:val="000000" w:themeColor="text1"/>
        </w:rPr>
        <w:t xml:space="preserve">n </w:t>
      </w:r>
      <w:r w:rsidRPr="00606D67">
        <w:rPr>
          <w:color w:val="000000" w:themeColor="text1"/>
        </w:rPr>
        <w:t>= 621) were identified and imported into the systematic review management software Covidence (Veritas Health Innovation, Melbourne, Australia</w:t>
      </w:r>
      <w:r w:rsidR="00392623" w:rsidRPr="00606D67">
        <w:rPr>
          <w:color w:val="000000" w:themeColor="text1"/>
        </w:rPr>
        <w:fldChar w:fldCharType="begin"/>
      </w:r>
      <w:r w:rsidR="00970C52" w:rsidRPr="00606D67">
        <w:rPr>
          <w:color w:val="000000" w:themeColor="text1"/>
        </w:rPr>
        <w:instrText xml:space="preserve"> ADDIN ZOTERO_ITEM CSL_CITATION {"citationID":"PDAGZPK1","properties":{"formattedCitation":"(2022)","plainCitation":"(2022)","dontUpdate":true,"noteIndex":0},"citationItems":[{"id":1574,"uris":["http://zotero.org/users/5273986/items/GDSCNRYD"],"itemData":{"id":1574,"type":"software","event-place":"Melbourne, Australia","publisher-place":"Melbourne, Australia","URL":"www.covidence.org","author":[{"family":"Covidence systematic review software; Veritas Health Innovation: Melbourne, Australia","given":""}],"issued":{"date-parts":[["2022"]]}},"label":"page","suppress-author":true}],"schema":"https://github.com/citation-style-language/schema/raw/master/csl-citation.json"} </w:instrText>
      </w:r>
      <w:r w:rsidR="00392623" w:rsidRPr="00606D67">
        <w:rPr>
          <w:color w:val="000000" w:themeColor="text1"/>
        </w:rPr>
        <w:fldChar w:fldCharType="separate"/>
      </w:r>
      <w:r w:rsidR="00E87F69" w:rsidRPr="00606D67">
        <w:rPr>
          <w:color w:val="000000" w:themeColor="text1"/>
        </w:rPr>
        <w:t xml:space="preserve">, </w:t>
      </w:r>
      <w:r w:rsidR="00392623" w:rsidRPr="00606D67">
        <w:rPr>
          <w:color w:val="000000" w:themeColor="text1"/>
        </w:rPr>
        <w:t>2022)</w:t>
      </w:r>
      <w:r w:rsidR="00392623" w:rsidRPr="00606D67">
        <w:rPr>
          <w:color w:val="000000" w:themeColor="text1"/>
        </w:rPr>
        <w:fldChar w:fldCharType="end"/>
      </w:r>
      <w:r w:rsidRPr="00606D67">
        <w:rPr>
          <w:color w:val="000000" w:themeColor="text1"/>
        </w:rPr>
        <w:t>. Duplicates were removed automatically, and all titles and abstracts of remaining articles were screened independently against the inclusion/exclusion criteria by two authors (</w:t>
      </w:r>
      <w:r w:rsidR="00C6555F" w:rsidRPr="00606D67">
        <w:rPr>
          <w:color w:val="000000" w:themeColor="text1"/>
        </w:rPr>
        <w:t>L.H.</w:t>
      </w:r>
      <w:r w:rsidRPr="00606D67">
        <w:rPr>
          <w:color w:val="000000" w:themeColor="text1"/>
        </w:rPr>
        <w:t xml:space="preserve"> and </w:t>
      </w:r>
      <w:r w:rsidR="00C6555F" w:rsidRPr="00606D67">
        <w:rPr>
          <w:color w:val="000000" w:themeColor="text1"/>
        </w:rPr>
        <w:t>R.M.</w:t>
      </w:r>
      <w:r w:rsidRPr="00606D67">
        <w:rPr>
          <w:color w:val="000000" w:themeColor="text1"/>
        </w:rPr>
        <w:t>). Inter-reviewer agreement was 86% (</w:t>
      </w:r>
      <w:r w:rsidRPr="00606D67">
        <w:rPr>
          <w:i/>
          <w:iCs/>
          <w:color w:val="000000" w:themeColor="text1"/>
        </w:rPr>
        <w:t>k</w:t>
      </w:r>
      <w:r w:rsidR="00BC5EAE" w:rsidRPr="00606D67">
        <w:rPr>
          <w:i/>
          <w:iCs/>
          <w:color w:val="000000" w:themeColor="text1"/>
        </w:rPr>
        <w:t xml:space="preserve"> </w:t>
      </w:r>
      <w:r w:rsidRPr="00606D67">
        <w:rPr>
          <w:color w:val="000000" w:themeColor="text1"/>
        </w:rPr>
        <w:t>=</w:t>
      </w:r>
      <w:r w:rsidR="00BC5EAE" w:rsidRPr="00606D67">
        <w:rPr>
          <w:color w:val="000000" w:themeColor="text1"/>
        </w:rPr>
        <w:t xml:space="preserve"> </w:t>
      </w:r>
      <w:r w:rsidRPr="00606D67">
        <w:rPr>
          <w:color w:val="000000" w:themeColor="text1"/>
        </w:rPr>
        <w:t>0.63). All</w:t>
      </w:r>
      <w:r w:rsidR="0015372A" w:rsidRPr="00606D67">
        <w:rPr>
          <w:color w:val="000000" w:themeColor="text1"/>
        </w:rPr>
        <w:t xml:space="preserve"> eligible</w:t>
      </w:r>
      <w:r w:rsidRPr="00606D67">
        <w:rPr>
          <w:color w:val="000000" w:themeColor="text1"/>
        </w:rPr>
        <w:t xml:space="preserve"> full text</w:t>
      </w:r>
      <w:r w:rsidR="0015372A" w:rsidRPr="00606D67">
        <w:rPr>
          <w:color w:val="000000" w:themeColor="text1"/>
        </w:rPr>
        <w:t xml:space="preserve"> papers</w:t>
      </w:r>
      <w:r w:rsidRPr="00606D67">
        <w:rPr>
          <w:color w:val="000000" w:themeColor="text1"/>
        </w:rPr>
        <w:t xml:space="preserve"> were screened by </w:t>
      </w:r>
      <w:r w:rsidR="00C6555F" w:rsidRPr="00606D67">
        <w:rPr>
          <w:color w:val="000000" w:themeColor="text1"/>
        </w:rPr>
        <w:t>L.H.</w:t>
      </w:r>
      <w:r w:rsidRPr="00606D67">
        <w:rPr>
          <w:color w:val="000000" w:themeColor="text1"/>
        </w:rPr>
        <w:t>, and 15% were screened by</w:t>
      </w:r>
      <w:r w:rsidR="00B72C8E" w:rsidRPr="00606D67">
        <w:rPr>
          <w:color w:val="000000" w:themeColor="text1"/>
        </w:rPr>
        <w:t xml:space="preserve"> </w:t>
      </w:r>
      <w:r w:rsidR="00C6555F" w:rsidRPr="00606D67">
        <w:rPr>
          <w:color w:val="000000" w:themeColor="text1"/>
        </w:rPr>
        <w:t>R.M.</w:t>
      </w:r>
      <w:r w:rsidR="0015372A" w:rsidRPr="00606D67">
        <w:rPr>
          <w:color w:val="000000" w:themeColor="text1"/>
        </w:rPr>
        <w:t xml:space="preserve"> Inter-reviewer agreement was</w:t>
      </w:r>
      <w:r w:rsidRPr="00606D67">
        <w:rPr>
          <w:color w:val="000000" w:themeColor="text1"/>
        </w:rPr>
        <w:t xml:space="preserve"> (73%; </w:t>
      </w:r>
      <w:r w:rsidRPr="00606D67">
        <w:rPr>
          <w:i/>
          <w:iCs/>
          <w:color w:val="000000" w:themeColor="text1"/>
        </w:rPr>
        <w:t>k</w:t>
      </w:r>
      <w:r w:rsidR="0015372A" w:rsidRPr="00606D67">
        <w:rPr>
          <w:i/>
          <w:iCs/>
          <w:color w:val="000000" w:themeColor="text1"/>
        </w:rPr>
        <w:t xml:space="preserve"> </w:t>
      </w:r>
      <w:r w:rsidRPr="00606D67">
        <w:rPr>
          <w:color w:val="000000" w:themeColor="text1"/>
        </w:rPr>
        <w:t>=</w:t>
      </w:r>
      <w:r w:rsidR="0015372A" w:rsidRPr="00606D67">
        <w:rPr>
          <w:color w:val="000000" w:themeColor="text1"/>
        </w:rPr>
        <w:t xml:space="preserve"> </w:t>
      </w:r>
      <w:r w:rsidRPr="00606D67">
        <w:rPr>
          <w:color w:val="000000" w:themeColor="text1"/>
        </w:rPr>
        <w:t xml:space="preserve">0.45). </w:t>
      </w:r>
      <w:r w:rsidR="0030768F" w:rsidRPr="00606D67">
        <w:rPr>
          <w:color w:val="000000" w:themeColor="text1"/>
        </w:rPr>
        <w:t>Where needed, disagreements for both title/abstract and full text screening were resolved by a third reviewer (</w:t>
      </w:r>
      <w:r w:rsidR="00C6555F" w:rsidRPr="00606D67">
        <w:rPr>
          <w:color w:val="000000" w:themeColor="text1"/>
        </w:rPr>
        <w:t>F.N.</w:t>
      </w:r>
      <w:r w:rsidR="0030768F" w:rsidRPr="00606D67">
        <w:rPr>
          <w:color w:val="000000" w:themeColor="text1"/>
        </w:rPr>
        <w:t>).</w:t>
      </w:r>
    </w:p>
    <w:p w14:paraId="55D9B3D1" w14:textId="62E05F9B" w:rsidR="0044221E" w:rsidRPr="00606D67" w:rsidRDefault="00927D4A" w:rsidP="0078628E">
      <w:pPr>
        <w:ind w:firstLine="720"/>
        <w:rPr>
          <w:color w:val="000000" w:themeColor="text1"/>
        </w:rPr>
      </w:pPr>
      <w:r w:rsidRPr="00606D67">
        <w:rPr>
          <w:color w:val="000000" w:themeColor="text1"/>
        </w:rPr>
        <w:t>In total 3</w:t>
      </w:r>
      <w:r w:rsidR="009472DB" w:rsidRPr="00606D67">
        <w:rPr>
          <w:color w:val="000000" w:themeColor="text1"/>
        </w:rPr>
        <w:t xml:space="preserve">7 </w:t>
      </w:r>
      <w:r w:rsidRPr="00606D67">
        <w:rPr>
          <w:color w:val="000000" w:themeColor="text1"/>
        </w:rPr>
        <w:t>systematic reviews were included for data extraction</w:t>
      </w:r>
      <w:r w:rsidR="0078628E" w:rsidRPr="00606D67">
        <w:rPr>
          <w:color w:val="000000" w:themeColor="text1"/>
        </w:rPr>
        <w:t xml:space="preserve">. </w:t>
      </w:r>
      <w:r w:rsidR="00F7764A" w:rsidRPr="00606D67">
        <w:rPr>
          <w:color w:val="000000" w:themeColor="text1"/>
        </w:rPr>
        <w:t>Figure 1 presents the PRISMA flow diagram for the present review.</w:t>
      </w:r>
      <w:r w:rsidR="0078628E" w:rsidRPr="00606D67">
        <w:rPr>
          <w:color w:val="000000" w:themeColor="text1"/>
        </w:rPr>
        <w:t xml:space="preserve"> </w:t>
      </w:r>
      <w:r w:rsidR="00F7764A" w:rsidRPr="00606D67">
        <w:rPr>
          <w:color w:val="000000" w:themeColor="text1"/>
        </w:rPr>
        <w:t xml:space="preserve">An individualised data extraction form was developed for the purposes of the present review.  </w:t>
      </w:r>
      <w:r w:rsidR="00AE13B3" w:rsidRPr="00606D67">
        <w:rPr>
          <w:color w:val="000000" w:themeColor="text1"/>
        </w:rPr>
        <w:t xml:space="preserve">The Joanna Briggs Institute </w:t>
      </w:r>
      <w:r w:rsidR="00674436" w:rsidRPr="00606D67">
        <w:rPr>
          <w:color w:val="000000" w:themeColor="text1"/>
        </w:rPr>
        <w:fldChar w:fldCharType="begin"/>
      </w:r>
      <w:r w:rsidR="00845551" w:rsidRPr="00606D67">
        <w:rPr>
          <w:color w:val="000000" w:themeColor="text1"/>
        </w:rPr>
        <w:instrText xml:space="preserve"> ADDIN ZOTERO_ITEM CSL_CITATION {"citationID":"8vBhzXeH","properties":{"formattedCitation":"(2017)","plainCitation":"(2017)","dontUpdate":true,"noteIndex":0},"citationItems":[{"id":1624,"uris":["http://zotero.org/users/5273986/items/56JHBXCS"],"itemData":{"id":1624,"type":"document","publisher":"Joanna Briggs Institute","URL":"https://jbi.global/critical-appraisal-tools","author":[{"family":"JBI Critical Appraisal Tools","given":""}],"issued":{"date-parts":[["2017"]]}},"label":"page","suppress-author":true}],"schema":"https://github.com/citation-style-language/schema/raw/master/csl-citation.json"} </w:instrText>
      </w:r>
      <w:r w:rsidR="00674436" w:rsidRPr="00606D67">
        <w:rPr>
          <w:color w:val="000000" w:themeColor="text1"/>
        </w:rPr>
        <w:fldChar w:fldCharType="separate"/>
      </w:r>
      <w:r w:rsidR="00D55B59" w:rsidRPr="00606D67">
        <w:rPr>
          <w:color w:val="000000" w:themeColor="text1"/>
        </w:rPr>
        <w:t xml:space="preserve">(JBI; </w:t>
      </w:r>
      <w:r w:rsidR="00674436" w:rsidRPr="00606D67">
        <w:rPr>
          <w:color w:val="000000" w:themeColor="text1"/>
        </w:rPr>
        <w:t>2017)</w:t>
      </w:r>
      <w:r w:rsidR="00674436" w:rsidRPr="00606D67">
        <w:rPr>
          <w:color w:val="000000" w:themeColor="text1"/>
        </w:rPr>
        <w:fldChar w:fldCharType="end"/>
      </w:r>
      <w:r w:rsidR="00AE13B3" w:rsidRPr="00606D67">
        <w:rPr>
          <w:color w:val="000000" w:themeColor="text1"/>
        </w:rPr>
        <w:t xml:space="preserve"> Critical Appraisal Tool for systematic reviews was used for quality assessment.</w:t>
      </w:r>
      <w:r w:rsidR="00F7764A" w:rsidRPr="00606D67">
        <w:rPr>
          <w:color w:val="000000" w:themeColor="text1"/>
        </w:rPr>
        <w:t xml:space="preserve"> </w:t>
      </w:r>
    </w:p>
    <w:p w14:paraId="470F4E7A" w14:textId="282127A7" w:rsidR="0044221E" w:rsidRPr="00606D67" w:rsidRDefault="0044221E" w:rsidP="0044221E">
      <w:pPr>
        <w:spacing w:line="240" w:lineRule="auto"/>
        <w:rPr>
          <w:color w:val="000000" w:themeColor="text1"/>
        </w:rPr>
      </w:pPr>
    </w:p>
    <w:p w14:paraId="473856BE" w14:textId="1C7ED20D" w:rsidR="00476183" w:rsidRPr="00606D67" w:rsidRDefault="0063244E" w:rsidP="00067C23">
      <w:pPr>
        <w:pStyle w:val="Figurecaption"/>
        <w:rPr>
          <w:color w:val="000000" w:themeColor="text1"/>
        </w:rPr>
      </w:pPr>
      <w:r w:rsidRPr="00606D67">
        <w:rPr>
          <w:color w:val="000000" w:themeColor="text1"/>
        </w:rPr>
        <w:t xml:space="preserve">[Insert figure 1 here] </w:t>
      </w:r>
    </w:p>
    <w:p w14:paraId="20F0EC44" w14:textId="69410E8A" w:rsidR="00476183" w:rsidRPr="00606D67" w:rsidRDefault="00476183" w:rsidP="00A27113">
      <w:pPr>
        <w:pStyle w:val="Heading2"/>
        <w:rPr>
          <w:color w:val="000000" w:themeColor="text1"/>
        </w:rPr>
      </w:pPr>
      <w:r w:rsidRPr="00606D67">
        <w:rPr>
          <w:color w:val="000000" w:themeColor="text1"/>
        </w:rPr>
        <w:t xml:space="preserve">Data Synthesis </w:t>
      </w:r>
    </w:p>
    <w:p w14:paraId="503AE18E" w14:textId="2C8D82AA" w:rsidR="00E43CF9" w:rsidRPr="00606D67" w:rsidRDefault="00476183" w:rsidP="00476183">
      <w:pPr>
        <w:rPr>
          <w:color w:val="000000" w:themeColor="text1"/>
        </w:rPr>
      </w:pPr>
      <w:r w:rsidRPr="00606D67">
        <w:rPr>
          <w:color w:val="000000" w:themeColor="text1"/>
        </w:rPr>
        <w:t xml:space="preserve">Due to the nature of the review question and substantial heterogeneity, a narrative approach to data synthesis </w:t>
      </w:r>
      <w:r w:rsidR="00564D57" w:rsidRPr="00606D67">
        <w:rPr>
          <w:color w:val="000000" w:themeColor="text1"/>
        </w:rPr>
        <w:fldChar w:fldCharType="begin"/>
      </w:r>
      <w:r w:rsidR="00845551" w:rsidRPr="00606D67">
        <w:rPr>
          <w:color w:val="000000" w:themeColor="text1"/>
        </w:rPr>
        <w:instrText xml:space="preserve"> ADDIN ZOTERO_ITEM CSL_CITATION {"citationID":"H47PjFQG","properties":{"formattedCitation":"(Popay et al., 2006)","plainCitation":"(Popay et al., 2006)","noteIndex":0},"citationItems":[{"id":1618,"uris":["http://zotero.org/users/5273986/items/ZTX4SAZ2"],"itemData":{"id":1618,"type":"article-journal","language":"en","page":"92","source":"Zotero","title":"Guidance on the conduct of narrative synthesis in systematic reviews","author":[{"family":"Popay","given":"Jennie"},{"family":"Roberts","given":"Helen"},{"family":"Sowden","given":"Amanda"},{"family":"Petticrew","given":"Mark"},{"family":"Arai","given":"Lisa"},{"family":"Rodgers","given":"Mark"},{"family":"Britten","given":"Nicky"}],"issued":{"date-parts":[["2006"]]}}}],"schema":"https://github.com/citation-style-language/schema/raw/master/csl-citation.json"} </w:instrText>
      </w:r>
      <w:r w:rsidR="00564D57" w:rsidRPr="00606D67">
        <w:rPr>
          <w:color w:val="000000" w:themeColor="text1"/>
        </w:rPr>
        <w:fldChar w:fldCharType="separate"/>
      </w:r>
      <w:r w:rsidR="00564D57" w:rsidRPr="00606D67">
        <w:rPr>
          <w:color w:val="000000" w:themeColor="text1"/>
        </w:rPr>
        <w:t>(Popay et al., 2006)</w:t>
      </w:r>
      <w:r w:rsidR="00564D57" w:rsidRPr="00606D67">
        <w:rPr>
          <w:color w:val="000000" w:themeColor="text1"/>
        </w:rPr>
        <w:fldChar w:fldCharType="end"/>
      </w:r>
      <w:r w:rsidR="00BE4C1F" w:rsidRPr="00606D67">
        <w:rPr>
          <w:color w:val="000000" w:themeColor="text1"/>
        </w:rPr>
        <w:t xml:space="preserve"> </w:t>
      </w:r>
      <w:r w:rsidRPr="00606D67">
        <w:rPr>
          <w:color w:val="000000" w:themeColor="text1"/>
        </w:rPr>
        <w:t xml:space="preserve">was deemed appropriate for the present review. </w:t>
      </w:r>
    </w:p>
    <w:p w14:paraId="20675E46" w14:textId="77777777" w:rsidR="00AA4926" w:rsidRPr="00606D67" w:rsidRDefault="00AA4926" w:rsidP="00AA4926">
      <w:pPr>
        <w:pStyle w:val="Heading1"/>
        <w:rPr>
          <w:color w:val="000000" w:themeColor="text1"/>
        </w:rPr>
      </w:pPr>
      <w:r w:rsidRPr="00606D67">
        <w:rPr>
          <w:color w:val="000000" w:themeColor="text1"/>
        </w:rPr>
        <w:lastRenderedPageBreak/>
        <w:t>Results</w:t>
      </w:r>
    </w:p>
    <w:p w14:paraId="389864D8" w14:textId="6D261686" w:rsidR="00AA4926" w:rsidRPr="00606D67" w:rsidRDefault="00AA4926" w:rsidP="00AA4926">
      <w:pPr>
        <w:rPr>
          <w:color w:val="000000" w:themeColor="text1"/>
        </w:rPr>
      </w:pPr>
      <w:r w:rsidRPr="00606D67">
        <w:rPr>
          <w:color w:val="000000" w:themeColor="text1"/>
        </w:rPr>
        <w:t>Thirty-</w:t>
      </w:r>
      <w:r w:rsidR="00853EB4" w:rsidRPr="00606D67">
        <w:rPr>
          <w:color w:val="000000" w:themeColor="text1"/>
        </w:rPr>
        <w:t>seven</w:t>
      </w:r>
      <w:r w:rsidRPr="00606D67">
        <w:rPr>
          <w:color w:val="000000" w:themeColor="text1"/>
        </w:rPr>
        <w:t xml:space="preserve"> systematic reviews were included in the</w:t>
      </w:r>
      <w:r w:rsidR="00AB3BD5" w:rsidRPr="00606D67">
        <w:rPr>
          <w:color w:val="000000" w:themeColor="text1"/>
        </w:rPr>
        <w:t xml:space="preserve"> present</w:t>
      </w:r>
      <w:r w:rsidRPr="00606D67">
        <w:rPr>
          <w:color w:val="000000" w:themeColor="text1"/>
        </w:rPr>
        <w:t xml:space="preserve"> review. All studies were published between 2015 and 2022, with populations including the general public (</w:t>
      </w:r>
      <w:r w:rsidRPr="00606D67">
        <w:rPr>
          <w:i/>
          <w:iCs/>
          <w:color w:val="000000" w:themeColor="text1"/>
        </w:rPr>
        <w:t>n</w:t>
      </w:r>
      <w:r w:rsidRPr="00606D67">
        <w:rPr>
          <w:color w:val="000000" w:themeColor="text1"/>
        </w:rPr>
        <w:t xml:space="preserve"> = 2</w:t>
      </w:r>
      <w:r w:rsidR="00347136" w:rsidRPr="00606D67">
        <w:rPr>
          <w:color w:val="000000" w:themeColor="text1"/>
        </w:rPr>
        <w:t>1</w:t>
      </w:r>
      <w:r w:rsidRPr="00606D67">
        <w:rPr>
          <w:color w:val="000000" w:themeColor="text1"/>
        </w:rPr>
        <w:t>), those defined by ethnicity, race or religion (</w:t>
      </w:r>
      <w:r w:rsidRPr="00606D67">
        <w:rPr>
          <w:i/>
          <w:iCs/>
          <w:color w:val="000000" w:themeColor="text1"/>
        </w:rPr>
        <w:t>n</w:t>
      </w:r>
      <w:r w:rsidRPr="00606D67">
        <w:rPr>
          <w:color w:val="000000" w:themeColor="text1"/>
        </w:rPr>
        <w:t xml:space="preserve"> = 6), nationality (</w:t>
      </w:r>
      <w:r w:rsidRPr="00606D67">
        <w:rPr>
          <w:i/>
          <w:iCs/>
          <w:color w:val="000000" w:themeColor="text1"/>
        </w:rPr>
        <w:t xml:space="preserve">n </w:t>
      </w:r>
      <w:r w:rsidRPr="00606D67">
        <w:rPr>
          <w:color w:val="000000" w:themeColor="text1"/>
        </w:rPr>
        <w:t>= 5), refugee or migrant status (</w:t>
      </w:r>
      <w:r w:rsidRPr="00606D67">
        <w:rPr>
          <w:i/>
          <w:iCs/>
          <w:color w:val="000000" w:themeColor="text1"/>
        </w:rPr>
        <w:t>n =</w:t>
      </w:r>
      <w:r w:rsidR="003B54C2" w:rsidRPr="00606D67">
        <w:rPr>
          <w:i/>
          <w:iCs/>
          <w:color w:val="000000" w:themeColor="text1"/>
        </w:rPr>
        <w:t xml:space="preserve"> </w:t>
      </w:r>
      <w:r w:rsidRPr="00606D67">
        <w:rPr>
          <w:color w:val="000000" w:themeColor="text1"/>
        </w:rPr>
        <w:t>3), and other demographic factors (</w:t>
      </w:r>
      <w:r w:rsidRPr="00606D67">
        <w:rPr>
          <w:i/>
          <w:iCs/>
          <w:color w:val="000000" w:themeColor="text1"/>
        </w:rPr>
        <w:t>n</w:t>
      </w:r>
      <w:r w:rsidRPr="00606D67">
        <w:rPr>
          <w:color w:val="000000" w:themeColor="text1"/>
        </w:rPr>
        <w:t xml:space="preserve"> = 2). Mental illness outcomes included mental health status (</w:t>
      </w:r>
      <w:r w:rsidRPr="00606D67">
        <w:rPr>
          <w:i/>
          <w:iCs/>
          <w:color w:val="000000" w:themeColor="text1"/>
        </w:rPr>
        <w:t>n =</w:t>
      </w:r>
      <w:r w:rsidRPr="00606D67">
        <w:rPr>
          <w:color w:val="000000" w:themeColor="text1"/>
        </w:rPr>
        <w:t xml:space="preserve"> 2</w:t>
      </w:r>
      <w:r w:rsidR="00637305" w:rsidRPr="00606D67">
        <w:rPr>
          <w:color w:val="000000" w:themeColor="text1"/>
        </w:rPr>
        <w:t>2</w:t>
      </w:r>
      <w:r w:rsidRPr="00606D67">
        <w:rPr>
          <w:color w:val="000000" w:themeColor="text1"/>
        </w:rPr>
        <w:t>), depression symptoms or diagnoses, (</w:t>
      </w:r>
      <w:r w:rsidRPr="00606D67">
        <w:rPr>
          <w:i/>
          <w:iCs/>
          <w:color w:val="000000" w:themeColor="text1"/>
        </w:rPr>
        <w:t xml:space="preserve">n </w:t>
      </w:r>
      <w:r w:rsidRPr="00606D67">
        <w:rPr>
          <w:color w:val="000000" w:themeColor="text1"/>
        </w:rPr>
        <w:t>= 7), depression and anxiety symptoms and diagnoses (</w:t>
      </w:r>
      <w:r w:rsidRPr="00606D67">
        <w:rPr>
          <w:i/>
          <w:iCs/>
          <w:color w:val="000000" w:themeColor="text1"/>
        </w:rPr>
        <w:t>n</w:t>
      </w:r>
      <w:r w:rsidRPr="00606D67">
        <w:rPr>
          <w:color w:val="000000" w:themeColor="text1"/>
        </w:rPr>
        <w:t xml:space="preserve"> = 3), multiple psychiatric diagnoses (</w:t>
      </w:r>
      <w:r w:rsidRPr="00606D67">
        <w:rPr>
          <w:i/>
          <w:iCs/>
          <w:color w:val="000000" w:themeColor="text1"/>
        </w:rPr>
        <w:t>n</w:t>
      </w:r>
      <w:r w:rsidRPr="00606D67">
        <w:rPr>
          <w:color w:val="000000" w:themeColor="text1"/>
        </w:rPr>
        <w:t xml:space="preserve"> = 3), and post-traumatic stress disorder diagnosis (PTSD; </w:t>
      </w:r>
      <w:r w:rsidRPr="00606D67">
        <w:rPr>
          <w:i/>
          <w:iCs/>
          <w:color w:val="000000" w:themeColor="text1"/>
        </w:rPr>
        <w:t>n</w:t>
      </w:r>
      <w:r w:rsidRPr="00606D67">
        <w:rPr>
          <w:color w:val="000000" w:themeColor="text1"/>
        </w:rPr>
        <w:t xml:space="preserve"> = 2).</w:t>
      </w:r>
      <w:r w:rsidR="005F4337" w:rsidRPr="00606D67">
        <w:rPr>
          <w:color w:val="000000" w:themeColor="text1"/>
        </w:rPr>
        <w:t xml:space="preserve"> </w:t>
      </w:r>
      <w:r w:rsidR="007D550A" w:rsidRPr="00606D67">
        <w:rPr>
          <w:color w:val="000000" w:themeColor="text1"/>
        </w:rPr>
        <w:t xml:space="preserve">Articles were </w:t>
      </w:r>
      <w:r w:rsidR="00C350A5" w:rsidRPr="00606D67">
        <w:rPr>
          <w:color w:val="000000" w:themeColor="text1"/>
        </w:rPr>
        <w:t>high (</w:t>
      </w:r>
      <w:r w:rsidR="00C350A5" w:rsidRPr="00606D67">
        <w:rPr>
          <w:i/>
          <w:iCs/>
          <w:color w:val="000000" w:themeColor="text1"/>
        </w:rPr>
        <w:t>n</w:t>
      </w:r>
      <w:r w:rsidR="00A923F3" w:rsidRPr="00606D67">
        <w:rPr>
          <w:i/>
          <w:iCs/>
          <w:color w:val="000000" w:themeColor="text1"/>
        </w:rPr>
        <w:t xml:space="preserve"> </w:t>
      </w:r>
      <w:r w:rsidR="00C350A5" w:rsidRPr="00606D67">
        <w:rPr>
          <w:color w:val="000000" w:themeColor="text1"/>
        </w:rPr>
        <w:t xml:space="preserve">= </w:t>
      </w:r>
      <w:r w:rsidR="00CB2A7B" w:rsidRPr="00606D67">
        <w:rPr>
          <w:color w:val="000000" w:themeColor="text1"/>
        </w:rPr>
        <w:t>4</w:t>
      </w:r>
      <w:r w:rsidR="00C350A5" w:rsidRPr="00606D67">
        <w:rPr>
          <w:color w:val="000000" w:themeColor="text1"/>
        </w:rPr>
        <w:t>), medium (</w:t>
      </w:r>
      <w:r w:rsidR="00C350A5" w:rsidRPr="00606D67">
        <w:rPr>
          <w:i/>
          <w:iCs/>
          <w:color w:val="000000" w:themeColor="text1"/>
        </w:rPr>
        <w:t>n</w:t>
      </w:r>
      <w:r w:rsidR="008C6CA9" w:rsidRPr="00606D67">
        <w:rPr>
          <w:i/>
          <w:iCs/>
          <w:color w:val="000000" w:themeColor="text1"/>
        </w:rPr>
        <w:t xml:space="preserve"> </w:t>
      </w:r>
      <w:r w:rsidR="00C350A5" w:rsidRPr="00606D67">
        <w:rPr>
          <w:color w:val="000000" w:themeColor="text1"/>
        </w:rPr>
        <w:t xml:space="preserve">= </w:t>
      </w:r>
      <w:r w:rsidR="00637305" w:rsidRPr="00606D67">
        <w:rPr>
          <w:color w:val="000000" w:themeColor="text1"/>
        </w:rPr>
        <w:t>29</w:t>
      </w:r>
      <w:r w:rsidR="00C350A5" w:rsidRPr="00606D67">
        <w:rPr>
          <w:color w:val="000000" w:themeColor="text1"/>
        </w:rPr>
        <w:t>) and low (</w:t>
      </w:r>
      <w:r w:rsidR="00C350A5" w:rsidRPr="00606D67">
        <w:rPr>
          <w:i/>
          <w:iCs/>
          <w:color w:val="000000" w:themeColor="text1"/>
        </w:rPr>
        <w:t>n</w:t>
      </w:r>
      <w:r w:rsidR="00A923F3" w:rsidRPr="00606D67">
        <w:rPr>
          <w:i/>
          <w:iCs/>
          <w:color w:val="000000" w:themeColor="text1"/>
        </w:rPr>
        <w:t xml:space="preserve"> </w:t>
      </w:r>
      <w:r w:rsidR="00C350A5" w:rsidRPr="00606D67">
        <w:rPr>
          <w:color w:val="000000" w:themeColor="text1"/>
        </w:rPr>
        <w:t xml:space="preserve">= </w:t>
      </w:r>
      <w:r w:rsidR="00A923F3" w:rsidRPr="00606D67">
        <w:rPr>
          <w:color w:val="000000" w:themeColor="text1"/>
        </w:rPr>
        <w:t>4</w:t>
      </w:r>
      <w:r w:rsidR="00C350A5" w:rsidRPr="00606D67">
        <w:rPr>
          <w:color w:val="000000" w:themeColor="text1"/>
        </w:rPr>
        <w:t>) quality.</w:t>
      </w:r>
      <w:r w:rsidR="00F13A2E" w:rsidRPr="00606D67">
        <w:rPr>
          <w:color w:val="000000" w:themeColor="text1"/>
        </w:rPr>
        <w:t xml:space="preserve"> </w:t>
      </w:r>
      <w:r w:rsidR="00BD6C2A" w:rsidRPr="00606D67">
        <w:rPr>
          <w:color w:val="000000" w:themeColor="text1"/>
        </w:rPr>
        <w:t xml:space="preserve">Table 1 presents in detail </w:t>
      </w:r>
      <w:r w:rsidR="0078628E" w:rsidRPr="00606D67">
        <w:rPr>
          <w:color w:val="000000" w:themeColor="text1"/>
        </w:rPr>
        <w:t xml:space="preserve">the </w:t>
      </w:r>
      <w:r w:rsidR="00BD6C2A" w:rsidRPr="00606D67">
        <w:rPr>
          <w:color w:val="000000" w:themeColor="text1"/>
        </w:rPr>
        <w:t>characteristics of the included studies.</w:t>
      </w:r>
    </w:p>
    <w:p w14:paraId="49617BE6" w14:textId="77777777" w:rsidR="00AA4926" w:rsidRPr="00606D67" w:rsidRDefault="00AA4926" w:rsidP="00AA4926">
      <w:pPr>
        <w:rPr>
          <w:color w:val="000000" w:themeColor="text1"/>
        </w:rPr>
      </w:pPr>
    </w:p>
    <w:p w14:paraId="5BB673D8" w14:textId="12776DFE" w:rsidR="00AA4926" w:rsidRPr="00606D67" w:rsidRDefault="00AA4926" w:rsidP="00AA4926">
      <w:pPr>
        <w:rPr>
          <w:color w:val="000000" w:themeColor="text1"/>
        </w:rPr>
      </w:pPr>
      <w:r w:rsidRPr="00606D67">
        <w:rPr>
          <w:color w:val="000000" w:themeColor="text1"/>
        </w:rPr>
        <w:t>[</w:t>
      </w:r>
      <w:r w:rsidR="008316A9" w:rsidRPr="00606D67">
        <w:rPr>
          <w:color w:val="000000" w:themeColor="text1"/>
        </w:rPr>
        <w:t>I</w:t>
      </w:r>
      <w:r w:rsidRPr="00606D67">
        <w:rPr>
          <w:color w:val="000000" w:themeColor="text1"/>
        </w:rPr>
        <w:t xml:space="preserve">nsert </w:t>
      </w:r>
      <w:r w:rsidR="008316A9" w:rsidRPr="00606D67">
        <w:rPr>
          <w:color w:val="000000" w:themeColor="text1"/>
        </w:rPr>
        <w:t xml:space="preserve">table 1 </w:t>
      </w:r>
      <w:r w:rsidRPr="00606D67">
        <w:rPr>
          <w:color w:val="000000" w:themeColor="text1"/>
        </w:rPr>
        <w:t xml:space="preserve">here] </w:t>
      </w:r>
    </w:p>
    <w:p w14:paraId="018714BE" w14:textId="61A060C7" w:rsidR="00AA4926" w:rsidRPr="00606D67" w:rsidRDefault="00AA4926" w:rsidP="00AA4926">
      <w:pPr>
        <w:pStyle w:val="Heading2"/>
        <w:rPr>
          <w:color w:val="000000" w:themeColor="text1"/>
        </w:rPr>
      </w:pPr>
      <w:r w:rsidRPr="00606D67">
        <w:rPr>
          <w:color w:val="000000" w:themeColor="text1"/>
        </w:rPr>
        <w:t>Conflict</w:t>
      </w:r>
      <w:r w:rsidR="005D6EAE" w:rsidRPr="00606D67">
        <w:rPr>
          <w:color w:val="000000" w:themeColor="text1"/>
        </w:rPr>
        <w:t xml:space="preserve">, </w:t>
      </w:r>
      <w:r w:rsidRPr="00606D67">
        <w:rPr>
          <w:color w:val="000000" w:themeColor="text1"/>
        </w:rPr>
        <w:t>Violence</w:t>
      </w:r>
      <w:r w:rsidR="005D6EAE" w:rsidRPr="00606D67">
        <w:rPr>
          <w:color w:val="000000" w:themeColor="text1"/>
        </w:rPr>
        <w:t>, and Maltreatment</w:t>
      </w:r>
    </w:p>
    <w:p w14:paraId="6CEBA1A1" w14:textId="295A9A10" w:rsidR="00AA4926" w:rsidRPr="00606D67" w:rsidRDefault="00AA4926" w:rsidP="00AA4926">
      <w:pPr>
        <w:rPr>
          <w:color w:val="000000" w:themeColor="text1"/>
        </w:rPr>
      </w:pPr>
      <w:r w:rsidRPr="00606D67">
        <w:rPr>
          <w:color w:val="000000" w:themeColor="text1"/>
        </w:rPr>
        <w:t xml:space="preserve">Violence was commonly reported as a mental illness determinant across studies </w:t>
      </w:r>
      <w:r w:rsidR="001C6D6D" w:rsidRPr="00606D67">
        <w:rPr>
          <w:color w:val="000000" w:themeColor="text1"/>
        </w:rPr>
        <w:fldChar w:fldCharType="begin"/>
      </w:r>
      <w:r w:rsidR="00017916" w:rsidRPr="00606D67">
        <w:rPr>
          <w:color w:val="000000" w:themeColor="text1"/>
        </w:rPr>
        <w:instrText xml:space="preserve"> ADDIN ZOTERO_ITEM CSL_CITATION {"citationID":"BaLN0CnZ","properties":{"formattedCitation":"(Bhat et al., 2018; Bhattacharya et al., 2019; Nelson &amp; Wilson, 2017; Remes et al., 2021; Sepahvand et al., 2019; Zenebe et al., 2021)","plainCitation":"(Bhat et al., 2018; Bhattacharya et al., 2019; Nelson &amp; Wilson, 2017; Remes et al., 2021; Sepahvand et al., 2019; Zenebe et al., 2021)","noteIndex":0},"citationItems":[{"id":1579,"uris":["http://zotero.org/users/5273986/items/SICWCTCA"],"itemData":{"id":1579,"type":"article-journal","abstract":"Currently, many places in the world are plagued by the various forms of human violence which deeply, directly and negatively affects all aspects of human development. Violence, arising out of armed conflict is one such form of human violence which is affecting millions of lives throughout the world. The witnesses and victims of violent conflict are showing the signs and symptoms of poor physical, psychological and social health. Further, it is playing havoc with the lives of children, adolescents and adults in terms of their education, adjustment and achievement. The impact of conflict in J&amp;K is such that the exposure to actual armed conflict is limited but the effects are in terms of repression, loss of security, loss of income and service access, disrupted schooling, displacement and other forms that have an immense impact on the lives of children and their families. Empirical studies on children in a conflict situation show the determinant effects on children's mental health and well-being. A systematic review to examine the impact of exposure to violent conflict on inhabitant's psychological well-being, physical health, mental health, achievement motivation and academic achievement was conducted. Studies were included if they met the following criteria: investigating the impact on psychological well-being, physical health, mental health, achievement motivation and academic achievement published till September 2017. Research findings reviewed here provide evidence suggesting that exposure to violent conflict impacts cognitive functions, academic progress, physical and mental health of inhabitants. [ABSTRACT FROM AUTHOR] Copyright of Indian Journal of Health &amp; Wellbeing is the property of Indian Association of Health, Research &amp; Welfare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Abstracts.)","archive_location":"134949106","container-title":"Indian Journal of Health &amp; Wellbeing","issue":"8/9","page":"882-886","title":"Impact of exposure to violent conflict on inhabitants: A systematic review","volume":"9","author":[{"family":"Bhat","given":"Aijaz Ahmad"},{"family":"Bhat","given":"Abdul Majeed"},{"family":"Sharma","given":"Hariom"},{"family":"Ahmad","given":"Imran"}],"issued":{"date-parts":[["2018"]]}}},{"id":1580,"uris":["http://zotero.org/users/5273986/items/FH3TZTBG"],"itemData":{"id":1580,"type":"article-journal","abstract":"In India, social determinants of health, including poverty, domestic violence, and inadequate social support disproportionately affect women, leaving them more vulnerable to depression than men. We conducted a metaethnography to synthesize qualitative data from 13 studies (1987–2017) that explored women’s experiences and perceptions of depression in India. We used a feminist standpoint to critically examine how gender shapes these experiences and perceptions. Indian women’s experiences of depression were embedded in their social worlds. Women perceived interpersonal conflict, caregiving burden, domestic violence, financial insecurity, adverse reproductive events and widowhood as causes of depression. Women used cultural expressions to describe physical, emotional, and cognitive distress. The detrimental impact of discriminatory social conditions, gender inequalities, and traditional gender roles on Indian women’s mental health highlights the need for gender-sensitive mental health research and practice that can attend to women’s sociocultural context and promote values of gender equality and social justice. (PsycInfo Database Record (c) 2020 APA, all rights reserved) (Source: journal abstract)","archive_location":"2404067388; 2018-64982-008","container-title":"Qualitative Health Research","DOI":"10.1177/1049732318811702","issue":"1","page":"80-95","title":"Women’s experiences and perceptions of depression in India: A metaethnography","volume":"29","author":[{"family":"Bhattacharya","given":"Anindita"},{"family":"Camacho","given":"David"},{"family":"Kimberly","given":"Laura L."},{"family":"Lukens","given":"Ellen P."}],"issued":{"date-parts":[["2019"]]}}},{"id":1597,"uris":["http://zotero.org/users/5273986/items/3TJ82B38"],"itemData":{"id":1597,"type":"article-journal","abstract":"Many scholars assert that Indigenous peoples across the globe suffer a disproportionate burden of mental illness. Research indicates that colonialism and its associated processes are important determinants of Indigenous peoples’ health internationally. In Canada, despite an abundance of health research documenting inequalities in morbidity and mortality rates for Indigenous peoples, relatively little research has focused on mental health. This paper provides a critical scoping review of the literature related to Indigenous mental health in Canada. We searched eleven databases and two Indigenous health-focused journals for research related to mental health, Indigenous peoples, and Canada, for the years 2006–2016. Over two hundred papers are included in the review and coded according to research theme, population group, and geography. Results demonstrate that the literature is overwhelmingly concerned with issues related to colonialism in mental health services and the prevalence and causes of mental illness among Indigenous peoples in Canada, but with several significant gaps. Mental health research related to Indigenous peoples in Canada overemphasizes suicide and problematic substance use; a more critical use of the concepts of colonialism and historical trauma is advised; and several population groups are underrepresented in research, including Métis peoples and urban or off-reserve Indigenous peoples. The findings are useful in an international context by providing a starting point for discussions, dialogue, and further study regarding mental health research for Indigenous peoples around the world.","container-title":"Social Science and Medicine","DOI":"10.1016/j.socscimed.2017.01.021","page":"93-112","title":"The mental health of Indigenous peoples in Canada: A critical review of research","volume":"176","author":[{"family":"Nelson","given":"S. E."},{"family":"Wilson","given":"K."}],"issued":{"date-parts":[["2017"]]}}},{"id":1603,"uris":["http://zotero.org/users/5273986/items/V6VXANRG"],"itemData":{"id":1603,"type":"article-journal","abstract":"Depression is one of the leading causes of disability, and, if left unmanaged, it can increase the risk for suicide. The evidence base on the determinants of depression is fragmented, which makes the interpretation of the results across studies difficult. The objective of this study is to conduct a thorough synthesis of the literature assessing the biological, psychological, and social determinants of depression in order to piece together the puzzle of the key factors that are related to this condition. Titles and abstracts published between 2017 and 2020 were identified in PubMed, as well as Medline, Scopus, and PsycInfo. Key words relating to biological, social, and psychological determinants as well as depression were applied to the databases, and the screening and data charting of the documents took place. We included 470 documents in this literature review. The findings showed that there are a plethora of risk and protective factors (relating to biological, psychological, and social determinants) that are related to depression; these determinants are interlinked and influence depression outcomes through a web of causation. In this paper, we describe and present the vast, fragmented, and complex literature related to this topic. This review may be used to guide practice, public health efforts, policy, and research related to mental health and, specifically, depression.","container-title":"Brain Sciences","DOI":"10.3390/brainsci11121633","issue":"12","title":"Biological, psychological, and social determinants of depression: A review of recent literature","URL":"https://www.embase.com/search/results?subaction=viewrecord&amp;id=L2015091637&amp;from=export","volume":"11","author":[{"family":"Remes","given":"O."},{"family":"Francisco","given":"J."},{"family":"Templeton","given":"P."}],"issued":{"date-parts":[["2021"]]}}},{"id":1606,"uris":["http://zotero.org/users/5273986/items/SPLSXCVX"],"itemData":{"id":1606,"type":"article-journal","abstract":"Context: Post-traumatic stress disorder (PTSD) is a chronic psychiatric disorder that occurs as a result of an accident or life-threatening event. The purpose of our study was to examine the prevalence of PTSD in the Iranian population from 2000 to 2015 through a meta-analysis of the published studies to review the epidemiologic evidence of PTSD after disasters and wars and to examine PTSD determinants. Evidence Acquisition: The electronic databases including PubMed, Embase, Web of Science, Magiran, etc. were explored to find related papers. Two authors independently reviewed and extracted data via an extraction sheet, and disagreements were resolved by holding a meeting with a third author. Meta-analysis was performed using “metaprop” command in STATA 11 software. Studies with &lt; 25 participants were excluded from our analysis. Results: Ultimately, 47 studies were included in this meta-analysis. Primary PTSD was investigated in 44 studies and secondary PTSD in six studies. Forty studies investigated natural PTSD and five studies technical PTSD. PTSD related to childbirth, job, earthquake, war, burn, accident, and rape events were investigated in seven, six, nine, nine, two, two, and two studies, respectively, and their pooled prevalence were 25%, 30%, 58%, 47%, 40%, 11%, and 74%, respectively. Conclusion: The results revealed that the burden of PTSD among the Iranian population exposed to wars and disasters is high. PTSD was correlated with a range of factors including demographic and background factors and characteristics of the event exposure.","container-title":"Iranian Journal of Psychiatry and Behavioral Sciences","DOI":"10.5812/ijpbs.66124","issue":"1","title":"Prevalence of post-traumatic stress disorder (PTSD) in Iranian population following disasters and wars: A systematic review and meta-analysis","URL":"https://www.embase.com/search/results?subaction=viewrecord&amp;id=L626978979&amp;from=export","volume":"13","author":[{"family":"Sepahvand","given":"H."},{"family":"Hashtjini","given":"M. M."},{"family":"Salesi","given":"M."},{"family":"Sahraei","given":"H."},{"family":"Jahromi","given":"G. P."}],"issued":{"date-parts":[["2019"]]}}},{"id":1615,"uris":["http://zotero.org/users/5273986/items/JF6CT7ED"],"itemData":{"id":1615,"type":"article-journal","abstract":"Background: Depression is a leading cause of disability worldwide and is a major contributor to the overall global burden of disease. It is also one of the most common geriatric psychiatric disorders and a major risk factor for disability and mortality in elderly patients. Even though depression is a common mental health problem in the elderly population, it is undiagnosed in half of the cases. Several studies showed different and inconsistent prevalence rates in the world. Hence, this study aimed to fill the above gap by producing an average prevalence of depression and associated factors in old age. Objective: This study aims to conduct a systematic review and meta-analysis to provide a precise estimate of the prevalence of depression and its determinants among old age. Method: A comprehensive search of PubMed, Scopus, Web of sciences, Google Scholar, and Psych-info from database inception to January 2020. Moreover, the reference list of selected articles was looked at manually to have further eligible articles. The random-effects model was employed during the analysis. Stata-11 was used to determine the average prevalence of depression among old age. A sub-group analysis and sensitivity analysis were also run. A graphical inspection of the funnel plots and Egger’s publication bias plot test were checked for the occurrence of publication bias. Result: A search of the electronic and manual system resulted in 1263 articles. Nevertheless, after the huge screening, 42 relevant studies were identified, including, for this meta-analysis, n = 57,486 elderly populations. The average expected prevalence of depression among old age was 31.74% (95% CI 27.90, 35.59). In the sub-group analysis, the pooled prevalence was higher among developing countries; 40.78% than developed countries; 17.05%), studies utilized Geriatrics Depression Scale-30(GDS-30); 40.60% than studies that used GMS; 18.85%, study instrument, and studies having a lower sample size (40.12%) than studies with the higher sample; 20.19%. Conclusion: A high prevalence rate of depression among the old population in the world was unraveled. This study can be considered as an early warning and advised health professionals, health policymakers, and other pertinent stakeholders to take effective control measures and periodic care for the elderly population.","container-title":"Annals of General Psychiatry","DOI":"10.1186/s12991-021-00375-x","issue":"1","title":"Prevalence and determinants of depression among old age: a systematic review and meta-analysis","URL":"https://www.embase.com/search/results?subaction=viewrecord&amp;id=L2014495283&amp;from=export","volume":"20","author":[{"family":"Zenebe","given":"Y."},{"family":"Akele","given":"B."},{"family":"W/Selassie","given":"M."},{"family":"Necho","given":"M."}],"issued":{"date-parts":[["2021"]]}}}],"schema":"https://github.com/citation-style-language/schema/raw/master/csl-citation.json"} </w:instrText>
      </w:r>
      <w:r w:rsidR="001C6D6D" w:rsidRPr="00606D67">
        <w:rPr>
          <w:color w:val="000000" w:themeColor="text1"/>
        </w:rPr>
        <w:fldChar w:fldCharType="separate"/>
      </w:r>
      <w:r w:rsidR="001C6D6D" w:rsidRPr="00606D67">
        <w:rPr>
          <w:color w:val="000000" w:themeColor="text1"/>
        </w:rPr>
        <w:t>(Bhat et al., 2018; Bhattacharya et al., 2019; Nelson &amp; Wilson, 2017; Remes et al., 2021; Sepahvand et al., 2019; Zenebe et al., 2021)</w:t>
      </w:r>
      <w:r w:rsidR="001C6D6D" w:rsidRPr="00606D67">
        <w:rPr>
          <w:color w:val="000000" w:themeColor="text1"/>
        </w:rPr>
        <w:fldChar w:fldCharType="end"/>
      </w:r>
      <w:r w:rsidRPr="00606D67">
        <w:rPr>
          <w:color w:val="000000" w:themeColor="text1"/>
        </w:rPr>
        <w:t xml:space="preserve">. This included domestic violence </w:t>
      </w:r>
      <w:r w:rsidR="00CF0122" w:rsidRPr="00606D67">
        <w:rPr>
          <w:color w:val="000000" w:themeColor="text1"/>
        </w:rPr>
        <w:fldChar w:fldCharType="begin"/>
      </w:r>
      <w:r w:rsidR="00CF0122" w:rsidRPr="00606D67">
        <w:rPr>
          <w:color w:val="000000" w:themeColor="text1"/>
        </w:rPr>
        <w:instrText xml:space="preserve"> ADDIN ZOTERO_ITEM CSL_CITATION {"citationID":"5V1Rsex3","properties":{"formattedCitation":"(Bhattacharya et al., 2019; Nelson &amp; Wilson, 2017)","plainCitation":"(Bhattacharya et al., 2019; Nelson &amp; Wilson, 2017)","noteIndex":0},"citationItems":[{"id":1580,"uris":["http://zotero.org/users/5273986/items/FH3TZTBG"],"itemData":{"id":1580,"type":"article-journal","abstract":"In India, social determinants of health, including poverty, domestic violence, and inadequate social support disproportionately affect women, leaving them more vulnerable to depression than men. We conducted a metaethnography to synthesize qualitative data from 13 studies (1987–2017) that explored women’s experiences and perceptions of depression in India. We used a feminist standpoint to critically examine how gender shapes these experiences and perceptions. Indian women’s experiences of depression were embedded in their social worlds. Women perceived interpersonal conflict, caregiving burden, domestic violence, financial insecurity, adverse reproductive events and widowhood as causes of depression. Women used cultural expressions to describe physical, emotional, and cognitive distress. The detrimental impact of discriminatory social conditions, gender inequalities, and traditional gender roles on Indian women’s mental health highlights the need for gender-sensitive mental health research and practice that can attend to women’s sociocultural context and promote values of gender equality and social justice. (PsycInfo Database Record (c) 2020 APA, all rights reserved) (Source: journal abstract)","archive_location":"2404067388; 2018-64982-008","container-title":"Qualitative Health Research","DOI":"10.1177/1049732318811702","issue":"1","page":"80-95","title":"Women’s experiences and perceptions of depression in India: A metaethnography","volume":"29","author":[{"family":"Bhattacharya","given":"Anindita"},{"family":"Camacho","given":"David"},{"family":"Kimberly","given":"Laura L."},{"family":"Lukens","given":"Ellen P."}],"issued":{"date-parts":[["2019"]]}}},{"id":1597,"uris":["http://zotero.org/users/5273986/items/3TJ82B38"],"itemData":{"id":1597,"type":"article-journal","abstract":"Many scholars assert that Indigenous peoples across the globe suffer a disproportionate burden of mental illness. Research indicates that colonialism and its associated processes are important determinants of Indigenous peoples’ health internationally. In Canada, despite an abundance of health research documenting inequalities in morbidity and mortality rates for Indigenous peoples, relatively little research has focused on mental health. This paper provides a critical scoping review of the literature related to Indigenous mental health in Canada. We searched eleven databases and two Indigenous health-focused journals for research related to mental health, Indigenous peoples, and Canada, for the years 2006–2016. Over two hundred papers are included in the review and coded according to research theme, population group, and geography. Results demonstrate that the literature is overwhelmingly concerned with issues related to colonialism in mental health services and the prevalence and causes of mental illness among Indigenous peoples in Canada, but with several significant gaps. Mental health research related to Indigenous peoples in Canada overemphasizes suicide and problematic substance use; a more critical use of the concepts of colonialism and historical trauma is advised; and several population groups are underrepresented in research, including Métis peoples and urban or off-reserve Indigenous peoples. The findings are useful in an international context by providing a starting point for discussions, dialogue, and further study regarding mental health research for Indigenous peoples around the world.","container-title":"Social Science and Medicine","DOI":"10.1016/j.socscimed.2017.01.021","page":"93-112","title":"The mental health of Indigenous peoples in Canada: A critical review of research","volume":"176","author":[{"family":"Nelson","given":"S. E."},{"family":"Wilson","given":"K."}],"issued":{"date-parts":[["2017"]]}}}],"schema":"https://github.com/citation-style-language/schema/raw/master/csl-citation.json"} </w:instrText>
      </w:r>
      <w:r w:rsidR="00CF0122" w:rsidRPr="00606D67">
        <w:rPr>
          <w:color w:val="000000" w:themeColor="text1"/>
        </w:rPr>
        <w:fldChar w:fldCharType="separate"/>
      </w:r>
      <w:r w:rsidR="00CF0122" w:rsidRPr="00606D67">
        <w:rPr>
          <w:color w:val="000000" w:themeColor="text1"/>
        </w:rPr>
        <w:t>(Bhattacharya et al., 2019; Nelson &amp; Wilson, 2017)</w:t>
      </w:r>
      <w:r w:rsidR="00CF0122" w:rsidRPr="00606D67">
        <w:rPr>
          <w:color w:val="000000" w:themeColor="text1"/>
        </w:rPr>
        <w:fldChar w:fldCharType="end"/>
      </w:r>
      <w:r w:rsidRPr="00606D67">
        <w:rPr>
          <w:color w:val="000000" w:themeColor="text1"/>
        </w:rPr>
        <w:t xml:space="preserve">, childhood or school violence </w:t>
      </w:r>
      <w:r w:rsidR="00C0383F" w:rsidRPr="00606D67">
        <w:rPr>
          <w:color w:val="000000" w:themeColor="text1"/>
        </w:rPr>
        <w:fldChar w:fldCharType="begin"/>
      </w:r>
      <w:r w:rsidR="00017916" w:rsidRPr="00606D67">
        <w:rPr>
          <w:color w:val="000000" w:themeColor="text1"/>
        </w:rPr>
        <w:instrText xml:space="preserve"> ADDIN ZOTERO_ITEM CSL_CITATION {"citationID":"vaP8YYTt","properties":{"formattedCitation":"(Nelson &amp; Wilson, 2017; Remes et al., 2021)","plainCitation":"(Nelson &amp; Wilson, 2017; Remes et al., 2021)","noteIndex":0},"citationItems":[{"id":1597,"uris":["http://zotero.org/users/5273986/items/3TJ82B38"],"itemData":{"id":1597,"type":"article-journal","abstract":"Many scholars assert that Indigenous peoples across the globe suffer a disproportionate burden of mental illness. Research indicates that colonialism and its associated processes are important determinants of Indigenous peoples’ health internationally. In Canada, despite an abundance of health research documenting inequalities in morbidity and mortality rates for Indigenous peoples, relatively little research has focused on mental health. This paper provides a critical scoping review of the literature related to Indigenous mental health in Canada. We searched eleven databases and two Indigenous health-focused journals for research related to mental health, Indigenous peoples, and Canada, for the years 2006–2016. Over two hundred papers are included in the review and coded according to research theme, population group, and geography. Results demonstrate that the literature is overwhelmingly concerned with issues related to colonialism in mental health services and the prevalence and causes of mental illness among Indigenous peoples in Canada, but with several significant gaps. Mental health research related to Indigenous peoples in Canada overemphasizes suicide and problematic substance use; a more critical use of the concepts of colonialism and historical trauma is advised; and several population groups are underrepresented in research, including Métis peoples and urban or off-reserve Indigenous peoples. The findings are useful in an international context by providing a starting point for discussions, dialogue, and further study regarding mental health research for Indigenous peoples around the world.","container-title":"Social Science and Medicine","DOI":"10.1016/j.socscimed.2017.01.021","page":"93-112","title":"The mental health of Indigenous peoples in Canada: A critical review of research","volume":"176","author":[{"family":"Nelson","given":"S. E."},{"family":"Wilson","given":"K."}],"issued":{"date-parts":[["2017"]]}}},{"id":1603,"uris":["http://zotero.org/users/5273986/items/V6VXANRG"],"itemData":{"id":1603,"type":"article-journal","abstract":"Depression is one of the leading causes of disability, and, if left unmanaged, it can increase the risk for suicide. The evidence base on the determinants of depression is fragmented, which makes the interpretation of the results across studies difficult. The objective of this study is to conduct a thorough synthesis of the literature assessing the biological, psychological, and social determinants of depression in order to piece together the puzzle of the key factors that are related to this condition. Titles and abstracts published between 2017 and 2020 were identified in PubMed, as well as Medline, Scopus, and PsycInfo. Key words relating to biological, social, and psychological determinants as well as depression were applied to the databases, and the screening and data charting of the documents took place. We included 470 documents in this literature review. The findings showed that there are a plethora of risk and protective factors (relating to biological, psychological, and social determinants) that are related to depression; these determinants are interlinked and influence depression outcomes through a web of causation. In this paper, we describe and present the vast, fragmented, and complex literature related to this topic. This review may be used to guide practice, public health efforts, policy, and research related to mental health and, specifically, depression.","container-title":"Brain Sciences","DOI":"10.3390/brainsci11121633","issue":"12","title":"Biological, psychological, and social determinants of depression: A review of recent literature","URL":"https://www.embase.com/search/results?subaction=viewrecord&amp;id=L2015091637&amp;from=export","volume":"11","author":[{"family":"Remes","given":"O."},{"family":"Francisco","given":"J."},{"family":"Templeton","given":"P."}],"issued":{"date-parts":[["2021"]]}}}],"schema":"https://github.com/citation-style-language/schema/raw/master/csl-citation.json"} </w:instrText>
      </w:r>
      <w:r w:rsidR="00C0383F" w:rsidRPr="00606D67">
        <w:rPr>
          <w:color w:val="000000" w:themeColor="text1"/>
        </w:rPr>
        <w:fldChar w:fldCharType="separate"/>
      </w:r>
      <w:r w:rsidR="00C0383F" w:rsidRPr="00606D67">
        <w:rPr>
          <w:color w:val="000000" w:themeColor="text1"/>
        </w:rPr>
        <w:t>(Nelson &amp; Wilson, 2017; Remes et al., 2021)</w:t>
      </w:r>
      <w:r w:rsidR="00C0383F" w:rsidRPr="00606D67">
        <w:rPr>
          <w:color w:val="000000" w:themeColor="text1"/>
        </w:rPr>
        <w:fldChar w:fldCharType="end"/>
      </w:r>
      <w:r w:rsidRPr="00606D67">
        <w:rPr>
          <w:color w:val="000000" w:themeColor="text1"/>
        </w:rPr>
        <w:t xml:space="preserve">, bullying </w:t>
      </w:r>
      <w:r w:rsidR="00EC166A" w:rsidRPr="00606D67">
        <w:rPr>
          <w:color w:val="000000" w:themeColor="text1"/>
        </w:rPr>
        <w:fldChar w:fldCharType="begin"/>
      </w:r>
      <w:r w:rsidR="00017916" w:rsidRPr="00606D67">
        <w:rPr>
          <w:color w:val="000000" w:themeColor="text1"/>
        </w:rPr>
        <w:instrText xml:space="preserve"> ADDIN ZOTERO_ITEM CSL_CITATION {"citationID":"uBp8p1FT","properties":{"formattedCitation":"(Nelson &amp; Wilson, 2017; Remes et al., 2021)","plainCitation":"(Nelson &amp; Wilson, 2017; Remes et al., 2021)","noteIndex":0},"citationItems":[{"id":1597,"uris":["http://zotero.org/users/5273986/items/3TJ82B38"],"itemData":{"id":1597,"type":"article-journal","abstract":"Many scholars assert that Indigenous peoples across the globe suffer a disproportionate burden of mental illness. Research indicates that colonialism and its associated processes are important determinants of Indigenous peoples’ health internationally. In Canada, despite an abundance of health research documenting inequalities in morbidity and mortality rates for Indigenous peoples, relatively little research has focused on mental health. This paper provides a critical scoping review of the literature related to Indigenous mental health in Canada. We searched eleven databases and two Indigenous health-focused journals for research related to mental health, Indigenous peoples, and Canada, for the years 2006–2016. Over two hundred papers are included in the review and coded according to research theme, population group, and geography. Results demonstrate that the literature is overwhelmingly concerned with issues related to colonialism in mental health services and the prevalence and causes of mental illness among Indigenous peoples in Canada, but with several significant gaps. Mental health research related to Indigenous peoples in Canada overemphasizes suicide and problematic substance use; a more critical use of the concepts of colonialism and historical trauma is advised; and several population groups are underrepresented in research, including Métis peoples and urban or off-reserve Indigenous peoples. The findings are useful in an international context by providing a starting point for discussions, dialogue, and further study regarding mental health research for Indigenous peoples around the world.","container-title":"Social Science and Medicine","DOI":"10.1016/j.socscimed.2017.01.021","page":"93-112","title":"The mental health of Indigenous peoples in Canada: A critical review of research","volume":"176","author":[{"family":"Nelson","given":"S. E."},{"family":"Wilson","given":"K."}],"issued":{"date-parts":[["2017"]]}}},{"id":1603,"uris":["http://zotero.org/users/5273986/items/V6VXANRG"],"itemData":{"id":1603,"type":"article-journal","abstract":"Depression is one of the leading causes of disability, and, if left unmanaged, it can increase the risk for suicide. The evidence base on the determinants of depression is fragmented, which makes the interpretation of the results across studies difficult. The objective of this study is to conduct a thorough synthesis of the literature assessing the biological, psychological, and social determinants of depression in order to piece together the puzzle of the key factors that are related to this condition. Titles and abstracts published between 2017 and 2020 were identified in PubMed, as well as Medline, Scopus, and PsycInfo. Key words relating to biological, social, and psychological determinants as well as depression were applied to the databases, and the screening and data charting of the documents took place. We included 470 documents in this literature review. The findings showed that there are a plethora of risk and protective factors (relating to biological, psychological, and social determinants) that are related to depression; these determinants are interlinked and influence depression outcomes through a web of causation. In this paper, we describe and present the vast, fragmented, and complex literature related to this topic. This review may be used to guide practice, public health efforts, policy, and research related to mental health and, specifically, depression.","container-title":"Brain Sciences","DOI":"10.3390/brainsci11121633","issue":"12","title":"Biological, psychological, and social determinants of depression: A review of recent literature","URL":"https://www.embase.com/search/results?subaction=viewrecord&amp;id=L2015091637&amp;from=export","volume":"11","author":[{"family":"Remes","given":"O."},{"family":"Francisco","given":"J."},{"family":"Templeton","given":"P."}],"issued":{"date-parts":[["2021"]]}}}],"schema":"https://github.com/citation-style-language/schema/raw/master/csl-citation.json"} </w:instrText>
      </w:r>
      <w:r w:rsidR="00EC166A" w:rsidRPr="00606D67">
        <w:rPr>
          <w:color w:val="000000" w:themeColor="text1"/>
        </w:rPr>
        <w:fldChar w:fldCharType="separate"/>
      </w:r>
      <w:r w:rsidR="00EC166A" w:rsidRPr="00606D67">
        <w:rPr>
          <w:color w:val="000000" w:themeColor="text1"/>
        </w:rPr>
        <w:t>(Nelson &amp; Wilson, 2017; Remes et al., 2021)</w:t>
      </w:r>
      <w:r w:rsidR="00EC166A" w:rsidRPr="00606D67">
        <w:rPr>
          <w:color w:val="000000" w:themeColor="text1"/>
        </w:rPr>
        <w:fldChar w:fldCharType="end"/>
      </w:r>
      <w:r w:rsidRPr="00606D67">
        <w:rPr>
          <w:color w:val="000000" w:themeColor="text1"/>
        </w:rPr>
        <w:t xml:space="preserve">, armed conflict </w:t>
      </w:r>
      <w:r w:rsidR="009B7FBE" w:rsidRPr="00606D67">
        <w:rPr>
          <w:color w:val="000000" w:themeColor="text1"/>
        </w:rPr>
        <w:fldChar w:fldCharType="begin"/>
      </w:r>
      <w:r w:rsidR="009B7FBE" w:rsidRPr="00606D67">
        <w:rPr>
          <w:color w:val="000000" w:themeColor="text1"/>
        </w:rPr>
        <w:instrText xml:space="preserve"> ADDIN ZOTERO_ITEM CSL_CITATION {"citationID":"WEWYhck7","properties":{"formattedCitation":"(Bhat et al., 2018; Lund et al., 2018; Wichaidit, 2018)","plainCitation":"(Bhat et al., 2018; Lund et al., 2018; Wichaidit, 2018)","noteIndex":0},"citationItems":[{"id":1579,"uris":["http://zotero.org/users/5273986/items/SICWCTCA"],"itemData":{"id":1579,"type":"article-journal","abstract":"Currently, many places in the world are plagued by the various forms of human violence which deeply, directly and negatively affects all aspects of human development. Violence, arising out of armed conflict is one such form of human violence which is affecting millions of lives throughout the world. The witnesses and victims of violent conflict are showing the signs and symptoms of poor physical, psychological and social health. Further, it is playing havoc with the lives of children, adolescents and adults in terms of their education, adjustment and achievement. The impact of conflict in J&amp;K is such that the exposure to actual armed conflict is limited but the effects are in terms of repression, loss of security, loss of income and service access, disrupted schooling, displacement and other forms that have an immense impact on the lives of children and their families. Empirical studies on children in a conflict situation show the determinant effects on children's mental health and well-being. A systematic review to examine the impact of exposure to violent conflict on inhabitant's psychological well-being, physical health, mental health, achievement motivation and academic achievement was conducted. Studies were included if they met the following criteria: investigating the impact on psychological well-being, physical health, mental health, achievement motivation and academic achievement published till September 2017. Research findings reviewed here provide evidence suggesting that exposure to violent conflict impacts cognitive functions, academic progress, physical and mental health of inhabitants. [ABSTRACT FROM AUTHOR] Copyright of Indian Journal of Health &amp; Wellbeing is the property of Indian Association of Health, Research &amp; Welfare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Abstracts.)","archive_location":"134949106","container-title":"Indian Journal of Health &amp; Wellbeing","issue":"8/9","page":"882-886","title":"Impact of exposure to violent conflict on inhabitants: A systematic review","volume":"9","author":[{"family":"Bhat","given":"Aijaz Ahmad"},{"family":"Bhat","given":"Abdul Majeed"},{"family":"Sharma","given":"Hariom"},{"family":"Ahmad","given":"Imran"}],"issued":{"date-parts":[["2018"]]}}},{"id":1394,"uris":["http://zotero.org/users/5273986/items/NG2WJEIQ"],"itemData":{"id":1394,"type":"article-journal","abstract":"Mental health has been included in the UN Sustainable Development Goals. However, uncertainty exists about the extent to which the major social determinants of mental disorders are addressed by these goals. The aim of this study was to develop a conceptual framework for the social determinants of mental disorders that is aligned with the Sustainable Development Goals, to use this framework to systematically review evidence regarding these social determinants, and to identify potential mechanisms and targets for interventions. We did a systematic review of reviews using a conceptual framework comprising demographic, economic, neighbourhood, environmental events, and social and culture domains. We included 289 articles in the final Review. This study sheds new light on how the Sustainable Development Goals are relevant for addressing the social determinants of mental disorders, and how these goals could be optimised to prevent mental disorders.","container-title":"The Lancet Psychiatry","DOI":"10.1016/S2215-0366(18)30060-9","ISSN":"2215-0366","issue":"4","journalAbbreviation":"The Lancet Psychiatry","language":"en","page":"357-369","source":"ScienceDirect","title":"Social determinants of mental disorders and the Sustainable Development Goals: a systematic review of reviews","title-short":"Social determinants of mental disorders and the Sustainable Development Goals","volume":"5","author":[{"family":"Lund","given":"Crick"},{"family":"Brooke-Sumner","given":"Carrie"},{"family":"Baingana","given":"Florence"},{"family":"Baron","given":"Emily Claire"},{"family":"Breuer","given":"Erica"},{"family":"Chandra","given":"Prabha"},{"family":"Haushofer","given":"Johannes"},{"family":"Herrman","given":"Helen"},{"family":"Jordans","given":"Mark"},{"family":"Kieling","given":"Christian"},{"family":"Medina-Mora","given":"Maria Elena"},{"family":"Morgan","given":"Ellen"},{"family":"Omigbodun","given":"Olayinka"},{"family":"Tol","given":"Wietse"},{"family":"Patel","given":"Vikram"},{"family":"Saxena","given":"Shekhar"}],"issued":{"date-parts":[["2018",4,1]]}}},{"id":1610,"uris":["http://zotero.org/users/5273986/items/YQYXHQZ5"],"itemData":{"id":1610,"type":"article-journal","abstract":"Introduction: The Deep South region of Thailand has faced a situation of jihadist insurgency since 2004 with indiscriminate attacks on civilians and more than 19,000 casualties as of September 2016. Despite the large number of casualties, the conflict has received little attention from the international community, and the characteristics and burden of the trauma from the conflict has never been reviewed. Aim: This review describes the trauma associated with the South Thailand insurgency and the burden of trauma on the mental health of the affected population. Materials and Methods: Systematic searches were made in English and Thai using PubMed, Google Scholar, and Google. Sources included research articles in peer-reviewed journals and grey literatures in Thai and English languages published between 2004 and 2016, with “Thailand”, “Insurgency” and “Post-Traumatic Stress Disorder (PTSD)” as keywords. Irrelevant articles were screened out prior to the review. Results: The present review includes 16 articles, of which 2 articles were listed on PubMed, while 14 articles were found by Google Scholar and Google search in Thai. Most articles were cross-sectional studies. Trauma associated with the conflict can be divided into direct trauma, traumatic grief /loss of loved one, and historical trauma. There was a large degree of heterogeneity in the literature with regard to prevalence and determinants of PTSD and other mental health disorders. Conclusion: Prevalence of PTSD and mental health disorders in the insurgency area varied widely and could be subjected to biases. Future studies should consider a more accurate measurement of the association between trauma and PTSD and assess for effect modification by adverse childhood experiences.","container-title":"Journal of Clinical and Diagnostic Research","DOI":"10.7860/JCDR/2018/35017.11722","issue":"7","page":"VE01-VE06","title":"Trauma from armed conflict and the effect on mental health in Thailand’s deep south: A systematic review","volume":"12","author":[{"family":"Wichaidit","given":"W."}],"issued":{"date-parts":[["2018"]]}}}],"schema":"https://github.com/citation-style-language/schema/raw/master/csl-citation.json"} </w:instrText>
      </w:r>
      <w:r w:rsidR="009B7FBE" w:rsidRPr="00606D67">
        <w:rPr>
          <w:color w:val="000000" w:themeColor="text1"/>
        </w:rPr>
        <w:fldChar w:fldCharType="separate"/>
      </w:r>
      <w:r w:rsidR="009B7FBE" w:rsidRPr="00606D67">
        <w:rPr>
          <w:color w:val="000000" w:themeColor="text1"/>
        </w:rPr>
        <w:t>(Bhat et al., 2018; Lund et al., 2018; Wichaidit, 2018)</w:t>
      </w:r>
      <w:r w:rsidR="009B7FBE" w:rsidRPr="00606D67">
        <w:rPr>
          <w:color w:val="000000" w:themeColor="text1"/>
        </w:rPr>
        <w:fldChar w:fldCharType="end"/>
      </w:r>
      <w:r w:rsidRPr="00606D67">
        <w:rPr>
          <w:color w:val="000000" w:themeColor="text1"/>
        </w:rPr>
        <w:t xml:space="preserve">, verbal abuse </w:t>
      </w:r>
      <w:r w:rsidR="00B70D3E" w:rsidRPr="00606D67">
        <w:rPr>
          <w:color w:val="000000" w:themeColor="text1"/>
        </w:rPr>
        <w:fldChar w:fldCharType="begin"/>
      </w:r>
      <w:r w:rsidR="00B70D3E" w:rsidRPr="00606D67">
        <w:rPr>
          <w:color w:val="000000" w:themeColor="text1"/>
        </w:rPr>
        <w:instrText xml:space="preserve"> ADDIN ZOTERO_ITEM CSL_CITATION {"citationID":"w5omotAa","properties":{"formattedCitation":"(Zenebe et al., 2021)","plainCitation":"(Zenebe et al., 2021)","noteIndex":0},"citationItems":[{"id":1615,"uris":["http://zotero.org/users/5273986/items/JF6CT7ED"],"itemData":{"id":1615,"type":"article-journal","abstract":"Background: Depression is a leading cause of disability worldwide and is a major contributor to the overall global burden of disease. It is also one of the most common geriatric psychiatric disorders and a major risk factor for disability and mortality in elderly patients. Even though depression is a common mental health problem in the elderly population, it is undiagnosed in half of the cases. Several studies showed different and inconsistent prevalence rates in the world. Hence, this study aimed to fill the above gap by producing an average prevalence of depression and associated factors in old age. Objective: This study aims to conduct a systematic review and meta-analysis to provide a precise estimate of the prevalence of depression and its determinants among old age. Method: A comprehensive search of PubMed, Scopus, Web of sciences, Google Scholar, and Psych-info from database inception to January 2020. Moreover, the reference list of selected articles was looked at manually to have further eligible articles. The random-effects model was employed during the analysis. Stata-11 was used to determine the average prevalence of depression among old age. A sub-group analysis and sensitivity analysis were also run. A graphical inspection of the funnel plots and Egger’s publication bias plot test were checked for the occurrence of publication bias. Result: A search of the electronic and manual system resulted in 1263 articles. Nevertheless, after the huge screening, 42 relevant studies were identified, including, for this meta-analysis, n = 57,486 elderly populations. The average expected prevalence of depression among old age was 31.74% (95% CI 27.90, 35.59). In the sub-group analysis, the pooled prevalence was higher among developing countries; 40.78% than developed countries; 17.05%), studies utilized Geriatrics Depression Scale-30(GDS-30); 40.60% than studies that used GMS; 18.85%, study instrument, and studies having a lower sample size (40.12%) than studies with the higher sample; 20.19%. Conclusion: A high prevalence rate of depression among the old population in the world was unraveled. This study can be considered as an early warning and advised health professionals, health policymakers, and other pertinent stakeholders to take effective control measures and periodic care for the elderly population.","container-title":"Annals of General Psychiatry","DOI":"10.1186/s12991-021-00375-x","issue":"1","title":"Prevalence and determinants of depression among old age: a systematic review and meta-analysis","URL":"https://www.embase.com/search/results?subaction=viewrecord&amp;id=L2014495283&amp;from=export","volume":"20","author":[{"family":"Zenebe","given":"Y."},{"family":"Akele","given":"B."},{"family":"W/Selassie","given":"M."},{"family":"Necho","given":"M."}],"issued":{"date-parts":[["2021"]]}}}],"schema":"https://github.com/citation-style-language/schema/raw/master/csl-citation.json"} </w:instrText>
      </w:r>
      <w:r w:rsidR="00B70D3E" w:rsidRPr="00606D67">
        <w:rPr>
          <w:color w:val="000000" w:themeColor="text1"/>
        </w:rPr>
        <w:fldChar w:fldCharType="separate"/>
      </w:r>
      <w:r w:rsidR="00B70D3E" w:rsidRPr="00606D67">
        <w:rPr>
          <w:color w:val="000000" w:themeColor="text1"/>
        </w:rPr>
        <w:t>(Zenebe et al., 2021)</w:t>
      </w:r>
      <w:r w:rsidR="00B70D3E" w:rsidRPr="00606D67">
        <w:rPr>
          <w:color w:val="000000" w:themeColor="text1"/>
        </w:rPr>
        <w:fldChar w:fldCharType="end"/>
      </w:r>
      <w:r w:rsidRPr="00606D67">
        <w:rPr>
          <w:color w:val="000000" w:themeColor="text1"/>
        </w:rPr>
        <w:t xml:space="preserve">, sexual abuse </w:t>
      </w:r>
      <w:r w:rsidR="00B70D3E" w:rsidRPr="00606D67">
        <w:rPr>
          <w:color w:val="000000" w:themeColor="text1"/>
        </w:rPr>
        <w:fldChar w:fldCharType="begin"/>
      </w:r>
      <w:r w:rsidR="005B77E7" w:rsidRPr="00606D67">
        <w:rPr>
          <w:color w:val="000000" w:themeColor="text1"/>
        </w:rPr>
        <w:instrText xml:space="preserve"> ADDIN ZOTERO_ITEM CSL_CITATION {"citationID":"DPm4cIW2","properties":{"formattedCitation":"(Nelson &amp; Wilson, 2017; Sepahvand et al., 2019)","plainCitation":"(Nelson &amp; Wilson, 2017; Sepahvand et al., 2019)","noteIndex":0},"citationItems":[{"id":1597,"uris":["http://zotero.org/users/5273986/items/3TJ82B38"],"itemData":{"id":1597,"type":"article-journal","abstract":"Many scholars assert that Indigenous peoples across the globe suffer a disproportionate burden of mental illness. Research indicates that colonialism and its associated processes are important determinants of Indigenous peoples’ health internationally. In Canada, despite an abundance of health research documenting inequalities in morbidity and mortality rates for Indigenous peoples, relatively little research has focused on mental health. This paper provides a critical scoping review of the literature related to Indigenous mental health in Canada. We searched eleven databases and two Indigenous health-focused journals for research related to mental health, Indigenous peoples, and Canada, for the years 2006–2016. Over two hundred papers are included in the review and coded according to research theme, population group, and geography. Results demonstrate that the literature is overwhelmingly concerned with issues related to colonialism in mental health services and the prevalence and causes of mental illness among Indigenous peoples in Canada, but with several significant gaps. Mental health research related to Indigenous peoples in Canada overemphasizes suicide and problematic substance use; a more critical use of the concepts of colonialism and historical trauma is advised; and several population groups are underrepresented in research, including Métis peoples and urban or off-reserve Indigenous peoples. The findings are useful in an international context by providing a starting point for discussions, dialogue, and further study regarding mental health research for Indigenous peoples around the world.","container-title":"Social Science and Medicine","DOI":"10.1016/j.socscimed.2017.01.021","page":"93-112","title":"The mental health of Indigenous peoples in Canada: A critical review of research","volume":"176","author":[{"family":"Nelson","given":"S. E."},{"family":"Wilson","given":"K."}],"issued":{"date-parts":[["2017"]]}}},{"id":1606,"uris":["http://zotero.org/users/5273986/items/SPLSXCVX"],"itemData":{"id":1606,"type":"article-journal","abstract":"Context: Post-traumatic stress disorder (PTSD) is a chronic psychiatric disorder that occurs as a result of an accident or life-threatening event. The purpose of our study was to examine the prevalence of PTSD in the Iranian population from 2000 to 2015 through a meta-analysis of the published studies to review the epidemiologic evidence of PTSD after disasters and wars and to examine PTSD determinants. Evidence Acquisition: The electronic databases including PubMed, Embase, Web of Science, Magiran, etc. were explored to find related papers. Two authors independently reviewed and extracted data via an extraction sheet, and disagreements were resolved by holding a meeting with a third author. Meta-analysis was performed using “metaprop” command in STATA 11 software. Studies with &lt; 25 participants were excluded from our analysis. Results: Ultimately, 47 studies were included in this meta-analysis. Primary PTSD was investigated in 44 studies and secondary PTSD in six studies. Forty studies investigated natural PTSD and five studies technical PTSD. PTSD related to childbirth, job, earthquake, war, burn, accident, and rape events were investigated in seven, six, nine, nine, two, two, and two studies, respectively, and their pooled prevalence were 25%, 30%, 58%, 47%, 40%, 11%, and 74%, respectively. Conclusion: The results revealed that the burden of PTSD among the Iranian population exposed to wars and disasters is high. PTSD was correlated with a range of factors including demographic and background factors and characteristics of the event exposure.","container-title":"Iranian Journal of Psychiatry and Behavioral Sciences","DOI":"10.5812/ijpbs.66124","issue":"1","title":"Prevalence of post-traumatic stress disorder (PTSD) in Iranian population following disasters and wars: A systematic review and meta-analysis","URL":"https://www.embase.com/search/results?subaction=viewrecord&amp;id=L626978979&amp;from=export","volume":"13","author":[{"family":"Sepahvand","given":"H."},{"family":"Hashtjini","given":"M. M."},{"family":"Salesi","given":"M."},{"family":"Sahraei","given":"H."},{"family":"Jahromi","given":"G. P."}],"issued":{"date-parts":[["2019"]]}}}],"schema":"https://github.com/citation-style-language/schema/raw/master/csl-citation.json"} </w:instrText>
      </w:r>
      <w:r w:rsidR="00B70D3E" w:rsidRPr="00606D67">
        <w:rPr>
          <w:color w:val="000000" w:themeColor="text1"/>
        </w:rPr>
        <w:fldChar w:fldCharType="separate"/>
      </w:r>
      <w:r w:rsidR="005B77E7" w:rsidRPr="00606D67">
        <w:rPr>
          <w:color w:val="000000" w:themeColor="text1"/>
        </w:rPr>
        <w:t>(Nelson &amp; Wilson, 2017; Sepahvand et al., 2019)</w:t>
      </w:r>
      <w:r w:rsidR="00B70D3E" w:rsidRPr="00606D67">
        <w:rPr>
          <w:color w:val="000000" w:themeColor="text1"/>
        </w:rPr>
        <w:fldChar w:fldCharType="end"/>
      </w:r>
      <w:r w:rsidRPr="00606D67">
        <w:rPr>
          <w:color w:val="000000" w:themeColor="text1"/>
        </w:rPr>
        <w:t xml:space="preserve">, neighbourhood crime </w:t>
      </w:r>
      <w:r w:rsidR="005B77E7" w:rsidRPr="00606D67">
        <w:rPr>
          <w:color w:val="000000" w:themeColor="text1"/>
        </w:rPr>
        <w:fldChar w:fldCharType="begin"/>
      </w:r>
      <w:r w:rsidR="005B77E7" w:rsidRPr="00606D67">
        <w:rPr>
          <w:color w:val="000000" w:themeColor="text1"/>
        </w:rPr>
        <w:instrText xml:space="preserve"> ADDIN ZOTERO_ITEM CSL_CITATION {"citationID":"lTd9ySIs","properties":{"formattedCitation":"(Baranyi et al., 2021)","plainCitation":"(Baranyi et al., 2021)","noteIndex":0},"citationItems":[{"id":1576,"uris":["http://zotero.org/users/5273986/items/9KE38GAU"],"itemData":{"id":1576,"type":"article-journal","abstract":"Background: Growing evidence indicates that the residential neighbourhood contributes to the complex aetiology of mental disorders. Although local crime and violence, key neighbourhood stressors, may be linked to mental health through direct and indirect pathways, studies are inconclusive. This systematic review and meta-analysis aimed to synthetize the evidence on the association between neighbourhood crime and individual-level mental health problems. Method: We searched 11 electronic databases, grey literature and reference lists to identify relevant studies published before September 14, 2020. Studies were included if they reported confounder-adjusted associations between objective or perceived area-level crime and anxiety, depression, psychosis or psychological distress/internalising symptoms in non-clinical samples. Effect measures were first converted into Fisher's z-s, pooled with three-level random-effects meta-analyses, and then transformed into Pearson's correlation coefficients. Univariate and multivariate mixed-effects models were used to explore between-study heterogeneity. Results: We identified 63 studies reporting associations between neighbourhood crime and residents’ mental health. Pooled associations were significant for depression (r = 0.04, 95% CI 0.03–0.06), psychological distress (r = 0.04, 95% CI 0.02–0.06), anxiety (r = 0.05, 95% CI 0.01–0.10), and psychosis (r = 0.04, 95% CI 0.01–0.07). Moderator analysis for depression and psychological distress identified stronger associations with perceived crime measurement and weaker in studies adjusted for area-level deprivation. Importantly, even after accounting for study characteristics, neighbourhood crime remained significantly linked to depression and psychological distress. Findings on anxiety and psychosis were limited due to low number of included studies. Conclusions: Neighbourhood crime is an important contextual predictor of mental health with implications for prevention and policy. Area-based crime interventions targeting the determinants of crime, prevention and service allocation to high crime neighbourhoods may have public mental health benefits. Future research should investigate the causal pathways between crime exposure and mental health, identify vulnerably groups and explore policy opportunities for buffering against the detrimental effect of neighbourhood stressors. (PsycInfo Database Record (c) 2021 APA, all rights reserved) (Source: journal abstract)","archive_location":"2559463990; 2021-64494-001","container-title":"Social Science &amp; Medicine","DOI":"10.1016/j.socscimed.2021.114106","page":"16","title":"The impact of neighbourhood crime on mental health: A systematic review and meta-analysis","volume":"282","author":[{"family":"Baranyi","given":"Gergő"},{"family":"Di Marco","given":"Martín Hernán"},{"family":"Russ","given":"Tom C."},{"family":"Dibben","given":"Chris"},{"family":"Pearce","given":"Jamie"}],"issued":{"date-parts":[["2021"]]}}}],"schema":"https://github.com/citation-style-language/schema/raw/master/csl-citation.json"} </w:instrText>
      </w:r>
      <w:r w:rsidR="005B77E7" w:rsidRPr="00606D67">
        <w:rPr>
          <w:color w:val="000000" w:themeColor="text1"/>
        </w:rPr>
        <w:fldChar w:fldCharType="separate"/>
      </w:r>
      <w:r w:rsidR="005B77E7" w:rsidRPr="00606D67">
        <w:rPr>
          <w:color w:val="000000" w:themeColor="text1"/>
        </w:rPr>
        <w:t>(Baranyi et al., 2021)</w:t>
      </w:r>
      <w:r w:rsidR="005B77E7" w:rsidRPr="00606D67">
        <w:rPr>
          <w:color w:val="000000" w:themeColor="text1"/>
        </w:rPr>
        <w:fldChar w:fldCharType="end"/>
      </w:r>
      <w:r w:rsidRPr="00606D67">
        <w:rPr>
          <w:color w:val="000000" w:themeColor="text1"/>
        </w:rPr>
        <w:t xml:space="preserve">, and child abuse and neglect </w:t>
      </w:r>
      <w:r w:rsidR="00F6257F" w:rsidRPr="00606D67">
        <w:rPr>
          <w:color w:val="000000" w:themeColor="text1"/>
        </w:rPr>
        <w:fldChar w:fldCharType="begin"/>
      </w:r>
      <w:r w:rsidR="00F6257F" w:rsidRPr="00606D67">
        <w:rPr>
          <w:color w:val="000000" w:themeColor="text1"/>
        </w:rPr>
        <w:instrText xml:space="preserve"> ADDIN ZOTERO_ITEM CSL_CITATION {"citationID":"0xlus6ii","properties":{"formattedCitation":"(Fryers &amp; Brugha, 2013)","plainCitation":"(Fryers &amp; Brugha, 2013)","noteIndex":0},"citationItems":[{"id":1585,"uris":["http://zotero.org/users/5273986/items/SRSGHXZD"],"itemData":{"id":1585,"type":"article-journal","abstract":"The aim of this project was to assess the current evidence from longitudinal studies for childhood determinants of adult mental illness. Because of the variable and often prolonged period between factors in childhood and the identification of mental illness in adults, prospective studies, particularly birth cohorts, offer the best chance of demonstrating associations in individuals. A review was undertaken in 2006 of the published literature from longitudinal studies, together with some large-scale retrospective studies and relevant reviews which provided supplementary evidence. The main focus was upon potentially ameliorable characteristics, experiences or situations of childhood; however, other factors, not determinants but precursors, associated with later mental illness could not be left out. Seven major electronic data-bases of published research were interrogated with a range of key-words and the results supplemented from personal searches, enquiries and reference trails. In excess of 1,500 abstracts were read to select 250 papers for full review. The material was assessed in relation to ten factors: Psychological disturbance; Genetic Influences; Neurological Deviance; Neuroticism; Behaviour; School Performance; Adversity; Child Abuse or Neglect; Parenting and parent-child relationships; Disrupted and Disfunctional Families. In 2011 the search was repeated for the period 2006 to mid-2011, using the same search terms and supplemented in the same manner. Over 1,800 abstracts emerged and almost 200 papers selected for more detailed review. These were then integrated into the original text with modifications where necessary. The whole text was then revised and edited in January / February 2012. There is continuing evidence for the association with later mental ill-health for each of these ten factors, but with different degrees of conviction. The evidence for each is discussed in detail and weighed both separately and in relation to others. These are then summarised, and the research implications are considered. Finally, the implications for prevention are discussed together with the practical potential for preventive and health-promoting programmes. (PsycINFO Database Record (c) 2016 APA, all rights reserved) (Source: journal abstract)","archive_location":"1611623568; 2014-39723-001","container-title":"Clinical Practice and Epidemiology in Mental Health","DOI":"10.2174/1745017901309010001","page":"50","title":"Childhood determinants of adult psychiatric disorder","volume":"9","author":[{"family":"Fryers","given":"Tom"},{"family":"Brugha","given":"Traolach"}],"issued":{"date-parts":[["2013"]]}}}],"schema":"https://github.com/citation-style-language/schema/raw/master/csl-citation.json"} </w:instrText>
      </w:r>
      <w:r w:rsidR="00F6257F" w:rsidRPr="00606D67">
        <w:rPr>
          <w:color w:val="000000" w:themeColor="text1"/>
        </w:rPr>
        <w:fldChar w:fldCharType="separate"/>
      </w:r>
      <w:r w:rsidR="00F6257F" w:rsidRPr="00606D67">
        <w:rPr>
          <w:color w:val="000000" w:themeColor="text1"/>
        </w:rPr>
        <w:t>(Fryers &amp; Brugha, 2013)</w:t>
      </w:r>
      <w:r w:rsidR="00F6257F" w:rsidRPr="00606D67">
        <w:rPr>
          <w:color w:val="000000" w:themeColor="text1"/>
        </w:rPr>
        <w:fldChar w:fldCharType="end"/>
      </w:r>
      <w:r w:rsidRPr="00606D67">
        <w:rPr>
          <w:color w:val="000000" w:themeColor="text1"/>
        </w:rPr>
        <w:t>. Child marriage was found</w:t>
      </w:r>
      <w:r w:rsidR="00A92628" w:rsidRPr="00606D67">
        <w:rPr>
          <w:color w:val="000000" w:themeColor="text1"/>
        </w:rPr>
        <w:t xml:space="preserve"> to</w:t>
      </w:r>
      <w:r w:rsidRPr="00606D67">
        <w:rPr>
          <w:color w:val="000000" w:themeColor="text1"/>
        </w:rPr>
        <w:t xml:space="preserve"> be significantly associated with a range of mental health outcomes for women that married before the age of 18 </w:t>
      </w:r>
      <w:r w:rsidR="00F6257F" w:rsidRPr="00606D67">
        <w:rPr>
          <w:color w:val="000000" w:themeColor="text1"/>
        </w:rPr>
        <w:fldChar w:fldCharType="begin"/>
      </w:r>
      <w:r w:rsidR="00F6257F" w:rsidRPr="00606D67">
        <w:rPr>
          <w:color w:val="000000" w:themeColor="text1"/>
        </w:rPr>
        <w:instrText xml:space="preserve"> ADDIN ZOTERO_ITEM CSL_CITATION {"citationID":"sEhwWg9g","properties":{"formattedCitation":"(Fan &amp; Koski, 2022)","plainCitation":"(Fan &amp; Koski, 2022)","noteIndex":0},"citationItems":[{"id":1584,"uris":["http://zotero.org/users/5273986/items/ALEYC8HJ"],"itemData":{"id":1584,"type":"article-journal","abstract":"BACKGROUND: Child marriage, defined as marriage before 18 years of age, is a violation of human rights and a marker of gender inequality. Growing attention to this issue on the global development agenda also reflects concerns that it may negatively impact health. We conducted a systematic review to synthesize existing research on the consequences of child marriage on health and to assess the risk of bias in this body of literature. METHODS AND FINDINGS: We searched databases focused on biomedicine and global health for studies that estimated the effect of marrying before the age of 18 on any physical or mental health outcome or health behaviour. We identified 58 eligible articles, nearly all of which relied on cross-sectional data sources from sub-Saharan Africa or South Asia. The most studied health outcomes were indicators of fertility and fertility control, maternal health care, and intimate partner violence. All studies were at serious to critical risk of bias. Research consistently found that women who marry before the age of 18 begin having children at earlier ages and give birth to a larger number of children when compared to those who marry at 18 or later, but whether these outcomes were desired was not considered. Across studies, women who married as children were also consistently less likely to give birth in health care facilities or with assistance from skilled providers. Studies also uniformly concluded that child marriage increases the likelihood of experiencing physical violence from an intimate partner. However, research in many other domains, including use of contraception, unwanted pregnancy, and sexual violence came to divergent conclusions and challenge some common narratives regarding child marriage. CONCLUSIONS: There are many reasons to be concerned about child marriage. However, evidence that child marriage causes the health outcomes described in this review is severely limited. There is more heterogeneity in the results of these studies than is often recognized. For these reasons, greater caution is warranted when discussing the potential impact of child marriage on health. We provide suggestions for avoiding common biases and improving the strength of the evidence on this subject. TRIAL REGISTRATION: The protocol of this systematic review was registered with PROSPERO (CRD42020182652) in May 2020.","archive_location":"35164724","container-title":"BMC Public Health","DOI":"10.1186/s12889-022-12707-x","issue":"1","page":"309","title":"The health consequences of child marriage: a systematic review of the evidence","volume":"22","author":[{"family":"Fan","given":"S."},{"family":"Koski","given":"A."}],"issued":{"date-parts":[["2022"]]}}}],"schema":"https://github.com/citation-style-language/schema/raw/master/csl-citation.json"} </w:instrText>
      </w:r>
      <w:r w:rsidR="00F6257F" w:rsidRPr="00606D67">
        <w:rPr>
          <w:color w:val="000000" w:themeColor="text1"/>
        </w:rPr>
        <w:fldChar w:fldCharType="separate"/>
      </w:r>
      <w:r w:rsidR="00F6257F" w:rsidRPr="00606D67">
        <w:rPr>
          <w:color w:val="000000" w:themeColor="text1"/>
        </w:rPr>
        <w:t>(Fan &amp; Koski, 2022)</w:t>
      </w:r>
      <w:r w:rsidR="00F6257F" w:rsidRPr="00606D67">
        <w:rPr>
          <w:color w:val="000000" w:themeColor="text1"/>
        </w:rPr>
        <w:fldChar w:fldCharType="end"/>
      </w:r>
      <w:r w:rsidRPr="00606D67">
        <w:rPr>
          <w:color w:val="000000" w:themeColor="text1"/>
        </w:rPr>
        <w:t xml:space="preserve">. Protests, riots, and revolutions also impacted mental health, with </w:t>
      </w:r>
      <w:r w:rsidRPr="00606D67">
        <w:rPr>
          <w:color w:val="000000" w:themeColor="text1"/>
        </w:rPr>
        <w:lastRenderedPageBreak/>
        <w:t xml:space="preserve">significant effects seen regardless of level of involvement or whether the protests were violent or nonviolent </w:t>
      </w:r>
      <w:r w:rsidR="003C482E" w:rsidRPr="00606D67">
        <w:rPr>
          <w:color w:val="000000" w:themeColor="text1"/>
        </w:rPr>
        <w:fldChar w:fldCharType="begin"/>
      </w:r>
      <w:r w:rsidR="003C482E" w:rsidRPr="00606D67">
        <w:rPr>
          <w:color w:val="000000" w:themeColor="text1"/>
        </w:rPr>
        <w:instrText xml:space="preserve"> ADDIN ZOTERO_ITEM CSL_CITATION {"citationID":"66wRBpak","properties":{"formattedCitation":"(Ni et al., 2020)","plainCitation":"(Ni et al., 2020)","noteIndex":0},"citationItems":[{"id":1598,"uris":["http://zotero.org/users/5273986/items/RL53BLXE"],"itemData":{"id":1598,"type":"article-journal","abstract":"OBJECTIVES: Protests, riots and revolutions have long been a part of human history and are increasing globally, yet their impact on mental health remains largely unknown. We therefore systematically reviewed studies on collective actions and mental health. METHOD: We searched PubMed, Web of Science, PsycINFO and CINAHL Plus for published studies from their inception until 1 January 2018. Study quality was rated using the Newcastle-Ottawa Scale. RESULTS: We identified 52 studies (n = 57,487 participants) from 20 countries/regions. The prevalence of post-traumatic stress disorder ranged from 4% to 41% in riot-affected areas. Following a major protest, the prevalence of probable major depression increased by 7%, regardless of personal involvement in the protests, suggestive of community spillover effects. Risk factors for poorer mental health included female sex, lower socioeconomic status, exposure to violence, interpersonal conflicts, frequent social media use and lower resilience and social support. Nevertheless, two studies suggested that collective actions may reduce depression and suicide, possibly due to a collective cathartic experience and greater social cohesion within subpopulations. CONCLUSION: We present the first systematic review of collective actions and mental health, showing compelling evidence that protests even when nonviolent can be associated with adverse mental health outcomes. Health care professionals therefore need to be vigilant to the mental and psychological sequelae of protests, riots and revolutions. Further research on this emerging sociopolitical determinant of mental health is warranted.","archive_location":"31989834","container-title":"Aust N Z J Psychiatry","DOI":"10.1177/0004867419899165","issue":"3","page":"232-243","title":"Mental health during and after protests, riots and revolutions: A systematic review","volume":"54","author":[{"family":"Ni","given":"M. Y."},{"family":"Kim","given":"Y."},{"family":"McDowell","given":"I."},{"family":"Wong","given":"S."},{"family":"Qiu","given":"H."},{"family":"Wong","given":"I. O."},{"family":"Galea","given":"S."},{"family":"Leung","given":"G. M."}],"issued":{"date-parts":[["2020"]]}}}],"schema":"https://github.com/citation-style-language/schema/raw/master/csl-citation.json"} </w:instrText>
      </w:r>
      <w:r w:rsidR="003C482E" w:rsidRPr="00606D67">
        <w:rPr>
          <w:color w:val="000000" w:themeColor="text1"/>
        </w:rPr>
        <w:fldChar w:fldCharType="separate"/>
      </w:r>
      <w:r w:rsidR="003C482E" w:rsidRPr="00606D67">
        <w:rPr>
          <w:color w:val="000000" w:themeColor="text1"/>
        </w:rPr>
        <w:t>(Ni et al., 2020)</w:t>
      </w:r>
      <w:r w:rsidR="003C482E" w:rsidRPr="00606D67">
        <w:rPr>
          <w:color w:val="000000" w:themeColor="text1"/>
        </w:rPr>
        <w:fldChar w:fldCharType="end"/>
      </w:r>
      <w:r w:rsidRPr="00606D67">
        <w:rPr>
          <w:color w:val="000000" w:themeColor="text1"/>
        </w:rPr>
        <w:t xml:space="preserve">. </w:t>
      </w:r>
    </w:p>
    <w:p w14:paraId="26A4959A" w14:textId="71DC991C" w:rsidR="00AA4926" w:rsidRPr="00606D67" w:rsidRDefault="00AA4926" w:rsidP="00AA4926">
      <w:pPr>
        <w:pStyle w:val="Heading2"/>
        <w:rPr>
          <w:color w:val="000000" w:themeColor="text1"/>
        </w:rPr>
      </w:pPr>
      <w:r w:rsidRPr="00606D67">
        <w:rPr>
          <w:color w:val="000000" w:themeColor="text1"/>
        </w:rPr>
        <w:t>Live Events and E</w:t>
      </w:r>
      <w:r w:rsidR="00082065" w:rsidRPr="00606D67">
        <w:rPr>
          <w:color w:val="000000" w:themeColor="text1"/>
        </w:rPr>
        <w:t>xperiences</w:t>
      </w:r>
      <w:r w:rsidRPr="00606D67">
        <w:rPr>
          <w:color w:val="000000" w:themeColor="text1"/>
        </w:rPr>
        <w:t xml:space="preserve"> </w:t>
      </w:r>
    </w:p>
    <w:p w14:paraId="4BDD3D86" w14:textId="7EFE191C" w:rsidR="00AA4926" w:rsidRPr="00606D67" w:rsidRDefault="00AA4926" w:rsidP="00AA4926">
      <w:pPr>
        <w:rPr>
          <w:color w:val="000000" w:themeColor="text1"/>
        </w:rPr>
      </w:pPr>
      <w:r w:rsidRPr="00606D67">
        <w:rPr>
          <w:color w:val="000000" w:themeColor="text1"/>
        </w:rPr>
        <w:t xml:space="preserve">Life experiences and events were reported to negatively impact health in several of the included reviews </w:t>
      </w:r>
      <w:r w:rsidR="002A6564" w:rsidRPr="00606D67">
        <w:rPr>
          <w:color w:val="000000" w:themeColor="text1"/>
        </w:rPr>
        <w:fldChar w:fldCharType="begin"/>
      </w:r>
      <w:r w:rsidR="00017916" w:rsidRPr="00606D67">
        <w:rPr>
          <w:color w:val="000000" w:themeColor="text1"/>
        </w:rPr>
        <w:instrText xml:space="preserve"> ADDIN ZOTERO_ITEM CSL_CITATION {"citationID":"EXvFYLc5","properties":{"formattedCitation":"(Bhattacharya et al., 2019; Lund et al., 2018; Remes et al., 2021; Sepahvand et al., 2019; Zenebe et al., 2021)","plainCitation":"(Bhattacharya et al., 2019; Lund et al., 2018; Remes et al., 2021; Sepahvand et al., 2019; Zenebe et al., 2021)","noteIndex":0},"citationItems":[{"id":1580,"uris":["http://zotero.org/users/5273986/items/FH3TZTBG"],"itemData":{"id":1580,"type":"article-journal","abstract":"In India, social determinants of health, including poverty, domestic violence, and inadequate social support disproportionately affect women, leaving them more vulnerable to depression than men. We conducted a metaethnography to synthesize qualitative data from 13 studies (1987–2017) that explored women’s experiences and perceptions of depression in India. We used a feminist standpoint to critically examine how gender shapes these experiences and perceptions. Indian women’s experiences of depression were embedded in their social worlds. Women perceived interpersonal conflict, caregiving burden, domestic violence, financial insecurity, adverse reproductive events and widowhood as causes of depression. Women used cultural expressions to describe physical, emotional, and cognitive distress. The detrimental impact of discriminatory social conditions, gender inequalities, and traditional gender roles on Indian women’s mental health highlights the need for gender-sensitive mental health research and practice that can attend to women’s sociocultural context and promote values of gender equality and social justice. (PsycInfo Database Record (c) 2020 APA, all rights reserved) (Source: journal abstract)","archive_location":"2404067388; 2018-64982-008","container-title":"Qualitative Health Research","DOI":"10.1177/1049732318811702","issue":"1","page":"80-95","title":"Women’s experiences and perceptions of depression in India: A metaethnography","volume":"29","author":[{"family":"Bhattacharya","given":"Anindita"},{"family":"Camacho","given":"David"},{"family":"Kimberly","given":"Laura L."},{"family":"Lukens","given":"Ellen P."}],"issued":{"date-parts":[["2019"]]}}},{"id":1394,"uris":["http://zotero.org/users/5273986/items/NG2WJEIQ"],"itemData":{"id":1394,"type":"article-journal","abstract":"Mental health has been included in the UN Sustainable Development Goals. However, uncertainty exists about the extent to which the major social determinants of mental disorders are addressed by these goals. The aim of this study was to develop a conceptual framework for the social determinants of mental disorders that is aligned with the Sustainable Development Goals, to use this framework to systematically review evidence regarding these social determinants, and to identify potential mechanisms and targets for interventions. We did a systematic review of reviews using a conceptual framework comprising demographic, economic, neighbourhood, environmental events, and social and culture domains. We included 289 articles in the final Review. This study sheds new light on how the Sustainable Development Goals are relevant for addressing the social determinants of mental disorders, and how these goals could be optimised to prevent mental disorders.","container-title":"The Lancet Psychiatry","DOI":"10.1016/S2215-0366(18)30060-9","ISSN":"2215-0366","issue":"4","journalAbbreviation":"The Lancet Psychiatry","language":"en","page":"357-369","source":"ScienceDirect","title":"Social determinants of mental disorders and the Sustainable Development Goals: a systematic review of reviews","title-short":"Social determinants of mental disorders and the Sustainable Development Goals","volume":"5","author":[{"family":"Lund","given":"Crick"},{"family":"Brooke-Sumner","given":"Carrie"},{"family":"Baingana","given":"Florence"},{"family":"Baron","given":"Emily Claire"},{"family":"Breuer","given":"Erica"},{"family":"Chandra","given":"Prabha"},{"family":"Haushofer","given":"Johannes"},{"family":"Herrman","given":"Helen"},{"family":"Jordans","given":"Mark"},{"family":"Kieling","given":"Christian"},{"family":"Medina-Mora","given":"Maria Elena"},{"family":"Morgan","given":"Ellen"},{"family":"Omigbodun","given":"Olayinka"},{"family":"Tol","given":"Wietse"},{"family":"Patel","given":"Vikram"},{"family":"Saxena","given":"Shekhar"}],"issued":{"date-parts":[["2018",4,1]]}}},{"id":1603,"uris":["http://zotero.org/users/5273986/items/V6VXANRG"],"itemData":{"id":1603,"type":"article-journal","abstract":"Depression is one of the leading causes of disability, and, if left unmanaged, it can increase the risk for suicide. The evidence base on the determinants of depression is fragmented, which makes the interpretation of the results across studies difficult. The objective of this study is to conduct a thorough synthesis of the literature assessing the biological, psychological, and social determinants of depression in order to piece together the puzzle of the key factors that are related to this condition. Titles and abstracts published between 2017 and 2020 were identified in PubMed, as well as Medline, Scopus, and PsycInfo. Key words relating to biological, social, and psychological determinants as well as depression were applied to the databases, and the screening and data charting of the documents took place. We included 470 documents in this literature review. The findings showed that there are a plethora of risk and protective factors (relating to biological, psychological, and social determinants) that are related to depression; these determinants are interlinked and influence depression outcomes through a web of causation. In this paper, we describe and present the vast, fragmented, and complex literature related to this topic. This review may be used to guide practice, public health efforts, policy, and research related to mental health and, specifically, depression.","container-title":"Brain Sciences","DOI":"10.3390/brainsci11121633","issue":"12","title":"Biological, psychological, and social determinants of depression: A review of recent literature","URL":"https://www.embase.com/search/results?subaction=viewrecord&amp;id=L2015091637&amp;from=export","volume":"11","author":[{"family":"Remes","given":"O."},{"family":"Francisco","given":"J."},{"family":"Templeton","given":"P."}],"issued":{"date-parts":[["2021"]]}}},{"id":1606,"uris":["http://zotero.org/users/5273986/items/SPLSXCVX"],"itemData":{"id":1606,"type":"article-journal","abstract":"Context: Post-traumatic stress disorder (PTSD) is a chronic psychiatric disorder that occurs as a result of an accident or life-threatening event. The purpose of our study was to examine the prevalence of PTSD in the Iranian population from 2000 to 2015 through a meta-analysis of the published studies to review the epidemiologic evidence of PTSD after disasters and wars and to examine PTSD determinants. Evidence Acquisition: The electronic databases including PubMed, Embase, Web of Science, Magiran, etc. were explored to find related papers. Two authors independently reviewed and extracted data via an extraction sheet, and disagreements were resolved by holding a meeting with a third author. Meta-analysis was performed using “metaprop” command in STATA 11 software. Studies with &lt; 25 participants were excluded from our analysis. Results: Ultimately, 47 studies were included in this meta-analysis. Primary PTSD was investigated in 44 studies and secondary PTSD in six studies. Forty studies investigated natural PTSD and five studies technical PTSD. PTSD related to childbirth, job, earthquake, war, burn, accident, and rape events were investigated in seven, six, nine, nine, two, two, and two studies, respectively, and their pooled prevalence were 25%, 30%, 58%, 47%, 40%, 11%, and 74%, respectively. Conclusion: The results revealed that the burden of PTSD among the Iranian population exposed to wars and disasters is high. PTSD was correlated with a range of factors including demographic and background factors and characteristics of the event exposure.","container-title":"Iranian Journal of Psychiatry and Behavioral Sciences","DOI":"10.5812/ijpbs.66124","issue":"1","title":"Prevalence of post-traumatic stress disorder (PTSD) in Iranian population following disasters and wars: A systematic review and meta-analysis","URL":"https://www.embase.com/search/results?subaction=viewrecord&amp;id=L626978979&amp;from=export","volume":"13","author":[{"family":"Sepahvand","given":"H."},{"family":"Hashtjini","given":"M. M."},{"family":"Salesi","given":"M."},{"family":"Sahraei","given":"H."},{"family":"Jahromi","given":"G. P."}],"issued":{"date-parts":[["2019"]]}}},{"id":1615,"uris":["http://zotero.org/users/5273986/items/JF6CT7ED"],"itemData":{"id":1615,"type":"article-journal","abstract":"Background: Depression is a leading cause of disability worldwide and is a major contributor to the overall global burden of disease. It is also one of the most common geriatric psychiatric disorders and a major risk factor for disability and mortality in elderly patients. Even though depression is a common mental health problem in the elderly population, it is undiagnosed in half of the cases. Several studies showed different and inconsistent prevalence rates in the world. Hence, this study aimed to fill the above gap by producing an average prevalence of depression and associated factors in old age. Objective: This study aims to conduct a systematic review and meta-analysis to provide a precise estimate of the prevalence of depression and its determinants among old age. Method: A comprehensive search of PubMed, Scopus, Web of sciences, Google Scholar, and Psych-info from database inception to January 2020. Moreover, the reference list of selected articles was looked at manually to have further eligible articles. The random-effects model was employed during the analysis. Stata-11 was used to determine the average prevalence of depression among old age. A sub-group analysis and sensitivity analysis were also run. A graphical inspection of the funnel plots and Egger’s publication bias plot test were checked for the occurrence of publication bias. Result: A search of the electronic and manual system resulted in 1263 articles. Nevertheless, after the huge screening, 42 relevant studies were identified, including, for this meta-analysis, n = 57,486 elderly populations. The average expected prevalence of depression among old age was 31.74% (95% CI 27.90, 35.59). In the sub-group analysis, the pooled prevalence was higher among developing countries; 40.78% than developed countries; 17.05%), studies utilized Geriatrics Depression Scale-30(GDS-30); 40.60% than studies that used GMS; 18.85%, study instrument, and studies having a lower sample size (40.12%) than studies with the higher sample; 20.19%. Conclusion: A high prevalence rate of depression among the old population in the world was unraveled. This study can be considered as an early warning and advised health professionals, health policymakers, and other pertinent stakeholders to take effective control measures and periodic care for the elderly population.","container-title":"Annals of General Psychiatry","DOI":"10.1186/s12991-021-00375-x","issue":"1","title":"Prevalence and determinants of depression among old age: a systematic review and meta-analysis","URL":"https://www.embase.com/search/results?subaction=viewrecord&amp;id=L2014495283&amp;from=export","volume":"20","author":[{"family":"Zenebe","given":"Y."},{"family":"Akele","given":"B."},{"family":"W/Selassie","given":"M."},{"family":"Necho","given":"M."}],"issued":{"date-parts":[["2021"]]}}}],"schema":"https://github.com/citation-style-language/schema/raw/master/csl-citation.json"} </w:instrText>
      </w:r>
      <w:r w:rsidR="002A6564" w:rsidRPr="00606D67">
        <w:rPr>
          <w:color w:val="000000" w:themeColor="text1"/>
        </w:rPr>
        <w:fldChar w:fldCharType="separate"/>
      </w:r>
      <w:r w:rsidR="002A6564" w:rsidRPr="00606D67">
        <w:rPr>
          <w:color w:val="000000" w:themeColor="text1"/>
        </w:rPr>
        <w:t>(Bhattacharya et al., 2019; Lund et al., 2018; Remes et al., 2021; Sepahvand et al., 2019; Zenebe et al., 2021)</w:t>
      </w:r>
      <w:r w:rsidR="002A6564" w:rsidRPr="00606D67">
        <w:rPr>
          <w:color w:val="000000" w:themeColor="text1"/>
        </w:rPr>
        <w:fldChar w:fldCharType="end"/>
      </w:r>
      <w:r w:rsidRPr="00606D67">
        <w:rPr>
          <w:color w:val="000000" w:themeColor="text1"/>
        </w:rPr>
        <w:t xml:space="preserve">. Specific events included natural disasters </w:t>
      </w:r>
      <w:r w:rsidR="009212AC" w:rsidRPr="00606D67">
        <w:rPr>
          <w:color w:val="000000" w:themeColor="text1"/>
        </w:rPr>
        <w:fldChar w:fldCharType="begin"/>
      </w:r>
      <w:r w:rsidR="009212AC" w:rsidRPr="00606D67">
        <w:rPr>
          <w:color w:val="000000" w:themeColor="text1"/>
        </w:rPr>
        <w:instrText xml:space="preserve"> ADDIN ZOTERO_ITEM CSL_CITATION {"citationID":"7Oxf9KPi","properties":{"formattedCitation":"(Lund et al., 2018; Sepahvand et al., 2019)","plainCitation":"(Lund et al., 2018; Sepahvand et al., 2019)","noteIndex":0},"citationItems":[{"id":1394,"uris":["http://zotero.org/users/5273986/items/NG2WJEIQ"],"itemData":{"id":1394,"type":"article-journal","abstract":"Mental health has been included in the UN Sustainable Development Goals. However, uncertainty exists about the extent to which the major social determinants of mental disorders are addressed by these goals. The aim of this study was to develop a conceptual framework for the social determinants of mental disorders that is aligned with the Sustainable Development Goals, to use this framework to systematically review evidence regarding these social determinants, and to identify potential mechanisms and targets for interventions. We did a systematic review of reviews using a conceptual framework comprising demographic, economic, neighbourhood, environmental events, and social and culture domains. We included 289 articles in the final Review. This study sheds new light on how the Sustainable Development Goals are relevant for addressing the social determinants of mental disorders, and how these goals could be optimised to prevent mental disorders.","container-title":"The Lancet Psychiatry","DOI":"10.1016/S2215-0366(18)30060-9","ISSN":"2215-0366","issue":"4","journalAbbreviation":"The Lancet Psychiatry","language":"en","page":"357-369","source":"ScienceDirect","title":"Social determinants of mental disorders and the Sustainable Development Goals: a systematic review of reviews","title-short":"Social determinants of mental disorders and the Sustainable Development Goals","volume":"5","author":[{"family":"Lund","given":"Crick"},{"family":"Brooke-Sumner","given":"Carrie"},{"family":"Baingana","given":"Florence"},{"family":"Baron","given":"Emily Claire"},{"family":"Breuer","given":"Erica"},{"family":"Chandra","given":"Prabha"},{"family":"Haushofer","given":"Johannes"},{"family":"Herrman","given":"Helen"},{"family":"Jordans","given":"Mark"},{"family":"Kieling","given":"Christian"},{"family":"Medina-Mora","given":"Maria Elena"},{"family":"Morgan","given":"Ellen"},{"family":"Omigbodun","given":"Olayinka"},{"family":"Tol","given":"Wietse"},{"family":"Patel","given":"Vikram"},{"family":"Saxena","given":"Shekhar"}],"issued":{"date-parts":[["2018",4,1]]}}},{"id":1606,"uris":["http://zotero.org/users/5273986/items/SPLSXCVX"],"itemData":{"id":1606,"type":"article-journal","abstract":"Context: Post-traumatic stress disorder (PTSD) is a chronic psychiatric disorder that occurs as a result of an accident or life-threatening event. The purpose of our study was to examine the prevalence of PTSD in the Iranian population from 2000 to 2015 through a meta-analysis of the published studies to review the epidemiologic evidence of PTSD after disasters and wars and to examine PTSD determinants. Evidence Acquisition: The electronic databases including PubMed, Embase, Web of Science, Magiran, etc. were explored to find related papers. Two authors independently reviewed and extracted data via an extraction sheet, and disagreements were resolved by holding a meeting with a third author. Meta-analysis was performed using “metaprop” command in STATA 11 software. Studies with &lt; 25 participants were excluded from our analysis. Results: Ultimately, 47 studies were included in this meta-analysis. Primary PTSD was investigated in 44 studies and secondary PTSD in six studies. Forty studies investigated natural PTSD and five studies technical PTSD. PTSD related to childbirth, job, earthquake, war, burn, accident, and rape events were investigated in seven, six, nine, nine, two, two, and two studies, respectively, and their pooled prevalence were 25%, 30%, 58%, 47%, 40%, 11%, and 74%, respectively. Conclusion: The results revealed that the burden of PTSD among the Iranian population exposed to wars and disasters is high. PTSD was correlated with a range of factors including demographic and background factors and characteristics of the event exposure.","container-title":"Iranian Journal of Psychiatry and Behavioral Sciences","DOI":"10.5812/ijpbs.66124","issue":"1","title":"Prevalence of post-traumatic stress disorder (PTSD) in Iranian population following disasters and wars: A systematic review and meta-analysis","URL":"https://www.embase.com/search/results?subaction=viewrecord&amp;id=L626978979&amp;from=export","volume":"13","author":[{"family":"Sepahvand","given":"H."},{"family":"Hashtjini","given":"M. M."},{"family":"Salesi","given":"M."},{"family":"Sahraei","given":"H."},{"family":"Jahromi","given":"G. P."}],"issued":{"date-parts":[["2019"]]}}}],"schema":"https://github.com/citation-style-language/schema/raw/master/csl-citation.json"} </w:instrText>
      </w:r>
      <w:r w:rsidR="009212AC" w:rsidRPr="00606D67">
        <w:rPr>
          <w:color w:val="000000" w:themeColor="text1"/>
        </w:rPr>
        <w:fldChar w:fldCharType="separate"/>
      </w:r>
      <w:r w:rsidR="009212AC" w:rsidRPr="00606D67">
        <w:rPr>
          <w:color w:val="000000" w:themeColor="text1"/>
        </w:rPr>
        <w:t>(Lund et al., 2018; Sepahvand et al., 2019)</w:t>
      </w:r>
      <w:r w:rsidR="009212AC" w:rsidRPr="00606D67">
        <w:rPr>
          <w:color w:val="000000" w:themeColor="text1"/>
        </w:rPr>
        <w:fldChar w:fldCharType="end"/>
      </w:r>
      <w:r w:rsidRPr="00606D67">
        <w:rPr>
          <w:color w:val="000000" w:themeColor="text1"/>
        </w:rPr>
        <w:t xml:space="preserve">, events that cause physical harm or injury </w:t>
      </w:r>
      <w:r w:rsidR="009212AC" w:rsidRPr="00606D67">
        <w:rPr>
          <w:color w:val="000000" w:themeColor="text1"/>
        </w:rPr>
        <w:fldChar w:fldCharType="begin"/>
      </w:r>
      <w:r w:rsidR="00017916" w:rsidRPr="00606D67">
        <w:rPr>
          <w:color w:val="000000" w:themeColor="text1"/>
        </w:rPr>
        <w:instrText xml:space="preserve"> ADDIN ZOTERO_ITEM CSL_CITATION {"citationID":"pHyFStGV","properties":{"formattedCitation":"(Lund et al., 2018; Remes et al., 2021; Sepahvand et al., 2019)","plainCitation":"(Lund et al., 2018; Remes et al., 2021; Sepahvand et al., 2019)","noteIndex":0},"citationItems":[{"id":1394,"uris":["http://zotero.org/users/5273986/items/NG2WJEIQ"],"itemData":{"id":1394,"type":"article-journal","abstract":"Mental health has been included in the UN Sustainable Development Goals. However, uncertainty exists about the extent to which the major social determinants of mental disorders are addressed by these goals. The aim of this study was to develop a conceptual framework for the social determinants of mental disorders that is aligned with the Sustainable Development Goals, to use this framework to systematically review evidence regarding these social determinants, and to identify potential mechanisms and targets for interventions. We did a systematic review of reviews using a conceptual framework comprising demographic, economic, neighbourhood, environmental events, and social and culture domains. We included 289 articles in the final Review. This study sheds new light on how the Sustainable Development Goals are relevant for addressing the social determinants of mental disorders, and how these goals could be optimised to prevent mental disorders.","container-title":"The Lancet Psychiatry","DOI":"10.1016/S2215-0366(18)30060-9","ISSN":"2215-0366","issue":"4","journalAbbreviation":"The Lancet Psychiatry","language":"en","page":"357-369","source":"ScienceDirect","title":"Social determinants of mental disorders and the Sustainable Development Goals: a systematic review of reviews","title-short":"Social determinants of mental disorders and the Sustainable Development Goals","volume":"5","author":[{"family":"Lund","given":"Crick"},{"family":"Brooke-Sumner","given":"Carrie"},{"family":"Baingana","given":"Florence"},{"family":"Baron","given":"Emily Claire"},{"family":"Breuer","given":"Erica"},{"family":"Chandra","given":"Prabha"},{"family":"Haushofer","given":"Johannes"},{"family":"Herrman","given":"Helen"},{"family":"Jordans","given":"Mark"},{"family":"Kieling","given":"Christian"},{"family":"Medina-Mora","given":"Maria Elena"},{"family":"Morgan","given":"Ellen"},{"family":"Omigbodun","given":"Olayinka"},{"family":"Tol","given":"Wietse"},{"family":"Patel","given":"Vikram"},{"family":"Saxena","given":"Shekhar"}],"issued":{"date-parts":[["2018",4,1]]}}},{"id":1603,"uris":["http://zotero.org/users/5273986/items/V6VXANRG"],"itemData":{"id":1603,"type":"article-journal","abstract":"Depression is one of the leading causes of disability, and, if left unmanaged, it can increase the risk for suicide. The evidence base on the determinants of depression is fragmented, which makes the interpretation of the results across studies difficult. The objective of this study is to conduct a thorough synthesis of the literature assessing the biological, psychological, and social determinants of depression in order to piece together the puzzle of the key factors that are related to this condition. Titles and abstracts published between 2017 and 2020 were identified in PubMed, as well as Medline, Scopus, and PsycInfo. Key words relating to biological, social, and psychological determinants as well as depression were applied to the databases, and the screening and data charting of the documents took place. We included 470 documents in this literature review. The findings showed that there are a plethora of risk and protective factors (relating to biological, psychological, and social determinants) that are related to depression; these determinants are interlinked and influence depression outcomes through a web of causation. In this paper, we describe and present the vast, fragmented, and complex literature related to this topic. This review may be used to guide practice, public health efforts, policy, and research related to mental health and, specifically, depression.","container-title":"Brain Sciences","DOI":"10.3390/brainsci11121633","issue":"12","title":"Biological, psychological, and social determinants of depression: A review of recent literature","URL":"https://www.embase.com/search/results?subaction=viewrecord&amp;id=L2015091637&amp;from=export","volume":"11","author":[{"family":"Remes","given":"O."},{"family":"Francisco","given":"J."},{"family":"Templeton","given":"P."}],"issued":{"date-parts":[["2021"]]}}},{"id":1606,"uris":["http://zotero.org/users/5273986/items/SPLSXCVX"],"itemData":{"id":1606,"type":"article-journal","abstract":"Context: Post-traumatic stress disorder (PTSD) is a chronic psychiatric disorder that occurs as a result of an accident or life-threatening event. The purpose of our study was to examine the prevalence of PTSD in the Iranian population from 2000 to 2015 through a meta-analysis of the published studies to review the epidemiologic evidence of PTSD after disasters and wars and to examine PTSD determinants. Evidence Acquisition: The electronic databases including PubMed, Embase, Web of Science, Magiran, etc. were explored to find related papers. Two authors independently reviewed and extracted data via an extraction sheet, and disagreements were resolved by holding a meeting with a third author. Meta-analysis was performed using “metaprop” command in STATA 11 software. Studies with &lt; 25 participants were excluded from our analysis. Results: Ultimately, 47 studies were included in this meta-analysis. Primary PTSD was investigated in 44 studies and secondary PTSD in six studies. Forty studies investigated natural PTSD and five studies technical PTSD. PTSD related to childbirth, job, earthquake, war, burn, accident, and rape events were investigated in seven, six, nine, nine, two, two, and two studies, respectively, and their pooled prevalence were 25%, 30%, 58%, 47%, 40%, 11%, and 74%, respectively. Conclusion: The results revealed that the burden of PTSD among the Iranian population exposed to wars and disasters is high. PTSD was correlated with a range of factors including demographic and background factors and characteristics of the event exposure.","container-title":"Iranian Journal of Psychiatry and Behavioral Sciences","DOI":"10.5812/ijpbs.66124","issue":"1","title":"Prevalence of post-traumatic stress disorder (PTSD) in Iranian population following disasters and wars: A systematic review and meta-analysis","URL":"https://www.embase.com/search/results?subaction=viewrecord&amp;id=L626978979&amp;from=export","volume":"13","author":[{"family":"Sepahvand","given":"H."},{"family":"Hashtjini","given":"M. M."},{"family":"Salesi","given":"M."},{"family":"Sahraei","given":"H."},{"family":"Jahromi","given":"G. P."}],"issued":{"date-parts":[["2019"]]}}}],"schema":"https://github.com/citation-style-language/schema/raw/master/csl-citation.json"} </w:instrText>
      </w:r>
      <w:r w:rsidR="009212AC" w:rsidRPr="00606D67">
        <w:rPr>
          <w:color w:val="000000" w:themeColor="text1"/>
        </w:rPr>
        <w:fldChar w:fldCharType="separate"/>
      </w:r>
      <w:r w:rsidR="009212AC" w:rsidRPr="00606D67">
        <w:rPr>
          <w:color w:val="000000" w:themeColor="text1"/>
        </w:rPr>
        <w:t>(Lund et al., 2018; Remes et al., 2021; Sepahvand et al., 2019)</w:t>
      </w:r>
      <w:r w:rsidR="009212AC" w:rsidRPr="00606D67">
        <w:rPr>
          <w:color w:val="000000" w:themeColor="text1"/>
        </w:rPr>
        <w:fldChar w:fldCharType="end"/>
      </w:r>
      <w:r w:rsidRPr="00606D67">
        <w:rPr>
          <w:color w:val="000000" w:themeColor="text1"/>
        </w:rPr>
        <w:t xml:space="preserve">, and life experiences such as childbirth, reproductive events, death of family members, and caregiving burden </w:t>
      </w:r>
      <w:r w:rsidR="00DD11F5" w:rsidRPr="00606D67">
        <w:rPr>
          <w:color w:val="000000" w:themeColor="text1"/>
        </w:rPr>
        <w:fldChar w:fldCharType="begin"/>
      </w:r>
      <w:r w:rsidR="00DD11F5" w:rsidRPr="00606D67">
        <w:rPr>
          <w:color w:val="000000" w:themeColor="text1"/>
        </w:rPr>
        <w:instrText xml:space="preserve"> ADDIN ZOTERO_ITEM CSL_CITATION {"citationID":"DRLlDRMl","properties":{"formattedCitation":"(Bhattacharya et al., 2019; Zenebe et al., 2021)","plainCitation":"(Bhattacharya et al., 2019; Zenebe et al., 2021)","noteIndex":0},"citationItems":[{"id":1580,"uris":["http://zotero.org/users/5273986/items/FH3TZTBG"],"itemData":{"id":1580,"type":"article-journal","abstract":"In India, social determinants of health, including poverty, domestic violence, and inadequate social support disproportionately affect women, leaving them more vulnerable to depression than men. We conducted a metaethnography to synthesize qualitative data from 13 studies (1987–2017) that explored women’s experiences and perceptions of depression in India. We used a feminist standpoint to critically examine how gender shapes these experiences and perceptions. Indian women’s experiences of depression were embedded in their social worlds. Women perceived interpersonal conflict, caregiving burden, domestic violence, financial insecurity, adverse reproductive events and widowhood as causes of depression. Women used cultural expressions to describe physical, emotional, and cognitive distress. The detrimental impact of discriminatory social conditions, gender inequalities, and traditional gender roles on Indian women’s mental health highlights the need for gender-sensitive mental health research and practice that can attend to women’s sociocultural context and promote values of gender equality and social justice. (PsycInfo Database Record (c) 2020 APA, all rights reserved) (Source: journal abstract)","archive_location":"2404067388; 2018-64982-008","container-title":"Qualitative Health Research","DOI":"10.1177/1049732318811702","issue":"1","page":"80-95","title":"Women’s experiences and perceptions of depression in India: A metaethnography","volume":"29","author":[{"family":"Bhattacharya","given":"Anindita"},{"family":"Camacho","given":"David"},{"family":"Kimberly","given":"Laura L."},{"family":"Lukens","given":"Ellen P."}],"issued":{"date-parts":[["2019"]]}}},{"id":1615,"uris":["http://zotero.org/users/5273986/items/JF6CT7ED"],"itemData":{"id":1615,"type":"article-journal","abstract":"Background: Depression is a leading cause of disability worldwide and is a major contributor to the overall global burden of disease. It is also one of the most common geriatric psychiatric disorders and a major risk factor for disability and mortality in elderly patients. Even though depression is a common mental health problem in the elderly population, it is undiagnosed in half of the cases. Several studies showed different and inconsistent prevalence rates in the world. Hence, this study aimed to fill the above gap by producing an average prevalence of depression and associated factors in old age. Objective: This study aims to conduct a systematic review and meta-analysis to provide a precise estimate of the prevalence of depression and its determinants among old age. Method: A comprehensive search of PubMed, Scopus, Web of sciences, Google Scholar, and Psych-info from database inception to January 2020. Moreover, the reference list of selected articles was looked at manually to have further eligible articles. The random-effects model was employed during the analysis. Stata-11 was used to determine the average prevalence of depression among old age. A sub-group analysis and sensitivity analysis were also run. A graphical inspection of the funnel plots and Egger’s publication bias plot test were checked for the occurrence of publication bias. Result: A search of the electronic and manual system resulted in 1263 articles. Nevertheless, after the huge screening, 42 relevant studies were identified, including, for this meta-analysis, n = 57,486 elderly populations. The average expected prevalence of depression among old age was 31.74% (95% CI 27.90, 35.59). In the sub-group analysis, the pooled prevalence was higher among developing countries; 40.78% than developed countries; 17.05%), studies utilized Geriatrics Depression Scale-30(GDS-30); 40.60% than studies that used GMS; 18.85%, study instrument, and studies having a lower sample size (40.12%) than studies with the higher sample; 20.19%. Conclusion: A high prevalence rate of depression among the old population in the world was unraveled. This study can be considered as an early warning and advised health professionals, health policymakers, and other pertinent stakeholders to take effective control measures and periodic care for the elderly population.","container-title":"Annals of General Psychiatry","DOI":"10.1186/s12991-021-00375-x","issue":"1","title":"Prevalence and determinants of depression among old age: a systematic review and meta-analysis","URL":"https://www.embase.com/search/results?subaction=viewrecord&amp;id=L2014495283&amp;from=export","volume":"20","author":[{"family":"Zenebe","given":"Y."},{"family":"Akele","given":"B."},{"family":"W/Selassie","given":"M."},{"family":"Necho","given":"M."}],"issued":{"date-parts":[["2021"]]}}}],"schema":"https://github.com/citation-style-language/schema/raw/master/csl-citation.json"} </w:instrText>
      </w:r>
      <w:r w:rsidR="00DD11F5" w:rsidRPr="00606D67">
        <w:rPr>
          <w:color w:val="000000" w:themeColor="text1"/>
        </w:rPr>
        <w:fldChar w:fldCharType="separate"/>
      </w:r>
      <w:r w:rsidR="00DD11F5" w:rsidRPr="00606D67">
        <w:rPr>
          <w:color w:val="000000" w:themeColor="text1"/>
        </w:rPr>
        <w:t>(Bhattacharya et al., 2019; Zenebe et al., 2021)</w:t>
      </w:r>
      <w:r w:rsidR="00DD11F5" w:rsidRPr="00606D67">
        <w:rPr>
          <w:color w:val="000000" w:themeColor="text1"/>
        </w:rPr>
        <w:fldChar w:fldCharType="end"/>
      </w:r>
      <w:r w:rsidRPr="00606D67">
        <w:rPr>
          <w:color w:val="000000" w:themeColor="text1"/>
        </w:rPr>
        <w:t xml:space="preserve">. Childhood adversity, parent-child relationships and dysfunctional family life were also indicative of mental illness in adulthood </w:t>
      </w:r>
      <w:r w:rsidR="006C3002" w:rsidRPr="00606D67">
        <w:rPr>
          <w:color w:val="000000" w:themeColor="text1"/>
        </w:rPr>
        <w:fldChar w:fldCharType="begin"/>
      </w:r>
      <w:r w:rsidR="006C3002" w:rsidRPr="00606D67">
        <w:rPr>
          <w:color w:val="000000" w:themeColor="text1"/>
        </w:rPr>
        <w:instrText xml:space="preserve"> ADDIN ZOTERO_ITEM CSL_CITATION {"citationID":"BEkNAj0e","properties":{"formattedCitation":"(Fryers &amp; Brugha, 2013)","plainCitation":"(Fryers &amp; Brugha, 2013)","noteIndex":0},"citationItems":[{"id":1585,"uris":["http://zotero.org/users/5273986/items/SRSGHXZD"],"itemData":{"id":1585,"type":"article-journal","abstract":"The aim of this project was to assess the current evidence from longitudinal studies for childhood determinants of adult mental illness. Because of the variable and often prolonged period between factors in childhood and the identification of mental illness in adults, prospective studies, particularly birth cohorts, offer the best chance of demonstrating associations in individuals. A review was undertaken in 2006 of the published literature from longitudinal studies, together with some large-scale retrospective studies and relevant reviews which provided supplementary evidence. The main focus was upon potentially ameliorable characteristics, experiences or situations of childhood; however, other factors, not determinants but precursors, associated with later mental illness could not be left out. Seven major electronic data-bases of published research were interrogated with a range of key-words and the results supplemented from personal searches, enquiries and reference trails. In excess of 1,500 abstracts were read to select 250 papers for full review. The material was assessed in relation to ten factors: Psychological disturbance; Genetic Influences; Neurological Deviance; Neuroticism; Behaviour; School Performance; Adversity; Child Abuse or Neglect; Parenting and parent-child relationships; Disrupted and Disfunctional Families. In 2011 the search was repeated for the period 2006 to mid-2011, using the same search terms and supplemented in the same manner. Over 1,800 abstracts emerged and almost 200 papers selected for more detailed review. These were then integrated into the original text with modifications where necessary. The whole text was then revised and edited in January / February 2012. There is continuing evidence for the association with later mental ill-health for each of these ten factors, but with different degrees of conviction. The evidence for each is discussed in detail and weighed both separately and in relation to others. These are then summarised, and the research implications are considered. Finally, the implications for prevention are discussed together with the practical potential for preventive and health-promoting programmes. (PsycINFO Database Record (c) 2016 APA, all rights reserved) (Source: journal abstract)","archive_location":"1611623568; 2014-39723-001","container-title":"Clinical Practice and Epidemiology in Mental Health","DOI":"10.2174/1745017901309010001","page":"50","title":"Childhood determinants of adult psychiatric disorder","volume":"9","author":[{"family":"Fryers","given":"Tom"},{"family":"Brugha","given":"Traolach"}],"issued":{"date-parts":[["2013"]]}}}],"schema":"https://github.com/citation-style-language/schema/raw/master/csl-citation.json"} </w:instrText>
      </w:r>
      <w:r w:rsidR="006C3002" w:rsidRPr="00606D67">
        <w:rPr>
          <w:color w:val="000000" w:themeColor="text1"/>
        </w:rPr>
        <w:fldChar w:fldCharType="separate"/>
      </w:r>
      <w:r w:rsidR="006C3002" w:rsidRPr="00606D67">
        <w:rPr>
          <w:color w:val="000000" w:themeColor="text1"/>
        </w:rPr>
        <w:t>(Fryers &amp; Brugha, 2013)</w:t>
      </w:r>
      <w:r w:rsidR="006C3002" w:rsidRPr="00606D67">
        <w:rPr>
          <w:color w:val="000000" w:themeColor="text1"/>
        </w:rPr>
        <w:fldChar w:fldCharType="end"/>
      </w:r>
      <w:r w:rsidRPr="00606D67">
        <w:rPr>
          <w:color w:val="000000" w:themeColor="text1"/>
        </w:rPr>
        <w:t xml:space="preserve">. </w:t>
      </w:r>
    </w:p>
    <w:p w14:paraId="018E2C0E" w14:textId="77777777" w:rsidR="00AA4926" w:rsidRPr="00606D67" w:rsidRDefault="00AA4926" w:rsidP="00AA4926">
      <w:pPr>
        <w:pStyle w:val="Heading2"/>
        <w:rPr>
          <w:color w:val="000000" w:themeColor="text1"/>
        </w:rPr>
      </w:pPr>
      <w:r w:rsidRPr="00606D67">
        <w:rPr>
          <w:color w:val="000000" w:themeColor="text1"/>
        </w:rPr>
        <w:t xml:space="preserve">Racism and Discrimination </w:t>
      </w:r>
    </w:p>
    <w:p w14:paraId="225A8B58" w14:textId="7018FC4D" w:rsidR="00AA4926" w:rsidRPr="00606D67" w:rsidRDefault="00AA4926" w:rsidP="00AA4926">
      <w:pPr>
        <w:tabs>
          <w:tab w:val="left" w:pos="1056"/>
          <w:tab w:val="left" w:pos="5745"/>
        </w:tabs>
        <w:rPr>
          <w:color w:val="000000" w:themeColor="text1"/>
        </w:rPr>
      </w:pPr>
      <w:r w:rsidRPr="00606D67">
        <w:rPr>
          <w:color w:val="000000" w:themeColor="text1"/>
        </w:rPr>
        <w:t xml:space="preserve">Experiencing racism or other forms of discrimination was another mental illness determinant identified across studies </w:t>
      </w:r>
      <w:r w:rsidR="00EF652B" w:rsidRPr="00606D67">
        <w:rPr>
          <w:color w:val="000000" w:themeColor="text1"/>
        </w:rPr>
        <w:fldChar w:fldCharType="begin"/>
      </w:r>
      <w:r w:rsidR="00477308" w:rsidRPr="00606D67">
        <w:rPr>
          <w:color w:val="000000" w:themeColor="text1"/>
        </w:rPr>
        <w:instrText xml:space="preserve"> ADDIN ZOTERO_ITEM CSL_CITATION {"citationID":"Bin9toqZ","properties":{"formattedCitation":"(Kairuz et al., 2021; LaFave et al., 2022; Meyer et al., 2017; Nelson &amp; Wilson, 2017; Paradies, 2006; Paradies et al., 2015; Remes et al., 2021; Samari et al., 2018)","plainCitation":"(Kairuz et al., 2021; LaFave et al., 2022; Meyer et al., 2017; Nelson &amp; Wilson, 2017; Paradies, 2006; Paradies et al., 2015; Remes et al., 2021; Samari et al., 2018)","noteIndex":0},"citationItems":[{"id":1588,"uris":["http://zotero.org/users/5273986/items/3F5MZ2J6"],"itemData":{"id":1588,"type":"article-journal","abstract":"BACKGROUND: Racism is increasingly recognised as a significant health determinant that contributes to health inequalities. In Australia efforts have been made to bridge the recognised health gap between Aboriginal and Torres Strait Islander people and other Australians. This systematic scoping review aimed to assess, synthesise, and analyse the evidence in Australia about the impacts of racism on the mental and physical health of Aboriginal and Torrens Strait Islander peoples. METHODS: A systematic search was conducted to locate Australian studies in English published between 2000 and 2020. Five electronic databases were used: PubMed, CINAHL, Embase, Web of Science and the Australia's National Institute for Aboriginal and Torres Strait Islander Health Research. The search strategy included a combination of key words related with racism, mental health, physical health and Indigenous people. Data were extracted based on review questions and findings were synthesized in a narrative summary. RESULTS: Of total 338 searched studies from five databases, 12 studies met the inclusion criteria for narrative synthesis where eight were cross-sectional studies and four prospective cohorts. General mental health and general health perception were the most frequently studied outcomes followed by child behaviour, smoking and substance consumption and specific health conditions. The prevalence of racism varied between 6.9 and 97%. The most common health outcomes associated with racism were general poor mental health and poor general health perception. More specific health outcomes such as anxiety, depression, child behaviour, asthma, increased BMI and smoking were also associated with racism but were analysed by a limited number of studies. Three studies analysed psychological distress, negative mental health, sleeping difficulties and negative perceived mental health according to severity of exposition to racism. CONCLUSION: Racism is associated with negative overall mental and negative general health outcomes among Aboriginal and Torres Strait Islander peoples. Strategies to prevent all forms and sources of racism are necessary to move forward to bridging the health gap between Aboriginal and Torres Strait Islander peoples and non-Indigenous Australians. Further research is needed to understand in more detail the impact of racism from an Aboriginal and Torres Strait Islander definition of health and wellbeing.","archive_location":"34217243","container-title":"BMC Public Health","DOI":"10.1186/s12889-021-11363-x","issue":"1","page":"1302","title":"Impact of racism and discrimination on physical and mental health among Aboriginal and Torres Strait islander peoples living in Australia: a systematic scoping review","volume":"21","author":[{"family":"Kairuz","given":"C. A."},{"family":"Casanelia","given":"L. M."},{"family":"Bennett-Brook","given":"K."},{"family":"Coombes","given":"J."},{"family":"Yadav","given":"U. N."}],"issued":{"date-parts":[["2021"]]}}},{"id":1590,"uris":["http://zotero.org/users/5273986/items/DP6ZNQST"],"itemData":{"id":1590,"type":"article-journal","abstract":"We reviewed research that examines racism as an independent variable and one or more health outcomes as dependent variables in Black American adults aged 50 years and older in the USA. Of the 43 studies we reviewed, most measured perceived interpersonal racism, perceived institutional racism, or residential segregation. The only two measures of structural racism were birth and residence in a \"Jim Crow state.\" Fourteen studies found associations between racism and mental health outcomes, five with cardiovascular outcomes, seven with cognition, two with physical function, two with telomere length, and five with general health/other health outcomes. Ten studies found no significant associations in older Black adults. All but six of the studies were cross-sectional. Research to understand the extent of structural and multilevel racism as a social determinant of health and the impact on older adults specifically is needed. Improved measurement tools could help address this gap in science.","archive_location":"34997433","container-title":"J Urban Health","DOI":"10.1007/s11524-021-00591-6","issue":"1","page":"28-54","title":"Racism and older Black Americans' health: a systematic review","volume":"99","author":[{"family":"LaFave","given":"S. E."},{"family":"Suen","given":"J. J."},{"family":"Seau","given":"Q."},{"family":"Bergman","given":"A."},{"family":"Fisher","given":"M. C."},{"family":"Thorpe","given":"R. J.","suffix":"Jr."},{"family":"Szanton","given":"S. L."}],"issued":{"date-parts":[["2022"]]}}},{"id":1593,"uris":["http://zotero.org/users/5273986/items/THYR49QW"],"itemData":{"id":1593,"type":"article-journal","abstract":"Objective: Rural-to-urban migration within low- and middle-income countries (LMICs), and migration from one LMIC to another, are prevalent forms of international migration. Migration may be associated with adverse mental health outcomes. The aim of the current study is to systematically review the literature on migration and mental health between and within LMICs. Methods: This systematic review of PubMed, PsycINFO, Embase, Web of Science, and PILOTS, identified 2,818 total records published between 1991 and 2016, with 139 of these assessed for eligibility. Two authors reviewed full text to assess if they met inclusion criteria, extracted data, and applied a quality assessment to all included studies. Results: The search identified 37 articles that met the inclusion criteria, based on 28 separate studies. All studies apart from one were cross-sectional studies, and studies utilized a range of sampling methods. In all, 19 of these studies were conducted in China. Studies addressed a range of mental health outcomes, and variation in prevalence was reported. Research questions addressed determinants of mental health outcomes, including analysis of risk and protective factors, such as social, cultural, and economic determinants; migration-related risk factors; and substance use. Conclusions: Limitations in study design and methodological rigor of studies indicate a limited evidence base concerning migration and mental health in LMICs. Expansion of research to different regions, utilization of adapted and validated measurement instruments, and longitudinal research could significantly strengthen the evidence base. (PsycINFO Database Record (c) 2018 APA, all rights reserved) (Source: journal abstract)","archive_location":"2043494092; 2018-07908-011","container-title":"Psychiatry: Interpersonal and Biological Processes","DOI":"10.1080/00332747.2017.1354608","issue":"4","page":"374-381","title":"Migration and mental health in low- and middle-income countries: A systematic review","volume":"80","author":[{"family":"Meyer","given":"Sarah R."},{"family":"Lasater","given":"Molly"},{"family":"Tol","given":"Wietse A."}],"issued":{"date-parts":[["2017"]]}}},{"id":1597,"uris":["http://zotero.org/users/5273986/items/3TJ82B38"],"itemData":{"id":1597,"type":"article-journal","abstract":"Many scholars assert that Indigenous peoples across the globe suffer a disproportionate burden of mental illness. Research indicates that colonialism and its associated processes are important determinants of Indigenous peoples’ health internationally. In Canada, despite an abundance of health research documenting inequalities in morbidity and mortality rates for Indigenous peoples, relatively little research has focused on mental health. This paper provides a critical scoping review of the literature related to Indigenous mental health in Canada. We searched eleven databases and two Indigenous health-focused journals for research related to mental health, Indigenous peoples, and Canada, for the years 2006–2016. Over two hundred papers are included in the review and coded according to research theme, population group, and geography. Results demonstrate that the literature is overwhelmingly concerned with issues related to colonialism in mental health services and the prevalence and causes of mental illness among Indigenous peoples in Canada, but with several significant gaps. Mental health research related to Indigenous peoples in Canada overemphasizes suicide and problematic substance use; a more critical use of the concepts of colonialism and historical trauma is advised; and several population groups are underrepresented in research, including Métis peoples and urban or off-reserve Indigenous peoples. The findings are useful in an international context by providing a starting point for discussions, dialogue, and further study regarding mental health research for Indigenous peoples around the world.","container-title":"Social Science and Medicine","DOI":"10.1016/j.socscimed.2017.01.021","page":"93-112","title":"The mental health of Indigenous peoples in Canada: A critical review of research","volume":"176","author":[{"family":"Nelson","given":"S. E."},{"family":"Wilson","given":"K."}],"issued":{"date-parts":[["2017"]]}}},{"id":1600,"uris":["http://zotero.org/users/5273986/items/WDNQQT4A"],"itemData":{"id":1600,"type":"article-journal","abstract":"This paper reviews 138 empirical quantitative population-based studies of self-reported racism and health. These studies show an association between self-reported racism and ill health for oppressed racial groups after adjustment for a range of confounders. The strongest and most consistent findings are for negative mental health outcomes and health-related behaviours, with weaker associations existing for positive mental health outcomes, self-assessed health status, and physical health outcomes. Most studies in this emerging field have been published in the past 5 years and have been limited by a dearth of cohort studies, a lack of psychometrically validated exposure instruments, poor conceptualization and definition of racism, conflation of racism with stress, and debate about the aetiologically relevant period for self-reported racism. Future research should examine the psychometric validity of racism instruments and include these instruments, along with objectively measured health outcomes, in existing large-scale survey vehicles as well as longitudinal studies and studies involving children. There is also a need to gain a better understanding of the perception, attribution, and reporting of racism, to investigate the pathways via which self-reported racism affects health, the interplay between mental and physical health outcomes, and exposure to intra-racial, internalized, and systemic racism. Ensuring the quality of studies in this field will allow future research to reveal the complex role that racism plays as a determinant of population health. © 2006 Oxford University Press.","container-title":"International Journal of Epidemiology","DOI":"10.1093/ije/dyl056","issue":"4","page":"888-901","title":"A systematic review of empirical research on self-reported racism and health","volume":"35","author":[{"family":"Paradies","given":"Y."}],"issued":{"date-parts":[["2006"]]}}},{"id":1601,"uris":["http://zotero.org/users/5273986/items/ANFQFCM6"],"itemData":{"id":1601,"type":"article-journal","abstract":"Despite a growing body of epidemiological evidence in recent years documenting the health impacts of racism, the cumulative evidence base has yet to be synthesized in a comprehensive meta-analysis focused specifically on racism as a determinant of health. This meta-analysis reviewed the literature focusing on the relationship between reported racism and mental and physical health outcomes. Data from 293 studies reported in 333 articles published between 1983 and 2013, and conducted predominately in the U.S., were analysed using random effects models and mean weighted effect sizes. Racism was associated with poorer mental health (negative mental health: r = -.23, 95% CI [-.24,-.21], k = 227; positive mental health: r = -.13, 95% CI [-.16,-.10], k = 113), including depression, anxiety, psychological stress and various other outcomes. Racism was also associated with poorer general health (r = -.13 (95% CI [-.18,-.09], k = 30), and poorer physical health (r = -.09, 95% CI [-.12,-.06], k = 50). Moderation effects were found for some outcomes with regard to study and exposure characteristics. Effect sizes of racism on mental health were stronger in cross-sectional compared with longitudinal data and in non-representative samples compared with representative samples. Age, sex, birthplace and education level did not moderate the effects of racism on health. Ethnicity significantly moderated the effect of racism on negative mental health and physical health: the association between racism and negative mental health was significantly stronger for Asian American and Latino(a) American participants compared with African American participants, and the association between racism and physical health was significantly stronger for Latino(a) American participants compared with African American participants. Protocol PROSPERO registration number: CRD42013005464.","archive_location":"26398658","container-title":"PLoS ONE","DOI":"10.1371/journal.pone.0138511","issue":"9","page":"e0138511","title":"Racism as a determinant of health: A systematic review and meta-analysis","volume":"10","author":[{"family":"Paradies","given":"Y."},{"family":"Ben","given":"J."},{"family":"Denson","given":"N."},{"family":"Elias","given":"A."},{"family":"Priest","given":"N."},{"family":"Pieterse","given":"A."},{"family":"Gupta","given":"A."},{"family":"Kelaher","given":"M."},{"family":"Gee","given":"G."}],"issued":{"date-parts":[["2015"]]}}},{"id":1603,"uris":["http://zotero.org/users/5273986/items/V6VXANRG"],"itemData":{"id":1603,"type":"article-journal","abstract":"Depression is one of the leading causes of disability, and, if left unmanaged, it can increase the risk for suicide. The evidence base on the determinants of depression is fragmented, which makes the interpretation of the results across studies difficult. The objective of this study is to conduct a thorough synthesis of the literature assessing the biological, psychological, and social determinants of depression in order to piece together the puzzle of the key factors that are related to this condition. Titles and abstracts published between 2017 and 2020 were identified in PubMed, as well as Medline, Scopus, and PsycInfo. Key words relating to biological, social, and psychological determinants as well as depression were applied to the databases, and the screening and data charting of the documents took place. We included 470 documents in this literature review. The findings showed that there are a plethora of risk and protective factors (relating to biological, psychological, and social determinants) that are related to depression; these determinants are interlinked and influence depression outcomes through a web of causation. In this paper, we describe and present the vast, fragmented, and complex literature related to this topic. This review may be used to guide practice, public health efforts, policy, and research related to mental health and, specifically, depression.","container-title":"Brain Sciences","DOI":"10.3390/brainsci11121633","issue":"12","title":"Biological, psychological, and social determinants of depression: A review of recent literature","URL":"https://www.embase.com/search/results?subaction=viewrecord&amp;id=L2015091637&amp;from=export","volume":"11","author":[{"family":"Remes","given":"O."},{"family":"Francisco","given":"J."},{"family":"Templeton","given":"P."}],"issued":{"date-parts":[["2021"]]}}},{"id":1605,"uris":["http://zotero.org/users/5273986/items/PEIRV8DE"],"itemData":{"id":1605,"type":"article-journal","abstract":"BACKGROUND: In 2017, a \"Muslim ban\" on immigrants to the United States was coupled with a continued rise in Islamophobia and hate crimes toward Muslims. Islamophobia undermines health equity, yet delineating the effects of Islamophobia globally is challenging as it affects a myriad of groups (geographically, racially, and socially). Additionally, stereotypes equate all Muslims with populations from the Middle East and South Asia. To date, health research pays insufficient attention to Islamophobia, Muslims, and those racialized to be Muslim. OBJECTIVES: This literature review advances our understanding of racism and health by examining the racialization of religion, by specifically examining Islamophobia as a form of discrimination. SEARCH METHODS: Per PRISMA guidelines, we conducted a search in October 2017 using PubMed-MEDLINE and a combination of terms. We identified additional articles using other search engines. For inclusion, articles needed to include a descriptor of discrimination, contain an identifier of Muslim or Muslim-like identity (i.e., groups commonly perceived as Muslim, including Arabs, Middle Easterners, North Africans, and South Asians), include a health outcome, be in English, and be published between 1990 and 2017. SELECTION CRITERIA: We identified 111 unique peer-reviewed articles. We excluded articles that did not meet the following criteria: (1) examined Islamophobia, discrimination, or racism among a Muslim or Muslim-like population; (2) included a health outcome or discussion of health disparities; and (3) was conducted in North America, Europe, Australia, or New Zealand. This yielded 53 articles. RESULTS: The majority of studies (n = 34; 64%) were quantitative. The remaining studies were qualitative (n = 7; 13%), mixed methods (n = 2; 4%), or reviews (n = 10; 19%). Most studies were based in the United States (n = 31; 58%). Nearly half of the reviewed studies examined mental health (n = 24; 45%), and one fourth examined physical health or health behaviors (n = 13; 25%). Others focused on both physical and mental health (n = 10; 19%) or health care seeking (n = 7; 13%). Studies showed associations between Islamophobia and poor mental health, suboptimal health behaviors, and unfavorable health care-seeking behaviors. CONCLUSIONS: This study elucidates the associations between Islamophobia, health, and socioecological determinants of health. Future studies should examine the intersectional nature of Islamophobia and include validated measures, representative samples, subgroup analyses, and comparison groups. More methodologically rigorous studies of Islamophobia and health are needed. Public Health Implications. Addressing the discrimination-related poor health that Muslims and racialized Muslim-like subgroups experience is central to the goals of health equity and assurance of the fundamental right to health.","archive_location":"29672152","container-title":"Am J Public Health","DOI":"10.2105/ajph.2018.304402","issue":"6","page":"e1-e9","title":"Islamophobia, health, and public health: A systematic literature review","volume":"108","author":[{"family":"Samari","given":"G."},{"family":"Alcalá","given":"H. E."},{"family":"Sharif","given":"M. Z."}],"issued":{"date-parts":[["2018"]]}}}],"schema":"https://github.com/citation-style-language/schema/raw/master/csl-citation.json"} </w:instrText>
      </w:r>
      <w:r w:rsidR="00EF652B" w:rsidRPr="00606D67">
        <w:rPr>
          <w:color w:val="000000" w:themeColor="text1"/>
        </w:rPr>
        <w:fldChar w:fldCharType="separate"/>
      </w:r>
      <w:r w:rsidR="00477308" w:rsidRPr="00606D67">
        <w:rPr>
          <w:color w:val="000000" w:themeColor="text1"/>
        </w:rPr>
        <w:t>(Kairuz et al., 2021; LaFave et al., 2022; Meyer et al., 2017; Nelson &amp; Wilson, 2017; Paradies, 2006; Paradies et al., 2015; Remes et al., 2021; Samari et al., 2018)</w:t>
      </w:r>
      <w:r w:rsidR="00EF652B" w:rsidRPr="00606D67">
        <w:rPr>
          <w:color w:val="000000" w:themeColor="text1"/>
        </w:rPr>
        <w:fldChar w:fldCharType="end"/>
      </w:r>
      <w:r w:rsidRPr="00606D67">
        <w:rPr>
          <w:color w:val="000000" w:themeColor="text1"/>
        </w:rPr>
        <w:t>. This was reported in populations including Black American adults</w:t>
      </w:r>
      <w:r w:rsidR="00AB3BD5" w:rsidRPr="00606D67">
        <w:rPr>
          <w:color w:val="000000" w:themeColor="text1"/>
        </w:rPr>
        <w:t xml:space="preserve"> aged</w:t>
      </w:r>
      <w:r w:rsidRPr="00606D67">
        <w:rPr>
          <w:color w:val="000000" w:themeColor="text1"/>
        </w:rPr>
        <w:t xml:space="preserve"> over 50</w:t>
      </w:r>
      <w:r w:rsidR="00AB3BD5" w:rsidRPr="00606D67">
        <w:rPr>
          <w:color w:val="000000" w:themeColor="text1"/>
        </w:rPr>
        <w:t xml:space="preserve"> years old</w:t>
      </w:r>
      <w:r w:rsidRPr="00606D67">
        <w:rPr>
          <w:color w:val="000000" w:themeColor="text1"/>
        </w:rPr>
        <w:t xml:space="preserve"> </w:t>
      </w:r>
      <w:r w:rsidR="0060144B" w:rsidRPr="00606D67">
        <w:rPr>
          <w:color w:val="000000" w:themeColor="text1"/>
        </w:rPr>
        <w:fldChar w:fldCharType="begin"/>
      </w:r>
      <w:r w:rsidR="00477308" w:rsidRPr="00606D67">
        <w:rPr>
          <w:color w:val="000000" w:themeColor="text1"/>
        </w:rPr>
        <w:instrText xml:space="preserve"> ADDIN ZOTERO_ITEM CSL_CITATION {"citationID":"LjvZ3Oqg","properties":{"formattedCitation":"(LaFave et al., 2022)","plainCitation":"(LaFave et al., 2022)","noteIndex":0},"citationItems":[{"id":1590,"uris":["http://zotero.org/users/5273986/items/DP6ZNQST"],"itemData":{"id":1590,"type":"article-journal","abstract":"We reviewed research that examines racism as an independent variable and one or more health outcomes as dependent variables in Black American adults aged 50 years and older in the USA. Of the 43 studies we reviewed, most measured perceived interpersonal racism, perceived institutional racism, or residential segregation. The only two measures of structural racism were birth and residence in a \"Jim Crow state.\" Fourteen studies found associations between racism and mental health outcomes, five with cardiovascular outcomes, seven with cognition, two with physical function, two with telomere length, and five with general health/other health outcomes. Ten studies found no significant associations in older Black adults. All but six of the studies were cross-sectional. Research to understand the extent of structural and multilevel racism as a social determinant of health and the impact on older adults specifically is needed. Improved measurement tools could help address this gap in science.","archive_location":"34997433","container-title":"J Urban Health","DOI":"10.1007/s11524-021-00591-6","issue":"1","page":"28-54","title":"Racism and older Black Americans' health: a systematic review","volume":"99","author":[{"family":"LaFave","given":"S. E."},{"family":"Suen","given":"J. J."},{"family":"Seau","given":"Q."},{"family":"Bergman","given":"A."},{"family":"Fisher","given":"M. C."},{"family":"Thorpe","given":"R. J.","suffix":"Jr."},{"family":"Szanton","given":"S. L."}],"issued":{"date-parts":[["2022"]]}}}],"schema":"https://github.com/citation-style-language/schema/raw/master/csl-citation.json"} </w:instrText>
      </w:r>
      <w:r w:rsidR="0060144B" w:rsidRPr="00606D67">
        <w:rPr>
          <w:color w:val="000000" w:themeColor="text1"/>
        </w:rPr>
        <w:fldChar w:fldCharType="separate"/>
      </w:r>
      <w:r w:rsidR="0060144B" w:rsidRPr="00606D67">
        <w:rPr>
          <w:color w:val="000000" w:themeColor="text1"/>
        </w:rPr>
        <w:t>(LaFave et al., 2022)</w:t>
      </w:r>
      <w:r w:rsidR="0060144B" w:rsidRPr="00606D67">
        <w:rPr>
          <w:color w:val="000000" w:themeColor="text1"/>
        </w:rPr>
        <w:fldChar w:fldCharType="end"/>
      </w:r>
      <w:r w:rsidRPr="00606D67">
        <w:rPr>
          <w:color w:val="000000" w:themeColor="text1"/>
        </w:rPr>
        <w:t xml:space="preserve">, Muslim </w:t>
      </w:r>
      <w:r w:rsidR="00CA0FCA" w:rsidRPr="00606D67">
        <w:rPr>
          <w:color w:val="000000" w:themeColor="text1"/>
        </w:rPr>
        <w:t xml:space="preserve">populations </w:t>
      </w:r>
      <w:r w:rsidRPr="00606D67">
        <w:rPr>
          <w:color w:val="000000" w:themeColor="text1"/>
        </w:rPr>
        <w:t xml:space="preserve">and </w:t>
      </w:r>
      <w:r w:rsidR="00CA0FCA" w:rsidRPr="00606D67">
        <w:rPr>
          <w:color w:val="000000" w:themeColor="text1"/>
        </w:rPr>
        <w:t>populations perceived as Muslim</w:t>
      </w:r>
      <w:r w:rsidRPr="00606D67">
        <w:rPr>
          <w:color w:val="000000" w:themeColor="text1"/>
        </w:rPr>
        <w:t xml:space="preserve"> in North America, Europe, Australia, and New Zealand </w:t>
      </w:r>
      <w:r w:rsidR="005B1EC0" w:rsidRPr="00606D67">
        <w:rPr>
          <w:color w:val="000000" w:themeColor="text1"/>
        </w:rPr>
        <w:fldChar w:fldCharType="begin"/>
      </w:r>
      <w:r w:rsidR="00477308" w:rsidRPr="00606D67">
        <w:rPr>
          <w:color w:val="000000" w:themeColor="text1"/>
        </w:rPr>
        <w:instrText xml:space="preserve"> ADDIN ZOTERO_ITEM CSL_CITATION {"citationID":"vtE5dOaw","properties":{"formattedCitation":"(Samari et al., 2018)","plainCitation":"(Samari et al., 2018)","noteIndex":0},"citationItems":[{"id":1605,"uris":["http://zotero.org/users/5273986/items/PEIRV8DE"],"itemData":{"id":1605,"type":"article-journal","abstract":"BACKGROUND: In 2017, a \"Muslim ban\" on immigrants to the United States was coupled with a continued rise in Islamophobia and hate crimes toward Muslims. Islamophobia undermines health equity, yet delineating the effects of Islamophobia globally is challenging as it affects a myriad of groups (geographically, racially, and socially). Additionally, stereotypes equate all Muslims with populations from the Middle East and South Asia. To date, health research pays insufficient attention to Islamophobia, Muslims, and those racialized to be Muslim. OBJECTIVES: This literature review advances our understanding of racism and health by examining the racialization of religion, by specifically examining Islamophobia as a form of discrimination. SEARCH METHODS: Per PRISMA guidelines, we conducted a search in October 2017 using PubMed-MEDLINE and a combination of terms. We identified additional articles using other search engines. For inclusion, articles needed to include a descriptor of discrimination, contain an identifier of Muslim or Muslim-like identity (i.e., groups commonly perceived as Muslim, including Arabs, Middle Easterners, North Africans, and South Asians), include a health outcome, be in English, and be published between 1990 and 2017. SELECTION CRITERIA: We identified 111 unique peer-reviewed articles. We excluded articles that did not meet the following criteria: (1) examined Islamophobia, discrimination, or racism among a Muslim or Muslim-like population; (2) included a health outcome or discussion of health disparities; and (3) was conducted in North America, Europe, Australia, or New Zealand. This yielded 53 articles. RESULTS: The majority of studies (n = 34; 64%) were quantitative. The remaining studies were qualitative (n = 7; 13%), mixed methods (n = 2; 4%), or reviews (n = 10; 19%). Most studies were based in the United States (n = 31; 58%). Nearly half of the reviewed studies examined mental health (n = 24; 45%), and one fourth examined physical health or health behaviors (n = 13; 25%). Others focused on both physical and mental health (n = 10; 19%) or health care seeking (n = 7; 13%). Studies showed associations between Islamophobia and poor mental health, suboptimal health behaviors, and unfavorable health care-seeking behaviors. CONCLUSIONS: This study elucidates the associations between Islamophobia, health, and socioecological determinants of health. Future studies should examine the intersectional nature of Islamophobia and include validated measures, representative samples, subgroup analyses, and comparison groups. More methodologically rigorous studies of Islamophobia and health are needed. Public Health Implications. Addressing the discrimination-related poor health that Muslims and racialized Muslim-like subgroups experience is central to the goals of health equity and assurance of the fundamental right to health.","archive_location":"29672152","container-title":"Am J Public Health","DOI":"10.2105/ajph.2018.304402","issue":"6","page":"e1-e9","title":"Islamophobia, health, and public health: A systematic literature review","volume":"108","author":[{"family":"Samari","given":"G."},{"family":"Alcalá","given":"H. E."},{"family":"Sharif","given":"M. Z."}],"issued":{"date-parts":[["2018"]]}}}],"schema":"https://github.com/citation-style-language/schema/raw/master/csl-citation.json"} </w:instrText>
      </w:r>
      <w:r w:rsidR="005B1EC0" w:rsidRPr="00606D67">
        <w:rPr>
          <w:color w:val="000000" w:themeColor="text1"/>
        </w:rPr>
        <w:fldChar w:fldCharType="separate"/>
      </w:r>
      <w:r w:rsidR="005B1EC0" w:rsidRPr="00606D67">
        <w:rPr>
          <w:color w:val="000000" w:themeColor="text1"/>
        </w:rPr>
        <w:t>(Samari et al., 2018)</w:t>
      </w:r>
      <w:r w:rsidR="005B1EC0" w:rsidRPr="00606D67">
        <w:rPr>
          <w:color w:val="000000" w:themeColor="text1"/>
        </w:rPr>
        <w:fldChar w:fldCharType="end"/>
      </w:r>
      <w:r w:rsidRPr="00606D67">
        <w:rPr>
          <w:color w:val="000000" w:themeColor="text1"/>
        </w:rPr>
        <w:t xml:space="preserve">, and Aboriginal and Torres Strait </w:t>
      </w:r>
      <w:r w:rsidR="00A92628" w:rsidRPr="00606D67">
        <w:rPr>
          <w:color w:val="000000" w:themeColor="text1"/>
        </w:rPr>
        <w:t>I</w:t>
      </w:r>
      <w:r w:rsidRPr="00606D67">
        <w:rPr>
          <w:color w:val="000000" w:themeColor="text1"/>
        </w:rPr>
        <w:t xml:space="preserve">slander peoples living in Australia </w:t>
      </w:r>
      <w:r w:rsidR="005B1EC0" w:rsidRPr="00606D67">
        <w:rPr>
          <w:color w:val="000000" w:themeColor="text1"/>
        </w:rPr>
        <w:fldChar w:fldCharType="begin"/>
      </w:r>
      <w:r w:rsidR="005B1EC0" w:rsidRPr="00606D67">
        <w:rPr>
          <w:color w:val="000000" w:themeColor="text1"/>
        </w:rPr>
        <w:instrText xml:space="preserve"> ADDIN ZOTERO_ITEM CSL_CITATION {"citationID":"AkIrmQF4","properties":{"formattedCitation":"(Kairuz et al., 2021)","plainCitation":"(Kairuz et al., 2021)","noteIndex":0},"citationItems":[{"id":1588,"uris":["http://zotero.org/users/5273986/items/3F5MZ2J6"],"itemData":{"id":1588,"type":"article-journal","abstract":"BACKGROUND: Racism is increasingly recognised as a significant health determinant that contributes to health inequalities. In Australia efforts have been made to bridge the recognised health gap between Aboriginal and Torres Strait Islander people and other Australians. This systematic scoping review aimed to assess, synthesise, and analyse the evidence in Australia about the impacts of racism on the mental and physical health of Aboriginal and Torrens Strait Islander peoples. METHODS: A systematic search was conducted to locate Australian studies in English published between 2000 and 2020. Five electronic databases were used: PubMed, CINAHL, Embase, Web of Science and the Australia's National Institute for Aboriginal and Torres Strait Islander Health Research. The search strategy included a combination of key words related with racism, mental health, physical health and Indigenous people. Data were extracted based on review questions and findings were synthesized in a narrative summary. RESULTS: Of total 338 searched studies from five databases, 12 studies met the inclusion criteria for narrative synthesis where eight were cross-sectional studies and four prospective cohorts. General mental health and general health perception were the most frequently studied outcomes followed by child behaviour, smoking and substance consumption and specific health conditions. The prevalence of racism varied between 6.9 and 97%. The most common health outcomes associated with racism were general poor mental health and poor general health perception. More specific health outcomes such as anxiety, depression, child behaviour, asthma, increased BMI and smoking were also associated with racism but were analysed by a limited number of studies. Three studies analysed psychological distress, negative mental health, sleeping difficulties and negative perceived mental health according to severity of exposition to racism. CONCLUSION: Racism is associated with negative overall mental and negative general health outcomes among Aboriginal and Torres Strait Islander peoples. Strategies to prevent all forms and sources of racism are necessary to move forward to bridging the health gap between Aboriginal and Torres Strait Islander peoples and non-Indigenous Australians. Further research is needed to understand in more detail the impact of racism from an Aboriginal and Torres Strait Islander definition of health and wellbeing.","archive_location":"34217243","container-title":"BMC Public Health","DOI":"10.1186/s12889-021-11363-x","issue":"1","page":"1302","title":"Impact of racism and discrimination on physical and mental health among Aboriginal and Torres Strait islander peoples living in Australia: a systematic scoping review","volume":"21","author":[{"family":"Kairuz","given":"C. A."},{"family":"Casanelia","given":"L. M."},{"family":"Bennett-Brook","given":"K."},{"family":"Coombes","given":"J."},{"family":"Yadav","given":"U. N."}],"issued":{"date-parts":[["2021"]]}}}],"schema":"https://github.com/citation-style-language/schema/raw/master/csl-citation.json"} </w:instrText>
      </w:r>
      <w:r w:rsidR="005B1EC0" w:rsidRPr="00606D67">
        <w:rPr>
          <w:color w:val="000000" w:themeColor="text1"/>
        </w:rPr>
        <w:fldChar w:fldCharType="separate"/>
      </w:r>
      <w:r w:rsidR="005B1EC0" w:rsidRPr="00606D67">
        <w:rPr>
          <w:color w:val="000000" w:themeColor="text1"/>
        </w:rPr>
        <w:t>(Kairuz et al., 2021)</w:t>
      </w:r>
      <w:r w:rsidR="005B1EC0" w:rsidRPr="00606D67">
        <w:rPr>
          <w:color w:val="000000" w:themeColor="text1"/>
        </w:rPr>
        <w:fldChar w:fldCharType="end"/>
      </w:r>
      <w:r w:rsidRPr="00606D67">
        <w:rPr>
          <w:color w:val="000000" w:themeColor="text1"/>
        </w:rPr>
        <w:t xml:space="preserve">. Discrimination was also linked to depression in US samples, with a stronger association present for Latino and Asian Americans than for African Americans </w:t>
      </w:r>
      <w:r w:rsidR="00292F32" w:rsidRPr="00606D67">
        <w:rPr>
          <w:color w:val="000000" w:themeColor="text1"/>
        </w:rPr>
        <w:fldChar w:fldCharType="begin"/>
      </w:r>
      <w:r w:rsidR="00477308" w:rsidRPr="00606D67">
        <w:rPr>
          <w:color w:val="000000" w:themeColor="text1"/>
        </w:rPr>
        <w:instrText xml:space="preserve"> ADDIN ZOTERO_ITEM CSL_CITATION {"citationID":"oWFVLEcu","properties":{"formattedCitation":"(Paradies et al., 2015)","plainCitation":"(Paradies et al., 2015)","noteIndex":0},"citationItems":[{"id":1601,"uris":["http://zotero.org/users/5273986/items/ANFQFCM6"],"itemData":{"id":1601,"type":"article-journal","abstract":"Despite a growing body of epidemiological evidence in recent years documenting the health impacts of racism, the cumulative evidence base has yet to be synthesized in a comprehensive meta-analysis focused specifically on racism as a determinant of health. This meta-analysis reviewed the literature focusing on the relationship between reported racism and mental and physical health outcomes. Data from 293 studies reported in 333 articles published between 1983 and 2013, and conducted predominately in the U.S., were analysed using random effects models and mean weighted effect sizes. Racism was associated with poorer mental health (negative mental health: r = -.23, 95% CI [-.24,-.21], k = 227; positive mental health: r = -.13, 95% CI [-.16,-.10], k = 113), including depression, anxiety, psychological stress and various other outcomes. Racism was also associated with poorer general health (r = -.13 (95% CI [-.18,-.09], k = 30), and poorer physical health (r = -.09, 95% CI [-.12,-.06], k = 50). Moderation effects were found for some outcomes with regard to study and exposure characteristics. Effect sizes of racism on mental health were stronger in cross-sectional compared with longitudinal data and in non-representative samples compared with representative samples. Age, sex, birthplace and education level did not moderate the effects of racism on health. Ethnicity significantly moderated the effect of racism on negative mental health and physical health: the association between racism and negative mental health was significantly stronger for Asian American and Latino(a) American participants compared with African American participants, and the association between racism and physical health was significantly stronger for Latino(a) American participants compared with African American participants. Protocol PROSPERO registration number: CRD42013005464.","archive_location":"26398658","container-title":"PLoS ONE","DOI":"10.1371/journal.pone.0138511","issue":"9","page":"e0138511","title":"Racism as a determinant of health: A systematic review and meta-analysis","volume":"10","author":[{"family":"Paradies","given":"Y."},{"family":"Ben","given":"J."},{"family":"Denson","given":"N."},{"family":"Elias","given":"A."},{"family":"Priest","given":"N."},{"family":"Pieterse","given":"A."},{"family":"Gupta","given":"A."},{"family":"Kelaher","given":"M."},{"family":"Gee","given":"G."}],"issued":{"date-parts":[["2015"]]}}}],"schema":"https://github.com/citation-style-language/schema/raw/master/csl-citation.json"} </w:instrText>
      </w:r>
      <w:r w:rsidR="00292F32" w:rsidRPr="00606D67">
        <w:rPr>
          <w:color w:val="000000" w:themeColor="text1"/>
        </w:rPr>
        <w:fldChar w:fldCharType="separate"/>
      </w:r>
      <w:r w:rsidR="00292F32" w:rsidRPr="00606D67">
        <w:rPr>
          <w:color w:val="000000" w:themeColor="text1"/>
        </w:rPr>
        <w:t>(Paradies et al., 2015)</w:t>
      </w:r>
      <w:r w:rsidR="00292F32" w:rsidRPr="00606D67">
        <w:rPr>
          <w:color w:val="000000" w:themeColor="text1"/>
        </w:rPr>
        <w:fldChar w:fldCharType="end"/>
      </w:r>
      <w:r w:rsidRPr="00606D67">
        <w:rPr>
          <w:color w:val="000000" w:themeColor="text1"/>
        </w:rPr>
        <w:t xml:space="preserve">. </w:t>
      </w:r>
    </w:p>
    <w:p w14:paraId="06A07C39" w14:textId="6FB173A5" w:rsidR="00AA4926" w:rsidRPr="00606D67" w:rsidRDefault="00AA4926" w:rsidP="00AA4926">
      <w:pPr>
        <w:pStyle w:val="Heading2"/>
        <w:rPr>
          <w:color w:val="000000" w:themeColor="text1"/>
        </w:rPr>
      </w:pPr>
      <w:r w:rsidRPr="00606D67">
        <w:rPr>
          <w:color w:val="000000" w:themeColor="text1"/>
        </w:rPr>
        <w:lastRenderedPageBreak/>
        <w:t>Culture</w:t>
      </w:r>
      <w:r w:rsidR="00144659" w:rsidRPr="00606D67">
        <w:rPr>
          <w:color w:val="000000" w:themeColor="text1"/>
        </w:rPr>
        <w:t xml:space="preserve"> and Migration </w:t>
      </w:r>
    </w:p>
    <w:p w14:paraId="4E1C4CC5" w14:textId="0F1585B0" w:rsidR="00AA4926" w:rsidRPr="00606D67" w:rsidRDefault="00AA4926" w:rsidP="00AA4926">
      <w:pPr>
        <w:rPr>
          <w:color w:val="000000" w:themeColor="text1"/>
        </w:rPr>
      </w:pPr>
      <w:r w:rsidRPr="00606D67">
        <w:rPr>
          <w:color w:val="000000" w:themeColor="text1"/>
        </w:rPr>
        <w:t xml:space="preserve">Rates of depression </w:t>
      </w:r>
      <w:r w:rsidR="00292F32" w:rsidRPr="00606D67">
        <w:rPr>
          <w:color w:val="000000" w:themeColor="text1"/>
        </w:rPr>
        <w:fldChar w:fldCharType="begin"/>
      </w:r>
      <w:r w:rsidR="00292F32" w:rsidRPr="00606D67">
        <w:rPr>
          <w:color w:val="000000" w:themeColor="text1"/>
        </w:rPr>
        <w:instrText xml:space="preserve"> ADDIN ZOTERO_ITEM CSL_CITATION {"citationID":"jbVzKwt1","properties":{"formattedCitation":"(Bedaso &amp; Duko, 2022)","plainCitation":"(Bedaso &amp; Duko, 2022)","noteIndex":0},"citationItems":[{"id":1577,"uris":["http://zotero.org/users/5273986/items/ZNWAG2JR"],"itemData":{"id":1577,"type":"article-journal","abstract":"INTRODUCTION: Displaced people are prone to develop mental health problems due to resettlement in new environments, traumatic events and forced migration. Depression is a mental health problem repeatedly observed among displaced people such as refugees, migrants, asylum seekers and internally displaced persons (IDPs). Therefore, estimating the global pooled prevalence of depression as well as pinpointing its determinants may support policymakers and health care workers to mitigate the disease burden and improve the psychological well-being of displaced people. METHODS: PubMed, EMBASE, CINAHIL, Psych-INFO, and SCOPUS databases were searched for English written relevant observational studies conducted between 1984 and 2020. The methodological quality of studies was assessed using the Newcastle Ottawa Scale (NOS). Heterogeneity across studies was checked using the Q- and I(2) test. Publication bias was checked by observing Funnel plot symmetry and using Egger's regression test. STATA 16 was used to combine studies using a random effect model. RESULTS: Of the 4102 studies identified, 81 studies with an overall sample size of 53,458 were included in the current systematic review and meta-analysis. The pooled prevalence estimate of depression among displaced people was 26.4% (95% CI; 22.2-31.1). Also, three in five IDPs, one in three refugees and asylum seekers and one in four migrants suffer from depression globally. Being female migrant [AOR: 2.46 95% CI: 1.79-3.13, I(2)=34.5%), non-partnered marital status [AOR: 2.29, 95% CI: 1.29-3.30, I(2)= 0.00%], and perceived low social support [AOR: 1.76, 95% CI: 1.00-2.52, I(2)=34.6%] were significant determinants of depression among displaced people. CONCLUSION: Overall, around 1 in 4 displaced people suffer from depression and exceed the prevalence of depression reported by community samples in different nations and demonstrate a need for culturally fitting and targeted responses from migrant/refugee host nations and their serving clinicians.","archive_location":"35316692","container-title":"Psychiatry Res","DOI":"10.1016/j.psychres.2022.114493","page":"114493","title":"Epidemiology of depression among displaced people: A systematic review and meta-analysis","volume":"311","author":[{"family":"Bedaso","given":"A."},{"family":"Duko","given":"B."}],"issued":{"date-parts":[["2022"]]}}}],"schema":"https://github.com/citation-style-language/schema/raw/master/csl-citation.json"} </w:instrText>
      </w:r>
      <w:r w:rsidR="00292F32" w:rsidRPr="00606D67">
        <w:rPr>
          <w:color w:val="000000" w:themeColor="text1"/>
        </w:rPr>
        <w:fldChar w:fldCharType="separate"/>
      </w:r>
      <w:r w:rsidR="00292F32" w:rsidRPr="00606D67">
        <w:rPr>
          <w:color w:val="000000" w:themeColor="text1"/>
        </w:rPr>
        <w:t>(Bedaso &amp; Duko, 2022)</w:t>
      </w:r>
      <w:r w:rsidR="00292F32" w:rsidRPr="00606D67">
        <w:rPr>
          <w:color w:val="000000" w:themeColor="text1"/>
        </w:rPr>
        <w:fldChar w:fldCharType="end"/>
      </w:r>
      <w:r w:rsidRPr="00606D67">
        <w:rPr>
          <w:color w:val="000000" w:themeColor="text1"/>
        </w:rPr>
        <w:t xml:space="preserve"> and other mental illnesses </w:t>
      </w:r>
      <w:r w:rsidR="000E1DA7" w:rsidRPr="00606D67">
        <w:rPr>
          <w:color w:val="000000" w:themeColor="text1"/>
        </w:rPr>
        <w:fldChar w:fldCharType="begin"/>
      </w:r>
      <w:r w:rsidR="000E1DA7" w:rsidRPr="00606D67">
        <w:rPr>
          <w:color w:val="000000" w:themeColor="text1"/>
        </w:rPr>
        <w:instrText xml:space="preserve"> ADDIN ZOTERO_ITEM CSL_CITATION {"citationID":"MwX1icD5","properties":{"formattedCitation":"(Lund et al., 2018)","plainCitation":"(Lund et al., 2018)","noteIndex":0},"citationItems":[{"id":1394,"uris":["http://zotero.org/users/5273986/items/NG2WJEIQ"],"itemData":{"id":1394,"type":"article-journal","abstract":"Mental health has been included in the UN Sustainable Development Goals. However, uncertainty exists about the extent to which the major social determinants of mental disorders are addressed by these goals. The aim of this study was to develop a conceptual framework for the social determinants of mental disorders that is aligned with the Sustainable Development Goals, to use this framework to systematically review evidence regarding these social determinants, and to identify potential mechanisms and targets for interventions. We did a systematic review of reviews using a conceptual framework comprising demographic, economic, neighbourhood, environmental events, and social and culture domains. We included 289 articles in the final Review. This study sheds new light on how the Sustainable Development Goals are relevant for addressing the social determinants of mental disorders, and how these goals could be optimised to prevent mental disorders.","container-title":"The Lancet Psychiatry","DOI":"10.1016/S2215-0366(18)30060-9","ISSN":"2215-0366","issue":"4","journalAbbreviation":"The Lancet Psychiatry","language":"en","page":"357-369","source":"ScienceDirect","title":"Social determinants of mental disorders and the Sustainable Development Goals: a systematic review of reviews","title-short":"Social determinants of mental disorders and the Sustainable Development Goals","volume":"5","author":[{"family":"Lund","given":"Crick"},{"family":"Brooke-Sumner","given":"Carrie"},{"family":"Baingana","given":"Florence"},{"family":"Baron","given":"Emily Claire"},{"family":"Breuer","given":"Erica"},{"family":"Chandra","given":"Prabha"},{"family":"Haushofer","given":"Johannes"},{"family":"Herrman","given":"Helen"},{"family":"Jordans","given":"Mark"},{"family":"Kieling","given":"Christian"},{"family":"Medina-Mora","given":"Maria Elena"},{"family":"Morgan","given":"Ellen"},{"family":"Omigbodun","given":"Olayinka"},{"family":"Tol","given":"Wietse"},{"family":"Patel","given":"Vikram"},{"family":"Saxena","given":"Shekhar"}],"issued":{"date-parts":[["2018",4,1]]}}}],"schema":"https://github.com/citation-style-language/schema/raw/master/csl-citation.json"} </w:instrText>
      </w:r>
      <w:r w:rsidR="000E1DA7" w:rsidRPr="00606D67">
        <w:rPr>
          <w:color w:val="000000" w:themeColor="text1"/>
        </w:rPr>
        <w:fldChar w:fldCharType="separate"/>
      </w:r>
      <w:r w:rsidR="000E1DA7" w:rsidRPr="00606D67">
        <w:rPr>
          <w:color w:val="000000" w:themeColor="text1"/>
        </w:rPr>
        <w:t>(Lund et al., 2018)</w:t>
      </w:r>
      <w:r w:rsidR="000E1DA7" w:rsidRPr="00606D67">
        <w:rPr>
          <w:color w:val="000000" w:themeColor="text1"/>
        </w:rPr>
        <w:fldChar w:fldCharType="end"/>
      </w:r>
      <w:r w:rsidRPr="00606D67">
        <w:rPr>
          <w:color w:val="000000" w:themeColor="text1"/>
        </w:rPr>
        <w:t xml:space="preserve"> were found to be significantly higher amongst displaced people in comparison to community samples. Several migration</w:t>
      </w:r>
      <w:r w:rsidR="00A92628" w:rsidRPr="00606D67">
        <w:rPr>
          <w:color w:val="000000" w:themeColor="text1"/>
        </w:rPr>
        <w:t>-</w:t>
      </w:r>
      <w:r w:rsidRPr="00606D67">
        <w:rPr>
          <w:color w:val="000000" w:themeColor="text1"/>
        </w:rPr>
        <w:t xml:space="preserve">related variables were also identified as potential mental illness determinants, including discrimination, perceived social inequality, low social support, and difficulties with interpersonal relationships </w:t>
      </w:r>
      <w:r w:rsidR="001F1658" w:rsidRPr="00606D67">
        <w:rPr>
          <w:color w:val="000000" w:themeColor="text1"/>
        </w:rPr>
        <w:fldChar w:fldCharType="begin"/>
      </w:r>
      <w:r w:rsidR="001F1658" w:rsidRPr="00606D67">
        <w:rPr>
          <w:color w:val="000000" w:themeColor="text1"/>
        </w:rPr>
        <w:instrText xml:space="preserve"> ADDIN ZOTERO_ITEM CSL_CITATION {"citationID":"pu4SIwaU","properties":{"formattedCitation":"(Meyer et al., 2017)","plainCitation":"(Meyer et al., 2017)","noteIndex":0},"citationItems":[{"id":1593,"uris":["http://zotero.org/users/5273986/items/THYR49QW"],"itemData":{"id":1593,"type":"article-journal","abstract":"Objective: Rural-to-urban migration within low- and middle-income countries (LMICs), and migration from one LMIC to another, are prevalent forms of international migration. Migration may be associated with adverse mental health outcomes. The aim of the current study is to systematically review the literature on migration and mental health between and within LMICs. Methods: This systematic review of PubMed, PsycINFO, Embase, Web of Science, and PILOTS, identified 2,818 total records published between 1991 and 2016, with 139 of these assessed for eligibility. Two authors reviewed full text to assess if they met inclusion criteria, extracted data, and applied a quality assessment to all included studies. Results: The search identified 37 articles that met the inclusion criteria, based on 28 separate studies. All studies apart from one were cross-sectional studies, and studies utilized a range of sampling methods. In all, 19 of these studies were conducted in China. Studies addressed a range of mental health outcomes, and variation in prevalence was reported. Research questions addressed determinants of mental health outcomes, including analysis of risk and protective factors, such as social, cultural, and economic determinants; migration-related risk factors; and substance use. Conclusions: Limitations in study design and methodological rigor of studies indicate a limited evidence base concerning migration and mental health in LMICs. Expansion of research to different regions, utilization of adapted and validated measurement instruments, and longitudinal research could significantly strengthen the evidence base. (PsycINFO Database Record (c) 2018 APA, all rights reserved) (Source: journal abstract)","archive_location":"2043494092; 2018-07908-011","container-title":"Psychiatry: Interpersonal and Biological Processes","DOI":"10.1080/00332747.2017.1354608","issue":"4","page":"374-381","title":"Migration and mental health in low- and middle-income countries: A systematic review","volume":"80","author":[{"family":"Meyer","given":"Sarah R."},{"family":"Lasater","given":"Molly"},{"family":"Tol","given":"Wietse A."}],"issued":{"date-parts":[["2017"]]}}}],"schema":"https://github.com/citation-style-language/schema/raw/master/csl-citation.json"} </w:instrText>
      </w:r>
      <w:r w:rsidR="001F1658" w:rsidRPr="00606D67">
        <w:rPr>
          <w:color w:val="000000" w:themeColor="text1"/>
        </w:rPr>
        <w:fldChar w:fldCharType="separate"/>
      </w:r>
      <w:r w:rsidR="001F1658" w:rsidRPr="00606D67">
        <w:rPr>
          <w:color w:val="000000" w:themeColor="text1"/>
        </w:rPr>
        <w:t>(Meyer et al., 2017)</w:t>
      </w:r>
      <w:r w:rsidR="001F1658" w:rsidRPr="00606D67">
        <w:rPr>
          <w:color w:val="000000" w:themeColor="text1"/>
        </w:rPr>
        <w:fldChar w:fldCharType="end"/>
      </w:r>
      <w:r w:rsidRPr="00606D67">
        <w:rPr>
          <w:color w:val="000000" w:themeColor="text1"/>
        </w:rPr>
        <w:t xml:space="preserve">. Acculturative stress was associated with mental illness in Latino immigrants in the US </w:t>
      </w:r>
      <w:r w:rsidR="002D326C" w:rsidRPr="00606D67">
        <w:rPr>
          <w:color w:val="000000" w:themeColor="text1"/>
        </w:rPr>
        <w:fldChar w:fldCharType="begin"/>
      </w:r>
      <w:r w:rsidR="002D326C" w:rsidRPr="00606D67">
        <w:rPr>
          <w:color w:val="000000" w:themeColor="text1"/>
        </w:rPr>
        <w:instrText xml:space="preserve"> ADDIN ZOTERO_ITEM CSL_CITATION {"citationID":"anRY0bU8","properties":{"formattedCitation":"(Bekteshi &amp; Kang, 2020)","plainCitation":"(Bekteshi &amp; Kang, 2020)","noteIndex":0},"citationItems":[{"id":1578,"uris":["http://zotero.org/users/5273986/items/LH2KKRS4"],"itemData":{"id":1578,"type":"article-journal","abstract":"Purpose: This systematic review of the literature informed of (a) the relationship between acculturation and acculturative stress, (b) examined the determinants of acculturative stress among Latino immigrants in the U.S., and (c) provided a conceptual framework that can be used to specify the interactive effect of various factors on acculturative stress. Methods: Using Preferred Reporting Items for Systematic Reviews and Meta-Analyses (PRISMA), this review synthesized the results of thirty studies published between 2000 and 2015 that investigated the influence of several socio-demographic and cultural contexts on acculturative stress among Latino immigrants categorized using Family Stress Management (FSM) theory as a framework. Results: Studied highlighted several protectors from and risks to acculturative stress. Historical context protective factors included having a choice over the decision to migrate and social support; risks included discrimination, family left abroad, and fear of deportation. Economic context protective factors included higher income. The development context protective factors included English skills, years in the U.S., and being married; risks included being female. Cultural context protective factors included being culturally competent and acculturation; risks included family-cultural conflict and ethnic enclave pressures. Internal context protectors included post-immigration religious coping, church attendance, and family values. Implications: The results highlighted incorporating cultural aspects (i.e. family values and social support) in mental health practice with Latino immigrants. A less stressful integration experience can be achieved if age-related stressors and experiences of discrimination are acknowledged and the need for social support and harmonious family dynamics was prioritized in service plans. (PsycInfo Database Record (c) 2021 APA, all rights reserved) (Source: journal abstract)","archive_location":"2046600758; 2018-25096-001","container-title":"Ethnicity &amp; Health","DOI":"10.1080/13557858.2018.1469733","issue":"6","page":"897-914","title":"Contextualizing acculturative stress among Latino immigrants in the United States: A systematic review","volume":"25","author":[{"family":"Bekteshi","given":"Venera"},{"family":"Kang","given":"Sung-wan"}],"issued":{"date-parts":[["2020"]]}}}],"schema":"https://github.com/citation-style-language/schema/raw/master/csl-citation.json"} </w:instrText>
      </w:r>
      <w:r w:rsidR="002D326C" w:rsidRPr="00606D67">
        <w:rPr>
          <w:color w:val="000000" w:themeColor="text1"/>
        </w:rPr>
        <w:fldChar w:fldCharType="separate"/>
      </w:r>
      <w:r w:rsidR="002D326C" w:rsidRPr="00606D67">
        <w:rPr>
          <w:color w:val="000000" w:themeColor="text1"/>
        </w:rPr>
        <w:t>(Bekteshi &amp; Kang, 2020)</w:t>
      </w:r>
      <w:r w:rsidR="002D326C" w:rsidRPr="00606D67">
        <w:rPr>
          <w:color w:val="000000" w:themeColor="text1"/>
        </w:rPr>
        <w:fldChar w:fldCharType="end"/>
      </w:r>
      <w:r w:rsidRPr="00606D67">
        <w:rPr>
          <w:color w:val="000000" w:themeColor="text1"/>
        </w:rPr>
        <w:t xml:space="preserve">. Cultural determinants in the general population included </w:t>
      </w:r>
      <w:r w:rsidR="00065E65" w:rsidRPr="00606D67">
        <w:rPr>
          <w:color w:val="000000" w:themeColor="text1"/>
        </w:rPr>
        <w:t xml:space="preserve">community environment, culture, </w:t>
      </w:r>
      <w:r w:rsidRPr="00606D67">
        <w:rPr>
          <w:color w:val="000000" w:themeColor="text1"/>
        </w:rPr>
        <w:t xml:space="preserve">social cohesion, social capital, and social class </w:t>
      </w:r>
      <w:r w:rsidR="00DD7FF8" w:rsidRPr="00606D67">
        <w:rPr>
          <w:color w:val="000000" w:themeColor="text1"/>
        </w:rPr>
        <w:fldChar w:fldCharType="begin"/>
      </w:r>
      <w:r w:rsidR="00C26C6D" w:rsidRPr="00606D67">
        <w:rPr>
          <w:color w:val="000000" w:themeColor="text1"/>
        </w:rPr>
        <w:instrText xml:space="preserve"> ADDIN ZOTERO_ITEM CSL_CITATION {"citationID":"GZNbvQh8","properties":{"formattedCitation":"(Lund et al., 2018; Yelton et al., 2022)","plainCitation":"(Lund et al., 2018; Yelton et al., 2022)","noteIndex":0},"citationItems":[{"id":1394,"uris":["http://zotero.org/users/5273986/items/NG2WJEIQ"],"itemData":{"id":1394,"type":"article-journal","abstract":"Mental health has been included in the UN Sustainable Development Goals. However, uncertainty exists about the extent to which the major social determinants of mental disorders are addressed by these goals. The aim of this study was to develop a conceptual framework for the social determinants of mental disorders that is aligned with the Sustainable Development Goals, to use this framework to systematically review evidence regarding these social determinants, and to identify potential mechanisms and targets for interventions. We did a systematic review of reviews using a conceptual framework comprising demographic, economic, neighbourhood, environmental events, and social and culture domains. We included 289 articles in the final Review. This study sheds new light on how the Sustainable Development Goals are relevant for addressing the social determinants of mental disorders, and how these goals could be optimised to prevent mental disorders.","container-title":"The Lancet Psychiatry","DOI":"10.1016/S2215-0366(18)30060-9","ISSN":"2215-0366","issue":"4","journalAbbreviation":"The Lancet Psychiatry","language":"en","page":"357-369","source":"ScienceDirect","title":"Social determinants of mental disorders and the Sustainable Development Goals: a systematic review of reviews","title-short":"Social determinants of mental disorders and the Sustainable Development Goals","volume":"5","author":[{"family":"Lund","given":"Crick"},{"family":"Brooke-Sumner","given":"Carrie"},{"family":"Baingana","given":"Florence"},{"family":"Baron","given":"Emily Claire"},{"family":"Breuer","given":"Erica"},{"family":"Chandra","given":"Prabha"},{"family":"Haushofer","given":"Johannes"},{"family":"Herrman","given":"Helen"},{"family":"Jordans","given":"Mark"},{"family":"Kieling","given":"Christian"},{"family":"Medina-Mora","given":"Maria Elena"},{"family":"Morgan","given":"Ellen"},{"family":"Omigbodun","given":"Olayinka"},{"family":"Tol","given":"Wietse"},{"family":"Patel","given":"Vikram"},{"family":"Saxena","given":"Shekhar"}],"issued":{"date-parts":[["2018",4,1]]}}},{"id":1614,"uris":["http://zotero.org/users/5273986/items/IA8HXAIF"],"itemData":{"id":1614,"type":"article-journal","abstract":"Depression in the United States (US) is increasing across all races and ethnicities and is attributed to multiple social determinants of health (SDOH). For members of historically marginalized races and ethnicities, depression is often underreported and undertreated, and can present as more severe. Limited research explores multiple SDOH and depression among African American adults in the US. Guided by Healthy People (HP) 2030, and using cross-disciplinary mental health terminology, we conducted a comprehensive search to capture studies specific to African American adults in the US published after 2016. We applied known scoping review methodology and followed Preferred Reporting Items for Systematic Reviews and Meta-Analyses extension for Scoping Reviews (PRISMA-ScR) guidelines. From 12,315 initial results, 60 studies were included in our final sample. Most studies explored the HP 2030 Social and Community Context domain, with a heavy focus on discrimination and social support; no studies examined Health Care Access and Quality. Researchers typically utilized cross-sectional, secondary datasets; no qualitative studies were included. We recommend research that comprehensively examines mental health risk and protective factors over the life course within, not just between, populations to inform tailored health promotion and public policy interventions for improving SDOH and reducing racial and ethnic health disparities.","archive_location":"35162519","container-title":"Int J Environ Res Public Health","DOI":"10.3390/ijerph19031498","issue":"3","title":"Social determinants of health and depression among African American Adults: A scoping review of current research","volume":"19","author":[{"family":"Yelton","given":"B."},{"family":"Friedman","given":"D. B."},{"family":"Noblet","given":"S."},{"family":"Lohman","given":"M. C."},{"family":"Arent","given":"M. A."},{"family":"Macauda","given":"M. M."},{"family":"Sakhuja","given":"M."},{"family":"Leith","given":"K. H."}],"issued":{"date-parts":[["2022"]]}}}],"schema":"https://github.com/citation-style-language/schema/raw/master/csl-citation.json"} </w:instrText>
      </w:r>
      <w:r w:rsidR="00DD7FF8" w:rsidRPr="00606D67">
        <w:rPr>
          <w:color w:val="000000" w:themeColor="text1"/>
        </w:rPr>
        <w:fldChar w:fldCharType="separate"/>
      </w:r>
      <w:r w:rsidR="00C26C6D" w:rsidRPr="00606D67">
        <w:rPr>
          <w:color w:val="000000" w:themeColor="text1"/>
        </w:rPr>
        <w:t>(Lund et al., 2018; Yelton et al., 2022)</w:t>
      </w:r>
      <w:r w:rsidR="00DD7FF8" w:rsidRPr="00606D67">
        <w:rPr>
          <w:color w:val="000000" w:themeColor="text1"/>
        </w:rPr>
        <w:fldChar w:fldCharType="end"/>
      </w:r>
      <w:r w:rsidRPr="00606D67">
        <w:rPr>
          <w:color w:val="000000" w:themeColor="text1"/>
        </w:rPr>
        <w:t xml:space="preserve">. </w:t>
      </w:r>
    </w:p>
    <w:p w14:paraId="2EB9FD94" w14:textId="77777777" w:rsidR="00AA4926" w:rsidRPr="00606D67" w:rsidRDefault="00AA4926" w:rsidP="00AA4926">
      <w:pPr>
        <w:pStyle w:val="Heading2"/>
        <w:rPr>
          <w:color w:val="000000" w:themeColor="text1"/>
        </w:rPr>
      </w:pPr>
      <w:r w:rsidRPr="00606D67">
        <w:rPr>
          <w:color w:val="000000" w:themeColor="text1"/>
        </w:rPr>
        <w:t xml:space="preserve">Social Interaction and Support </w:t>
      </w:r>
    </w:p>
    <w:p w14:paraId="6D08B85B" w14:textId="61BC0259" w:rsidR="00AA4926" w:rsidRPr="00606D67" w:rsidRDefault="00AA4926" w:rsidP="00AA4926">
      <w:pPr>
        <w:rPr>
          <w:b/>
          <w:bCs/>
          <w:color w:val="000000" w:themeColor="text1"/>
        </w:rPr>
      </w:pPr>
      <w:r w:rsidRPr="00606D67">
        <w:rPr>
          <w:color w:val="000000" w:themeColor="text1"/>
        </w:rPr>
        <w:t xml:space="preserve">Across populations a lack of social support was identified as a significant determinant of mental illness </w:t>
      </w:r>
      <w:r w:rsidR="00DD7FF8" w:rsidRPr="00606D67">
        <w:rPr>
          <w:color w:val="000000" w:themeColor="text1"/>
        </w:rPr>
        <w:fldChar w:fldCharType="begin"/>
      </w:r>
      <w:r w:rsidR="00017916" w:rsidRPr="00606D67">
        <w:rPr>
          <w:color w:val="000000" w:themeColor="text1"/>
        </w:rPr>
        <w:instrText xml:space="preserve"> ADDIN ZOTERO_ITEM CSL_CITATION {"citationID":"OM4igaTh","properties":{"formattedCitation":"(Bedaso &amp; Duko, 2022; Henssler et al., 2021; Nelson &amp; Wilson, 2017; Ni et al., 2020; Remes et al., 2021; Zenebe et al., 2021)","plainCitation":"(Bedaso &amp; Duko, 2022; Henssler et al., 2021; Nelson &amp; Wilson, 2017; Ni et al., 2020; Remes et al., 2021; Zenebe et al., 2021)","noteIndex":0},"citationItems":[{"id":1577,"uris":["http://zotero.org/users/5273986/items/ZNWAG2JR"],"itemData":{"id":1577,"type":"article-journal","abstract":"INTRODUCTION: Displaced people are prone to develop mental health problems due to resettlement in new environments, traumatic events and forced migration. Depression is a mental health problem repeatedly observed among displaced people such as refugees, migrants, asylum seekers and internally displaced persons (IDPs). Therefore, estimating the global pooled prevalence of depression as well as pinpointing its determinants may support policymakers and health care workers to mitigate the disease burden and improve the psychological well-being of displaced people. METHODS: PubMed, EMBASE, CINAHIL, Psych-INFO, and SCOPUS databases were searched for English written relevant observational studies conducted between 1984 and 2020. The methodological quality of studies was assessed using the Newcastle Ottawa Scale (NOS). Heterogeneity across studies was checked using the Q- and I(2) test. Publication bias was checked by observing Funnel plot symmetry and using Egger's regression test. STATA 16 was used to combine studies using a random effect model. RESULTS: Of the 4102 studies identified, 81 studies with an overall sample size of 53,458 were included in the current systematic review and meta-analysis. The pooled prevalence estimate of depression among displaced people was 26.4% (95% CI; 22.2-31.1). Also, three in five IDPs, one in three refugees and asylum seekers and one in four migrants suffer from depression globally. Being female migrant [AOR: 2.46 95% CI: 1.79-3.13, I(2)=34.5%), non-partnered marital status [AOR: 2.29, 95% CI: 1.29-3.30, I(2)= 0.00%], and perceived low social support [AOR: 1.76, 95% CI: 1.00-2.52, I(2)=34.6%] were significant determinants of depression among displaced people. CONCLUSION: Overall, around 1 in 4 displaced people suffer from depression and exceed the prevalence of depression reported by community samples in different nations and demonstrate a need for culturally fitting and targeted responses from migrant/refugee host nations and their serving clinicians.","archive_location":"35316692","container-title":"Psychiatry Res","DOI":"10.1016/j.psychres.2022.114493","page":"114493","title":"Epidemiology of depression among displaced people: A systematic review and meta-analysis","volume":"311","author":[{"family":"Bedaso","given":"A."},{"family":"Duko","given":"B."}],"issued":{"date-parts":[["2022"]]}}},{"id":1587,"uris":["http://zotero.org/users/5273986/items/Q8DTKIPQ"],"itemData":{"id":1587,"type":"article-journal","abstract":"Due to the ongoing COVID-19 pandemic, an unprecedented number of people worldwide is currently affected by quarantine or isolation. These measures have been suggested to negatively impact on mental health. We conducted the first systematic literature review and meta-analysis assessing the psychological effects in both quarantined and isolated persons compared to non-quarantined and non-isolated persons. PubMed, PsycINFO, and Embase databases were searched for studies until April 22, 2020 (Prospero Registration-No.: CRD42020180043). We followed PRISMA and MOOSE guidelines for data extraction and synthesis and the Newcastle–Ottawa Scale for assessing risk of bias of included studies. A random-effects model was implemented to pool effect sizes of included studies. The primary outcomes were depression, anxiety, and stress-related disorders. All other psychological parameters, such as anger, were reported as secondary outcomes. Out of 6807 screened articles, 25 studies were included in our analyses. Compared to controls, individuals experiencing isolation or quarantine were at increased risk for adverse mental health outcomes, particularly after containment duration of 1 week or longer. Effect sizes were summarized for depressive disorders (odds ratio 2.795; 95% CI 1.467–5.324), anxiety disorders (odds ratio 2.0; 95% CI 0.883–4.527), and stress-related disorders (odds ratio 2.742; 95% CI 1.496–5.027). Among secondary outcomes, elevated levels of anger were reported most consistently. There is compelling evidence for adverse mental health effects of isolation and quarantine, in particular depression, anxiety, stress-related disorders, and anger. Reported determinants can help identify populations at risk and our findings may serve as an evidence-base for prevention and management strategies. (PsycInfo Database Record (c) 2021 APA, all rights reserved) (Source: journal abstract)","archive_location":"2449237198; 2020-75480-001","container-title":"European Archives of Psychiatry and Clinical Neuroscience","DOI":"10.1007/s00406-020-01196-x","issue":"2","page":"223-234","title":"Mental health effects of infection containment strategies: Quarantine and isolation—A systematic review and meta-analysis","volume":"271","author":[{"family":"Henssler","given":"Jonathan"},{"family":"Stock","given":"Friederike"},{"family":"Bohemen","given":"Joris","non-dropping-particle":"van"},{"family":"Walter","given":"Henrik"},{"family":"Heinz","given":"Andreas"},{"family":"Brandt","given":"Lasse"}],"issued":{"date-parts":[["2021"]]}}},{"id":1597,"uris":["http://zotero.org/users/5273986/items/3TJ82B38"],"itemData":{"id":1597,"type":"article-journal","abstract":"Many scholars assert that Indigenous peoples across the globe suffer a disproportionate burden of mental illness. Research indicates that colonialism and its associated processes are important determinants of Indigenous peoples’ health internationally. In Canada, despite an abundance of health research documenting inequalities in morbidity and mortality rates for Indigenous peoples, relatively little research has focused on mental health. This paper provides a critical scoping review of the literature related to Indigenous mental health in Canada. We searched eleven databases and two Indigenous health-focused journals for research related to mental health, Indigenous peoples, and Canada, for the years 2006–2016. Over two hundred papers are included in the review and coded according to research theme, population group, and geography. Results demonstrate that the literature is overwhelmingly concerned with issues related to colonialism in mental health services and the prevalence and causes of mental illness among Indigenous peoples in Canada, but with several significant gaps. Mental health research related to Indigenous peoples in Canada overemphasizes suicide and problematic substance use; a more critical use of the concepts of colonialism and historical trauma is advised; and several population groups are underrepresented in research, including Métis peoples and urban or off-reserve Indigenous peoples. The findings are useful in an international context by providing a starting point for discussions, dialogue, and further study regarding mental health research for Indigenous peoples around the world.","container-title":"Social Science and Medicine","DOI":"10.1016/j.socscimed.2017.01.021","page":"93-112","title":"The mental health of Indigenous peoples in Canada: A critical review of research","volume":"176","author":[{"family":"Nelson","given":"S. E."},{"family":"Wilson","given":"K."}],"issued":{"date-parts":[["2017"]]}}},{"id":1598,"uris":["http://zotero.org/users/5273986/items/RL53BLXE"],"itemData":{"id":1598,"type":"article-journal","abstract":"OBJECTIVES: Protests, riots and revolutions have long been a part of human history and are increasing globally, yet their impact on mental health remains largely unknown. We therefore systematically reviewed studies on collective actions and mental health. METHOD: We searched PubMed, Web of Science, PsycINFO and CINAHL Plus for published studies from their inception until 1 January 2018. Study quality was rated using the Newcastle-Ottawa Scale. RESULTS: We identified 52 studies (n = 57,487 participants) from 20 countries/regions. The prevalence of post-traumatic stress disorder ranged from 4% to 41% in riot-affected areas. Following a major protest, the prevalence of probable major depression increased by 7%, regardless of personal involvement in the protests, suggestive of community spillover effects. Risk factors for poorer mental health included female sex, lower socioeconomic status, exposure to violence, interpersonal conflicts, frequent social media use and lower resilience and social support. Nevertheless, two studies suggested that collective actions may reduce depression and suicide, possibly due to a collective cathartic experience and greater social cohesion within subpopulations. CONCLUSION: We present the first systematic review of collective actions and mental health, showing compelling evidence that protests even when nonviolent can be associated with adverse mental health outcomes. Health care professionals therefore need to be vigilant to the mental and psychological sequelae of protests, riots and revolutions. Further research on this emerging sociopolitical determinant of mental health is warranted.","archive_location":"31989834","container-title":"Aust N Z J Psychiatry","DOI":"10.1177/0004867419899165","issue":"3","page":"232-243","title":"Mental health during and after protests, riots and revolutions: A systematic review","volume":"54","author":[{"family":"Ni","given":"M. Y."},{"family":"Kim","given":"Y."},{"family":"McDowell","given":"I."},{"family":"Wong","given":"S."},{"family":"Qiu","given":"H."},{"family":"Wong","given":"I. O."},{"family":"Galea","given":"S."},{"family":"Leung","given":"G. M."}],"issued":{"date-parts":[["2020"]]}}},{"id":1603,"uris":["http://zotero.org/users/5273986/items/V6VXANRG"],"itemData":{"id":1603,"type":"article-journal","abstract":"Depression is one of the leading causes of disability, and, if left unmanaged, it can increase the risk for suicide. The evidence base on the determinants of depression is fragmented, which makes the interpretation of the results across studies difficult. The objective of this study is to conduct a thorough synthesis of the literature assessing the biological, psychological, and social determinants of depression in order to piece together the puzzle of the key factors that are related to this condition. Titles and abstracts published between 2017 and 2020 were identified in PubMed, as well as Medline, Scopus, and PsycInfo. Key words relating to biological, social, and psychological determinants as well as depression were applied to the databases, and the screening and data charting of the documents took place. We included 470 documents in this literature review. The findings showed that there are a plethora of risk and protective factors (relating to biological, psychological, and social determinants) that are related to depression; these determinants are interlinked and influence depression outcomes through a web of causation. In this paper, we describe and present the vast, fragmented, and complex literature related to this topic. This review may be used to guide practice, public health efforts, policy, and research related to mental health and, specifically, depression.","container-title":"Brain Sciences","DOI":"10.3390/brainsci11121633","issue":"12","title":"Biological, psychological, and social determinants of depression: A review of recent literature","URL":"https://www.embase.com/search/results?subaction=viewrecord&amp;id=L2015091637&amp;from=export","volume":"11","author":[{"family":"Remes","given":"O."},{"family":"Francisco","given":"J."},{"family":"Templeton","given":"P."}],"issued":{"date-parts":[["2021"]]}}},{"id":1615,"uris":["http://zotero.org/users/5273986/items/JF6CT7ED"],"itemData":{"id":1615,"type":"article-journal","abstract":"Background: Depression is a leading cause of disability worldwide and is a major contributor to the overall global burden of disease. It is also one of the most common geriatric psychiatric disorders and a major risk factor for disability and mortality in elderly patients. Even though depression is a common mental health problem in the elderly population, it is undiagnosed in half of the cases. Several studies showed different and inconsistent prevalence rates in the world. Hence, this study aimed to fill the above gap by producing an average prevalence of depression and associated factors in old age. Objective: This study aims to conduct a systematic review and meta-analysis to provide a precise estimate of the prevalence of depression and its determinants among old age. Method: A comprehensive search of PubMed, Scopus, Web of sciences, Google Scholar, and Psych-info from database inception to January 2020. Moreover, the reference list of selected articles was looked at manually to have further eligible articles. The random-effects model was employed during the analysis. Stata-11 was used to determine the average prevalence of depression among old age. A sub-group analysis and sensitivity analysis were also run. A graphical inspection of the funnel plots and Egger’s publication bias plot test were checked for the occurrence of publication bias. Result: A search of the electronic and manual system resulted in 1263 articles. Nevertheless, after the huge screening, 42 relevant studies were identified, including, for this meta-analysis, n = 57,486 elderly populations. The average expected prevalence of depression among old age was 31.74% (95% CI 27.90, 35.59). In the sub-group analysis, the pooled prevalence was higher among developing countries; 40.78% than developed countries; 17.05%), studies utilized Geriatrics Depression Scale-30(GDS-30); 40.60% than studies that used GMS; 18.85%, study instrument, and studies having a lower sample size (40.12%) than studies with the higher sample; 20.19%. Conclusion: A high prevalence rate of depression among the old population in the world was unraveled. This study can be considered as an early warning and advised health professionals, health policymakers, and other pertinent stakeholders to take effective control measures and periodic care for the elderly population.","container-title":"Annals of General Psychiatry","DOI":"10.1186/s12991-021-00375-x","issue":"1","title":"Prevalence and determinants of depression among old age: a systematic review and meta-analysis","URL":"https://www.embase.com/search/results?subaction=viewrecord&amp;id=L2014495283&amp;from=export","volume":"20","author":[{"family":"Zenebe","given":"Y."},{"family":"Akele","given":"B."},{"family":"W/Selassie","given":"M."},{"family":"Necho","given":"M."}],"issued":{"date-parts":[["2021"]]}}}],"schema":"https://github.com/citation-style-language/schema/raw/master/csl-citation.json"} </w:instrText>
      </w:r>
      <w:r w:rsidR="00DD7FF8" w:rsidRPr="00606D67">
        <w:rPr>
          <w:color w:val="000000" w:themeColor="text1"/>
        </w:rPr>
        <w:fldChar w:fldCharType="separate"/>
      </w:r>
      <w:r w:rsidR="00DD7FF8" w:rsidRPr="00606D67">
        <w:rPr>
          <w:color w:val="000000" w:themeColor="text1"/>
        </w:rPr>
        <w:t>(Bedaso &amp; Duko, 2022; Henssler et al., 2021; Nelson &amp; Wilson, 2017; Ni et al., 2020; Remes et al., 2021; Zenebe et al., 2021)</w:t>
      </w:r>
      <w:r w:rsidR="00DD7FF8" w:rsidRPr="00606D67">
        <w:rPr>
          <w:color w:val="000000" w:themeColor="text1"/>
        </w:rPr>
        <w:fldChar w:fldCharType="end"/>
      </w:r>
      <w:r w:rsidRPr="00606D67">
        <w:rPr>
          <w:color w:val="000000" w:themeColor="text1"/>
        </w:rPr>
        <w:t>.</w:t>
      </w:r>
      <w:r w:rsidRPr="00606D67">
        <w:rPr>
          <w:b/>
          <w:bCs/>
          <w:color w:val="000000" w:themeColor="text1"/>
        </w:rPr>
        <w:t xml:space="preserve"> </w:t>
      </w:r>
      <w:r w:rsidRPr="00606D67">
        <w:rPr>
          <w:color w:val="000000" w:themeColor="text1"/>
        </w:rPr>
        <w:t xml:space="preserve">The impact of social isolation was also highlighted during the COVID-19 pandemic. One review reported that those experiencing quarantine were at increased risk of anxiety, depression, </w:t>
      </w:r>
      <w:r w:rsidR="00FF09F7" w:rsidRPr="00606D67">
        <w:rPr>
          <w:color w:val="000000" w:themeColor="text1"/>
        </w:rPr>
        <w:t xml:space="preserve">and </w:t>
      </w:r>
      <w:r w:rsidRPr="00606D67">
        <w:rPr>
          <w:color w:val="000000" w:themeColor="text1"/>
        </w:rPr>
        <w:t xml:space="preserve">stress-related disorders </w:t>
      </w:r>
      <w:r w:rsidR="00FF09F7" w:rsidRPr="00606D67">
        <w:rPr>
          <w:color w:val="000000" w:themeColor="text1"/>
        </w:rPr>
        <w:t>i</w:t>
      </w:r>
      <w:r w:rsidRPr="00606D67">
        <w:rPr>
          <w:color w:val="000000" w:themeColor="text1"/>
        </w:rPr>
        <w:t xml:space="preserve">n comparison to non-isolated or non-quarantined persons </w:t>
      </w:r>
      <w:r w:rsidR="00BF2D86" w:rsidRPr="00606D67">
        <w:rPr>
          <w:color w:val="000000" w:themeColor="text1"/>
        </w:rPr>
        <w:fldChar w:fldCharType="begin"/>
      </w:r>
      <w:r w:rsidR="00BF2D86" w:rsidRPr="00606D67">
        <w:rPr>
          <w:color w:val="000000" w:themeColor="text1"/>
        </w:rPr>
        <w:instrText xml:space="preserve"> ADDIN ZOTERO_ITEM CSL_CITATION {"citationID":"PrHIz72b","properties":{"formattedCitation":"(Henssler et al., 2021)","plainCitation":"(Henssler et al., 2021)","noteIndex":0},"citationItems":[{"id":1587,"uris":["http://zotero.org/users/5273986/items/Q8DTKIPQ"],"itemData":{"id":1587,"type":"article-journal","abstract":"Due to the ongoing COVID-19 pandemic, an unprecedented number of people worldwide is currently affected by quarantine or isolation. These measures have been suggested to negatively impact on mental health. We conducted the first systematic literature review and meta-analysis assessing the psychological effects in both quarantined and isolated persons compared to non-quarantined and non-isolated persons. PubMed, PsycINFO, and Embase databases were searched for studies until April 22, 2020 (Prospero Registration-No.: CRD42020180043). We followed PRISMA and MOOSE guidelines for data extraction and synthesis and the Newcastle–Ottawa Scale for assessing risk of bias of included studies. A random-effects model was implemented to pool effect sizes of included studies. The primary outcomes were depression, anxiety, and stress-related disorders. All other psychological parameters, such as anger, were reported as secondary outcomes. Out of 6807 screened articles, 25 studies were included in our analyses. Compared to controls, individuals experiencing isolation or quarantine were at increased risk for adverse mental health outcomes, particularly after containment duration of 1 week or longer. Effect sizes were summarized for depressive disorders (odds ratio 2.795; 95% CI 1.467–5.324), anxiety disorders (odds ratio 2.0; 95% CI 0.883–4.527), and stress-related disorders (odds ratio 2.742; 95% CI 1.496–5.027). Among secondary outcomes, elevated levels of anger were reported most consistently. There is compelling evidence for adverse mental health effects of isolation and quarantine, in particular depression, anxiety, stress-related disorders, and anger. Reported determinants can help identify populations at risk and our findings may serve as an evidence-base for prevention and management strategies. (PsycInfo Database Record (c) 2021 APA, all rights reserved) (Source: journal abstract)","archive_location":"2449237198; 2020-75480-001","container-title":"European Archives of Psychiatry and Clinical Neuroscience","DOI":"10.1007/s00406-020-01196-x","issue":"2","page":"223-234","title":"Mental health effects of infection containment strategies: Quarantine and isolation—A systematic review and meta-analysis","volume":"271","author":[{"family":"Henssler","given":"Jonathan"},{"family":"Stock","given":"Friederike"},{"family":"Bohemen","given":"Joris","non-dropping-particle":"van"},{"family":"Walter","given":"Henrik"},{"family":"Heinz","given":"Andreas"},{"family":"Brandt","given":"Lasse"}],"issued":{"date-parts":[["2021"]]}}}],"schema":"https://github.com/citation-style-language/schema/raw/master/csl-citation.json"} </w:instrText>
      </w:r>
      <w:r w:rsidR="00BF2D86" w:rsidRPr="00606D67">
        <w:rPr>
          <w:color w:val="000000" w:themeColor="text1"/>
        </w:rPr>
        <w:fldChar w:fldCharType="separate"/>
      </w:r>
      <w:r w:rsidR="00BF2D86" w:rsidRPr="00606D67">
        <w:rPr>
          <w:color w:val="000000" w:themeColor="text1"/>
        </w:rPr>
        <w:t>(Henssler et al., 2021)</w:t>
      </w:r>
      <w:r w:rsidR="00BF2D86" w:rsidRPr="00606D67">
        <w:rPr>
          <w:color w:val="000000" w:themeColor="text1"/>
        </w:rPr>
        <w:fldChar w:fldCharType="end"/>
      </w:r>
      <w:r w:rsidRPr="00606D67">
        <w:rPr>
          <w:color w:val="000000" w:themeColor="text1"/>
        </w:rPr>
        <w:t xml:space="preserve">, while the other similarly found that reductions in human mobility were associated with increased prevalence of anxiety disorders and major depressive disorder </w:t>
      </w:r>
      <w:r w:rsidR="00BF2D86" w:rsidRPr="00606D67">
        <w:rPr>
          <w:color w:val="000000" w:themeColor="text1"/>
        </w:rPr>
        <w:fldChar w:fldCharType="begin"/>
      </w:r>
      <w:r w:rsidR="00BF2D86" w:rsidRPr="00606D67">
        <w:rPr>
          <w:color w:val="000000" w:themeColor="text1"/>
        </w:rPr>
        <w:instrText xml:space="preserve"> ADDIN ZOTERO_ITEM CSL_CITATION {"citationID":"rW3IahA8","properties":{"formattedCitation":"(Santomauro et al., 2021)","plainCitation":"(Santomauro et al., 2021)","noteIndex":0},"citationItems":[{"id":1621,"uris":["http://zotero.org/users/5273986/items/E8YVBM6K"],"itemData":{"id":1621,"type":"article-journal","abstract":"Background\nBefore 2020, mental disorders were leading causes of the global health-related burden, with depressive and anxiety disorders being leading contributors to this burden. The emergence of the COVID-19 pandemic has created an environment where many determinants of poor mental health are exacerbated. The need for up-to-date information on the mental health impacts of COVID-19 in a way that informs health system responses is imperative. In this study, we aimed to quantify the impact of the COVID-19 pandemic on the prevalence and burden of major depressive disorder and anxiety disorders globally in 2020.\nMethods\nWe conducted a systematic review of data reporting the prevalence of major depressive disorder and anxiety disorders during the COVID-19 pandemic and published between Jan 1, 2020, and Jan 29, 2021. We searched PubMed, Google Scholar, preprint servers, grey literature sources, and consulted experts. Eligible studies reported prevalence of depressive or anxiety disorders that were representative of the general population during the COVID-19 pandemic and had a pre-pandemic baseline. We used the assembled data in a meta-regression to estimate change in the prevalence of major depressive disorder and anxiety disorders between pre-pandemic and mid-pandemic (using periods as defined by each study) via COVID-19 impact indicators (human mobility, daily SARS-CoV-2 infection rate, and daily excess mortality rate). We then used this model to estimate the change from pre-pandemic prevalence (estimated using Disease Modelling Meta-Regression version 2.1 [known as DisMod-MR 2.1]) by age, sex, and location. We used final prevalence estimates and disability weights to estimate years lived with disability and disability-adjusted life-years (DALYs) for major depressive disorder and anxiety disorders.\nFindings\nWe identified 5683 unique data sources, of which 48 met inclusion criteria (46 studies met criteria for major depressive disorder and 27 for anxiety disorders). Two COVID-19 impact indicators, specifically daily SARS-CoV-2 infection rates and reductions in human mobility, were associated with increased prevalence of major depressive disorder (regression coefficient [B] 0·9 [95% uncertainty interval 0·1 to 1·8; p=0·029] for human mobility, 18·1 [7·9 to 28·3; p=0·0005] for daily SARS-CoV-2 infection) and anxiety disorders (0·9 [0·1 to 1·7; p=0·022] and 13·8 [10·7 to 17·0; p&lt;0·0001]. Females were affected more by the pandemic than males (B 0·1 [0·1 to 0·2; p=0·0001] for major depressive disorder, 0·1 [0·1 to 0·2; p=0·0001] for anxiety disorders) and younger age groups were more affected than older age groups (−0·007 [–0·009 to −0·006; p=0·0001] for major depressive disorder, −0·003 [–0·005 to −0·002; p=0·0001] for anxiety disorders). We estimated that the locations hit hardest by the pandemic in 2020, as measured with decreased human mobility and daily SARS-CoV-2 infection rate, had the greatest increases in prevalence of major depressive disorder and anxiety disorders. We estimated an additional 53·2 million (44·8 to 62·9) cases of major depressive disorder globally (an increase of 27·6% [25·1 to 30·3]) due to the COVID-19 pandemic, such that the total prevalence was 3152·9 cases (2722·5 to 3654·5) per 100 000 population. We also estimated an additional 76·2 million (64·3 to 90·6) cases of anxiety disorders globally (an increase of 25·6% [23·2 to 28·0]), such that the total prevalence was 4802·4 cases (4108·2 to 5588·6) per 100 000 population. Altogether, major depressive disorder caused 49·4 million (33·6 to 68·7) DALYs and anxiety disorders caused 44·5 million (30·2 to 62·5) DALYs globally in 2020.\nInterpretation\nThis pandemic has created an increased urgency to strengthen mental health systems in most countries. Mitigation strategies could incorporate ways to promote mental wellbeing and target determinants of poor mental health and interventions to treat those with a mental disorder. Taking no action to address the burden of major depressive disorder and anxiety disorders should not be an option.\nFunding\nQueensland Health, National Health and Medical Research Council, and the Bill and Melinda Gates Foundation.","container-title":"The Lancet","DOI":"10.1016/S0140-6736(21)02143-7","ISSN":"0140-6736","issue":"10312","journalAbbreviation":"The Lancet","language":"en","page":"1700-1712","source":"ScienceDirect","title":"Global prevalence and burden of depressive and anxiety disorders in 204 countries and territories in 2020 due to the COVID-19 pandemic","volume":"398","author":[{"family":"Santomauro","given":"Damian F"},{"family":"Mantilla Herrera","given":"Ana M"},{"family":"Shadid","given":"Jamileh"},{"family":"Zheng","given":"Peng"},{"family":"Ashbaugh","given":"Charlie"},{"family":"Pigott","given":"David M"},{"family":"Abbafati","given":"Cristiana"},{"family":"Adolph","given":"Christopher"},{"family":"Amlag","given":"Joanne O"},{"family":"Aravkin","given":"Aleksandr Y"},{"family":"Bang-Jensen","given":"Bree L"},{"family":"Bertolacci","given":"Gregory J"},{"family":"Bloom","given":"Sabina S"},{"family":"Castellano","given":"Rachel"},{"family":"Castro","given":"Emma"},{"family":"Chakrabarti","given":"Suman"},{"family":"Chattopadhyay","given":"Jhilik"},{"family":"Cogen","given":"Rebecca M"},{"family":"Collins","given":"James K"},{"family":"Dai","given":"Xiaochen"},{"family":"Dangel","given":"William James"},{"family":"Dapper","given":"Carolyn"},{"family":"Deen","given":"Amanda"},{"family":"Erickson","given":"Megan"},{"family":"Ewald","given":"Samuel B"},{"family":"Flaxman","given":"Abraham D"},{"family":"Frostad","given":"Joseph Jon"},{"family":"Fullman","given":"Nancy"},{"family":"Giles","given":"John R"},{"family":"Giref","given":"Ababi Zergaw"},{"family":"Guo","given":"Gaorui"},{"family":"He","given":"Jiawei"},{"family":"Helak","given":"Monika"},{"family":"Hulland","given":"Erin N"},{"family":"Idrisov","given":"Bulat"},{"family":"Lindstrom","given":"Akiaja"},{"family":"Linebarger","given":"Emily"},{"family":"Lotufo","given":"Paulo A"},{"family":"Lozano","given":"Rafael"},{"family":"Magistro","given":"Beatrice"},{"family":"Malta","given":"Deborah Carvalho"},{"family":"Månsson","given":"Johan C"},{"family":"Marinho","given":"Fatima"},{"family":"Mokdad","given":"Ali H"},{"family":"Monasta","given":"Lorenzo"},{"family":"Naik","given":"Paulami"},{"family":"Nomura","given":"Shuhei"},{"family":"O'Halloran","given":"James Kevin"},{"family":"Ostroff","given":"Samuel M"},{"family":"Pasovic","given":"Maja"},{"family":"Penberthy","given":"Louise"},{"family":"Reiner Jr","given":"Robert C"},{"family":"Reinke","given":"Grace"},{"family":"Ribeiro","given":"Antonio Luiz P"},{"family":"Sholokhov","given":"Aleksei"},{"family":"Sorensen","given":"Reed J D"},{"family":"Varavikova","given":"Elena"},{"family":"Vo","given":"Anh Truc"},{"family":"Walcott","given":"Rebecca"},{"family":"Watson","given":"Stefanie"},{"family":"Wiysonge","given":"Charles Shey"},{"family":"Zigler","given":"Bethany"},{"family":"Hay","given":"Simon I"},{"family":"Vos","given":"Theo"},{"family":"Murray","given":"Christopher J L"},{"family":"Whiteford","given":"Harvey A"},{"family":"Ferrari","given":"Alize J"}],"issued":{"date-parts":[["2021",11,6]]}}}],"schema":"https://github.com/citation-style-language/schema/raw/master/csl-citation.json"} </w:instrText>
      </w:r>
      <w:r w:rsidR="00BF2D86" w:rsidRPr="00606D67">
        <w:rPr>
          <w:color w:val="000000" w:themeColor="text1"/>
        </w:rPr>
        <w:fldChar w:fldCharType="separate"/>
      </w:r>
      <w:r w:rsidR="00BF2D86" w:rsidRPr="00606D67">
        <w:rPr>
          <w:color w:val="000000" w:themeColor="text1"/>
        </w:rPr>
        <w:t>(Santomauro et al., 2021)</w:t>
      </w:r>
      <w:r w:rsidR="00BF2D86" w:rsidRPr="00606D67">
        <w:rPr>
          <w:color w:val="000000" w:themeColor="text1"/>
        </w:rPr>
        <w:fldChar w:fldCharType="end"/>
      </w:r>
      <w:r w:rsidRPr="00606D67">
        <w:rPr>
          <w:color w:val="000000" w:themeColor="text1"/>
        </w:rPr>
        <w:t xml:space="preserve">. </w:t>
      </w:r>
    </w:p>
    <w:p w14:paraId="34E95AC7" w14:textId="77777777" w:rsidR="00AA4926" w:rsidRPr="00606D67" w:rsidRDefault="00AA4926" w:rsidP="00AA4926">
      <w:pPr>
        <w:pStyle w:val="Heading2"/>
        <w:rPr>
          <w:color w:val="000000" w:themeColor="text1"/>
        </w:rPr>
      </w:pPr>
      <w:r w:rsidRPr="00606D67">
        <w:rPr>
          <w:color w:val="000000" w:themeColor="text1"/>
        </w:rPr>
        <w:t xml:space="preserve">Structural Policies and Inequality </w:t>
      </w:r>
    </w:p>
    <w:p w14:paraId="43E17CC5" w14:textId="739A86F7" w:rsidR="00AA4926" w:rsidRPr="00606D67" w:rsidRDefault="00AA4926" w:rsidP="00AA4926">
      <w:pPr>
        <w:rPr>
          <w:color w:val="000000" w:themeColor="text1"/>
        </w:rPr>
      </w:pPr>
      <w:r w:rsidRPr="00606D67">
        <w:rPr>
          <w:color w:val="000000" w:themeColor="text1"/>
        </w:rPr>
        <w:t>Colonialism was found to be a significant determinant of mental health of Indigenous people in Canada, particularly surrounding specific policy decisions such as general social policy, child welfare, and residential schools</w:t>
      </w:r>
      <w:r w:rsidR="0090693C" w:rsidRPr="00606D67">
        <w:rPr>
          <w:color w:val="000000" w:themeColor="text1"/>
        </w:rPr>
        <w:t xml:space="preserve"> </w:t>
      </w:r>
      <w:r w:rsidR="0090693C" w:rsidRPr="00606D67">
        <w:rPr>
          <w:color w:val="000000" w:themeColor="text1"/>
        </w:rPr>
        <w:fldChar w:fldCharType="begin"/>
      </w:r>
      <w:r w:rsidR="0090693C" w:rsidRPr="00606D67">
        <w:rPr>
          <w:color w:val="000000" w:themeColor="text1"/>
        </w:rPr>
        <w:instrText xml:space="preserve"> ADDIN ZOTERO_ITEM CSL_CITATION {"citationID":"b78etEMH","properties":{"formattedCitation":"(Nelson &amp; Wilson, 2017)","plainCitation":"(Nelson &amp; Wilson, 2017)","noteIndex":0},"citationItems":[{"id":1597,"uris":["http://zotero.org/users/5273986/items/3TJ82B38"],"itemData":{"id":1597,"type":"article-journal","abstract":"Many scholars assert that Indigenous peoples across the globe suffer a disproportionate burden of mental illness. Research indicates that colonialism and its associated processes are important determinants of Indigenous peoples’ health internationally. In Canada, despite an abundance of health research documenting inequalities in morbidity and mortality rates for Indigenous peoples, relatively little research has focused on mental health. This paper provides a critical scoping review of the literature related to Indigenous mental health in Canada. We searched eleven databases and two Indigenous health-focused journals for research related to mental health, Indigenous peoples, and Canada, for the years 2006–2016. Over two hundred papers are included in the review and coded according to research theme, population group, and geography. Results demonstrate that the literature is overwhelmingly concerned with issues related to colonialism in mental health services and the prevalence and causes of mental illness among Indigenous peoples in Canada, but with several significant gaps. Mental health research related to Indigenous peoples in Canada overemphasizes suicide and problematic substance use; a more critical use of the concepts of colonialism and historical trauma is advised; and several population groups are underrepresented in research, including Métis peoples and urban or off-reserve Indigenous peoples. The findings are useful in an international context by providing a starting point for discussions, dialogue, and further study regarding mental health research for Indigenous peoples around the world.","container-title":"Social Science and Medicine","DOI":"10.1016/j.socscimed.2017.01.021","page":"93-112","title":"The mental health of Indigenous peoples in Canada: A critical review of research","volume":"176","author":[{"family":"Nelson","given":"S. E."},{"family":"Wilson","given":"K."}],"issued":{"date-parts":[["2017"]]}}}],"schema":"https://github.com/citation-style-language/schema/raw/master/csl-citation.json"} </w:instrText>
      </w:r>
      <w:r w:rsidR="0090693C" w:rsidRPr="00606D67">
        <w:rPr>
          <w:color w:val="000000" w:themeColor="text1"/>
        </w:rPr>
        <w:fldChar w:fldCharType="separate"/>
      </w:r>
      <w:r w:rsidR="0090693C" w:rsidRPr="00606D67">
        <w:rPr>
          <w:color w:val="000000" w:themeColor="text1"/>
        </w:rPr>
        <w:t>(Nelson &amp; Wilson, 2017)</w:t>
      </w:r>
      <w:r w:rsidR="0090693C" w:rsidRPr="00606D67">
        <w:rPr>
          <w:color w:val="000000" w:themeColor="text1"/>
        </w:rPr>
        <w:fldChar w:fldCharType="end"/>
      </w:r>
      <w:r w:rsidRPr="00606D67">
        <w:rPr>
          <w:color w:val="000000" w:themeColor="text1"/>
        </w:rPr>
        <w:t xml:space="preserve">. The </w:t>
      </w:r>
      <w:r w:rsidRPr="00606D67">
        <w:rPr>
          <w:color w:val="000000" w:themeColor="text1"/>
        </w:rPr>
        <w:lastRenderedPageBreak/>
        <w:t xml:space="preserve">concept of historical/intergenerational trauma associated with colonialism was also found to be a significant mental health determinant </w:t>
      </w:r>
      <w:r w:rsidR="00883525" w:rsidRPr="00606D67">
        <w:rPr>
          <w:color w:val="000000" w:themeColor="text1"/>
        </w:rPr>
        <w:fldChar w:fldCharType="begin"/>
      </w:r>
      <w:r w:rsidR="00883525" w:rsidRPr="00606D67">
        <w:rPr>
          <w:color w:val="000000" w:themeColor="text1"/>
        </w:rPr>
        <w:instrText xml:space="preserve"> ADDIN ZOTERO_ITEM CSL_CITATION {"citationID":"b78etEMH","properties":{"formattedCitation":"(Nelson &amp; Wilson, 2017)","plainCitation":"(Nelson &amp; Wilson, 2017)","noteIndex":0},"citationItems":[{"id":1597,"uris":["http://zotero.org/users/5273986/items/3TJ82B38"],"itemData":{"id":1597,"type":"article-journal","abstract":"Many scholars assert that Indigenous peoples across the globe suffer a disproportionate burden of mental illness. Research indicates that colonialism and its associated processes are important determinants of Indigenous peoples’ health internationally. In Canada, despite an abundance of health research documenting inequalities in morbidity and mortality rates for Indigenous peoples, relatively little research has focused on mental health. This paper provides a critical scoping review of the literature related to Indigenous mental health in Canada. We searched eleven databases and two Indigenous health-focused journals for research related to mental health, Indigenous peoples, and Canada, for the years 2006–2016. Over two hundred papers are included in the review and coded according to research theme, population group, and geography. Results demonstrate that the literature is overwhelmingly concerned with issues related to colonialism in mental health services and the prevalence and causes of mental illness among Indigenous peoples in Canada, but with several significant gaps. Mental health research related to Indigenous peoples in Canada overemphasizes suicide and problematic substance use; a more critical use of the concepts of colonialism and historical trauma is advised; and several population groups are underrepresented in research, including Métis peoples and urban or off-reserve Indigenous peoples. The findings are useful in an international context by providing a starting point for discussions, dialogue, and further study regarding mental health research for Indigenous peoples around the world.","container-title":"Social Science and Medicine","DOI":"10.1016/j.socscimed.2017.01.021","page":"93-112","title":"The mental health of Indigenous peoples in Canada: A critical review of research","volume":"176","author":[{"family":"Nelson","given":"S. E."},{"family":"Wilson","given":"K."}],"issued":{"date-parts":[["2017"]]}}}],"schema":"https://github.com/citation-style-language/schema/raw/master/csl-citation.json"} </w:instrText>
      </w:r>
      <w:r w:rsidR="00883525" w:rsidRPr="00606D67">
        <w:rPr>
          <w:color w:val="000000" w:themeColor="text1"/>
        </w:rPr>
        <w:fldChar w:fldCharType="separate"/>
      </w:r>
      <w:r w:rsidR="00883525" w:rsidRPr="00606D67">
        <w:rPr>
          <w:color w:val="000000" w:themeColor="text1"/>
        </w:rPr>
        <w:t>(Nelson &amp; Wilson, 2017)</w:t>
      </w:r>
      <w:r w:rsidR="00883525" w:rsidRPr="00606D67">
        <w:rPr>
          <w:color w:val="000000" w:themeColor="text1"/>
        </w:rPr>
        <w:fldChar w:fldCharType="end"/>
      </w:r>
      <w:r w:rsidRPr="00606D67">
        <w:rPr>
          <w:color w:val="000000" w:themeColor="text1"/>
        </w:rPr>
        <w:t xml:space="preserve">. Comprehensive and gender inclusive welfare states were found to lead to positive mental health outcomes, particularly for women </w:t>
      </w:r>
      <w:r w:rsidR="005D6B73" w:rsidRPr="00606D67">
        <w:rPr>
          <w:color w:val="000000" w:themeColor="text1"/>
        </w:rPr>
        <w:fldChar w:fldCharType="begin"/>
      </w:r>
      <w:r w:rsidR="005D6B73" w:rsidRPr="00606D67">
        <w:rPr>
          <w:color w:val="000000" w:themeColor="text1"/>
        </w:rPr>
        <w:instrText xml:space="preserve"> ADDIN ZOTERO_ITEM CSL_CITATION {"citationID":"0epvDbJj","properties":{"formattedCitation":"(McAllister et al., 2018)","plainCitation":"(McAllister et al., 2018)","noteIndex":0},"citationItems":[{"id":1592,"uris":["http://zotero.org/users/5273986/items/3VQPLJXK"],"itemData":{"id":1592,"type":"article-journal","abstract":"Background: In Europe and elsewhere there is rising concern about inequality in health and increased prevalence of mental ill-health. Structural determinants such as welfare state arrangements may impact on levels of mental health and social inequalities. This systematic review aims to assess the current evidence on whether structural determinants are associated with inequalities in mental health outcomes. Methods: We conducted a systematic review of quantitative studies published between 1996 and 2017 based on search results from the following databases Medline, Embase, PsychInfo, Web of Science, Sociological Abstracts and Eric. Studies were included if they focused on inequalities (measured by socio-economic position and gender), structural determinants (i.e. public policies affecting the whole population) and showed a change or comparison in mental health status in one (or more) of the Organisation for Economic Cooperation and Development (OECD) countries. All studies were assessed for inclusion and study quality by two independent reviewers. Data were extracted and synthesised using narrative analysis. Results: Twenty-one articles (17 studies) met the inclusion criteria. Studies were heterogeneous with regards to methodology, mental health outcomes and policy settings. More comprehensive and gender inclusive welfare states (e.g. Nordic welfare states) had better mental health outcomes, especially for women, and less gender-related inequality. Nordic welfare regimes may also decrease inequalities between lone and couple mothers. A strong welfare state does not buffer against socio-economic inequalities in mental health outcomes. Austerity measures tended to worsen mental health and increase inequalities. Area-based initiatives and educational policy are understudied. Conclusion: Although the literature on structural determinants and inequalities in mental health is limited, our review shows some evidence supporting the causal effects of structural determinants on mental health inequalities. The lack of evidence should not be interpreted as lack of effect. Future studies should apply innovative methods to overcome the inherent methodological challenges in this area, as structural determinants potentially affect both levels of mental health and social inequalities.","archive_location":"133437714. Language: English. Entry Date: 20181211. Revision Date: 20190109. Publication Type: Article","container-title":"International Journal for Equity in Health","DOI":"10.1186/s12939-018-0879-9","issue":"1","page":"N.PAG-N.PAG","title":"How do macro-level structural determinants affect inequalities in mental health? – a systematic review of the literature","volume":"17","author":[{"family":"McAllister","given":"A."},{"family":"Almroth","given":"M."},{"family":"Harber-Aschan","given":"L."},{"family":"Larsson","given":"S."},{"family":"Burström","given":"B."},{"family":"Fritzell","given":"S."}],"issued":{"date-parts":[["2018"]]}}}],"schema":"https://github.com/citation-style-language/schema/raw/master/csl-citation.json"} </w:instrText>
      </w:r>
      <w:r w:rsidR="005D6B73" w:rsidRPr="00606D67">
        <w:rPr>
          <w:color w:val="000000" w:themeColor="text1"/>
        </w:rPr>
        <w:fldChar w:fldCharType="separate"/>
      </w:r>
      <w:r w:rsidR="005D6B73" w:rsidRPr="00606D67">
        <w:rPr>
          <w:color w:val="000000" w:themeColor="text1"/>
        </w:rPr>
        <w:t>(McAllister et al., 2018)</w:t>
      </w:r>
      <w:r w:rsidR="005D6B73" w:rsidRPr="00606D67">
        <w:rPr>
          <w:color w:val="000000" w:themeColor="text1"/>
        </w:rPr>
        <w:fldChar w:fldCharType="end"/>
      </w:r>
      <w:r w:rsidRPr="00606D67">
        <w:rPr>
          <w:color w:val="000000" w:themeColor="text1"/>
        </w:rPr>
        <w:t xml:space="preserve">. Austerity measures were associated with worse mental health outcomes, and strong welfare states were not found to buffer against socio-economic inequalities in mental health outcomes </w:t>
      </w:r>
      <w:r w:rsidR="007075EE" w:rsidRPr="00606D67">
        <w:rPr>
          <w:color w:val="000000" w:themeColor="text1"/>
        </w:rPr>
        <w:fldChar w:fldCharType="begin"/>
      </w:r>
      <w:r w:rsidR="007075EE" w:rsidRPr="00606D67">
        <w:rPr>
          <w:color w:val="000000" w:themeColor="text1"/>
        </w:rPr>
        <w:instrText xml:space="preserve"> ADDIN ZOTERO_ITEM CSL_CITATION {"citationID":"rhsHvvk6","properties":{"formattedCitation":"(McAllister et al., 2018)","plainCitation":"(McAllister et al., 2018)","noteIndex":0},"citationItems":[{"id":1592,"uris":["http://zotero.org/users/5273986/items/3VQPLJXK"],"itemData":{"id":1592,"type":"article-journal","abstract":"Background: In Europe and elsewhere there is rising concern about inequality in health and increased prevalence of mental ill-health. Structural determinants such as welfare state arrangements may impact on levels of mental health and social inequalities. This systematic review aims to assess the current evidence on whether structural determinants are associated with inequalities in mental health outcomes. Methods: We conducted a systematic review of quantitative studies published between 1996 and 2017 based on search results from the following databases Medline, Embase, PsychInfo, Web of Science, Sociological Abstracts and Eric. Studies were included if they focused on inequalities (measured by socio-economic position and gender), structural determinants (i.e. public policies affecting the whole population) and showed a change or comparison in mental health status in one (or more) of the Organisation for Economic Cooperation and Development (OECD) countries. All studies were assessed for inclusion and study quality by two independent reviewers. Data were extracted and synthesised using narrative analysis. Results: Twenty-one articles (17 studies) met the inclusion criteria. Studies were heterogeneous with regards to methodology, mental health outcomes and policy settings. More comprehensive and gender inclusive welfare states (e.g. Nordic welfare states) had better mental health outcomes, especially for women, and less gender-related inequality. Nordic welfare regimes may also decrease inequalities between lone and couple mothers. A strong welfare state does not buffer against socio-economic inequalities in mental health outcomes. Austerity measures tended to worsen mental health and increase inequalities. Area-based initiatives and educational policy are understudied. Conclusion: Although the literature on structural determinants and inequalities in mental health is limited, our review shows some evidence supporting the causal effects of structural determinants on mental health inequalities. The lack of evidence should not be interpreted as lack of effect. Future studies should apply innovative methods to overcome the inherent methodological challenges in this area, as structural determinants potentially affect both levels of mental health and social inequalities.","archive_location":"133437714. Language: English. Entry Date: 20181211. Revision Date: 20190109. Publication Type: Article","container-title":"International Journal for Equity in Health","DOI":"10.1186/s12939-018-0879-9","issue":"1","page":"N.PAG-N.PAG","title":"How do macro-level structural determinants affect inequalities in mental health? – a systematic review of the literature","volume":"17","author":[{"family":"McAllister","given":"A."},{"family":"Almroth","given":"M."},{"family":"Harber-Aschan","given":"L."},{"family":"Larsson","given":"S."},{"family":"Burström","given":"B."},{"family":"Fritzell","given":"S."}],"issued":{"date-parts":[["2018"]]}}}],"schema":"https://github.com/citation-style-language/schema/raw/master/csl-citation.json"} </w:instrText>
      </w:r>
      <w:r w:rsidR="007075EE" w:rsidRPr="00606D67">
        <w:rPr>
          <w:color w:val="000000" w:themeColor="text1"/>
        </w:rPr>
        <w:fldChar w:fldCharType="separate"/>
      </w:r>
      <w:r w:rsidR="007075EE" w:rsidRPr="00606D67">
        <w:rPr>
          <w:color w:val="000000" w:themeColor="text1"/>
        </w:rPr>
        <w:t>(McAllister et al., 2018)</w:t>
      </w:r>
      <w:r w:rsidR="007075EE" w:rsidRPr="00606D67">
        <w:rPr>
          <w:color w:val="000000" w:themeColor="text1"/>
        </w:rPr>
        <w:fldChar w:fldCharType="end"/>
      </w:r>
      <w:r w:rsidRPr="00606D67">
        <w:rPr>
          <w:color w:val="000000" w:themeColor="text1"/>
        </w:rPr>
        <w:t xml:space="preserve">. Kim and colleagues </w:t>
      </w:r>
      <w:r w:rsidR="007075EE" w:rsidRPr="00606D67">
        <w:rPr>
          <w:color w:val="000000" w:themeColor="text1"/>
        </w:rPr>
        <w:fldChar w:fldCharType="begin"/>
      </w:r>
      <w:r w:rsidR="007075EE" w:rsidRPr="00606D67">
        <w:rPr>
          <w:color w:val="000000" w:themeColor="text1"/>
        </w:rPr>
        <w:instrText xml:space="preserve"> ADDIN ZOTERO_ITEM CSL_CITATION {"citationID":"XwrjT1cz","properties":{"formattedCitation":"(2012)","plainCitation":"(2012)","noteIndex":0},"citationItems":[{"id":1589,"uris":["http://zotero.org/users/5273986/items/A5S8KW9M"],"itemData":{"id":1589,"type":"article-journal","abstract":"Objectives: The aim of this literature review is to identify whether differences between welfare regimes can manifest diverse consequences for the health effects of insecure and precarious employment, as well as to address challenging issues and implications for future research. Methods: By searching PubMed, PsychINFO, Stork Social Science Citation Index, and Index Lilac, from 1988 to June 2010, a total of 104 original articles were selected (65 on job insecurity; 39 on precarious employment). Results: After classifying selected empirical studies according to a six-regime welfare state typology (Scandinavian, Bismarckian, Southern European, Anglo-Saxon, Eastern European, and East Asian), this systematic review reveals that welfare regimes may be an important determinant of employment-related health. Precarious workers in Scandinavian welfare states report better or equal health status when compared to their permanent counterparts. By contrast, precarious work in the remaining welfare state regimes is found to be associated with adverse health outcomes, including poor self-rated health, musculoskeletal disorders, injuries, and mental health problems. Conclusions: Future research should be conducted by employing conceptual models that specify how macro-economic processes, country-level welfare factors, and individual employment histories and environments relate to employment-related health inequalities. © 2011 Elsevier Ireland Ltd.","container-title":"Health Policy","DOI":"10.1016/j.healthpol.2011.11.002","issue":"2","page":"99-127","title":"Welfare states, flexible employment, and health: A critical review","volume":"104","author":[{"family":"Kim","given":"I. H."},{"family":"Muntaner","given":"C."},{"family":"Vahid Shahidi","given":"F."},{"family":"Vives","given":"A."},{"family":"Vanroelen","given":"C."},{"family":"Benach","given":"J."}],"issued":{"date-parts":[["2012"]]}},"label":"page","suppress-author":true}],"schema":"https://github.com/citation-style-language/schema/raw/master/csl-citation.json"} </w:instrText>
      </w:r>
      <w:r w:rsidR="007075EE" w:rsidRPr="00606D67">
        <w:rPr>
          <w:color w:val="000000" w:themeColor="text1"/>
        </w:rPr>
        <w:fldChar w:fldCharType="separate"/>
      </w:r>
      <w:r w:rsidR="007075EE" w:rsidRPr="00606D67">
        <w:rPr>
          <w:color w:val="000000" w:themeColor="text1"/>
        </w:rPr>
        <w:t>(2012)</w:t>
      </w:r>
      <w:r w:rsidR="007075EE" w:rsidRPr="00606D67">
        <w:rPr>
          <w:color w:val="000000" w:themeColor="text1"/>
        </w:rPr>
        <w:fldChar w:fldCharType="end"/>
      </w:r>
      <w:r w:rsidRPr="00606D67">
        <w:rPr>
          <w:color w:val="000000" w:themeColor="text1"/>
        </w:rPr>
        <w:t xml:space="preserve"> also concluded that welfare state regimes may be important mediating factors determining the mental health of precarious workers. </w:t>
      </w:r>
    </w:p>
    <w:p w14:paraId="3C7C7166" w14:textId="77777777" w:rsidR="00AA4926" w:rsidRPr="00606D67" w:rsidRDefault="00AA4926" w:rsidP="00AA4926">
      <w:pPr>
        <w:pStyle w:val="Heading2"/>
        <w:rPr>
          <w:color w:val="000000" w:themeColor="text1"/>
        </w:rPr>
      </w:pPr>
      <w:r w:rsidRPr="00606D67">
        <w:rPr>
          <w:color w:val="000000" w:themeColor="text1"/>
        </w:rPr>
        <w:t xml:space="preserve">Financial factors </w:t>
      </w:r>
    </w:p>
    <w:p w14:paraId="4F69C0C8" w14:textId="1E095063" w:rsidR="00AA4926" w:rsidRPr="00606D67" w:rsidRDefault="00AA4926" w:rsidP="00AA4926">
      <w:pPr>
        <w:rPr>
          <w:color w:val="000000" w:themeColor="text1"/>
        </w:rPr>
      </w:pPr>
      <w:r w:rsidRPr="00606D67">
        <w:rPr>
          <w:color w:val="000000" w:themeColor="text1"/>
        </w:rPr>
        <w:t xml:space="preserve">Some reviews focused on the association between income inequality and mental illness </w:t>
      </w:r>
      <w:r w:rsidR="004E5E16" w:rsidRPr="00606D67">
        <w:rPr>
          <w:color w:val="000000" w:themeColor="text1"/>
        </w:rPr>
        <w:fldChar w:fldCharType="begin"/>
      </w:r>
      <w:r w:rsidR="004E5E16" w:rsidRPr="00606D67">
        <w:rPr>
          <w:color w:val="000000" w:themeColor="text1"/>
        </w:rPr>
        <w:instrText xml:space="preserve"> ADDIN ZOTERO_ITEM CSL_CITATION {"citationID":"qdTW83G3","properties":{"formattedCitation":"(Lund et al., 2018; Patel et al., 2018; Ribeiro et al., 2017; Tibber et al., 2022)","plainCitation":"(Lund et al., 2018; Patel et al., 2018; Ribeiro et al., 2017; Tibber et al., 2022)","noteIndex":0},"citationItems":[{"id":1394,"uris":["http://zotero.org/users/5273986/items/NG2WJEIQ"],"itemData":{"id":1394,"type":"article-journal","abstract":"Mental health has been included in the UN Sustainable Development Goals. However, uncertainty exists about the extent to which the major social determinants of mental disorders are addressed by these goals. The aim of this study was to develop a conceptual framework for the social determinants of mental disorders that is aligned with the Sustainable Development Goals, to use this framework to systematically review evidence regarding these social determinants, and to identify potential mechanisms and targets for interventions. We did a systematic review of reviews using a conceptual framework comprising demographic, economic, neighbourhood, environmental events, and social and culture domains. We included 289 articles in the final Review. This study sheds new light on how the Sustainable Development Goals are relevant for addressing the social determinants of mental disorders, and how these goals could be optimised to prevent mental disorders.","container-title":"The Lancet Psychiatry","DOI":"10.1016/S2215-0366(18)30060-9","ISSN":"2215-0366","issue":"4","journalAbbreviation":"The Lancet Psychiatry","language":"en","page":"357-369","source":"ScienceDirect","title":"Social determinants of mental disorders and the Sustainable Development Goals: a systematic review of reviews","title-short":"Social determinants of mental disorders and the Sustainable Development Goals","volume":"5","author":[{"family":"Lund","given":"Crick"},{"family":"Brooke-Sumner","given":"Carrie"},{"family":"Baingana","given":"Florence"},{"family":"Baron","given":"Emily Claire"},{"family":"Breuer","given":"Erica"},{"family":"Chandra","given":"Prabha"},{"family":"Haushofer","given":"Johannes"},{"family":"Herrman","given":"Helen"},{"family":"Jordans","given":"Mark"},{"family":"Kieling","given":"Christian"},{"family":"Medina-Mora","given":"Maria Elena"},{"family":"Morgan","given":"Ellen"},{"family":"Omigbodun","given":"Olayinka"},{"family":"Tol","given":"Wietse"},{"family":"Patel","given":"Vikram"},{"family":"Saxena","given":"Shekhar"}],"issued":{"date-parts":[["2018",4,1]]}}},{"id":1602,"uris":["http://zotero.org/users/5273986/items/U7XCFYMZ"],"itemData":{"id":1602,"type":"article-journal","abstract":"[Correction Notice: An Erratum for this article was reported in Vol 17(2) of World Psychiatry (see record 2018-49973-033). On p. 79, the ethnicity of the participants in the study by Fernández-Niño et al. (2014) was incorrectly reported as \"Hispanic\", whereas it was mixed, also including people of indigenous descent.] Most countries have witnessed a dramatic increase of income inequality in the past three decades. This paper addresses the question of whether income inequality is associated with the population prevalence of depression and, if so, the potential mechanisms and pathways which may explain this association. Our systematic review included 26 studies, mostly from high‐income countries. Nearly two‐thirds of all studies and five out of six longitudinal studies reported a statistically significant positive relationship between income inequality and risk of depression; only one study reported a statistically significant negative relationship. Twelve studies were included in a meta‐analysis with dichotomized inequality groupings. The pooled risk ratio was 1.19 (95% CI: 1.07‐1.31), demonstrating greater risk of depression in populations with higher income inequality relative to populations with lower inequality. Multiple studies reported subgroup effects, including greater impacts of income inequality among women and low‐income populations. We propose an ecological framework, with mechanisms operating at the national level (the neo‐material hypothesis), neighbourhood level (the social capital and the social comparison hypotheses) and individual level (psychological stress and social defeat hypotheses) to explain this association. We conclude that policy makers should actively promote actions to reduce income inequality, such as progressive taxation policies and a basic universal income. Mental health professionals should champion such policies, as well as promote the delivery of interventions which target the pathways and proximal determinants, such as building life skills in adolescents and provision of psychological therapies and packages of care with demonstrated effectiveness for settings of poverty and high income inequality. (PsycINFO Database Record (c) 2018 APA, all rights reserved) (Source: journal abstract)","archive_location":"2043493654; 2018-22015-018","container-title":"World Psychiatry","DOI":"10.1002/wps.20492","issue":"1","page":"76-89","title":"Income inequality and depression: A systematic review and meta‐analysis of the association and a scoping review of mechanisms","volume":"17","author":[{"family":"Patel","given":"Vikram"},{"family":"Burns","given":"Jonathan K."},{"family":"Dhingra","given":"Monisha"},{"family":"Tarver","given":"Leslie"},{"family":"Kohrt","given":"Brandon A."},{"family":"Lund","given":"Crick"}],"issued":{"date-parts":[["2018"]]}}},{"id":1604,"uris":["http://zotero.org/users/5273986/items/T9YDQCK6"],"itemData":{"id":1604,"type":"article-journal","abstract":"Background: Studies of the association between income inequality and mental health have shown mixed results, probably due to methodological heterogeneity. By dealing with such heterogeneity through a systematic review and meta-analysis, we examine the association between income inequality, mental health problems, use of mental health services, and resilience (defined as the ability to cope with adversity). Methods: We searched the Global Health, PsychARTICLES, PsycINFO, Social Policy and Practice, Embase and MEDLINE databases up to July 6, 2016, for quantitative studies of the association of income inequality with prevalence or incidence of mental disorders or mental health problems, use of mental health services, and resilience. Eligible studies used standardised instruments at the individual level, and income inequality at the aggregated, contextual, and ecological level. We extracted study characteristics, sampling, exposure, outcomes, statistical modelling, and parameters from articles. Because several studies did not provide enough statistical information to be included in a meta-analysis, we did a narrative synthesis to summarise results with studies categorised as showing either a positive association, mixed results, or no association. The primary outcome in the random-effects meta-analysis was mental health-related morbidity, defined as the prevalence or incidence of any mental health problem. This study is registered with PROSPERO, number CRD42016036377. Findings: Our search identified 15 615 non-duplicate references, of which 113 were deemed potentially relevant and were assessed for eligibility, leading to the inclusion of 27 studies in the qualitative synthesis. Nine articles found a positive association between income inequality and the prevalence or incidence of mental health problems; ten articles found mixed results, with positive association in some subgroups and non-significant or negative association in other subgroups; and eight articles found no association between income inequality and mental health problems. Of the nine articles included in our meta-analysis, one reported a positive association between income inequality and mental health problems, six reported mixed results, and two reported no association. Pooled Cohen's d effect sizes for the association between income inequality and any mental disorder or mental health problems were 0·06 (95% CI 0·01–0·11) for any mental disorder, and 0·12 (0·05–0·20) for depressive disorders. Our meta-regression analysis showed that none of the factors considered (sample size, contextual level at which income inequality was assessed, quality assessment, type of instruments, and individual income as control variable) explained heterogeneity between studies ( I² 89·3%; p &lt; 0·0001). Only one study investigated the association between income inequality and resilience; it found greater income inequality was associated with higher prevalence of depression only among individuals with low income. The only study of the role of income inequality as a determinant of the use of mental health services reported no association. Interpretation: Income inequality negatively affects mental health but the effect sizes are small and there is marked heterogeneity among studies. If this association is causal and growing income inequality does lead to an increase in the prevalence of mental health problems, then its reduction could result in a significant improvement in population wellbeing. (PsycINFO Database Record (c) 2017 APA, all rights reserved) (Source: journal abstract)","archive_location":"1924618387; 2017-28501-024","container-title":"The Lancet Psychiatry","DOI":"10.1016/S2215-0366(17)30159-1","issue":"7","page":"554-562","title":"Income inequality and mental illness-related morbidity and resilience: A systematic review and meta-analysis","volume":"4","author":[{"family":"Ribeiro","given":"Wagner Silva"},{"family":"Bauer","given":"Annette"},{"family":"Andrade","given":"Mário César Rezende"},{"family":"York-Smith","given":"Marianna"},{"family":"Pan","given":"Pedro Mario"},{"family":"Pingani","given":"Luca"},{"family":"Knapp","given":"Martin"},{"family":"Coutinho","given":"Evandro Silva Freire"},{"family":"Evans-Lacko","given":"Sara"}],"issued":{"date-parts":[["2017"]]}}},{"id":1608,"uris":["http://zotero.org/users/5273986/items/5SCIJ4YC"],"itemData":{"id":1608,"type":"article-journal","abstract":"PURPOSE: A systematic review was undertaken to determine whether research supports: (i) an association between income inequality and adult mental health when measured at the subnational level, and if so, (ii) in a way that supports the Income Inequality Hypothesis (i.e. between higher inequality and poorer mental health) or the Mixed Neighbourhood Hypothesis (higher inequality and better mental health). METHODS: Systematic searches of PsycINFO, Medline and Web of Science databases were undertaken from database inception to September 2020. Included studies appeared in English-language, peer-reviewed journals and incorporated measure/s of objective income inequality and adult mental illness. Papers were excluded if they focused on highly specialised population samples. Study quality was assessed using a custom-developed tool and data synthesised using the vote-count method. RESULTS: Forty-two studies met criteria for inclusion representing nearly eight million participants and more than 110,000 geographical units. Of these, 54.76% supported the Income Inequality Hypothesis and 11.9% supported the Mixed Neighbourhood Hypothesis. This held for highest quality studies and after controlling for absolute deprivation. The results were consistent across mental health conditions, size of geographical units, and held for low/middle and high income countries. CONCLUSIONS: A number of limitations in the literature were identified, including a lack of appropriate (multi-level) analyses and modelling of relevant confounders (deprivation) in many studies. Nonetheless, the findings suggest that area-level income inequality is associated with poorer mental health, and provides support for the introduction of social, economic and public health policies that ameliorate the deleterious effects of income inequality. CLINICAL REGISTRATION NUMBER: PROSPERO 2020 CRD42020181507.","archive_location":"34386869","container-title":"Soc Psychiatry Psychiatr Epidemiol","DOI":"10.1007/s00127-021-02159-w","issue":"1","page":"1-24","title":"The association between income inequality and adult mental health at the subnational level-a systematic review","volume":"57","author":[{"family":"Tibber","given":"M. S."},{"family":"Walji","given":"F."},{"family":"Kirkbride","given":"J. B."},{"family":"Huddy","given":"V."}],"issued":{"date-parts":[["2022"]]}}}],"schema":"https://github.com/citation-style-language/schema/raw/master/csl-citation.json"} </w:instrText>
      </w:r>
      <w:r w:rsidR="004E5E16" w:rsidRPr="00606D67">
        <w:rPr>
          <w:color w:val="000000" w:themeColor="text1"/>
        </w:rPr>
        <w:fldChar w:fldCharType="separate"/>
      </w:r>
      <w:r w:rsidR="004E5E16" w:rsidRPr="00606D67">
        <w:rPr>
          <w:color w:val="000000" w:themeColor="text1"/>
        </w:rPr>
        <w:t>(Lund et al., 2018; Patel et al., 2018; Ribeiro et al., 2017; Tibber et al., 2022)</w:t>
      </w:r>
      <w:r w:rsidR="004E5E16" w:rsidRPr="00606D67">
        <w:rPr>
          <w:color w:val="000000" w:themeColor="text1"/>
        </w:rPr>
        <w:fldChar w:fldCharType="end"/>
      </w:r>
      <w:r w:rsidRPr="00606D67">
        <w:rPr>
          <w:color w:val="000000" w:themeColor="text1"/>
        </w:rPr>
        <w:t xml:space="preserve">, with major outcomes including depression </w:t>
      </w:r>
      <w:r w:rsidR="004E1759" w:rsidRPr="00606D67">
        <w:rPr>
          <w:color w:val="000000" w:themeColor="text1"/>
        </w:rPr>
        <w:fldChar w:fldCharType="begin"/>
      </w:r>
      <w:r w:rsidR="004E1759" w:rsidRPr="00606D67">
        <w:rPr>
          <w:color w:val="000000" w:themeColor="text1"/>
        </w:rPr>
        <w:instrText xml:space="preserve"> ADDIN ZOTERO_ITEM CSL_CITATION {"citationID":"wimJUvrD","properties":{"formattedCitation":"(Patel et al., 2018)","plainCitation":"(Patel et al., 2018)","noteIndex":0},"citationItems":[{"id":1602,"uris":["http://zotero.org/users/5273986/items/U7XCFYMZ"],"itemData":{"id":1602,"type":"article-journal","abstract":"[Correction Notice: An Erratum for this article was reported in Vol 17(2) of World Psychiatry (see record 2018-49973-033). On p. 79, the ethnicity of the participants in the study by Fernández-Niño et al. (2014) was incorrectly reported as \"Hispanic\", whereas it was mixed, also including people of indigenous descent.] Most countries have witnessed a dramatic increase of income inequality in the past three decades. This paper addresses the question of whether income inequality is associated with the population prevalence of depression and, if so, the potential mechanisms and pathways which may explain this association. Our systematic review included 26 studies, mostly from high‐income countries. Nearly two‐thirds of all studies and five out of six longitudinal studies reported a statistically significant positive relationship between income inequality and risk of depression; only one study reported a statistically significant negative relationship. Twelve studies were included in a meta‐analysis with dichotomized inequality groupings. The pooled risk ratio was 1.19 (95% CI: 1.07‐1.31), demonstrating greater risk of depression in populations with higher income inequality relative to populations with lower inequality. Multiple studies reported subgroup effects, including greater impacts of income inequality among women and low‐income populations. We propose an ecological framework, with mechanisms operating at the national level (the neo‐material hypothesis), neighbourhood level (the social capital and the social comparison hypotheses) and individual level (psychological stress and social defeat hypotheses) to explain this association. We conclude that policy makers should actively promote actions to reduce income inequality, such as progressive taxation policies and a basic universal income. Mental health professionals should champion such policies, as well as promote the delivery of interventions which target the pathways and proximal determinants, such as building life skills in adolescents and provision of psychological therapies and packages of care with demonstrated effectiveness for settings of poverty and high income inequality. (PsycINFO Database Record (c) 2018 APA, all rights reserved) (Source: journal abstract)","archive_location":"2043493654; 2018-22015-018","container-title":"World Psychiatry","DOI":"10.1002/wps.20492","issue":"1","page":"76-89","title":"Income inequality and depression: A systematic review and meta‐analysis of the association and a scoping review of mechanisms","volume":"17","author":[{"family":"Patel","given":"Vikram"},{"family":"Burns","given":"Jonathan K."},{"family":"Dhingra","given":"Monisha"},{"family":"Tarver","given":"Leslie"},{"family":"Kohrt","given":"Brandon A."},{"family":"Lund","given":"Crick"}],"issued":{"date-parts":[["2018"]]}}}],"schema":"https://github.com/citation-style-language/schema/raw/master/csl-citation.json"} </w:instrText>
      </w:r>
      <w:r w:rsidR="004E1759" w:rsidRPr="00606D67">
        <w:rPr>
          <w:color w:val="000000" w:themeColor="text1"/>
        </w:rPr>
        <w:fldChar w:fldCharType="separate"/>
      </w:r>
      <w:r w:rsidR="004E1759" w:rsidRPr="00606D67">
        <w:rPr>
          <w:color w:val="000000" w:themeColor="text1"/>
        </w:rPr>
        <w:t>(Patel et al., 2018)</w:t>
      </w:r>
      <w:r w:rsidR="004E1759" w:rsidRPr="00606D67">
        <w:rPr>
          <w:color w:val="000000" w:themeColor="text1"/>
        </w:rPr>
        <w:fldChar w:fldCharType="end"/>
      </w:r>
      <w:r w:rsidRPr="00606D67">
        <w:rPr>
          <w:color w:val="000000" w:themeColor="text1"/>
        </w:rPr>
        <w:t xml:space="preserve">, and mental illness symptoms and diagnoses </w:t>
      </w:r>
      <w:r w:rsidR="004E1759" w:rsidRPr="00606D67">
        <w:rPr>
          <w:color w:val="000000" w:themeColor="text1"/>
        </w:rPr>
        <w:fldChar w:fldCharType="begin"/>
      </w:r>
      <w:r w:rsidR="004E1759" w:rsidRPr="00606D67">
        <w:rPr>
          <w:color w:val="000000" w:themeColor="text1"/>
        </w:rPr>
        <w:instrText xml:space="preserve"> ADDIN ZOTERO_ITEM CSL_CITATION {"citationID":"bUIUkvHE","properties":{"formattedCitation":"(Ribeiro et al., 2017; Tibber et al., 2022)","plainCitation":"(Ribeiro et al., 2017; Tibber et al., 2022)","noteIndex":0},"citationItems":[{"id":1604,"uris":["http://zotero.org/users/5273986/items/T9YDQCK6"],"itemData":{"id":1604,"type":"article-journal","abstract":"Background: Studies of the association between income inequality and mental health have shown mixed results, probably due to methodological heterogeneity. By dealing with such heterogeneity through a systematic review and meta-analysis, we examine the association between income inequality, mental health problems, use of mental health services, and resilience (defined as the ability to cope with adversity). Methods: We searched the Global Health, PsychARTICLES, PsycINFO, Social Policy and Practice, Embase and MEDLINE databases up to July 6, 2016, for quantitative studies of the association of income inequality with prevalence or incidence of mental disorders or mental health problems, use of mental health services, and resilience. Eligible studies used standardised instruments at the individual level, and income inequality at the aggregated, contextual, and ecological level. We extracted study characteristics, sampling, exposure, outcomes, statistical modelling, and parameters from articles. Because several studies did not provide enough statistical information to be included in a meta-analysis, we did a narrative synthesis to summarise results with studies categorised as showing either a positive association, mixed results, or no association. The primary outcome in the random-effects meta-analysis was mental health-related morbidity, defined as the prevalence or incidence of any mental health problem. This study is registered with PROSPERO, number CRD42016036377. Findings: Our search identified 15 615 non-duplicate references, of which 113 were deemed potentially relevant and were assessed for eligibility, leading to the inclusion of 27 studies in the qualitative synthesis. Nine articles found a positive association between income inequality and the prevalence or incidence of mental health problems; ten articles found mixed results, with positive association in some subgroups and non-significant or negative association in other subgroups; and eight articles found no association between income inequality and mental health problems. Of the nine articles included in our meta-analysis, one reported a positive association between income inequality and mental health problems, six reported mixed results, and two reported no association. Pooled Cohen's d effect sizes for the association between income inequality and any mental disorder or mental health problems were 0·06 (95% CI 0·01–0·11) for any mental disorder, and 0·12 (0·05–0·20) for depressive disorders. Our meta-regression analysis showed that none of the factors considered (sample size, contextual level at which income inequality was assessed, quality assessment, type of instruments, and individual income as control variable) explained heterogeneity between studies ( I² 89·3%; p &lt; 0·0001). Only one study investigated the association between income inequality and resilience; it found greater income inequality was associated with higher prevalence of depression only among individuals with low income. The only study of the role of income inequality as a determinant of the use of mental health services reported no association. Interpretation: Income inequality negatively affects mental health but the effect sizes are small and there is marked heterogeneity among studies. If this association is causal and growing income inequality does lead to an increase in the prevalence of mental health problems, then its reduction could result in a significant improvement in population wellbeing. (PsycINFO Database Record (c) 2017 APA, all rights reserved) (Source: journal abstract)","archive_location":"1924618387; 2017-28501-024","container-title":"The Lancet Psychiatry","DOI":"10.1016/S2215-0366(17)30159-1","issue":"7","page":"554-562","title":"Income inequality and mental illness-related morbidity and resilience: A systematic review and meta-analysis","volume":"4","author":[{"family":"Ribeiro","given":"Wagner Silva"},{"family":"Bauer","given":"Annette"},{"family":"Andrade","given":"Mário César Rezende"},{"family":"York-Smith","given":"Marianna"},{"family":"Pan","given":"Pedro Mario"},{"family":"Pingani","given":"Luca"},{"family":"Knapp","given":"Martin"},{"family":"Coutinho","given":"Evandro Silva Freire"},{"family":"Evans-Lacko","given":"Sara"}],"issued":{"date-parts":[["2017"]]}}},{"id":1608,"uris":["http://zotero.org/users/5273986/items/5SCIJ4YC"],"itemData":{"id":1608,"type":"article-journal","abstract":"PURPOSE: A systematic review was undertaken to determine whether research supports: (i) an association between income inequality and adult mental health when measured at the subnational level, and if so, (ii) in a way that supports the Income Inequality Hypothesis (i.e. between higher inequality and poorer mental health) or the Mixed Neighbourhood Hypothesis (higher inequality and better mental health). METHODS: Systematic searches of PsycINFO, Medline and Web of Science databases were undertaken from database inception to September 2020. Included studies appeared in English-language, peer-reviewed journals and incorporated measure/s of objective income inequality and adult mental illness. Papers were excluded if they focused on highly specialised population samples. Study quality was assessed using a custom-developed tool and data synthesised using the vote-count method. RESULTS: Forty-two studies met criteria for inclusion representing nearly eight million participants and more than 110,000 geographical units. Of these, 54.76% supported the Income Inequality Hypothesis and 11.9% supported the Mixed Neighbourhood Hypothesis. This held for highest quality studies and after controlling for absolute deprivation. The results were consistent across mental health conditions, size of geographical units, and held for low/middle and high income countries. CONCLUSIONS: A number of limitations in the literature were identified, including a lack of appropriate (multi-level) analyses and modelling of relevant confounders (deprivation) in many studies. Nonetheless, the findings suggest that area-level income inequality is associated with poorer mental health, and provides support for the introduction of social, economic and public health policies that ameliorate the deleterious effects of income inequality. CLINICAL REGISTRATION NUMBER: PROSPERO 2020 CRD42020181507.","archive_location":"34386869","container-title":"Soc Psychiatry Psychiatr Epidemiol","DOI":"10.1007/s00127-021-02159-w","issue":"1","page":"1-24","title":"The association between income inequality and adult mental health at the subnational level-a systematic review","volume":"57","author":[{"family":"Tibber","given":"M. S."},{"family":"Walji","given":"F."},{"family":"Kirkbride","given":"J. B."},{"family":"Huddy","given":"V."}],"issued":{"date-parts":[["2022"]]}}}],"schema":"https://github.com/citation-style-language/schema/raw/master/csl-citation.json"} </w:instrText>
      </w:r>
      <w:r w:rsidR="004E1759" w:rsidRPr="00606D67">
        <w:rPr>
          <w:color w:val="000000" w:themeColor="text1"/>
        </w:rPr>
        <w:fldChar w:fldCharType="separate"/>
      </w:r>
      <w:r w:rsidR="004E1759" w:rsidRPr="00606D67">
        <w:rPr>
          <w:color w:val="000000" w:themeColor="text1"/>
        </w:rPr>
        <w:t>(Ribeiro et al., 2017; Tibber et al., 2022)</w:t>
      </w:r>
      <w:r w:rsidR="004E1759" w:rsidRPr="00606D67">
        <w:rPr>
          <w:color w:val="000000" w:themeColor="text1"/>
        </w:rPr>
        <w:fldChar w:fldCharType="end"/>
      </w:r>
      <w:r w:rsidRPr="00606D67">
        <w:rPr>
          <w:color w:val="000000" w:themeColor="text1"/>
        </w:rPr>
        <w:t xml:space="preserve">. Other financial determinants identified included income insecurity </w:t>
      </w:r>
      <w:r w:rsidR="00867C19" w:rsidRPr="00606D67">
        <w:rPr>
          <w:color w:val="000000" w:themeColor="text1"/>
        </w:rPr>
        <w:fldChar w:fldCharType="begin"/>
      </w:r>
      <w:r w:rsidR="00867C19" w:rsidRPr="00606D67">
        <w:rPr>
          <w:color w:val="000000" w:themeColor="text1"/>
        </w:rPr>
        <w:instrText xml:space="preserve"> ADDIN ZOTERO_ITEM CSL_CITATION {"citationID":"MlecB4fS","properties":{"formattedCitation":"(Bhattacharya et al., 2019; Lund et al., 2018)","plainCitation":"(Bhattacharya et al., 2019; Lund et al., 2018)","noteIndex":0},"citationItems":[{"id":1580,"uris":["http://zotero.org/users/5273986/items/FH3TZTBG"],"itemData":{"id":1580,"type":"article-journal","abstract":"In India, social determinants of health, including poverty, domestic violence, and inadequate social support disproportionately affect women, leaving them more vulnerable to depression than men. We conducted a metaethnography to synthesize qualitative data from 13 studies (1987–2017) that explored women’s experiences and perceptions of depression in India. We used a feminist standpoint to critically examine how gender shapes these experiences and perceptions. Indian women’s experiences of depression were embedded in their social worlds. Women perceived interpersonal conflict, caregiving burden, domestic violence, financial insecurity, adverse reproductive events and widowhood as causes of depression. Women used cultural expressions to describe physical, emotional, and cognitive distress. The detrimental impact of discriminatory social conditions, gender inequalities, and traditional gender roles on Indian women’s mental health highlights the need for gender-sensitive mental health research and practice that can attend to women’s sociocultural context and promote values of gender equality and social justice. (PsycInfo Database Record (c) 2020 APA, all rights reserved) (Source: journal abstract)","archive_location":"2404067388; 2018-64982-008","container-title":"Qualitative Health Research","DOI":"10.1177/1049732318811702","issue":"1","page":"80-95","title":"Women’s experiences and perceptions of depression in India: A metaethnography","volume":"29","author":[{"family":"Bhattacharya","given":"Anindita"},{"family":"Camacho","given":"David"},{"family":"Kimberly","given":"Laura L."},{"family":"Lukens","given":"Ellen P."}],"issued":{"date-parts":[["2019"]]}}},{"id":1394,"uris":["http://zotero.org/users/5273986/items/NG2WJEIQ"],"itemData":{"id":1394,"type":"article-journal","abstract":"Mental health has been included in the UN Sustainable Development Goals. However, uncertainty exists about the extent to which the major social determinants of mental disorders are addressed by these goals. The aim of this study was to develop a conceptual framework for the social determinants of mental disorders that is aligned with the Sustainable Development Goals, to use this framework to systematically review evidence regarding these social determinants, and to identify potential mechanisms and targets for interventions. We did a systematic review of reviews using a conceptual framework comprising demographic, economic, neighbourhood, environmental events, and social and culture domains. We included 289 articles in the final Review. This study sheds new light on how the Sustainable Development Goals are relevant for addressing the social determinants of mental disorders, and how these goals could be optimised to prevent mental disorders.","container-title":"The Lancet Psychiatry","DOI":"10.1016/S2215-0366(18)30060-9","ISSN":"2215-0366","issue":"4","journalAbbreviation":"The Lancet Psychiatry","language":"en","page":"357-369","source":"ScienceDirect","title":"Social determinants of mental disorders and the Sustainable Development Goals: a systematic review of reviews","title-short":"Social determinants of mental disorders and the Sustainable Development Goals","volume":"5","author":[{"family":"Lund","given":"Crick"},{"family":"Brooke-Sumner","given":"Carrie"},{"family":"Baingana","given":"Florence"},{"family":"Baron","given":"Emily Claire"},{"family":"Breuer","given":"Erica"},{"family":"Chandra","given":"Prabha"},{"family":"Haushofer","given":"Johannes"},{"family":"Herrman","given":"Helen"},{"family":"Jordans","given":"Mark"},{"family":"Kieling","given":"Christian"},{"family":"Medina-Mora","given":"Maria Elena"},{"family":"Morgan","given":"Ellen"},{"family":"Omigbodun","given":"Olayinka"},{"family":"Tol","given":"Wietse"},{"family":"Patel","given":"Vikram"},{"family":"Saxena","given":"Shekhar"}],"issued":{"date-parts":[["2018",4,1]]}}}],"schema":"https://github.com/citation-style-language/schema/raw/master/csl-citation.json"} </w:instrText>
      </w:r>
      <w:r w:rsidR="00867C19" w:rsidRPr="00606D67">
        <w:rPr>
          <w:color w:val="000000" w:themeColor="text1"/>
        </w:rPr>
        <w:fldChar w:fldCharType="separate"/>
      </w:r>
      <w:r w:rsidR="00867C19" w:rsidRPr="00606D67">
        <w:rPr>
          <w:color w:val="000000" w:themeColor="text1"/>
        </w:rPr>
        <w:t>(Bhattacharya et al., 2019; Lund et al., 2018)</w:t>
      </w:r>
      <w:r w:rsidR="00867C19" w:rsidRPr="00606D67">
        <w:rPr>
          <w:color w:val="000000" w:themeColor="text1"/>
        </w:rPr>
        <w:fldChar w:fldCharType="end"/>
      </w:r>
      <w:r w:rsidRPr="00606D67">
        <w:rPr>
          <w:color w:val="000000" w:themeColor="text1"/>
        </w:rPr>
        <w:t>, debt/assets</w:t>
      </w:r>
      <w:r w:rsidR="00867C19" w:rsidRPr="00606D67">
        <w:rPr>
          <w:color w:val="000000" w:themeColor="text1"/>
        </w:rPr>
        <w:t xml:space="preserve"> </w:t>
      </w:r>
      <w:r w:rsidR="00867C19" w:rsidRPr="00606D67">
        <w:rPr>
          <w:color w:val="000000" w:themeColor="text1"/>
        </w:rPr>
        <w:fldChar w:fldCharType="begin"/>
      </w:r>
      <w:r w:rsidR="00867C19" w:rsidRPr="00606D67">
        <w:rPr>
          <w:color w:val="000000" w:themeColor="text1"/>
        </w:rPr>
        <w:instrText xml:space="preserve"> ADDIN ZOTERO_ITEM CSL_CITATION {"citationID":"f8THd3Zp","properties":{"formattedCitation":"(Lund et al., 2018)","plainCitation":"(Lund et al., 2018)","noteIndex":0},"citationItems":[{"id":1394,"uris":["http://zotero.org/users/5273986/items/NG2WJEIQ"],"itemData":{"id":1394,"type":"article-journal","abstract":"Mental health has been included in the UN Sustainable Development Goals. However, uncertainty exists about the extent to which the major social determinants of mental disorders are addressed by these goals. The aim of this study was to develop a conceptual framework for the social determinants of mental disorders that is aligned with the Sustainable Development Goals, to use this framework to systematically review evidence regarding these social determinants, and to identify potential mechanisms and targets for interventions. We did a systematic review of reviews using a conceptual framework comprising demographic, economic, neighbourhood, environmental events, and social and culture domains. We included 289 articles in the final Review. This study sheds new light on how the Sustainable Development Goals are relevant for addressing the social determinants of mental disorders, and how these goals could be optimised to prevent mental disorders.","container-title":"The Lancet Psychiatry","DOI":"10.1016/S2215-0366(18)30060-9","ISSN":"2215-0366","issue":"4","journalAbbreviation":"The Lancet Psychiatry","language":"en","page":"357-369","source":"ScienceDirect","title":"Social determinants of mental disorders and the Sustainable Development Goals: a systematic review of reviews","title-short":"Social determinants of mental disorders and the Sustainable Development Goals","volume":"5","author":[{"family":"Lund","given":"Crick"},{"family":"Brooke-Sumner","given":"Carrie"},{"family":"Baingana","given":"Florence"},{"family":"Baron","given":"Emily Claire"},{"family":"Breuer","given":"Erica"},{"family":"Chandra","given":"Prabha"},{"family":"Haushofer","given":"Johannes"},{"family":"Herrman","given":"Helen"},{"family":"Jordans","given":"Mark"},{"family":"Kieling","given":"Christian"},{"family":"Medina-Mora","given":"Maria Elena"},{"family":"Morgan","given":"Ellen"},{"family":"Omigbodun","given":"Olayinka"},{"family":"Tol","given":"Wietse"},{"family":"Patel","given":"Vikram"},{"family":"Saxena","given":"Shekhar"}],"issued":{"date-parts":[["2018",4,1]]}}}],"schema":"https://github.com/citation-style-language/schema/raw/master/csl-citation.json"} </w:instrText>
      </w:r>
      <w:r w:rsidR="00867C19" w:rsidRPr="00606D67">
        <w:rPr>
          <w:color w:val="000000" w:themeColor="text1"/>
        </w:rPr>
        <w:fldChar w:fldCharType="separate"/>
      </w:r>
      <w:r w:rsidR="00867C19" w:rsidRPr="00606D67">
        <w:rPr>
          <w:color w:val="000000" w:themeColor="text1"/>
        </w:rPr>
        <w:t>(Lund et al., 2018)</w:t>
      </w:r>
      <w:r w:rsidR="00867C19" w:rsidRPr="00606D67">
        <w:rPr>
          <w:color w:val="000000" w:themeColor="text1"/>
        </w:rPr>
        <w:fldChar w:fldCharType="end"/>
      </w:r>
      <w:r w:rsidR="0078125D" w:rsidRPr="00606D67">
        <w:rPr>
          <w:color w:val="000000" w:themeColor="text1"/>
        </w:rPr>
        <w:t>,</w:t>
      </w:r>
      <w:r w:rsidRPr="00606D67">
        <w:rPr>
          <w:color w:val="000000" w:themeColor="text1"/>
        </w:rPr>
        <w:t xml:space="preserve"> food insecurity </w:t>
      </w:r>
      <w:r w:rsidR="00BA4978" w:rsidRPr="00606D67">
        <w:rPr>
          <w:color w:val="000000" w:themeColor="text1"/>
        </w:rPr>
        <w:fldChar w:fldCharType="begin"/>
      </w:r>
      <w:r w:rsidR="00017916" w:rsidRPr="00606D67">
        <w:rPr>
          <w:color w:val="000000" w:themeColor="text1"/>
        </w:rPr>
        <w:instrText xml:space="preserve"> ADDIN ZOTERO_ITEM CSL_CITATION {"citationID":"5I2u1taZ","properties":{"formattedCitation":"(Arenas et al., 2019; Lund et al., 2018; Remes et al., 2021)","plainCitation":"(Arenas et al., 2019; Lund et al., 2018; Remes et al., 2021)","noteIndex":0},"citationItems":[{"id":1575,"uris":["http://zotero.org/users/5273986/items/ZLBVWQTH"],"itemData":{"id":1575,"type":"article-journal","abstract":"INTRODUCTION: A large number of peer-reviewed studies, with various methodologies and populations, have addressed the effects of food insecurity (FIS) on mental health conditions such as depression, anxiety, and sleep disorders. There are currently, however, no published systematic assessments or meta-analyses of this literature. METHODS: A systematic search of the literature was conducted in PubMed, PsycInfo, Embase, Scopus, and Web of Science. Cross-sectional studies assessing the association between food insecurity and depression, anxiety, or sleep disorders were identified. For each of the three health outcomes, we extracted (or calculated when possible) the following effect sizes: odds ratio (OR), Hedges' g, Pearson correlation coefficients r, or bivariate coefficients. Then, for each mental health-outcome/effect-size pair, the available studies were combined using the random effect model. Heterogeneity, publication bias, and subgroup dependence, for each meta-analysis, were also assessed. RESULTS: Fifty-seven studies provided cross-sectional data on the relationship between FIS and depression (n = 169,433), 13 on anxiety and psychological distress (n = 91,957), and 8 studies provided data on sleep disorders (n = 85,788). Meta-analysis showed that FIS is associated with an increased risk of testing positive for depression OR = 2.74 [95% CI 2.52-2.97, n = 135,500, Q(df = 41) = 69, I(2) = 40%], anxiety OR = 2.41 [95% CI 1.81-3.22, n = 51,541, Q(df = 3) = 8, I(2) = 63%], and sleep disorders OR = 1.80 [95% CI 1.51-2.15, n = 84,800, Q(df = 5) = 13, I(2) = 62%]. The highest risks were found for depression and anxiety which had statistically similar values. The results were robust to covariates and population groups. DISCUSSION: This systematic review and meta-analysis demonstrates a strong association between FIS and depression, anxiety, and sleep disorders, for which more longitudinal studies addressing effect sizes are warranted to further study causation.","archive_location":"31385212","container-title":"J Gen Intern Med","DOI":"10.1007/s11606-019-05202-4","issue":"12","page":"2874-2882","title":"A systematic review and meta-analysis of depression, anxiety, and sleep disorders in US Adults with food insecurity","volume":"34","author":[{"family":"Arenas","given":"D. J."},{"family":"Thomas","given":"A."},{"family":"Wang","given":"J."},{"family":"DeLisser","given":"H. M."}],"issued":{"date-parts":[["2019"]]}}},{"id":1394,"uris":["http://zotero.org/users/5273986/items/NG2WJEIQ"],"itemData":{"id":1394,"type":"article-journal","abstract":"Mental health has been included in the UN Sustainable Development Goals. However, uncertainty exists about the extent to which the major social determinants of mental disorders are addressed by these goals. The aim of this study was to develop a conceptual framework for the social determinants of mental disorders that is aligned with the Sustainable Development Goals, to use this framework to systematically review evidence regarding these social determinants, and to identify potential mechanisms and targets for interventions. We did a systematic review of reviews using a conceptual framework comprising demographic, economic, neighbourhood, environmental events, and social and culture domains. We included 289 articles in the final Review. This study sheds new light on how the Sustainable Development Goals are relevant for addressing the social determinants of mental disorders, and how these goals could be optimised to prevent mental disorders.","container-title":"The Lancet Psychiatry","DOI":"10.1016/S2215-0366(18)30060-9","ISSN":"2215-0366","issue":"4","journalAbbreviation":"The Lancet Psychiatry","language":"en","page":"357-369","source":"ScienceDirect","title":"Social determinants of mental disorders and the Sustainable Development Goals: a systematic review of reviews","title-short":"Social determinants of mental disorders and the Sustainable Development Goals","volume":"5","author":[{"family":"Lund","given":"Crick"},{"family":"Brooke-Sumner","given":"Carrie"},{"family":"Baingana","given":"Florence"},{"family":"Baron","given":"Emily Claire"},{"family":"Breuer","given":"Erica"},{"family":"Chandra","given":"Prabha"},{"family":"Haushofer","given":"Johannes"},{"family":"Herrman","given":"Helen"},{"family":"Jordans","given":"Mark"},{"family":"Kieling","given":"Christian"},{"family":"Medina-Mora","given":"Maria Elena"},{"family":"Morgan","given":"Ellen"},{"family":"Omigbodun","given":"Olayinka"},{"family":"Tol","given":"Wietse"},{"family":"Patel","given":"Vikram"},{"family":"Saxena","given":"Shekhar"}],"issued":{"date-parts":[["2018",4,1]]}}},{"id":1603,"uris":["http://zotero.org/users/5273986/items/V6VXANRG"],"itemData":{"id":1603,"type":"article-journal","abstract":"Depression is one of the leading causes of disability, and, if left unmanaged, it can increase the risk for suicide. The evidence base on the determinants of depression is fragmented, which makes the interpretation of the results across studies difficult. The objective of this study is to conduct a thorough synthesis of the literature assessing the biological, psychological, and social determinants of depression in order to piece together the puzzle of the key factors that are related to this condition. Titles and abstracts published between 2017 and 2020 were identified in PubMed, as well as Medline, Scopus, and PsycInfo. Key words relating to biological, social, and psychological determinants as well as depression were applied to the databases, and the screening and data charting of the documents took place. We included 470 documents in this literature review. The findings showed that there are a plethora of risk and protective factors (relating to biological, psychological, and social determinants) that are related to depression; these determinants are interlinked and influence depression outcomes through a web of causation. In this paper, we describe and present the vast, fragmented, and complex literature related to this topic. This review may be used to guide practice, public health efforts, policy, and research related to mental health and, specifically, depression.","container-title":"Brain Sciences","DOI":"10.3390/brainsci11121633","issue":"12","title":"Biological, psychological, and social determinants of depression: A review of recent literature","URL":"https://www.embase.com/search/results?subaction=viewrecord&amp;id=L2015091637&amp;from=export","volume":"11","author":[{"family":"Remes","given":"O."},{"family":"Francisco","given":"J."},{"family":"Templeton","given":"P."}],"issued":{"date-parts":[["2021"]]}}}],"schema":"https://github.com/citation-style-language/schema/raw/master/csl-citation.json"} </w:instrText>
      </w:r>
      <w:r w:rsidR="00BA4978" w:rsidRPr="00606D67">
        <w:rPr>
          <w:color w:val="000000" w:themeColor="text1"/>
        </w:rPr>
        <w:fldChar w:fldCharType="separate"/>
      </w:r>
      <w:r w:rsidR="00017916" w:rsidRPr="00606D67">
        <w:rPr>
          <w:color w:val="000000" w:themeColor="text1"/>
        </w:rPr>
        <w:t>(Arenas et al., 2019; Lund et al., 2018; Remes et al., 2021)</w:t>
      </w:r>
      <w:r w:rsidR="00BA4978" w:rsidRPr="00606D67">
        <w:rPr>
          <w:color w:val="000000" w:themeColor="text1"/>
        </w:rPr>
        <w:fldChar w:fldCharType="end"/>
      </w:r>
      <w:r w:rsidRPr="00606D67">
        <w:rPr>
          <w:color w:val="000000" w:themeColor="text1"/>
        </w:rPr>
        <w:t xml:space="preserve">, macroeconomic recessions </w:t>
      </w:r>
      <w:r w:rsidR="003F2697" w:rsidRPr="00606D67">
        <w:rPr>
          <w:color w:val="000000" w:themeColor="text1"/>
        </w:rPr>
        <w:fldChar w:fldCharType="begin"/>
      </w:r>
      <w:r w:rsidR="003F2697" w:rsidRPr="00606D67">
        <w:rPr>
          <w:color w:val="000000" w:themeColor="text1"/>
        </w:rPr>
        <w:instrText xml:space="preserve"> ADDIN ZOTERO_ITEM CSL_CITATION {"citationID":"SGUCCKhe","properties":{"formattedCitation":"(Lund et al., 2018)","plainCitation":"(Lund et al., 2018)","noteIndex":0},"citationItems":[{"id":1394,"uris":["http://zotero.org/users/5273986/items/NG2WJEIQ"],"itemData":{"id":1394,"type":"article-journal","abstract":"Mental health has been included in the UN Sustainable Development Goals. However, uncertainty exists about the extent to which the major social determinants of mental disorders are addressed by these goals. The aim of this study was to develop a conceptual framework for the social determinants of mental disorders that is aligned with the Sustainable Development Goals, to use this framework to systematically review evidence regarding these social determinants, and to identify potential mechanisms and targets for interventions. We did a systematic review of reviews using a conceptual framework comprising demographic, economic, neighbourhood, environmental events, and social and culture domains. We included 289 articles in the final Review. This study sheds new light on how the Sustainable Development Goals are relevant for addressing the social determinants of mental disorders, and how these goals could be optimised to prevent mental disorders.","container-title":"The Lancet Psychiatry","DOI":"10.1016/S2215-0366(18)30060-9","ISSN":"2215-0366","issue":"4","journalAbbreviation":"The Lancet Psychiatry","language":"en","page":"357-369","source":"ScienceDirect","title":"Social determinants of mental disorders and the Sustainable Development Goals: a systematic review of reviews","title-short":"Social determinants of mental disorders and the Sustainable Development Goals","volume":"5","author":[{"family":"Lund","given":"Crick"},{"family":"Brooke-Sumner","given":"Carrie"},{"family":"Baingana","given":"Florence"},{"family":"Baron","given":"Emily Claire"},{"family":"Breuer","given":"Erica"},{"family":"Chandra","given":"Prabha"},{"family":"Haushofer","given":"Johannes"},{"family":"Herrman","given":"Helen"},{"family":"Jordans","given":"Mark"},{"family":"Kieling","given":"Christian"},{"family":"Medina-Mora","given":"Maria Elena"},{"family":"Morgan","given":"Ellen"},{"family":"Omigbodun","given":"Olayinka"},{"family":"Tol","given":"Wietse"},{"family":"Patel","given":"Vikram"},{"family":"Saxena","given":"Shekhar"}],"issued":{"date-parts":[["2018",4,1]]}}}],"schema":"https://github.com/citation-style-language/schema/raw/master/csl-citation.json"} </w:instrText>
      </w:r>
      <w:r w:rsidR="003F2697" w:rsidRPr="00606D67">
        <w:rPr>
          <w:color w:val="000000" w:themeColor="text1"/>
        </w:rPr>
        <w:fldChar w:fldCharType="separate"/>
      </w:r>
      <w:r w:rsidR="003F2697" w:rsidRPr="00606D67">
        <w:rPr>
          <w:color w:val="000000" w:themeColor="text1"/>
        </w:rPr>
        <w:t>(Lund et al., 2018)</w:t>
      </w:r>
      <w:r w:rsidR="003F2697" w:rsidRPr="00606D67">
        <w:rPr>
          <w:color w:val="000000" w:themeColor="text1"/>
        </w:rPr>
        <w:fldChar w:fldCharType="end"/>
      </w:r>
      <w:r w:rsidRPr="00606D67">
        <w:rPr>
          <w:color w:val="000000" w:themeColor="text1"/>
        </w:rPr>
        <w:t xml:space="preserve">, financial strain </w:t>
      </w:r>
      <w:r w:rsidR="007643F2" w:rsidRPr="00606D67">
        <w:rPr>
          <w:color w:val="000000" w:themeColor="text1"/>
        </w:rPr>
        <w:fldChar w:fldCharType="begin"/>
      </w:r>
      <w:r w:rsidR="00017916" w:rsidRPr="00606D67">
        <w:rPr>
          <w:color w:val="000000" w:themeColor="text1"/>
        </w:rPr>
        <w:instrText xml:space="preserve"> ADDIN ZOTERO_ITEM CSL_CITATION {"citationID":"d3j7n9BU","properties":{"formattedCitation":"(Lund et al., 2018; Remes et al., 2021)","plainCitation":"(Lund et al., 2018; Remes et al., 2021)","noteIndex":0},"citationItems":[{"id":1394,"uris":["http://zotero.org/users/5273986/items/NG2WJEIQ"],"itemData":{"id":1394,"type":"article-journal","abstract":"Mental health has been included in the UN Sustainable Development Goals. However, uncertainty exists about the extent to which the major social determinants of mental disorders are addressed by these goals. The aim of this study was to develop a conceptual framework for the social determinants of mental disorders that is aligned with the Sustainable Development Goals, to use this framework to systematically review evidence regarding these social determinants, and to identify potential mechanisms and targets for interventions. We did a systematic review of reviews using a conceptual framework comprising demographic, economic, neighbourhood, environmental events, and social and culture domains. We included 289 articles in the final Review. This study sheds new light on how the Sustainable Development Goals are relevant for addressing the social determinants of mental disorders, and how these goals could be optimised to prevent mental disorders.","container-title":"The Lancet Psychiatry","DOI":"10.1016/S2215-0366(18)30060-9","ISSN":"2215-0366","issue":"4","journalAbbreviation":"The Lancet Psychiatry","language":"en","page":"357-369","source":"ScienceDirect","title":"Social determinants of mental disorders and the Sustainable Development Goals: a systematic review of reviews","title-short":"Social determinants of mental disorders and the Sustainable Development Goals","volume":"5","author":[{"family":"Lund","given":"Crick"},{"family":"Brooke-Sumner","given":"Carrie"},{"family":"Baingana","given":"Florence"},{"family":"Baron","given":"Emily Claire"},{"family":"Breuer","given":"Erica"},{"family":"Chandra","given":"Prabha"},{"family":"Haushofer","given":"Johannes"},{"family":"Herrman","given":"Helen"},{"family":"Jordans","given":"Mark"},{"family":"Kieling","given":"Christian"},{"family":"Medina-Mora","given":"Maria Elena"},{"family":"Morgan","given":"Ellen"},{"family":"Omigbodun","given":"Olayinka"},{"family":"Tol","given":"Wietse"},{"family":"Patel","given":"Vikram"},{"family":"Saxena","given":"Shekhar"}],"issued":{"date-parts":[["2018",4,1]]}}},{"id":1603,"uris":["http://zotero.org/users/5273986/items/V6VXANRG"],"itemData":{"id":1603,"type":"article-journal","abstract":"Depression is one of the leading causes of disability, and, if left unmanaged, it can increase the risk for suicide. The evidence base on the determinants of depression is fragmented, which makes the interpretation of the results across studies difficult. The objective of this study is to conduct a thorough synthesis of the literature assessing the biological, psychological, and social determinants of depression in order to piece together the puzzle of the key factors that are related to this condition. Titles and abstracts published between 2017 and 2020 were identified in PubMed, as well as Medline, Scopus, and PsycInfo. Key words relating to biological, social, and psychological determinants as well as depression were applied to the databases, and the screening and data charting of the documents took place. We included 470 documents in this literature review. The findings showed that there are a plethora of risk and protective factors (relating to biological, psychological, and social determinants) that are related to depression; these determinants are interlinked and influence depression outcomes through a web of causation. In this paper, we describe and present the vast, fragmented, and complex literature related to this topic. This review may be used to guide practice, public health efforts, policy, and research related to mental health and, specifically, depression.","container-title":"Brain Sciences","DOI":"10.3390/brainsci11121633","issue":"12","title":"Biological, psychological, and social determinants of depression: A review of recent literature","URL":"https://www.embase.com/search/results?subaction=viewrecord&amp;id=L2015091637&amp;from=export","volume":"11","author":[{"family":"Remes","given":"O."},{"family":"Francisco","given":"J."},{"family":"Templeton","given":"P."}],"issued":{"date-parts":[["2021"]]}}}],"schema":"https://github.com/citation-style-language/schema/raw/master/csl-citation.json"} </w:instrText>
      </w:r>
      <w:r w:rsidR="007643F2" w:rsidRPr="00606D67">
        <w:rPr>
          <w:color w:val="000000" w:themeColor="text1"/>
        </w:rPr>
        <w:fldChar w:fldCharType="separate"/>
      </w:r>
      <w:r w:rsidR="007643F2" w:rsidRPr="00606D67">
        <w:rPr>
          <w:color w:val="000000" w:themeColor="text1"/>
        </w:rPr>
        <w:t>(Lund et al., 2018; Remes et al., 2021)</w:t>
      </w:r>
      <w:r w:rsidR="007643F2" w:rsidRPr="00606D67">
        <w:rPr>
          <w:color w:val="000000" w:themeColor="text1"/>
        </w:rPr>
        <w:fldChar w:fldCharType="end"/>
      </w:r>
      <w:r w:rsidRPr="00606D67">
        <w:rPr>
          <w:color w:val="000000" w:themeColor="text1"/>
        </w:rPr>
        <w:t xml:space="preserve">, and lower household income or greater financial loss </w:t>
      </w:r>
      <w:r w:rsidR="00C81F7C" w:rsidRPr="00606D67">
        <w:rPr>
          <w:color w:val="000000" w:themeColor="text1"/>
        </w:rPr>
        <w:fldChar w:fldCharType="begin"/>
      </w:r>
      <w:r w:rsidR="00C81F7C" w:rsidRPr="00606D67">
        <w:rPr>
          <w:color w:val="000000" w:themeColor="text1"/>
        </w:rPr>
        <w:instrText xml:space="preserve"> ADDIN ZOTERO_ITEM CSL_CITATION {"citationID":"Njxh9iy3","properties":{"formattedCitation":"(Henssler et al., 2021)","plainCitation":"(Henssler et al., 2021)","noteIndex":0},"citationItems":[{"id":1587,"uris":["http://zotero.org/users/5273986/items/Q8DTKIPQ"],"itemData":{"id":1587,"type":"article-journal","abstract":"Due to the ongoing COVID-19 pandemic, an unprecedented number of people worldwide is currently affected by quarantine or isolation. These measures have been suggested to negatively impact on mental health. We conducted the first systematic literature review and meta-analysis assessing the psychological effects in both quarantined and isolated persons compared to non-quarantined and non-isolated persons. PubMed, PsycINFO, and Embase databases were searched for studies until April 22, 2020 (Prospero Registration-No.: CRD42020180043). We followed PRISMA and MOOSE guidelines for data extraction and synthesis and the Newcastle–Ottawa Scale for assessing risk of bias of included studies. A random-effects model was implemented to pool effect sizes of included studies. The primary outcomes were depression, anxiety, and stress-related disorders. All other psychological parameters, such as anger, were reported as secondary outcomes. Out of 6807 screened articles, 25 studies were included in our analyses. Compared to controls, individuals experiencing isolation or quarantine were at increased risk for adverse mental health outcomes, particularly after containment duration of 1 week or longer. Effect sizes were summarized for depressive disorders (odds ratio 2.795; 95% CI 1.467–5.324), anxiety disorders (odds ratio 2.0; 95% CI 0.883–4.527), and stress-related disorders (odds ratio 2.742; 95% CI 1.496–5.027). Among secondary outcomes, elevated levels of anger were reported most consistently. There is compelling evidence for adverse mental health effects of isolation and quarantine, in particular depression, anxiety, stress-related disorders, and anger. Reported determinants can help identify populations at risk and our findings may serve as an evidence-base for prevention and management strategies. (PsycInfo Database Record (c) 2021 APA, all rights reserved) (Source: journal abstract)","archive_location":"2449237198; 2020-75480-001","container-title":"European Archives of Psychiatry and Clinical Neuroscience","DOI":"10.1007/s00406-020-01196-x","issue":"2","page":"223-234","title":"Mental health effects of infection containment strategies: Quarantine and isolation—A systematic review and meta-analysis","volume":"271","author":[{"family":"Henssler","given":"Jonathan"},{"family":"Stock","given":"Friederike"},{"family":"Bohemen","given":"Joris","non-dropping-particle":"van"},{"family":"Walter","given":"Henrik"},{"family":"Heinz","given":"Andreas"},{"family":"Brandt","given":"Lasse"}],"issued":{"date-parts":[["2021"]]}}}],"schema":"https://github.com/citation-style-language/schema/raw/master/csl-citation.json"} </w:instrText>
      </w:r>
      <w:r w:rsidR="00C81F7C" w:rsidRPr="00606D67">
        <w:rPr>
          <w:color w:val="000000" w:themeColor="text1"/>
        </w:rPr>
        <w:fldChar w:fldCharType="separate"/>
      </w:r>
      <w:r w:rsidR="00C81F7C" w:rsidRPr="00606D67">
        <w:rPr>
          <w:color w:val="000000" w:themeColor="text1"/>
        </w:rPr>
        <w:t>(Henssler et al., 2021)</w:t>
      </w:r>
      <w:r w:rsidR="00C81F7C" w:rsidRPr="00606D67">
        <w:rPr>
          <w:color w:val="000000" w:themeColor="text1"/>
        </w:rPr>
        <w:fldChar w:fldCharType="end"/>
      </w:r>
      <w:r w:rsidRPr="00606D67">
        <w:rPr>
          <w:color w:val="000000" w:themeColor="text1"/>
        </w:rPr>
        <w:t xml:space="preserve">. </w:t>
      </w:r>
    </w:p>
    <w:p w14:paraId="2715A4DB" w14:textId="77777777" w:rsidR="00AA4926" w:rsidRPr="00606D67" w:rsidRDefault="00AA4926" w:rsidP="00AA4926">
      <w:pPr>
        <w:pStyle w:val="Heading2"/>
        <w:rPr>
          <w:color w:val="000000" w:themeColor="text1"/>
        </w:rPr>
      </w:pPr>
      <w:r w:rsidRPr="00606D67">
        <w:rPr>
          <w:color w:val="000000" w:themeColor="text1"/>
        </w:rPr>
        <w:t xml:space="preserve">Employment Factors </w:t>
      </w:r>
    </w:p>
    <w:p w14:paraId="4410ACCD" w14:textId="183CCD36" w:rsidR="00AA4926" w:rsidRPr="00606D67" w:rsidRDefault="00AA4926" w:rsidP="00AA4926">
      <w:pPr>
        <w:rPr>
          <w:color w:val="000000" w:themeColor="text1"/>
        </w:rPr>
      </w:pPr>
      <w:r w:rsidRPr="00606D67">
        <w:rPr>
          <w:color w:val="000000" w:themeColor="text1"/>
        </w:rPr>
        <w:t>Job insecurity was identified as a mental illness determinant across all welfare states with the exception of Scandinavian</w:t>
      </w:r>
      <w:r w:rsidR="00430028" w:rsidRPr="00606D67">
        <w:rPr>
          <w:color w:val="000000" w:themeColor="text1"/>
        </w:rPr>
        <w:t xml:space="preserve"> countries</w:t>
      </w:r>
      <w:r w:rsidRPr="00606D67">
        <w:rPr>
          <w:color w:val="000000" w:themeColor="text1"/>
        </w:rPr>
        <w:t xml:space="preserve"> </w:t>
      </w:r>
      <w:r w:rsidR="008E7383" w:rsidRPr="00606D67">
        <w:rPr>
          <w:color w:val="000000" w:themeColor="text1"/>
        </w:rPr>
        <w:fldChar w:fldCharType="begin"/>
      </w:r>
      <w:r w:rsidR="008E7383" w:rsidRPr="00606D67">
        <w:rPr>
          <w:color w:val="000000" w:themeColor="text1"/>
        </w:rPr>
        <w:instrText xml:space="preserve"> ADDIN ZOTERO_ITEM CSL_CITATION {"citationID":"QE6Q6lH7","properties":{"formattedCitation":"(Kim et al., 2012)","plainCitation":"(Kim et al., 2012)","noteIndex":0},"citationItems":[{"id":1589,"uris":["http://zotero.org/users/5273986/items/A5S8KW9M"],"itemData":{"id":1589,"type":"article-journal","abstract":"Objectives: The aim of this literature review is to identify whether differences between welfare regimes can manifest diverse consequences for the health effects of insecure and precarious employment, as well as to address challenging issues and implications for future research. Methods: By searching PubMed, PsychINFO, Stork Social Science Citation Index, and Index Lilac, from 1988 to June 2010, a total of 104 original articles were selected (65 on job insecurity; 39 on precarious employment). Results: After classifying selected empirical studies according to a six-regime welfare state typology (Scandinavian, Bismarckian, Southern European, Anglo-Saxon, Eastern European, and East Asian), this systematic review reveals that welfare regimes may be an important determinant of employment-related health. Precarious workers in Scandinavian welfare states report better or equal health status when compared to their permanent counterparts. By contrast, precarious work in the remaining welfare state regimes is found to be associated with adverse health outcomes, including poor self-rated health, musculoskeletal disorders, injuries, and mental health problems. Conclusions: Future research should be conducted by employing conceptual models that specify how macro-economic processes, country-level welfare factors, and individual employment histories and environments relate to employment-related health inequalities. © 2011 Elsevier Ireland Ltd.","container-title":"Health Policy","DOI":"10.1016/j.healthpol.2011.11.002","issue":"2","page":"99-127","title":"Welfare states, flexible employment, and health: A critical review","volume":"104","author":[{"family":"Kim","given":"I. H."},{"family":"Muntaner","given":"C."},{"family":"Vahid Shahidi","given":"F."},{"family":"Vives","given":"A."},{"family":"Vanroelen","given":"C."},{"family":"Benach","given":"J."}],"issued":{"date-parts":[["2012"]]}}}],"schema":"https://github.com/citation-style-language/schema/raw/master/csl-citation.json"} </w:instrText>
      </w:r>
      <w:r w:rsidR="008E7383" w:rsidRPr="00606D67">
        <w:rPr>
          <w:color w:val="000000" w:themeColor="text1"/>
        </w:rPr>
        <w:fldChar w:fldCharType="separate"/>
      </w:r>
      <w:r w:rsidR="008E7383" w:rsidRPr="00606D67">
        <w:rPr>
          <w:color w:val="000000" w:themeColor="text1"/>
        </w:rPr>
        <w:t>(Kim et al., 2012)</w:t>
      </w:r>
      <w:r w:rsidR="008E7383" w:rsidRPr="00606D67">
        <w:rPr>
          <w:color w:val="000000" w:themeColor="text1"/>
        </w:rPr>
        <w:fldChar w:fldCharType="end"/>
      </w:r>
      <w:r w:rsidRPr="00606D67">
        <w:rPr>
          <w:color w:val="000000" w:themeColor="text1"/>
        </w:rPr>
        <w:t>. Precarious employment was investigated in two of the included reviews. One</w:t>
      </w:r>
      <w:r w:rsidR="00AB3BD5" w:rsidRPr="00606D67">
        <w:rPr>
          <w:color w:val="000000" w:themeColor="text1"/>
        </w:rPr>
        <w:t xml:space="preserve"> review</w:t>
      </w:r>
      <w:r w:rsidRPr="00606D67">
        <w:rPr>
          <w:color w:val="000000" w:themeColor="text1"/>
        </w:rPr>
        <w:t xml:space="preserve"> tentatively suggested that poorer mental health outcomes may exist for those in precarious employment than </w:t>
      </w:r>
      <w:r w:rsidRPr="00606D67">
        <w:rPr>
          <w:color w:val="000000" w:themeColor="text1"/>
        </w:rPr>
        <w:lastRenderedPageBreak/>
        <w:t xml:space="preserve">secure employment, but strong evidence was not found </w:t>
      </w:r>
      <w:r w:rsidR="009C58DA" w:rsidRPr="00606D67">
        <w:rPr>
          <w:color w:val="000000" w:themeColor="text1"/>
        </w:rPr>
        <w:fldChar w:fldCharType="begin"/>
      </w:r>
      <w:r w:rsidR="009C58DA" w:rsidRPr="00606D67">
        <w:rPr>
          <w:color w:val="000000" w:themeColor="text1"/>
        </w:rPr>
        <w:instrText xml:space="preserve"> ADDIN ZOTERO_ITEM CSL_CITATION {"citationID":"0IOCVDTr","properties":{"formattedCitation":"(Kim et al., 2012)","plainCitation":"(Kim et al., 2012)","noteIndex":0},"citationItems":[{"id":1589,"uris":["http://zotero.org/users/5273986/items/A5S8KW9M"],"itemData":{"id":1589,"type":"article-journal","abstract":"Objectives: The aim of this literature review is to identify whether differences between welfare regimes can manifest diverse consequences for the health effects of insecure and precarious employment, as well as to address challenging issues and implications for future research. Methods: By searching PubMed, PsychINFO, Stork Social Science Citation Index, and Index Lilac, from 1988 to June 2010, a total of 104 original articles were selected (65 on job insecurity; 39 on precarious employment). Results: After classifying selected empirical studies according to a six-regime welfare state typology (Scandinavian, Bismarckian, Southern European, Anglo-Saxon, Eastern European, and East Asian), this systematic review reveals that welfare regimes may be an important determinant of employment-related health. Precarious workers in Scandinavian welfare states report better or equal health status when compared to their permanent counterparts. By contrast, precarious work in the remaining welfare state regimes is found to be associated with adverse health outcomes, including poor self-rated health, musculoskeletal disorders, injuries, and mental health problems. Conclusions: Future research should be conducted by employing conceptual models that specify how macro-economic processes, country-level welfare factors, and individual employment histories and environments relate to employment-related health inequalities. © 2011 Elsevier Ireland Ltd.","container-title":"Health Policy","DOI":"10.1016/j.healthpol.2011.11.002","issue":"2","page":"99-127","title":"Welfare states, flexible employment, and health: A critical review","volume":"104","author":[{"family":"Kim","given":"I. H."},{"family":"Muntaner","given":"C."},{"family":"Vahid Shahidi","given":"F."},{"family":"Vives","given":"A."},{"family":"Vanroelen","given":"C."},{"family":"Benach","given":"J."}],"issued":{"date-parts":[["2012"]]}}}],"schema":"https://github.com/citation-style-language/schema/raw/master/csl-citation.json"} </w:instrText>
      </w:r>
      <w:r w:rsidR="009C58DA" w:rsidRPr="00606D67">
        <w:rPr>
          <w:color w:val="000000" w:themeColor="text1"/>
        </w:rPr>
        <w:fldChar w:fldCharType="separate"/>
      </w:r>
      <w:r w:rsidR="009C58DA" w:rsidRPr="00606D67">
        <w:rPr>
          <w:color w:val="000000" w:themeColor="text1"/>
        </w:rPr>
        <w:t>(Kim et al., 2012)</w:t>
      </w:r>
      <w:r w:rsidR="009C58DA" w:rsidRPr="00606D67">
        <w:rPr>
          <w:color w:val="000000" w:themeColor="text1"/>
        </w:rPr>
        <w:fldChar w:fldCharType="end"/>
      </w:r>
      <w:r w:rsidRPr="00606D67">
        <w:rPr>
          <w:color w:val="000000" w:themeColor="text1"/>
        </w:rPr>
        <w:t xml:space="preserve">. The other </w:t>
      </w:r>
      <w:r w:rsidR="00AB3BD5" w:rsidRPr="00606D67">
        <w:rPr>
          <w:color w:val="000000" w:themeColor="text1"/>
        </w:rPr>
        <w:t xml:space="preserve">review </w:t>
      </w:r>
      <w:r w:rsidRPr="00606D67">
        <w:rPr>
          <w:color w:val="000000" w:themeColor="text1"/>
        </w:rPr>
        <w:t xml:space="preserve">reported that precarious employment impacted the mental health of men more than women </w:t>
      </w:r>
      <w:r w:rsidR="009C58DA" w:rsidRPr="00606D67">
        <w:rPr>
          <w:color w:val="000000" w:themeColor="text1"/>
        </w:rPr>
        <w:fldChar w:fldCharType="begin"/>
      </w:r>
      <w:r w:rsidR="009C58DA" w:rsidRPr="00606D67">
        <w:rPr>
          <w:color w:val="000000" w:themeColor="text1"/>
        </w:rPr>
        <w:instrText xml:space="preserve"> ADDIN ZOTERO_ITEM CSL_CITATION {"citationID":"wIE6WI7m","properties":{"formattedCitation":"(Milner et al., 2021)","plainCitation":"(Milner et al., 2021)","noteIndex":0},"citationItems":[{"id":1595,"uris":["http://zotero.org/users/5273986/items/ILNY82HU"],"itemData":{"id":1595,"type":"article-journal","abstract":"Background Gendered working environments' describes the ways in which (1) differential selection into work, (2) variations in employment arrangements and working hours, (3) differences in psychosocial exposures and (4) differential selection out of work may produce varied mental health outcomes for men and women. The aim of this study was to conduct a systematic review to understand gender differences in mental health outcomes in relation to the components of gendered working environments. Methods The review followed a Preferred Reporting Items for Systematic Reviews and Meta-Analyses (PRISMA) search approach and focused on studies published in 2008-2018. The protocol for the review was prospectively registered with PROSPERO (CRD42019124066). Findings Across the 27 cohort studies included in the review, we found that (1) there was inconclusive evidence on the effect of occupational gender composition on the mental health of men and women, (2) women's mental health was more likely to be affected by long working hours than men's; however, precarious employment was more likely to be negatively associated with men's mental health, (3) exposure to traditional constructs of psychosocial job stressors negatively affected the mental health of both women and men, and (4) unemployment and retirement are associated with poorer mental health in both genders. Interpretation The findings from this review indicate that gendered working environments may affect the mental health of both men and women, but the association is dependent on the specific exposure examined. There is still much to be understood about gendered working environments, and future research into work and health should be considered with a gender lens.","container-title":"Occupational and Environmental Medicine","DOI":"10.1136/oemed-2019-106281","issue":"3","page":"147-152","title":"Gendered working environments as a determinant of mental health inequalities: A systematic review of 27 studies","volume":"78","author":[{"family":"Milner","given":"A."},{"family":"Scovelle","given":"A. J."},{"family":"King","given":"T."},{"family":"Marck","given":"C."},{"family":"McAllister","given":"A."},{"family":"Kavanagh","given":"A."},{"family":"Shields","given":"M."},{"family":"Török","given":"E."},{"family":"Maheen","given":"H."},{"family":"O'Neil","given":"A."}],"issued":{"date-parts":[["2021"]]}}}],"schema":"https://github.com/citation-style-language/schema/raw/master/csl-citation.json"} </w:instrText>
      </w:r>
      <w:r w:rsidR="009C58DA" w:rsidRPr="00606D67">
        <w:rPr>
          <w:color w:val="000000" w:themeColor="text1"/>
        </w:rPr>
        <w:fldChar w:fldCharType="separate"/>
      </w:r>
      <w:r w:rsidR="009C58DA" w:rsidRPr="00606D67">
        <w:rPr>
          <w:color w:val="000000" w:themeColor="text1"/>
        </w:rPr>
        <w:t>(Milner et al., 2021)</w:t>
      </w:r>
      <w:r w:rsidR="009C58DA" w:rsidRPr="00606D67">
        <w:rPr>
          <w:color w:val="000000" w:themeColor="text1"/>
        </w:rPr>
        <w:fldChar w:fldCharType="end"/>
      </w:r>
      <w:r w:rsidRPr="00606D67">
        <w:rPr>
          <w:color w:val="000000" w:themeColor="text1"/>
        </w:rPr>
        <w:t xml:space="preserve">. Certain occupations were also predictive of poor mental health: being a rescue worker or ambulance worker during disasters and wars in Iran </w:t>
      </w:r>
      <w:r w:rsidR="00DB31E6" w:rsidRPr="00606D67">
        <w:rPr>
          <w:color w:val="000000" w:themeColor="text1"/>
        </w:rPr>
        <w:fldChar w:fldCharType="begin"/>
      </w:r>
      <w:r w:rsidR="00DB31E6" w:rsidRPr="00606D67">
        <w:rPr>
          <w:color w:val="000000" w:themeColor="text1"/>
        </w:rPr>
        <w:instrText xml:space="preserve"> ADDIN ZOTERO_ITEM CSL_CITATION {"citationID":"pGPO2O2M","properties":{"formattedCitation":"(Sepahvand et al., 2019)","plainCitation":"(Sepahvand et al., 2019)","noteIndex":0},"citationItems":[{"id":1606,"uris":["http://zotero.org/users/5273986/items/SPLSXCVX"],"itemData":{"id":1606,"type":"article-journal","abstract":"Context: Post-traumatic stress disorder (PTSD) is a chronic psychiatric disorder that occurs as a result of an accident or life-threatening event. The purpose of our study was to examine the prevalence of PTSD in the Iranian population from 2000 to 2015 through a meta-analysis of the published studies to review the epidemiologic evidence of PTSD after disasters and wars and to examine PTSD determinants. Evidence Acquisition: The electronic databases including PubMed, Embase, Web of Science, Magiran, etc. were explored to find related papers. Two authors independently reviewed and extracted data via an extraction sheet, and disagreements were resolved by holding a meeting with a third author. Meta-analysis was performed using “metaprop” command in STATA 11 software. Studies with &lt; 25 participants were excluded from our analysis. Results: Ultimately, 47 studies were included in this meta-analysis. Primary PTSD was investigated in 44 studies and secondary PTSD in six studies. Forty studies investigated natural PTSD and five studies technical PTSD. PTSD related to childbirth, job, earthquake, war, burn, accident, and rape events were investigated in seven, six, nine, nine, two, two, and two studies, respectively, and their pooled prevalence were 25%, 30%, 58%, 47%, 40%, 11%, and 74%, respectively. Conclusion: The results revealed that the burden of PTSD among the Iranian population exposed to wars and disasters is high. PTSD was correlated with a range of factors including demographic and background factors and characteristics of the event exposure.","container-title":"Iranian Journal of Psychiatry and Behavioral Sciences","DOI":"10.5812/ijpbs.66124","issue":"1","title":"Prevalence of post-traumatic stress disorder (PTSD) in Iranian population following disasters and wars: A systematic review and meta-analysis","URL":"https://www.embase.com/search/results?subaction=viewrecord&amp;id=L626978979&amp;from=export","volume":"13","author":[{"family":"Sepahvand","given":"H."},{"family":"Hashtjini","given":"M. M."},{"family":"Salesi","given":"M."},{"family":"Sahraei","given":"H."},{"family":"Jahromi","given":"G. P."}],"issued":{"date-parts":[["2019"]]}}}],"schema":"https://github.com/citation-style-language/schema/raw/master/csl-citation.json"} </w:instrText>
      </w:r>
      <w:r w:rsidR="00DB31E6" w:rsidRPr="00606D67">
        <w:rPr>
          <w:color w:val="000000" w:themeColor="text1"/>
        </w:rPr>
        <w:fldChar w:fldCharType="separate"/>
      </w:r>
      <w:r w:rsidR="00DB31E6" w:rsidRPr="00606D67">
        <w:rPr>
          <w:color w:val="000000" w:themeColor="text1"/>
        </w:rPr>
        <w:t>(Sepahvand et al., 2019)</w:t>
      </w:r>
      <w:r w:rsidR="00DB31E6" w:rsidRPr="00606D67">
        <w:rPr>
          <w:color w:val="000000" w:themeColor="text1"/>
        </w:rPr>
        <w:fldChar w:fldCharType="end"/>
      </w:r>
      <w:r w:rsidRPr="00606D67">
        <w:rPr>
          <w:color w:val="000000" w:themeColor="text1"/>
        </w:rPr>
        <w:t xml:space="preserve">; or being a healthcare worker or family member of a healthcare worker during the COVID-19 pandemic </w:t>
      </w:r>
      <w:r w:rsidR="00DB31E6" w:rsidRPr="00606D67">
        <w:rPr>
          <w:color w:val="000000" w:themeColor="text1"/>
        </w:rPr>
        <w:fldChar w:fldCharType="begin"/>
      </w:r>
      <w:r w:rsidR="00DB31E6" w:rsidRPr="00606D67">
        <w:rPr>
          <w:color w:val="000000" w:themeColor="text1"/>
        </w:rPr>
        <w:instrText xml:space="preserve"> ADDIN ZOTERO_ITEM CSL_CITATION {"citationID":"4ZE3TZWh","properties":{"formattedCitation":"(Chekole &amp; Abate, 2021)","plainCitation":"(Chekole &amp; Abate, 2021)","noteIndex":0},"citationItems":[{"id":1583,"uris":["http://zotero.org/users/5273986/items/86SFZXN7"],"itemData":{"id":1583,"type":"article-journal","abstract":"Background: Coronavirus Disease 2019 (COVID-19) has infected more than 5 million and lost the lives of more than 300 thousand people globally. It is the first-ever deadly pandemic with a significant degree of fear, worry and concern in the population at large. Therefore, this Meta-Analysis aims to assess the global prevalence and determinants of mental health disorders. Methods: A three-stage search strategy was conducted on PubMed/Medline, Science direct LILACS and PsycINFO databases. The Heterogeneity among the included studies was checked with forest plot, χ2 test, I2 test, and the p-values. Publication bias was checked with a funnel plot and the objective diagnostic test was conducted with Egger's correlation, Begg's regression tests, and Trim and fill method. Results: The Meta-Analysis revealed that the pooled prevalence of anxiety and depression 33.59% (95% confidence interval (CI): 27.21 to 39.97, 30 studies, 88,543 participants) and 29.98% (95% confidence interval (CI): 25.32 to 34.64, 25 studies, 78,191 participants) respectively. Conclusion: The review revealed that more than thirty percent of patients developed anxiety and depression during COVID-19 Pandemic. This presages the health care stakeholders to prevent and intervene in mental health disorders. Registration: This review was registered in Prospero international prospective register of systematic reviews (CRD42020183146).","container-title":"Annals of Medicine and Surgery","DOI":"10.1016/j.amsu.2021.102634","title":"Global prevalence and determinants of mental health disorders during the COVID-19 pandemic: A systematic review and meta-analysis","URL":"https://www.embase.com/search/results?subaction=viewrecord&amp;id=L2013801371&amp;from=export","volume":"68","author":[{"family":"Chekole","given":"Y. A."},{"family":"Abate","given":"S. M."}],"issued":{"date-parts":[["2021"]]}}}],"schema":"https://github.com/citation-style-language/schema/raw/master/csl-citation.json"} </w:instrText>
      </w:r>
      <w:r w:rsidR="00DB31E6" w:rsidRPr="00606D67">
        <w:rPr>
          <w:color w:val="000000" w:themeColor="text1"/>
        </w:rPr>
        <w:fldChar w:fldCharType="separate"/>
      </w:r>
      <w:r w:rsidR="00DB31E6" w:rsidRPr="00606D67">
        <w:rPr>
          <w:color w:val="000000" w:themeColor="text1"/>
        </w:rPr>
        <w:t>(Chekole &amp; Abate, 2021)</w:t>
      </w:r>
      <w:r w:rsidR="00DB31E6" w:rsidRPr="00606D67">
        <w:rPr>
          <w:color w:val="000000" w:themeColor="text1"/>
        </w:rPr>
        <w:fldChar w:fldCharType="end"/>
      </w:r>
      <w:r w:rsidRPr="00606D67">
        <w:rPr>
          <w:color w:val="000000" w:themeColor="text1"/>
        </w:rPr>
        <w:t xml:space="preserve"> were predictive of mental illness. Retirement was identified as a protective factor for depression in one review, reducing risk by nearly 20% overall </w:t>
      </w:r>
      <w:r w:rsidR="00594FBC" w:rsidRPr="00606D67">
        <w:rPr>
          <w:color w:val="000000" w:themeColor="text1"/>
        </w:rPr>
        <w:fldChar w:fldCharType="begin"/>
      </w:r>
      <w:r w:rsidR="00594FBC" w:rsidRPr="00606D67">
        <w:rPr>
          <w:color w:val="000000" w:themeColor="text1"/>
        </w:rPr>
        <w:instrText xml:space="preserve"> ADDIN ZOTERO_ITEM CSL_CITATION {"citationID":"wzzkMixP","properties":{"formattedCitation":"(Odone et al., 2021)","plainCitation":"(Odone et al., 2021)","noteIndex":0},"citationItems":[{"id":1599,"uris":["http://zotero.org/users/5273986/items/9Q3WVUEK"],"itemData":{"id":1599,"type":"article-journal","abstract":"Aims: Retirement is a major life transition that may improve or worsen mental health, including depression. Existing studies provide contradictory results. We conducted a systematic review with meta-analysis to quantitatively pool available evidence on the association of retirement and depressive symptoms. Methods: We applied PRISMA guidelines to conduct a systematic review and meta-analysis to retrieve, quantitatively pool and critically evaluate the association between retirement and both incident and prevalent depression and to understand better the potential role of individual and contextual-level determinants. Relevant original studies were identified by searching PubMed, Embase, PsycINFO and the Cochrane Library, through 4 March 2021. Subgroup and sensitivity meta-analyses were conducted by gender, study design (longitudinal v. cross-sectional studies), study quality score (QS) and considering studies using validated scales to diagnose depression. Heterogeneity between studies was evaluated with I² statistics. Results: Forty-one original studies met our a priori defined inclusion criteria. Meta-analysis on more than half a million subjects ( n = 557 111) from 60 datasets suggested a protective effect of retirement on the risk of depression [effect size (ES) = 0.83, 95% confidence interval (CI) = 0.74–0.93], although with high statistical heterogeneity between risk estimates ( χ² = 895.19, df = 59, I² = 93.41%, p-value &lt; 0.0001). Funnel plot asymmetry and trim and fill method suggested a minor potential publication bias. Results were consistent, confirm their robustness and suggest stronger protective effects when progressively restricting the included studies based on quality criteria: (i) studies with the highest QS [55 datasets, 407 086 subjects, ES = 0.81, 95% CI = 0.71–0.91], (ii) studies with a high QS and using validated assessment tools to diagnose depression (44 datasets, 239 453 subjects, ES = 0.76, 95% CI = 0.65–0.88) and (iii) studies of high quality, using a validated tool and with a longitudinal design (24 datasets, 162 004 subjects, ES = 0.76, 95% CI = 0.64–0.90). We observed a progressive reduction in funnel plot asymmetry. About gender, no statistically significant difference was found (females ES = 0.79, 95% CI = 0.61–1.02 v. men ES = 0.87, 95% CI = 0.68–1.11). Conclusions: Pooled data suggested that retirement reduces by nearly 20% the risk of depression; such estimates got stronger when limiting the analysis to longitudinal and high-quality studies, even if results are affected by high heterogeneity. As retirement seems to have an independent and protective effect on mental health and depressive symptoms, greater flexibility in retirement timing should be granted to older workers to reduce their mental burden and avoid the development of severe depression. Retirement may also be identified as a target moment for preventive interventions, particularly primary and secondary prevention, to promote health and wellbeing in older ages, boosting the observed impact. (PsycInfo Database Record (c) 2022 APA, all rights reserved) (Source: journal abstract)","archive_location":"2623028433; 2022-10820-001","container-title":"Epidemiology and Psychiatric Sciences","DOI":"10.1017/S2045796021000627","page":"24","title":"Does retirement trigger depressive symptoms? A systematic review and meta-analysis","volume":"30","author":[{"family":"Odone","given":"A."},{"family":"Gianfredi","given":"V."},{"family":"Vigezzi","given":"G. P."},{"family":"Amerio","given":"A."},{"family":"Ardito","given":"C."},{"family":"Errico","given":"A.","non-dropping-particle":"d'"},{"family":"Stuckler","given":"D."},{"family":"Costa","given":"G."}],"issued":{"date-parts":[["2021"]]}}}],"schema":"https://github.com/citation-style-language/schema/raw/master/csl-citation.json"} </w:instrText>
      </w:r>
      <w:r w:rsidR="00594FBC" w:rsidRPr="00606D67">
        <w:rPr>
          <w:color w:val="000000" w:themeColor="text1"/>
        </w:rPr>
        <w:fldChar w:fldCharType="separate"/>
      </w:r>
      <w:r w:rsidR="00594FBC" w:rsidRPr="00606D67">
        <w:rPr>
          <w:color w:val="000000" w:themeColor="text1"/>
        </w:rPr>
        <w:t>(Odone et al., 2021)</w:t>
      </w:r>
      <w:r w:rsidR="00594FBC" w:rsidRPr="00606D67">
        <w:rPr>
          <w:color w:val="000000" w:themeColor="text1"/>
        </w:rPr>
        <w:fldChar w:fldCharType="end"/>
      </w:r>
      <w:r w:rsidRPr="00606D67">
        <w:rPr>
          <w:color w:val="000000" w:themeColor="text1"/>
        </w:rPr>
        <w:t xml:space="preserve">, while another identified it as negatively impacting mental health </w:t>
      </w:r>
      <w:r w:rsidR="00594FBC" w:rsidRPr="00606D67">
        <w:rPr>
          <w:color w:val="000000" w:themeColor="text1"/>
        </w:rPr>
        <w:fldChar w:fldCharType="begin"/>
      </w:r>
      <w:r w:rsidR="00594FBC" w:rsidRPr="00606D67">
        <w:rPr>
          <w:color w:val="000000" w:themeColor="text1"/>
        </w:rPr>
        <w:instrText xml:space="preserve"> ADDIN ZOTERO_ITEM CSL_CITATION {"citationID":"yVRgJPQc","properties":{"formattedCitation":"(Milner et al., 2021)","plainCitation":"(Milner et al., 2021)","noteIndex":0},"citationItems":[{"id":1595,"uris":["http://zotero.org/users/5273986/items/ILNY82HU"],"itemData":{"id":1595,"type":"article-journal","abstract":"Background Gendered working environments' describes the ways in which (1) differential selection into work, (2) variations in employment arrangements and working hours, (3) differences in psychosocial exposures and (4) differential selection out of work may produce varied mental health outcomes for men and women. The aim of this study was to conduct a systematic review to understand gender differences in mental health outcomes in relation to the components of gendered working environments. Methods The review followed a Preferred Reporting Items for Systematic Reviews and Meta-Analyses (PRISMA) search approach and focused on studies published in 2008-2018. The protocol for the review was prospectively registered with PROSPERO (CRD42019124066). Findings Across the 27 cohort studies included in the review, we found that (1) there was inconclusive evidence on the effect of occupational gender composition on the mental health of men and women, (2) women's mental health was more likely to be affected by long working hours than men's; however, precarious employment was more likely to be negatively associated with men's mental health, (3) exposure to traditional constructs of psychosocial job stressors negatively affected the mental health of both women and men, and (4) unemployment and retirement are associated with poorer mental health in both genders. Interpretation The findings from this review indicate that gendered working environments may affect the mental health of both men and women, but the association is dependent on the specific exposure examined. There is still much to be understood about gendered working environments, and future research into work and health should be considered with a gender lens.","container-title":"Occupational and Environmental Medicine","DOI":"10.1136/oemed-2019-106281","issue":"3","page":"147-152","title":"Gendered working environments as a determinant of mental health inequalities: A systematic review of 27 studies","volume":"78","author":[{"family":"Milner","given":"A."},{"family":"Scovelle","given":"A. J."},{"family":"King","given":"T."},{"family":"Marck","given":"C."},{"family":"McAllister","given":"A."},{"family":"Kavanagh","given":"A."},{"family":"Shields","given":"M."},{"family":"Török","given":"E."},{"family":"Maheen","given":"H."},{"family":"O'Neil","given":"A."}],"issued":{"date-parts":[["2021"]]}}}],"schema":"https://github.com/citation-style-language/schema/raw/master/csl-citation.json"} </w:instrText>
      </w:r>
      <w:r w:rsidR="00594FBC" w:rsidRPr="00606D67">
        <w:rPr>
          <w:color w:val="000000" w:themeColor="text1"/>
        </w:rPr>
        <w:fldChar w:fldCharType="separate"/>
      </w:r>
      <w:r w:rsidR="00594FBC" w:rsidRPr="00606D67">
        <w:rPr>
          <w:color w:val="000000" w:themeColor="text1"/>
        </w:rPr>
        <w:t>(Milner et al., 2021)</w:t>
      </w:r>
      <w:r w:rsidR="00594FBC" w:rsidRPr="00606D67">
        <w:rPr>
          <w:color w:val="000000" w:themeColor="text1"/>
        </w:rPr>
        <w:fldChar w:fldCharType="end"/>
      </w:r>
      <w:r w:rsidRPr="00606D67">
        <w:rPr>
          <w:color w:val="000000" w:themeColor="text1"/>
        </w:rPr>
        <w:t xml:space="preserve">. Other employment factors linked to mental health included working conditions </w:t>
      </w:r>
      <w:r w:rsidR="000851FC" w:rsidRPr="00606D67">
        <w:rPr>
          <w:color w:val="000000" w:themeColor="text1"/>
        </w:rPr>
        <w:fldChar w:fldCharType="begin"/>
      </w:r>
      <w:r w:rsidR="00017916" w:rsidRPr="00606D67">
        <w:rPr>
          <w:color w:val="000000" w:themeColor="text1"/>
        </w:rPr>
        <w:instrText xml:space="preserve"> ADDIN ZOTERO_ITEM CSL_CITATION {"citationID":"mrSbat2b","properties":{"formattedCitation":"(Remes et al., 2021)","plainCitation":"(Remes et al., 2021)","noteIndex":0},"citationItems":[{"id":1603,"uris":["http://zotero.org/users/5273986/items/V6VXANRG"],"itemData":{"id":1603,"type":"article-journal","abstract":"Depression is one of the leading causes of disability, and, if left unmanaged, it can increase the risk for suicide. The evidence base on the determinants of depression is fragmented, which makes the interpretation of the results across studies difficult. The objective of this study is to conduct a thorough synthesis of the literature assessing the biological, psychological, and social determinants of depression in order to piece together the puzzle of the key factors that are related to this condition. Titles and abstracts published between 2017 and 2020 were identified in PubMed, as well as Medline, Scopus, and PsycInfo. Key words relating to biological, social, and psychological determinants as well as depression were applied to the databases, and the screening and data charting of the documents took place. We included 470 documents in this literature review. The findings showed that there are a plethora of risk and protective factors (relating to biological, psychological, and social determinants) that are related to depression; these determinants are interlinked and influence depression outcomes through a web of causation. In this paper, we describe and present the vast, fragmented, and complex literature related to this topic. This review may be used to guide practice, public health efforts, policy, and research related to mental health and, specifically, depression.","container-title":"Brain Sciences","DOI":"10.3390/brainsci11121633","issue":"12","title":"Biological, psychological, and social determinants of depression: A review of recent literature","URL":"https://www.embase.com/search/results?subaction=viewrecord&amp;id=L2015091637&amp;from=export","volume":"11","author":[{"family":"Remes","given":"O."},{"family":"Francisco","given":"J."},{"family":"Templeton","given":"P."}],"issued":{"date-parts":[["2021"]]}}}],"schema":"https://github.com/citation-style-language/schema/raw/master/csl-citation.json"} </w:instrText>
      </w:r>
      <w:r w:rsidR="000851FC" w:rsidRPr="00606D67">
        <w:rPr>
          <w:color w:val="000000" w:themeColor="text1"/>
        </w:rPr>
        <w:fldChar w:fldCharType="separate"/>
      </w:r>
      <w:r w:rsidR="000851FC" w:rsidRPr="00606D67">
        <w:rPr>
          <w:color w:val="000000" w:themeColor="text1"/>
        </w:rPr>
        <w:t>(Remes et al., 2021)</w:t>
      </w:r>
      <w:r w:rsidR="000851FC" w:rsidRPr="00606D67">
        <w:rPr>
          <w:color w:val="000000" w:themeColor="text1"/>
        </w:rPr>
        <w:fldChar w:fldCharType="end"/>
      </w:r>
      <w:r w:rsidRPr="00606D67">
        <w:rPr>
          <w:color w:val="000000" w:themeColor="text1"/>
        </w:rPr>
        <w:t xml:space="preserve">, night-time shift work </w:t>
      </w:r>
      <w:r w:rsidR="000851FC" w:rsidRPr="00606D67">
        <w:rPr>
          <w:color w:val="000000" w:themeColor="text1"/>
        </w:rPr>
        <w:fldChar w:fldCharType="begin"/>
      </w:r>
      <w:r w:rsidR="00017916" w:rsidRPr="00606D67">
        <w:rPr>
          <w:color w:val="000000" w:themeColor="text1"/>
        </w:rPr>
        <w:instrText xml:space="preserve"> ADDIN ZOTERO_ITEM CSL_CITATION {"citationID":"Bc0DA7zE","properties":{"formattedCitation":"(Remes et al., 2021)","plainCitation":"(Remes et al., 2021)","noteIndex":0},"citationItems":[{"id":1603,"uris":["http://zotero.org/users/5273986/items/V6VXANRG"],"itemData":{"id":1603,"type":"article-journal","abstract":"Depression is one of the leading causes of disability, and, if left unmanaged, it can increase the risk for suicide. The evidence base on the determinants of depression is fragmented, which makes the interpretation of the results across studies difficult. The objective of this study is to conduct a thorough synthesis of the literature assessing the biological, psychological, and social determinants of depression in order to piece together the puzzle of the key factors that are related to this condition. Titles and abstracts published between 2017 and 2020 were identified in PubMed, as well as Medline, Scopus, and PsycInfo. Key words relating to biological, social, and psychological determinants as well as depression were applied to the databases, and the screening and data charting of the documents took place. We included 470 documents in this literature review. The findings showed that there are a plethora of risk and protective factors (relating to biological, psychological, and social determinants) that are related to depression; these determinants are interlinked and influence depression outcomes through a web of causation. In this paper, we describe and present the vast, fragmented, and complex literature related to this topic. This review may be used to guide practice, public health efforts, policy, and research related to mental health and, specifically, depression.","container-title":"Brain Sciences","DOI":"10.3390/brainsci11121633","issue":"12","title":"Biological, psychological, and social determinants of depression: A review of recent literature","URL":"https://www.embase.com/search/results?subaction=viewrecord&amp;id=L2015091637&amp;from=export","volume":"11","author":[{"family":"Remes","given":"O."},{"family":"Francisco","given":"J."},{"family":"Templeton","given":"P."}],"issued":{"date-parts":[["2021"]]}}}],"schema":"https://github.com/citation-style-language/schema/raw/master/csl-citation.json"} </w:instrText>
      </w:r>
      <w:r w:rsidR="000851FC" w:rsidRPr="00606D67">
        <w:rPr>
          <w:color w:val="000000" w:themeColor="text1"/>
        </w:rPr>
        <w:fldChar w:fldCharType="separate"/>
      </w:r>
      <w:r w:rsidR="000851FC" w:rsidRPr="00606D67">
        <w:rPr>
          <w:color w:val="000000" w:themeColor="text1"/>
        </w:rPr>
        <w:t>(Remes et al., 2021)</w:t>
      </w:r>
      <w:r w:rsidR="000851FC" w:rsidRPr="00606D67">
        <w:rPr>
          <w:color w:val="000000" w:themeColor="text1"/>
        </w:rPr>
        <w:fldChar w:fldCharType="end"/>
      </w:r>
      <w:r w:rsidRPr="00606D67">
        <w:rPr>
          <w:color w:val="000000" w:themeColor="text1"/>
        </w:rPr>
        <w:t xml:space="preserve">, job strain </w:t>
      </w:r>
      <w:r w:rsidR="0070225F" w:rsidRPr="00606D67">
        <w:rPr>
          <w:color w:val="000000" w:themeColor="text1"/>
        </w:rPr>
        <w:fldChar w:fldCharType="begin"/>
      </w:r>
      <w:r w:rsidR="00017916" w:rsidRPr="00606D67">
        <w:rPr>
          <w:color w:val="000000" w:themeColor="text1"/>
        </w:rPr>
        <w:instrText xml:space="preserve"> ADDIN ZOTERO_ITEM CSL_CITATION {"citationID":"CXH75cjm","properties":{"formattedCitation":"(Remes et al., 2021)","plainCitation":"(Remes et al., 2021)","noteIndex":0},"citationItems":[{"id":1603,"uris":["http://zotero.org/users/5273986/items/V6VXANRG"],"itemData":{"id":1603,"type":"article-journal","abstract":"Depression is one of the leading causes of disability, and, if left unmanaged, it can increase the risk for suicide. The evidence base on the determinants of depression is fragmented, which makes the interpretation of the results across studies difficult. The objective of this study is to conduct a thorough synthesis of the literature assessing the biological, psychological, and social determinants of depression in order to piece together the puzzle of the key factors that are related to this condition. Titles and abstracts published between 2017 and 2020 were identified in PubMed, as well as Medline, Scopus, and PsycInfo. Key words relating to biological, social, and psychological determinants as well as depression were applied to the databases, and the screening and data charting of the documents took place. We included 470 documents in this literature review. The findings showed that there are a plethora of risk and protective factors (relating to biological, psychological, and social determinants) that are related to depression; these determinants are interlinked and influence depression outcomes through a web of causation. In this paper, we describe and present the vast, fragmented, and complex literature related to this topic. This review may be used to guide practice, public health efforts, policy, and research related to mental health and, specifically, depression.","container-title":"Brain Sciences","DOI":"10.3390/brainsci11121633","issue":"12","title":"Biological, psychological, and social determinants of depression: A review of recent literature","URL":"https://www.embase.com/search/results?subaction=viewrecord&amp;id=L2015091637&amp;from=export","volume":"11","author":[{"family":"Remes","given":"O."},{"family":"Francisco","given":"J."},{"family":"Templeton","given":"P."}],"issued":{"date-parts":[["2021"]]}}}],"schema":"https://github.com/citation-style-language/schema/raw/master/csl-citation.json"} </w:instrText>
      </w:r>
      <w:r w:rsidR="0070225F" w:rsidRPr="00606D67">
        <w:rPr>
          <w:color w:val="000000" w:themeColor="text1"/>
        </w:rPr>
        <w:fldChar w:fldCharType="separate"/>
      </w:r>
      <w:r w:rsidR="0070225F" w:rsidRPr="00606D67">
        <w:rPr>
          <w:color w:val="000000" w:themeColor="text1"/>
        </w:rPr>
        <w:t>(Remes et al., 2021)</w:t>
      </w:r>
      <w:r w:rsidR="0070225F" w:rsidRPr="00606D67">
        <w:rPr>
          <w:color w:val="000000" w:themeColor="text1"/>
        </w:rPr>
        <w:fldChar w:fldCharType="end"/>
      </w:r>
      <w:r w:rsidR="0070225F" w:rsidRPr="00606D67">
        <w:rPr>
          <w:color w:val="000000" w:themeColor="text1"/>
        </w:rPr>
        <w:t xml:space="preserve"> </w:t>
      </w:r>
      <w:r w:rsidRPr="00606D67">
        <w:rPr>
          <w:color w:val="000000" w:themeColor="text1"/>
        </w:rPr>
        <w:t xml:space="preserve">psychosocial job stressors </w:t>
      </w:r>
      <w:r w:rsidR="0070225F" w:rsidRPr="00606D67">
        <w:rPr>
          <w:color w:val="000000" w:themeColor="text1"/>
        </w:rPr>
        <w:fldChar w:fldCharType="begin"/>
      </w:r>
      <w:r w:rsidR="0070225F" w:rsidRPr="00606D67">
        <w:rPr>
          <w:color w:val="000000" w:themeColor="text1"/>
        </w:rPr>
        <w:instrText xml:space="preserve"> ADDIN ZOTERO_ITEM CSL_CITATION {"citationID":"7RU9qYKu","properties":{"formattedCitation":"(Milner et al., 2021)","plainCitation":"(Milner et al., 2021)","noteIndex":0},"citationItems":[{"id":1595,"uris":["http://zotero.org/users/5273986/items/ILNY82HU"],"itemData":{"id":1595,"type":"article-journal","abstract":"Background Gendered working environments' describes the ways in which (1) differential selection into work, (2) variations in employment arrangements and working hours, (3) differences in psychosocial exposures and (4) differential selection out of work may produce varied mental health outcomes for men and women. The aim of this study was to conduct a systematic review to understand gender differences in mental health outcomes in relation to the components of gendered working environments. Methods The review followed a Preferred Reporting Items for Systematic Reviews and Meta-Analyses (PRISMA) search approach and focused on studies published in 2008-2018. The protocol for the review was prospectively registered with PROSPERO (CRD42019124066). Findings Across the 27 cohort studies included in the review, we found that (1) there was inconclusive evidence on the effect of occupational gender composition on the mental health of men and women, (2) women's mental health was more likely to be affected by long working hours than men's; however, precarious employment was more likely to be negatively associated with men's mental health, (3) exposure to traditional constructs of psychosocial job stressors negatively affected the mental health of both women and men, and (4) unemployment and retirement are associated with poorer mental health in both genders. Interpretation The findings from this review indicate that gendered working environments may affect the mental health of both men and women, but the association is dependent on the specific exposure examined. There is still much to be understood about gendered working environments, and future research into work and health should be considered with a gender lens.","container-title":"Occupational and Environmental Medicine","DOI":"10.1136/oemed-2019-106281","issue":"3","page":"147-152","title":"Gendered working environments as a determinant of mental health inequalities: A systematic review of 27 studies","volume":"78","author":[{"family":"Milner","given":"A."},{"family":"Scovelle","given":"A. J."},{"family":"King","given":"T."},{"family":"Marck","given":"C."},{"family":"McAllister","given":"A."},{"family":"Kavanagh","given":"A."},{"family":"Shields","given":"M."},{"family":"Török","given":"E."},{"family":"Maheen","given":"H."},{"family":"O'Neil","given":"A."}],"issued":{"date-parts":[["2021"]]}}}],"schema":"https://github.com/citation-style-language/schema/raw/master/csl-citation.json"} </w:instrText>
      </w:r>
      <w:r w:rsidR="0070225F" w:rsidRPr="00606D67">
        <w:rPr>
          <w:color w:val="000000" w:themeColor="text1"/>
        </w:rPr>
        <w:fldChar w:fldCharType="separate"/>
      </w:r>
      <w:r w:rsidR="0070225F" w:rsidRPr="00606D67">
        <w:rPr>
          <w:color w:val="000000" w:themeColor="text1"/>
        </w:rPr>
        <w:t>(Milner et al., 2021)</w:t>
      </w:r>
      <w:r w:rsidR="0070225F" w:rsidRPr="00606D67">
        <w:rPr>
          <w:color w:val="000000" w:themeColor="text1"/>
        </w:rPr>
        <w:fldChar w:fldCharType="end"/>
      </w:r>
      <w:r w:rsidRPr="00606D67">
        <w:rPr>
          <w:color w:val="000000" w:themeColor="text1"/>
        </w:rPr>
        <w:t xml:space="preserve">, and unemployment </w:t>
      </w:r>
      <w:r w:rsidR="0070225F" w:rsidRPr="00606D67">
        <w:rPr>
          <w:color w:val="000000" w:themeColor="text1"/>
        </w:rPr>
        <w:fldChar w:fldCharType="begin"/>
      </w:r>
      <w:r w:rsidR="00017916" w:rsidRPr="00606D67">
        <w:rPr>
          <w:color w:val="000000" w:themeColor="text1"/>
        </w:rPr>
        <w:instrText xml:space="preserve"> ADDIN ZOTERO_ITEM CSL_CITATION {"citationID":"lli35EIU","properties":{"formattedCitation":"(Milner et al., 2021; Remes et al., 2021)","plainCitation":"(Milner et al., 2021; Remes et al., 2021)","noteIndex":0},"citationItems":[{"id":1595,"uris":["http://zotero.org/users/5273986/items/ILNY82HU"],"itemData":{"id":1595,"type":"article-journal","abstract":"Background Gendered working environments' describes the ways in which (1) differential selection into work, (2) variations in employment arrangements and working hours, (3) differences in psychosocial exposures and (4) differential selection out of work may produce varied mental health outcomes for men and women. The aim of this study was to conduct a systematic review to understand gender differences in mental health outcomes in relation to the components of gendered working environments. Methods The review followed a Preferred Reporting Items for Systematic Reviews and Meta-Analyses (PRISMA) search approach and focused on studies published in 2008-2018. The protocol for the review was prospectively registered with PROSPERO (CRD42019124066). Findings Across the 27 cohort studies included in the review, we found that (1) there was inconclusive evidence on the effect of occupational gender composition on the mental health of men and women, (2) women's mental health was more likely to be affected by long working hours than men's; however, precarious employment was more likely to be negatively associated with men's mental health, (3) exposure to traditional constructs of psychosocial job stressors negatively affected the mental health of both women and men, and (4) unemployment and retirement are associated with poorer mental health in both genders. Interpretation The findings from this review indicate that gendered working environments may affect the mental health of both men and women, but the association is dependent on the specific exposure examined. There is still much to be understood about gendered working environments, and future research into work and health should be considered with a gender lens.","container-title":"Occupational and Environmental Medicine","DOI":"10.1136/oemed-2019-106281","issue":"3","page":"147-152","title":"Gendered working environments as a determinant of mental health inequalities: A systematic review of 27 studies","volume":"78","author":[{"family":"Milner","given":"A."},{"family":"Scovelle","given":"A. J."},{"family":"King","given":"T."},{"family":"Marck","given":"C."},{"family":"McAllister","given":"A."},{"family":"Kavanagh","given":"A."},{"family":"Shields","given":"M."},{"family":"Török","given":"E."},{"family":"Maheen","given":"H."},{"family":"O'Neil","given":"A."}],"issued":{"date-parts":[["2021"]]}}},{"id":1603,"uris":["http://zotero.org/users/5273986/items/V6VXANRG"],"itemData":{"id":1603,"type":"article-journal","abstract":"Depression is one of the leading causes of disability, and, if left unmanaged, it can increase the risk for suicide. The evidence base on the determinants of depression is fragmented, which makes the interpretation of the results across studies difficult. The objective of this study is to conduct a thorough synthesis of the literature assessing the biological, psychological, and social determinants of depression in order to piece together the puzzle of the key factors that are related to this condition. Titles and abstracts published between 2017 and 2020 were identified in PubMed, as well as Medline, Scopus, and PsycInfo. Key words relating to biological, social, and psychological determinants as well as depression were applied to the databases, and the screening and data charting of the documents took place. We included 470 documents in this literature review. The findings showed that there are a plethora of risk and protective factors (relating to biological, psychological, and social determinants) that are related to depression; these determinants are interlinked and influence depression outcomes through a web of causation. In this paper, we describe and present the vast, fragmented, and complex literature related to this topic. This review may be used to guide practice, public health efforts, policy, and research related to mental health and, specifically, depression.","container-title":"Brain Sciences","DOI":"10.3390/brainsci11121633","issue":"12","title":"Biological, psychological, and social determinants of depression: A review of recent literature","URL":"https://www.embase.com/search/results?subaction=viewrecord&amp;id=L2015091637&amp;from=export","volume":"11","author":[{"family":"Remes","given":"O."},{"family":"Francisco","given":"J."},{"family":"Templeton","given":"P."}],"issued":{"date-parts":[["2021"]]}}}],"schema":"https://github.com/citation-style-language/schema/raw/master/csl-citation.json"} </w:instrText>
      </w:r>
      <w:r w:rsidR="0070225F" w:rsidRPr="00606D67">
        <w:rPr>
          <w:color w:val="000000" w:themeColor="text1"/>
        </w:rPr>
        <w:fldChar w:fldCharType="separate"/>
      </w:r>
      <w:r w:rsidR="0070225F" w:rsidRPr="00606D67">
        <w:rPr>
          <w:color w:val="000000" w:themeColor="text1"/>
        </w:rPr>
        <w:t>(Milner et al., 2021; Remes et al., 2021)</w:t>
      </w:r>
      <w:r w:rsidR="0070225F" w:rsidRPr="00606D67">
        <w:rPr>
          <w:color w:val="000000" w:themeColor="text1"/>
        </w:rPr>
        <w:fldChar w:fldCharType="end"/>
      </w:r>
      <w:r w:rsidRPr="00606D67">
        <w:rPr>
          <w:color w:val="000000" w:themeColor="text1"/>
        </w:rPr>
        <w:t xml:space="preserve">. Links between gender composition in occupations and mental health </w:t>
      </w:r>
      <w:r w:rsidR="007F6E90" w:rsidRPr="00606D67">
        <w:rPr>
          <w:color w:val="000000" w:themeColor="text1"/>
        </w:rPr>
        <w:t>were</w:t>
      </w:r>
      <w:r w:rsidRPr="00606D67">
        <w:rPr>
          <w:color w:val="000000" w:themeColor="text1"/>
        </w:rPr>
        <w:t xml:space="preserve"> inconclusive, but longer working hours impacted women more than men </w:t>
      </w:r>
      <w:r w:rsidR="00631D11" w:rsidRPr="00606D67">
        <w:rPr>
          <w:color w:val="000000" w:themeColor="text1"/>
        </w:rPr>
        <w:fldChar w:fldCharType="begin"/>
      </w:r>
      <w:r w:rsidR="00631D11" w:rsidRPr="00606D67">
        <w:rPr>
          <w:color w:val="000000" w:themeColor="text1"/>
        </w:rPr>
        <w:instrText xml:space="preserve"> ADDIN ZOTERO_ITEM CSL_CITATION {"citationID":"ICfIhJCB","properties":{"formattedCitation":"(Milner et al., 2021)","plainCitation":"(Milner et al., 2021)","noteIndex":0},"citationItems":[{"id":1595,"uris":["http://zotero.org/users/5273986/items/ILNY82HU"],"itemData":{"id":1595,"type":"article-journal","abstract":"Background Gendered working environments' describes the ways in which (1) differential selection into work, (2) variations in employment arrangements and working hours, (3) differences in psychosocial exposures and (4) differential selection out of work may produce varied mental health outcomes for men and women. The aim of this study was to conduct a systematic review to understand gender differences in mental health outcomes in relation to the components of gendered working environments. Methods The review followed a Preferred Reporting Items for Systematic Reviews and Meta-Analyses (PRISMA) search approach and focused on studies published in 2008-2018. The protocol for the review was prospectively registered with PROSPERO (CRD42019124066). Findings Across the 27 cohort studies included in the review, we found that (1) there was inconclusive evidence on the effect of occupational gender composition on the mental health of men and women, (2) women's mental health was more likely to be affected by long working hours than men's; however, precarious employment was more likely to be negatively associated with men's mental health, (3) exposure to traditional constructs of psychosocial job stressors negatively affected the mental health of both women and men, and (4) unemployment and retirement are associated with poorer mental health in both genders. Interpretation The findings from this review indicate that gendered working environments may affect the mental health of both men and women, but the association is dependent on the specific exposure examined. There is still much to be understood about gendered working environments, and future research into work and health should be considered with a gender lens.","container-title":"Occupational and Environmental Medicine","DOI":"10.1136/oemed-2019-106281","issue":"3","page":"147-152","title":"Gendered working environments as a determinant of mental health inequalities: A systematic review of 27 studies","volume":"78","author":[{"family":"Milner","given":"A."},{"family":"Scovelle","given":"A. J."},{"family":"King","given":"T."},{"family":"Marck","given":"C."},{"family":"McAllister","given":"A."},{"family":"Kavanagh","given":"A."},{"family":"Shields","given":"M."},{"family":"Török","given":"E."},{"family":"Maheen","given":"H."},{"family":"O'Neil","given":"A."}],"issued":{"date-parts":[["2021"]]}}}],"schema":"https://github.com/citation-style-language/schema/raw/master/csl-citation.json"} </w:instrText>
      </w:r>
      <w:r w:rsidR="00631D11" w:rsidRPr="00606D67">
        <w:rPr>
          <w:color w:val="000000" w:themeColor="text1"/>
        </w:rPr>
        <w:fldChar w:fldCharType="separate"/>
      </w:r>
      <w:r w:rsidR="00631D11" w:rsidRPr="00606D67">
        <w:rPr>
          <w:color w:val="000000" w:themeColor="text1"/>
        </w:rPr>
        <w:t>(Milner et al., 2021)</w:t>
      </w:r>
      <w:r w:rsidR="00631D11" w:rsidRPr="00606D67">
        <w:rPr>
          <w:color w:val="000000" w:themeColor="text1"/>
        </w:rPr>
        <w:fldChar w:fldCharType="end"/>
      </w:r>
      <w:r w:rsidRPr="00606D67">
        <w:rPr>
          <w:color w:val="000000" w:themeColor="text1"/>
        </w:rPr>
        <w:t>.</w:t>
      </w:r>
    </w:p>
    <w:p w14:paraId="4EC211C2" w14:textId="77777777" w:rsidR="00AA4926" w:rsidRPr="00606D67" w:rsidRDefault="00AA4926" w:rsidP="00AA4926">
      <w:pPr>
        <w:pStyle w:val="Heading2"/>
        <w:rPr>
          <w:color w:val="000000" w:themeColor="text1"/>
        </w:rPr>
      </w:pPr>
      <w:r w:rsidRPr="00606D67">
        <w:rPr>
          <w:color w:val="000000" w:themeColor="text1"/>
        </w:rPr>
        <w:t xml:space="preserve">Housing and Living Conditions </w:t>
      </w:r>
    </w:p>
    <w:p w14:paraId="7F19E0A7" w14:textId="0FF0E7C1" w:rsidR="00AA4926" w:rsidRPr="00606D67" w:rsidRDefault="00AA4926" w:rsidP="00AA4926">
      <w:pPr>
        <w:rPr>
          <w:color w:val="000000" w:themeColor="text1"/>
        </w:rPr>
      </w:pPr>
      <w:r w:rsidRPr="00606D67">
        <w:rPr>
          <w:color w:val="000000" w:themeColor="text1"/>
        </w:rPr>
        <w:t>Housing factors such as infrastructure, aggregate</w:t>
      </w:r>
      <w:r w:rsidR="00AB3BD5" w:rsidRPr="00606D67">
        <w:rPr>
          <w:color w:val="000000" w:themeColor="text1"/>
        </w:rPr>
        <w:t>d</w:t>
      </w:r>
      <w:r w:rsidRPr="00606D67">
        <w:rPr>
          <w:color w:val="000000" w:themeColor="text1"/>
        </w:rPr>
        <w:t xml:space="preserve"> socioeconomic deprivation, leisure opportunities, urbanicity, crime, community violence, and social cohesion were reported to impact mental health in the general population </w:t>
      </w:r>
      <w:r w:rsidR="00631D11" w:rsidRPr="00606D67">
        <w:rPr>
          <w:color w:val="000000" w:themeColor="text1"/>
        </w:rPr>
        <w:fldChar w:fldCharType="begin"/>
      </w:r>
      <w:r w:rsidR="00631D11" w:rsidRPr="00606D67">
        <w:rPr>
          <w:color w:val="000000" w:themeColor="text1"/>
        </w:rPr>
        <w:instrText xml:space="preserve"> ADDIN ZOTERO_ITEM CSL_CITATION {"citationID":"58la4l4N","properties":{"formattedCitation":"(Lund et al., 2018)","plainCitation":"(Lund et al., 2018)","noteIndex":0},"citationItems":[{"id":1394,"uris":["http://zotero.org/users/5273986/items/NG2WJEIQ"],"itemData":{"id":1394,"type":"article-journal","abstract":"Mental health has been included in the UN Sustainable Development Goals. However, uncertainty exists about the extent to which the major social determinants of mental disorders are addressed by these goals. The aim of this study was to develop a conceptual framework for the social determinants of mental disorders that is aligned with the Sustainable Development Goals, to use this framework to systematically review evidence regarding these social determinants, and to identify potential mechanisms and targets for interventions. We did a systematic review of reviews using a conceptual framework comprising demographic, economic, neighbourhood, environmental events, and social and culture domains. We included 289 articles in the final Review. This study sheds new light on how the Sustainable Development Goals are relevant for addressing the social determinants of mental disorders, and how these goals could be optimised to prevent mental disorders.","container-title":"The Lancet Psychiatry","DOI":"10.1016/S2215-0366(18)30060-9","ISSN":"2215-0366","issue":"4","journalAbbreviation":"The Lancet Psychiatry","language":"en","page":"357-369","source":"ScienceDirect","title":"Social determinants of mental disorders and the Sustainable Development Goals: a systematic review of reviews","title-short":"Social determinants of mental disorders and the Sustainable Development Goals","volume":"5","author":[{"family":"Lund","given":"Crick"},{"family":"Brooke-Sumner","given":"Carrie"},{"family":"Baingana","given":"Florence"},{"family":"Baron","given":"Emily Claire"},{"family":"Breuer","given":"Erica"},{"family":"Chandra","given":"Prabha"},{"family":"Haushofer","given":"Johannes"},{"family":"Herrman","given":"Helen"},{"family":"Jordans","given":"Mark"},{"family":"Kieling","given":"Christian"},{"family":"Medina-Mora","given":"Maria Elena"},{"family":"Morgan","given":"Ellen"},{"family":"Omigbodun","given":"Olayinka"},{"family":"Tol","given":"Wietse"},{"family":"Patel","given":"Vikram"},{"family":"Saxena","given":"Shekhar"}],"issued":{"date-parts":[["2018",4,1]]}}}],"schema":"https://github.com/citation-style-language/schema/raw/master/csl-citation.json"} </w:instrText>
      </w:r>
      <w:r w:rsidR="00631D11" w:rsidRPr="00606D67">
        <w:rPr>
          <w:color w:val="000000" w:themeColor="text1"/>
        </w:rPr>
        <w:fldChar w:fldCharType="separate"/>
      </w:r>
      <w:r w:rsidR="00631D11" w:rsidRPr="00606D67">
        <w:rPr>
          <w:color w:val="000000" w:themeColor="text1"/>
        </w:rPr>
        <w:t>(Lund et al., 2018)</w:t>
      </w:r>
      <w:r w:rsidR="00631D11" w:rsidRPr="00606D67">
        <w:rPr>
          <w:color w:val="000000" w:themeColor="text1"/>
        </w:rPr>
        <w:fldChar w:fldCharType="end"/>
      </w:r>
      <w:r w:rsidRPr="00606D67">
        <w:rPr>
          <w:color w:val="000000" w:themeColor="text1"/>
        </w:rPr>
        <w:t xml:space="preserve">. The built environment was also reported as a significant determinant in several reviews </w:t>
      </w:r>
      <w:r w:rsidR="005E4208" w:rsidRPr="00606D67">
        <w:rPr>
          <w:color w:val="000000" w:themeColor="text1"/>
        </w:rPr>
        <w:fldChar w:fldCharType="begin"/>
      </w:r>
      <w:r w:rsidR="00017916" w:rsidRPr="00606D67">
        <w:rPr>
          <w:color w:val="000000" w:themeColor="text1"/>
        </w:rPr>
        <w:instrText xml:space="preserve"> ADDIN ZOTERO_ITEM CSL_CITATION {"citationID":"MuicmwgV","properties":{"formattedCitation":"(Lund et al., 2018; Remes et al., 2021; Yelton et al., 2022)","plainCitation":"(Lund et al., 2018; Remes et al., 2021; Yelton et al., 2022)","noteIndex":0},"citationItems":[{"id":1394,"uris":["http://zotero.org/users/5273986/items/NG2WJEIQ"],"itemData":{"id":1394,"type":"article-journal","abstract":"Mental health has been included in the UN Sustainable Development Goals. However, uncertainty exists about the extent to which the major social determinants of mental disorders are addressed by these goals. The aim of this study was to develop a conceptual framework for the social determinants of mental disorders that is aligned with the Sustainable Development Goals, to use this framework to systematically review evidence regarding these social determinants, and to identify potential mechanisms and targets for interventions. We did a systematic review of reviews using a conceptual framework comprising demographic, economic, neighbourhood, environmental events, and social and culture domains. We included 289 articles in the final Review. This study sheds new light on how the Sustainable Development Goals are relevant for addressing the social determinants of mental disorders, and how these goals could be optimised to prevent mental disorders.","container-title":"The Lancet Psychiatry","DOI":"10.1016/S2215-0366(18)30060-9","ISSN":"2215-0366","issue":"4","journalAbbreviation":"The Lancet Psychiatry","language":"en","page":"357-369","source":"ScienceDirect","title":"Social determinants of mental disorders and the Sustainable Development Goals: a systematic review of reviews","title-short":"Social determinants of mental disorders and the Sustainable Development Goals","volume":"5","author":[{"family":"Lund","given":"Crick"},{"family":"Brooke-Sumner","given":"Carrie"},{"family":"Baingana","given":"Florence"},{"family":"Baron","given":"Emily Claire"},{"family":"Breuer","given":"Erica"},{"family":"Chandra","given":"Prabha"},{"family":"Haushofer","given":"Johannes"},{"family":"Herrman","given":"Helen"},{"family":"Jordans","given":"Mark"},{"family":"Kieling","given":"Christian"},{"family":"Medina-Mora","given":"Maria Elena"},{"family":"Morgan","given":"Ellen"},{"family":"Omigbodun","given":"Olayinka"},{"family":"Tol","given":"Wietse"},{"family":"Patel","given":"Vikram"},{"family":"Saxena","given":"Shekhar"}],"issued":{"date-parts":[["2018",4,1]]}}},{"id":1603,"uris":["http://zotero.org/users/5273986/items/V6VXANRG"],"itemData":{"id":1603,"type":"article-journal","abstract":"Depression is one of the leading causes of disability, and, if left unmanaged, it can increase the risk for suicide. The evidence base on the determinants of depression is fragmented, which makes the interpretation of the results across studies difficult. The objective of this study is to conduct a thorough synthesis of the literature assessing the biological, psychological, and social determinants of depression in order to piece together the puzzle of the key factors that are related to this condition. Titles and abstracts published between 2017 and 2020 were identified in PubMed, as well as Medline, Scopus, and PsycInfo. Key words relating to biological, social, and psychological determinants as well as depression were applied to the databases, and the screening and data charting of the documents took place. We included 470 documents in this literature review. The findings showed that there are a plethora of risk and protective factors (relating to biological, psychological, and social determinants) that are related to depression; these determinants are interlinked and influence depression outcomes through a web of causation. In this paper, we describe and present the vast, fragmented, and complex literature related to this topic. This review may be used to guide practice, public health efforts, policy, and research related to mental health and, specifically, depression.","container-title":"Brain Sciences","DOI":"10.3390/brainsci11121633","issue":"12","title":"Biological, psychological, and social determinants of depression: A review of recent literature","URL":"https://www.embase.com/search/results?subaction=viewrecord&amp;id=L2015091637&amp;from=export","volume":"11","author":[{"family":"Remes","given":"O."},{"family":"Francisco","given":"J."},{"family":"Templeton","given":"P."}],"issued":{"date-parts":[["2021"]]}}},{"id":1614,"uris":["http://zotero.org/users/5273986/items/IA8HXAIF"],"itemData":{"id":1614,"type":"article-journal","abstract":"Depression in the United States (US) is increasing across all races and ethnicities and is attributed to multiple social determinants of health (SDOH). For members of historically marginalized races and ethnicities, depression is often underreported and undertreated, and can present as more severe. Limited research explores multiple SDOH and depression among African American adults in the US. Guided by Healthy People (HP) 2030, and using cross-disciplinary mental health terminology, we conducted a comprehensive search to capture studies specific to African American adults in the US published after 2016. We applied known scoping review methodology and followed Preferred Reporting Items for Systematic Reviews and Meta-Analyses extension for Scoping Reviews (PRISMA-ScR) guidelines. From 12,315 initial results, 60 studies were included in our final sample. Most studies explored the HP 2030 Social and Community Context domain, with a heavy focus on discrimination and social support; no studies examined Health Care Access and Quality. Researchers typically utilized cross-sectional, secondary datasets; no qualitative studies were included. We recommend research that comprehensively examines mental health risk and protective factors over the life course within, not just between, populations to inform tailored health promotion and public policy interventions for improving SDOH and reducing racial and ethnic health disparities.","archive_location":"35162519","container-title":"Int J Environ Res Public Health","DOI":"10.3390/ijerph19031498","issue":"3","title":"Social determinants of health and depression among African American Adults: A scoping review of current research","volume":"19","author":[{"family":"Yelton","given":"B."},{"family":"Friedman","given":"D. B."},{"family":"Noblet","given":"S."},{"family":"Lohman","given":"M. C."},{"family":"Arent","given":"M. A."},{"family":"Macauda","given":"M. M."},{"family":"Sakhuja","given":"M."},{"family":"Leith","given":"K. H."}],"issued":{"date-parts":[["2022"]]}}}],"schema":"https://github.com/citation-style-language/schema/raw/master/csl-citation.json"} </w:instrText>
      </w:r>
      <w:r w:rsidR="005E4208" w:rsidRPr="00606D67">
        <w:rPr>
          <w:color w:val="000000" w:themeColor="text1"/>
        </w:rPr>
        <w:fldChar w:fldCharType="separate"/>
      </w:r>
      <w:r w:rsidR="005E4208" w:rsidRPr="00606D67">
        <w:rPr>
          <w:color w:val="000000" w:themeColor="text1"/>
        </w:rPr>
        <w:t>(Lund et al., 2018; Remes et al., 2021; Yelton et al., 2022)</w:t>
      </w:r>
      <w:r w:rsidR="005E4208" w:rsidRPr="00606D67">
        <w:rPr>
          <w:color w:val="000000" w:themeColor="text1"/>
        </w:rPr>
        <w:fldChar w:fldCharType="end"/>
      </w:r>
      <w:r w:rsidRPr="00606D67">
        <w:rPr>
          <w:color w:val="000000" w:themeColor="text1"/>
        </w:rPr>
        <w:t xml:space="preserve">. Both living alone and living with family were strongly associated with depression </w:t>
      </w:r>
      <w:r w:rsidR="007F6E90" w:rsidRPr="00606D67">
        <w:rPr>
          <w:color w:val="000000" w:themeColor="text1"/>
        </w:rPr>
        <w:t>among</w:t>
      </w:r>
      <w:r w:rsidRPr="00606D67">
        <w:rPr>
          <w:color w:val="000000" w:themeColor="text1"/>
        </w:rPr>
        <w:t xml:space="preserve"> older adults </w:t>
      </w:r>
      <w:r w:rsidR="00D12A83" w:rsidRPr="00606D67">
        <w:rPr>
          <w:color w:val="000000" w:themeColor="text1"/>
        </w:rPr>
        <w:fldChar w:fldCharType="begin"/>
      </w:r>
      <w:r w:rsidR="00D12A83" w:rsidRPr="00606D67">
        <w:rPr>
          <w:color w:val="000000" w:themeColor="text1"/>
        </w:rPr>
        <w:instrText xml:space="preserve"> ADDIN ZOTERO_ITEM CSL_CITATION {"citationID":"3IiprGpH","properties":{"formattedCitation":"(Zenebe et al., 2021)","plainCitation":"(Zenebe et al., 2021)","noteIndex":0},"citationItems":[{"id":1615,"uris":["http://zotero.org/users/5273986/items/JF6CT7ED"],"itemData":{"id":1615,"type":"article-journal","abstract":"Background: Depression is a leading cause of disability worldwide and is a major contributor to the overall global burden of disease. It is also one of the most common geriatric psychiatric disorders and a major risk factor for disability and mortality in elderly patients. Even though depression is a common mental health problem in the elderly population, it is undiagnosed in half of the cases. Several studies showed different and inconsistent prevalence rates in the world. Hence, this study aimed to fill the above gap by producing an average prevalence of depression and associated factors in old age. Objective: This study aims to conduct a systematic review and meta-analysis to provide a precise estimate of the prevalence of depression and its determinants among old age. Method: A comprehensive search of PubMed, Scopus, Web of sciences, Google Scholar, and Psych-info from database inception to January 2020. Moreover, the reference list of selected articles was looked at manually to have further eligible articles. The random-effects model was employed during the analysis. Stata-11 was used to determine the average prevalence of depression among old age. A sub-group analysis and sensitivity analysis were also run. A graphical inspection of the funnel plots and Egger’s publication bias plot test were checked for the occurrence of publication bias. Result: A search of the electronic and manual system resulted in 1263 articles. Nevertheless, after the huge screening, 42 relevant studies were identified, including, for this meta-analysis, n = 57,486 elderly populations. The average expected prevalence of depression among old age was 31.74% (95% CI 27.90, 35.59). In the sub-group analysis, the pooled prevalence was higher among developing countries; 40.78% than developed countries; 17.05%), studies utilized Geriatrics Depression Scale-30(GDS-30); 40.60% than studies that used GMS; 18.85%, study instrument, and studies having a lower sample size (40.12%) than studies with the higher sample; 20.19%. Conclusion: A high prevalence rate of depression among the old population in the world was unraveled. This study can be considered as an early warning and advised health professionals, health policymakers, and other pertinent stakeholders to take effective control measures and periodic care for the elderly population.","container-title":"Annals of General Psychiatry","DOI":"10.1186/s12991-021-00375-x","issue":"1","title":"Prevalence and determinants of depression among old age: a systematic review and meta-analysis","URL":"https://www.embase.com/search/results?subaction=viewrecord&amp;id=L2014495283&amp;from=export","volume":"20","author":[{"family":"Zenebe","given":"Y."},{"family":"Akele","given":"B."},{"family":"W/Selassie","given":"M."},{"family":"Necho","given":"M."}],"issued":{"date-parts":[["2021"]]}}}],"schema":"https://github.com/citation-style-language/schema/raw/master/csl-citation.json"} </w:instrText>
      </w:r>
      <w:r w:rsidR="00D12A83" w:rsidRPr="00606D67">
        <w:rPr>
          <w:color w:val="000000" w:themeColor="text1"/>
        </w:rPr>
        <w:fldChar w:fldCharType="separate"/>
      </w:r>
      <w:r w:rsidR="00D12A83" w:rsidRPr="00606D67">
        <w:rPr>
          <w:color w:val="000000" w:themeColor="text1"/>
        </w:rPr>
        <w:t>(Zenebe et al., 2021)</w:t>
      </w:r>
      <w:r w:rsidR="00D12A83" w:rsidRPr="00606D67">
        <w:rPr>
          <w:color w:val="000000" w:themeColor="text1"/>
        </w:rPr>
        <w:fldChar w:fldCharType="end"/>
      </w:r>
      <w:r w:rsidRPr="00606D67">
        <w:rPr>
          <w:color w:val="000000" w:themeColor="text1"/>
        </w:rPr>
        <w:t xml:space="preserve">. For people from refugee and asylum seeking backgrounds, physical aspects of housing were consistently linked to negative mental health outcomes. This included insecure tenure and mobility, housing condition, discrimination and accessing housing; </w:t>
      </w:r>
      <w:r w:rsidRPr="00606D67">
        <w:rPr>
          <w:color w:val="000000" w:themeColor="text1"/>
        </w:rPr>
        <w:lastRenderedPageBreak/>
        <w:t xml:space="preserve">overcrowding and a sense of safety and social connections </w:t>
      </w:r>
      <w:r w:rsidR="00D12A83" w:rsidRPr="00606D67">
        <w:rPr>
          <w:color w:val="000000" w:themeColor="text1"/>
        </w:rPr>
        <w:fldChar w:fldCharType="begin"/>
      </w:r>
      <w:r w:rsidR="00D12A83" w:rsidRPr="00606D67">
        <w:rPr>
          <w:color w:val="000000" w:themeColor="text1"/>
        </w:rPr>
        <w:instrText xml:space="preserve"> ADDIN ZOTERO_ITEM CSL_CITATION {"citationID":"9UDOa46a","properties":{"formattedCitation":"(Ziersch &amp; Due, 2018)","plainCitation":"(Ziersch &amp; Due, 2018)","noteIndex":0},"citationItems":[{"id":1616,"uris":["http://zotero.org/users/5273986/items/HVQH7TP3"],"itemData":{"id":1616,"type":"article-journal","abstract":"Housing is an important social determinant of health and a key element of refugee integration into countries of resettlement. However, the way in which housing may affect mental and physical health for refugees and asylum seekers has not been systematically examined. This systematic review aimed to explore the effects of housing on health and wellbeing for this population, in order to identify key pathways for public health interventions. The review was undertaken following the Preferred Reporting Items for Systematic Reviews and Meta-Analyses (PRISMA) and Social Care Institute for Excellence (SCIE) guidelines. We identified publications through a search of Medline, PsychInfo, Scopus, Web of Science, Embase, CINAHL, Cohrane Library, Google, ProQuest, OpenGrey, MedNar and WHOLIS. Eligibility criteria included: publication in English between 1997 and 2017, with findings pertaining to the relationship between housing and health for refugees and/or asylum seekers. Out of 2371 items, 25 papers were included with a further five identified through reference lists. Eleven of the papers explored housing and health for those refugees and asylum seekers living within refugee camps, with 19 focusing on countries of resettlement. All studies identified housing issues for refugees and asylum seekers, with physical housing conditions particularly poor in refugee camps, and issues of affordability, suitability, insecure tenure and mobility as well as difficulties securing housing also highlighted in countries of resettlement. Consistent relationships were found between physical aspects of housing and physical and mental health, with other aspects of housing such as safety and overcrowding linked to mental health. There were a number of methodological issues with most of the studies, making it difficult to specify precise pathways. However, improvements to housing quality particularly in refugee camps, and targeted housing interventions more generally for refugees and asylum seekers would likely have an important public health benefit. (PsycInfo Database Record (c) 2020 APA, all rights reserved) (Source: journal abstract)","archive_location":"2387757405; 2018-44187-023","container-title":"Social Science &amp; Medicine","DOI":"10.1016/j.socscimed.2018.07.045","page":"199-219","title":"A mixed methods systematic review of studies examining the relationship between housing and health for people from refugee and asylum seeking backgrounds","volume":"213","author":[{"family":"Ziersch","given":"Anna"},{"family":"Due","given":"Clemence"}],"issued":{"date-parts":[["2018"]]}}}],"schema":"https://github.com/citation-style-language/schema/raw/master/csl-citation.json"} </w:instrText>
      </w:r>
      <w:r w:rsidR="00D12A83" w:rsidRPr="00606D67">
        <w:rPr>
          <w:color w:val="000000" w:themeColor="text1"/>
        </w:rPr>
        <w:fldChar w:fldCharType="separate"/>
      </w:r>
      <w:r w:rsidR="00D12A83" w:rsidRPr="00606D67">
        <w:rPr>
          <w:color w:val="000000" w:themeColor="text1"/>
        </w:rPr>
        <w:t>(Ziersch &amp; Due, 2018)</w:t>
      </w:r>
      <w:r w:rsidR="00D12A83" w:rsidRPr="00606D67">
        <w:rPr>
          <w:color w:val="000000" w:themeColor="text1"/>
        </w:rPr>
        <w:fldChar w:fldCharType="end"/>
      </w:r>
      <w:r w:rsidRPr="00606D67">
        <w:rPr>
          <w:color w:val="000000" w:themeColor="text1"/>
        </w:rPr>
        <w:t xml:space="preserve">. The threat of home eviction (i.e., being subject to foreclosure or being in high foreclosure activity areas) increased the likelihood of anxiety, depression, psychological distress and suicide, and negatively impacted quality of life </w:t>
      </w:r>
      <w:r w:rsidR="004E1607" w:rsidRPr="00606D67">
        <w:rPr>
          <w:color w:val="000000" w:themeColor="text1"/>
        </w:rPr>
        <w:fldChar w:fldCharType="begin"/>
      </w:r>
      <w:r w:rsidR="004E1607" w:rsidRPr="00606D67">
        <w:rPr>
          <w:color w:val="000000" w:themeColor="text1"/>
        </w:rPr>
        <w:instrText xml:space="preserve"> ADDIN ZOTERO_ITEM CSL_CITATION {"citationID":"nu4oAS8Z","properties":{"formattedCitation":"(V\\uc0\\u225{}squez-Vera et al., 2017)","plainCitation":"(Vásquez-Vera et al., 2017)","noteIndex":0},"citationItems":[{"id":1609,"uris":["http://zotero.org/users/5273986/items/6E9FCP2Q"],"itemData":{"id":1609,"type":"article-journal","abstract":"The aims of this review are to gather and systematize the currently available evidence on the effect of the threat of eviction on health and its eventual spillover effects, to assess the quality of the selected studies, and to describe how these findings vary with respect to dimensions of social inequity. We conducted a literature search in March 2016, which yielded 2208 unduplicated articles. The title, abstract and full text of these articles were reviewed by three independent pairs of researchers. We performed a quality assessment of each article, and evaluated whether health inequities had been considered. We selected 47 articles for this review, of which 86% were from Anglo-Saxon countries (mainly the US), and 75% were published after 2009. Most studies used either a cross-sectional (32%), cohort (28%), or qualitative (17%) design. The majority (55%) assessed mental health as a key health indicator, and a notable proportion assessed physical health (38%) and health-related behaviours (19%). Many of the studies evaluated more than one of these health indicators. The average quality score was 7.4 (SD = 1.5). Evidence from these selected articles revealed a general consensus that individuals under threat of eviction present negative health outcomes, both mental (e.g. depression, anxiety, psychological distress, and suicides) and physical (poor self-reported health, high blood pressure and child maltreatment). However, the distribution and extent of these outcomes depend on inequity dimensions such as gender, age, ethnicity and territory. Furthermore, qualitative studies highlighted some of the pathways that may connect the threat of eviction with its health outcomes. The threat of eviction will likely continue to be a major issue in the coming years, so it is important to conduct further research to create effective interventions and courageous policies to tackle this problem.","archive_location":"28107704","container-title":"Soc Sci Med","DOI":"10.1016/j.socscimed.2017.01.010","page":"199-208","title":"The threat of home eviction and its effects on health through the equity lens: A systematic review","volume":"175","author":[{"family":"Vásquez-Vera","given":"H."},{"family":"Palència","given":"L."},{"family":"Magna","given":"I."},{"family":"Mena","given":"C."},{"family":"Neira","given":"J."},{"family":"Borrell","given":"C."}],"issued":{"date-parts":[["2017"]]}}}],"schema":"https://github.com/citation-style-language/schema/raw/master/csl-citation.json"} </w:instrText>
      </w:r>
      <w:r w:rsidR="004E1607" w:rsidRPr="00606D67">
        <w:rPr>
          <w:color w:val="000000" w:themeColor="text1"/>
        </w:rPr>
        <w:fldChar w:fldCharType="separate"/>
      </w:r>
      <w:r w:rsidR="004E1607" w:rsidRPr="00606D67">
        <w:rPr>
          <w:color w:val="000000" w:themeColor="text1"/>
        </w:rPr>
        <w:t>(Vásquez-Vera et al., 2017)</w:t>
      </w:r>
      <w:r w:rsidR="004E1607" w:rsidRPr="00606D67">
        <w:rPr>
          <w:color w:val="000000" w:themeColor="text1"/>
        </w:rPr>
        <w:fldChar w:fldCharType="end"/>
      </w:r>
      <w:r w:rsidRPr="00606D67">
        <w:rPr>
          <w:color w:val="000000" w:themeColor="text1"/>
        </w:rPr>
        <w:t xml:space="preserve">. There was a potential relationship between communal living arrangements and positive mental health, though included studies were largely of low quality </w:t>
      </w:r>
      <w:r w:rsidR="00520DAF" w:rsidRPr="00606D67">
        <w:rPr>
          <w:color w:val="000000" w:themeColor="text1"/>
        </w:rPr>
        <w:fldChar w:fldCharType="begin"/>
      </w:r>
      <w:r w:rsidR="00520DAF" w:rsidRPr="00606D67">
        <w:rPr>
          <w:color w:val="000000" w:themeColor="text1"/>
        </w:rPr>
        <w:instrText xml:space="preserve"> ADDIN ZOTERO_ITEM CSL_CITATION {"citationID":"AHrSuJTK","properties":{"formattedCitation":"(Carrere et al., 2020)","plainCitation":"(Carrere et al., 2020)","noteIndex":0},"citationItems":[{"id":1582,"uris":["http://zotero.org/users/5273986/items/CAIQ938G"],"itemData":{"id":1582,"type":"article-journal","abstract":"Background: Housing is a social determinant of health. Extensive research has highlighted its adverse effects on health. However, less is known about the effects of cohousing typology on health, which has the potential to create lively social networks and healthy communities and environments. We report the findings of a scoping study designed to gather and synthesise all known evidence on the relationship between cohousing and wellbeing and health. Method: Using the scoping review method, we conducted a literature review in PubMed, ProQuest, Scopus, Web of Science, Science Direct and JSTOR in May 2019 and selected articles published from 1960 onwards, with no geographical limit and no design restrictions. Retrieved articles underwent three sequential screening phases. The results were described through a narrative synthesis of the evidence. Results: Of the 2560 articles identified, we selected 25 full-Text articles analysing 77 experiences. All of them were conducted in high-income countries. Ten studies analysed the impact of cohousing on physical and mental health or quality of life and wellbeing. Eight of the 10 studies found a positive association. In addition, 22 studies analysed one or more psychosocial determinants of health (such as social support, sense of community and physical, emotional and economic security) and most found a positive association. Through these determinants, quality of life, wellbeing and health could be improved. However, the quality of the evidence was low. Discussion: The cohousing model could enhance health and wellbeing mediated by psychosocial determinants of health. However, extreme caution should be exercised in drawing any conclusions due to the dearth of data identified and the designs used in the included studies, with most being cross-sectional or qualitative studies, which precluded causal-based interpretations. Because housing is a major social determinant of health, more evidence is needed on the impact of this model on health through both psychosocial and material pathways.","container-title":"Public Health Reviews","DOI":"10.1186/s40985-020-00138-1","issue":"1","title":"The effects of cohousing model on people's health and wellbeing: A scoping review","URL":"https://www.embase.com/search/results?subaction=viewrecord&amp;id=L633027802&amp;from=export","volume":"41","author":[{"family":"Carrere","given":"J."},{"family":"Reyes","given":"A."},{"family":"Oliveras","given":"L."},{"family":"Fernández","given":"A."},{"family":"Peralta","given":"A."},{"family":"Novoa","given":"A. M."},{"family":"Pérez","given":"K."},{"family":"Borrell","given":"C."}],"issued":{"date-parts":[["2020"]]}}}],"schema":"https://github.com/citation-style-language/schema/raw/master/csl-citation.json"} </w:instrText>
      </w:r>
      <w:r w:rsidR="00520DAF" w:rsidRPr="00606D67">
        <w:rPr>
          <w:color w:val="000000" w:themeColor="text1"/>
        </w:rPr>
        <w:fldChar w:fldCharType="separate"/>
      </w:r>
      <w:r w:rsidR="00520DAF" w:rsidRPr="00606D67">
        <w:rPr>
          <w:color w:val="000000" w:themeColor="text1"/>
        </w:rPr>
        <w:t>(Carrere et al., 2020)</w:t>
      </w:r>
      <w:r w:rsidR="00520DAF" w:rsidRPr="00606D67">
        <w:rPr>
          <w:color w:val="000000" w:themeColor="text1"/>
        </w:rPr>
        <w:fldChar w:fldCharType="end"/>
      </w:r>
      <w:r w:rsidRPr="00606D67">
        <w:rPr>
          <w:color w:val="000000" w:themeColor="text1"/>
        </w:rPr>
        <w:t xml:space="preserve">. Finally, in urban populations, exposure to trees or forest environments was shown to improve mental health </w:t>
      </w:r>
      <w:r w:rsidR="00961B46" w:rsidRPr="00606D67">
        <w:rPr>
          <w:color w:val="000000" w:themeColor="text1"/>
        </w:rPr>
        <w:fldChar w:fldCharType="begin"/>
      </w:r>
      <w:r w:rsidR="002068BA" w:rsidRPr="00606D67">
        <w:rPr>
          <w:color w:val="000000" w:themeColor="text1"/>
        </w:rPr>
        <w:instrText xml:space="preserve"> ADDIN ZOTERO_ITEM CSL_CITATION {"citationID":"0SyIqWVO","properties":{"formattedCitation":"(Wolf et al., 2020)","plainCitation":"(Wolf et al., 2020)","noteIndex":0},"citationItems":[{"id":1611,"uris":["http://zotero.org/users/5273986/items/LIIR8ZT2"],"itemData":{"id":1611,"type":"article-journal","abstract":"The urban forest is a green infrastructure system that delivers multiple environmental, economic, social and health services, and functions in cities. Environmental benefits of urban trees are well understood, but no review to date has examined how urban trees affect human health. This review provides a comprehensive summary of existing literature on the health impacts of urban trees that can inform future research, policy, and nature-based public health interventions. A systematic search used keywords representing human health, environmental health, and urban forestry. Following screening and appraisal of several thousand articles, 201 studies were conceptually sorted into a three-part framework. Reducing Harm, representing 41% of studies, includes topics such as air pollution, ultraviolet radiation, heat exposure, and pollen. Restoring Capacities, at 31%, includes attention restoration, mental health, stress reduction, and clinical outcomes. Building Capacities, at 28%, includes topics such as birth outcomes, active living, and weight status. The studies that were reviewed show substantial heterogeneity in purpose and method yet indicate important health outcomes associated with people's exposure to trees. This review will help inform future research and practice, and demonstrates why urban forest planning and management should strategically promote trees as a social determinant of public health.","archive_location":"32570770","container-title":"Int J Environ Res Public Health","DOI":"10.3390/ijerph17124371","issue":"12","title":"Urban trees and human health: A scoping review","volume":"17","author":[{"family":"Wolf","given":"K. L."},{"family":"Lam","given":"S. T."},{"family":"McKeen","given":"J. K."},{"family":"Richardson","given":"G. R. A."},{"family":"Bosch","given":"M.","non-dropping-particle":"van den"},{"family":"Bardekjian","given":"A. C."}],"issued":{"date-parts":[["2020"]]}}}],"schema":"https://github.com/citation-style-language/schema/raw/master/csl-citation.json"} </w:instrText>
      </w:r>
      <w:r w:rsidR="00961B46" w:rsidRPr="00606D67">
        <w:rPr>
          <w:color w:val="000000" w:themeColor="text1"/>
        </w:rPr>
        <w:fldChar w:fldCharType="separate"/>
      </w:r>
      <w:r w:rsidR="00961B46" w:rsidRPr="00606D67">
        <w:rPr>
          <w:color w:val="000000" w:themeColor="text1"/>
        </w:rPr>
        <w:t>(Wolf et al., 2020)</w:t>
      </w:r>
      <w:r w:rsidR="00961B46" w:rsidRPr="00606D67">
        <w:rPr>
          <w:color w:val="000000" w:themeColor="text1"/>
        </w:rPr>
        <w:fldChar w:fldCharType="end"/>
      </w:r>
      <w:r w:rsidRPr="00606D67">
        <w:rPr>
          <w:color w:val="000000" w:themeColor="text1"/>
        </w:rPr>
        <w:t>.</w:t>
      </w:r>
    </w:p>
    <w:p w14:paraId="545E26FD" w14:textId="050C5478" w:rsidR="00B10734" w:rsidRPr="00606D67" w:rsidRDefault="00AA4926" w:rsidP="00C51BD1">
      <w:pPr>
        <w:pStyle w:val="Heading2"/>
        <w:rPr>
          <w:color w:val="000000" w:themeColor="text1"/>
        </w:rPr>
      </w:pPr>
      <w:r w:rsidRPr="00606D67">
        <w:rPr>
          <w:color w:val="000000" w:themeColor="text1"/>
        </w:rPr>
        <w:t xml:space="preserve">Demographic Factors </w:t>
      </w:r>
    </w:p>
    <w:p w14:paraId="34CE8C00" w14:textId="24960E3A" w:rsidR="007318AE" w:rsidRPr="00606D67" w:rsidRDefault="00BF6AD9" w:rsidP="00E113C6">
      <w:pPr>
        <w:rPr>
          <w:color w:val="000000" w:themeColor="text1"/>
        </w:rPr>
      </w:pPr>
      <w:r w:rsidRPr="00606D67">
        <w:rPr>
          <w:color w:val="000000" w:themeColor="text1"/>
        </w:rPr>
        <w:t xml:space="preserve">A range of other demographic factors were identified as both primary and secondary determinants of mental illness. </w:t>
      </w:r>
      <w:r w:rsidR="008637A4" w:rsidRPr="00606D67">
        <w:rPr>
          <w:color w:val="000000" w:themeColor="text1"/>
        </w:rPr>
        <w:t>Several of the included reviews identified that</w:t>
      </w:r>
      <w:r w:rsidR="000318CF" w:rsidRPr="00606D67">
        <w:rPr>
          <w:color w:val="000000" w:themeColor="text1"/>
        </w:rPr>
        <w:t xml:space="preserve"> in comparison to men,</w:t>
      </w:r>
      <w:r w:rsidR="008637A4" w:rsidRPr="00606D67">
        <w:rPr>
          <w:color w:val="000000" w:themeColor="text1"/>
        </w:rPr>
        <w:t xml:space="preserve"> </w:t>
      </w:r>
      <w:r w:rsidR="00B374DE" w:rsidRPr="00606D67">
        <w:rPr>
          <w:color w:val="000000" w:themeColor="text1"/>
        </w:rPr>
        <w:t xml:space="preserve">women were impacted more by </w:t>
      </w:r>
      <w:r w:rsidR="000318CF" w:rsidRPr="00606D67">
        <w:rPr>
          <w:color w:val="000000" w:themeColor="text1"/>
        </w:rPr>
        <w:t>certain</w:t>
      </w:r>
      <w:r w:rsidR="00B374DE" w:rsidRPr="00606D67">
        <w:rPr>
          <w:color w:val="000000" w:themeColor="text1"/>
        </w:rPr>
        <w:t xml:space="preserve"> determinants</w:t>
      </w:r>
      <w:r w:rsidR="00455236" w:rsidRPr="00606D67">
        <w:rPr>
          <w:color w:val="000000" w:themeColor="text1"/>
        </w:rPr>
        <w:t>, such as being displaced</w:t>
      </w:r>
      <w:r w:rsidR="000318CF" w:rsidRPr="00606D67">
        <w:rPr>
          <w:color w:val="000000" w:themeColor="text1"/>
        </w:rPr>
        <w:t xml:space="preserve">, </w:t>
      </w:r>
      <w:r w:rsidR="009B0DA1" w:rsidRPr="00606D67">
        <w:rPr>
          <w:color w:val="000000" w:themeColor="text1"/>
        </w:rPr>
        <w:t>experiencing protests riots or revolutions,</w:t>
      </w:r>
      <w:r w:rsidR="00455236" w:rsidRPr="00606D67">
        <w:rPr>
          <w:color w:val="000000" w:themeColor="text1"/>
        </w:rPr>
        <w:t xml:space="preserve"> or experiencing quarantine</w:t>
      </w:r>
      <w:r w:rsidR="00B374DE" w:rsidRPr="00606D67">
        <w:rPr>
          <w:color w:val="000000" w:themeColor="text1"/>
        </w:rPr>
        <w:t xml:space="preserve"> </w:t>
      </w:r>
      <w:r w:rsidR="003A02B1" w:rsidRPr="00606D67">
        <w:rPr>
          <w:color w:val="000000" w:themeColor="text1"/>
        </w:rPr>
        <w:fldChar w:fldCharType="begin"/>
      </w:r>
      <w:r w:rsidR="003F2042" w:rsidRPr="00606D67">
        <w:rPr>
          <w:color w:val="000000" w:themeColor="text1"/>
        </w:rPr>
        <w:instrText xml:space="preserve"> ADDIN ZOTERO_ITEM CSL_CITATION {"citationID":"V7pzjjDD","properties":{"formattedCitation":"(Bedaso &amp; Duko, 2022; Chekole &amp; Abate, 2021; Henssler et al., 2021; Ni et al., 2020; Santomauro et al., 2021)","plainCitation":"(Bedaso &amp; Duko, 2022; Chekole &amp; Abate, 2021; Henssler et al., 2021; Ni et al., 2020; Santomauro et al., 2021)","noteIndex":0},"citationItems":[{"id":1577,"uris":["http://zotero.org/users/5273986/items/ZNWAG2JR"],"itemData":{"id":1577,"type":"article-journal","abstract":"INTRODUCTION: Displaced people are prone to develop mental health problems due to resettlement in new environments, traumatic events and forced migration. Depression is a mental health problem repeatedly observed among displaced people such as refugees, migrants, asylum seekers and internally displaced persons (IDPs). Therefore, estimating the global pooled prevalence of depression as well as pinpointing its determinants may support policymakers and health care workers to mitigate the disease burden and improve the psychological well-being of displaced people. METHODS: PubMed, EMBASE, CINAHIL, Psych-INFO, and SCOPUS databases were searched for English written relevant observational studies conducted between 1984 and 2020. The methodological quality of studies was assessed using the Newcastle Ottawa Scale (NOS). Heterogeneity across studies was checked using the Q- and I(2) test. Publication bias was checked by observing Funnel plot symmetry and using Egger's regression test. STATA 16 was used to combine studies using a random effect model. RESULTS: Of the 4102 studies identified, 81 studies with an overall sample size of 53,458 were included in the current systematic review and meta-analysis. The pooled prevalence estimate of depression among displaced people was 26.4% (95% CI; 22.2-31.1). Also, three in five IDPs, one in three refugees and asylum seekers and one in four migrants suffer from depression globally. Being female migrant [AOR: 2.46 95% CI: 1.79-3.13, I(2)=34.5%), non-partnered marital status [AOR: 2.29, 95% CI: 1.29-3.30, I(2)= 0.00%], and perceived low social support [AOR: 1.76, 95% CI: 1.00-2.52, I(2)=34.6%] were significant determinants of depression among displaced people. CONCLUSION: Overall, around 1 in 4 displaced people suffer from depression and exceed the prevalence of depression reported by community samples in different nations and demonstrate a need for culturally fitting and targeted responses from migrant/refugee host nations and their serving clinicians.","archive_location":"35316692","container-title":"Psychiatry Res","DOI":"10.1016/j.psychres.2022.114493","page":"114493","title":"Epidemiology of depression among displaced people: A systematic review and meta-analysis","volume":"311","author":[{"family":"Bedaso","given":"A."},{"family":"Duko","given":"B."}],"issued":{"date-parts":[["2022"]]}}},{"id":1583,"uris":["http://zotero.org/users/5273986/items/86SFZXN7"],"itemData":{"id":1583,"type":"article-journal","abstract":"Background: Coronavirus Disease 2019 (COVID-19) has infected more than 5 million and lost the lives of more than 300 thousand people globally. It is the first-ever deadly pandemic with a significant degree of fear, worry and concern in the population at large. Therefore, this Meta-Analysis aims to assess the global prevalence and determinants of mental health disorders. Methods: A three-stage search strategy was conducted on PubMed/Medline, Science direct LILACS and PsycINFO databases. The Heterogeneity among the included studies was checked with forest plot, χ2 test, I2 test, and the p-values. Publication bias was checked with a funnel plot and the objective diagnostic test was conducted with Egger's correlation, Begg's regression tests, and Trim and fill method. Results: The Meta-Analysis revealed that the pooled prevalence of anxiety and depression 33.59% (95% confidence interval (CI): 27.21 to 39.97, 30 studies, 88,543 participants) and 29.98% (95% confidence interval (CI): 25.32 to 34.64, 25 studies, 78,191 participants) respectively. Conclusion: The review revealed that more than thirty percent of patients developed anxiety and depression during COVID-19 Pandemic. This presages the health care stakeholders to prevent and intervene in mental health disorders. Registration: This review was registered in Prospero international prospective register of systematic reviews (CRD42020183146).","container-title":"Annals of Medicine and Surgery","DOI":"10.1016/j.amsu.2021.102634","title":"Global prevalence and determinants of mental health disorders during the COVID-19 pandemic: A systematic review and meta-analysis","URL":"https://www.embase.com/search/results?subaction=viewrecord&amp;id=L2013801371&amp;from=export","volume":"68","author":[{"family":"Chekole","given":"Y. A."},{"family":"Abate","given":"S. M."}],"issued":{"date-parts":[["2021"]]}},"label":"page"},{"id":1587,"uris":["http://zotero.org/users/5273986/items/Q8DTKIPQ"],"itemData":{"id":1587,"type":"article-journal","abstract":"Due to the ongoing COVID-19 pandemic, an unprecedented number of people worldwide is currently affected by quarantine or isolation. These measures have been suggested to negatively impact on mental health. We conducted the first systematic literature review and meta-analysis assessing the psychological effects in both quarantined and isolated persons compared to non-quarantined and non-isolated persons. PubMed, PsycINFO, and Embase databases were searched for studies until April 22, 2020 (Prospero Registration-No.: CRD42020180043). We followed PRISMA and MOOSE guidelines for data extraction and synthesis and the Newcastle–Ottawa Scale for assessing risk of bias of included studies. A random-effects model was implemented to pool effect sizes of included studies. The primary outcomes were depression, anxiety, and stress-related disorders. All other psychological parameters, such as anger, were reported as secondary outcomes. Out of 6807 screened articles, 25 studies were included in our analyses. Compared to controls, individuals experiencing isolation or quarantine were at increased risk for adverse mental health outcomes, particularly after containment duration of 1 week or longer. Effect sizes were summarized for depressive disorders (odds ratio 2.795; 95% CI 1.467–5.324), anxiety disorders (odds ratio 2.0; 95% CI 0.883–4.527), and stress-related disorders (odds ratio 2.742; 95% CI 1.496–5.027). Among secondary outcomes, elevated levels of anger were reported most consistently. There is compelling evidence for adverse mental health effects of isolation and quarantine, in particular depression, anxiety, stress-related disorders, and anger. Reported determinants can help identify populations at risk and our findings may serve as an evidence-base for prevention and management strategies. (PsycInfo Database Record (c) 2021 APA, all rights reserved) (Source: journal abstract)","archive_location":"2449237198; 2020-75480-001","container-title":"European Archives of Psychiatry and Clinical Neuroscience","DOI":"10.1007/s00406-020-01196-x","issue":"2","page":"223-234","title":"Mental health effects of infection containment strategies: Quarantine and isolation—A systematic review and meta-analysis","volume":"271","author":[{"family":"Henssler","given":"Jonathan"},{"family":"Stock","given":"Friederike"},{"family":"Bohemen","given":"Joris","non-dropping-particle":"van"},{"family":"Walter","given":"Henrik"},{"family":"Heinz","given":"Andreas"},{"family":"Brandt","given":"Lasse"}],"issued":{"date-parts":[["2021"]]}}},{"id":1598,"uris":["http://zotero.org/users/5273986/items/RL53BLXE"],"itemData":{"id":1598,"type":"article-journal","abstract":"OBJECTIVES: Protests, riots and revolutions have long been a part of human history and are increasing globally, yet their impact on mental health remains largely unknown. We therefore systematically reviewed studies on collective actions and mental health. METHOD: We searched PubMed, Web of Science, PsycINFO and CINAHL Plus for published studies from their inception until 1 January 2018. Study quality was rated using the Newcastle-Ottawa Scale. RESULTS: We identified 52 studies (n = 57,487 participants) from 20 countries/regions. The prevalence of post-traumatic stress disorder ranged from 4% to 41% in riot-affected areas. Following a major protest, the prevalence of probable major depression increased by 7%, regardless of personal involvement in the protests, suggestive of community spillover effects. Risk factors for poorer mental health included female sex, lower socioeconomic status, exposure to violence, interpersonal conflicts, frequent social media use and lower resilience and social support. Nevertheless, two studies suggested that collective actions may reduce depression and suicide, possibly due to a collective cathartic experience and greater social cohesion within subpopulations. CONCLUSION: We present the first systematic review of collective actions and mental health, showing compelling evidence that protests even when nonviolent can be associated with adverse mental health outcomes. Health care professionals therefore need to be vigilant to the mental and psychological sequelae of protests, riots and revolutions. Further research on this emerging sociopolitical determinant of mental health is warranted.","archive_location":"31989834","container-title":"Aust N Z J Psychiatry","DOI":"10.1177/0004867419899165","issue":"3","page":"232-243","title":"Mental health during and after protests, riots and revolutions: A systematic review","volume":"54","author":[{"family":"Ni","given":"M. Y."},{"family":"Kim","given":"Y."},{"family":"McDowell","given":"I."},{"family":"Wong","given":"S."},{"family":"Qiu","given":"H."},{"family":"Wong","given":"I. O."},{"family":"Galea","given":"S."},{"family":"Leung","given":"G. M."}],"issued":{"date-parts":[["2020"]]}}},{"id":1621,"uris":["http://zotero.org/users/5273986/items/E8YVBM6K"],"itemData":{"id":1621,"type":"article-journal","abstract":"Background\nBefore 2020, mental disorders were leading causes of the global health-related burden, with depressive and anxiety disorders being leading contributors to this burden. The emergence of the COVID-19 pandemic has created an environment where many determinants of poor mental health are exacerbated. The need for up-to-date information on the mental health impacts of COVID-19 in a way that informs health system responses is imperative. In this study, we aimed to quantify the impact of the COVID-19 pandemic on the prevalence and burden of major depressive disorder and anxiety disorders globally in 2020.\nMethods\nWe conducted a systematic review of data reporting the prevalence of major depressive disorder and anxiety disorders during the COVID-19 pandemic and published between Jan 1, 2020, and Jan 29, 2021. We searched PubMed, Google Scholar, preprint servers, grey literature sources, and consulted experts. Eligible studies reported prevalence of depressive or anxiety disorders that were representative of the general population during the COVID-19 pandemic and had a pre-pandemic baseline. We used the assembled data in a meta-regression to estimate change in the prevalence of major depressive disorder and anxiety disorders between pre-pandemic and mid-pandemic (using periods as defined by each study) via COVID-19 impact indicators (human mobility, daily SARS-CoV-2 infection rate, and daily excess mortality rate). We then used this model to estimate the change from pre-pandemic prevalence (estimated using Disease Modelling Meta-Regression version 2.1 [known as DisMod-MR 2.1]) by age, sex, and location. We used final prevalence estimates and disability weights to estimate years lived with disability and disability-adjusted life-years (DALYs) for major depressive disorder and anxiety disorders.\nFindings\nWe identified 5683 unique data sources, of which 48 met inclusion criteria (46 studies met criteria for major depressive disorder and 27 for anxiety disorders). Two COVID-19 impact indicators, specifically daily SARS-CoV-2 infection rates and reductions in human mobility, were associated with increased prevalence of major depressive disorder (regression coefficient [B] 0·9 [95% uncertainty interval 0·1 to 1·8; p=0·029] for human mobility, 18·1 [7·9 to 28·3; p=0·0005] for daily SARS-CoV-2 infection) and anxiety disorders (0·9 [0·1 to 1·7; p=0·022] and 13·8 [10·7 to 17·0; p&lt;0·0001]. Females were affected more by the pandemic than males (B 0·1 [0·1 to 0·2; p=0·0001] for major depressive disorder, 0·1 [0·1 to 0·2; p=0·0001] for anxiety disorders) and younger age groups were more affected than older age groups (−0·007 [–0·009 to −0·006; p=0·0001] for major depressive disorder, −0·003 [–0·005 to −0·002; p=0·0001] for anxiety disorders). We estimated that the locations hit hardest by the pandemic in 2020, as measured with decreased human mobility and daily SARS-CoV-2 infection rate, had the greatest increases in prevalence of major depressive disorder and anxiety disorders. We estimated an additional 53·2 million (44·8 to 62·9) cases of major depressive disorder globally (an increase of 27·6% [25·1 to 30·3]) due to the COVID-19 pandemic, such that the total prevalence was 3152·9 cases (2722·5 to 3654·5) per 100 000 population. We also estimated an additional 76·2 million (64·3 to 90·6) cases of anxiety disorders globally (an increase of 25·6% [23·2 to 28·0]), such that the total prevalence was 4802·4 cases (4108·2 to 5588·6) per 100 000 population. Altogether, major depressive disorder caused 49·4 million (33·6 to 68·7) DALYs and anxiety disorders caused 44·5 million (30·2 to 62·5) DALYs globally in 2020.\nInterpretation\nThis pandemic has created an increased urgency to strengthen mental health systems in most countries. Mitigation strategies could incorporate ways to promote mental wellbeing and target determinants of poor mental health and interventions to treat those with a mental disorder. Taking no action to address the burden of major depressive disorder and anxiety disorders should not be an option.\nFunding\nQueensland Health, National Health and Medical Research Council, and the Bill and Melinda Gates Foundation.","container-title":"The Lancet","DOI":"10.1016/S0140-6736(21)02143-7","ISSN":"0140-6736","issue":"10312","journalAbbreviation":"The Lancet","language":"en","page":"1700-1712","source":"ScienceDirect","title":"Global prevalence and burden of depressive and anxiety disorders in 204 countries and territories in 2020 due to the COVID-19 pandemic","volume":"398","author":[{"family":"Santomauro","given":"Damian F"},{"family":"Mantilla Herrera","given":"Ana M"},{"family":"Shadid","given":"Jamileh"},{"family":"Zheng","given":"Peng"},{"family":"Ashbaugh","given":"Charlie"},{"family":"Pigott","given":"David M"},{"family":"Abbafati","given":"Cristiana"},{"family":"Adolph","given":"Christopher"},{"family":"Amlag","given":"Joanne O"},{"family":"Aravkin","given":"Aleksandr Y"},{"family":"Bang-Jensen","given":"Bree L"},{"family":"Bertolacci","given":"Gregory J"},{"family":"Bloom","given":"Sabina S"},{"family":"Castellano","given":"Rachel"},{"family":"Castro","given":"Emma"},{"family":"Chakrabarti","given":"Suman"},{"family":"Chattopadhyay","given":"Jhilik"},{"family":"Cogen","given":"Rebecca M"},{"family":"Collins","given":"James K"},{"family":"Dai","given":"Xiaochen"},{"family":"Dangel","given":"William James"},{"family":"Dapper","given":"Carolyn"},{"family":"Deen","given":"Amanda"},{"family":"Erickson","given":"Megan"},{"family":"Ewald","given":"Samuel B"},{"family":"Flaxman","given":"Abraham D"},{"family":"Frostad","given":"Joseph Jon"},{"family":"Fullman","given":"Nancy"},{"family":"Giles","given":"John R"},{"family":"Giref","given":"Ababi Zergaw"},{"family":"Guo","given":"Gaorui"},{"family":"He","given":"Jiawei"},{"family":"Helak","given":"Monika"},{"family":"Hulland","given":"Erin N"},{"family":"Idrisov","given":"Bulat"},{"family":"Lindstrom","given":"Akiaja"},{"family":"Linebarger","given":"Emily"},{"family":"Lotufo","given":"Paulo A"},{"family":"Lozano","given":"Rafael"},{"family":"Magistro","given":"Beatrice"},{"family":"Malta","given":"Deborah Carvalho"},{"family":"Månsson","given":"Johan C"},{"family":"Marinho","given":"Fatima"},{"family":"Mokdad","given":"Ali H"},{"family":"Monasta","given":"Lorenzo"},{"family":"Naik","given":"Paulami"},{"family":"Nomura","given":"Shuhei"},{"family":"O'Halloran","given":"James Kevin"},{"family":"Ostroff","given":"Samuel M"},{"family":"Pasovic","given":"Maja"},{"family":"Penberthy","given":"Louise"},{"family":"Reiner Jr","given":"Robert C"},{"family":"Reinke","given":"Grace"},{"family":"Ribeiro","given":"Antonio Luiz P"},{"family":"Sholokhov","given":"Aleksei"},{"family":"Sorensen","given":"Reed J D"},{"family":"Varavikova","given":"Elena"},{"family":"Vo","given":"Anh Truc"},{"family":"Walcott","given":"Rebecca"},{"family":"Watson","given":"Stefanie"},{"family":"Wiysonge","given":"Charles Shey"},{"family":"Zigler","given":"Bethany"},{"family":"Hay","given":"Simon I"},{"family":"Vos","given":"Theo"},{"family":"Murray","given":"Christopher J L"},{"family":"Whiteford","given":"Harvey A"},{"family":"Ferrari","given":"Alize J"}],"issued":{"date-parts":[["2021",11,6]]}}}],"schema":"https://github.com/citation-style-language/schema/raw/master/csl-citation.json"} </w:instrText>
      </w:r>
      <w:r w:rsidR="003A02B1" w:rsidRPr="00606D67">
        <w:rPr>
          <w:color w:val="000000" w:themeColor="text1"/>
        </w:rPr>
        <w:fldChar w:fldCharType="separate"/>
      </w:r>
      <w:r w:rsidR="003F2042" w:rsidRPr="00606D67">
        <w:rPr>
          <w:color w:val="000000" w:themeColor="text1"/>
        </w:rPr>
        <w:t>(Bedaso &amp; Duko, 2022; Chekole &amp; Abate, 2021; Henssler et al., 2021; Ni et al., 2020; Santomauro et al., 2021)</w:t>
      </w:r>
      <w:r w:rsidR="003A02B1" w:rsidRPr="00606D67">
        <w:rPr>
          <w:color w:val="000000" w:themeColor="text1"/>
        </w:rPr>
        <w:fldChar w:fldCharType="end"/>
      </w:r>
      <w:r w:rsidR="003F1580" w:rsidRPr="00606D67">
        <w:rPr>
          <w:color w:val="000000" w:themeColor="text1"/>
        </w:rPr>
        <w:t>. Being female was</w:t>
      </w:r>
      <w:r w:rsidR="002F30C1" w:rsidRPr="00606D67">
        <w:rPr>
          <w:color w:val="000000" w:themeColor="text1"/>
        </w:rPr>
        <w:t xml:space="preserve"> identified as being</w:t>
      </w:r>
      <w:r w:rsidR="003F1580" w:rsidRPr="00606D67">
        <w:rPr>
          <w:color w:val="000000" w:themeColor="text1"/>
        </w:rPr>
        <w:t xml:space="preserve"> associated with greater risk of</w:t>
      </w:r>
      <w:r w:rsidR="00686B0B" w:rsidRPr="00606D67">
        <w:rPr>
          <w:color w:val="000000" w:themeColor="text1"/>
        </w:rPr>
        <w:t xml:space="preserve"> mental illness symptoms,</w:t>
      </w:r>
      <w:r w:rsidR="003F1580" w:rsidRPr="00606D67">
        <w:rPr>
          <w:color w:val="000000" w:themeColor="text1"/>
        </w:rPr>
        <w:t xml:space="preserve"> major depressive disorder, anxiety, and eating disorders</w:t>
      </w:r>
      <w:r w:rsidR="00666B1F" w:rsidRPr="00606D67">
        <w:rPr>
          <w:color w:val="000000" w:themeColor="text1"/>
        </w:rPr>
        <w:t xml:space="preserve"> </w:t>
      </w:r>
      <w:r w:rsidR="00666B1F" w:rsidRPr="00606D67">
        <w:rPr>
          <w:color w:val="000000" w:themeColor="text1"/>
        </w:rPr>
        <w:fldChar w:fldCharType="begin"/>
      </w:r>
      <w:r w:rsidR="00AC4A43" w:rsidRPr="00606D67">
        <w:rPr>
          <w:color w:val="000000" w:themeColor="text1"/>
        </w:rPr>
        <w:instrText xml:space="preserve"> ADDIN ZOTERO_ITEM CSL_CITATION {"citationID":"htAc1ukc","properties":{"formattedCitation":"(Campos-Matos et al., 2016; Lund et al., 2018; Zenebe et al., 2021)","plainCitation":"(Campos-Matos et al., 2016; Lund et al., 2018; Zenebe et al., 2021)","noteIndex":0},"citationItems":[{"id":1581,"uris":["http://zotero.org/users/5273986/items/LAJGJKEH"],"itemData":{"id":1581,"type":"article-journal","abstract":"INTRODUCTION: Health inequalities are recognised as a public health issue worldwide, but only a few countries have developed national strategies to monitor and reduce them. Despite its considerable health inequalities, Portugal seems to lack a systematic strategy to tackle them, possibly due to the absence of organised evidence on the issue. We performed a systematic review that aimed to describe the available evidence on social inequalities in health in Portugal, in order to contribute towards a comprehensive and focused strategy to tackle them. METHODS: We followed the PRISMA guidelines and searched Scopus, Web of Science and PubMed for studies that looked at the association between a measure of socioeconomic status and a health outcome in the Portuguese resident population since the year 2000. We excluded health behaviours and healthcare use from our search. We performed a qualitative description of the results. RESULTS: Seventy-one publications were selected, all reporting observational analyses, most of them using cross-sectional data. These publications showed strong evidence for health inequalities related to education and gender, chiefly for obesity, self-rated health and mental health. CONCLUSIONS: Analysis of the eligible publications showed that current research does not seem to have consistently covered the link between health and key Portuguese social problems. A strategy focusing on the monitoring of most prevalent diseases, most determining socioeconomic factors and vulnerable populations would be crucial to guide academic research in a country in which health inequalities are so ubiquitous and deeply rooted. REGISTRATION: This systematic review is not registered.","archive_location":"26879973","container-title":"Int J Equity Health","DOI":"10.1186/s12939-016-0314-z","page":"26","title":"Connecting the dots on health inequalities--a systematic review on the social determinants of health in Portugal","volume":"15","author":[{"family":"Campos-Matos","given":"I."},{"family":"Russo","given":"G."},{"family":"Perelman","given":"J."}],"issued":{"date-parts":[["2016"]]}}},{"id":1394,"uris":["http://zotero.org/users/5273986/items/NG2WJEIQ"],"itemData":{"id":1394,"type":"article-journal","abstract":"Mental health has been included in the UN Sustainable Development Goals. However, uncertainty exists about the extent to which the major social determinants of mental disorders are addressed by these goals. The aim of this study was to develop a conceptual framework for the social determinants of mental disorders that is aligned with the Sustainable Development Goals, to use this framework to systematically review evidence regarding these social determinants, and to identify potential mechanisms and targets for interventions. We did a systematic review of reviews using a conceptual framework comprising demographic, economic, neighbourhood, environmental events, and social and culture domains. We included 289 articles in the final Review. This study sheds new light on how the Sustainable Development Goals are relevant for addressing the social determinants of mental disorders, and how these goals could be optimised to prevent mental disorders.","container-title":"The Lancet Psychiatry","DOI":"10.1016/S2215-0366(18)30060-9","ISSN":"2215-0366","issue":"4","journalAbbreviation":"The Lancet Psychiatry","language":"en","page":"357-369","source":"ScienceDirect","title":"Social determinants of mental disorders and the Sustainable Development Goals: a systematic review of reviews","title-short":"Social determinants of mental disorders and the Sustainable Development Goals","volume":"5","author":[{"family":"Lund","given":"Crick"},{"family":"Brooke-Sumner","given":"Carrie"},{"family":"Baingana","given":"Florence"},{"family":"Baron","given":"Emily Claire"},{"family":"Breuer","given":"Erica"},{"family":"Chandra","given":"Prabha"},{"family":"Haushofer","given":"Johannes"},{"family":"Herrman","given":"Helen"},{"family":"Jordans","given":"Mark"},{"family":"Kieling","given":"Christian"},{"family":"Medina-Mora","given":"Maria Elena"},{"family":"Morgan","given":"Ellen"},{"family":"Omigbodun","given":"Olayinka"},{"family":"Tol","given":"Wietse"},{"family":"Patel","given":"Vikram"},{"family":"Saxena","given":"Shekhar"}],"issued":{"date-parts":[["2018",4,1]]}}},{"id":1615,"uris":["http://zotero.org/users/5273986/items/JF6CT7ED"],"itemData":{"id":1615,"type":"article-journal","abstract":"Background: Depression is a leading cause of disability worldwide and is a major contributor to the overall global burden of disease. It is also one of the most common geriatric psychiatric disorders and a major risk factor for disability and mortality in elderly patients. Even though depression is a common mental health problem in the elderly population, it is undiagnosed in half of the cases. Several studies showed different and inconsistent prevalence rates in the world. Hence, this study aimed to fill the above gap by producing an average prevalence of depression and associated factors in old age. Objective: This study aims to conduct a systematic review and meta-analysis to provide a precise estimate of the prevalence of depression and its determinants among old age. Method: A comprehensive search of PubMed, Scopus, Web of sciences, Google Scholar, and Psych-info from database inception to January 2020. Moreover, the reference list of selected articles was looked at manually to have further eligible articles. The random-effects model was employed during the analysis. Stata-11 was used to determine the average prevalence of depression among old age. A sub-group analysis and sensitivity analysis were also run. A graphical inspection of the funnel plots and Egger’s publication bias plot test were checked for the occurrence of publication bias. Result: A search of the electronic and manual system resulted in 1263 articles. Nevertheless, after the huge screening, 42 relevant studies were identified, including, for this meta-analysis, n = 57,486 elderly populations. The average expected prevalence of depression among old age was 31.74% (95% CI 27.90, 35.59). In the sub-group analysis, the pooled prevalence was higher among developing countries; 40.78% than developed countries; 17.05%), studies utilized Geriatrics Depression Scale-30(GDS-30); 40.60% than studies that used GMS; 18.85%, study instrument, and studies having a lower sample size (40.12%) than studies with the higher sample; 20.19%. Conclusion: A high prevalence rate of depression among the old population in the world was unraveled. This study can be considered as an early warning and advised health professionals, health policymakers, and other pertinent stakeholders to take effective control measures and periodic care for the elderly population.","container-title":"Annals of General Psychiatry","DOI":"10.1186/s12991-021-00375-x","issue":"1","title":"Prevalence and determinants of depression among old age: a systematic review and meta-analysis","URL":"https://www.embase.com/search/results?subaction=viewrecord&amp;id=L2014495283&amp;from=export","volume":"20","author":[{"family":"Zenebe","given":"Y."},{"family":"Akele","given":"B."},{"family":"W/Selassie","given":"M."},{"family":"Necho","given":"M."}],"issued":{"date-parts":[["2021"]]}}}],"schema":"https://github.com/citation-style-language/schema/raw/master/csl-citation.json"} </w:instrText>
      </w:r>
      <w:r w:rsidR="00666B1F" w:rsidRPr="00606D67">
        <w:rPr>
          <w:color w:val="000000" w:themeColor="text1"/>
        </w:rPr>
        <w:fldChar w:fldCharType="separate"/>
      </w:r>
      <w:r w:rsidR="00AC4A43" w:rsidRPr="00606D67">
        <w:rPr>
          <w:color w:val="000000" w:themeColor="text1"/>
        </w:rPr>
        <w:t>(Campos-Matos et al., 2016; Lund et al., 2018; Zenebe et al., 2021)</w:t>
      </w:r>
      <w:r w:rsidR="00666B1F" w:rsidRPr="00606D67">
        <w:rPr>
          <w:color w:val="000000" w:themeColor="text1"/>
        </w:rPr>
        <w:fldChar w:fldCharType="end"/>
      </w:r>
      <w:r w:rsidR="003F1580" w:rsidRPr="00606D67">
        <w:rPr>
          <w:color w:val="000000" w:themeColor="text1"/>
        </w:rPr>
        <w:t xml:space="preserve">, but being male </w:t>
      </w:r>
      <w:r w:rsidR="00421304" w:rsidRPr="00606D67">
        <w:rPr>
          <w:color w:val="000000" w:themeColor="text1"/>
        </w:rPr>
        <w:t>was</w:t>
      </w:r>
      <w:r w:rsidR="003F1580" w:rsidRPr="00606D67">
        <w:rPr>
          <w:color w:val="000000" w:themeColor="text1"/>
        </w:rPr>
        <w:t xml:space="preserve"> associated with greater risk of childhood behavioural disorders</w:t>
      </w:r>
      <w:r w:rsidR="00666B1F" w:rsidRPr="00606D67">
        <w:rPr>
          <w:color w:val="000000" w:themeColor="text1"/>
        </w:rPr>
        <w:t xml:space="preserve"> </w:t>
      </w:r>
      <w:r w:rsidR="00845551" w:rsidRPr="00606D67">
        <w:rPr>
          <w:color w:val="000000" w:themeColor="text1"/>
        </w:rPr>
        <w:fldChar w:fldCharType="begin"/>
      </w:r>
      <w:r w:rsidR="00845551" w:rsidRPr="00606D67">
        <w:rPr>
          <w:color w:val="000000" w:themeColor="text1"/>
        </w:rPr>
        <w:instrText xml:space="preserve"> ADDIN ZOTERO_ITEM CSL_CITATION {"citationID":"iVvxie9V","properties":{"formattedCitation":"(Lund et al., 2018)","plainCitation":"(Lund et al., 2018)","noteIndex":0},"citationItems":[{"id":1394,"uris":["http://zotero.org/users/5273986/items/NG2WJEIQ"],"itemData":{"id":1394,"type":"article-journal","abstract":"Mental health has been included in the UN Sustainable Development Goals. However, uncertainty exists about the extent to which the major social determinants of mental disorders are addressed by these goals. The aim of this study was to develop a conceptual framework for the social determinants of mental disorders that is aligned with the Sustainable Development Goals, to use this framework to systematically review evidence regarding these social determinants, and to identify potential mechanisms and targets for interventions. We did a systematic review of reviews using a conceptual framework comprising demographic, economic, neighbourhood, environmental events, and social and culture domains. We included 289 articles in the final Review. This study sheds new light on how the Sustainable Development Goals are relevant for addressing the social determinants of mental disorders, and how these goals could be optimised to prevent mental disorders.","container-title":"The Lancet Psychiatry","DOI":"10.1016/S2215-0366(18)30060-9","ISSN":"2215-0366","issue":"4","journalAbbreviation":"The Lancet Psychiatry","language":"en","page":"357-369","source":"ScienceDirect","title":"Social determinants of mental disorders and the Sustainable Development Goals: a systematic review of reviews","title-short":"Social determinants of mental disorders and the Sustainable Development Goals","volume":"5","author":[{"family":"Lund","given":"Crick"},{"family":"Brooke-Sumner","given":"Carrie"},{"family":"Baingana","given":"Florence"},{"family":"Baron","given":"Emily Claire"},{"family":"Breuer","given":"Erica"},{"family":"Chandra","given":"Prabha"},{"family":"Haushofer","given":"Johannes"},{"family":"Herrman","given":"Helen"},{"family":"Jordans","given":"Mark"},{"family":"Kieling","given":"Christian"},{"family":"Medina-Mora","given":"Maria Elena"},{"family":"Morgan","given":"Ellen"},{"family":"Omigbodun","given":"Olayinka"},{"family":"Tol","given":"Wietse"},{"family":"Patel","given":"Vikram"},{"family":"Saxena","given":"Shekhar"}],"issued":{"date-parts":[["2018",4,1]]}}}],"schema":"https://github.com/citation-style-language/schema/raw/master/csl-citation.json"} </w:instrText>
      </w:r>
      <w:r w:rsidR="00845551" w:rsidRPr="00606D67">
        <w:rPr>
          <w:color w:val="000000" w:themeColor="text1"/>
        </w:rPr>
        <w:fldChar w:fldCharType="separate"/>
      </w:r>
      <w:r w:rsidR="00845551" w:rsidRPr="00606D67">
        <w:rPr>
          <w:color w:val="000000" w:themeColor="text1"/>
        </w:rPr>
        <w:t>(Lund et al., 2018)</w:t>
      </w:r>
      <w:r w:rsidR="00845551" w:rsidRPr="00606D67">
        <w:rPr>
          <w:color w:val="000000" w:themeColor="text1"/>
        </w:rPr>
        <w:fldChar w:fldCharType="end"/>
      </w:r>
      <w:r w:rsidR="003F1580" w:rsidRPr="00606D67">
        <w:rPr>
          <w:color w:val="000000" w:themeColor="text1"/>
        </w:rPr>
        <w:t xml:space="preserve">. </w:t>
      </w:r>
      <w:r w:rsidR="00C936BB" w:rsidRPr="00606D67">
        <w:rPr>
          <w:color w:val="000000" w:themeColor="text1"/>
        </w:rPr>
        <w:t xml:space="preserve">Two studies identified non-partnered marital status as </w:t>
      </w:r>
      <w:r w:rsidR="00787913" w:rsidRPr="00606D67">
        <w:rPr>
          <w:color w:val="000000" w:themeColor="text1"/>
        </w:rPr>
        <w:t xml:space="preserve">a mental illness determinant </w:t>
      </w:r>
      <w:r w:rsidR="00237008" w:rsidRPr="00606D67">
        <w:rPr>
          <w:color w:val="000000" w:themeColor="text1"/>
        </w:rPr>
        <w:fldChar w:fldCharType="begin"/>
      </w:r>
      <w:r w:rsidR="00237008" w:rsidRPr="00606D67">
        <w:rPr>
          <w:color w:val="000000" w:themeColor="text1"/>
        </w:rPr>
        <w:instrText xml:space="preserve"> ADDIN ZOTERO_ITEM CSL_CITATION {"citationID":"IxJgVTYK","properties":{"formattedCitation":"(Bedaso &amp; Duko, 2022; Zenebe et al., 2021)","plainCitation":"(Bedaso &amp; Duko, 2022; Zenebe et al., 2021)","noteIndex":0},"citationItems":[{"id":1577,"uris":["http://zotero.org/users/5273986/items/ZNWAG2JR"],"itemData":{"id":1577,"type":"article-journal","abstract":"INTRODUCTION: Displaced people are prone to develop mental health problems due to resettlement in new environments, traumatic events and forced migration. Depression is a mental health problem repeatedly observed among displaced people such as refugees, migrants, asylum seekers and internally displaced persons (IDPs). Therefore, estimating the global pooled prevalence of depression as well as pinpointing its determinants may support policymakers and health care workers to mitigate the disease burden and improve the psychological well-being of displaced people. METHODS: PubMed, EMBASE, CINAHIL, Psych-INFO, and SCOPUS databases were searched for English written relevant observational studies conducted between 1984 and 2020. The methodological quality of studies was assessed using the Newcastle Ottawa Scale (NOS). Heterogeneity across studies was checked using the Q- and I(2) test. Publication bias was checked by observing Funnel plot symmetry and using Egger's regression test. STATA 16 was used to combine studies using a random effect model. RESULTS: Of the 4102 studies identified, 81 studies with an overall sample size of 53,458 were included in the current systematic review and meta-analysis. The pooled prevalence estimate of depression among displaced people was 26.4% (95% CI; 22.2-31.1). Also, three in five IDPs, one in three refugees and asylum seekers and one in four migrants suffer from depression globally. Being female migrant [AOR: 2.46 95% CI: 1.79-3.13, I(2)=34.5%), non-partnered marital status [AOR: 2.29, 95% CI: 1.29-3.30, I(2)= 0.00%], and perceived low social support [AOR: 1.76, 95% CI: 1.00-2.52, I(2)=34.6%] were significant determinants of depression among displaced people. CONCLUSION: Overall, around 1 in 4 displaced people suffer from depression and exceed the prevalence of depression reported by community samples in different nations and demonstrate a need for culturally fitting and targeted responses from migrant/refugee host nations and their serving clinicians.","archive_location":"35316692","container-title":"Psychiatry Res","DOI":"10.1016/j.psychres.2022.114493","page":"114493","title":"Epidemiology of depression among displaced people: A systematic review and meta-analysis","volume":"311","author":[{"family":"Bedaso","given":"A."},{"family":"Duko","given":"B."}],"issued":{"date-parts":[["2022"]]}}},{"id":1615,"uris":["http://zotero.org/users/5273986/items/JF6CT7ED"],"itemData":{"id":1615,"type":"article-journal","abstract":"Background: Depression is a leading cause of disability worldwide and is a major contributor to the overall global burden of disease. It is also one of the most common geriatric psychiatric disorders and a major risk factor for disability and mortality in elderly patients. Even though depression is a common mental health problem in the elderly population, it is undiagnosed in half of the cases. Several studies showed different and inconsistent prevalence rates in the world. Hence, this study aimed to fill the above gap by producing an average prevalence of depression and associated factors in old age. Objective: This study aims to conduct a systematic review and meta-analysis to provide a precise estimate of the prevalence of depression and its determinants among old age. Method: A comprehensive search of PubMed, Scopus, Web of sciences, Google Scholar, and Psych-info from database inception to January 2020. Moreover, the reference list of selected articles was looked at manually to have further eligible articles. The random-effects model was employed during the analysis. Stata-11 was used to determine the average prevalence of depression among old age. A sub-group analysis and sensitivity analysis were also run. A graphical inspection of the funnel plots and Egger’s publication bias plot test were checked for the occurrence of publication bias. Result: A search of the electronic and manual system resulted in 1263 articles. Nevertheless, after the huge screening, 42 relevant studies were identified, including, for this meta-analysis, n = 57,486 elderly populations. The average expected prevalence of depression among old age was 31.74% (95% CI 27.90, 35.59). In the sub-group analysis, the pooled prevalence was higher among developing countries; 40.78% than developed countries; 17.05%), studies utilized Geriatrics Depression Scale-30(GDS-30); 40.60% than studies that used GMS; 18.85%, study instrument, and studies having a lower sample size (40.12%) than studies with the higher sample; 20.19%. Conclusion: A high prevalence rate of depression among the old population in the world was unraveled. This study can be considered as an early warning and advised health professionals, health policymakers, and other pertinent stakeholders to take effective control measures and periodic care for the elderly population.","container-title":"Annals of General Psychiatry","DOI":"10.1186/s12991-021-00375-x","issue":"1","title":"Prevalence and determinants of depression among old age: a systematic review and meta-analysis","URL":"https://www.embase.com/search/results?subaction=viewrecord&amp;id=L2014495283&amp;from=export","volume":"20","author":[{"family":"Zenebe","given":"Y."},{"family":"Akele","given":"B."},{"family":"W/Selassie","given":"M."},{"family":"Necho","given":"M."}],"issued":{"date-parts":[["2021"]]}}}],"schema":"https://github.com/citation-style-language/schema/raw/master/csl-citation.json"} </w:instrText>
      </w:r>
      <w:r w:rsidR="00237008" w:rsidRPr="00606D67">
        <w:rPr>
          <w:color w:val="000000" w:themeColor="text1"/>
        </w:rPr>
        <w:fldChar w:fldCharType="separate"/>
      </w:r>
      <w:r w:rsidR="00237008" w:rsidRPr="00606D67">
        <w:rPr>
          <w:color w:val="000000" w:themeColor="text1"/>
        </w:rPr>
        <w:t>(Bedaso &amp; Duko, 2022; Zenebe et al., 2021)</w:t>
      </w:r>
      <w:r w:rsidR="00237008" w:rsidRPr="00606D67">
        <w:rPr>
          <w:color w:val="000000" w:themeColor="text1"/>
        </w:rPr>
        <w:fldChar w:fldCharType="end"/>
      </w:r>
      <w:r w:rsidR="00787913" w:rsidRPr="00606D67">
        <w:rPr>
          <w:color w:val="000000" w:themeColor="text1"/>
        </w:rPr>
        <w:t xml:space="preserve">, </w:t>
      </w:r>
      <w:r w:rsidR="00237008" w:rsidRPr="00606D67">
        <w:rPr>
          <w:color w:val="000000" w:themeColor="text1"/>
        </w:rPr>
        <w:t>while</w:t>
      </w:r>
      <w:r w:rsidR="00787913" w:rsidRPr="00606D67">
        <w:rPr>
          <w:color w:val="000000" w:themeColor="text1"/>
        </w:rPr>
        <w:t xml:space="preserve"> one noted that </w:t>
      </w:r>
      <w:r w:rsidR="006D687F" w:rsidRPr="00606D67">
        <w:rPr>
          <w:color w:val="000000" w:themeColor="text1"/>
        </w:rPr>
        <w:t xml:space="preserve">being </w:t>
      </w:r>
      <w:r w:rsidR="007A4F8A" w:rsidRPr="00606D67">
        <w:rPr>
          <w:color w:val="000000" w:themeColor="text1"/>
        </w:rPr>
        <w:t>married was a significant determinant</w:t>
      </w:r>
      <w:r w:rsidR="00E113C6" w:rsidRPr="00606D67">
        <w:rPr>
          <w:color w:val="000000" w:themeColor="text1"/>
        </w:rPr>
        <w:t xml:space="preserve"> </w:t>
      </w:r>
      <w:r w:rsidR="007A4F8A" w:rsidRPr="00606D67">
        <w:rPr>
          <w:color w:val="000000" w:themeColor="text1"/>
        </w:rPr>
        <w:t xml:space="preserve">during the COVID-19 pandemic </w:t>
      </w:r>
      <w:r w:rsidR="000A731E" w:rsidRPr="00606D67">
        <w:rPr>
          <w:color w:val="000000" w:themeColor="text1"/>
        </w:rPr>
        <w:fldChar w:fldCharType="begin"/>
      </w:r>
      <w:r w:rsidR="000A731E" w:rsidRPr="00606D67">
        <w:rPr>
          <w:color w:val="000000" w:themeColor="text1"/>
        </w:rPr>
        <w:instrText xml:space="preserve"> ADDIN ZOTERO_ITEM CSL_CITATION {"citationID":"xQYwe5df","properties":{"formattedCitation":"(Chekole &amp; Abate, 2021)","plainCitation":"(Chekole &amp; Abate, 2021)","noteIndex":0},"citationItems":[{"id":1583,"uris":["http://zotero.org/users/5273986/items/86SFZXN7"],"itemData":{"id":1583,"type":"article-journal","abstract":"Background: Coronavirus Disease 2019 (COVID-19) has infected more than 5 million and lost the lives of more than 300 thousand people globally. It is the first-ever deadly pandemic with a significant degree of fear, worry and concern in the population at large. Therefore, this Meta-Analysis aims to assess the global prevalence and determinants of mental health disorders. Methods: A three-stage search strategy was conducted on PubMed/Medline, Science direct LILACS and PsycINFO databases. The Heterogeneity among the included studies was checked with forest plot, χ2 test, I2 test, and the p-values. Publication bias was checked with a funnel plot and the objective diagnostic test was conducted with Egger's correlation, Begg's regression tests, and Trim and fill method. Results: The Meta-Analysis revealed that the pooled prevalence of anxiety and depression 33.59% (95% confidence interval (CI): 27.21 to 39.97, 30 studies, 88,543 participants) and 29.98% (95% confidence interval (CI): 25.32 to 34.64, 25 studies, 78,191 participants) respectively. Conclusion: The review revealed that more than thirty percent of patients developed anxiety and depression during COVID-19 Pandemic. This presages the health care stakeholders to prevent and intervene in mental health disorders. Registration: This review was registered in Prospero international prospective register of systematic reviews (CRD42020183146).","container-title":"Annals of Medicine and Surgery","DOI":"10.1016/j.amsu.2021.102634","title":"Global prevalence and determinants of mental health disorders during the COVID-19 pandemic: A systematic review and meta-analysis","URL":"https://www.embase.com/search/results?subaction=viewrecord&amp;id=L2013801371&amp;from=export","volume":"68","author":[{"family":"Chekole","given":"Y. A."},{"family":"Abate","given":"S. M."}],"issued":{"date-parts":[["2021"]]}}}],"schema":"https://github.com/citation-style-language/schema/raw/master/csl-citation.json"} </w:instrText>
      </w:r>
      <w:r w:rsidR="000A731E" w:rsidRPr="00606D67">
        <w:rPr>
          <w:color w:val="000000" w:themeColor="text1"/>
        </w:rPr>
        <w:fldChar w:fldCharType="separate"/>
      </w:r>
      <w:r w:rsidR="000A731E" w:rsidRPr="00606D67">
        <w:rPr>
          <w:color w:val="000000" w:themeColor="text1"/>
        </w:rPr>
        <w:t>(Chekole &amp; Abate, 2021)</w:t>
      </w:r>
      <w:r w:rsidR="000A731E" w:rsidRPr="00606D67">
        <w:rPr>
          <w:color w:val="000000" w:themeColor="text1"/>
        </w:rPr>
        <w:fldChar w:fldCharType="end"/>
      </w:r>
      <w:r w:rsidR="000A731E" w:rsidRPr="00606D67">
        <w:rPr>
          <w:color w:val="000000" w:themeColor="text1"/>
        </w:rPr>
        <w:t>.</w:t>
      </w:r>
      <w:r w:rsidR="00E113C6" w:rsidRPr="00606D67">
        <w:rPr>
          <w:color w:val="000000" w:themeColor="text1"/>
        </w:rPr>
        <w:t xml:space="preserve"> </w:t>
      </w:r>
      <w:r w:rsidR="00785BCB" w:rsidRPr="00606D67">
        <w:rPr>
          <w:color w:val="000000" w:themeColor="text1"/>
        </w:rPr>
        <w:t xml:space="preserve">Four </w:t>
      </w:r>
      <w:r w:rsidR="00B64B0D" w:rsidRPr="00606D67">
        <w:rPr>
          <w:color w:val="000000" w:themeColor="text1"/>
        </w:rPr>
        <w:t xml:space="preserve">of the included </w:t>
      </w:r>
      <w:r w:rsidR="00785BCB" w:rsidRPr="00606D67">
        <w:rPr>
          <w:color w:val="000000" w:themeColor="text1"/>
        </w:rPr>
        <w:t xml:space="preserve">studies noted that lower levels of education were linked to mental illness </w:t>
      </w:r>
      <w:r w:rsidR="002D17F3" w:rsidRPr="00606D67">
        <w:rPr>
          <w:color w:val="000000" w:themeColor="text1"/>
        </w:rPr>
        <w:fldChar w:fldCharType="begin"/>
      </w:r>
      <w:r w:rsidR="002D17F3" w:rsidRPr="00606D67">
        <w:rPr>
          <w:color w:val="000000" w:themeColor="text1"/>
        </w:rPr>
        <w:instrText xml:space="preserve"> ADDIN ZOTERO_ITEM CSL_CITATION {"citationID":"RWHoENtx","properties":{"formattedCitation":"(Henssler et al., 2021; Nelson &amp; Wilson, 2017; Remes et al., 2021; Zenebe et al., 2021)","plainCitation":"(Henssler et al., 2021; Nelson &amp; Wilson, 2017; Remes et al., 2021; Zenebe et al., 2021)","noteIndex":0},"citationItems":[{"id":1587,"uris":["http://zotero.org/users/5273986/items/Q8DTKIPQ"],"itemData":{"id":1587,"type":"article-journal","abstract":"Due to the ongoing COVID-19 pandemic, an unprecedented number of people worldwide is currently affected by quarantine or isolation. These measures have been suggested to negatively impact on mental health. We conducted the first systematic literature review and meta-analysis assessing the psychological effects in both quarantined and isolated persons compared to non-quarantined and non-isolated persons. PubMed, PsycINFO, and Embase databases were searched for studies until April 22, 2020 (Prospero Registration-No.: CRD42020180043). We followed PRISMA and MOOSE guidelines for data extraction and synthesis and the Newcastle–Ottawa Scale for assessing risk of bias of included studies. A random-effects model was implemented to pool effect sizes of included studies. The primary outcomes were depression, anxiety, and stress-related disorders. All other psychological parameters, such as anger, were reported as secondary outcomes. Out of 6807 screened articles, 25 studies were included in our analyses. Compared to controls, individuals experiencing isolation or quarantine were at increased risk for adverse mental health outcomes, particularly after containment duration of 1 week or longer. Effect sizes were summarized for depressive disorders (odds ratio 2.795; 95% CI 1.467–5.324), anxiety disorders (odds ratio 2.0; 95% CI 0.883–4.527), and stress-related disorders (odds ratio 2.742; 95% CI 1.496–5.027). Among secondary outcomes, elevated levels of anger were reported most consistently. There is compelling evidence for adverse mental health effects of isolation and quarantine, in particular depression, anxiety, stress-related disorders, and anger. Reported determinants can help identify populations at risk and our findings may serve as an evidence-base for prevention and management strategies. (PsycInfo Database Record (c) 2021 APA, all rights reserved) (Source: journal abstract)","archive_location":"2449237198; 2020-75480-001","container-title":"European Archives of Psychiatry and Clinical Neuroscience","DOI":"10.1007/s00406-020-01196-x","issue":"2","page":"223-234","title":"Mental health effects of infection containment strategies: Quarantine and isolation—A systematic review and meta-analysis","volume":"271","author":[{"family":"Henssler","given":"Jonathan"},{"family":"Stock","given":"Friederike"},{"family":"Bohemen","given":"Joris","non-dropping-particle":"van"},{"family":"Walter","given":"Henrik"},{"family":"Heinz","given":"Andreas"},{"family":"Brandt","given":"Lasse"}],"issued":{"date-parts":[["2021"]]}}},{"id":1597,"uris":["http://zotero.org/users/5273986/items/3TJ82B38"],"itemData":{"id":1597,"type":"article-journal","abstract":"Many scholars assert that Indigenous peoples across the globe suffer a disproportionate burden of mental illness. Research indicates that colonialism and its associated processes are important determinants of Indigenous peoples’ health internationally. In Canada, despite an abundance of health research documenting inequalities in morbidity and mortality rates for Indigenous peoples, relatively little research has focused on mental health. This paper provides a critical scoping review of the literature related to Indigenous mental health in Canada. We searched eleven databases and two Indigenous health-focused journals for research related to mental health, Indigenous peoples, and Canada, for the years 2006–2016. Over two hundred papers are included in the review and coded according to research theme, population group, and geography. Results demonstrate that the literature is overwhelmingly concerned with issues related to colonialism in mental health services and the prevalence and causes of mental illness among Indigenous peoples in Canada, but with several significant gaps. Mental health research related to Indigenous peoples in Canada overemphasizes suicide and problematic substance use; a more critical use of the concepts of colonialism and historical trauma is advised; and several population groups are underrepresented in research, including Métis peoples and urban or off-reserve Indigenous peoples. The findings are useful in an international context by providing a starting point for discussions, dialogue, and further study regarding mental health research for Indigenous peoples around the world.","container-title":"Social Science and Medicine","DOI":"10.1016/j.socscimed.2017.01.021","page":"93-112","title":"The mental health of Indigenous peoples in Canada: A critical review of research","volume":"176","author":[{"family":"Nelson","given":"S. E."},{"family":"Wilson","given":"K."}],"issued":{"date-parts":[["2017"]]}}},{"id":1603,"uris":["http://zotero.org/users/5273986/items/V6VXANRG"],"itemData":{"id":1603,"type":"article-journal","abstract":"Depression is one of the leading causes of disability, and, if left unmanaged, it can increase the risk for suicide. The evidence base on the determinants of depression is fragmented, which makes the interpretation of the results across studies difficult. The objective of this study is to conduct a thorough synthesis of the literature assessing the biological, psychological, and social determinants of depression in order to piece together the puzzle of the key factors that are related to this condition. Titles and abstracts published between 2017 and 2020 were identified in PubMed, as well as Medline, Scopus, and PsycInfo. Key words relating to biological, social, and psychological determinants as well as depression were applied to the databases, and the screening and data charting of the documents took place. We included 470 documents in this literature review. The findings showed that there are a plethora of risk and protective factors (relating to biological, psychological, and social determinants) that are related to depression; these determinants are interlinked and influence depression outcomes through a web of causation. In this paper, we describe and present the vast, fragmented, and complex literature related to this topic. This review may be used to guide practice, public health efforts, policy, and research related to mental health and, specifically, depression.","container-title":"Brain Sciences","DOI":"10.3390/brainsci11121633","issue":"12","title":"Biological, psychological, and social determinants of depression: A review of recent literature","URL":"https://www.embase.com/search/results?subaction=viewrecord&amp;id=L2015091637&amp;from=export","volume":"11","author":[{"family":"Remes","given":"O."},{"family":"Francisco","given":"J."},{"family":"Templeton","given":"P."}],"issued":{"date-parts":[["2021"]]}}},{"id":1615,"uris":["http://zotero.org/users/5273986/items/JF6CT7ED"],"itemData":{"id":1615,"type":"article-journal","abstract":"Background: Depression is a leading cause of disability worldwide and is a major contributor to the overall global burden of disease. It is also one of the most common geriatric psychiatric disorders and a major risk factor for disability and mortality in elderly patients. Even though depression is a common mental health problem in the elderly population, it is undiagnosed in half of the cases. Several studies showed different and inconsistent prevalence rates in the world. Hence, this study aimed to fill the above gap by producing an average prevalence of depression and associated factors in old age. Objective: This study aims to conduct a systematic review and meta-analysis to provide a precise estimate of the prevalence of depression and its determinants among old age. Method: A comprehensive search of PubMed, Scopus, Web of sciences, Google Scholar, and Psych-info from database inception to January 2020. Moreover, the reference list of selected articles was looked at manually to have further eligible articles. The random-effects model was employed during the analysis. Stata-11 was used to determine the average prevalence of depression among old age. A sub-group analysis and sensitivity analysis were also run. A graphical inspection of the funnel plots and Egger’s publication bias plot test were checked for the occurrence of publication bias. Result: A search of the electronic and manual system resulted in 1263 articles. Nevertheless, after the huge screening, 42 relevant studies were identified, including, for this meta-analysis, n = 57,486 elderly populations. The average expected prevalence of depression among old age was 31.74% (95% CI 27.90, 35.59). In the sub-group analysis, the pooled prevalence was higher among developing countries; 40.78% than developed countries; 17.05%), studies utilized Geriatrics Depression Scale-30(GDS-30); 40.60% than studies that used GMS; 18.85%, study instrument, and studies having a lower sample size (40.12%) than studies with the higher sample; 20.19%. Conclusion: A high prevalence rate of depression among the old population in the world was unraveled. This study can be considered as an early warning and advised health professionals, health policymakers, and other pertinent stakeholders to take effective control measures and periodic care for the elderly population.","container-title":"Annals of General Psychiatry","DOI":"10.1186/s12991-021-00375-x","issue":"1","title":"Prevalence and determinants of depression among old age: a systematic review and meta-analysis","URL":"https://www.embase.com/search/results?subaction=viewrecord&amp;id=L2014495283&amp;from=export","volume":"20","author":[{"family":"Zenebe","given":"Y."},{"family":"Akele","given":"B."},{"family":"W/Selassie","given":"M."},{"family":"Necho","given":"M."}],"issued":{"date-parts":[["2021"]]}}}],"schema":"https://github.com/citation-style-language/schema/raw/master/csl-citation.json"} </w:instrText>
      </w:r>
      <w:r w:rsidR="002D17F3" w:rsidRPr="00606D67">
        <w:rPr>
          <w:color w:val="000000" w:themeColor="text1"/>
        </w:rPr>
        <w:fldChar w:fldCharType="separate"/>
      </w:r>
      <w:r w:rsidR="002D17F3" w:rsidRPr="00606D67">
        <w:rPr>
          <w:color w:val="000000" w:themeColor="text1"/>
        </w:rPr>
        <w:t>(Henssler et al., 2021; Nelson &amp; Wilson, 2017; Remes et al., 2021; Zenebe et al., 2021)</w:t>
      </w:r>
      <w:r w:rsidR="002D17F3" w:rsidRPr="00606D67">
        <w:rPr>
          <w:color w:val="000000" w:themeColor="text1"/>
        </w:rPr>
        <w:fldChar w:fldCharType="end"/>
      </w:r>
      <w:r w:rsidR="00785BCB" w:rsidRPr="00606D67">
        <w:rPr>
          <w:color w:val="000000" w:themeColor="text1"/>
        </w:rPr>
        <w:t xml:space="preserve">, </w:t>
      </w:r>
      <w:r w:rsidR="006C7960" w:rsidRPr="00606D67">
        <w:rPr>
          <w:color w:val="000000" w:themeColor="text1"/>
        </w:rPr>
        <w:t xml:space="preserve">while </w:t>
      </w:r>
      <w:r w:rsidR="00AB32D6" w:rsidRPr="00606D67">
        <w:rPr>
          <w:color w:val="000000" w:themeColor="text1"/>
        </w:rPr>
        <w:t>one found that higher education levels were associated with mental illness during the COVID-19 pandemic</w:t>
      </w:r>
      <w:r w:rsidR="00024A54" w:rsidRPr="00606D67">
        <w:rPr>
          <w:color w:val="000000" w:themeColor="text1"/>
        </w:rPr>
        <w:t xml:space="preserve"> </w:t>
      </w:r>
      <w:r w:rsidR="00A64EF7" w:rsidRPr="00606D67">
        <w:rPr>
          <w:color w:val="000000" w:themeColor="text1"/>
        </w:rPr>
        <w:fldChar w:fldCharType="begin"/>
      </w:r>
      <w:r w:rsidR="00A64EF7" w:rsidRPr="00606D67">
        <w:rPr>
          <w:color w:val="000000" w:themeColor="text1"/>
        </w:rPr>
        <w:instrText xml:space="preserve"> ADDIN ZOTERO_ITEM CSL_CITATION {"citationID":"EPx56d74","properties":{"formattedCitation":"(Chekole &amp; Abate, 2021)","plainCitation":"(Chekole &amp; Abate, 2021)","noteIndex":0},"citationItems":[{"id":1583,"uris":["http://zotero.org/users/5273986/items/86SFZXN7"],"itemData":{"id":1583,"type":"article-journal","abstract":"Background: Coronavirus Disease 2019 (COVID-19) has infected more than 5 million and lost the lives of more than 300 thousand people globally. It is the first-ever deadly pandemic with a significant degree of fear, worry and concern in the population at large. Therefore, this Meta-Analysis aims to assess the global prevalence and determinants of mental health disorders. Methods: A three-stage search strategy was conducted on PubMed/Medline, Science direct LILACS and PsycINFO databases. The Heterogeneity among the included studies was checked with forest plot, χ2 test, I2 test, and the p-values. Publication bias was checked with a funnel plot and the objective diagnostic test was conducted with Egger's correlation, Begg's regression tests, and Trim and fill method. Results: The Meta-Analysis revealed that the pooled prevalence of anxiety and depression 33.59% (95% confidence interval (CI): 27.21 to 39.97, 30 studies, 88,543 participants) and 29.98% (95% confidence interval (CI): 25.32 to 34.64, 25 studies, 78,191 participants) respectively. Conclusion: The review revealed that more than thirty percent of patients developed anxiety and depression during COVID-19 Pandemic. This presages the health care stakeholders to prevent and intervene in mental health disorders. Registration: This review was registered in Prospero international prospective register of systematic reviews (CRD42020183146).","container-title":"Annals of Medicine and Surgery","DOI":"10.1016/j.amsu.2021.102634","title":"Global prevalence and determinants of mental health disorders during the COVID-19 pandemic: A systematic review and meta-analysis","URL":"https://www.embase.com/search/results?subaction=viewrecord&amp;id=L2013801371&amp;from=export","volume":"68","author":[{"family":"Chekole","given":"Y. A."},{"family":"Abate","given":"S. M."}],"issued":{"date-parts":[["2021"]]}}}],"schema":"https://github.com/citation-style-language/schema/raw/master/csl-citation.json"} </w:instrText>
      </w:r>
      <w:r w:rsidR="00A64EF7" w:rsidRPr="00606D67">
        <w:rPr>
          <w:color w:val="000000" w:themeColor="text1"/>
        </w:rPr>
        <w:fldChar w:fldCharType="separate"/>
      </w:r>
      <w:r w:rsidR="00A64EF7" w:rsidRPr="00606D67">
        <w:rPr>
          <w:color w:val="000000" w:themeColor="text1"/>
        </w:rPr>
        <w:t>(Chekole &amp; Abate, 2021)</w:t>
      </w:r>
      <w:r w:rsidR="00A64EF7" w:rsidRPr="00606D67">
        <w:rPr>
          <w:color w:val="000000" w:themeColor="text1"/>
        </w:rPr>
        <w:fldChar w:fldCharType="end"/>
      </w:r>
      <w:r w:rsidR="00A64EF7" w:rsidRPr="00606D67">
        <w:rPr>
          <w:color w:val="000000" w:themeColor="text1"/>
        </w:rPr>
        <w:t xml:space="preserve">. </w:t>
      </w:r>
      <w:r w:rsidR="004F732F" w:rsidRPr="00606D67">
        <w:rPr>
          <w:color w:val="000000" w:themeColor="text1"/>
        </w:rPr>
        <w:t xml:space="preserve">Age was </w:t>
      </w:r>
      <w:r w:rsidR="004F732F" w:rsidRPr="00606D67">
        <w:rPr>
          <w:color w:val="000000" w:themeColor="text1"/>
        </w:rPr>
        <w:lastRenderedPageBreak/>
        <w:t xml:space="preserve">reported as a </w:t>
      </w:r>
      <w:r w:rsidR="00D31DA9" w:rsidRPr="00606D67">
        <w:rPr>
          <w:color w:val="000000" w:themeColor="text1"/>
        </w:rPr>
        <w:t>secondary</w:t>
      </w:r>
      <w:r w:rsidR="004F732F" w:rsidRPr="00606D67">
        <w:rPr>
          <w:color w:val="000000" w:themeColor="text1"/>
        </w:rPr>
        <w:t xml:space="preserve"> determinant for younger </w:t>
      </w:r>
      <w:r w:rsidR="00B60E76" w:rsidRPr="00606D67">
        <w:rPr>
          <w:color w:val="000000" w:themeColor="text1"/>
        </w:rPr>
        <w:fldChar w:fldCharType="begin"/>
      </w:r>
      <w:r w:rsidR="00B60E76" w:rsidRPr="00606D67">
        <w:rPr>
          <w:color w:val="000000" w:themeColor="text1"/>
        </w:rPr>
        <w:instrText xml:space="preserve"> ADDIN ZOTERO_ITEM CSL_CITATION {"citationID":"7FkXtYha","properties":{"formattedCitation":"(Chekole &amp; Abate, 2021; Henssler et al., 2021; Santomauro et al., 2021)","plainCitation":"(Chekole &amp; Abate, 2021; Henssler et al., 2021; Santomauro et al., 2021)","noteIndex":0},"citationItems":[{"id":1583,"uris":["http://zotero.org/users/5273986/items/86SFZXN7"],"itemData":{"id":1583,"type":"article-journal","abstract":"Background: Coronavirus Disease 2019 (COVID-19) has infected more than 5 million and lost the lives of more than 300 thousand people globally. It is the first-ever deadly pandemic with a significant degree of fear, worry and concern in the population at large. Therefore, this Meta-Analysis aims to assess the global prevalence and determinants of mental health disorders. Methods: A three-stage search strategy was conducted on PubMed/Medline, Science direct LILACS and PsycINFO databases. The Heterogeneity among the included studies was checked with forest plot, χ2 test, I2 test, and the p-values. Publication bias was checked with a funnel plot and the objective diagnostic test was conducted with Egger's correlation, Begg's regression tests, and Trim and fill method. Results: The Meta-Analysis revealed that the pooled prevalence of anxiety and depression 33.59% (95% confidence interval (CI): 27.21 to 39.97, 30 studies, 88,543 participants) and 29.98% (95% confidence interval (CI): 25.32 to 34.64, 25 studies, 78,191 participants) respectively. Conclusion: The review revealed that more than thirty percent of patients developed anxiety and depression during COVID-19 Pandemic. This presages the health care stakeholders to prevent and intervene in mental health disorders. Registration: This review was registered in Prospero international prospective register of systematic reviews (CRD42020183146).","container-title":"Annals of Medicine and Surgery","DOI":"10.1016/j.amsu.2021.102634","title":"Global prevalence and determinants of mental health disorders during the COVID-19 pandemic: A systematic review and meta-analysis","URL":"https://www.embase.com/search/results?subaction=viewrecord&amp;id=L2013801371&amp;from=export","volume":"68","author":[{"family":"Chekole","given":"Y. A."},{"family":"Abate","given":"S. M."}],"issued":{"date-parts":[["2021"]]}}},{"id":1587,"uris":["http://zotero.org/users/5273986/items/Q8DTKIPQ"],"itemData":{"id":1587,"type":"article-journal","abstract":"Due to the ongoing COVID-19 pandemic, an unprecedented number of people worldwide is currently affected by quarantine or isolation. These measures have been suggested to negatively impact on mental health. We conducted the first systematic literature review and meta-analysis assessing the psychological effects in both quarantined and isolated persons compared to non-quarantined and non-isolated persons. PubMed, PsycINFO, and Embase databases were searched for studies until April 22, 2020 (Prospero Registration-No.: CRD42020180043). We followed PRISMA and MOOSE guidelines for data extraction and synthesis and the Newcastle–Ottawa Scale for assessing risk of bias of included studies. A random-effects model was implemented to pool effect sizes of included studies. The primary outcomes were depression, anxiety, and stress-related disorders. All other psychological parameters, such as anger, were reported as secondary outcomes. Out of 6807 screened articles, 25 studies were included in our analyses. Compared to controls, individuals experiencing isolation or quarantine were at increased risk for adverse mental health outcomes, particularly after containment duration of 1 week or longer. Effect sizes were summarized for depressive disorders (odds ratio 2.795; 95% CI 1.467–5.324), anxiety disorders (odds ratio 2.0; 95% CI 0.883–4.527), and stress-related disorders (odds ratio 2.742; 95% CI 1.496–5.027). Among secondary outcomes, elevated levels of anger were reported most consistently. There is compelling evidence for adverse mental health effects of isolation and quarantine, in particular depression, anxiety, stress-related disorders, and anger. Reported determinants can help identify populations at risk and our findings may serve as an evidence-base for prevention and management strategies. (PsycInfo Database Record (c) 2021 APA, all rights reserved) (Source: journal abstract)","archive_location":"2449237198; 2020-75480-001","container-title":"European Archives of Psychiatry and Clinical Neuroscience","DOI":"10.1007/s00406-020-01196-x","issue":"2","page":"223-234","title":"Mental health effects of infection containment strategies: Quarantine and isolation—A systematic review and meta-analysis","volume":"271","author":[{"family":"Henssler","given":"Jonathan"},{"family":"Stock","given":"Friederike"},{"family":"Bohemen","given":"Joris","non-dropping-particle":"van"},{"family":"Walter","given":"Henrik"},{"family":"Heinz","given":"Andreas"},{"family":"Brandt","given":"Lasse"}],"issued":{"date-parts":[["2021"]]}}},{"id":1621,"uris":["http://zotero.org/users/5273986/items/E8YVBM6K"],"itemData":{"id":1621,"type":"article-journal","abstract":"Background\nBefore 2020, mental disorders were leading causes of the global health-related burden, with depressive and anxiety disorders being leading contributors to this burden. The emergence of the COVID-19 pandemic has created an environment where many determinants of poor mental health are exacerbated. The need for up-to-date information on the mental health impacts of COVID-19 in a way that informs health system responses is imperative. In this study, we aimed to quantify the impact of the COVID-19 pandemic on the prevalence and burden of major depressive disorder and anxiety disorders globally in 2020.\nMethods\nWe conducted a systematic review of data reporting the prevalence of major depressive disorder and anxiety disorders during the COVID-19 pandemic and published between Jan 1, 2020, and Jan 29, 2021. We searched PubMed, Google Scholar, preprint servers, grey literature sources, and consulted experts. Eligible studies reported prevalence of depressive or anxiety disorders that were representative of the general population during the COVID-19 pandemic and had a pre-pandemic baseline. We used the assembled data in a meta-regression to estimate change in the prevalence of major depressive disorder and anxiety disorders between pre-pandemic and mid-pandemic (using periods as defined by each study) via COVID-19 impact indicators (human mobility, daily SARS-CoV-2 infection rate, and daily excess mortality rate). We then used this model to estimate the change from pre-pandemic prevalence (estimated using Disease Modelling Meta-Regression version 2.1 [known as DisMod-MR 2.1]) by age, sex, and location. We used final prevalence estimates and disability weights to estimate years lived with disability and disability-adjusted life-years (DALYs) for major depressive disorder and anxiety disorders.\nFindings\nWe identified 5683 unique data sources, of which 48 met inclusion criteria (46 studies met criteria for major depressive disorder and 27 for anxiety disorders). Two COVID-19 impact indicators, specifically daily SARS-CoV-2 infection rates and reductions in human mobility, were associated with increased prevalence of major depressive disorder (regression coefficient [B] 0·9 [95% uncertainty interval 0·1 to 1·8; p=0·029] for human mobility, 18·1 [7·9 to 28·3; p=0·0005] for daily SARS-CoV-2 infection) and anxiety disorders (0·9 [0·1 to 1·7; p=0·022] and 13·8 [10·7 to 17·0; p&lt;0·0001]. Females were affected more by the pandemic than males (B 0·1 [0·1 to 0·2; p=0·0001] for major depressive disorder, 0·1 [0·1 to 0·2; p=0·0001] for anxiety disorders) and younger age groups were more affected than older age groups (−0·007 [–0·009 to −0·006; p=0·0001] for major depressive disorder, −0·003 [–0·005 to −0·002; p=0·0001] for anxiety disorders). We estimated that the locations hit hardest by the pandemic in 2020, as measured with decreased human mobility and daily SARS-CoV-2 infection rate, had the greatest increases in prevalence of major depressive disorder and anxiety disorders. We estimated an additional 53·2 million (44·8 to 62·9) cases of major depressive disorder globally (an increase of 27·6% [25·1 to 30·3]) due to the COVID-19 pandemic, such that the total prevalence was 3152·9 cases (2722·5 to 3654·5) per 100 000 population. We also estimated an additional 76·2 million (64·3 to 90·6) cases of anxiety disorders globally (an increase of 25·6% [23·2 to 28·0]), such that the total prevalence was 4802·4 cases (4108·2 to 5588·6) per 100 000 population. Altogether, major depressive disorder caused 49·4 million (33·6 to 68·7) DALYs and anxiety disorders caused 44·5 million (30·2 to 62·5) DALYs globally in 2020.\nInterpretation\nThis pandemic has created an increased urgency to strengthen mental health systems in most countries. Mitigation strategies could incorporate ways to promote mental wellbeing and target determinants of poor mental health and interventions to treat those with a mental disorder. Taking no action to address the burden of major depressive disorder and anxiety disorders should not be an option.\nFunding\nQueensland Health, National Health and Medical Research Council, and the Bill and Melinda Gates Foundation.","container-title":"The Lancet","DOI":"10.1016/S0140-6736(21)02143-7","ISSN":"0140-6736","issue":"10312","journalAbbreviation":"The Lancet","language":"en","page":"1700-1712","source":"ScienceDirect","title":"Global prevalence and burden of depressive and anxiety disorders in 204 countries and territories in 2020 due to the COVID-19 pandemic","volume":"398","author":[{"family":"Santomauro","given":"Damian F"},{"family":"Mantilla Herrera","given":"Ana M"},{"family":"Shadid","given":"Jamileh"},{"family":"Zheng","given":"Peng"},{"family":"Ashbaugh","given":"Charlie"},{"family":"Pigott","given":"David M"},{"family":"Abbafati","given":"Cristiana"},{"family":"Adolph","given":"Christopher"},{"family":"Amlag","given":"Joanne O"},{"family":"Aravkin","given":"Aleksandr Y"},{"family":"Bang-Jensen","given":"Bree L"},{"family":"Bertolacci","given":"Gregory J"},{"family":"Bloom","given":"Sabina S"},{"family":"Castellano","given":"Rachel"},{"family":"Castro","given":"Emma"},{"family":"Chakrabarti","given":"Suman"},{"family":"Chattopadhyay","given":"Jhilik"},{"family":"Cogen","given":"Rebecca M"},{"family":"Collins","given":"James K"},{"family":"Dai","given":"Xiaochen"},{"family":"Dangel","given":"William James"},{"family":"Dapper","given":"Carolyn"},{"family":"Deen","given":"Amanda"},{"family":"Erickson","given":"Megan"},{"family":"Ewald","given":"Samuel B"},{"family":"Flaxman","given":"Abraham D"},{"family":"Frostad","given":"Joseph Jon"},{"family":"Fullman","given":"Nancy"},{"family":"Giles","given":"John R"},{"family":"Giref","given":"Ababi Zergaw"},{"family":"Guo","given":"Gaorui"},{"family":"He","given":"Jiawei"},{"family":"Helak","given":"Monika"},{"family":"Hulland","given":"Erin N"},{"family":"Idrisov","given":"Bulat"},{"family":"Lindstrom","given":"Akiaja"},{"family":"Linebarger","given":"Emily"},{"family":"Lotufo","given":"Paulo A"},{"family":"Lozano","given":"Rafael"},{"family":"Magistro","given":"Beatrice"},{"family":"Malta","given":"Deborah Carvalho"},{"family":"Månsson","given":"Johan C"},{"family":"Marinho","given":"Fatima"},{"family":"Mokdad","given":"Ali H"},{"family":"Monasta","given":"Lorenzo"},{"family":"Naik","given":"Paulami"},{"family":"Nomura","given":"Shuhei"},{"family":"O'Halloran","given":"James Kevin"},{"family":"Ostroff","given":"Samuel M"},{"family":"Pasovic","given":"Maja"},{"family":"Penberthy","given":"Louise"},{"family":"Reiner Jr","given":"Robert C"},{"family":"Reinke","given":"Grace"},{"family":"Ribeiro","given":"Antonio Luiz P"},{"family":"Sholokhov","given":"Aleksei"},{"family":"Sorensen","given":"Reed J D"},{"family":"Varavikova","given":"Elena"},{"family":"Vo","given":"Anh Truc"},{"family":"Walcott","given":"Rebecca"},{"family":"Watson","given":"Stefanie"},{"family":"Wiysonge","given":"Charles Shey"},{"family":"Zigler","given":"Bethany"},{"family":"Hay","given":"Simon I"},{"family":"Vos","given":"Theo"},{"family":"Murray","given":"Christopher J L"},{"family":"Whiteford","given":"Harvey A"},{"family":"Ferrari","given":"Alize J"}],"issued":{"date-parts":[["2021",11,6]]}}}],"schema":"https://github.com/citation-style-language/schema/raw/master/csl-citation.json"} </w:instrText>
      </w:r>
      <w:r w:rsidR="00B60E76" w:rsidRPr="00606D67">
        <w:rPr>
          <w:color w:val="000000" w:themeColor="text1"/>
        </w:rPr>
        <w:fldChar w:fldCharType="separate"/>
      </w:r>
      <w:r w:rsidR="00B60E76" w:rsidRPr="00606D67">
        <w:rPr>
          <w:color w:val="000000" w:themeColor="text1"/>
        </w:rPr>
        <w:t>(Chekole &amp; Abate, 2021; Henssler et al., 2021; Santomauro et al., 2021)</w:t>
      </w:r>
      <w:r w:rsidR="00B60E76" w:rsidRPr="00606D67">
        <w:rPr>
          <w:color w:val="000000" w:themeColor="text1"/>
        </w:rPr>
        <w:fldChar w:fldCharType="end"/>
      </w:r>
      <w:r w:rsidR="004F732F" w:rsidRPr="00606D67">
        <w:rPr>
          <w:color w:val="000000" w:themeColor="text1"/>
        </w:rPr>
        <w:t>, older</w:t>
      </w:r>
      <w:r w:rsidR="000D37EF" w:rsidRPr="00606D67">
        <w:rPr>
          <w:color w:val="000000" w:themeColor="text1"/>
        </w:rPr>
        <w:t xml:space="preserve"> </w:t>
      </w:r>
      <w:r w:rsidR="00DA033D" w:rsidRPr="00606D67">
        <w:rPr>
          <w:color w:val="000000" w:themeColor="text1"/>
        </w:rPr>
        <w:fldChar w:fldCharType="begin"/>
      </w:r>
      <w:r w:rsidR="00DA033D" w:rsidRPr="00606D67">
        <w:rPr>
          <w:color w:val="000000" w:themeColor="text1"/>
        </w:rPr>
        <w:instrText xml:space="preserve"> ADDIN ZOTERO_ITEM CSL_CITATION {"citationID":"kA4x5KUe","properties":{"formattedCitation":"(Zenebe et al., 2021)","plainCitation":"(Zenebe et al., 2021)","noteIndex":0},"citationItems":[{"id":1615,"uris":["http://zotero.org/users/5273986/items/JF6CT7ED"],"itemData":{"id":1615,"type":"article-journal","abstract":"Background: Depression is a leading cause of disability worldwide and is a major contributor to the overall global burden of disease. It is also one of the most common geriatric psychiatric disorders and a major risk factor for disability and mortality in elderly patients. Even though depression is a common mental health problem in the elderly population, it is undiagnosed in half of the cases. Several studies showed different and inconsistent prevalence rates in the world. Hence, this study aimed to fill the above gap by producing an average prevalence of depression and associated factors in old age. Objective: This study aims to conduct a systematic review and meta-analysis to provide a precise estimate of the prevalence of depression and its determinants among old age. Method: A comprehensive search of PubMed, Scopus, Web of sciences, Google Scholar, and Psych-info from database inception to January 2020. Moreover, the reference list of selected articles was looked at manually to have further eligible articles. The random-effects model was employed during the analysis. Stata-11 was used to determine the average prevalence of depression among old age. A sub-group analysis and sensitivity analysis were also run. A graphical inspection of the funnel plots and Egger’s publication bias plot test were checked for the occurrence of publication bias. Result: A search of the electronic and manual system resulted in 1263 articles. Nevertheless, after the huge screening, 42 relevant studies were identified, including, for this meta-analysis, n = 57,486 elderly populations. The average expected prevalence of depression among old age was 31.74% (95% CI 27.90, 35.59). In the sub-group analysis, the pooled prevalence was higher among developing countries; 40.78% than developed countries; 17.05%), studies utilized Geriatrics Depression Scale-30(GDS-30); 40.60% than studies that used GMS; 18.85%, study instrument, and studies having a lower sample size (40.12%) than studies with the higher sample; 20.19%. Conclusion: A high prevalence rate of depression among the old population in the world was unraveled. This study can be considered as an early warning and advised health professionals, health policymakers, and other pertinent stakeholders to take effective control measures and periodic care for the elderly population.","container-title":"Annals of General Psychiatry","DOI":"10.1186/s12991-021-00375-x","issue":"1","title":"Prevalence and determinants of depression among old age: a systematic review and meta-analysis","URL":"https://www.embase.com/search/results?subaction=viewrecord&amp;id=L2014495283&amp;from=export","volume":"20","author":[{"family":"Zenebe","given":"Y."},{"family":"Akele","given":"B."},{"family":"W/Selassie","given":"M."},{"family":"Necho","given":"M."}],"issued":{"date-parts":[["2021"]]}}}],"schema":"https://github.com/citation-style-language/schema/raw/master/csl-citation.json"} </w:instrText>
      </w:r>
      <w:r w:rsidR="00DA033D" w:rsidRPr="00606D67">
        <w:rPr>
          <w:color w:val="000000" w:themeColor="text1"/>
        </w:rPr>
        <w:fldChar w:fldCharType="separate"/>
      </w:r>
      <w:r w:rsidR="00DA033D" w:rsidRPr="00606D67">
        <w:rPr>
          <w:color w:val="000000" w:themeColor="text1"/>
        </w:rPr>
        <w:t>(Zenebe et al., 2021)</w:t>
      </w:r>
      <w:r w:rsidR="00DA033D" w:rsidRPr="00606D67">
        <w:rPr>
          <w:color w:val="000000" w:themeColor="text1"/>
        </w:rPr>
        <w:fldChar w:fldCharType="end"/>
      </w:r>
      <w:r w:rsidR="004F732F" w:rsidRPr="00606D67">
        <w:rPr>
          <w:color w:val="000000" w:themeColor="text1"/>
        </w:rPr>
        <w:t>, and unspecified age</w:t>
      </w:r>
      <w:r w:rsidR="009E48E7" w:rsidRPr="00606D67">
        <w:rPr>
          <w:color w:val="000000" w:themeColor="text1"/>
        </w:rPr>
        <w:t xml:space="preserve"> </w:t>
      </w:r>
      <w:r w:rsidR="009E48E7" w:rsidRPr="00606D67">
        <w:rPr>
          <w:color w:val="000000" w:themeColor="text1"/>
        </w:rPr>
        <w:fldChar w:fldCharType="begin"/>
      </w:r>
      <w:r w:rsidR="009E48E7" w:rsidRPr="00606D67">
        <w:rPr>
          <w:color w:val="000000" w:themeColor="text1"/>
        </w:rPr>
        <w:instrText xml:space="preserve"> ADDIN ZOTERO_ITEM CSL_CITATION {"citationID":"CaSdTCKU","properties":{"formattedCitation":"(Lund et al., 2018; Remes et al., 2021)","plainCitation":"(Lund et al., 2018; Remes et al., 2021)","noteIndex":0},"citationItems":[{"id":1394,"uris":["http://zotero.org/users/5273986/items/NG2WJEIQ"],"itemData":{"id":1394,"type":"article-journal","abstract":"Mental health has been included in the UN Sustainable Development Goals. However, uncertainty exists about the extent to which the major social determinants of mental disorders are addressed by these goals. The aim of this study was to develop a conceptual framework for the social determinants of mental disorders that is aligned with the Sustainable Development Goals, to use this framework to systematically review evidence regarding these social determinants, and to identify potential mechanisms and targets for interventions. We did a systematic review of reviews using a conceptual framework comprising demographic, economic, neighbourhood, environmental events, and social and culture domains. We included 289 articles in the final Review. This study sheds new light on how the Sustainable Development Goals are relevant for addressing the social determinants of mental disorders, and how these goals could be optimised to prevent mental disorders.","container-title":"The Lancet Psychiatry","DOI":"10.1016/S2215-0366(18)30060-9","ISSN":"2215-0366","issue":"4","journalAbbreviation":"The Lancet Psychiatry","language":"en","page":"357-369","source":"ScienceDirect","title":"Social determinants of mental disorders and the Sustainable Development Goals: a systematic review of reviews","title-short":"Social determinants of mental disorders and the Sustainable Development Goals","volume":"5","author":[{"family":"Lund","given":"Crick"},{"family":"Brooke-Sumner","given":"Carrie"},{"family":"Baingana","given":"Florence"},{"family":"Baron","given":"Emily Claire"},{"family":"Breuer","given":"Erica"},{"family":"Chandra","given":"Prabha"},{"family":"Haushofer","given":"Johannes"},{"family":"Herrman","given":"Helen"},{"family":"Jordans","given":"Mark"},{"family":"Kieling","given":"Christian"},{"family":"Medina-Mora","given":"Maria Elena"},{"family":"Morgan","given":"Ellen"},{"family":"Omigbodun","given":"Olayinka"},{"family":"Tol","given":"Wietse"},{"family":"Patel","given":"Vikram"},{"family":"Saxena","given":"Shekhar"}],"issued":{"date-parts":[["2018",4,1]]}}},{"id":1603,"uris":["http://zotero.org/users/5273986/items/V6VXANRG"],"itemData":{"id":1603,"type":"article-journal","abstract":"Depression is one of the leading causes of disability, and, if left unmanaged, it can increase the risk for suicide. The evidence base on the determinants of depression is fragmented, which makes the interpretation of the results across studies difficult. The objective of this study is to conduct a thorough synthesis of the literature assessing the biological, psychological, and social determinants of depression in order to piece together the puzzle of the key factors that are related to this condition. Titles and abstracts published between 2017 and 2020 were identified in PubMed, as well as Medline, Scopus, and PsycInfo. Key words relating to biological, social, and psychological determinants as well as depression were applied to the databases, and the screening and data charting of the documents took place. We included 470 documents in this literature review. The findings showed that there are a plethora of risk and protective factors (relating to biological, psychological, and social determinants) that are related to depression; these determinants are interlinked and influence depression outcomes through a web of causation. In this paper, we describe and present the vast, fragmented, and complex literature related to this topic. This review may be used to guide practice, public health efforts, policy, and research related to mental health and, specifically, depression.","container-title":"Brain Sciences","DOI":"10.3390/brainsci11121633","issue":"12","title":"Biological, psychological, and social determinants of depression: A review of recent literature","URL":"https://www.embase.com/search/results?subaction=viewrecord&amp;id=L2015091637&amp;from=export","volume":"11","author":[{"family":"Remes","given":"O."},{"family":"Francisco","given":"J."},{"family":"Templeton","given":"P."}],"issued":{"date-parts":[["2021"]]}}}],"schema":"https://github.com/citation-style-language/schema/raw/master/csl-citation.json"} </w:instrText>
      </w:r>
      <w:r w:rsidR="009E48E7" w:rsidRPr="00606D67">
        <w:rPr>
          <w:color w:val="000000" w:themeColor="text1"/>
        </w:rPr>
        <w:fldChar w:fldCharType="separate"/>
      </w:r>
      <w:r w:rsidR="009E48E7" w:rsidRPr="00606D67">
        <w:rPr>
          <w:color w:val="000000" w:themeColor="text1"/>
        </w:rPr>
        <w:t>(Lund et al., 2018; Remes et al., 2021)</w:t>
      </w:r>
      <w:r w:rsidR="009E48E7" w:rsidRPr="00606D67">
        <w:rPr>
          <w:color w:val="000000" w:themeColor="text1"/>
        </w:rPr>
        <w:fldChar w:fldCharType="end"/>
      </w:r>
      <w:r w:rsidR="009E48E7" w:rsidRPr="00606D67">
        <w:rPr>
          <w:color w:val="000000" w:themeColor="text1"/>
        </w:rPr>
        <w:t xml:space="preserve">. </w:t>
      </w:r>
      <w:r w:rsidR="007318AE" w:rsidRPr="00606D67">
        <w:rPr>
          <w:color w:val="000000" w:themeColor="text1"/>
        </w:rPr>
        <w:t>Ethnicity</w:t>
      </w:r>
      <w:r w:rsidR="00915798" w:rsidRPr="00606D67">
        <w:rPr>
          <w:color w:val="000000" w:themeColor="text1"/>
        </w:rPr>
        <w:t xml:space="preserve"> (unspecified)</w:t>
      </w:r>
      <w:r w:rsidR="007318AE" w:rsidRPr="00606D67">
        <w:rPr>
          <w:color w:val="000000" w:themeColor="text1"/>
        </w:rPr>
        <w:t xml:space="preserve"> was </w:t>
      </w:r>
      <w:r w:rsidR="00B64B0D" w:rsidRPr="00606D67">
        <w:rPr>
          <w:color w:val="000000" w:themeColor="text1"/>
        </w:rPr>
        <w:t xml:space="preserve">also </w:t>
      </w:r>
      <w:r w:rsidR="007318AE" w:rsidRPr="00606D67">
        <w:rPr>
          <w:color w:val="000000" w:themeColor="text1"/>
        </w:rPr>
        <w:t>identified as</w:t>
      </w:r>
      <w:r w:rsidR="00F54A82" w:rsidRPr="00606D67">
        <w:rPr>
          <w:color w:val="000000" w:themeColor="text1"/>
        </w:rPr>
        <w:t xml:space="preserve"> a determinant in </w:t>
      </w:r>
      <w:r w:rsidR="003055CA" w:rsidRPr="00606D67">
        <w:rPr>
          <w:color w:val="000000" w:themeColor="text1"/>
        </w:rPr>
        <w:t>three</w:t>
      </w:r>
      <w:r w:rsidR="00F54A82" w:rsidRPr="00606D67">
        <w:rPr>
          <w:color w:val="000000" w:themeColor="text1"/>
        </w:rPr>
        <w:t xml:space="preserve"> reviews</w:t>
      </w:r>
      <w:r w:rsidR="00712132" w:rsidRPr="00606D67">
        <w:rPr>
          <w:color w:val="000000" w:themeColor="text1"/>
        </w:rPr>
        <w:t xml:space="preserve"> </w:t>
      </w:r>
      <w:r w:rsidR="00915798" w:rsidRPr="00606D67">
        <w:rPr>
          <w:color w:val="000000" w:themeColor="text1"/>
        </w:rPr>
        <w:fldChar w:fldCharType="begin"/>
      </w:r>
      <w:r w:rsidR="00915798" w:rsidRPr="00606D67">
        <w:rPr>
          <w:color w:val="000000" w:themeColor="text1"/>
        </w:rPr>
        <w:instrText xml:space="preserve"> ADDIN ZOTERO_ITEM CSL_CITATION {"citationID":"Nm1GG1d0","properties":{"formattedCitation":"(Lund et al., 2018; Paradies et al., 2015; Remes et al., 2021)","plainCitation":"(Lund et al., 2018; Paradies et al., 2015; Remes et al., 2021)","noteIndex":0},"citationItems":[{"id":1394,"uris":["http://zotero.org/users/5273986/items/NG2WJEIQ"],"itemData":{"id":1394,"type":"article-journal","abstract":"Mental health has been included in the UN Sustainable Development Goals. However, uncertainty exists about the extent to which the major social determinants of mental disorders are addressed by these goals. The aim of this study was to develop a conceptual framework for the social determinants of mental disorders that is aligned with the Sustainable Development Goals, to use this framework to systematically review evidence regarding these social determinants, and to identify potential mechanisms and targets for interventions. We did a systematic review of reviews using a conceptual framework comprising demographic, economic, neighbourhood, environmental events, and social and culture domains. We included 289 articles in the final Review. This study sheds new light on how the Sustainable Development Goals are relevant for addressing the social determinants of mental disorders, and how these goals could be optimised to prevent mental disorders.","container-title":"The Lancet Psychiatry","DOI":"10.1016/S2215-0366(18)30060-9","ISSN":"2215-0366","issue":"4","journalAbbreviation":"The Lancet Psychiatry","language":"en","page":"357-369","source":"ScienceDirect","title":"Social determinants of mental disorders and the Sustainable Development Goals: a systematic review of reviews","title-short":"Social determinants of mental disorders and the Sustainable Development Goals","volume":"5","author":[{"family":"Lund","given":"Crick"},{"family":"Brooke-Sumner","given":"Carrie"},{"family":"Baingana","given":"Florence"},{"family":"Baron","given":"Emily Claire"},{"family":"Breuer","given":"Erica"},{"family":"Chandra","given":"Prabha"},{"family":"Haushofer","given":"Johannes"},{"family":"Herrman","given":"Helen"},{"family":"Jordans","given":"Mark"},{"family":"Kieling","given":"Christian"},{"family":"Medina-Mora","given":"Maria Elena"},{"family":"Morgan","given":"Ellen"},{"family":"Omigbodun","given":"Olayinka"},{"family":"Tol","given":"Wietse"},{"family":"Patel","given":"Vikram"},{"family":"Saxena","given":"Shekhar"}],"issued":{"date-parts":[["2018",4,1]]}}},{"id":1601,"uris":["http://zotero.org/users/5273986/items/ANFQFCM6"],"itemData":{"id":1601,"type":"article-journal","abstract":"Despite a growing body of epidemiological evidence in recent years documenting the health impacts of racism, the cumulative evidence base has yet to be synthesized in a comprehensive meta-analysis focused specifically on racism as a determinant of health. This meta-analysis reviewed the literature focusing on the relationship between reported racism and mental and physical health outcomes. Data from 293 studies reported in 333 articles published between 1983 and 2013, and conducted predominately in the U.S., were analysed using random effects models and mean weighted effect sizes. Racism was associated with poorer mental health (negative mental health: r = -.23, 95% CI [-.24,-.21], k = 227; positive mental health: r = -.13, 95% CI [-.16,-.10], k = 113), including depression, anxiety, psychological stress and various other outcomes. Racism was also associated with poorer general health (r = -.13 (95% CI [-.18,-.09], k = 30), and poorer physical health (r = -.09, 95% CI [-.12,-.06], k = 50). Moderation effects were found for some outcomes with regard to study and exposure characteristics. Effect sizes of racism on mental health were stronger in cross-sectional compared with longitudinal data and in non-representative samples compared with representative samples. Age, sex, birthplace and education level did not moderate the effects of racism on health. Ethnicity significantly moderated the effect of racism on negative mental health and physical health: the association between racism and negative mental health was significantly stronger for Asian American and Latino(a) American participants compared with African American participants, and the association between racism and physical health was significantly stronger for Latino(a) American participants compared with African American participants. Protocol PROSPERO registration number: CRD42013005464.","archive_location":"26398658","container-title":"PLoS ONE","DOI":"10.1371/journal.pone.0138511","issue":"9","page":"e0138511","title":"Racism as a determinant of health: A systematic review and meta-analysis","volume":"10","author":[{"family":"Paradies","given":"Y."},{"family":"Ben","given":"J."},{"family":"Denson","given":"N."},{"family":"Elias","given":"A."},{"family":"Priest","given":"N."},{"family":"Pieterse","given":"A."},{"family":"Gupta","given":"A."},{"family":"Kelaher","given":"M."},{"family":"Gee","given":"G."}],"issued":{"date-parts":[["2015"]]}}},{"id":1603,"uris":["http://zotero.org/users/5273986/items/V6VXANRG"],"itemData":{"id":1603,"type":"article-journal","abstract":"Depression is one of the leading causes of disability, and, if left unmanaged, it can increase the risk for suicide. The evidence base on the determinants of depression is fragmented, which makes the interpretation of the results across studies difficult. The objective of this study is to conduct a thorough synthesis of the literature assessing the biological, psychological, and social determinants of depression in order to piece together the puzzle of the key factors that are related to this condition. Titles and abstracts published between 2017 and 2020 were identified in PubMed, as well as Medline, Scopus, and PsycInfo. Key words relating to biological, social, and psychological determinants as well as depression were applied to the databases, and the screening and data charting of the documents took place. We included 470 documents in this literature review. The findings showed that there are a plethora of risk and protective factors (relating to biological, psychological, and social determinants) that are related to depression; these determinants are interlinked and influence depression outcomes through a web of causation. In this paper, we describe and present the vast, fragmented, and complex literature related to this topic. This review may be used to guide practice, public health efforts, policy, and research related to mental health and, specifically, depression.","container-title":"Brain Sciences","DOI":"10.3390/brainsci11121633","issue":"12","title":"Biological, psychological, and social determinants of depression: A review of recent literature","URL":"https://www.embase.com/search/results?subaction=viewrecord&amp;id=L2015091637&amp;from=export","volume":"11","author":[{"family":"Remes","given":"O."},{"family":"Francisco","given":"J."},{"family":"Templeton","given":"P."}],"issued":{"date-parts":[["2021"]]}}}],"schema":"https://github.com/citation-style-language/schema/raw/master/csl-citation.json"} </w:instrText>
      </w:r>
      <w:r w:rsidR="00915798" w:rsidRPr="00606D67">
        <w:rPr>
          <w:color w:val="000000" w:themeColor="text1"/>
        </w:rPr>
        <w:fldChar w:fldCharType="separate"/>
      </w:r>
      <w:r w:rsidR="00915798" w:rsidRPr="00606D67">
        <w:rPr>
          <w:color w:val="000000" w:themeColor="text1"/>
        </w:rPr>
        <w:t>(Lund et al., 2018; Paradies et al., 2015; Remes et al., 2021)</w:t>
      </w:r>
      <w:r w:rsidR="00915798" w:rsidRPr="00606D67">
        <w:rPr>
          <w:color w:val="000000" w:themeColor="text1"/>
        </w:rPr>
        <w:fldChar w:fldCharType="end"/>
      </w:r>
      <w:r w:rsidR="003055CA" w:rsidRPr="00606D67">
        <w:rPr>
          <w:color w:val="000000" w:themeColor="text1"/>
        </w:rPr>
        <w:t xml:space="preserve">. </w:t>
      </w:r>
    </w:p>
    <w:p w14:paraId="76B72045" w14:textId="77777777" w:rsidR="00857D99" w:rsidRPr="00606D67" w:rsidRDefault="00857D99" w:rsidP="008414F4">
      <w:pPr>
        <w:pStyle w:val="Newparagraph"/>
        <w:ind w:firstLine="0"/>
        <w:rPr>
          <w:color w:val="000000" w:themeColor="text1"/>
        </w:rPr>
      </w:pPr>
    </w:p>
    <w:p w14:paraId="0ABFAC98" w14:textId="38F43A13" w:rsidR="00E84A54" w:rsidRPr="00606D67" w:rsidRDefault="00E84A54" w:rsidP="00E94D0C">
      <w:pPr>
        <w:pStyle w:val="Heading1"/>
        <w:rPr>
          <w:color w:val="000000" w:themeColor="text1"/>
        </w:rPr>
      </w:pPr>
      <w:r w:rsidRPr="00606D67">
        <w:rPr>
          <w:color w:val="000000" w:themeColor="text1"/>
        </w:rPr>
        <w:t xml:space="preserve">Discussion </w:t>
      </w:r>
    </w:p>
    <w:p w14:paraId="6D4D8BD7" w14:textId="25355240" w:rsidR="000F24AB" w:rsidRPr="00606D67" w:rsidRDefault="00E94D0C" w:rsidP="00E94D0C">
      <w:pPr>
        <w:rPr>
          <w:color w:val="000000" w:themeColor="text1"/>
        </w:rPr>
      </w:pPr>
      <w:r w:rsidRPr="00606D67">
        <w:rPr>
          <w:color w:val="000000" w:themeColor="text1"/>
        </w:rPr>
        <w:t xml:space="preserve">This rapid review of systematic reviews aimed to identify existing evidence of the social determinants of mental illness. </w:t>
      </w:r>
      <w:r w:rsidR="00C005AD" w:rsidRPr="00606D67">
        <w:rPr>
          <w:color w:val="000000" w:themeColor="text1"/>
        </w:rPr>
        <w:t>Determinants captured in this review included conflict, violence and maltreatment, life events and experiences, racism and discrimination, culture and migration, social interaction and support, structural policies and inequality, financial factors, employment factors, housing and living conditions, and demographic factors.</w:t>
      </w:r>
    </w:p>
    <w:p w14:paraId="59926804" w14:textId="15B0A8FD" w:rsidR="00881585" w:rsidRPr="00606D67" w:rsidRDefault="00E94D0C" w:rsidP="004426B9">
      <w:pPr>
        <w:ind w:firstLine="720"/>
        <w:rPr>
          <w:color w:val="000000" w:themeColor="text1"/>
        </w:rPr>
      </w:pPr>
      <w:r w:rsidRPr="00606D67">
        <w:rPr>
          <w:color w:val="000000" w:themeColor="text1"/>
        </w:rPr>
        <w:t xml:space="preserve">Many </w:t>
      </w:r>
      <w:r w:rsidR="00B31CF1" w:rsidRPr="00606D67">
        <w:rPr>
          <w:color w:val="000000" w:themeColor="text1"/>
        </w:rPr>
        <w:t>of the determinants identified in the present review are</w:t>
      </w:r>
      <w:r w:rsidRPr="00606D67">
        <w:rPr>
          <w:color w:val="000000" w:themeColor="text1"/>
        </w:rPr>
        <w:t xml:space="preserve"> of particular concern in today’s social climate.</w:t>
      </w:r>
      <w:r w:rsidR="00AB3BD5" w:rsidRPr="00606D67">
        <w:rPr>
          <w:color w:val="000000" w:themeColor="text1"/>
        </w:rPr>
        <w:t xml:space="preserve"> Our</w:t>
      </w:r>
      <w:r w:rsidR="00450C62" w:rsidRPr="00606D67">
        <w:rPr>
          <w:color w:val="000000" w:themeColor="text1"/>
        </w:rPr>
        <w:t xml:space="preserve"> findings highlight </w:t>
      </w:r>
      <w:proofErr w:type="gramStart"/>
      <w:r w:rsidR="00450C62" w:rsidRPr="00606D67">
        <w:rPr>
          <w:color w:val="000000" w:themeColor="text1"/>
        </w:rPr>
        <w:t>that r</w:t>
      </w:r>
      <w:r w:rsidRPr="00606D67">
        <w:rPr>
          <w:color w:val="000000" w:themeColor="text1"/>
        </w:rPr>
        <w:t>ecent global phenomena</w:t>
      </w:r>
      <w:proofErr w:type="gramEnd"/>
      <w:r w:rsidRPr="00606D67">
        <w:rPr>
          <w:color w:val="000000" w:themeColor="text1"/>
        </w:rPr>
        <w:t xml:space="preserve"> such as the COVID-19 pandemic, global inflation, </w:t>
      </w:r>
      <w:r w:rsidR="00701FB4" w:rsidRPr="00606D67">
        <w:rPr>
          <w:color w:val="000000" w:themeColor="text1"/>
        </w:rPr>
        <w:t xml:space="preserve">social unrest, war, and </w:t>
      </w:r>
      <w:r w:rsidRPr="00606D67">
        <w:rPr>
          <w:color w:val="000000" w:themeColor="text1"/>
        </w:rPr>
        <w:t>the rising refugee crisis</w:t>
      </w:r>
      <w:r w:rsidR="00701FB4" w:rsidRPr="00606D67">
        <w:rPr>
          <w:color w:val="000000" w:themeColor="text1"/>
        </w:rPr>
        <w:t xml:space="preserve"> </w:t>
      </w:r>
      <w:r w:rsidRPr="00606D67">
        <w:rPr>
          <w:color w:val="000000" w:themeColor="text1"/>
        </w:rPr>
        <w:t xml:space="preserve">are likely contributing to a greater risk of mental illness. Socioeconomic determinants of mental illness identified included unemployment, cost of living, food insecurity and poverty; </w:t>
      </w:r>
      <w:r w:rsidR="00B31CF1" w:rsidRPr="00606D67">
        <w:rPr>
          <w:color w:val="000000" w:themeColor="text1"/>
        </w:rPr>
        <w:t>incidences of</w:t>
      </w:r>
      <w:r w:rsidRPr="00606D67">
        <w:rPr>
          <w:color w:val="000000" w:themeColor="text1"/>
        </w:rPr>
        <w:t xml:space="preserve"> which are </w:t>
      </w:r>
      <w:r w:rsidR="00B31CF1" w:rsidRPr="00606D67">
        <w:rPr>
          <w:color w:val="000000" w:themeColor="text1"/>
        </w:rPr>
        <w:t xml:space="preserve">increasing </w:t>
      </w:r>
      <w:r w:rsidR="00FD1711" w:rsidRPr="00606D67">
        <w:rPr>
          <w:color w:val="000000" w:themeColor="text1"/>
        </w:rPr>
        <w:t>in many countries worldwide</w:t>
      </w:r>
      <w:r w:rsidRPr="00606D67">
        <w:rPr>
          <w:color w:val="000000" w:themeColor="text1"/>
        </w:rPr>
        <w:t xml:space="preserve"> </w:t>
      </w:r>
      <w:r w:rsidR="00EF4B1A" w:rsidRPr="00606D67">
        <w:rPr>
          <w:color w:val="000000" w:themeColor="text1"/>
        </w:rPr>
        <w:fldChar w:fldCharType="begin"/>
      </w:r>
      <w:r w:rsidR="00EF4B1A" w:rsidRPr="00606D67">
        <w:rPr>
          <w:color w:val="000000" w:themeColor="text1"/>
        </w:rPr>
        <w:instrText xml:space="preserve"> ADDIN ZOTERO_ITEM CSL_CITATION {"citationID":"OmwHagVI","properties":{"formattedCitation":"(Lakner et al., 2022)","plainCitation":"(Lakner et al., 2022)","noteIndex":0},"citationItems":[{"id":1480,"uris":["http://zotero.org/users/5273986/items/JUDADMDQ"],"itemData":{"id":1480,"type":"article-journal","abstract":"The goals of ending extreme poverty by 2030 and working towards a more equal distribution of incomes are part of the United Nations’ Sustainable Development Goals. Using data from 166 countries comprising 97.5% of the world’s population, we simulate scenarios for global poverty from 2019 to 2030 under various assumptions about growth and inequality. We use different assumptions about growth incidence curves to model changes in inequality, and rely on a machine-learning algorithm called model-based recursive partitioning to model how growth in GDP is passed through to growth as observed in household surveys. When holding within-country inequality unchanged and letting GDP per capita grow according to World Bank forecasts and historically observed growth rates, our simulations suggest that the number of extreme poor (living on less than $1.90/day) will remain above 600 million in 2030, resulting in a global extreme poverty rate of 7.4%. If the Gini index in each country decreases by 1% per year, the global poverty rate could reduce to around 6.3% in 2030, equivalent to 89 million fewer people living in extreme poverty. Reducing each country’s Gini index by 1% per year has a larger impact on global poverty than increasing each country’s annual growth 1 percentage point above forecasts. We also study the impact of COVID-19 on poverty and find that the pandemic may have driven around 60 million people into extreme poverty in 2020. If the pandemic increased the Gini index by 2% in all countries, then more than 90 million may have been driven into extreme poverty in 2020.","container-title":"The Journal of Economic Inequality","DOI":"10.1007/s10888-021-09510-w","ISSN":"1573-8701","journalAbbreviation":"J Econ Inequal","language":"en","source":"Springer Link","title":"How much does reducing inequality matter for global poverty?","URL":"https://doi.org/10.1007/s10888-021-09510-w","author":[{"family":"Lakner","given":"Christoph"},{"family":"Mahler","given":"Daniel Gerszon"},{"family":"Negre","given":"Mario"},{"family":"Prydz","given":"Espen Beer"}],"accessed":{"date-parts":[["2022",7,26]]},"issued":{"date-parts":[["2022",3,2]]}}}],"schema":"https://github.com/citation-style-language/schema/raw/master/csl-citation.json"} </w:instrText>
      </w:r>
      <w:r w:rsidR="00EF4B1A" w:rsidRPr="00606D67">
        <w:rPr>
          <w:color w:val="000000" w:themeColor="text1"/>
        </w:rPr>
        <w:fldChar w:fldCharType="separate"/>
      </w:r>
      <w:r w:rsidR="00EF4B1A" w:rsidRPr="00606D67">
        <w:rPr>
          <w:color w:val="000000" w:themeColor="text1"/>
        </w:rPr>
        <w:t>(Lakner et al., 2022)</w:t>
      </w:r>
      <w:r w:rsidR="00EF4B1A" w:rsidRPr="00606D67">
        <w:rPr>
          <w:color w:val="000000" w:themeColor="text1"/>
        </w:rPr>
        <w:fldChar w:fldCharType="end"/>
      </w:r>
      <w:r w:rsidRPr="00606D67">
        <w:rPr>
          <w:color w:val="000000" w:themeColor="text1"/>
        </w:rPr>
        <w:t xml:space="preserve">. Their evidenced link to mental illness highlights the need for the provision of additional support to those experiencing </w:t>
      </w:r>
      <w:r w:rsidR="001F6C4F" w:rsidRPr="00606D67">
        <w:rPr>
          <w:color w:val="000000" w:themeColor="text1"/>
        </w:rPr>
        <w:t>social or economic</w:t>
      </w:r>
      <w:r w:rsidRPr="00606D67">
        <w:rPr>
          <w:color w:val="000000" w:themeColor="text1"/>
        </w:rPr>
        <w:t xml:space="preserve"> hardships. </w:t>
      </w:r>
    </w:p>
    <w:p w14:paraId="2A48FBD7" w14:textId="6E7AE65C" w:rsidR="008B685F" w:rsidRPr="00606D67" w:rsidRDefault="00B31CF1" w:rsidP="008B685F">
      <w:pPr>
        <w:ind w:firstLine="720"/>
        <w:rPr>
          <w:color w:val="000000" w:themeColor="text1"/>
        </w:rPr>
      </w:pPr>
      <w:r w:rsidRPr="00606D67">
        <w:rPr>
          <w:color w:val="000000" w:themeColor="text1"/>
        </w:rPr>
        <w:t>T</w:t>
      </w:r>
      <w:r w:rsidR="00E94D0C" w:rsidRPr="00606D67">
        <w:rPr>
          <w:color w:val="000000" w:themeColor="text1"/>
        </w:rPr>
        <w:t>he evidenced influence of migration related variables on mental illness has also emphasised the need to provide adequate care to those being forcibly displaced from their homes. Global refugee figures are rapidly growing, particularly amplified by the ongoing wars in Syria and Ukraine</w:t>
      </w:r>
      <w:r w:rsidR="0056108A" w:rsidRPr="00606D67">
        <w:rPr>
          <w:color w:val="000000" w:themeColor="text1"/>
        </w:rPr>
        <w:t xml:space="preserve"> </w:t>
      </w:r>
      <w:r w:rsidR="00B9630A" w:rsidRPr="00606D67">
        <w:rPr>
          <w:color w:val="000000" w:themeColor="text1"/>
        </w:rPr>
        <w:t>(</w:t>
      </w:r>
      <w:r w:rsidR="009F4E85" w:rsidRPr="00606D67">
        <w:rPr>
          <w:color w:val="000000" w:themeColor="text1"/>
        </w:rPr>
        <w:t xml:space="preserve">UNHCR </w:t>
      </w:r>
      <w:r w:rsidR="00B9630A" w:rsidRPr="00606D67">
        <w:rPr>
          <w:color w:val="000000" w:themeColor="text1"/>
        </w:rPr>
        <w:t>Operational Data Portal</w:t>
      </w:r>
      <w:r w:rsidR="009D4E25" w:rsidRPr="00606D67">
        <w:rPr>
          <w:color w:val="000000" w:themeColor="text1"/>
        </w:rPr>
        <w:t>, 2022</w:t>
      </w:r>
      <w:r w:rsidR="00B9630A" w:rsidRPr="00606D67">
        <w:rPr>
          <w:color w:val="000000" w:themeColor="text1"/>
        </w:rPr>
        <w:t>)</w:t>
      </w:r>
      <w:r w:rsidR="00E94D0C" w:rsidRPr="00606D67">
        <w:rPr>
          <w:color w:val="000000" w:themeColor="text1"/>
        </w:rPr>
        <w:t xml:space="preserve">. Efforts </w:t>
      </w:r>
      <w:r w:rsidR="00E94D0C" w:rsidRPr="00606D67">
        <w:rPr>
          <w:color w:val="000000" w:themeColor="text1"/>
        </w:rPr>
        <w:lastRenderedPageBreak/>
        <w:t xml:space="preserve">should be placed into ensuring equal access to support for refugees of all origins, </w:t>
      </w:r>
      <w:r w:rsidR="001A79C9" w:rsidRPr="00606D67">
        <w:rPr>
          <w:color w:val="000000" w:themeColor="text1"/>
        </w:rPr>
        <w:t xml:space="preserve">as </w:t>
      </w:r>
      <w:r w:rsidR="008B685F" w:rsidRPr="00606D67">
        <w:rPr>
          <w:color w:val="000000" w:themeColor="text1"/>
        </w:rPr>
        <w:t>they</w:t>
      </w:r>
      <w:r w:rsidR="001A79C9" w:rsidRPr="00606D67">
        <w:rPr>
          <w:color w:val="000000" w:themeColor="text1"/>
        </w:rPr>
        <w:t xml:space="preserve"> may face </w:t>
      </w:r>
      <w:r w:rsidR="003D17FE" w:rsidRPr="00606D67">
        <w:rPr>
          <w:color w:val="000000" w:themeColor="text1"/>
        </w:rPr>
        <w:t>both systematic and intrinsic barriers to accessing mental healthcare</w:t>
      </w:r>
      <w:r w:rsidR="006F70A4" w:rsidRPr="00606D67">
        <w:rPr>
          <w:color w:val="000000" w:themeColor="text1"/>
        </w:rPr>
        <w:t xml:space="preserve"> </w:t>
      </w:r>
      <w:r w:rsidR="002E08CA" w:rsidRPr="00606D67">
        <w:rPr>
          <w:color w:val="000000" w:themeColor="text1"/>
        </w:rPr>
        <w:fldChar w:fldCharType="begin"/>
      </w:r>
      <w:r w:rsidR="002E08CA" w:rsidRPr="00606D67">
        <w:rPr>
          <w:color w:val="000000" w:themeColor="text1"/>
        </w:rPr>
        <w:instrText xml:space="preserve"> ADDIN ZOTERO_ITEM CSL_CITATION {"citationID":"Mns85XhU","properties":{"formattedCitation":"(Fuhr et al., 2020; Kaufman et al., 2022)","plainCitation":"(Fuhr et al., 2020; Kaufman et al., 2022)","noteIndex":0},"citationItems":[{"id":1538,"uris":["http://zotero.org/users/5273986/items/GQ4ZQWZI"],"itemData":{"id":1538,"type":"article-journal","abstract":"AimsSyrian refugees may have increased mental health needs due to the frequent exposure to potentially traumatic events and violence experienced during the flight from their home country, breakdown of supportive social networks and daily life stressors related to refugee life. The aim of this study is to report evidence on mental health needs and access to mental health and psychosocial support (MHPSS) among Syrians refugees living in Sultanbeyli-Istanbul, Turkey.MethodsA cross-sectional survey was conducted among Syrian refugees aged 18 years or over in Sultanbeyli between February and May 2018. We used random sampling to select respondents by using the registration system of the municipality. Data among 1678 Syrian refugees were collected on mental health outcomes using the Posttraumatic Stress Disorder (PTSD) Checklist (PCL-5) and the Hopkins Symptoms Checklist (HSCL-25) for depression and anxiety. We also collected data on health care utilisation, barriers to seeking and continuing care as well as knowledge and attitudes towards mental health. Descriptive analyses were used.ResultsThe estimated prevalence of symptoms of PTSD, depression and anxiety was 19.6, 34.7 and 36.1%, respectively. In total, 249 respondents (15%) screened positive for either PTSD, depression or anxiety in our survey and self-reported emotional/behavioural problems since arriving in Sultanbeyli. The treatment gap (the proportion of these 249 people who did not seek care) was 89% for PTSD, 90% for anxiety and 88% for depression. Several structural and attitudinal barriers for not seeking care were reported, including the cost of mental health care, the belief that time would improve symptoms, fear of being stigmatised and lack of knowledge on where and how to get help. Some negative attitudes towards people with mental health problems were reported by respondents.ConclusionsSyrian refugees hardly access MHPSS services despite high mental health needs, and despite formally having access to the public mental health system in Turkey. To overcome the treatment gap, MHPSS programmes need to be implemented in the community and need to overcome the barriers to seeking care which were identified in this study. Mental health awareness raising activities should be provided in the community alongside the delivery of psychological interventions. This is to increase help-seeking and to tackle negative attitudes towards mental health and people with mental health problems.","container-title":"Epidemiology and Psychiatric Sciences","DOI":"10.1017/S2045796019000660","ISSN":"2045-7960, 2045-7979","language":"en","note":"publisher: Cambridge University Press","source":"Cambridge University Press","title":"Treatment gap and mental health service use among Syrian refugees in Sultanbeyli, Istanbul: a cross-sectional survey","title-short":"Treatment gap and mental health service use among Syrian refugees in Sultanbeyli, Istanbul","URL":"https://www.cambridge.org/core/journals/epidemiology-and-psychiatric-sciences/article/treatment-gap-and-mental-health-service-use-among-syrian-refugees-in-sultanbeyli-istanbul-a-crosssectional-survey/210CA1F1AC03C5A868D545007389D06E","volume":"29","author":[{"family":"Fuhr","given":"D. C."},{"family":"Acarturk","given":"C."},{"family":"McGrath","given":"M."},{"family":"Ilkkursun","given":"Z."},{"family":"Sondorp","given":"E."},{"family":"Sijbrandij","given":"M."},{"family":"Ventevogel","given":"P."},{"family":"Cuijpers","given":"P."},{"family":"McKee","given":"M."},{"family":"Roberts","given":"B."}],"accessed":{"date-parts":[["2022",8,11]]},"issued":{"date-parts":[["2020"]],"season":"ed"}}},{"id":1535,"uris":["http://zotero.org/users/5273986/items/RL2WNDY7"],"itemData":{"id":1535,"type":"article-journal","abstract":"The Ukrainian refugee crisis highlights the many issues associated with trauma, distress, mental and physical health, culturally competent assessments, and meaningful support and interventions. This crisis requires international support and a global response, as hosting countries have specific competencies and capacities. The authors hope that the groundswell of international concern over the crisis in Ukraine will lead not only to a comprehensive response to the needs of refugees from that country but also to a recognition of the needs of other asylum seekers and refugees and to our collective moral obligation to address those needs equitably.","container-title":"BJPsych Open","DOI":"10.1192/bjo.2022.55","ISSN":"2056-4724","issue":"3","language":"en","note":"publisher: Cambridge University Press","source":"Cambridge University Press","title":"Mental health responses in countries hosting refugees from Ukraine","URL":"https://www.cambridge.org/core/journals/bjpsych-open/article/mental-health-responses-in-countries-hosting-refugees-from-ukraine/68426CEAC5FF104BAF6A05972F498A7C","volume":"8","author":[{"family":"Kaufman","given":"Kenneth R."},{"family":"Bhui","given":"Kamaldeep"},{"family":"Katona","given":"Cornelius"}],"accessed":{"date-parts":[["2022",8,11]]},"issued":{"date-parts":[["2022",5]]}}}],"schema":"https://github.com/citation-style-language/schema/raw/master/csl-citation.json"} </w:instrText>
      </w:r>
      <w:r w:rsidR="002E08CA" w:rsidRPr="00606D67">
        <w:rPr>
          <w:color w:val="000000" w:themeColor="text1"/>
        </w:rPr>
        <w:fldChar w:fldCharType="separate"/>
      </w:r>
      <w:r w:rsidR="002E08CA" w:rsidRPr="00606D67">
        <w:rPr>
          <w:color w:val="000000" w:themeColor="text1"/>
        </w:rPr>
        <w:t>(Fuhr et al., 2020; Kaufman et al., 2022)</w:t>
      </w:r>
      <w:r w:rsidR="002E08CA" w:rsidRPr="00606D67">
        <w:rPr>
          <w:color w:val="000000" w:themeColor="text1"/>
        </w:rPr>
        <w:fldChar w:fldCharType="end"/>
      </w:r>
      <w:r w:rsidR="006F70A4" w:rsidRPr="00606D67">
        <w:rPr>
          <w:color w:val="000000" w:themeColor="text1"/>
        </w:rPr>
        <w:t xml:space="preserve">. </w:t>
      </w:r>
      <w:r w:rsidR="00E94D0C" w:rsidRPr="00606D67">
        <w:rPr>
          <w:color w:val="000000" w:themeColor="text1"/>
        </w:rPr>
        <w:t>Conflict associated with war or social unrest was also shown to negatively impact mental health</w:t>
      </w:r>
      <w:r w:rsidR="006D471B" w:rsidRPr="00606D67">
        <w:rPr>
          <w:color w:val="000000" w:themeColor="text1"/>
        </w:rPr>
        <w:t xml:space="preserve"> in the present review</w:t>
      </w:r>
      <w:r w:rsidR="00E94D0C" w:rsidRPr="00606D67">
        <w:rPr>
          <w:color w:val="000000" w:themeColor="text1"/>
        </w:rPr>
        <w:t xml:space="preserve">, furthering the importance of </w:t>
      </w:r>
      <w:r w:rsidR="0044745D" w:rsidRPr="00606D67">
        <w:rPr>
          <w:color w:val="000000" w:themeColor="text1"/>
        </w:rPr>
        <w:t xml:space="preserve">providing </w:t>
      </w:r>
      <w:r w:rsidR="00E94D0C" w:rsidRPr="00606D67">
        <w:rPr>
          <w:color w:val="000000" w:themeColor="text1"/>
        </w:rPr>
        <w:t>adequate support</w:t>
      </w:r>
      <w:r w:rsidR="008B685F" w:rsidRPr="00606D67">
        <w:rPr>
          <w:color w:val="000000" w:themeColor="text1"/>
        </w:rPr>
        <w:t xml:space="preserve"> to those fleeing conflict</w:t>
      </w:r>
      <w:r w:rsidR="005009A0" w:rsidRPr="00606D67">
        <w:rPr>
          <w:color w:val="000000" w:themeColor="text1"/>
        </w:rPr>
        <w:t>-</w:t>
      </w:r>
      <w:r w:rsidR="008B685F" w:rsidRPr="00606D67">
        <w:rPr>
          <w:color w:val="000000" w:themeColor="text1"/>
        </w:rPr>
        <w:t>affected areas</w:t>
      </w:r>
      <w:r w:rsidR="00E94D0C" w:rsidRPr="00606D67">
        <w:rPr>
          <w:color w:val="000000" w:themeColor="text1"/>
        </w:rPr>
        <w:t xml:space="preserve">. </w:t>
      </w:r>
    </w:p>
    <w:p w14:paraId="55D28B48" w14:textId="745EF757" w:rsidR="00E94D0C" w:rsidRPr="00606D67" w:rsidRDefault="00E94D0C" w:rsidP="00192F9F">
      <w:pPr>
        <w:ind w:firstLine="720"/>
        <w:rPr>
          <w:color w:val="000000" w:themeColor="text1"/>
        </w:rPr>
      </w:pPr>
      <w:r w:rsidRPr="00606D67">
        <w:rPr>
          <w:color w:val="000000" w:themeColor="text1"/>
        </w:rPr>
        <w:t>Other mental illness determinants identified in the present review included significant li</w:t>
      </w:r>
      <w:r w:rsidR="006D4CBE" w:rsidRPr="00606D67">
        <w:rPr>
          <w:color w:val="000000" w:themeColor="text1"/>
        </w:rPr>
        <w:t>f</w:t>
      </w:r>
      <w:r w:rsidRPr="00606D67">
        <w:rPr>
          <w:color w:val="000000" w:themeColor="text1"/>
        </w:rPr>
        <w:t>e events</w:t>
      </w:r>
      <w:r w:rsidR="006D4CBE" w:rsidRPr="00606D67">
        <w:rPr>
          <w:color w:val="000000" w:themeColor="text1"/>
        </w:rPr>
        <w:t xml:space="preserve"> and </w:t>
      </w:r>
      <w:r w:rsidRPr="00606D67">
        <w:rPr>
          <w:color w:val="000000" w:themeColor="text1"/>
        </w:rPr>
        <w:t xml:space="preserve">experiences, </w:t>
      </w:r>
      <w:r w:rsidR="006D4CBE" w:rsidRPr="00606D67">
        <w:rPr>
          <w:color w:val="000000" w:themeColor="text1"/>
        </w:rPr>
        <w:t xml:space="preserve">racism and </w:t>
      </w:r>
      <w:r w:rsidRPr="00606D67">
        <w:rPr>
          <w:color w:val="000000" w:themeColor="text1"/>
        </w:rPr>
        <w:t>discrimination</w:t>
      </w:r>
      <w:r w:rsidR="006D4CBE" w:rsidRPr="00606D67">
        <w:rPr>
          <w:color w:val="000000" w:themeColor="text1"/>
        </w:rPr>
        <w:t>,</w:t>
      </w:r>
      <w:r w:rsidR="00814CC8" w:rsidRPr="00606D67">
        <w:rPr>
          <w:color w:val="000000" w:themeColor="text1"/>
        </w:rPr>
        <w:t xml:space="preserve"> and conflict, violence and maltreatment</w:t>
      </w:r>
      <w:r w:rsidRPr="00606D67">
        <w:rPr>
          <w:color w:val="000000" w:themeColor="text1"/>
        </w:rPr>
        <w:t xml:space="preserve">. People </w:t>
      </w:r>
      <w:r w:rsidR="00610749" w:rsidRPr="00606D67">
        <w:rPr>
          <w:color w:val="000000" w:themeColor="text1"/>
        </w:rPr>
        <w:t>vulnerable</w:t>
      </w:r>
      <w:r w:rsidR="00093492" w:rsidRPr="00606D67">
        <w:rPr>
          <w:color w:val="000000" w:themeColor="text1"/>
        </w:rPr>
        <w:t xml:space="preserve"> to such social determinants </w:t>
      </w:r>
      <w:r w:rsidR="00BB44EF" w:rsidRPr="00606D67">
        <w:rPr>
          <w:color w:val="000000" w:themeColor="text1"/>
        </w:rPr>
        <w:t xml:space="preserve">may </w:t>
      </w:r>
      <w:r w:rsidR="009121C8" w:rsidRPr="00606D67">
        <w:rPr>
          <w:color w:val="000000" w:themeColor="text1"/>
        </w:rPr>
        <w:t xml:space="preserve">therefore </w:t>
      </w:r>
      <w:r w:rsidR="00BB44EF" w:rsidRPr="00606D67">
        <w:rPr>
          <w:color w:val="000000" w:themeColor="text1"/>
        </w:rPr>
        <w:t>re</w:t>
      </w:r>
      <w:r w:rsidR="009121C8" w:rsidRPr="00606D67">
        <w:rPr>
          <w:color w:val="000000" w:themeColor="text1"/>
        </w:rPr>
        <w:t>quire additional supports to navigate these issues.</w:t>
      </w:r>
      <w:r w:rsidR="00192F9F" w:rsidRPr="00606D67">
        <w:rPr>
          <w:color w:val="000000" w:themeColor="text1"/>
        </w:rPr>
        <w:t xml:space="preserve"> </w:t>
      </w:r>
      <w:r w:rsidRPr="00606D67">
        <w:rPr>
          <w:color w:val="000000" w:themeColor="text1"/>
        </w:rPr>
        <w:t xml:space="preserve">Mental health </w:t>
      </w:r>
      <w:r w:rsidR="001A67D2" w:rsidRPr="00606D67">
        <w:rPr>
          <w:color w:val="000000" w:themeColor="text1"/>
        </w:rPr>
        <w:t>practitioners</w:t>
      </w:r>
      <w:r w:rsidRPr="00606D67">
        <w:rPr>
          <w:color w:val="000000" w:themeColor="text1"/>
        </w:rPr>
        <w:t xml:space="preserve"> should also ensure equality in access and quality of care for people particularly vu</w:t>
      </w:r>
      <w:r w:rsidR="00610749" w:rsidRPr="00606D67">
        <w:rPr>
          <w:color w:val="000000" w:themeColor="text1"/>
        </w:rPr>
        <w:t>l</w:t>
      </w:r>
      <w:r w:rsidRPr="00606D67">
        <w:rPr>
          <w:color w:val="000000" w:themeColor="text1"/>
        </w:rPr>
        <w:t xml:space="preserve">nerable to discrimination, such as racial or ethnic minorities. </w:t>
      </w:r>
      <w:r w:rsidR="00F03D1F" w:rsidRPr="00606D67">
        <w:rPr>
          <w:color w:val="000000" w:themeColor="text1"/>
        </w:rPr>
        <w:t>S</w:t>
      </w:r>
      <w:r w:rsidRPr="00606D67">
        <w:rPr>
          <w:color w:val="000000" w:themeColor="text1"/>
        </w:rPr>
        <w:t>pecific demographic</w:t>
      </w:r>
      <w:r w:rsidR="00582832" w:rsidRPr="00606D67">
        <w:rPr>
          <w:color w:val="000000" w:themeColor="text1"/>
        </w:rPr>
        <w:t xml:space="preserve"> groups</w:t>
      </w:r>
      <w:r w:rsidRPr="00606D67">
        <w:rPr>
          <w:color w:val="000000" w:themeColor="text1"/>
        </w:rPr>
        <w:t xml:space="preserve"> may be more </w:t>
      </w:r>
      <w:r w:rsidR="00610749" w:rsidRPr="00606D67">
        <w:rPr>
          <w:color w:val="000000" w:themeColor="text1"/>
        </w:rPr>
        <w:t>vulnerable</w:t>
      </w:r>
      <w:r w:rsidRPr="00606D67">
        <w:rPr>
          <w:color w:val="000000" w:themeColor="text1"/>
        </w:rPr>
        <w:t xml:space="preserve"> to the impacts of certain social determinants</w:t>
      </w:r>
      <w:r w:rsidR="00F03D1F" w:rsidRPr="00606D67">
        <w:rPr>
          <w:color w:val="000000" w:themeColor="text1"/>
        </w:rPr>
        <w:t xml:space="preserve"> and should warrant particular attention</w:t>
      </w:r>
      <w:r w:rsidRPr="00606D67">
        <w:rPr>
          <w:color w:val="000000" w:themeColor="text1"/>
        </w:rPr>
        <w:t xml:space="preserve">. </w:t>
      </w:r>
    </w:p>
    <w:p w14:paraId="093638A7" w14:textId="153C7B9D" w:rsidR="00E94D0C" w:rsidRPr="00606D67" w:rsidRDefault="00E94D0C" w:rsidP="00C0066E">
      <w:pPr>
        <w:ind w:firstLine="720"/>
        <w:rPr>
          <w:color w:val="000000" w:themeColor="text1"/>
        </w:rPr>
      </w:pPr>
      <w:r w:rsidRPr="00606D67">
        <w:rPr>
          <w:color w:val="000000" w:themeColor="text1"/>
        </w:rPr>
        <w:t xml:space="preserve">The current rapid review </w:t>
      </w:r>
      <w:r w:rsidR="00ED2D13" w:rsidRPr="00606D67">
        <w:rPr>
          <w:color w:val="000000" w:themeColor="text1"/>
        </w:rPr>
        <w:t xml:space="preserve">showed </w:t>
      </w:r>
      <w:r w:rsidRPr="00606D67">
        <w:rPr>
          <w:color w:val="000000" w:themeColor="text1"/>
        </w:rPr>
        <w:t xml:space="preserve">that a wide array of social determinants is known to contribute to mental illness. </w:t>
      </w:r>
      <w:r w:rsidR="00ED2D13" w:rsidRPr="00606D67">
        <w:rPr>
          <w:color w:val="000000" w:themeColor="text1"/>
        </w:rPr>
        <w:t>However, o</w:t>
      </w:r>
      <w:r w:rsidR="00C0066E" w:rsidRPr="00606D67">
        <w:rPr>
          <w:color w:val="000000" w:themeColor="text1"/>
        </w:rPr>
        <w:t xml:space="preserve">ne limitation of the included </w:t>
      </w:r>
      <w:r w:rsidR="00D377F5" w:rsidRPr="00606D67">
        <w:rPr>
          <w:color w:val="000000" w:themeColor="text1"/>
        </w:rPr>
        <w:t>systematic reviews</w:t>
      </w:r>
      <w:r w:rsidR="00ED2D13" w:rsidRPr="00606D67">
        <w:rPr>
          <w:color w:val="000000" w:themeColor="text1"/>
        </w:rPr>
        <w:t xml:space="preserve"> </w:t>
      </w:r>
      <w:r w:rsidR="00C0066E" w:rsidRPr="00606D67">
        <w:rPr>
          <w:color w:val="000000" w:themeColor="text1"/>
        </w:rPr>
        <w:t xml:space="preserve">was that relatively few </w:t>
      </w:r>
      <w:r w:rsidRPr="00606D67">
        <w:rPr>
          <w:color w:val="000000" w:themeColor="text1"/>
        </w:rPr>
        <w:t>investigated the impact of determinants on specific mental illnesses, opting instead to investigate their impacts on multiple health symptoms and diagnoses.</w:t>
      </w:r>
      <w:r w:rsidR="00ED2D13" w:rsidRPr="00606D67">
        <w:rPr>
          <w:color w:val="000000" w:themeColor="text1"/>
        </w:rPr>
        <w:t xml:space="preserve"> Thus, i</w:t>
      </w:r>
      <w:r w:rsidRPr="00606D67">
        <w:rPr>
          <w:color w:val="000000" w:themeColor="text1"/>
        </w:rPr>
        <w:t xml:space="preserve">t was not possible to synthesise findings across mental illness diagnoses. The detail at which social determinants were discussed in the included reviews was also largely heterogeneous. Furthermore, some reviews examined secondary determinants, such as differential impacts of determinants by demographic, while others did not. Overall, substantial heterogeneity made </w:t>
      </w:r>
      <w:r w:rsidR="00C10573" w:rsidRPr="00606D67">
        <w:rPr>
          <w:color w:val="000000" w:themeColor="text1"/>
        </w:rPr>
        <w:t xml:space="preserve">it </w:t>
      </w:r>
      <w:r w:rsidRPr="00606D67">
        <w:rPr>
          <w:color w:val="000000" w:themeColor="text1"/>
        </w:rPr>
        <w:t xml:space="preserve">difficult to ascertain the extent to which specific determinants identified in the review have been linked to specific mental illnesses. There was also a notable lack of clarity around the quality of </w:t>
      </w:r>
      <w:r w:rsidRPr="00606D67">
        <w:rPr>
          <w:color w:val="000000" w:themeColor="text1"/>
        </w:rPr>
        <w:lastRenderedPageBreak/>
        <w:t xml:space="preserve">studies included in many of the reviews, and as studies were mainly cross-sectional and descriptive in nature, causal effects could not be established in most instances. </w:t>
      </w:r>
    </w:p>
    <w:p w14:paraId="618310DC" w14:textId="1B3BABF3" w:rsidR="007E2294" w:rsidRPr="00606D67" w:rsidRDefault="00E94D0C" w:rsidP="00481B15">
      <w:pPr>
        <w:ind w:firstLine="720"/>
        <w:rPr>
          <w:color w:val="000000" w:themeColor="text1"/>
        </w:rPr>
      </w:pPr>
      <w:r w:rsidRPr="00606D67">
        <w:rPr>
          <w:color w:val="000000" w:themeColor="text1"/>
        </w:rPr>
        <w:t>Despite</w:t>
      </w:r>
      <w:r w:rsidR="00EC77E8" w:rsidRPr="00606D67">
        <w:rPr>
          <w:color w:val="000000" w:themeColor="text1"/>
        </w:rPr>
        <w:t xml:space="preserve"> its strengths</w:t>
      </w:r>
      <w:r w:rsidR="00091090" w:rsidRPr="00606D67">
        <w:rPr>
          <w:color w:val="000000" w:themeColor="text1"/>
        </w:rPr>
        <w:t>,</w:t>
      </w:r>
      <w:r w:rsidR="00EC77E8" w:rsidRPr="00606D67">
        <w:rPr>
          <w:color w:val="000000" w:themeColor="text1"/>
        </w:rPr>
        <w:t xml:space="preserve"> the present rap</w:t>
      </w:r>
      <w:r w:rsidR="007B2793" w:rsidRPr="00606D67">
        <w:rPr>
          <w:color w:val="000000" w:themeColor="text1"/>
        </w:rPr>
        <w:t>id</w:t>
      </w:r>
      <w:r w:rsidR="00EC77E8" w:rsidRPr="00606D67">
        <w:rPr>
          <w:color w:val="000000" w:themeColor="text1"/>
        </w:rPr>
        <w:t xml:space="preserve"> review has some</w:t>
      </w:r>
      <w:r w:rsidRPr="00606D67">
        <w:rPr>
          <w:color w:val="000000" w:themeColor="text1"/>
        </w:rPr>
        <w:t xml:space="preserve"> limitations </w:t>
      </w:r>
      <w:r w:rsidR="00EC77E8" w:rsidRPr="00606D67">
        <w:rPr>
          <w:color w:val="000000" w:themeColor="text1"/>
        </w:rPr>
        <w:t xml:space="preserve">that should be considered when interpreting findings. First, </w:t>
      </w:r>
      <w:r w:rsidRPr="00606D67">
        <w:rPr>
          <w:color w:val="000000" w:themeColor="text1"/>
        </w:rPr>
        <w:t xml:space="preserve">while an advantage of conducting a review of systematic reviews was its ability to provide a more comprehensive outline of existing evidence, it also leaves the possibility that some important studies were not included in the report. </w:t>
      </w:r>
      <w:r w:rsidR="00EC77E8" w:rsidRPr="00606D67">
        <w:rPr>
          <w:color w:val="000000" w:themeColor="text1"/>
        </w:rPr>
        <w:t>Second, r</w:t>
      </w:r>
      <w:r w:rsidRPr="00606D67">
        <w:rPr>
          <w:color w:val="000000" w:themeColor="text1"/>
        </w:rPr>
        <w:t xml:space="preserve">eviews with highly specific populations, such as people with ankylosing spondylitis or Malaysian medical students were also excluded due to a lack of applicability to the general population, though it is possible that doing so relevant information </w:t>
      </w:r>
      <w:r w:rsidR="00EC77E8" w:rsidRPr="00606D67">
        <w:rPr>
          <w:color w:val="000000" w:themeColor="text1"/>
        </w:rPr>
        <w:t>may have been missed.</w:t>
      </w:r>
      <w:r w:rsidR="007D06FB" w:rsidRPr="00606D67">
        <w:rPr>
          <w:color w:val="000000" w:themeColor="text1"/>
        </w:rPr>
        <w:t xml:space="preserve"> </w:t>
      </w:r>
      <w:r w:rsidR="002B5C86" w:rsidRPr="00606D67">
        <w:rPr>
          <w:color w:val="000000" w:themeColor="text1"/>
        </w:rPr>
        <w:t>Lastly, the inter-rater reliability coefficient for full-text screening indicated moderate agreement</w:t>
      </w:r>
      <w:r w:rsidR="00DD5E3B" w:rsidRPr="00606D67">
        <w:rPr>
          <w:color w:val="000000" w:themeColor="text1"/>
        </w:rPr>
        <w:t xml:space="preserve"> between reviewers</w:t>
      </w:r>
      <w:r w:rsidR="002B5C86" w:rsidRPr="00606D67">
        <w:rPr>
          <w:color w:val="000000" w:themeColor="text1"/>
        </w:rPr>
        <w:t xml:space="preserve"> (</w:t>
      </w:r>
      <w:r w:rsidR="00687620" w:rsidRPr="00606D67">
        <w:rPr>
          <w:i/>
          <w:iCs/>
          <w:color w:val="000000" w:themeColor="text1"/>
        </w:rPr>
        <w:t xml:space="preserve">k </w:t>
      </w:r>
      <w:r w:rsidR="00687620" w:rsidRPr="00606D67">
        <w:rPr>
          <w:color w:val="000000" w:themeColor="text1"/>
        </w:rPr>
        <w:t>= 0.45)</w:t>
      </w:r>
      <w:r w:rsidR="005D551F" w:rsidRPr="00606D67">
        <w:rPr>
          <w:color w:val="000000" w:themeColor="text1"/>
        </w:rPr>
        <w:t>. This</w:t>
      </w:r>
      <w:r w:rsidR="00A749EE" w:rsidRPr="00606D67">
        <w:rPr>
          <w:color w:val="000000" w:themeColor="text1"/>
        </w:rPr>
        <w:t xml:space="preserve"> </w:t>
      </w:r>
      <w:r w:rsidR="00687620" w:rsidRPr="00606D67">
        <w:rPr>
          <w:color w:val="000000" w:themeColor="text1"/>
        </w:rPr>
        <w:t xml:space="preserve">may reflect </w:t>
      </w:r>
      <w:r w:rsidR="00560FBA" w:rsidRPr="00606D67">
        <w:rPr>
          <w:color w:val="000000" w:themeColor="text1"/>
        </w:rPr>
        <w:t xml:space="preserve">a lack of clarity presented in some reviews surrounding the </w:t>
      </w:r>
      <w:r w:rsidR="003E624B" w:rsidRPr="00606D67">
        <w:rPr>
          <w:color w:val="000000" w:themeColor="text1"/>
        </w:rPr>
        <w:t xml:space="preserve">description of the </w:t>
      </w:r>
      <w:r w:rsidR="00EE3B38" w:rsidRPr="00606D67">
        <w:rPr>
          <w:color w:val="000000" w:themeColor="text1"/>
        </w:rPr>
        <w:t xml:space="preserve">review question. </w:t>
      </w:r>
      <w:r w:rsidR="00A749EE" w:rsidRPr="00606D67">
        <w:rPr>
          <w:color w:val="000000" w:themeColor="text1"/>
        </w:rPr>
        <w:t xml:space="preserve">However, the percentage </w:t>
      </w:r>
      <w:r w:rsidR="00A4160A" w:rsidRPr="00606D67">
        <w:rPr>
          <w:color w:val="000000" w:themeColor="text1"/>
        </w:rPr>
        <w:t>calculation</w:t>
      </w:r>
      <w:r w:rsidR="00A749EE" w:rsidRPr="00606D67">
        <w:rPr>
          <w:color w:val="000000" w:themeColor="text1"/>
        </w:rPr>
        <w:t xml:space="preserve"> ind</w:t>
      </w:r>
      <w:r w:rsidR="00332708" w:rsidRPr="00606D67">
        <w:rPr>
          <w:color w:val="000000" w:themeColor="text1"/>
        </w:rPr>
        <w:t xml:space="preserve">icated high agreement </w:t>
      </w:r>
      <w:r w:rsidR="00F3673A" w:rsidRPr="00606D67">
        <w:rPr>
          <w:color w:val="000000" w:themeColor="text1"/>
        </w:rPr>
        <w:t xml:space="preserve">between reviewers </w:t>
      </w:r>
      <w:r w:rsidR="00332708" w:rsidRPr="00606D67">
        <w:rPr>
          <w:color w:val="000000" w:themeColor="text1"/>
        </w:rPr>
        <w:t>(73%)</w:t>
      </w:r>
      <w:r w:rsidR="00F3673A" w:rsidRPr="00606D67">
        <w:rPr>
          <w:color w:val="000000" w:themeColor="text1"/>
        </w:rPr>
        <w:t>. This disparity is likely due to the kappa paradox: a</w:t>
      </w:r>
      <w:r w:rsidR="00F81305" w:rsidRPr="00606D67">
        <w:rPr>
          <w:color w:val="000000" w:themeColor="text1"/>
        </w:rPr>
        <w:t xml:space="preserve">s </w:t>
      </w:r>
      <w:r w:rsidR="00A9723D" w:rsidRPr="00606D67">
        <w:rPr>
          <w:color w:val="000000" w:themeColor="text1"/>
        </w:rPr>
        <w:t>reviewers</w:t>
      </w:r>
      <w:r w:rsidR="00F81305" w:rsidRPr="00606D67">
        <w:rPr>
          <w:color w:val="000000" w:themeColor="text1"/>
        </w:rPr>
        <w:t xml:space="preserve"> agreed to include far fewer studies than exclude, </w:t>
      </w:r>
      <w:r w:rsidR="009B450C" w:rsidRPr="00606D67">
        <w:rPr>
          <w:color w:val="000000" w:themeColor="text1"/>
        </w:rPr>
        <w:t>a symmetrical imbalance was created</w:t>
      </w:r>
      <w:r w:rsidR="008A5087" w:rsidRPr="00606D67">
        <w:rPr>
          <w:color w:val="000000" w:themeColor="text1"/>
        </w:rPr>
        <w:t>, leading</w:t>
      </w:r>
      <w:r w:rsidR="00D477C8" w:rsidRPr="00606D67">
        <w:rPr>
          <w:color w:val="000000" w:themeColor="text1"/>
        </w:rPr>
        <w:t xml:space="preserve"> to low kappa values despite high </w:t>
      </w:r>
      <w:r w:rsidR="009901B7" w:rsidRPr="00606D67">
        <w:rPr>
          <w:color w:val="000000" w:themeColor="text1"/>
        </w:rPr>
        <w:t xml:space="preserve">agreement rates. </w:t>
      </w:r>
      <w:r w:rsidR="00D477C8" w:rsidRPr="00606D67">
        <w:rPr>
          <w:color w:val="000000" w:themeColor="text1"/>
        </w:rPr>
        <w:t xml:space="preserve"> </w:t>
      </w:r>
      <w:r w:rsidR="00F81305" w:rsidRPr="00606D67">
        <w:rPr>
          <w:color w:val="000000" w:themeColor="text1"/>
        </w:rPr>
        <w:t xml:space="preserve"> </w:t>
      </w:r>
    </w:p>
    <w:p w14:paraId="7051A003" w14:textId="1C3E35BB" w:rsidR="007D3C89" w:rsidRPr="00606D67" w:rsidRDefault="00E94D0C" w:rsidP="005614DE">
      <w:pPr>
        <w:ind w:firstLine="720"/>
        <w:rPr>
          <w:color w:val="000000" w:themeColor="text1"/>
        </w:rPr>
      </w:pPr>
      <w:r w:rsidRPr="00606D67">
        <w:rPr>
          <w:color w:val="000000" w:themeColor="text1"/>
        </w:rPr>
        <w:t>The findings of the present review highlight the need for further research in this area. Specifically, more high-quality studies that incorporate longitudinal and experimental designs are necessary to establish causal effects. Future research should prioritise investigations of multiple social determinants</w:t>
      </w:r>
      <w:r w:rsidR="006C3371" w:rsidRPr="00606D67">
        <w:rPr>
          <w:color w:val="000000" w:themeColor="text1"/>
        </w:rPr>
        <w:t xml:space="preserve"> to establish </w:t>
      </w:r>
      <w:r w:rsidR="005D1920" w:rsidRPr="00606D67">
        <w:rPr>
          <w:color w:val="000000" w:themeColor="text1"/>
        </w:rPr>
        <w:t xml:space="preserve">their relative </w:t>
      </w:r>
      <w:r w:rsidR="006C3371" w:rsidRPr="00606D67">
        <w:rPr>
          <w:color w:val="000000" w:themeColor="text1"/>
        </w:rPr>
        <w:t>magnitudes</w:t>
      </w:r>
      <w:r w:rsidRPr="00606D67">
        <w:rPr>
          <w:color w:val="000000" w:themeColor="text1"/>
        </w:rPr>
        <w:t xml:space="preserve"> and should include analyses by demographic</w:t>
      </w:r>
      <w:r w:rsidR="00EC77E8" w:rsidRPr="00606D67">
        <w:rPr>
          <w:color w:val="000000" w:themeColor="text1"/>
        </w:rPr>
        <w:t xml:space="preserve"> variables</w:t>
      </w:r>
      <w:r w:rsidRPr="00606D67">
        <w:rPr>
          <w:color w:val="000000" w:themeColor="text1"/>
        </w:rPr>
        <w:t xml:space="preserve">. It should also seek to distinguish between the differing effects of social determinants on specific mental illnesses, which would aid in the development of targeted interventions. </w:t>
      </w:r>
      <w:r w:rsidR="00E220E4" w:rsidRPr="00606D67">
        <w:rPr>
          <w:color w:val="000000" w:themeColor="text1"/>
        </w:rPr>
        <w:t xml:space="preserve">The included reviews predominantly focused on </w:t>
      </w:r>
      <w:r w:rsidR="00AE260D" w:rsidRPr="00606D67">
        <w:rPr>
          <w:color w:val="000000" w:themeColor="text1"/>
        </w:rPr>
        <w:t xml:space="preserve">the determinants of depression, anxiety and PTSD, neglecting those </w:t>
      </w:r>
      <w:r w:rsidR="00C414E8" w:rsidRPr="00606D67">
        <w:rPr>
          <w:color w:val="000000" w:themeColor="text1"/>
        </w:rPr>
        <w:t>with stronger</w:t>
      </w:r>
      <w:r w:rsidR="00AE260D" w:rsidRPr="00606D67">
        <w:rPr>
          <w:color w:val="000000" w:themeColor="text1"/>
        </w:rPr>
        <w:t xml:space="preserve"> link</w:t>
      </w:r>
      <w:r w:rsidR="00C414E8" w:rsidRPr="00606D67">
        <w:rPr>
          <w:color w:val="000000" w:themeColor="text1"/>
        </w:rPr>
        <w:t>s</w:t>
      </w:r>
      <w:r w:rsidR="00AE260D" w:rsidRPr="00606D67">
        <w:rPr>
          <w:color w:val="000000" w:themeColor="text1"/>
        </w:rPr>
        <w:t xml:space="preserve"> to biological determinants</w:t>
      </w:r>
      <w:r w:rsidR="000176E3" w:rsidRPr="00606D67">
        <w:rPr>
          <w:color w:val="000000" w:themeColor="text1"/>
        </w:rPr>
        <w:t xml:space="preserve">, such as schizophrenia </w:t>
      </w:r>
      <w:r w:rsidR="000176E3" w:rsidRPr="00606D67">
        <w:rPr>
          <w:color w:val="000000" w:themeColor="text1"/>
        </w:rPr>
        <w:lastRenderedPageBreak/>
        <w:t>and bipolar disorder</w:t>
      </w:r>
      <w:r w:rsidR="00AE260D" w:rsidRPr="00606D67">
        <w:rPr>
          <w:color w:val="000000" w:themeColor="text1"/>
        </w:rPr>
        <w:t xml:space="preserve">. </w:t>
      </w:r>
      <w:r w:rsidR="00687358" w:rsidRPr="00606D67">
        <w:rPr>
          <w:color w:val="000000" w:themeColor="text1"/>
        </w:rPr>
        <w:t xml:space="preserve">Future research should therefore </w:t>
      </w:r>
      <w:r w:rsidR="00106BD2" w:rsidRPr="00606D67">
        <w:rPr>
          <w:color w:val="000000" w:themeColor="text1"/>
        </w:rPr>
        <w:t>pay greater attention to investigating the social determinants of these mental illnesses</w:t>
      </w:r>
      <w:r w:rsidR="005D1920" w:rsidRPr="00606D67">
        <w:rPr>
          <w:color w:val="000000" w:themeColor="text1"/>
        </w:rPr>
        <w:t>, and their dynamic interaction with biological factors</w:t>
      </w:r>
      <w:r w:rsidR="00226685" w:rsidRPr="00606D67">
        <w:rPr>
          <w:color w:val="000000" w:themeColor="text1"/>
        </w:rPr>
        <w:t xml:space="preserve">. </w:t>
      </w:r>
    </w:p>
    <w:p w14:paraId="3B158C47" w14:textId="42B336FF" w:rsidR="00C8512E" w:rsidRPr="00606D67" w:rsidRDefault="00EC77E8" w:rsidP="008E527E">
      <w:pPr>
        <w:ind w:firstLine="720"/>
        <w:rPr>
          <w:color w:val="000000" w:themeColor="text1"/>
        </w:rPr>
      </w:pPr>
      <w:r w:rsidRPr="00606D67">
        <w:rPr>
          <w:color w:val="000000" w:themeColor="text1"/>
        </w:rPr>
        <w:t xml:space="preserve">Our </w:t>
      </w:r>
      <w:r w:rsidR="00E94D0C" w:rsidRPr="00606D67">
        <w:rPr>
          <w:color w:val="000000" w:themeColor="text1"/>
        </w:rPr>
        <w:t xml:space="preserve">findings also hold significant implications for mental health nurses. </w:t>
      </w:r>
      <w:r w:rsidR="009B2DE3" w:rsidRPr="00606D67">
        <w:rPr>
          <w:color w:val="000000" w:themeColor="text1"/>
        </w:rPr>
        <w:t>Overall, the</w:t>
      </w:r>
      <w:r w:rsidR="00E94D0C" w:rsidRPr="00606D67">
        <w:rPr>
          <w:color w:val="000000" w:themeColor="text1"/>
        </w:rPr>
        <w:t xml:space="preserve"> review highlights that people experiencing violence, discrimination, economic hardships, social isolation, major life events or migration may be at greater risk of mental illness</w:t>
      </w:r>
      <w:r w:rsidR="00C926F1" w:rsidRPr="00606D67">
        <w:rPr>
          <w:color w:val="000000" w:themeColor="text1"/>
        </w:rPr>
        <w:t xml:space="preserve"> and warrant additional support</w:t>
      </w:r>
      <w:r w:rsidR="00B92465" w:rsidRPr="00606D67">
        <w:rPr>
          <w:color w:val="000000" w:themeColor="text1"/>
        </w:rPr>
        <w:t>.</w:t>
      </w:r>
      <w:r w:rsidR="00F70BD8" w:rsidRPr="00606D67">
        <w:rPr>
          <w:color w:val="000000" w:themeColor="text1"/>
        </w:rPr>
        <w:t xml:space="preserve"> Efforts should thus be placed into ensuring </w:t>
      </w:r>
      <w:r w:rsidR="00ED2A45" w:rsidRPr="00606D67">
        <w:rPr>
          <w:color w:val="000000" w:themeColor="text1"/>
        </w:rPr>
        <w:t xml:space="preserve">mental health nurses are aware of </w:t>
      </w:r>
      <w:r w:rsidR="00CE029C" w:rsidRPr="00606D67">
        <w:rPr>
          <w:color w:val="000000" w:themeColor="text1"/>
        </w:rPr>
        <w:t>the role these factors play in mental health</w:t>
      </w:r>
      <w:r w:rsidR="00051C6C" w:rsidRPr="00606D67">
        <w:rPr>
          <w:color w:val="000000" w:themeColor="text1"/>
        </w:rPr>
        <w:t xml:space="preserve">. </w:t>
      </w:r>
      <w:r w:rsidR="00C8512E" w:rsidRPr="00606D67">
        <w:rPr>
          <w:color w:val="000000" w:themeColor="text1"/>
        </w:rPr>
        <w:t>Early intervention strategies should also be implemented to mitigate potential negative mental health impacts</w:t>
      </w:r>
      <w:r w:rsidR="00F1277A" w:rsidRPr="00606D67">
        <w:rPr>
          <w:color w:val="000000" w:themeColor="text1"/>
        </w:rPr>
        <w:t xml:space="preserve"> of the identified social factors</w:t>
      </w:r>
      <w:r w:rsidR="00C8512E" w:rsidRPr="00606D67">
        <w:rPr>
          <w:color w:val="000000" w:themeColor="text1"/>
        </w:rPr>
        <w:t xml:space="preserve">. </w:t>
      </w:r>
    </w:p>
    <w:p w14:paraId="3203FB86" w14:textId="4FA1E55C" w:rsidR="00C13792" w:rsidRPr="00606D67" w:rsidRDefault="00C13792" w:rsidP="00716C97">
      <w:pPr>
        <w:pStyle w:val="Heading2"/>
        <w:rPr>
          <w:color w:val="000000" w:themeColor="text1"/>
        </w:rPr>
      </w:pPr>
      <w:r w:rsidRPr="00606D67">
        <w:rPr>
          <w:color w:val="000000" w:themeColor="text1"/>
        </w:rPr>
        <w:t xml:space="preserve">Conclusions </w:t>
      </w:r>
    </w:p>
    <w:p w14:paraId="05CBCA42" w14:textId="44B7A913" w:rsidR="002C6294" w:rsidRPr="00606D67" w:rsidRDefault="00F32D6C" w:rsidP="00C13792">
      <w:pPr>
        <w:rPr>
          <w:color w:val="000000" w:themeColor="text1"/>
        </w:rPr>
      </w:pPr>
      <w:r w:rsidRPr="00606D67">
        <w:rPr>
          <w:color w:val="000000" w:themeColor="text1"/>
        </w:rPr>
        <w:t xml:space="preserve">The current review found that factors such as </w:t>
      </w:r>
      <w:r w:rsidR="00672713" w:rsidRPr="00606D67">
        <w:rPr>
          <w:color w:val="000000" w:themeColor="text1"/>
        </w:rPr>
        <w:t>conflict, violence and maltreatment, life events and experiences, racism and discrimination, culture and migration, social interaction and support, structural policies and inequality, financial factors, employment factors, housing and living conditions, and demographic factors</w:t>
      </w:r>
      <w:r w:rsidR="00980F55" w:rsidRPr="00606D67">
        <w:rPr>
          <w:color w:val="000000" w:themeColor="text1"/>
        </w:rPr>
        <w:t xml:space="preserve"> </w:t>
      </w:r>
      <w:r w:rsidRPr="00606D67">
        <w:rPr>
          <w:color w:val="000000" w:themeColor="text1"/>
        </w:rPr>
        <w:t xml:space="preserve">are known determinants of mental illness. </w:t>
      </w:r>
      <w:r w:rsidR="006C4F0D" w:rsidRPr="00606D67">
        <w:rPr>
          <w:color w:val="000000" w:themeColor="text1"/>
        </w:rPr>
        <w:t>While</w:t>
      </w:r>
      <w:r w:rsidR="00610749" w:rsidRPr="00606D67">
        <w:rPr>
          <w:color w:val="000000" w:themeColor="text1"/>
        </w:rPr>
        <w:t xml:space="preserve"> existing literature suggest</w:t>
      </w:r>
      <w:r w:rsidR="00D67047" w:rsidRPr="00606D67">
        <w:rPr>
          <w:color w:val="000000" w:themeColor="text1"/>
        </w:rPr>
        <w:t>s</w:t>
      </w:r>
      <w:r w:rsidR="00610749" w:rsidRPr="00606D67">
        <w:rPr>
          <w:color w:val="000000" w:themeColor="text1"/>
        </w:rPr>
        <w:t xml:space="preserve"> that</w:t>
      </w:r>
      <w:r w:rsidR="006C4F0D" w:rsidRPr="00606D67">
        <w:rPr>
          <w:color w:val="000000" w:themeColor="text1"/>
        </w:rPr>
        <w:t xml:space="preserve"> biological determinants undoubt</w:t>
      </w:r>
      <w:r w:rsidR="00931B78" w:rsidRPr="00606D67">
        <w:rPr>
          <w:color w:val="000000" w:themeColor="text1"/>
        </w:rPr>
        <w:t>ed</w:t>
      </w:r>
      <w:r w:rsidR="006C4F0D" w:rsidRPr="00606D67">
        <w:rPr>
          <w:color w:val="000000" w:themeColor="text1"/>
        </w:rPr>
        <w:t xml:space="preserve">ly play a role in aetiology, </w:t>
      </w:r>
      <w:r w:rsidR="00610749" w:rsidRPr="00606D67">
        <w:rPr>
          <w:color w:val="000000" w:themeColor="text1"/>
        </w:rPr>
        <w:t xml:space="preserve">our findings </w:t>
      </w:r>
      <w:r w:rsidRPr="00606D67">
        <w:rPr>
          <w:color w:val="000000" w:themeColor="text1"/>
        </w:rPr>
        <w:t xml:space="preserve">highlight that there is also strong evidence for the social determinants of mental illness. Mental health practitioners should recognise the identified factors and pay particular attention to patients that may be at increased risk of developing mental health difficulties. Practitioners should also be aware of the consequences of overemphasising biological determinants, </w:t>
      </w:r>
      <w:r w:rsidR="005D1920" w:rsidRPr="00606D67">
        <w:rPr>
          <w:color w:val="000000" w:themeColor="text1"/>
        </w:rPr>
        <w:t xml:space="preserve">in particular the </w:t>
      </w:r>
      <w:r w:rsidRPr="00606D67">
        <w:rPr>
          <w:color w:val="000000" w:themeColor="text1"/>
        </w:rPr>
        <w:t>potential influence</w:t>
      </w:r>
      <w:r w:rsidR="005D1920" w:rsidRPr="00606D67">
        <w:rPr>
          <w:color w:val="000000" w:themeColor="text1"/>
        </w:rPr>
        <w:t>s</w:t>
      </w:r>
      <w:r w:rsidRPr="00606D67">
        <w:rPr>
          <w:color w:val="000000" w:themeColor="text1"/>
        </w:rPr>
        <w:t xml:space="preserve"> on client-practitioner relationships and stigmatising attitudes. </w:t>
      </w:r>
    </w:p>
    <w:p w14:paraId="10692DCD" w14:textId="77777777" w:rsidR="00A268C5" w:rsidRPr="00606D67" w:rsidRDefault="007C2C3B" w:rsidP="00693751">
      <w:pPr>
        <w:pStyle w:val="Heading2"/>
        <w:rPr>
          <w:color w:val="000000" w:themeColor="text1"/>
        </w:rPr>
      </w:pPr>
      <w:r w:rsidRPr="00606D67">
        <w:rPr>
          <w:color w:val="000000" w:themeColor="text1"/>
        </w:rPr>
        <w:t xml:space="preserve">Disclosure </w:t>
      </w:r>
      <w:r w:rsidR="00216F1E" w:rsidRPr="00606D67">
        <w:rPr>
          <w:color w:val="000000" w:themeColor="text1"/>
        </w:rPr>
        <w:t>of interest</w:t>
      </w:r>
      <w:r w:rsidRPr="00606D67">
        <w:rPr>
          <w:color w:val="000000" w:themeColor="text1"/>
        </w:rPr>
        <w:t xml:space="preserve"> </w:t>
      </w:r>
    </w:p>
    <w:p w14:paraId="557B3BD5" w14:textId="14E2033D" w:rsidR="004E19D7" w:rsidRPr="00606D67" w:rsidRDefault="00CF4C2E" w:rsidP="004E19D7">
      <w:pPr>
        <w:rPr>
          <w:color w:val="000000" w:themeColor="text1"/>
        </w:rPr>
      </w:pPr>
      <w:r w:rsidRPr="00606D67">
        <w:rPr>
          <w:color w:val="000000" w:themeColor="text1"/>
        </w:rPr>
        <w:t xml:space="preserve">The authors report </w:t>
      </w:r>
      <w:r w:rsidR="00A268C5" w:rsidRPr="00606D67">
        <w:rPr>
          <w:color w:val="000000" w:themeColor="text1"/>
        </w:rPr>
        <w:t xml:space="preserve">no conflict of interest. </w:t>
      </w:r>
      <w:r w:rsidRPr="00606D67">
        <w:rPr>
          <w:color w:val="000000" w:themeColor="text1"/>
        </w:rPr>
        <w:t xml:space="preserve"> </w:t>
      </w:r>
    </w:p>
    <w:p w14:paraId="364D2D53" w14:textId="1A081F65" w:rsidR="006B2B91" w:rsidRPr="00606D67" w:rsidRDefault="005B3FBA" w:rsidP="0075072E">
      <w:pPr>
        <w:pStyle w:val="Footnotes"/>
        <w:ind w:left="0" w:firstLine="0"/>
        <w:rPr>
          <w:color w:val="000000" w:themeColor="text1"/>
        </w:rPr>
      </w:pPr>
      <w:r w:rsidRPr="00606D67">
        <w:rPr>
          <w:color w:val="000000" w:themeColor="text1"/>
        </w:rPr>
        <w:lastRenderedPageBreak/>
        <w:br w:type="page"/>
      </w:r>
    </w:p>
    <w:p w14:paraId="4A98F268" w14:textId="3DC8B236" w:rsidR="00AC7050" w:rsidRPr="00606D67" w:rsidRDefault="00AC7050" w:rsidP="008B3257">
      <w:pPr>
        <w:pStyle w:val="Heading1"/>
        <w:rPr>
          <w:color w:val="000000" w:themeColor="text1"/>
        </w:rPr>
      </w:pPr>
      <w:r w:rsidRPr="00606D67">
        <w:rPr>
          <w:color w:val="000000" w:themeColor="text1"/>
        </w:rPr>
        <w:lastRenderedPageBreak/>
        <w:t>References</w:t>
      </w:r>
    </w:p>
    <w:p w14:paraId="6B848051" w14:textId="77777777" w:rsidR="00970C52" w:rsidRPr="00606D67" w:rsidRDefault="002D77F9" w:rsidP="00970C52">
      <w:pPr>
        <w:pStyle w:val="Bibliography"/>
        <w:rPr>
          <w:color w:val="000000" w:themeColor="text1"/>
        </w:rPr>
      </w:pPr>
      <w:r w:rsidRPr="00606D67">
        <w:rPr>
          <w:color w:val="000000" w:themeColor="text1"/>
        </w:rPr>
        <w:fldChar w:fldCharType="begin"/>
      </w:r>
      <w:r w:rsidRPr="00606D67">
        <w:rPr>
          <w:color w:val="000000" w:themeColor="text1"/>
        </w:rPr>
        <w:instrText xml:space="preserve"> ADDIN ZOTERO_BIBL {"uncited":[],"omitted":[],"custom":[]} CSL_BIBLIOGRAPHY </w:instrText>
      </w:r>
      <w:r w:rsidRPr="00606D67">
        <w:rPr>
          <w:color w:val="000000" w:themeColor="text1"/>
        </w:rPr>
        <w:fldChar w:fldCharType="separate"/>
      </w:r>
      <w:r w:rsidR="00970C52" w:rsidRPr="00606D67">
        <w:rPr>
          <w:color w:val="000000" w:themeColor="text1"/>
        </w:rPr>
        <w:t xml:space="preserve">Ahn, W., Proctor, C. C., &amp; Flanagan, E. H. (2009). Mental health clinicians’ beliefs about the biological, psychological, and environmental bases of mental disorders. </w:t>
      </w:r>
      <w:r w:rsidR="00970C52" w:rsidRPr="00606D67">
        <w:rPr>
          <w:i/>
          <w:iCs/>
          <w:color w:val="000000" w:themeColor="text1"/>
        </w:rPr>
        <w:t>Cognitive Science</w:t>
      </w:r>
      <w:r w:rsidR="00970C52" w:rsidRPr="00606D67">
        <w:rPr>
          <w:color w:val="000000" w:themeColor="text1"/>
        </w:rPr>
        <w:t xml:space="preserve">, </w:t>
      </w:r>
      <w:r w:rsidR="00970C52" w:rsidRPr="00606D67">
        <w:rPr>
          <w:i/>
          <w:iCs/>
          <w:color w:val="000000" w:themeColor="text1"/>
        </w:rPr>
        <w:t>33</w:t>
      </w:r>
      <w:r w:rsidR="00970C52" w:rsidRPr="00606D67">
        <w:rPr>
          <w:color w:val="000000" w:themeColor="text1"/>
        </w:rPr>
        <w:t>(2), 147–182. https://doi.org/10.1111/j.1551-6709.2009.01008.x</w:t>
      </w:r>
    </w:p>
    <w:p w14:paraId="553B970A" w14:textId="77777777" w:rsidR="00970C52" w:rsidRPr="00606D67" w:rsidRDefault="00970C52" w:rsidP="00970C52">
      <w:pPr>
        <w:pStyle w:val="Bibliography"/>
        <w:rPr>
          <w:color w:val="000000" w:themeColor="text1"/>
        </w:rPr>
      </w:pPr>
      <w:r w:rsidRPr="00606D67">
        <w:rPr>
          <w:color w:val="000000" w:themeColor="text1"/>
        </w:rPr>
        <w:t xml:space="preserve">Angermeyer, M. C., &amp; Schomerus, G. (2017). State of the art of population-based attitude research on mental health: A systematic review. </w:t>
      </w:r>
      <w:r w:rsidRPr="00606D67">
        <w:rPr>
          <w:i/>
          <w:iCs/>
          <w:color w:val="000000" w:themeColor="text1"/>
        </w:rPr>
        <w:t>Epidemiology and Psychiatric Sciences</w:t>
      </w:r>
      <w:r w:rsidRPr="00606D67">
        <w:rPr>
          <w:color w:val="000000" w:themeColor="text1"/>
        </w:rPr>
        <w:t xml:space="preserve">, </w:t>
      </w:r>
      <w:r w:rsidRPr="00606D67">
        <w:rPr>
          <w:i/>
          <w:iCs/>
          <w:color w:val="000000" w:themeColor="text1"/>
        </w:rPr>
        <w:t>26</w:t>
      </w:r>
      <w:r w:rsidRPr="00606D67">
        <w:rPr>
          <w:color w:val="000000" w:themeColor="text1"/>
        </w:rPr>
        <w:t>(3), 252–264. https://doi.org/10.1017/S2045796016000627</w:t>
      </w:r>
    </w:p>
    <w:p w14:paraId="6A1E3EF6" w14:textId="77777777" w:rsidR="00970C52" w:rsidRPr="00606D67" w:rsidRDefault="00970C52" w:rsidP="00970C52">
      <w:pPr>
        <w:pStyle w:val="Bibliography"/>
        <w:rPr>
          <w:color w:val="000000" w:themeColor="text1"/>
        </w:rPr>
      </w:pPr>
      <w:r w:rsidRPr="00606D67">
        <w:rPr>
          <w:color w:val="000000" w:themeColor="text1"/>
        </w:rPr>
        <w:t xml:space="preserve">Arenas, D. J., Thomas, A., Wang, J., &amp; DeLisser, H. M. (2019). A systematic review and meta-analysis of depression, anxiety, and sleep disorders in US Adults with food insecurity. </w:t>
      </w:r>
      <w:r w:rsidRPr="00606D67">
        <w:rPr>
          <w:i/>
          <w:iCs/>
          <w:color w:val="000000" w:themeColor="text1"/>
        </w:rPr>
        <w:t>J Gen Intern Med</w:t>
      </w:r>
      <w:r w:rsidRPr="00606D67">
        <w:rPr>
          <w:color w:val="000000" w:themeColor="text1"/>
        </w:rPr>
        <w:t xml:space="preserve">, </w:t>
      </w:r>
      <w:r w:rsidRPr="00606D67">
        <w:rPr>
          <w:i/>
          <w:iCs/>
          <w:color w:val="000000" w:themeColor="text1"/>
        </w:rPr>
        <w:t>34</w:t>
      </w:r>
      <w:r w:rsidRPr="00606D67">
        <w:rPr>
          <w:color w:val="000000" w:themeColor="text1"/>
        </w:rPr>
        <w:t>(12), 2874–2882. https://doi.org/10.1007/s11606-019-05202-4</w:t>
      </w:r>
    </w:p>
    <w:p w14:paraId="25624586" w14:textId="77777777" w:rsidR="00970C52" w:rsidRPr="00606D67" w:rsidRDefault="00970C52" w:rsidP="00970C52">
      <w:pPr>
        <w:pStyle w:val="Bibliography"/>
        <w:rPr>
          <w:color w:val="000000" w:themeColor="text1"/>
        </w:rPr>
      </w:pPr>
      <w:r w:rsidRPr="00606D67">
        <w:rPr>
          <w:color w:val="000000" w:themeColor="text1"/>
        </w:rPr>
        <w:t xml:space="preserve">Baranyi, G., Di Marco, M. H., Russ, T. C., Dibben, C., &amp; Pearce, J. (2021). The impact of neighbourhood crime on mental health: A systematic review and meta-analysis. </w:t>
      </w:r>
      <w:r w:rsidRPr="00606D67">
        <w:rPr>
          <w:i/>
          <w:iCs/>
          <w:color w:val="000000" w:themeColor="text1"/>
        </w:rPr>
        <w:t>Social Science &amp; Medicine</w:t>
      </w:r>
      <w:r w:rsidRPr="00606D67">
        <w:rPr>
          <w:color w:val="000000" w:themeColor="text1"/>
        </w:rPr>
        <w:t xml:space="preserve">, </w:t>
      </w:r>
      <w:r w:rsidRPr="00606D67">
        <w:rPr>
          <w:i/>
          <w:iCs/>
          <w:color w:val="000000" w:themeColor="text1"/>
        </w:rPr>
        <w:t>282</w:t>
      </w:r>
      <w:r w:rsidRPr="00606D67">
        <w:rPr>
          <w:color w:val="000000" w:themeColor="text1"/>
        </w:rPr>
        <w:t>, 16. https://doi.org/10.1016/j.socscimed.2021.114106</w:t>
      </w:r>
    </w:p>
    <w:p w14:paraId="4611FD92" w14:textId="77777777" w:rsidR="00970C52" w:rsidRPr="00606D67" w:rsidRDefault="00970C52" w:rsidP="00970C52">
      <w:pPr>
        <w:pStyle w:val="Bibliography"/>
        <w:rPr>
          <w:color w:val="000000" w:themeColor="text1"/>
        </w:rPr>
      </w:pPr>
      <w:r w:rsidRPr="00606D67">
        <w:rPr>
          <w:color w:val="000000" w:themeColor="text1"/>
        </w:rPr>
        <w:t xml:space="preserve">Bedaso, A., &amp; Duko, B. (2022). Epidemiology of depression among displaced people: A systematic review and meta-analysis. </w:t>
      </w:r>
      <w:r w:rsidRPr="00606D67">
        <w:rPr>
          <w:i/>
          <w:iCs/>
          <w:color w:val="000000" w:themeColor="text1"/>
        </w:rPr>
        <w:t>Psychiatry Res</w:t>
      </w:r>
      <w:r w:rsidRPr="00606D67">
        <w:rPr>
          <w:color w:val="000000" w:themeColor="text1"/>
        </w:rPr>
        <w:t xml:space="preserve">, </w:t>
      </w:r>
      <w:r w:rsidRPr="00606D67">
        <w:rPr>
          <w:i/>
          <w:iCs/>
          <w:color w:val="000000" w:themeColor="text1"/>
        </w:rPr>
        <w:t>311</w:t>
      </w:r>
      <w:r w:rsidRPr="00606D67">
        <w:rPr>
          <w:color w:val="000000" w:themeColor="text1"/>
        </w:rPr>
        <w:t>, 114493. https://doi.org/10.1016/j.psychres.2022.114493</w:t>
      </w:r>
    </w:p>
    <w:p w14:paraId="3B39A65A" w14:textId="77777777" w:rsidR="00970C52" w:rsidRPr="00606D67" w:rsidRDefault="00970C52" w:rsidP="00970C52">
      <w:pPr>
        <w:pStyle w:val="Bibliography"/>
        <w:rPr>
          <w:color w:val="000000" w:themeColor="text1"/>
        </w:rPr>
      </w:pPr>
      <w:r w:rsidRPr="00606D67">
        <w:rPr>
          <w:color w:val="000000" w:themeColor="text1"/>
        </w:rPr>
        <w:t xml:space="preserve">Bekteshi, V., &amp; Kang, S. (2020). Contextualizing acculturative stress among Latino immigrants in the United States: A systematic review. </w:t>
      </w:r>
      <w:r w:rsidRPr="00606D67">
        <w:rPr>
          <w:i/>
          <w:iCs/>
          <w:color w:val="000000" w:themeColor="text1"/>
        </w:rPr>
        <w:t>Ethnicity &amp; Health</w:t>
      </w:r>
      <w:r w:rsidRPr="00606D67">
        <w:rPr>
          <w:color w:val="000000" w:themeColor="text1"/>
        </w:rPr>
        <w:t xml:space="preserve">, </w:t>
      </w:r>
      <w:r w:rsidRPr="00606D67">
        <w:rPr>
          <w:i/>
          <w:iCs/>
          <w:color w:val="000000" w:themeColor="text1"/>
        </w:rPr>
        <w:t>25</w:t>
      </w:r>
      <w:r w:rsidRPr="00606D67">
        <w:rPr>
          <w:color w:val="000000" w:themeColor="text1"/>
        </w:rPr>
        <w:t>(6), 897–914. https://doi.org/10.1080/13557858.2018.1469733</w:t>
      </w:r>
    </w:p>
    <w:p w14:paraId="2DAF9C25" w14:textId="77777777" w:rsidR="00970C52" w:rsidRPr="00606D67" w:rsidRDefault="00970C52" w:rsidP="00970C52">
      <w:pPr>
        <w:pStyle w:val="Bibliography"/>
        <w:rPr>
          <w:color w:val="000000" w:themeColor="text1"/>
        </w:rPr>
      </w:pPr>
      <w:r w:rsidRPr="00606D67">
        <w:rPr>
          <w:color w:val="000000" w:themeColor="text1"/>
        </w:rPr>
        <w:t xml:space="preserve">Bhat, A. A., Bhat, A. M., Sharma, H., &amp; Ahmad, I. (2018). Impact of exposure to violent conflict on inhabitants: A systematic review. </w:t>
      </w:r>
      <w:r w:rsidRPr="00606D67">
        <w:rPr>
          <w:i/>
          <w:iCs/>
          <w:color w:val="000000" w:themeColor="text1"/>
        </w:rPr>
        <w:t>Indian Journal of Health &amp; Wellbeing</w:t>
      </w:r>
      <w:r w:rsidRPr="00606D67">
        <w:rPr>
          <w:color w:val="000000" w:themeColor="text1"/>
        </w:rPr>
        <w:t xml:space="preserve">, </w:t>
      </w:r>
      <w:r w:rsidRPr="00606D67">
        <w:rPr>
          <w:i/>
          <w:iCs/>
          <w:color w:val="000000" w:themeColor="text1"/>
        </w:rPr>
        <w:t>9</w:t>
      </w:r>
      <w:r w:rsidRPr="00606D67">
        <w:rPr>
          <w:color w:val="000000" w:themeColor="text1"/>
        </w:rPr>
        <w:t>(8/9), 882–886.</w:t>
      </w:r>
    </w:p>
    <w:p w14:paraId="4505FBED" w14:textId="77777777" w:rsidR="00970C52" w:rsidRPr="00606D67" w:rsidRDefault="00970C52" w:rsidP="00970C52">
      <w:pPr>
        <w:pStyle w:val="Bibliography"/>
        <w:rPr>
          <w:color w:val="000000" w:themeColor="text1"/>
        </w:rPr>
      </w:pPr>
      <w:r w:rsidRPr="00606D67">
        <w:rPr>
          <w:color w:val="000000" w:themeColor="text1"/>
        </w:rPr>
        <w:lastRenderedPageBreak/>
        <w:t xml:space="preserve">Bhattacharya, A., Camacho, D., Kimberly, L. L., &amp; Lukens, E. P. (2019). Women’s experiences and perceptions of depression in India: A metaethnography. </w:t>
      </w:r>
      <w:r w:rsidRPr="00606D67">
        <w:rPr>
          <w:i/>
          <w:iCs/>
          <w:color w:val="000000" w:themeColor="text1"/>
        </w:rPr>
        <w:t>Qualitative Health Research</w:t>
      </w:r>
      <w:r w:rsidRPr="00606D67">
        <w:rPr>
          <w:color w:val="000000" w:themeColor="text1"/>
        </w:rPr>
        <w:t xml:space="preserve">, </w:t>
      </w:r>
      <w:r w:rsidRPr="00606D67">
        <w:rPr>
          <w:i/>
          <w:iCs/>
          <w:color w:val="000000" w:themeColor="text1"/>
        </w:rPr>
        <w:t>29</w:t>
      </w:r>
      <w:r w:rsidRPr="00606D67">
        <w:rPr>
          <w:color w:val="000000" w:themeColor="text1"/>
        </w:rPr>
        <w:t>(1), 80–95. https://doi.org/10.1177/1049732318811702</w:t>
      </w:r>
    </w:p>
    <w:p w14:paraId="119E8DB0" w14:textId="77777777" w:rsidR="00970C52" w:rsidRPr="00606D67" w:rsidRDefault="00970C52" w:rsidP="00970C52">
      <w:pPr>
        <w:pStyle w:val="Bibliography"/>
        <w:rPr>
          <w:color w:val="000000" w:themeColor="text1"/>
        </w:rPr>
      </w:pPr>
      <w:r w:rsidRPr="00606D67">
        <w:rPr>
          <w:color w:val="000000" w:themeColor="text1"/>
        </w:rPr>
        <w:t xml:space="preserve">Björkqvist, K. (2018). Gender differences in aggression. </w:t>
      </w:r>
      <w:r w:rsidRPr="00606D67">
        <w:rPr>
          <w:i/>
          <w:iCs/>
          <w:color w:val="000000" w:themeColor="text1"/>
        </w:rPr>
        <w:t>Current Opinion in Psychology</w:t>
      </w:r>
      <w:r w:rsidRPr="00606D67">
        <w:rPr>
          <w:color w:val="000000" w:themeColor="text1"/>
        </w:rPr>
        <w:t xml:space="preserve">, </w:t>
      </w:r>
      <w:r w:rsidRPr="00606D67">
        <w:rPr>
          <w:i/>
          <w:iCs/>
          <w:color w:val="000000" w:themeColor="text1"/>
        </w:rPr>
        <w:t>19</w:t>
      </w:r>
      <w:r w:rsidRPr="00606D67">
        <w:rPr>
          <w:color w:val="000000" w:themeColor="text1"/>
        </w:rPr>
        <w:t>, 39–42. https://doi.org/10.1016/j.copsyc.2017.03.030</w:t>
      </w:r>
    </w:p>
    <w:p w14:paraId="0AAE6392" w14:textId="77777777" w:rsidR="00970C52" w:rsidRPr="00606D67" w:rsidRDefault="00970C52" w:rsidP="00970C52">
      <w:pPr>
        <w:pStyle w:val="Bibliography"/>
        <w:rPr>
          <w:color w:val="000000" w:themeColor="text1"/>
        </w:rPr>
      </w:pPr>
      <w:r w:rsidRPr="00606D67">
        <w:rPr>
          <w:color w:val="000000" w:themeColor="text1"/>
        </w:rPr>
        <w:t xml:space="preserve">Bjørlykhaug, K. I., Karlsson, B., Hesook, S. K., &amp; Kleppe, L. C. (2021). Social support and recovery from mental health problems: A scoping review. </w:t>
      </w:r>
      <w:r w:rsidRPr="00606D67">
        <w:rPr>
          <w:i/>
          <w:iCs/>
          <w:color w:val="000000" w:themeColor="text1"/>
        </w:rPr>
        <w:t>Nordic Social Work Research</w:t>
      </w:r>
      <w:r w:rsidRPr="00606D67">
        <w:rPr>
          <w:color w:val="000000" w:themeColor="text1"/>
        </w:rPr>
        <w:t xml:space="preserve">, </w:t>
      </w:r>
      <w:r w:rsidRPr="00606D67">
        <w:rPr>
          <w:i/>
          <w:iCs/>
          <w:color w:val="000000" w:themeColor="text1"/>
        </w:rPr>
        <w:t>0</w:t>
      </w:r>
      <w:r w:rsidRPr="00606D67">
        <w:rPr>
          <w:color w:val="000000" w:themeColor="text1"/>
        </w:rPr>
        <w:t>(0), 1–32. https://doi.org/10.1080/2156857X.2020.1868553</w:t>
      </w:r>
    </w:p>
    <w:p w14:paraId="5F2E8837" w14:textId="77777777" w:rsidR="00970C52" w:rsidRPr="00606D67" w:rsidRDefault="00970C52" w:rsidP="00970C52">
      <w:pPr>
        <w:pStyle w:val="Bibliography"/>
        <w:rPr>
          <w:color w:val="000000" w:themeColor="text1"/>
        </w:rPr>
      </w:pPr>
      <w:r w:rsidRPr="00606D67">
        <w:rPr>
          <w:color w:val="000000" w:themeColor="text1"/>
        </w:rPr>
        <w:t xml:space="preserve">Brouwers, E. P. M. (2020). Social stigma is an underestimated contributing factor to unemployment in people with mental illness or mental health issues: Position paper and future directions. </w:t>
      </w:r>
      <w:r w:rsidRPr="00606D67">
        <w:rPr>
          <w:i/>
          <w:iCs/>
          <w:color w:val="000000" w:themeColor="text1"/>
        </w:rPr>
        <w:t>BMC Psychology</w:t>
      </w:r>
      <w:r w:rsidRPr="00606D67">
        <w:rPr>
          <w:color w:val="000000" w:themeColor="text1"/>
        </w:rPr>
        <w:t xml:space="preserve">, </w:t>
      </w:r>
      <w:r w:rsidRPr="00606D67">
        <w:rPr>
          <w:i/>
          <w:iCs/>
          <w:color w:val="000000" w:themeColor="text1"/>
        </w:rPr>
        <w:t>8</w:t>
      </w:r>
      <w:r w:rsidRPr="00606D67">
        <w:rPr>
          <w:color w:val="000000" w:themeColor="text1"/>
        </w:rPr>
        <w:t>(1), 36. https://doi.org/10.1186/s40359-020-00399-0</w:t>
      </w:r>
    </w:p>
    <w:p w14:paraId="172C9E51" w14:textId="77777777" w:rsidR="00970C52" w:rsidRPr="00606D67" w:rsidRDefault="00970C52" w:rsidP="00970C52">
      <w:pPr>
        <w:pStyle w:val="Bibliography"/>
        <w:rPr>
          <w:color w:val="000000" w:themeColor="text1"/>
        </w:rPr>
      </w:pPr>
      <w:r w:rsidRPr="00606D67">
        <w:rPr>
          <w:color w:val="000000" w:themeColor="text1"/>
        </w:rPr>
        <w:t xml:space="preserve">Campos-Matos, I., Russo, G., &amp; Perelman, J. (2016). Connecting the dots on health inequalities—A systematic review on the social determinants of health in Portugal. </w:t>
      </w:r>
      <w:r w:rsidRPr="00606D67">
        <w:rPr>
          <w:i/>
          <w:iCs/>
          <w:color w:val="000000" w:themeColor="text1"/>
        </w:rPr>
        <w:t>Int J Equity Health</w:t>
      </w:r>
      <w:r w:rsidRPr="00606D67">
        <w:rPr>
          <w:color w:val="000000" w:themeColor="text1"/>
        </w:rPr>
        <w:t xml:space="preserve">, </w:t>
      </w:r>
      <w:r w:rsidRPr="00606D67">
        <w:rPr>
          <w:i/>
          <w:iCs/>
          <w:color w:val="000000" w:themeColor="text1"/>
        </w:rPr>
        <w:t>15</w:t>
      </w:r>
      <w:r w:rsidRPr="00606D67">
        <w:rPr>
          <w:color w:val="000000" w:themeColor="text1"/>
        </w:rPr>
        <w:t>, 26. https://doi.org/10.1186/s12939-016-0314-z</w:t>
      </w:r>
    </w:p>
    <w:p w14:paraId="25C25854" w14:textId="77777777" w:rsidR="00970C52" w:rsidRPr="00606D67" w:rsidRDefault="00970C52" w:rsidP="00970C52">
      <w:pPr>
        <w:pStyle w:val="Bibliography"/>
        <w:rPr>
          <w:color w:val="000000" w:themeColor="text1"/>
        </w:rPr>
      </w:pPr>
      <w:r w:rsidRPr="00606D67">
        <w:rPr>
          <w:color w:val="000000" w:themeColor="text1"/>
        </w:rPr>
        <w:t xml:space="preserve">Carrere, J., Reyes, A., Oliveras, L., Fernández, A., Peralta, A., Novoa, A. M., Pérez, K., &amp; Borrell, C. (2020). The effects of cohousing model on people’s health and wellbeing: A scoping review. </w:t>
      </w:r>
      <w:r w:rsidRPr="00606D67">
        <w:rPr>
          <w:i/>
          <w:iCs/>
          <w:color w:val="000000" w:themeColor="text1"/>
        </w:rPr>
        <w:t>Public Health Reviews</w:t>
      </w:r>
      <w:r w:rsidRPr="00606D67">
        <w:rPr>
          <w:color w:val="000000" w:themeColor="text1"/>
        </w:rPr>
        <w:t xml:space="preserve">, </w:t>
      </w:r>
      <w:r w:rsidRPr="00606D67">
        <w:rPr>
          <w:i/>
          <w:iCs/>
          <w:color w:val="000000" w:themeColor="text1"/>
        </w:rPr>
        <w:t>41</w:t>
      </w:r>
      <w:r w:rsidRPr="00606D67">
        <w:rPr>
          <w:color w:val="000000" w:themeColor="text1"/>
        </w:rPr>
        <w:t>(1). https://doi.org/10.1186/s40985-020-00138-1</w:t>
      </w:r>
    </w:p>
    <w:p w14:paraId="2BC34C42" w14:textId="77777777" w:rsidR="00970C52" w:rsidRPr="00606D67" w:rsidRDefault="00970C52" w:rsidP="00970C52">
      <w:pPr>
        <w:pStyle w:val="Bibliography"/>
        <w:rPr>
          <w:color w:val="000000" w:themeColor="text1"/>
        </w:rPr>
      </w:pPr>
      <w:r w:rsidRPr="00606D67">
        <w:rPr>
          <w:color w:val="000000" w:themeColor="text1"/>
        </w:rPr>
        <w:t xml:space="preserve">Chekole, Y. A., &amp; Abate, S. M. (2021). Global prevalence and determinants of mental health disorders during the COVID-19 pandemic: A systematic review and meta-analysis. </w:t>
      </w:r>
      <w:r w:rsidRPr="00606D67">
        <w:rPr>
          <w:i/>
          <w:iCs/>
          <w:color w:val="000000" w:themeColor="text1"/>
        </w:rPr>
        <w:t>Annals of Medicine and Surgery</w:t>
      </w:r>
      <w:r w:rsidRPr="00606D67">
        <w:rPr>
          <w:color w:val="000000" w:themeColor="text1"/>
        </w:rPr>
        <w:t xml:space="preserve">, </w:t>
      </w:r>
      <w:r w:rsidRPr="00606D67">
        <w:rPr>
          <w:i/>
          <w:iCs/>
          <w:color w:val="000000" w:themeColor="text1"/>
        </w:rPr>
        <w:t>68</w:t>
      </w:r>
      <w:r w:rsidRPr="00606D67">
        <w:rPr>
          <w:color w:val="000000" w:themeColor="text1"/>
        </w:rPr>
        <w:t>. https://doi.org/10.1016/j.amsu.2021.102634</w:t>
      </w:r>
    </w:p>
    <w:p w14:paraId="7E514D39" w14:textId="77777777" w:rsidR="00970C52" w:rsidRPr="00606D67" w:rsidRDefault="00970C52" w:rsidP="00970C52">
      <w:pPr>
        <w:pStyle w:val="Bibliography"/>
        <w:rPr>
          <w:color w:val="000000" w:themeColor="text1"/>
        </w:rPr>
      </w:pPr>
      <w:r w:rsidRPr="00606D67">
        <w:rPr>
          <w:color w:val="000000" w:themeColor="text1"/>
        </w:rPr>
        <w:lastRenderedPageBreak/>
        <w:t>Covidence systematic review software; Veritas Health Innovation: Melbourne, Australia. (2022). www.covidence.org</w:t>
      </w:r>
    </w:p>
    <w:p w14:paraId="100C8E54" w14:textId="77777777" w:rsidR="00970C52" w:rsidRPr="00606D67" w:rsidRDefault="00970C52" w:rsidP="00970C52">
      <w:pPr>
        <w:pStyle w:val="Bibliography"/>
        <w:rPr>
          <w:color w:val="000000" w:themeColor="text1"/>
        </w:rPr>
      </w:pPr>
      <w:r w:rsidRPr="00606D67">
        <w:rPr>
          <w:color w:val="000000" w:themeColor="text1"/>
        </w:rPr>
        <w:t xml:space="preserve">Deacon, B. J., &amp; Lickel, J. J. (2009). On the brain disease model of mental disorders. </w:t>
      </w:r>
      <w:r w:rsidRPr="00606D67">
        <w:rPr>
          <w:i/>
          <w:iCs/>
          <w:color w:val="000000" w:themeColor="text1"/>
        </w:rPr>
        <w:t>The Behavior Therapist</w:t>
      </w:r>
      <w:r w:rsidRPr="00606D67">
        <w:rPr>
          <w:color w:val="000000" w:themeColor="text1"/>
        </w:rPr>
        <w:t xml:space="preserve">, </w:t>
      </w:r>
      <w:r w:rsidRPr="00606D67">
        <w:rPr>
          <w:i/>
          <w:iCs/>
          <w:color w:val="000000" w:themeColor="text1"/>
        </w:rPr>
        <w:t>32</w:t>
      </w:r>
      <w:r w:rsidRPr="00606D67">
        <w:rPr>
          <w:color w:val="000000" w:themeColor="text1"/>
        </w:rPr>
        <w:t>(6), 113–118.</w:t>
      </w:r>
    </w:p>
    <w:p w14:paraId="4CBCE17D" w14:textId="77777777" w:rsidR="00970C52" w:rsidRPr="00606D67" w:rsidRDefault="00970C52" w:rsidP="00970C52">
      <w:pPr>
        <w:pStyle w:val="Bibliography"/>
        <w:rPr>
          <w:color w:val="000000" w:themeColor="text1"/>
        </w:rPr>
      </w:pPr>
      <w:r w:rsidRPr="00606D67">
        <w:rPr>
          <w:color w:val="000000" w:themeColor="text1"/>
        </w:rPr>
        <w:t xml:space="preserve">Fan, S., &amp; Koski, A. (2022). The health consequences of child marriage: A systematic review of the evidence. </w:t>
      </w:r>
      <w:r w:rsidRPr="00606D67">
        <w:rPr>
          <w:i/>
          <w:iCs/>
          <w:color w:val="000000" w:themeColor="text1"/>
        </w:rPr>
        <w:t>BMC Public Health</w:t>
      </w:r>
      <w:r w:rsidRPr="00606D67">
        <w:rPr>
          <w:color w:val="000000" w:themeColor="text1"/>
        </w:rPr>
        <w:t xml:space="preserve">, </w:t>
      </w:r>
      <w:r w:rsidRPr="00606D67">
        <w:rPr>
          <w:i/>
          <w:iCs/>
          <w:color w:val="000000" w:themeColor="text1"/>
        </w:rPr>
        <w:t>22</w:t>
      </w:r>
      <w:r w:rsidRPr="00606D67">
        <w:rPr>
          <w:color w:val="000000" w:themeColor="text1"/>
        </w:rPr>
        <w:t>(1), 309. https://doi.org/10.1186/s12889-022-12707-x</w:t>
      </w:r>
    </w:p>
    <w:p w14:paraId="0523625D" w14:textId="77777777" w:rsidR="00970C52" w:rsidRPr="00606D67" w:rsidRDefault="00970C52" w:rsidP="00970C52">
      <w:pPr>
        <w:pStyle w:val="Bibliography"/>
        <w:rPr>
          <w:color w:val="000000" w:themeColor="text1"/>
        </w:rPr>
      </w:pPr>
      <w:r w:rsidRPr="00606D67">
        <w:rPr>
          <w:color w:val="000000" w:themeColor="text1"/>
        </w:rPr>
        <w:t xml:space="preserve">Fryers, T., &amp; Brugha, T. (2013). Childhood determinants of adult psychiatric disorder. </w:t>
      </w:r>
      <w:r w:rsidRPr="00606D67">
        <w:rPr>
          <w:i/>
          <w:iCs/>
          <w:color w:val="000000" w:themeColor="text1"/>
        </w:rPr>
        <w:t>Clinical Practice and Epidemiology in Mental Health</w:t>
      </w:r>
      <w:r w:rsidRPr="00606D67">
        <w:rPr>
          <w:color w:val="000000" w:themeColor="text1"/>
        </w:rPr>
        <w:t xml:space="preserve">, </w:t>
      </w:r>
      <w:r w:rsidRPr="00606D67">
        <w:rPr>
          <w:i/>
          <w:iCs/>
          <w:color w:val="000000" w:themeColor="text1"/>
        </w:rPr>
        <w:t>9</w:t>
      </w:r>
      <w:r w:rsidRPr="00606D67">
        <w:rPr>
          <w:color w:val="000000" w:themeColor="text1"/>
        </w:rPr>
        <w:t>, 50. https://doi.org/10.2174/1745017901309010001</w:t>
      </w:r>
    </w:p>
    <w:p w14:paraId="3981371E" w14:textId="77777777" w:rsidR="00970C52" w:rsidRPr="00606D67" w:rsidRDefault="00970C52" w:rsidP="00970C52">
      <w:pPr>
        <w:pStyle w:val="Bibliography"/>
        <w:rPr>
          <w:color w:val="000000" w:themeColor="text1"/>
        </w:rPr>
      </w:pPr>
      <w:r w:rsidRPr="00606D67">
        <w:rPr>
          <w:color w:val="000000" w:themeColor="text1"/>
        </w:rPr>
        <w:t xml:space="preserve">Fuhr, D. C., Acarturk, C., McGrath, M., Ilkkursun, Z., Sondorp, E., Sijbrandij, M., Ventevogel, P., Cuijpers, P., McKee, M., &amp; Roberts, B. (2020). Treatment gap and mental health service use among Syrian refugees in Sultanbeyli, Istanbul: A cross-sectional survey. </w:t>
      </w:r>
      <w:r w:rsidRPr="00606D67">
        <w:rPr>
          <w:i/>
          <w:iCs/>
          <w:color w:val="000000" w:themeColor="text1"/>
        </w:rPr>
        <w:t>Epidemiology and Psychiatric Sciences</w:t>
      </w:r>
      <w:r w:rsidRPr="00606D67">
        <w:rPr>
          <w:color w:val="000000" w:themeColor="text1"/>
        </w:rPr>
        <w:t xml:space="preserve">, </w:t>
      </w:r>
      <w:r w:rsidRPr="00606D67">
        <w:rPr>
          <w:i/>
          <w:iCs/>
          <w:color w:val="000000" w:themeColor="text1"/>
        </w:rPr>
        <w:t>29</w:t>
      </w:r>
      <w:r w:rsidRPr="00606D67">
        <w:rPr>
          <w:color w:val="000000" w:themeColor="text1"/>
        </w:rPr>
        <w:t>. https://doi.org/10.1017/S2045796019000660</w:t>
      </w:r>
    </w:p>
    <w:p w14:paraId="2D2C4F9E" w14:textId="77777777" w:rsidR="00970C52" w:rsidRPr="00606D67" w:rsidRDefault="00970C52" w:rsidP="00970C52">
      <w:pPr>
        <w:pStyle w:val="Bibliography"/>
        <w:rPr>
          <w:color w:val="000000" w:themeColor="text1"/>
        </w:rPr>
      </w:pPr>
      <w:r w:rsidRPr="00606D67">
        <w:rPr>
          <w:color w:val="000000" w:themeColor="text1"/>
        </w:rPr>
        <w:t xml:space="preserve">Goldstein, B., &amp; Rosselli, F. (2003). Etiological paradigms of depression: The relationship between perceived causes, empowerment, treatment preferences, and stigma. </w:t>
      </w:r>
      <w:r w:rsidRPr="00606D67">
        <w:rPr>
          <w:i/>
          <w:iCs/>
          <w:color w:val="000000" w:themeColor="text1"/>
        </w:rPr>
        <w:t>Journal of Mental Health</w:t>
      </w:r>
      <w:r w:rsidRPr="00606D67">
        <w:rPr>
          <w:color w:val="000000" w:themeColor="text1"/>
        </w:rPr>
        <w:t xml:space="preserve">, </w:t>
      </w:r>
      <w:r w:rsidRPr="00606D67">
        <w:rPr>
          <w:i/>
          <w:iCs/>
          <w:color w:val="000000" w:themeColor="text1"/>
        </w:rPr>
        <w:t>12</w:t>
      </w:r>
      <w:r w:rsidRPr="00606D67">
        <w:rPr>
          <w:color w:val="000000" w:themeColor="text1"/>
        </w:rPr>
        <w:t>(6), 551–563. https://doi.org/10.1080/09638230310001627919</w:t>
      </w:r>
    </w:p>
    <w:p w14:paraId="17F73273" w14:textId="77777777" w:rsidR="00970C52" w:rsidRPr="00606D67" w:rsidRDefault="00970C52" w:rsidP="00970C52">
      <w:pPr>
        <w:pStyle w:val="Bibliography"/>
        <w:rPr>
          <w:color w:val="000000" w:themeColor="text1"/>
        </w:rPr>
      </w:pPr>
      <w:r w:rsidRPr="00606D67">
        <w:rPr>
          <w:color w:val="000000" w:themeColor="text1"/>
        </w:rPr>
        <w:t xml:space="preserve">Haslam, N., &amp; Kvaale, E. P. (2015). Biogenetic explanations of mental disorder: The mixed-blessings model. </w:t>
      </w:r>
      <w:r w:rsidRPr="00606D67">
        <w:rPr>
          <w:i/>
          <w:iCs/>
          <w:color w:val="000000" w:themeColor="text1"/>
        </w:rPr>
        <w:t>Current Directions in Psychological Science</w:t>
      </w:r>
      <w:r w:rsidRPr="00606D67">
        <w:rPr>
          <w:color w:val="000000" w:themeColor="text1"/>
        </w:rPr>
        <w:t xml:space="preserve">, </w:t>
      </w:r>
      <w:r w:rsidRPr="00606D67">
        <w:rPr>
          <w:i/>
          <w:iCs/>
          <w:color w:val="000000" w:themeColor="text1"/>
        </w:rPr>
        <w:t>24</w:t>
      </w:r>
      <w:r w:rsidRPr="00606D67">
        <w:rPr>
          <w:color w:val="000000" w:themeColor="text1"/>
        </w:rPr>
        <w:t>(5), 399–404. https://doi.org/10.1177/0963721415588082</w:t>
      </w:r>
    </w:p>
    <w:p w14:paraId="01571549" w14:textId="77777777" w:rsidR="00970C52" w:rsidRPr="00606D67" w:rsidRDefault="00970C52" w:rsidP="00970C52">
      <w:pPr>
        <w:pStyle w:val="Bibliography"/>
        <w:rPr>
          <w:color w:val="000000" w:themeColor="text1"/>
        </w:rPr>
      </w:pPr>
      <w:r w:rsidRPr="00606D67">
        <w:rPr>
          <w:color w:val="000000" w:themeColor="text1"/>
        </w:rPr>
        <w:t xml:space="preserve">Henssler, J., Stock, F., van Bohemen, J., Walter, H., Heinz, A., &amp; Brandt, L. (2021). Mental health effects of infection containment strategies: Quarantine and isolation—A systematic review and meta-analysis. </w:t>
      </w:r>
      <w:r w:rsidRPr="00606D67">
        <w:rPr>
          <w:i/>
          <w:iCs/>
          <w:color w:val="000000" w:themeColor="text1"/>
        </w:rPr>
        <w:t xml:space="preserve">European Archives of </w:t>
      </w:r>
      <w:r w:rsidRPr="00606D67">
        <w:rPr>
          <w:i/>
          <w:iCs/>
          <w:color w:val="000000" w:themeColor="text1"/>
        </w:rPr>
        <w:lastRenderedPageBreak/>
        <w:t>Psychiatry and Clinical Neuroscience</w:t>
      </w:r>
      <w:r w:rsidRPr="00606D67">
        <w:rPr>
          <w:color w:val="000000" w:themeColor="text1"/>
        </w:rPr>
        <w:t xml:space="preserve">, </w:t>
      </w:r>
      <w:r w:rsidRPr="00606D67">
        <w:rPr>
          <w:i/>
          <w:iCs/>
          <w:color w:val="000000" w:themeColor="text1"/>
        </w:rPr>
        <w:t>271</w:t>
      </w:r>
      <w:r w:rsidRPr="00606D67">
        <w:rPr>
          <w:color w:val="000000" w:themeColor="text1"/>
        </w:rPr>
        <w:t>(2), 223–234. https://doi.org/10.1007/s00406-020-01196-x</w:t>
      </w:r>
    </w:p>
    <w:p w14:paraId="04D84B25" w14:textId="77777777" w:rsidR="00970C52" w:rsidRPr="00606D67" w:rsidRDefault="00970C52" w:rsidP="00970C52">
      <w:pPr>
        <w:pStyle w:val="Bibliography"/>
        <w:rPr>
          <w:color w:val="000000" w:themeColor="text1"/>
        </w:rPr>
      </w:pPr>
      <w:r w:rsidRPr="00606D67">
        <w:rPr>
          <w:color w:val="000000" w:themeColor="text1"/>
        </w:rPr>
        <w:t>JBI Critical Appraisal Tools. (2017). Joanna Briggs Institute. https://jbi.global/critical-appraisal-tools</w:t>
      </w:r>
    </w:p>
    <w:p w14:paraId="78C771B4" w14:textId="77777777" w:rsidR="00970C52" w:rsidRPr="00606D67" w:rsidRDefault="00970C52" w:rsidP="00970C52">
      <w:pPr>
        <w:pStyle w:val="Bibliography"/>
        <w:rPr>
          <w:color w:val="000000" w:themeColor="text1"/>
        </w:rPr>
      </w:pPr>
      <w:r w:rsidRPr="00606D67">
        <w:rPr>
          <w:color w:val="000000" w:themeColor="text1"/>
        </w:rPr>
        <w:t xml:space="preserve">Kairuz, C. A., Casanelia, L. M., Bennett-Brook, K., Coombes, J., &amp; Yadav, U. N. (2021). Impact of racism and discrimination on physical and mental health among Aboriginal and Torres Strait islander peoples living in Australia: A systematic scoping review. </w:t>
      </w:r>
      <w:r w:rsidRPr="00606D67">
        <w:rPr>
          <w:i/>
          <w:iCs/>
          <w:color w:val="000000" w:themeColor="text1"/>
        </w:rPr>
        <w:t>BMC Public Health</w:t>
      </w:r>
      <w:r w:rsidRPr="00606D67">
        <w:rPr>
          <w:color w:val="000000" w:themeColor="text1"/>
        </w:rPr>
        <w:t xml:space="preserve">, </w:t>
      </w:r>
      <w:r w:rsidRPr="00606D67">
        <w:rPr>
          <w:i/>
          <w:iCs/>
          <w:color w:val="000000" w:themeColor="text1"/>
        </w:rPr>
        <w:t>21</w:t>
      </w:r>
      <w:r w:rsidRPr="00606D67">
        <w:rPr>
          <w:color w:val="000000" w:themeColor="text1"/>
        </w:rPr>
        <w:t>(1), 1302. https://doi.org/10.1186/s12889-021-11363-x</w:t>
      </w:r>
    </w:p>
    <w:p w14:paraId="1661F29F" w14:textId="77777777" w:rsidR="00970C52" w:rsidRPr="00606D67" w:rsidRDefault="00970C52" w:rsidP="00970C52">
      <w:pPr>
        <w:pStyle w:val="Bibliography"/>
        <w:rPr>
          <w:color w:val="000000" w:themeColor="text1"/>
        </w:rPr>
      </w:pPr>
      <w:r w:rsidRPr="00606D67">
        <w:rPr>
          <w:color w:val="000000" w:themeColor="text1"/>
        </w:rPr>
        <w:t xml:space="preserve">Kaufman, K. R., Bhui, K., &amp; Katona, C. (2022). Mental health responses in countries hosting refugees from Ukraine. </w:t>
      </w:r>
      <w:r w:rsidRPr="00606D67">
        <w:rPr>
          <w:i/>
          <w:iCs/>
          <w:color w:val="000000" w:themeColor="text1"/>
        </w:rPr>
        <w:t>BJPsych Open</w:t>
      </w:r>
      <w:r w:rsidRPr="00606D67">
        <w:rPr>
          <w:color w:val="000000" w:themeColor="text1"/>
        </w:rPr>
        <w:t xml:space="preserve">, </w:t>
      </w:r>
      <w:r w:rsidRPr="00606D67">
        <w:rPr>
          <w:i/>
          <w:iCs/>
          <w:color w:val="000000" w:themeColor="text1"/>
        </w:rPr>
        <w:t>8</w:t>
      </w:r>
      <w:r w:rsidRPr="00606D67">
        <w:rPr>
          <w:color w:val="000000" w:themeColor="text1"/>
        </w:rPr>
        <w:t>(3). https://doi.org/10.1192/bjo.2022.55</w:t>
      </w:r>
    </w:p>
    <w:p w14:paraId="46A58B76" w14:textId="77777777" w:rsidR="00970C52" w:rsidRPr="00606D67" w:rsidRDefault="00970C52" w:rsidP="00970C52">
      <w:pPr>
        <w:pStyle w:val="Bibliography"/>
        <w:rPr>
          <w:color w:val="000000" w:themeColor="text1"/>
        </w:rPr>
      </w:pPr>
      <w:r w:rsidRPr="00606D67">
        <w:rPr>
          <w:color w:val="000000" w:themeColor="text1"/>
        </w:rPr>
        <w:t xml:space="preserve">Kim, I. H., Muntaner, C., Vahid Shahidi, F., Vives, A., Vanroelen, C., &amp; Benach, J. (2012). Welfare states, flexible employment, and health: A critical review. </w:t>
      </w:r>
      <w:r w:rsidRPr="00606D67">
        <w:rPr>
          <w:i/>
          <w:iCs/>
          <w:color w:val="000000" w:themeColor="text1"/>
        </w:rPr>
        <w:t>Health Policy</w:t>
      </w:r>
      <w:r w:rsidRPr="00606D67">
        <w:rPr>
          <w:color w:val="000000" w:themeColor="text1"/>
        </w:rPr>
        <w:t xml:space="preserve">, </w:t>
      </w:r>
      <w:r w:rsidRPr="00606D67">
        <w:rPr>
          <w:i/>
          <w:iCs/>
          <w:color w:val="000000" w:themeColor="text1"/>
        </w:rPr>
        <w:t>104</w:t>
      </w:r>
      <w:r w:rsidRPr="00606D67">
        <w:rPr>
          <w:color w:val="000000" w:themeColor="text1"/>
        </w:rPr>
        <w:t>(2), 99–127. https://doi.org/10.1016/j.healthpol.2011.11.002</w:t>
      </w:r>
    </w:p>
    <w:p w14:paraId="57E41591" w14:textId="77777777" w:rsidR="00970C52" w:rsidRPr="00606D67" w:rsidRDefault="00970C52" w:rsidP="00970C52">
      <w:pPr>
        <w:pStyle w:val="Bibliography"/>
        <w:rPr>
          <w:color w:val="000000" w:themeColor="text1"/>
        </w:rPr>
      </w:pPr>
      <w:r w:rsidRPr="00606D67">
        <w:rPr>
          <w:color w:val="000000" w:themeColor="text1"/>
        </w:rPr>
        <w:t xml:space="preserve">Knaak, S., Mantler, E., &amp; Szeto, A. (2017). Mental illness-related stigma in healthcare: Barriers to access and care and evidence-based solutions. </w:t>
      </w:r>
      <w:r w:rsidRPr="00606D67">
        <w:rPr>
          <w:i/>
          <w:iCs/>
          <w:color w:val="000000" w:themeColor="text1"/>
        </w:rPr>
        <w:t>Healthcare Management Forum</w:t>
      </w:r>
      <w:r w:rsidRPr="00606D67">
        <w:rPr>
          <w:color w:val="000000" w:themeColor="text1"/>
        </w:rPr>
        <w:t xml:space="preserve">, </w:t>
      </w:r>
      <w:r w:rsidRPr="00606D67">
        <w:rPr>
          <w:i/>
          <w:iCs/>
          <w:color w:val="000000" w:themeColor="text1"/>
        </w:rPr>
        <w:t>30</w:t>
      </w:r>
      <w:r w:rsidRPr="00606D67">
        <w:rPr>
          <w:color w:val="000000" w:themeColor="text1"/>
        </w:rPr>
        <w:t>(2), 111–116. https://doi.org/10.1177/0840470416679413</w:t>
      </w:r>
    </w:p>
    <w:p w14:paraId="641C4480" w14:textId="77777777" w:rsidR="00970C52" w:rsidRPr="00606D67" w:rsidRDefault="00970C52" w:rsidP="00970C52">
      <w:pPr>
        <w:pStyle w:val="Bibliography"/>
        <w:rPr>
          <w:color w:val="000000" w:themeColor="text1"/>
        </w:rPr>
      </w:pPr>
      <w:r w:rsidRPr="00606D67">
        <w:rPr>
          <w:color w:val="000000" w:themeColor="text1"/>
        </w:rPr>
        <w:t xml:space="preserve">LaFave, S. E., Suen, J. J., Seau, Q., Bergman, A., Fisher, M. C., Thorpe, R. J., Jr., &amp; Szanton, S. L. (2022). Racism and older Black Americans’ health: A systematic review. </w:t>
      </w:r>
      <w:r w:rsidRPr="00606D67">
        <w:rPr>
          <w:i/>
          <w:iCs/>
          <w:color w:val="000000" w:themeColor="text1"/>
        </w:rPr>
        <w:t>J Urban Health</w:t>
      </w:r>
      <w:r w:rsidRPr="00606D67">
        <w:rPr>
          <w:color w:val="000000" w:themeColor="text1"/>
        </w:rPr>
        <w:t xml:space="preserve">, </w:t>
      </w:r>
      <w:r w:rsidRPr="00606D67">
        <w:rPr>
          <w:i/>
          <w:iCs/>
          <w:color w:val="000000" w:themeColor="text1"/>
        </w:rPr>
        <w:t>99</w:t>
      </w:r>
      <w:r w:rsidRPr="00606D67">
        <w:rPr>
          <w:color w:val="000000" w:themeColor="text1"/>
        </w:rPr>
        <w:t>(1), 28–54. https://doi.org/10.1007/s11524-021-00591-6</w:t>
      </w:r>
    </w:p>
    <w:p w14:paraId="2B7CC0C3" w14:textId="77777777" w:rsidR="00970C52" w:rsidRPr="00606D67" w:rsidRDefault="00970C52" w:rsidP="00970C52">
      <w:pPr>
        <w:pStyle w:val="Bibliography"/>
        <w:rPr>
          <w:color w:val="000000" w:themeColor="text1"/>
        </w:rPr>
      </w:pPr>
      <w:r w:rsidRPr="00606D67">
        <w:rPr>
          <w:color w:val="000000" w:themeColor="text1"/>
        </w:rPr>
        <w:lastRenderedPageBreak/>
        <w:t xml:space="preserve">Lakner, C., Mahler, D. G., Negre, M., &amp; Prydz, E. B. (2022). How much does reducing inequality matter for global poverty? </w:t>
      </w:r>
      <w:r w:rsidRPr="00606D67">
        <w:rPr>
          <w:i/>
          <w:iCs/>
          <w:color w:val="000000" w:themeColor="text1"/>
        </w:rPr>
        <w:t>The Journal of Economic Inequality</w:t>
      </w:r>
      <w:r w:rsidRPr="00606D67">
        <w:rPr>
          <w:color w:val="000000" w:themeColor="text1"/>
        </w:rPr>
        <w:t>. https://doi.org/10.1007/s10888-021-09510-w</w:t>
      </w:r>
    </w:p>
    <w:p w14:paraId="6BFBBFA5" w14:textId="77777777" w:rsidR="00970C52" w:rsidRPr="00606D67" w:rsidRDefault="00970C52" w:rsidP="00970C52">
      <w:pPr>
        <w:pStyle w:val="Bibliography"/>
        <w:rPr>
          <w:color w:val="000000" w:themeColor="text1"/>
        </w:rPr>
      </w:pPr>
      <w:r w:rsidRPr="00606D67">
        <w:rPr>
          <w:color w:val="000000" w:themeColor="text1"/>
        </w:rPr>
        <w:t xml:space="preserve">Larkings, J. S., &amp; Brown, P. M. (2018). Do biogenetic causal beliefs reduce mental illness stigma in people with mental illness and in mental health professionals? A systematic review. </w:t>
      </w:r>
      <w:r w:rsidRPr="00606D67">
        <w:rPr>
          <w:i/>
          <w:iCs/>
          <w:color w:val="000000" w:themeColor="text1"/>
        </w:rPr>
        <w:t>International Journal of Mental Health Nursing</w:t>
      </w:r>
      <w:r w:rsidRPr="00606D67">
        <w:rPr>
          <w:color w:val="000000" w:themeColor="text1"/>
        </w:rPr>
        <w:t xml:space="preserve">, </w:t>
      </w:r>
      <w:r w:rsidRPr="00606D67">
        <w:rPr>
          <w:i/>
          <w:iCs/>
          <w:color w:val="000000" w:themeColor="text1"/>
        </w:rPr>
        <w:t>27</w:t>
      </w:r>
      <w:r w:rsidRPr="00606D67">
        <w:rPr>
          <w:color w:val="000000" w:themeColor="text1"/>
        </w:rPr>
        <w:t>(3), 928–941. https://doi.org/10.1111/inm.12390</w:t>
      </w:r>
    </w:p>
    <w:p w14:paraId="33F40FBC" w14:textId="77777777" w:rsidR="00970C52" w:rsidRPr="00606D67" w:rsidRDefault="00970C52" w:rsidP="00970C52">
      <w:pPr>
        <w:pStyle w:val="Bibliography"/>
        <w:rPr>
          <w:color w:val="000000" w:themeColor="text1"/>
        </w:rPr>
      </w:pPr>
      <w:r w:rsidRPr="00606D67">
        <w:rPr>
          <w:color w:val="000000" w:themeColor="text1"/>
        </w:rPr>
        <w:t xml:space="preserve">Lebowitz, M. S., &amp; Ahn, W. (2014). Effects of biological explanations for mental disorders on clinicians’ empathy. </w:t>
      </w:r>
      <w:r w:rsidRPr="00606D67">
        <w:rPr>
          <w:i/>
          <w:iCs/>
          <w:color w:val="000000" w:themeColor="text1"/>
        </w:rPr>
        <w:t>Proceedings of the National Academy of Sciences</w:t>
      </w:r>
      <w:r w:rsidRPr="00606D67">
        <w:rPr>
          <w:color w:val="000000" w:themeColor="text1"/>
        </w:rPr>
        <w:t xml:space="preserve">, </w:t>
      </w:r>
      <w:r w:rsidRPr="00606D67">
        <w:rPr>
          <w:i/>
          <w:iCs/>
          <w:color w:val="000000" w:themeColor="text1"/>
        </w:rPr>
        <w:t>111</w:t>
      </w:r>
      <w:r w:rsidRPr="00606D67">
        <w:rPr>
          <w:color w:val="000000" w:themeColor="text1"/>
        </w:rPr>
        <w:t>(50), 17786–17790. https://doi.org/10.1073/pnas.1414058111</w:t>
      </w:r>
    </w:p>
    <w:p w14:paraId="350C5D43" w14:textId="77777777" w:rsidR="00970C52" w:rsidRPr="00606D67" w:rsidRDefault="00970C52" w:rsidP="00970C52">
      <w:pPr>
        <w:pStyle w:val="Bibliography"/>
        <w:rPr>
          <w:color w:val="000000" w:themeColor="text1"/>
        </w:rPr>
      </w:pPr>
      <w:r w:rsidRPr="00606D67">
        <w:rPr>
          <w:color w:val="000000" w:themeColor="text1"/>
        </w:rPr>
        <w:t xml:space="preserve">Lebowitz, M. S., Ahn, W., &amp; Nolen-Hoeksema, S. (2013). Fixable or fate? Perceptions of the biology of depression. </w:t>
      </w:r>
      <w:r w:rsidRPr="00606D67">
        <w:rPr>
          <w:i/>
          <w:iCs/>
          <w:color w:val="000000" w:themeColor="text1"/>
        </w:rPr>
        <w:t>Journal of Consulting and Clinical Psychology</w:t>
      </w:r>
      <w:r w:rsidRPr="00606D67">
        <w:rPr>
          <w:color w:val="000000" w:themeColor="text1"/>
        </w:rPr>
        <w:t xml:space="preserve">, </w:t>
      </w:r>
      <w:r w:rsidRPr="00606D67">
        <w:rPr>
          <w:i/>
          <w:iCs/>
          <w:color w:val="000000" w:themeColor="text1"/>
        </w:rPr>
        <w:t>81</w:t>
      </w:r>
      <w:r w:rsidRPr="00606D67">
        <w:rPr>
          <w:color w:val="000000" w:themeColor="text1"/>
        </w:rPr>
        <w:t>(3), 518–527. https://doi.org/10.1037/a0031730</w:t>
      </w:r>
    </w:p>
    <w:p w14:paraId="3662B57F" w14:textId="77777777" w:rsidR="00970C52" w:rsidRPr="00606D67" w:rsidRDefault="00970C52" w:rsidP="00970C52">
      <w:pPr>
        <w:pStyle w:val="Bibliography"/>
        <w:rPr>
          <w:color w:val="000000" w:themeColor="text1"/>
        </w:rPr>
      </w:pPr>
      <w:r w:rsidRPr="00606D67">
        <w:rPr>
          <w:color w:val="000000" w:themeColor="text1"/>
        </w:rPr>
        <w:t xml:space="preserve">Lebowitz, M. S., &amp; Appelbaum, P. S. (2019). Biomedical explanations of psychopathology and their implications for attitudes and beliefs about mental disorders. </w:t>
      </w:r>
      <w:r w:rsidRPr="00606D67">
        <w:rPr>
          <w:i/>
          <w:iCs/>
          <w:color w:val="000000" w:themeColor="text1"/>
        </w:rPr>
        <w:t>Annual Review of Clinical Psychology</w:t>
      </w:r>
      <w:r w:rsidRPr="00606D67">
        <w:rPr>
          <w:color w:val="000000" w:themeColor="text1"/>
        </w:rPr>
        <w:t xml:space="preserve">, </w:t>
      </w:r>
      <w:r w:rsidRPr="00606D67">
        <w:rPr>
          <w:i/>
          <w:iCs/>
          <w:color w:val="000000" w:themeColor="text1"/>
        </w:rPr>
        <w:t>15</w:t>
      </w:r>
      <w:r w:rsidRPr="00606D67">
        <w:rPr>
          <w:color w:val="000000" w:themeColor="text1"/>
        </w:rPr>
        <w:t>(1), 555–577. https://doi.org/10.1146/annurev-clinpsy-050718-095416</w:t>
      </w:r>
    </w:p>
    <w:p w14:paraId="03D9A108" w14:textId="77777777" w:rsidR="00970C52" w:rsidRPr="00606D67" w:rsidRDefault="00970C52" w:rsidP="00970C52">
      <w:pPr>
        <w:pStyle w:val="Bibliography"/>
        <w:rPr>
          <w:color w:val="000000" w:themeColor="text1"/>
        </w:rPr>
      </w:pPr>
      <w:r w:rsidRPr="00606D67">
        <w:rPr>
          <w:color w:val="000000" w:themeColor="text1"/>
        </w:rPr>
        <w:t xml:space="preserve">Lilienfeld, S. O., &amp; Treadway, M. T. (2016). Clashing diagnostic approaches: DSM-ICD versus RDoC. </w:t>
      </w:r>
      <w:r w:rsidRPr="00606D67">
        <w:rPr>
          <w:i/>
          <w:iCs/>
          <w:color w:val="000000" w:themeColor="text1"/>
        </w:rPr>
        <w:t>Annual Review of Clinical Psychology</w:t>
      </w:r>
      <w:r w:rsidRPr="00606D67">
        <w:rPr>
          <w:color w:val="000000" w:themeColor="text1"/>
        </w:rPr>
        <w:t xml:space="preserve">, </w:t>
      </w:r>
      <w:r w:rsidRPr="00606D67">
        <w:rPr>
          <w:i/>
          <w:iCs/>
          <w:color w:val="000000" w:themeColor="text1"/>
        </w:rPr>
        <w:t>12</w:t>
      </w:r>
      <w:r w:rsidRPr="00606D67">
        <w:rPr>
          <w:color w:val="000000" w:themeColor="text1"/>
        </w:rPr>
        <w:t>, 435–463. https://doi.org/10.1146/annurev-clinpsy-021815-093122</w:t>
      </w:r>
    </w:p>
    <w:p w14:paraId="4F0365DB" w14:textId="77777777" w:rsidR="00970C52" w:rsidRPr="00606D67" w:rsidRDefault="00970C52" w:rsidP="00970C52">
      <w:pPr>
        <w:pStyle w:val="Bibliography"/>
        <w:rPr>
          <w:color w:val="000000" w:themeColor="text1"/>
        </w:rPr>
      </w:pPr>
      <w:r w:rsidRPr="00606D67">
        <w:rPr>
          <w:color w:val="000000" w:themeColor="text1"/>
        </w:rPr>
        <w:t xml:space="preserve">Lund, C., Brooke-Sumner, C., Baingana, F., Baron, E. C., Breuer, E., Chandra, P., Haushofer, J., Herrman, H., Jordans, M., Kieling, C., Medina-Mora, M. E., Morgan, E., Omigbodun, O., Tol, W., Patel, V., &amp; Saxena, S. (2018). Social determinants of mental disorders and the Sustainable Development Goals: A </w:t>
      </w:r>
      <w:r w:rsidRPr="00606D67">
        <w:rPr>
          <w:color w:val="000000" w:themeColor="text1"/>
        </w:rPr>
        <w:lastRenderedPageBreak/>
        <w:t xml:space="preserve">systematic review of reviews. </w:t>
      </w:r>
      <w:r w:rsidRPr="00606D67">
        <w:rPr>
          <w:i/>
          <w:iCs/>
          <w:color w:val="000000" w:themeColor="text1"/>
        </w:rPr>
        <w:t>The Lancet Psychiatry</w:t>
      </w:r>
      <w:r w:rsidRPr="00606D67">
        <w:rPr>
          <w:color w:val="000000" w:themeColor="text1"/>
        </w:rPr>
        <w:t xml:space="preserve">, </w:t>
      </w:r>
      <w:r w:rsidRPr="00606D67">
        <w:rPr>
          <w:i/>
          <w:iCs/>
          <w:color w:val="000000" w:themeColor="text1"/>
        </w:rPr>
        <w:t>5</w:t>
      </w:r>
      <w:r w:rsidRPr="00606D67">
        <w:rPr>
          <w:color w:val="000000" w:themeColor="text1"/>
        </w:rPr>
        <w:t>(4), 357–369. https://doi.org/10.1016/S2215-0366(18)30060-9</w:t>
      </w:r>
    </w:p>
    <w:p w14:paraId="50675401" w14:textId="77777777" w:rsidR="00970C52" w:rsidRPr="00606D67" w:rsidRDefault="00970C52" w:rsidP="00970C52">
      <w:pPr>
        <w:pStyle w:val="Bibliography"/>
        <w:rPr>
          <w:color w:val="000000" w:themeColor="text1"/>
        </w:rPr>
      </w:pPr>
      <w:r w:rsidRPr="00606D67">
        <w:rPr>
          <w:color w:val="000000" w:themeColor="text1"/>
        </w:rPr>
        <w:t xml:space="preserve">McAllister, A., Almroth, M., Harber-Aschan, L., Larsson, S., Burström, B., &amp; Fritzell, S. (2018). How do macro-level structural determinants affect inequalities in mental health? – A systematic review of the literature. </w:t>
      </w:r>
      <w:r w:rsidRPr="00606D67">
        <w:rPr>
          <w:i/>
          <w:iCs/>
          <w:color w:val="000000" w:themeColor="text1"/>
        </w:rPr>
        <w:t>International Journal for Equity in Health</w:t>
      </w:r>
      <w:r w:rsidRPr="00606D67">
        <w:rPr>
          <w:color w:val="000000" w:themeColor="text1"/>
        </w:rPr>
        <w:t xml:space="preserve">, </w:t>
      </w:r>
      <w:r w:rsidRPr="00606D67">
        <w:rPr>
          <w:i/>
          <w:iCs/>
          <w:color w:val="000000" w:themeColor="text1"/>
        </w:rPr>
        <w:t>17</w:t>
      </w:r>
      <w:r w:rsidRPr="00606D67">
        <w:rPr>
          <w:color w:val="000000" w:themeColor="text1"/>
        </w:rPr>
        <w:t>(1), N.PAG-N.PAG. https://doi.org/10.1186/s12939-018-0879-9</w:t>
      </w:r>
    </w:p>
    <w:p w14:paraId="270E9536" w14:textId="77777777" w:rsidR="00970C52" w:rsidRPr="00606D67" w:rsidRDefault="00970C52" w:rsidP="00970C52">
      <w:pPr>
        <w:pStyle w:val="Bibliography"/>
        <w:rPr>
          <w:color w:val="000000" w:themeColor="text1"/>
        </w:rPr>
      </w:pPr>
      <w:r w:rsidRPr="00606D67">
        <w:rPr>
          <w:color w:val="000000" w:themeColor="text1"/>
        </w:rPr>
        <w:t xml:space="preserve">Mejia-Lancheros, C., Lachaud, J., Woodhall-Melnik, J., O’Campo, P., Hwang, S. W., &amp; Stergiopoulos, V. (2021). Longitudinal interrelationships of mental health discrimination and stigma with housing and well-being outcomes in adults with mental illness and recent experience of homelessness. </w:t>
      </w:r>
      <w:r w:rsidRPr="00606D67">
        <w:rPr>
          <w:i/>
          <w:iCs/>
          <w:color w:val="000000" w:themeColor="text1"/>
        </w:rPr>
        <w:t>Social Science &amp; Medicine</w:t>
      </w:r>
      <w:r w:rsidRPr="00606D67">
        <w:rPr>
          <w:color w:val="000000" w:themeColor="text1"/>
        </w:rPr>
        <w:t xml:space="preserve">, </w:t>
      </w:r>
      <w:r w:rsidRPr="00606D67">
        <w:rPr>
          <w:i/>
          <w:iCs/>
          <w:color w:val="000000" w:themeColor="text1"/>
        </w:rPr>
        <w:t>268</w:t>
      </w:r>
      <w:r w:rsidRPr="00606D67">
        <w:rPr>
          <w:color w:val="000000" w:themeColor="text1"/>
        </w:rPr>
        <w:t>, 113463. https://doi.org/10.1016/j.socscimed.2020.113463</w:t>
      </w:r>
    </w:p>
    <w:p w14:paraId="757F1334" w14:textId="77777777" w:rsidR="00970C52" w:rsidRPr="00606D67" w:rsidRDefault="00970C52" w:rsidP="00970C52">
      <w:pPr>
        <w:pStyle w:val="Bibliography"/>
        <w:rPr>
          <w:color w:val="000000" w:themeColor="text1"/>
        </w:rPr>
      </w:pPr>
      <w:r w:rsidRPr="00606D67">
        <w:rPr>
          <w:color w:val="000000" w:themeColor="text1"/>
        </w:rPr>
        <w:t xml:space="preserve">Meyer, S. R., Lasater, M., &amp; Tol, W. A. (2017). Migration and mental health in low- and middle-income countries: A systematic review. </w:t>
      </w:r>
      <w:r w:rsidRPr="00606D67">
        <w:rPr>
          <w:i/>
          <w:iCs/>
          <w:color w:val="000000" w:themeColor="text1"/>
        </w:rPr>
        <w:t>Psychiatry: Interpersonal and Biological Processes</w:t>
      </w:r>
      <w:r w:rsidRPr="00606D67">
        <w:rPr>
          <w:color w:val="000000" w:themeColor="text1"/>
        </w:rPr>
        <w:t xml:space="preserve">, </w:t>
      </w:r>
      <w:r w:rsidRPr="00606D67">
        <w:rPr>
          <w:i/>
          <w:iCs/>
          <w:color w:val="000000" w:themeColor="text1"/>
        </w:rPr>
        <w:t>80</w:t>
      </w:r>
      <w:r w:rsidRPr="00606D67">
        <w:rPr>
          <w:color w:val="000000" w:themeColor="text1"/>
        </w:rPr>
        <w:t>(4), 374–381. https://doi.org/10.1080/00332747.2017.1354608</w:t>
      </w:r>
    </w:p>
    <w:p w14:paraId="2710A2E2" w14:textId="77777777" w:rsidR="00970C52" w:rsidRPr="00606D67" w:rsidRDefault="00970C52" w:rsidP="00970C52">
      <w:pPr>
        <w:pStyle w:val="Bibliography"/>
        <w:rPr>
          <w:color w:val="000000" w:themeColor="text1"/>
        </w:rPr>
      </w:pPr>
      <w:r w:rsidRPr="00606D67">
        <w:rPr>
          <w:color w:val="000000" w:themeColor="text1"/>
        </w:rPr>
        <w:t xml:space="preserve">Milner, A., Scovelle, A. J., King, T., Marck, C., McAllister, A., Kavanagh, A., Shields, M., Török, E., Maheen, H., &amp; O’Neil, A. (2021). Gendered working environments as a determinant of mental health inequalities: A systematic review of 27 studies. </w:t>
      </w:r>
      <w:r w:rsidRPr="00606D67">
        <w:rPr>
          <w:i/>
          <w:iCs/>
          <w:color w:val="000000" w:themeColor="text1"/>
        </w:rPr>
        <w:t>Occupational and Environmental Medicine</w:t>
      </w:r>
      <w:r w:rsidRPr="00606D67">
        <w:rPr>
          <w:color w:val="000000" w:themeColor="text1"/>
        </w:rPr>
        <w:t xml:space="preserve">, </w:t>
      </w:r>
      <w:r w:rsidRPr="00606D67">
        <w:rPr>
          <w:i/>
          <w:iCs/>
          <w:color w:val="000000" w:themeColor="text1"/>
        </w:rPr>
        <w:t>78</w:t>
      </w:r>
      <w:r w:rsidRPr="00606D67">
        <w:rPr>
          <w:color w:val="000000" w:themeColor="text1"/>
        </w:rPr>
        <w:t>(3), 147–152. https://doi.org/10.1136/oemed-2019-106281</w:t>
      </w:r>
    </w:p>
    <w:p w14:paraId="44458EA5" w14:textId="77777777" w:rsidR="00970C52" w:rsidRPr="00606D67" w:rsidRDefault="00970C52" w:rsidP="00970C52">
      <w:pPr>
        <w:pStyle w:val="Bibliography"/>
        <w:rPr>
          <w:color w:val="000000" w:themeColor="text1"/>
        </w:rPr>
      </w:pPr>
      <w:r w:rsidRPr="00606D67">
        <w:rPr>
          <w:color w:val="000000" w:themeColor="text1"/>
        </w:rPr>
        <w:t xml:space="preserve">Miresco, M. J., &amp; Kirmayer, L. J. (2006). The persistence of mind-brain dualism in psychiatric reasoning about clinical scenarios. </w:t>
      </w:r>
      <w:r w:rsidRPr="00606D67">
        <w:rPr>
          <w:i/>
          <w:iCs/>
          <w:color w:val="000000" w:themeColor="text1"/>
        </w:rPr>
        <w:t>American Journal of Psychiatry</w:t>
      </w:r>
      <w:r w:rsidRPr="00606D67">
        <w:rPr>
          <w:color w:val="000000" w:themeColor="text1"/>
        </w:rPr>
        <w:t xml:space="preserve">, </w:t>
      </w:r>
      <w:r w:rsidRPr="00606D67">
        <w:rPr>
          <w:i/>
          <w:iCs/>
          <w:color w:val="000000" w:themeColor="text1"/>
        </w:rPr>
        <w:t>163</w:t>
      </w:r>
      <w:r w:rsidRPr="00606D67">
        <w:rPr>
          <w:color w:val="000000" w:themeColor="text1"/>
        </w:rPr>
        <w:t>(5), 913–918. https://doi.org/10.1176/ajp.2006.163.5.913</w:t>
      </w:r>
    </w:p>
    <w:p w14:paraId="3B7E21EA" w14:textId="77777777" w:rsidR="00970C52" w:rsidRPr="00606D67" w:rsidRDefault="00970C52" w:rsidP="00970C52">
      <w:pPr>
        <w:pStyle w:val="Bibliography"/>
        <w:rPr>
          <w:color w:val="000000" w:themeColor="text1"/>
        </w:rPr>
      </w:pPr>
      <w:r w:rsidRPr="00606D67">
        <w:rPr>
          <w:color w:val="000000" w:themeColor="text1"/>
        </w:rPr>
        <w:lastRenderedPageBreak/>
        <w:t xml:space="preserve">Moola, S., Munn, Z., Sears, K., Sfetcu, R., Currie, M., Lisy, K., Tufanaru, C., Qureshi, R., Mattis, P., &amp; Mu, P. (2015). Conducting systematic reviews of association (etiology): The Joanna Briggs Institute’s approach. </w:t>
      </w:r>
      <w:r w:rsidRPr="00606D67">
        <w:rPr>
          <w:i/>
          <w:iCs/>
          <w:color w:val="000000" w:themeColor="text1"/>
        </w:rPr>
        <w:t>JBI Evidence Implementation</w:t>
      </w:r>
      <w:r w:rsidRPr="00606D67">
        <w:rPr>
          <w:color w:val="000000" w:themeColor="text1"/>
        </w:rPr>
        <w:t xml:space="preserve">, </w:t>
      </w:r>
      <w:r w:rsidRPr="00606D67">
        <w:rPr>
          <w:i/>
          <w:iCs/>
          <w:color w:val="000000" w:themeColor="text1"/>
        </w:rPr>
        <w:t>13</w:t>
      </w:r>
      <w:r w:rsidRPr="00606D67">
        <w:rPr>
          <w:color w:val="000000" w:themeColor="text1"/>
        </w:rPr>
        <w:t>(3), 163–169. https://doi.org/10.1097/XEB.0000000000000064</w:t>
      </w:r>
    </w:p>
    <w:p w14:paraId="70E7DCE8" w14:textId="77777777" w:rsidR="00970C52" w:rsidRPr="00606D67" w:rsidRDefault="00970C52" w:rsidP="00970C52">
      <w:pPr>
        <w:pStyle w:val="Bibliography"/>
        <w:rPr>
          <w:color w:val="000000" w:themeColor="text1"/>
        </w:rPr>
      </w:pPr>
      <w:r w:rsidRPr="00606D67">
        <w:rPr>
          <w:color w:val="000000" w:themeColor="text1"/>
        </w:rPr>
        <w:t xml:space="preserve">Nelson, S. E., &amp; Wilson, K. (2017). The mental health of Indigenous peoples in Canada: A critical review of research. </w:t>
      </w:r>
      <w:r w:rsidRPr="00606D67">
        <w:rPr>
          <w:i/>
          <w:iCs/>
          <w:color w:val="000000" w:themeColor="text1"/>
        </w:rPr>
        <w:t>Social Science and Medicine</w:t>
      </w:r>
      <w:r w:rsidRPr="00606D67">
        <w:rPr>
          <w:color w:val="000000" w:themeColor="text1"/>
        </w:rPr>
        <w:t xml:space="preserve">, </w:t>
      </w:r>
      <w:r w:rsidRPr="00606D67">
        <w:rPr>
          <w:i/>
          <w:iCs/>
          <w:color w:val="000000" w:themeColor="text1"/>
        </w:rPr>
        <w:t>176</w:t>
      </w:r>
      <w:r w:rsidRPr="00606D67">
        <w:rPr>
          <w:color w:val="000000" w:themeColor="text1"/>
        </w:rPr>
        <w:t>, 93–112. https://doi.org/10.1016/j.socscimed.2017.01.021</w:t>
      </w:r>
    </w:p>
    <w:p w14:paraId="0A129464" w14:textId="77777777" w:rsidR="00970C52" w:rsidRPr="00606D67" w:rsidRDefault="00970C52" w:rsidP="00970C52">
      <w:pPr>
        <w:pStyle w:val="Bibliography"/>
        <w:rPr>
          <w:color w:val="000000" w:themeColor="text1"/>
        </w:rPr>
      </w:pPr>
      <w:r w:rsidRPr="00606D67">
        <w:rPr>
          <w:color w:val="000000" w:themeColor="text1"/>
        </w:rPr>
        <w:t xml:space="preserve">Ni, M. Y., Kim, Y., McDowell, I., Wong, S., Qiu, H., Wong, I. O., Galea, S., &amp; Leung, G. M. (2020). Mental health during and after protests, riots and revolutions: A systematic review. </w:t>
      </w:r>
      <w:r w:rsidRPr="00606D67">
        <w:rPr>
          <w:i/>
          <w:iCs/>
          <w:color w:val="000000" w:themeColor="text1"/>
        </w:rPr>
        <w:t>Aust N Z J Psychiatry</w:t>
      </w:r>
      <w:r w:rsidRPr="00606D67">
        <w:rPr>
          <w:color w:val="000000" w:themeColor="text1"/>
        </w:rPr>
        <w:t xml:space="preserve">, </w:t>
      </w:r>
      <w:r w:rsidRPr="00606D67">
        <w:rPr>
          <w:i/>
          <w:iCs/>
          <w:color w:val="000000" w:themeColor="text1"/>
        </w:rPr>
        <w:t>54</w:t>
      </w:r>
      <w:r w:rsidRPr="00606D67">
        <w:rPr>
          <w:color w:val="000000" w:themeColor="text1"/>
        </w:rPr>
        <w:t>(3), 232–243. https://doi.org/10.1177/0004867419899165</w:t>
      </w:r>
    </w:p>
    <w:p w14:paraId="05D36738" w14:textId="77777777" w:rsidR="00970C52" w:rsidRPr="00606D67" w:rsidRDefault="00970C52" w:rsidP="00970C52">
      <w:pPr>
        <w:pStyle w:val="Bibliography"/>
        <w:rPr>
          <w:color w:val="000000" w:themeColor="text1"/>
        </w:rPr>
      </w:pPr>
      <w:r w:rsidRPr="00606D67">
        <w:rPr>
          <w:color w:val="000000" w:themeColor="text1"/>
        </w:rPr>
        <w:t xml:space="preserve">O’Connor, C., &amp; Vaughan, S. (2021). Does selectively endorsing different approaches to treating mental illness affect lay beliefs about the cause and course of mental illness? </w:t>
      </w:r>
      <w:r w:rsidRPr="00606D67">
        <w:rPr>
          <w:i/>
          <w:iCs/>
          <w:color w:val="000000" w:themeColor="text1"/>
        </w:rPr>
        <w:t>Psychiatry Research</w:t>
      </w:r>
      <w:r w:rsidRPr="00606D67">
        <w:rPr>
          <w:color w:val="000000" w:themeColor="text1"/>
        </w:rPr>
        <w:t xml:space="preserve">, </w:t>
      </w:r>
      <w:r w:rsidRPr="00606D67">
        <w:rPr>
          <w:i/>
          <w:iCs/>
          <w:color w:val="000000" w:themeColor="text1"/>
        </w:rPr>
        <w:t>297</w:t>
      </w:r>
      <w:r w:rsidRPr="00606D67">
        <w:rPr>
          <w:color w:val="000000" w:themeColor="text1"/>
        </w:rPr>
        <w:t>, 113726. https://doi.org/10.1016/j.psychres.2021.113726</w:t>
      </w:r>
    </w:p>
    <w:p w14:paraId="1A2B8D3D" w14:textId="77777777" w:rsidR="00970C52" w:rsidRPr="00606D67" w:rsidRDefault="00970C52" w:rsidP="00970C52">
      <w:pPr>
        <w:pStyle w:val="Bibliography"/>
        <w:rPr>
          <w:color w:val="000000" w:themeColor="text1"/>
        </w:rPr>
      </w:pPr>
      <w:r w:rsidRPr="00606D67">
        <w:rPr>
          <w:color w:val="000000" w:themeColor="text1"/>
        </w:rPr>
        <w:t xml:space="preserve">Odone, A., Gianfredi, V., Vigezzi, G. P., Amerio, A., Ardito, C., d’Errico, A., Stuckler, D., &amp; Costa, G. (2021). Does retirement trigger depressive symptoms? A systematic review and meta-analysis. </w:t>
      </w:r>
      <w:r w:rsidRPr="00606D67">
        <w:rPr>
          <w:i/>
          <w:iCs/>
          <w:color w:val="000000" w:themeColor="text1"/>
        </w:rPr>
        <w:t>Epidemiology and Psychiatric Sciences</w:t>
      </w:r>
      <w:r w:rsidRPr="00606D67">
        <w:rPr>
          <w:color w:val="000000" w:themeColor="text1"/>
        </w:rPr>
        <w:t xml:space="preserve">, </w:t>
      </w:r>
      <w:r w:rsidRPr="00606D67">
        <w:rPr>
          <w:i/>
          <w:iCs/>
          <w:color w:val="000000" w:themeColor="text1"/>
        </w:rPr>
        <w:t>30</w:t>
      </w:r>
      <w:r w:rsidRPr="00606D67">
        <w:rPr>
          <w:color w:val="000000" w:themeColor="text1"/>
        </w:rPr>
        <w:t>, 24. https://doi.org/10.1017/S2045796021000627</w:t>
      </w:r>
    </w:p>
    <w:p w14:paraId="13D611FD" w14:textId="77777777" w:rsidR="00970C52" w:rsidRPr="00606D67" w:rsidRDefault="00970C52" w:rsidP="00970C52">
      <w:pPr>
        <w:pStyle w:val="Bibliography"/>
        <w:rPr>
          <w:color w:val="000000" w:themeColor="text1"/>
        </w:rPr>
      </w:pPr>
      <w:r w:rsidRPr="00606D67">
        <w:rPr>
          <w:color w:val="000000" w:themeColor="text1"/>
        </w:rPr>
        <w:t xml:space="preserve">Page, M. J., McKenzie, J. E., Bossuyt, P. M., Boutron, I., Hoffmann, T. C., Mulrow, C. D., Shamseer, L., Tetzlaff, J. M., Akl, E. A., Brennan, S. E., Chou, R., Glanville, J., Grimshaw, J. M., Hróbjartsson, A., Lalu, M. M., Li, T., Loder, E. W., Mayo-Wilson, E., McDonald, S., … Moher, D. (2021). The PRISMA 2020 statement: </w:t>
      </w:r>
      <w:r w:rsidRPr="00606D67">
        <w:rPr>
          <w:color w:val="000000" w:themeColor="text1"/>
        </w:rPr>
        <w:lastRenderedPageBreak/>
        <w:t xml:space="preserve">An updated guideline for reporting systematic reviews. </w:t>
      </w:r>
      <w:r w:rsidRPr="00606D67">
        <w:rPr>
          <w:i/>
          <w:iCs/>
          <w:color w:val="000000" w:themeColor="text1"/>
        </w:rPr>
        <w:t>Systematic Reviews</w:t>
      </w:r>
      <w:r w:rsidRPr="00606D67">
        <w:rPr>
          <w:color w:val="000000" w:themeColor="text1"/>
        </w:rPr>
        <w:t xml:space="preserve">, </w:t>
      </w:r>
      <w:r w:rsidRPr="00606D67">
        <w:rPr>
          <w:i/>
          <w:iCs/>
          <w:color w:val="000000" w:themeColor="text1"/>
        </w:rPr>
        <w:t>10</w:t>
      </w:r>
      <w:r w:rsidRPr="00606D67">
        <w:rPr>
          <w:color w:val="000000" w:themeColor="text1"/>
        </w:rPr>
        <w:t>(1), 89. https://doi.org/10.1186/s13643-021-01626-4</w:t>
      </w:r>
    </w:p>
    <w:p w14:paraId="167CCC90" w14:textId="77777777" w:rsidR="00970C52" w:rsidRPr="00606D67" w:rsidRDefault="00970C52" w:rsidP="00970C52">
      <w:pPr>
        <w:pStyle w:val="Bibliography"/>
        <w:rPr>
          <w:color w:val="000000" w:themeColor="text1"/>
        </w:rPr>
      </w:pPr>
      <w:r w:rsidRPr="00606D67">
        <w:rPr>
          <w:color w:val="000000" w:themeColor="text1"/>
        </w:rPr>
        <w:t xml:space="preserve">Paradies, Y. (2006). A systematic review of empirical research on self-reported racism and health. </w:t>
      </w:r>
      <w:r w:rsidRPr="00606D67">
        <w:rPr>
          <w:i/>
          <w:iCs/>
          <w:color w:val="000000" w:themeColor="text1"/>
        </w:rPr>
        <w:t>International Journal of Epidemiology</w:t>
      </w:r>
      <w:r w:rsidRPr="00606D67">
        <w:rPr>
          <w:color w:val="000000" w:themeColor="text1"/>
        </w:rPr>
        <w:t xml:space="preserve">, </w:t>
      </w:r>
      <w:r w:rsidRPr="00606D67">
        <w:rPr>
          <w:i/>
          <w:iCs/>
          <w:color w:val="000000" w:themeColor="text1"/>
        </w:rPr>
        <w:t>35</w:t>
      </w:r>
      <w:r w:rsidRPr="00606D67">
        <w:rPr>
          <w:color w:val="000000" w:themeColor="text1"/>
        </w:rPr>
        <w:t>(4), 888–901. https://doi.org/10.1093/ije/dyl056</w:t>
      </w:r>
    </w:p>
    <w:p w14:paraId="4CC065E3" w14:textId="77777777" w:rsidR="00970C52" w:rsidRPr="00606D67" w:rsidRDefault="00970C52" w:rsidP="00970C52">
      <w:pPr>
        <w:pStyle w:val="Bibliography"/>
        <w:rPr>
          <w:color w:val="000000" w:themeColor="text1"/>
        </w:rPr>
      </w:pPr>
      <w:r w:rsidRPr="00606D67">
        <w:rPr>
          <w:color w:val="000000" w:themeColor="text1"/>
        </w:rPr>
        <w:t xml:space="preserve">Paradies, Y., Ben, J., Denson, N., Elias, A., Priest, N., Pieterse, A., Gupta, A., Kelaher, M., &amp; Gee, G. (2015). Racism as a determinant of health: A systematic review and meta-analysis. </w:t>
      </w:r>
      <w:r w:rsidRPr="00606D67">
        <w:rPr>
          <w:i/>
          <w:iCs/>
          <w:color w:val="000000" w:themeColor="text1"/>
        </w:rPr>
        <w:t>PLoS ONE</w:t>
      </w:r>
      <w:r w:rsidRPr="00606D67">
        <w:rPr>
          <w:color w:val="000000" w:themeColor="text1"/>
        </w:rPr>
        <w:t xml:space="preserve">, </w:t>
      </w:r>
      <w:r w:rsidRPr="00606D67">
        <w:rPr>
          <w:i/>
          <w:iCs/>
          <w:color w:val="000000" w:themeColor="text1"/>
        </w:rPr>
        <w:t>10</w:t>
      </w:r>
      <w:r w:rsidRPr="00606D67">
        <w:rPr>
          <w:color w:val="000000" w:themeColor="text1"/>
        </w:rPr>
        <w:t>(9), e0138511. https://doi.org/10.1371/journal.pone.0138511</w:t>
      </w:r>
    </w:p>
    <w:p w14:paraId="0C118A70" w14:textId="77777777" w:rsidR="00970C52" w:rsidRPr="00606D67" w:rsidRDefault="00970C52" w:rsidP="00970C52">
      <w:pPr>
        <w:pStyle w:val="Bibliography"/>
        <w:rPr>
          <w:color w:val="000000" w:themeColor="text1"/>
        </w:rPr>
      </w:pPr>
      <w:r w:rsidRPr="00606D67">
        <w:rPr>
          <w:color w:val="000000" w:themeColor="text1"/>
        </w:rPr>
        <w:t xml:space="preserve">Patel, V., Burns, J. K., Dhingra, M., Tarver, L., Kohrt, B. A., &amp; Lund, C. (2018). Income inequality and depression: A systematic review and meta‐analysis of the association and a scoping review of mechanisms. </w:t>
      </w:r>
      <w:r w:rsidRPr="00606D67">
        <w:rPr>
          <w:i/>
          <w:iCs/>
          <w:color w:val="000000" w:themeColor="text1"/>
        </w:rPr>
        <w:t>World Psychiatry</w:t>
      </w:r>
      <w:r w:rsidRPr="00606D67">
        <w:rPr>
          <w:color w:val="000000" w:themeColor="text1"/>
        </w:rPr>
        <w:t xml:space="preserve">, </w:t>
      </w:r>
      <w:r w:rsidRPr="00606D67">
        <w:rPr>
          <w:i/>
          <w:iCs/>
          <w:color w:val="000000" w:themeColor="text1"/>
        </w:rPr>
        <w:t>17</w:t>
      </w:r>
      <w:r w:rsidRPr="00606D67">
        <w:rPr>
          <w:color w:val="000000" w:themeColor="text1"/>
        </w:rPr>
        <w:t>(1), 76–89. https://doi.org/10.1002/wps.20492</w:t>
      </w:r>
    </w:p>
    <w:p w14:paraId="17F89D6B" w14:textId="77777777" w:rsidR="00970C52" w:rsidRPr="00606D67" w:rsidRDefault="00970C52" w:rsidP="00970C52">
      <w:pPr>
        <w:pStyle w:val="Bibliography"/>
        <w:rPr>
          <w:color w:val="000000" w:themeColor="text1"/>
        </w:rPr>
      </w:pPr>
      <w:r w:rsidRPr="00606D67">
        <w:rPr>
          <w:color w:val="000000" w:themeColor="text1"/>
        </w:rPr>
        <w:t xml:space="preserve">Popay, J., Roberts, H., Sowden, A., Petticrew, M., Arai, L., Rodgers, M., &amp; Britten, N. (2006). </w:t>
      </w:r>
      <w:r w:rsidRPr="00606D67">
        <w:rPr>
          <w:i/>
          <w:iCs/>
          <w:color w:val="000000" w:themeColor="text1"/>
        </w:rPr>
        <w:t>Guidance on the conduct of narrative synthesis in systematic reviews</w:t>
      </w:r>
      <w:r w:rsidRPr="00606D67">
        <w:rPr>
          <w:color w:val="000000" w:themeColor="text1"/>
        </w:rPr>
        <w:t>. 92.</w:t>
      </w:r>
    </w:p>
    <w:p w14:paraId="37BBC439" w14:textId="77777777" w:rsidR="00970C52" w:rsidRPr="00606D67" w:rsidRDefault="00970C52" w:rsidP="00970C52">
      <w:pPr>
        <w:pStyle w:val="Bibliography"/>
        <w:rPr>
          <w:color w:val="000000" w:themeColor="text1"/>
        </w:rPr>
      </w:pPr>
      <w:r w:rsidRPr="00606D67">
        <w:rPr>
          <w:color w:val="000000" w:themeColor="text1"/>
        </w:rPr>
        <w:t xml:space="preserve">Racine, E., Waldman, S., Rosenberg, J., &amp; Illes, J. (2010). Contemporary neuroscience in the media. </w:t>
      </w:r>
      <w:r w:rsidRPr="00606D67">
        <w:rPr>
          <w:i/>
          <w:iCs/>
          <w:color w:val="000000" w:themeColor="text1"/>
        </w:rPr>
        <w:t>Social Science &amp; Medicine</w:t>
      </w:r>
      <w:r w:rsidRPr="00606D67">
        <w:rPr>
          <w:color w:val="000000" w:themeColor="text1"/>
        </w:rPr>
        <w:t xml:space="preserve">, </w:t>
      </w:r>
      <w:r w:rsidRPr="00606D67">
        <w:rPr>
          <w:i/>
          <w:iCs/>
          <w:color w:val="000000" w:themeColor="text1"/>
        </w:rPr>
        <w:t>71</w:t>
      </w:r>
      <w:r w:rsidRPr="00606D67">
        <w:rPr>
          <w:color w:val="000000" w:themeColor="text1"/>
        </w:rPr>
        <w:t>(4), 725–733. https://doi.org/10.1016/j.socscimed.2010.05.017</w:t>
      </w:r>
    </w:p>
    <w:p w14:paraId="39639AF2" w14:textId="77777777" w:rsidR="00970C52" w:rsidRPr="00606D67" w:rsidRDefault="00970C52" w:rsidP="00970C52">
      <w:pPr>
        <w:pStyle w:val="Bibliography"/>
        <w:rPr>
          <w:color w:val="000000" w:themeColor="text1"/>
        </w:rPr>
      </w:pPr>
      <w:r w:rsidRPr="00606D67">
        <w:rPr>
          <w:color w:val="000000" w:themeColor="text1"/>
        </w:rPr>
        <w:t xml:space="preserve">Read, J., Haslam, N., Sayce, L., &amp; Davies, E. (2006). Prejudice and schizophrenia: A review of the ‘mental illness is an illness like any other’ approach. </w:t>
      </w:r>
      <w:r w:rsidRPr="00606D67">
        <w:rPr>
          <w:i/>
          <w:iCs/>
          <w:color w:val="000000" w:themeColor="text1"/>
        </w:rPr>
        <w:t>Acta Psychiatrica Scandinavica</w:t>
      </w:r>
      <w:r w:rsidRPr="00606D67">
        <w:rPr>
          <w:color w:val="000000" w:themeColor="text1"/>
        </w:rPr>
        <w:t xml:space="preserve">, </w:t>
      </w:r>
      <w:r w:rsidRPr="00606D67">
        <w:rPr>
          <w:i/>
          <w:iCs/>
          <w:color w:val="000000" w:themeColor="text1"/>
        </w:rPr>
        <w:t>114</w:t>
      </w:r>
      <w:r w:rsidRPr="00606D67">
        <w:rPr>
          <w:color w:val="000000" w:themeColor="text1"/>
        </w:rPr>
        <w:t>(5), 303–318. https://doi.org/10.1111/j.1600-0447.2006.00824.x</w:t>
      </w:r>
    </w:p>
    <w:p w14:paraId="3D3C0065" w14:textId="77777777" w:rsidR="00970C52" w:rsidRPr="00606D67" w:rsidRDefault="00970C52" w:rsidP="00970C52">
      <w:pPr>
        <w:pStyle w:val="Bibliography"/>
        <w:rPr>
          <w:color w:val="000000" w:themeColor="text1"/>
        </w:rPr>
      </w:pPr>
      <w:r w:rsidRPr="00606D67">
        <w:rPr>
          <w:color w:val="000000" w:themeColor="text1"/>
        </w:rPr>
        <w:lastRenderedPageBreak/>
        <w:t xml:space="preserve">Remes, O., Francisco, J., &amp; Templeton, P. (2021). Biological, psychological, and social determinants of depression: A review of recent literature. </w:t>
      </w:r>
      <w:r w:rsidRPr="00606D67">
        <w:rPr>
          <w:i/>
          <w:iCs/>
          <w:color w:val="000000" w:themeColor="text1"/>
        </w:rPr>
        <w:t>Brain Sciences</w:t>
      </w:r>
      <w:r w:rsidRPr="00606D67">
        <w:rPr>
          <w:color w:val="000000" w:themeColor="text1"/>
        </w:rPr>
        <w:t xml:space="preserve">, </w:t>
      </w:r>
      <w:r w:rsidRPr="00606D67">
        <w:rPr>
          <w:i/>
          <w:iCs/>
          <w:color w:val="000000" w:themeColor="text1"/>
        </w:rPr>
        <w:t>11</w:t>
      </w:r>
      <w:r w:rsidRPr="00606D67">
        <w:rPr>
          <w:color w:val="000000" w:themeColor="text1"/>
        </w:rPr>
        <w:t>(12). https://doi.org/10.3390/brainsci11121633</w:t>
      </w:r>
    </w:p>
    <w:p w14:paraId="41E7EB4C" w14:textId="77777777" w:rsidR="00970C52" w:rsidRPr="00606D67" w:rsidRDefault="00970C52" w:rsidP="00970C52">
      <w:pPr>
        <w:pStyle w:val="Bibliography"/>
        <w:rPr>
          <w:color w:val="000000" w:themeColor="text1"/>
        </w:rPr>
      </w:pPr>
      <w:r w:rsidRPr="00606D67">
        <w:rPr>
          <w:color w:val="000000" w:themeColor="text1"/>
        </w:rPr>
        <w:t xml:space="preserve">Reynolds, W. J., &amp; Scott, B. (2000). Do nurses and other professional helpers normally display much empathy? </w:t>
      </w:r>
      <w:r w:rsidRPr="00606D67">
        <w:rPr>
          <w:i/>
          <w:iCs/>
          <w:color w:val="000000" w:themeColor="text1"/>
        </w:rPr>
        <w:t>Journal of Advanced Nursing</w:t>
      </w:r>
      <w:r w:rsidRPr="00606D67">
        <w:rPr>
          <w:color w:val="000000" w:themeColor="text1"/>
        </w:rPr>
        <w:t xml:space="preserve">, </w:t>
      </w:r>
      <w:r w:rsidRPr="00606D67">
        <w:rPr>
          <w:i/>
          <w:iCs/>
          <w:color w:val="000000" w:themeColor="text1"/>
        </w:rPr>
        <w:t>31</w:t>
      </w:r>
      <w:r w:rsidRPr="00606D67">
        <w:rPr>
          <w:color w:val="000000" w:themeColor="text1"/>
        </w:rPr>
        <w:t>(1), 226–234. https://doi.org/10.1046/j.1365-2648.2000.01242.x</w:t>
      </w:r>
    </w:p>
    <w:p w14:paraId="793A9CD2" w14:textId="77777777" w:rsidR="00970C52" w:rsidRPr="00606D67" w:rsidRDefault="00970C52" w:rsidP="00970C52">
      <w:pPr>
        <w:pStyle w:val="Bibliography"/>
        <w:rPr>
          <w:color w:val="000000" w:themeColor="text1"/>
        </w:rPr>
      </w:pPr>
      <w:r w:rsidRPr="00606D67">
        <w:rPr>
          <w:color w:val="000000" w:themeColor="text1"/>
        </w:rPr>
        <w:t xml:space="preserve">Ribeiro, W. S., Bauer, A., Andrade, M. C. R., York-Smith, M., Pan, P. M., Pingani, L., Knapp, M., Coutinho, E. S. F., &amp; Evans-Lacko, S. (2017). Income inequality and mental illness-related morbidity and resilience: A systematic review and meta-analysis. </w:t>
      </w:r>
      <w:r w:rsidRPr="00606D67">
        <w:rPr>
          <w:i/>
          <w:iCs/>
          <w:color w:val="000000" w:themeColor="text1"/>
        </w:rPr>
        <w:t>The Lancet Psychiatry</w:t>
      </w:r>
      <w:r w:rsidRPr="00606D67">
        <w:rPr>
          <w:color w:val="000000" w:themeColor="text1"/>
        </w:rPr>
        <w:t xml:space="preserve">, </w:t>
      </w:r>
      <w:r w:rsidRPr="00606D67">
        <w:rPr>
          <w:i/>
          <w:iCs/>
          <w:color w:val="000000" w:themeColor="text1"/>
        </w:rPr>
        <w:t>4</w:t>
      </w:r>
      <w:r w:rsidRPr="00606D67">
        <w:rPr>
          <w:color w:val="000000" w:themeColor="text1"/>
        </w:rPr>
        <w:t>(7), 554–562. https://doi.org/10.1016/S2215-0366(17)30159-1</w:t>
      </w:r>
    </w:p>
    <w:p w14:paraId="589F18CD" w14:textId="77777777" w:rsidR="00970C52" w:rsidRPr="00606D67" w:rsidRDefault="00970C52" w:rsidP="00970C52">
      <w:pPr>
        <w:pStyle w:val="Bibliography"/>
        <w:rPr>
          <w:color w:val="000000" w:themeColor="text1"/>
        </w:rPr>
      </w:pPr>
      <w:r w:rsidRPr="00606D67">
        <w:rPr>
          <w:color w:val="000000" w:themeColor="text1"/>
        </w:rPr>
        <w:t xml:space="preserve">Samari, G., Alcalá, H. E., &amp; Sharif, M. Z. (2018). Islamophobia, health, and public health: A systematic literature review. </w:t>
      </w:r>
      <w:r w:rsidRPr="00606D67">
        <w:rPr>
          <w:i/>
          <w:iCs/>
          <w:color w:val="000000" w:themeColor="text1"/>
        </w:rPr>
        <w:t>Am J Public Health</w:t>
      </w:r>
      <w:r w:rsidRPr="00606D67">
        <w:rPr>
          <w:color w:val="000000" w:themeColor="text1"/>
        </w:rPr>
        <w:t xml:space="preserve">, </w:t>
      </w:r>
      <w:r w:rsidRPr="00606D67">
        <w:rPr>
          <w:i/>
          <w:iCs/>
          <w:color w:val="000000" w:themeColor="text1"/>
        </w:rPr>
        <w:t>108</w:t>
      </w:r>
      <w:r w:rsidRPr="00606D67">
        <w:rPr>
          <w:color w:val="000000" w:themeColor="text1"/>
        </w:rPr>
        <w:t>(6), e1–e9. https://doi.org/10.2105/ajph.2018.304402</w:t>
      </w:r>
    </w:p>
    <w:p w14:paraId="6A875BB1" w14:textId="77777777" w:rsidR="00970C52" w:rsidRPr="00606D67" w:rsidRDefault="00970C52" w:rsidP="00970C52">
      <w:pPr>
        <w:pStyle w:val="Bibliography"/>
        <w:rPr>
          <w:color w:val="000000" w:themeColor="text1"/>
        </w:rPr>
      </w:pPr>
      <w:r w:rsidRPr="00606D67">
        <w:rPr>
          <w:color w:val="000000" w:themeColor="text1"/>
        </w:rPr>
        <w:t xml:space="preserve">Santomauro, D. F., Mantilla Herrera, A. M., Shadid, J., Zheng, P., Ashbaugh, C., Pigott, D. M., Abbafati, C., Adolph, C., Amlag, J. O., Aravkin, A. Y., Bang-Jensen, B. L., Bertolacci, G. J., Bloom, S. S., Castellano, R., Castro, E., Chakrabarti, S., Chattopadhyay, J., Cogen, R. M., Collins, J. K., … Ferrari, A. J. (2021). Global prevalence and burden of depressive and anxiety disorders in 204 countries and territories in 2020 due to the COVID-19 pandemic. </w:t>
      </w:r>
      <w:r w:rsidRPr="00606D67">
        <w:rPr>
          <w:i/>
          <w:iCs/>
          <w:color w:val="000000" w:themeColor="text1"/>
        </w:rPr>
        <w:t>The Lancet</w:t>
      </w:r>
      <w:r w:rsidRPr="00606D67">
        <w:rPr>
          <w:color w:val="000000" w:themeColor="text1"/>
        </w:rPr>
        <w:t xml:space="preserve">, </w:t>
      </w:r>
      <w:r w:rsidRPr="00606D67">
        <w:rPr>
          <w:i/>
          <w:iCs/>
          <w:color w:val="000000" w:themeColor="text1"/>
        </w:rPr>
        <w:t>398</w:t>
      </w:r>
      <w:r w:rsidRPr="00606D67">
        <w:rPr>
          <w:color w:val="000000" w:themeColor="text1"/>
        </w:rPr>
        <w:t>(10312), 1700–1712. https://doi.org/10.1016/S0140-6736(21)02143-7</w:t>
      </w:r>
    </w:p>
    <w:p w14:paraId="65D592BB" w14:textId="77777777" w:rsidR="00970C52" w:rsidRPr="00606D67" w:rsidRDefault="00970C52" w:rsidP="00970C52">
      <w:pPr>
        <w:pStyle w:val="Bibliography"/>
        <w:rPr>
          <w:color w:val="000000" w:themeColor="text1"/>
        </w:rPr>
      </w:pPr>
      <w:r w:rsidRPr="00606D67">
        <w:rPr>
          <w:color w:val="000000" w:themeColor="text1"/>
        </w:rPr>
        <w:t xml:space="preserve">Schomerus, G., Matschinger, H., &amp; Angermeyer, M. C. (2006). Public beliefs about the causes of mental disorders revisited. </w:t>
      </w:r>
      <w:r w:rsidRPr="00606D67">
        <w:rPr>
          <w:i/>
          <w:iCs/>
          <w:color w:val="000000" w:themeColor="text1"/>
        </w:rPr>
        <w:t>Psychiatry Research</w:t>
      </w:r>
      <w:r w:rsidRPr="00606D67">
        <w:rPr>
          <w:color w:val="000000" w:themeColor="text1"/>
        </w:rPr>
        <w:t xml:space="preserve">, </w:t>
      </w:r>
      <w:r w:rsidRPr="00606D67">
        <w:rPr>
          <w:i/>
          <w:iCs/>
          <w:color w:val="000000" w:themeColor="text1"/>
        </w:rPr>
        <w:t>144</w:t>
      </w:r>
      <w:r w:rsidRPr="00606D67">
        <w:rPr>
          <w:color w:val="000000" w:themeColor="text1"/>
        </w:rPr>
        <w:t>(2), 233–236. https://doi.org/10.1016/j.psychres.2006.05.002</w:t>
      </w:r>
    </w:p>
    <w:p w14:paraId="4D6AEC52" w14:textId="77777777" w:rsidR="00970C52" w:rsidRPr="00606D67" w:rsidRDefault="00970C52" w:rsidP="00970C52">
      <w:pPr>
        <w:pStyle w:val="Bibliography"/>
        <w:rPr>
          <w:color w:val="000000" w:themeColor="text1"/>
        </w:rPr>
      </w:pPr>
      <w:r w:rsidRPr="00606D67">
        <w:rPr>
          <w:color w:val="000000" w:themeColor="text1"/>
        </w:rPr>
        <w:lastRenderedPageBreak/>
        <w:t xml:space="preserve">Schomerus, G., Schwahn, C., Holzinger, A., Corrigan, P. W., Grabe, H. J., Carta, M. G., &amp; Angermeyer, M. C. (2012). Evolution of public attitudes about mental illness: A systematic review and meta-analysis. </w:t>
      </w:r>
      <w:r w:rsidRPr="00606D67">
        <w:rPr>
          <w:i/>
          <w:iCs/>
          <w:color w:val="000000" w:themeColor="text1"/>
        </w:rPr>
        <w:t>Acta Psychiatrica Scandinavica</w:t>
      </w:r>
      <w:r w:rsidRPr="00606D67">
        <w:rPr>
          <w:color w:val="000000" w:themeColor="text1"/>
        </w:rPr>
        <w:t xml:space="preserve">, </w:t>
      </w:r>
      <w:r w:rsidRPr="00606D67">
        <w:rPr>
          <w:i/>
          <w:iCs/>
          <w:color w:val="000000" w:themeColor="text1"/>
        </w:rPr>
        <w:t>125</w:t>
      </w:r>
      <w:r w:rsidRPr="00606D67">
        <w:rPr>
          <w:color w:val="000000" w:themeColor="text1"/>
        </w:rPr>
        <w:t>(6), 440–452. https://doi.org/10.1111/j.1600-0447.2012.01826.x</w:t>
      </w:r>
    </w:p>
    <w:p w14:paraId="19F8DE35" w14:textId="77777777" w:rsidR="00970C52" w:rsidRPr="00606D67" w:rsidRDefault="00970C52" w:rsidP="00970C52">
      <w:pPr>
        <w:pStyle w:val="Bibliography"/>
        <w:rPr>
          <w:color w:val="000000" w:themeColor="text1"/>
        </w:rPr>
      </w:pPr>
      <w:r w:rsidRPr="00606D67">
        <w:rPr>
          <w:color w:val="000000" w:themeColor="text1"/>
        </w:rPr>
        <w:t xml:space="preserve">Schwartz, S. J., Lilienfeld, S. O., Meca, A., &amp; Sauvigné, K. C. (2016). The role of neuroscience within psychology: A call for inclusiveness over exclusiveness. </w:t>
      </w:r>
      <w:r w:rsidRPr="00606D67">
        <w:rPr>
          <w:i/>
          <w:iCs/>
          <w:color w:val="000000" w:themeColor="text1"/>
        </w:rPr>
        <w:t>American Psychologist</w:t>
      </w:r>
      <w:r w:rsidRPr="00606D67">
        <w:rPr>
          <w:color w:val="000000" w:themeColor="text1"/>
        </w:rPr>
        <w:t xml:space="preserve">, </w:t>
      </w:r>
      <w:r w:rsidRPr="00606D67">
        <w:rPr>
          <w:i/>
          <w:iCs/>
          <w:color w:val="000000" w:themeColor="text1"/>
        </w:rPr>
        <w:t>71</w:t>
      </w:r>
      <w:r w:rsidRPr="00606D67">
        <w:rPr>
          <w:color w:val="000000" w:themeColor="text1"/>
        </w:rPr>
        <w:t>(1), 52–70. https://doi.org/10.1037/a0039678</w:t>
      </w:r>
    </w:p>
    <w:p w14:paraId="7B71579D" w14:textId="77777777" w:rsidR="00970C52" w:rsidRPr="00606D67" w:rsidRDefault="00970C52" w:rsidP="00970C52">
      <w:pPr>
        <w:pStyle w:val="Bibliography"/>
        <w:rPr>
          <w:color w:val="000000" w:themeColor="text1"/>
        </w:rPr>
      </w:pPr>
      <w:r w:rsidRPr="00606D67">
        <w:rPr>
          <w:color w:val="000000" w:themeColor="text1"/>
        </w:rPr>
        <w:t xml:space="preserve">Sepahvand, H., Hashtjini, M. M., Salesi, M., Sahraei, H., &amp; Jahromi, G. P. (2019). Prevalence of post-traumatic stress disorder (PTSD) in Iranian population following disasters and wars: A systematic review and meta-analysis. </w:t>
      </w:r>
      <w:r w:rsidRPr="00606D67">
        <w:rPr>
          <w:i/>
          <w:iCs/>
          <w:color w:val="000000" w:themeColor="text1"/>
        </w:rPr>
        <w:t>Iranian Journal of Psychiatry and Behavioral Sciences</w:t>
      </w:r>
      <w:r w:rsidRPr="00606D67">
        <w:rPr>
          <w:color w:val="000000" w:themeColor="text1"/>
        </w:rPr>
        <w:t xml:space="preserve">, </w:t>
      </w:r>
      <w:r w:rsidRPr="00606D67">
        <w:rPr>
          <w:i/>
          <w:iCs/>
          <w:color w:val="000000" w:themeColor="text1"/>
        </w:rPr>
        <w:t>13</w:t>
      </w:r>
      <w:r w:rsidRPr="00606D67">
        <w:rPr>
          <w:color w:val="000000" w:themeColor="text1"/>
        </w:rPr>
        <w:t>(1). https://doi.org/10.5812/ijpbs.66124</w:t>
      </w:r>
    </w:p>
    <w:p w14:paraId="463B235D" w14:textId="77777777" w:rsidR="00970C52" w:rsidRPr="00606D67" w:rsidRDefault="00970C52" w:rsidP="00970C52">
      <w:pPr>
        <w:pStyle w:val="Bibliography"/>
        <w:rPr>
          <w:color w:val="000000" w:themeColor="text1"/>
        </w:rPr>
      </w:pPr>
      <w:r w:rsidRPr="00606D67">
        <w:rPr>
          <w:color w:val="000000" w:themeColor="text1"/>
        </w:rPr>
        <w:t xml:space="preserve">Smith, V., Devane, D., Begley, C. M., &amp; Clarke, M. (2011). Methodology in conducting a systematic review of systematic reviews of healthcare interventions. </w:t>
      </w:r>
      <w:r w:rsidRPr="00606D67">
        <w:rPr>
          <w:i/>
          <w:iCs/>
          <w:color w:val="000000" w:themeColor="text1"/>
        </w:rPr>
        <w:t>BMC Medical Research Methodology</w:t>
      </w:r>
      <w:r w:rsidRPr="00606D67">
        <w:rPr>
          <w:color w:val="000000" w:themeColor="text1"/>
        </w:rPr>
        <w:t xml:space="preserve">, </w:t>
      </w:r>
      <w:r w:rsidRPr="00606D67">
        <w:rPr>
          <w:i/>
          <w:iCs/>
          <w:color w:val="000000" w:themeColor="text1"/>
        </w:rPr>
        <w:t>11</w:t>
      </w:r>
      <w:r w:rsidRPr="00606D67">
        <w:rPr>
          <w:color w:val="000000" w:themeColor="text1"/>
        </w:rPr>
        <w:t>(1), 15. https://doi.org/10.1186/1471-2288-11-15</w:t>
      </w:r>
    </w:p>
    <w:p w14:paraId="65C86E0A" w14:textId="77777777" w:rsidR="00970C52" w:rsidRPr="00606D67" w:rsidRDefault="00970C52" w:rsidP="00970C52">
      <w:pPr>
        <w:pStyle w:val="Bibliography"/>
        <w:rPr>
          <w:color w:val="000000" w:themeColor="text1"/>
        </w:rPr>
      </w:pPr>
      <w:r w:rsidRPr="00606D67">
        <w:rPr>
          <w:color w:val="000000" w:themeColor="text1"/>
        </w:rPr>
        <w:t xml:space="preserve">Thornicroft, G. (2008). Stigma and discrimination limit access to mental health care. </w:t>
      </w:r>
      <w:r w:rsidRPr="00606D67">
        <w:rPr>
          <w:i/>
          <w:iCs/>
          <w:color w:val="000000" w:themeColor="text1"/>
        </w:rPr>
        <w:t>Epidemiology and Psychiatric Sciences</w:t>
      </w:r>
      <w:r w:rsidRPr="00606D67">
        <w:rPr>
          <w:color w:val="000000" w:themeColor="text1"/>
        </w:rPr>
        <w:t xml:space="preserve">, </w:t>
      </w:r>
      <w:r w:rsidRPr="00606D67">
        <w:rPr>
          <w:i/>
          <w:iCs/>
          <w:color w:val="000000" w:themeColor="text1"/>
        </w:rPr>
        <w:t>17</w:t>
      </w:r>
      <w:r w:rsidRPr="00606D67">
        <w:rPr>
          <w:color w:val="000000" w:themeColor="text1"/>
        </w:rPr>
        <w:t>(1), 14–19. https://doi.org/10.1017/S1121189X00002621</w:t>
      </w:r>
    </w:p>
    <w:p w14:paraId="55326BDE" w14:textId="77777777" w:rsidR="00970C52" w:rsidRPr="00606D67" w:rsidRDefault="00970C52" w:rsidP="00970C52">
      <w:pPr>
        <w:pStyle w:val="Bibliography"/>
        <w:rPr>
          <w:color w:val="000000" w:themeColor="text1"/>
        </w:rPr>
      </w:pPr>
      <w:r w:rsidRPr="00606D67">
        <w:rPr>
          <w:color w:val="000000" w:themeColor="text1"/>
        </w:rPr>
        <w:t xml:space="preserve">Tibber, M. S., Walji, F., Kirkbride, J. B., &amp; Huddy, V. (2022). The association between income inequality and adult mental health at the subnational level-a systematic review. </w:t>
      </w:r>
      <w:r w:rsidRPr="00606D67">
        <w:rPr>
          <w:i/>
          <w:iCs/>
          <w:color w:val="000000" w:themeColor="text1"/>
        </w:rPr>
        <w:t>Soc Psychiatry Psychiatr Epidemiol</w:t>
      </w:r>
      <w:r w:rsidRPr="00606D67">
        <w:rPr>
          <w:color w:val="000000" w:themeColor="text1"/>
        </w:rPr>
        <w:t xml:space="preserve">, </w:t>
      </w:r>
      <w:r w:rsidRPr="00606D67">
        <w:rPr>
          <w:i/>
          <w:iCs/>
          <w:color w:val="000000" w:themeColor="text1"/>
        </w:rPr>
        <w:t>57</w:t>
      </w:r>
      <w:r w:rsidRPr="00606D67">
        <w:rPr>
          <w:color w:val="000000" w:themeColor="text1"/>
        </w:rPr>
        <w:t>(1), 1–24. https://doi.org/10.1007/s00127-021-02159-w</w:t>
      </w:r>
    </w:p>
    <w:p w14:paraId="0A61159E" w14:textId="77777777" w:rsidR="00970C52" w:rsidRPr="00606D67" w:rsidRDefault="00970C52" w:rsidP="00970C52">
      <w:pPr>
        <w:pStyle w:val="Bibliography"/>
        <w:rPr>
          <w:color w:val="000000" w:themeColor="text1"/>
        </w:rPr>
      </w:pPr>
      <w:r w:rsidRPr="00606D67">
        <w:rPr>
          <w:color w:val="000000" w:themeColor="text1"/>
        </w:rPr>
        <w:t xml:space="preserve">UN General Assembly. (2015). </w:t>
      </w:r>
      <w:r w:rsidRPr="00606D67">
        <w:rPr>
          <w:i/>
          <w:iCs/>
          <w:color w:val="000000" w:themeColor="text1"/>
        </w:rPr>
        <w:t xml:space="preserve">Resolution adopted by the general assembly on 25 September 2015. Transforming our world: The 2030 agenda for sustainable </w:t>
      </w:r>
      <w:r w:rsidRPr="00606D67">
        <w:rPr>
          <w:i/>
          <w:iCs/>
          <w:color w:val="000000" w:themeColor="text1"/>
        </w:rPr>
        <w:lastRenderedPageBreak/>
        <w:t>development.</w:t>
      </w:r>
      <w:r w:rsidRPr="00606D67">
        <w:rPr>
          <w:color w:val="000000" w:themeColor="text1"/>
        </w:rPr>
        <w:t xml:space="preserve"> http://www.un.org/ga/search/view_doc.asp?symbol=A/RES/70/1&amp;Lang=E</w:t>
      </w:r>
    </w:p>
    <w:p w14:paraId="49870C70" w14:textId="77777777" w:rsidR="00970C52" w:rsidRPr="00606D67" w:rsidRDefault="00970C52" w:rsidP="00970C52">
      <w:pPr>
        <w:pStyle w:val="Bibliography"/>
        <w:rPr>
          <w:color w:val="000000" w:themeColor="text1"/>
        </w:rPr>
      </w:pPr>
      <w:r w:rsidRPr="00606D67">
        <w:rPr>
          <w:color w:val="000000" w:themeColor="text1"/>
        </w:rPr>
        <w:t xml:space="preserve">Vásquez-Vera, H., Palència, L., Magna, I., Mena, C., Neira, J., &amp; Borrell, C. (2017). The threat of home eviction and its effects on health through the equity lens: A systematic review. </w:t>
      </w:r>
      <w:r w:rsidRPr="00606D67">
        <w:rPr>
          <w:i/>
          <w:iCs/>
          <w:color w:val="000000" w:themeColor="text1"/>
        </w:rPr>
        <w:t>Soc Sci Med</w:t>
      </w:r>
      <w:r w:rsidRPr="00606D67">
        <w:rPr>
          <w:color w:val="000000" w:themeColor="text1"/>
        </w:rPr>
        <w:t xml:space="preserve">, </w:t>
      </w:r>
      <w:r w:rsidRPr="00606D67">
        <w:rPr>
          <w:i/>
          <w:iCs/>
          <w:color w:val="000000" w:themeColor="text1"/>
        </w:rPr>
        <w:t>175</w:t>
      </w:r>
      <w:r w:rsidRPr="00606D67">
        <w:rPr>
          <w:color w:val="000000" w:themeColor="text1"/>
        </w:rPr>
        <w:t>, 199–208. https://doi.org/10.1016/j.socscimed.2017.01.010</w:t>
      </w:r>
    </w:p>
    <w:p w14:paraId="5CF50DCF" w14:textId="77777777" w:rsidR="00970C52" w:rsidRPr="00606D67" w:rsidRDefault="00970C52" w:rsidP="00970C52">
      <w:pPr>
        <w:pStyle w:val="Bibliography"/>
        <w:rPr>
          <w:color w:val="000000" w:themeColor="text1"/>
        </w:rPr>
      </w:pPr>
      <w:r w:rsidRPr="00606D67">
        <w:rPr>
          <w:color w:val="000000" w:themeColor="text1"/>
        </w:rPr>
        <w:t xml:space="preserve">Watson, J. C. (2016). The role of empathy in psychotherapy: Theory, research, and practice. In </w:t>
      </w:r>
      <w:r w:rsidRPr="00606D67">
        <w:rPr>
          <w:i/>
          <w:iCs/>
          <w:color w:val="000000" w:themeColor="text1"/>
        </w:rPr>
        <w:t>Humanistic psychotherapies: Handbook of research and practice, 2nd ed</w:t>
      </w:r>
      <w:r w:rsidRPr="00606D67">
        <w:rPr>
          <w:color w:val="000000" w:themeColor="text1"/>
        </w:rPr>
        <w:t xml:space="preserve"> (pp. 115–145). American Psychological Association. https://doi.org/10.1037/14775-005</w:t>
      </w:r>
    </w:p>
    <w:p w14:paraId="401FB855" w14:textId="77777777" w:rsidR="00970C52" w:rsidRPr="00606D67" w:rsidRDefault="00970C52" w:rsidP="00970C52">
      <w:pPr>
        <w:pStyle w:val="Bibliography"/>
        <w:rPr>
          <w:color w:val="000000" w:themeColor="text1"/>
        </w:rPr>
      </w:pPr>
      <w:r w:rsidRPr="00606D67">
        <w:rPr>
          <w:color w:val="000000" w:themeColor="text1"/>
        </w:rPr>
        <w:t xml:space="preserve">Wichaidit, W. (2018). Trauma from armed conflict and the effect on mental health in Thailand’s deep south: A systematic review. </w:t>
      </w:r>
      <w:r w:rsidRPr="00606D67">
        <w:rPr>
          <w:i/>
          <w:iCs/>
          <w:color w:val="000000" w:themeColor="text1"/>
        </w:rPr>
        <w:t>Journal of Clinical and Diagnostic Research</w:t>
      </w:r>
      <w:r w:rsidRPr="00606D67">
        <w:rPr>
          <w:color w:val="000000" w:themeColor="text1"/>
        </w:rPr>
        <w:t xml:space="preserve">, </w:t>
      </w:r>
      <w:r w:rsidRPr="00606D67">
        <w:rPr>
          <w:i/>
          <w:iCs/>
          <w:color w:val="000000" w:themeColor="text1"/>
        </w:rPr>
        <w:t>12</w:t>
      </w:r>
      <w:r w:rsidRPr="00606D67">
        <w:rPr>
          <w:color w:val="000000" w:themeColor="text1"/>
        </w:rPr>
        <w:t>(7), VE01–VE06. https://doi.org/10.7860/JCDR/2018/35017.11722</w:t>
      </w:r>
    </w:p>
    <w:p w14:paraId="1BEF7191" w14:textId="77777777" w:rsidR="00970C52" w:rsidRPr="00606D67" w:rsidRDefault="00970C52" w:rsidP="00970C52">
      <w:pPr>
        <w:pStyle w:val="Bibliography"/>
        <w:rPr>
          <w:color w:val="000000" w:themeColor="text1"/>
        </w:rPr>
      </w:pPr>
      <w:r w:rsidRPr="00606D67">
        <w:rPr>
          <w:color w:val="000000" w:themeColor="text1"/>
        </w:rPr>
        <w:t xml:space="preserve">Wolf, K. L., Lam, S. T., McKeen, J. K., Richardson, G. R. A., van den Bosch, M., &amp; Bardekjian, A. C. (2020). Urban trees and human health: A scoping review. </w:t>
      </w:r>
      <w:r w:rsidRPr="00606D67">
        <w:rPr>
          <w:i/>
          <w:iCs/>
          <w:color w:val="000000" w:themeColor="text1"/>
        </w:rPr>
        <w:t>Int J Environ Res Public Health</w:t>
      </w:r>
      <w:r w:rsidRPr="00606D67">
        <w:rPr>
          <w:color w:val="000000" w:themeColor="text1"/>
        </w:rPr>
        <w:t xml:space="preserve">, </w:t>
      </w:r>
      <w:r w:rsidRPr="00606D67">
        <w:rPr>
          <w:i/>
          <w:iCs/>
          <w:color w:val="000000" w:themeColor="text1"/>
        </w:rPr>
        <w:t>17</w:t>
      </w:r>
      <w:r w:rsidRPr="00606D67">
        <w:rPr>
          <w:color w:val="000000" w:themeColor="text1"/>
        </w:rPr>
        <w:t>(12). https://doi.org/10.3390/ijerph17124371</w:t>
      </w:r>
    </w:p>
    <w:p w14:paraId="4BE4959A" w14:textId="77777777" w:rsidR="00970C52" w:rsidRPr="00606D67" w:rsidRDefault="00970C52" w:rsidP="00970C52">
      <w:pPr>
        <w:pStyle w:val="Bibliography"/>
        <w:rPr>
          <w:color w:val="000000" w:themeColor="text1"/>
        </w:rPr>
      </w:pPr>
      <w:r w:rsidRPr="00606D67">
        <w:rPr>
          <w:color w:val="000000" w:themeColor="text1"/>
        </w:rPr>
        <w:t xml:space="preserve">Yelton, B., Friedman, D. B., Noblet, S., Lohman, M. C., Arent, M. A., Macauda, M. M., Sakhuja, M., &amp; Leith, K. H. (2022). Social determinants of health and depression among African American Adults: A scoping review of current research. </w:t>
      </w:r>
      <w:r w:rsidRPr="00606D67">
        <w:rPr>
          <w:i/>
          <w:iCs/>
          <w:color w:val="000000" w:themeColor="text1"/>
        </w:rPr>
        <w:t>Int J Environ Res Public Health</w:t>
      </w:r>
      <w:r w:rsidRPr="00606D67">
        <w:rPr>
          <w:color w:val="000000" w:themeColor="text1"/>
        </w:rPr>
        <w:t xml:space="preserve">, </w:t>
      </w:r>
      <w:r w:rsidRPr="00606D67">
        <w:rPr>
          <w:i/>
          <w:iCs/>
          <w:color w:val="000000" w:themeColor="text1"/>
        </w:rPr>
        <w:t>19</w:t>
      </w:r>
      <w:r w:rsidRPr="00606D67">
        <w:rPr>
          <w:color w:val="000000" w:themeColor="text1"/>
        </w:rPr>
        <w:t>(3). https://doi.org/10.3390/ijerph19031498</w:t>
      </w:r>
    </w:p>
    <w:p w14:paraId="1B4C0B31" w14:textId="77777777" w:rsidR="00970C52" w:rsidRPr="00606D67" w:rsidRDefault="00970C52" w:rsidP="00970C52">
      <w:pPr>
        <w:pStyle w:val="Bibliography"/>
        <w:rPr>
          <w:color w:val="000000" w:themeColor="text1"/>
        </w:rPr>
      </w:pPr>
      <w:r w:rsidRPr="00606D67">
        <w:rPr>
          <w:color w:val="000000" w:themeColor="text1"/>
        </w:rPr>
        <w:t xml:space="preserve">Zenebe, Y., Akele, B., W/Selassie, M., &amp; Necho, M. (2021). Prevalence and determinants of depression among old age: A systematic review and meta-analysis. </w:t>
      </w:r>
      <w:r w:rsidRPr="00606D67">
        <w:rPr>
          <w:i/>
          <w:iCs/>
          <w:color w:val="000000" w:themeColor="text1"/>
        </w:rPr>
        <w:t>Annals of General Psychiatry</w:t>
      </w:r>
      <w:r w:rsidRPr="00606D67">
        <w:rPr>
          <w:color w:val="000000" w:themeColor="text1"/>
        </w:rPr>
        <w:t xml:space="preserve">, </w:t>
      </w:r>
      <w:r w:rsidRPr="00606D67">
        <w:rPr>
          <w:i/>
          <w:iCs/>
          <w:color w:val="000000" w:themeColor="text1"/>
        </w:rPr>
        <w:t>20</w:t>
      </w:r>
      <w:r w:rsidRPr="00606D67">
        <w:rPr>
          <w:color w:val="000000" w:themeColor="text1"/>
        </w:rPr>
        <w:t>(1). https://doi.org/10.1186/s12991-021-00375-x</w:t>
      </w:r>
    </w:p>
    <w:p w14:paraId="4F560CE6" w14:textId="77777777" w:rsidR="00970C52" w:rsidRPr="00606D67" w:rsidRDefault="00970C52" w:rsidP="00970C52">
      <w:pPr>
        <w:pStyle w:val="Bibliography"/>
        <w:rPr>
          <w:color w:val="000000" w:themeColor="text1"/>
        </w:rPr>
      </w:pPr>
      <w:r w:rsidRPr="00606D67">
        <w:rPr>
          <w:color w:val="000000" w:themeColor="text1"/>
        </w:rPr>
        <w:lastRenderedPageBreak/>
        <w:t xml:space="preserve">Ziersch, A., &amp; Due, C. (2018). A mixed methods systematic review of studies examining the relationship between housing and health for people from refugee and asylum seeking backgrounds. </w:t>
      </w:r>
      <w:r w:rsidRPr="00606D67">
        <w:rPr>
          <w:i/>
          <w:iCs/>
          <w:color w:val="000000" w:themeColor="text1"/>
        </w:rPr>
        <w:t>Social Science &amp; Medicine</w:t>
      </w:r>
      <w:r w:rsidRPr="00606D67">
        <w:rPr>
          <w:color w:val="000000" w:themeColor="text1"/>
        </w:rPr>
        <w:t xml:space="preserve">, </w:t>
      </w:r>
      <w:r w:rsidRPr="00606D67">
        <w:rPr>
          <w:i/>
          <w:iCs/>
          <w:color w:val="000000" w:themeColor="text1"/>
        </w:rPr>
        <w:t>213</w:t>
      </w:r>
      <w:r w:rsidRPr="00606D67">
        <w:rPr>
          <w:color w:val="000000" w:themeColor="text1"/>
        </w:rPr>
        <w:t>, 199–219. https://doi.org/10.1016/j.socscimed.2018.07.045</w:t>
      </w:r>
    </w:p>
    <w:p w14:paraId="09C24403" w14:textId="479283CB" w:rsidR="000A0147" w:rsidRPr="00606D67" w:rsidRDefault="002D77F9" w:rsidP="000A0147">
      <w:pPr>
        <w:pStyle w:val="Newparagraph"/>
        <w:ind w:firstLine="0"/>
        <w:rPr>
          <w:color w:val="000000" w:themeColor="text1"/>
        </w:rPr>
      </w:pPr>
      <w:r w:rsidRPr="00606D67">
        <w:rPr>
          <w:color w:val="000000" w:themeColor="text1"/>
        </w:rPr>
        <w:fldChar w:fldCharType="end"/>
      </w:r>
    </w:p>
    <w:p w14:paraId="405E203C" w14:textId="179CD947" w:rsidR="00E75C8B" w:rsidRPr="00606D67" w:rsidRDefault="00E75C8B">
      <w:pPr>
        <w:spacing w:line="240" w:lineRule="auto"/>
        <w:rPr>
          <w:color w:val="000000" w:themeColor="text1"/>
        </w:rPr>
      </w:pPr>
      <w:r w:rsidRPr="00606D67">
        <w:rPr>
          <w:color w:val="000000" w:themeColor="text1"/>
        </w:rPr>
        <w:br w:type="page"/>
      </w:r>
    </w:p>
    <w:p w14:paraId="1A1DA385" w14:textId="77777777" w:rsidR="003C4ACB" w:rsidRPr="00606D67" w:rsidRDefault="003C4ACB" w:rsidP="002064C8">
      <w:pPr>
        <w:pStyle w:val="Heading1"/>
        <w:rPr>
          <w:color w:val="000000" w:themeColor="text1"/>
        </w:rPr>
        <w:sectPr w:rsidR="003C4ACB" w:rsidRPr="00606D67" w:rsidSect="00074B81">
          <w:headerReference w:type="even" r:id="rId9"/>
          <w:headerReference w:type="default" r:id="rId10"/>
          <w:footerReference w:type="even" r:id="rId11"/>
          <w:footerReference w:type="default" r:id="rId12"/>
          <w:headerReference w:type="first" r:id="rId13"/>
          <w:footerReference w:type="first" r:id="rId14"/>
          <w:pgSz w:w="11901" w:h="16840" w:code="9"/>
          <w:pgMar w:top="1418" w:right="1701" w:bottom="1418" w:left="1701" w:header="709" w:footer="709" w:gutter="0"/>
          <w:cols w:space="708"/>
          <w:docGrid w:linePitch="360"/>
        </w:sectPr>
      </w:pPr>
    </w:p>
    <w:p w14:paraId="02724FBD" w14:textId="24B1F703" w:rsidR="00A10377" w:rsidRPr="00606D67" w:rsidRDefault="0093231F" w:rsidP="002064C8">
      <w:pPr>
        <w:pStyle w:val="Heading1"/>
        <w:rPr>
          <w:color w:val="000000" w:themeColor="text1"/>
        </w:rPr>
      </w:pPr>
      <w:r w:rsidRPr="00606D67">
        <w:rPr>
          <w:color w:val="000000" w:themeColor="text1"/>
        </w:rPr>
        <w:lastRenderedPageBreak/>
        <w:t xml:space="preserve">Tables </w:t>
      </w:r>
    </w:p>
    <w:p w14:paraId="7669C4F9" w14:textId="77777777" w:rsidR="00A10377" w:rsidRPr="00606D67" w:rsidRDefault="00A10377" w:rsidP="00A10377">
      <w:pPr>
        <w:spacing w:after="160" w:line="259" w:lineRule="auto"/>
        <w:rPr>
          <w:rFonts w:eastAsia="Calibri"/>
          <w:color w:val="000000" w:themeColor="text1"/>
          <w:lang w:eastAsia="en-US"/>
        </w:rPr>
      </w:pPr>
    </w:p>
    <w:tbl>
      <w:tblPr>
        <w:tblStyle w:val="TableGrid1"/>
        <w:tblW w:w="0" w:type="auto"/>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71"/>
        <w:gridCol w:w="1519"/>
        <w:gridCol w:w="2313"/>
        <w:gridCol w:w="2122"/>
        <w:gridCol w:w="3548"/>
        <w:gridCol w:w="1892"/>
        <w:gridCol w:w="1283"/>
      </w:tblGrid>
      <w:tr w:rsidR="00606D67" w:rsidRPr="00606D67" w14:paraId="5335CA91" w14:textId="77777777" w:rsidTr="00AE0D1B">
        <w:trPr>
          <w:trHeight w:val="1134"/>
        </w:trPr>
        <w:tc>
          <w:tcPr>
            <w:tcW w:w="1271" w:type="dxa"/>
            <w:tcBorders>
              <w:top w:val="single" w:sz="4" w:space="0" w:color="auto"/>
              <w:bottom w:val="single" w:sz="4" w:space="0" w:color="auto"/>
            </w:tcBorders>
            <w:noWrap/>
            <w:vAlign w:val="center"/>
            <w:hideMark/>
          </w:tcPr>
          <w:p w14:paraId="52B670F4" w14:textId="77777777" w:rsidR="00A10377" w:rsidRPr="00606D67" w:rsidRDefault="00A10377" w:rsidP="00A10377">
            <w:pPr>
              <w:spacing w:line="240" w:lineRule="auto"/>
              <w:jc w:val="center"/>
              <w:rPr>
                <w:color w:val="000000" w:themeColor="text1"/>
              </w:rPr>
            </w:pPr>
            <w:r w:rsidRPr="00606D67">
              <w:rPr>
                <w:color w:val="000000" w:themeColor="text1"/>
              </w:rPr>
              <w:t>Systematic Review</w:t>
            </w:r>
          </w:p>
        </w:tc>
        <w:tc>
          <w:tcPr>
            <w:tcW w:w="1519" w:type="dxa"/>
            <w:tcBorders>
              <w:top w:val="single" w:sz="4" w:space="0" w:color="auto"/>
              <w:bottom w:val="single" w:sz="4" w:space="0" w:color="auto"/>
            </w:tcBorders>
            <w:noWrap/>
            <w:vAlign w:val="center"/>
            <w:hideMark/>
          </w:tcPr>
          <w:p w14:paraId="3C183228" w14:textId="77777777" w:rsidR="00A10377" w:rsidRPr="00606D67" w:rsidRDefault="00A10377" w:rsidP="00A10377">
            <w:pPr>
              <w:spacing w:line="240" w:lineRule="auto"/>
              <w:jc w:val="center"/>
              <w:rPr>
                <w:color w:val="000000" w:themeColor="text1"/>
              </w:rPr>
            </w:pPr>
            <w:r w:rsidRPr="00606D67">
              <w:rPr>
                <w:color w:val="000000" w:themeColor="text1"/>
              </w:rPr>
              <w:t>Search Dates</w:t>
            </w:r>
          </w:p>
        </w:tc>
        <w:tc>
          <w:tcPr>
            <w:tcW w:w="2313" w:type="dxa"/>
            <w:tcBorders>
              <w:top w:val="single" w:sz="4" w:space="0" w:color="auto"/>
              <w:bottom w:val="single" w:sz="4" w:space="0" w:color="auto"/>
            </w:tcBorders>
            <w:noWrap/>
            <w:vAlign w:val="center"/>
            <w:hideMark/>
          </w:tcPr>
          <w:p w14:paraId="0749097E" w14:textId="77777777" w:rsidR="00A10377" w:rsidRPr="00606D67" w:rsidRDefault="00A10377" w:rsidP="00A10377">
            <w:pPr>
              <w:spacing w:line="240" w:lineRule="auto"/>
              <w:jc w:val="center"/>
              <w:rPr>
                <w:color w:val="000000" w:themeColor="text1"/>
              </w:rPr>
            </w:pPr>
            <w:r w:rsidRPr="00606D67">
              <w:rPr>
                <w:color w:val="000000" w:themeColor="text1"/>
              </w:rPr>
              <w:t>Types of Included Studies</w:t>
            </w:r>
          </w:p>
        </w:tc>
        <w:tc>
          <w:tcPr>
            <w:tcW w:w="2122" w:type="dxa"/>
            <w:tcBorders>
              <w:top w:val="single" w:sz="4" w:space="0" w:color="auto"/>
              <w:bottom w:val="single" w:sz="4" w:space="0" w:color="auto"/>
            </w:tcBorders>
            <w:noWrap/>
            <w:vAlign w:val="center"/>
            <w:hideMark/>
          </w:tcPr>
          <w:p w14:paraId="17FDDBE6" w14:textId="77777777" w:rsidR="00A10377" w:rsidRPr="00606D67" w:rsidRDefault="00A10377" w:rsidP="00A10377">
            <w:pPr>
              <w:spacing w:line="240" w:lineRule="auto"/>
              <w:jc w:val="center"/>
              <w:rPr>
                <w:color w:val="000000" w:themeColor="text1"/>
              </w:rPr>
            </w:pPr>
            <w:r w:rsidRPr="00606D67">
              <w:rPr>
                <w:color w:val="000000" w:themeColor="text1"/>
              </w:rPr>
              <w:t>Population</w:t>
            </w:r>
          </w:p>
        </w:tc>
        <w:tc>
          <w:tcPr>
            <w:tcW w:w="3548" w:type="dxa"/>
            <w:tcBorders>
              <w:top w:val="single" w:sz="4" w:space="0" w:color="auto"/>
              <w:bottom w:val="single" w:sz="4" w:space="0" w:color="auto"/>
            </w:tcBorders>
            <w:noWrap/>
            <w:vAlign w:val="center"/>
            <w:hideMark/>
          </w:tcPr>
          <w:p w14:paraId="00E9D815" w14:textId="77777777" w:rsidR="00A10377" w:rsidRPr="00606D67" w:rsidRDefault="00A10377" w:rsidP="00A10377">
            <w:pPr>
              <w:spacing w:line="240" w:lineRule="auto"/>
              <w:jc w:val="center"/>
              <w:rPr>
                <w:color w:val="000000" w:themeColor="text1"/>
              </w:rPr>
            </w:pPr>
            <w:r w:rsidRPr="00606D67">
              <w:rPr>
                <w:color w:val="000000" w:themeColor="text1"/>
              </w:rPr>
              <w:t>Social Factors</w:t>
            </w:r>
          </w:p>
        </w:tc>
        <w:tc>
          <w:tcPr>
            <w:tcW w:w="1892" w:type="dxa"/>
            <w:tcBorders>
              <w:top w:val="single" w:sz="4" w:space="0" w:color="auto"/>
              <w:bottom w:val="single" w:sz="4" w:space="0" w:color="auto"/>
            </w:tcBorders>
            <w:noWrap/>
            <w:vAlign w:val="center"/>
            <w:hideMark/>
          </w:tcPr>
          <w:p w14:paraId="261342B8" w14:textId="77777777" w:rsidR="00A10377" w:rsidRPr="00606D67" w:rsidRDefault="00A10377" w:rsidP="00A10377">
            <w:pPr>
              <w:spacing w:line="240" w:lineRule="auto"/>
              <w:jc w:val="center"/>
              <w:rPr>
                <w:color w:val="000000" w:themeColor="text1"/>
              </w:rPr>
            </w:pPr>
            <w:r w:rsidRPr="00606D67">
              <w:rPr>
                <w:color w:val="000000" w:themeColor="text1"/>
              </w:rPr>
              <w:t>Mental Health/Illness</w:t>
            </w:r>
          </w:p>
        </w:tc>
        <w:tc>
          <w:tcPr>
            <w:tcW w:w="1283" w:type="dxa"/>
            <w:tcBorders>
              <w:top w:val="single" w:sz="4" w:space="0" w:color="auto"/>
              <w:bottom w:val="single" w:sz="4" w:space="0" w:color="auto"/>
            </w:tcBorders>
            <w:noWrap/>
            <w:vAlign w:val="center"/>
            <w:hideMark/>
          </w:tcPr>
          <w:p w14:paraId="4BF36350" w14:textId="77777777" w:rsidR="00A10377" w:rsidRPr="00606D67" w:rsidRDefault="00A10377" w:rsidP="00A10377">
            <w:pPr>
              <w:spacing w:line="240" w:lineRule="auto"/>
              <w:jc w:val="center"/>
              <w:rPr>
                <w:color w:val="000000" w:themeColor="text1"/>
              </w:rPr>
            </w:pPr>
            <w:r w:rsidRPr="00606D67">
              <w:rPr>
                <w:color w:val="000000" w:themeColor="text1"/>
              </w:rPr>
              <w:t>Quality Appraisal</w:t>
            </w:r>
          </w:p>
        </w:tc>
      </w:tr>
      <w:tr w:rsidR="00606D67" w:rsidRPr="00606D67" w14:paraId="63995F5C" w14:textId="77777777" w:rsidTr="00AE0D1B">
        <w:trPr>
          <w:trHeight w:val="1134"/>
        </w:trPr>
        <w:tc>
          <w:tcPr>
            <w:tcW w:w="1271" w:type="dxa"/>
            <w:tcBorders>
              <w:top w:val="single" w:sz="4" w:space="0" w:color="auto"/>
            </w:tcBorders>
            <w:noWrap/>
            <w:vAlign w:val="center"/>
            <w:hideMark/>
          </w:tcPr>
          <w:p w14:paraId="51A8FE62" w14:textId="77777777" w:rsidR="00A10377" w:rsidRPr="00606D67" w:rsidRDefault="00A10377" w:rsidP="00A10377">
            <w:pPr>
              <w:spacing w:line="240" w:lineRule="auto"/>
              <w:jc w:val="center"/>
              <w:rPr>
                <w:color w:val="000000" w:themeColor="text1"/>
              </w:rPr>
            </w:pPr>
            <w:r w:rsidRPr="00606D67">
              <w:rPr>
                <w:color w:val="000000" w:themeColor="text1"/>
              </w:rPr>
              <w:t>Arenas et al. (2019)</w:t>
            </w:r>
          </w:p>
        </w:tc>
        <w:tc>
          <w:tcPr>
            <w:tcW w:w="1519" w:type="dxa"/>
            <w:tcBorders>
              <w:top w:val="single" w:sz="4" w:space="0" w:color="auto"/>
            </w:tcBorders>
            <w:noWrap/>
            <w:vAlign w:val="center"/>
            <w:hideMark/>
          </w:tcPr>
          <w:p w14:paraId="5B33CA0B" w14:textId="77777777" w:rsidR="00A10377" w:rsidRPr="00606D67" w:rsidRDefault="00A10377" w:rsidP="00A10377">
            <w:pPr>
              <w:spacing w:line="240" w:lineRule="auto"/>
              <w:jc w:val="center"/>
              <w:rPr>
                <w:color w:val="000000" w:themeColor="text1"/>
              </w:rPr>
            </w:pPr>
            <w:r w:rsidRPr="00606D67">
              <w:rPr>
                <w:color w:val="000000" w:themeColor="text1"/>
              </w:rPr>
              <w:t>up to Dec 2018</w:t>
            </w:r>
          </w:p>
        </w:tc>
        <w:tc>
          <w:tcPr>
            <w:tcW w:w="2313" w:type="dxa"/>
            <w:tcBorders>
              <w:top w:val="single" w:sz="4" w:space="0" w:color="auto"/>
            </w:tcBorders>
            <w:noWrap/>
            <w:vAlign w:val="center"/>
            <w:hideMark/>
          </w:tcPr>
          <w:p w14:paraId="6CDAFD08" w14:textId="77777777" w:rsidR="00A10377" w:rsidRPr="00606D67" w:rsidRDefault="00A10377" w:rsidP="00A10377">
            <w:pPr>
              <w:spacing w:line="240" w:lineRule="auto"/>
              <w:jc w:val="center"/>
              <w:rPr>
                <w:color w:val="000000" w:themeColor="text1"/>
              </w:rPr>
            </w:pPr>
            <w:r w:rsidRPr="00606D67">
              <w:rPr>
                <w:color w:val="000000" w:themeColor="text1"/>
              </w:rPr>
              <w:t>quantitative</w:t>
            </w:r>
          </w:p>
        </w:tc>
        <w:tc>
          <w:tcPr>
            <w:tcW w:w="2122" w:type="dxa"/>
            <w:tcBorders>
              <w:top w:val="single" w:sz="4" w:space="0" w:color="auto"/>
            </w:tcBorders>
            <w:noWrap/>
            <w:vAlign w:val="center"/>
            <w:hideMark/>
          </w:tcPr>
          <w:p w14:paraId="282A1178" w14:textId="77777777" w:rsidR="00A10377" w:rsidRPr="00606D67" w:rsidRDefault="00A10377" w:rsidP="00A10377">
            <w:pPr>
              <w:spacing w:line="240" w:lineRule="auto"/>
              <w:jc w:val="center"/>
              <w:rPr>
                <w:color w:val="000000" w:themeColor="text1"/>
              </w:rPr>
            </w:pPr>
            <w:r w:rsidRPr="00606D67">
              <w:rPr>
                <w:color w:val="000000" w:themeColor="text1"/>
              </w:rPr>
              <w:t>Adults in the USA</w:t>
            </w:r>
          </w:p>
        </w:tc>
        <w:tc>
          <w:tcPr>
            <w:tcW w:w="3548" w:type="dxa"/>
            <w:tcBorders>
              <w:top w:val="single" w:sz="4" w:space="0" w:color="auto"/>
            </w:tcBorders>
            <w:noWrap/>
            <w:vAlign w:val="center"/>
            <w:hideMark/>
          </w:tcPr>
          <w:p w14:paraId="70ED0248" w14:textId="77777777" w:rsidR="00A10377" w:rsidRPr="00606D67" w:rsidRDefault="00A10377" w:rsidP="00A10377">
            <w:pPr>
              <w:spacing w:line="240" w:lineRule="auto"/>
              <w:jc w:val="center"/>
              <w:rPr>
                <w:color w:val="000000" w:themeColor="text1"/>
              </w:rPr>
            </w:pPr>
            <w:r w:rsidRPr="00606D67">
              <w:rPr>
                <w:color w:val="000000" w:themeColor="text1"/>
              </w:rPr>
              <w:t>Food insecurity</w:t>
            </w:r>
          </w:p>
        </w:tc>
        <w:tc>
          <w:tcPr>
            <w:tcW w:w="1892" w:type="dxa"/>
            <w:tcBorders>
              <w:top w:val="single" w:sz="4" w:space="0" w:color="auto"/>
            </w:tcBorders>
            <w:noWrap/>
            <w:vAlign w:val="center"/>
            <w:hideMark/>
          </w:tcPr>
          <w:p w14:paraId="4F7D6E41" w14:textId="77777777" w:rsidR="00A10377" w:rsidRPr="00606D67" w:rsidRDefault="00A10377" w:rsidP="00A10377">
            <w:pPr>
              <w:spacing w:line="240" w:lineRule="auto"/>
              <w:jc w:val="center"/>
              <w:rPr>
                <w:color w:val="000000" w:themeColor="text1"/>
              </w:rPr>
            </w:pPr>
            <w:r w:rsidRPr="00606D67">
              <w:rPr>
                <w:color w:val="000000" w:themeColor="text1"/>
              </w:rPr>
              <w:t>Depression and anxiety</w:t>
            </w:r>
          </w:p>
        </w:tc>
        <w:tc>
          <w:tcPr>
            <w:tcW w:w="1283" w:type="dxa"/>
            <w:tcBorders>
              <w:top w:val="single" w:sz="4" w:space="0" w:color="auto"/>
            </w:tcBorders>
            <w:noWrap/>
            <w:vAlign w:val="center"/>
            <w:hideMark/>
          </w:tcPr>
          <w:p w14:paraId="19FB953F" w14:textId="77777777" w:rsidR="00A10377" w:rsidRPr="00606D67" w:rsidRDefault="00A10377" w:rsidP="00A10377">
            <w:pPr>
              <w:spacing w:line="240" w:lineRule="auto"/>
              <w:jc w:val="center"/>
              <w:rPr>
                <w:color w:val="000000" w:themeColor="text1"/>
              </w:rPr>
            </w:pPr>
            <w:r w:rsidRPr="00606D67">
              <w:rPr>
                <w:color w:val="000000" w:themeColor="text1"/>
              </w:rPr>
              <w:t>Medium</w:t>
            </w:r>
          </w:p>
        </w:tc>
      </w:tr>
      <w:tr w:rsidR="00606D67" w:rsidRPr="00606D67" w14:paraId="4A3657C2" w14:textId="77777777" w:rsidTr="00AE0D1B">
        <w:trPr>
          <w:trHeight w:val="1134"/>
        </w:trPr>
        <w:tc>
          <w:tcPr>
            <w:tcW w:w="1271" w:type="dxa"/>
            <w:noWrap/>
            <w:vAlign w:val="center"/>
            <w:hideMark/>
          </w:tcPr>
          <w:p w14:paraId="0DEC4596" w14:textId="77777777" w:rsidR="00A10377" w:rsidRPr="00606D67" w:rsidRDefault="00A10377" w:rsidP="00A10377">
            <w:pPr>
              <w:spacing w:line="240" w:lineRule="auto"/>
              <w:jc w:val="center"/>
              <w:rPr>
                <w:color w:val="000000" w:themeColor="text1"/>
              </w:rPr>
            </w:pPr>
            <w:proofErr w:type="spellStart"/>
            <w:r w:rsidRPr="00606D67">
              <w:rPr>
                <w:color w:val="000000" w:themeColor="text1"/>
              </w:rPr>
              <w:t>Baranyi</w:t>
            </w:r>
            <w:proofErr w:type="spellEnd"/>
            <w:r w:rsidRPr="00606D67">
              <w:rPr>
                <w:color w:val="000000" w:themeColor="text1"/>
              </w:rPr>
              <w:t xml:space="preserve"> et al. (2021)</w:t>
            </w:r>
          </w:p>
        </w:tc>
        <w:tc>
          <w:tcPr>
            <w:tcW w:w="1519" w:type="dxa"/>
            <w:noWrap/>
            <w:vAlign w:val="center"/>
            <w:hideMark/>
          </w:tcPr>
          <w:p w14:paraId="3C3633F4" w14:textId="77777777" w:rsidR="00A10377" w:rsidRPr="00606D67" w:rsidRDefault="00A10377" w:rsidP="00A10377">
            <w:pPr>
              <w:spacing w:line="240" w:lineRule="auto"/>
              <w:jc w:val="center"/>
              <w:rPr>
                <w:color w:val="000000" w:themeColor="text1"/>
              </w:rPr>
            </w:pPr>
            <w:r w:rsidRPr="00606D67">
              <w:rPr>
                <w:color w:val="000000" w:themeColor="text1"/>
              </w:rPr>
              <w:t>up to Sept 2020</w:t>
            </w:r>
          </w:p>
        </w:tc>
        <w:tc>
          <w:tcPr>
            <w:tcW w:w="2313" w:type="dxa"/>
            <w:noWrap/>
            <w:vAlign w:val="center"/>
            <w:hideMark/>
          </w:tcPr>
          <w:p w14:paraId="0673F4C8" w14:textId="77777777" w:rsidR="00A10377" w:rsidRPr="00606D67" w:rsidRDefault="00A10377" w:rsidP="00A10377">
            <w:pPr>
              <w:spacing w:line="240" w:lineRule="auto"/>
              <w:jc w:val="center"/>
              <w:rPr>
                <w:color w:val="000000" w:themeColor="text1"/>
              </w:rPr>
            </w:pPr>
            <w:r w:rsidRPr="00606D67">
              <w:rPr>
                <w:color w:val="000000" w:themeColor="text1"/>
              </w:rPr>
              <w:t>quantitative</w:t>
            </w:r>
          </w:p>
        </w:tc>
        <w:tc>
          <w:tcPr>
            <w:tcW w:w="2122" w:type="dxa"/>
            <w:noWrap/>
            <w:vAlign w:val="center"/>
            <w:hideMark/>
          </w:tcPr>
          <w:p w14:paraId="298247AB" w14:textId="77777777" w:rsidR="00A10377" w:rsidRPr="00606D67" w:rsidRDefault="00A10377" w:rsidP="00A10377">
            <w:pPr>
              <w:spacing w:line="240" w:lineRule="auto"/>
              <w:jc w:val="center"/>
              <w:rPr>
                <w:color w:val="000000" w:themeColor="text1"/>
              </w:rPr>
            </w:pPr>
            <w:r w:rsidRPr="00606D67">
              <w:rPr>
                <w:color w:val="000000" w:themeColor="text1"/>
              </w:rPr>
              <w:t>Representative samples from non-clinical populations</w:t>
            </w:r>
          </w:p>
        </w:tc>
        <w:tc>
          <w:tcPr>
            <w:tcW w:w="3548" w:type="dxa"/>
            <w:noWrap/>
            <w:vAlign w:val="center"/>
            <w:hideMark/>
          </w:tcPr>
          <w:p w14:paraId="060428A4" w14:textId="77777777" w:rsidR="00A10377" w:rsidRPr="00606D67" w:rsidRDefault="00A10377" w:rsidP="00A10377">
            <w:pPr>
              <w:spacing w:line="240" w:lineRule="auto"/>
              <w:jc w:val="center"/>
              <w:rPr>
                <w:color w:val="000000" w:themeColor="text1"/>
              </w:rPr>
            </w:pPr>
            <w:r w:rsidRPr="00606D67">
              <w:rPr>
                <w:color w:val="000000" w:themeColor="text1"/>
              </w:rPr>
              <w:t>Neighbourhood crime</w:t>
            </w:r>
          </w:p>
        </w:tc>
        <w:tc>
          <w:tcPr>
            <w:tcW w:w="1892" w:type="dxa"/>
            <w:noWrap/>
            <w:vAlign w:val="center"/>
            <w:hideMark/>
          </w:tcPr>
          <w:p w14:paraId="6897D3EC" w14:textId="77777777" w:rsidR="00A10377" w:rsidRPr="00606D67" w:rsidRDefault="00A10377" w:rsidP="00A10377">
            <w:pPr>
              <w:spacing w:line="240" w:lineRule="auto"/>
              <w:jc w:val="center"/>
              <w:rPr>
                <w:color w:val="000000" w:themeColor="text1"/>
              </w:rPr>
            </w:pPr>
            <w:r w:rsidRPr="00606D67">
              <w:rPr>
                <w:color w:val="000000" w:themeColor="text1"/>
              </w:rPr>
              <w:t>Mental health</w:t>
            </w:r>
          </w:p>
        </w:tc>
        <w:tc>
          <w:tcPr>
            <w:tcW w:w="1283" w:type="dxa"/>
            <w:noWrap/>
            <w:vAlign w:val="center"/>
            <w:hideMark/>
          </w:tcPr>
          <w:p w14:paraId="23A9F55B" w14:textId="77777777" w:rsidR="00A10377" w:rsidRPr="00606D67" w:rsidRDefault="00A10377" w:rsidP="00A10377">
            <w:pPr>
              <w:spacing w:line="240" w:lineRule="auto"/>
              <w:jc w:val="center"/>
              <w:rPr>
                <w:color w:val="000000" w:themeColor="text1"/>
              </w:rPr>
            </w:pPr>
            <w:r w:rsidRPr="00606D67">
              <w:rPr>
                <w:color w:val="000000" w:themeColor="text1"/>
              </w:rPr>
              <w:t>Medium</w:t>
            </w:r>
          </w:p>
        </w:tc>
      </w:tr>
      <w:tr w:rsidR="00606D67" w:rsidRPr="00606D67" w14:paraId="3C0741E9" w14:textId="77777777" w:rsidTr="00AE0D1B">
        <w:trPr>
          <w:trHeight w:val="1134"/>
        </w:trPr>
        <w:tc>
          <w:tcPr>
            <w:tcW w:w="1271" w:type="dxa"/>
            <w:noWrap/>
            <w:vAlign w:val="center"/>
            <w:hideMark/>
          </w:tcPr>
          <w:p w14:paraId="21D1940E" w14:textId="77777777" w:rsidR="00A10377" w:rsidRPr="00606D67" w:rsidRDefault="00A10377" w:rsidP="00A10377">
            <w:pPr>
              <w:spacing w:line="240" w:lineRule="auto"/>
              <w:jc w:val="center"/>
              <w:rPr>
                <w:color w:val="000000" w:themeColor="text1"/>
              </w:rPr>
            </w:pPr>
            <w:proofErr w:type="spellStart"/>
            <w:r w:rsidRPr="00606D67">
              <w:rPr>
                <w:color w:val="000000" w:themeColor="text1"/>
              </w:rPr>
              <w:t>Bedaso</w:t>
            </w:r>
            <w:proofErr w:type="spellEnd"/>
            <w:r w:rsidRPr="00606D67">
              <w:rPr>
                <w:color w:val="000000" w:themeColor="text1"/>
              </w:rPr>
              <w:t xml:space="preserve"> and </w:t>
            </w:r>
            <w:proofErr w:type="spellStart"/>
            <w:r w:rsidRPr="00606D67">
              <w:rPr>
                <w:color w:val="000000" w:themeColor="text1"/>
              </w:rPr>
              <w:t>Duko</w:t>
            </w:r>
            <w:proofErr w:type="spellEnd"/>
            <w:r w:rsidRPr="00606D67">
              <w:rPr>
                <w:color w:val="000000" w:themeColor="text1"/>
              </w:rPr>
              <w:t xml:space="preserve"> (2022)</w:t>
            </w:r>
          </w:p>
        </w:tc>
        <w:tc>
          <w:tcPr>
            <w:tcW w:w="1519" w:type="dxa"/>
            <w:noWrap/>
            <w:vAlign w:val="center"/>
            <w:hideMark/>
          </w:tcPr>
          <w:p w14:paraId="0029AA1E" w14:textId="77777777" w:rsidR="00A10377" w:rsidRPr="00606D67" w:rsidRDefault="00A10377" w:rsidP="00A10377">
            <w:pPr>
              <w:spacing w:line="240" w:lineRule="auto"/>
              <w:jc w:val="center"/>
              <w:rPr>
                <w:color w:val="000000" w:themeColor="text1"/>
              </w:rPr>
            </w:pPr>
            <w:r w:rsidRPr="00606D67">
              <w:rPr>
                <w:color w:val="000000" w:themeColor="text1"/>
              </w:rPr>
              <w:t>up to Dec 2020</w:t>
            </w:r>
          </w:p>
        </w:tc>
        <w:tc>
          <w:tcPr>
            <w:tcW w:w="2313" w:type="dxa"/>
            <w:noWrap/>
            <w:vAlign w:val="center"/>
            <w:hideMark/>
          </w:tcPr>
          <w:p w14:paraId="596FE9E2" w14:textId="77777777" w:rsidR="00A10377" w:rsidRPr="00606D67" w:rsidRDefault="00A10377" w:rsidP="00A10377">
            <w:pPr>
              <w:spacing w:line="240" w:lineRule="auto"/>
              <w:jc w:val="center"/>
              <w:rPr>
                <w:color w:val="000000" w:themeColor="text1"/>
              </w:rPr>
            </w:pPr>
            <w:r w:rsidRPr="00606D67">
              <w:rPr>
                <w:color w:val="000000" w:themeColor="text1"/>
              </w:rPr>
              <w:t>observational (cross-sectional, case-control or cohort study design)</w:t>
            </w:r>
          </w:p>
        </w:tc>
        <w:tc>
          <w:tcPr>
            <w:tcW w:w="2122" w:type="dxa"/>
            <w:noWrap/>
            <w:vAlign w:val="center"/>
            <w:hideMark/>
          </w:tcPr>
          <w:p w14:paraId="356C6AA8" w14:textId="77777777" w:rsidR="00A10377" w:rsidRPr="00606D67" w:rsidRDefault="00A10377" w:rsidP="00A10377">
            <w:pPr>
              <w:spacing w:line="240" w:lineRule="auto"/>
              <w:jc w:val="center"/>
              <w:rPr>
                <w:color w:val="000000" w:themeColor="text1"/>
              </w:rPr>
            </w:pPr>
            <w:r w:rsidRPr="00606D67">
              <w:rPr>
                <w:color w:val="000000" w:themeColor="text1"/>
              </w:rPr>
              <w:t>Displaced people</w:t>
            </w:r>
          </w:p>
        </w:tc>
        <w:tc>
          <w:tcPr>
            <w:tcW w:w="3548" w:type="dxa"/>
            <w:noWrap/>
            <w:vAlign w:val="center"/>
            <w:hideMark/>
          </w:tcPr>
          <w:p w14:paraId="1B4471F2" w14:textId="77777777" w:rsidR="00A10377" w:rsidRPr="00606D67" w:rsidRDefault="00A10377" w:rsidP="00A10377">
            <w:pPr>
              <w:spacing w:line="240" w:lineRule="auto"/>
              <w:jc w:val="center"/>
              <w:rPr>
                <w:color w:val="000000" w:themeColor="text1"/>
              </w:rPr>
            </w:pPr>
            <w:r w:rsidRPr="00606D67">
              <w:rPr>
                <w:color w:val="000000" w:themeColor="text1"/>
              </w:rPr>
              <w:t>Among displaced people, being female, non-partnered marital status, and low perceived social support</w:t>
            </w:r>
          </w:p>
        </w:tc>
        <w:tc>
          <w:tcPr>
            <w:tcW w:w="1892" w:type="dxa"/>
            <w:noWrap/>
            <w:vAlign w:val="center"/>
            <w:hideMark/>
          </w:tcPr>
          <w:p w14:paraId="2BD40C42" w14:textId="77777777" w:rsidR="00A10377" w:rsidRPr="00606D67" w:rsidRDefault="00A10377" w:rsidP="00A10377">
            <w:pPr>
              <w:spacing w:line="240" w:lineRule="auto"/>
              <w:jc w:val="center"/>
              <w:rPr>
                <w:color w:val="000000" w:themeColor="text1"/>
              </w:rPr>
            </w:pPr>
            <w:r w:rsidRPr="00606D67">
              <w:rPr>
                <w:color w:val="000000" w:themeColor="text1"/>
              </w:rPr>
              <w:t>Depression</w:t>
            </w:r>
          </w:p>
        </w:tc>
        <w:tc>
          <w:tcPr>
            <w:tcW w:w="1283" w:type="dxa"/>
            <w:noWrap/>
            <w:vAlign w:val="center"/>
            <w:hideMark/>
          </w:tcPr>
          <w:p w14:paraId="00E7146D" w14:textId="77777777" w:rsidR="00A10377" w:rsidRPr="00606D67" w:rsidRDefault="00A10377" w:rsidP="00A10377">
            <w:pPr>
              <w:spacing w:line="240" w:lineRule="auto"/>
              <w:jc w:val="center"/>
              <w:rPr>
                <w:color w:val="000000" w:themeColor="text1"/>
              </w:rPr>
            </w:pPr>
            <w:r w:rsidRPr="00606D67">
              <w:rPr>
                <w:color w:val="000000" w:themeColor="text1"/>
              </w:rPr>
              <w:t>Medium</w:t>
            </w:r>
          </w:p>
        </w:tc>
      </w:tr>
      <w:tr w:rsidR="00606D67" w:rsidRPr="00606D67" w14:paraId="1A00A01D" w14:textId="77777777" w:rsidTr="00AE0D1B">
        <w:trPr>
          <w:trHeight w:val="1134"/>
        </w:trPr>
        <w:tc>
          <w:tcPr>
            <w:tcW w:w="1271" w:type="dxa"/>
            <w:noWrap/>
            <w:vAlign w:val="center"/>
            <w:hideMark/>
          </w:tcPr>
          <w:p w14:paraId="7D7856D7" w14:textId="77777777" w:rsidR="00A10377" w:rsidRPr="00606D67" w:rsidRDefault="00A10377" w:rsidP="00A10377">
            <w:pPr>
              <w:spacing w:line="240" w:lineRule="auto"/>
              <w:jc w:val="center"/>
              <w:rPr>
                <w:color w:val="000000" w:themeColor="text1"/>
              </w:rPr>
            </w:pPr>
            <w:proofErr w:type="spellStart"/>
            <w:r w:rsidRPr="00606D67">
              <w:rPr>
                <w:color w:val="000000" w:themeColor="text1"/>
              </w:rPr>
              <w:t>Bekteshi</w:t>
            </w:r>
            <w:proofErr w:type="spellEnd"/>
            <w:r w:rsidRPr="00606D67">
              <w:rPr>
                <w:color w:val="000000" w:themeColor="text1"/>
              </w:rPr>
              <w:t xml:space="preserve"> and Sun-wan (2020)</w:t>
            </w:r>
          </w:p>
        </w:tc>
        <w:tc>
          <w:tcPr>
            <w:tcW w:w="1519" w:type="dxa"/>
            <w:noWrap/>
            <w:vAlign w:val="center"/>
            <w:hideMark/>
          </w:tcPr>
          <w:p w14:paraId="0CA8818D" w14:textId="77777777" w:rsidR="00A10377" w:rsidRPr="00606D67" w:rsidRDefault="00A10377" w:rsidP="00A10377">
            <w:pPr>
              <w:spacing w:line="240" w:lineRule="auto"/>
              <w:jc w:val="center"/>
              <w:rPr>
                <w:color w:val="000000" w:themeColor="text1"/>
              </w:rPr>
            </w:pPr>
            <w:r w:rsidRPr="00606D67">
              <w:rPr>
                <w:color w:val="000000" w:themeColor="text1"/>
              </w:rPr>
              <w:t>2000 to 2015</w:t>
            </w:r>
          </w:p>
        </w:tc>
        <w:tc>
          <w:tcPr>
            <w:tcW w:w="2313" w:type="dxa"/>
            <w:noWrap/>
            <w:vAlign w:val="center"/>
            <w:hideMark/>
          </w:tcPr>
          <w:p w14:paraId="377EB30C" w14:textId="77777777" w:rsidR="00A10377" w:rsidRPr="00606D67" w:rsidRDefault="00A10377" w:rsidP="00A10377">
            <w:pPr>
              <w:spacing w:line="240" w:lineRule="auto"/>
              <w:jc w:val="center"/>
              <w:rPr>
                <w:color w:val="000000" w:themeColor="text1"/>
              </w:rPr>
            </w:pPr>
            <w:r w:rsidRPr="00606D67">
              <w:rPr>
                <w:color w:val="000000" w:themeColor="text1"/>
              </w:rPr>
              <w:t>quantitative</w:t>
            </w:r>
          </w:p>
        </w:tc>
        <w:tc>
          <w:tcPr>
            <w:tcW w:w="2122" w:type="dxa"/>
            <w:noWrap/>
            <w:vAlign w:val="center"/>
            <w:hideMark/>
          </w:tcPr>
          <w:p w14:paraId="12A7AF60" w14:textId="77777777" w:rsidR="00A10377" w:rsidRPr="00606D67" w:rsidRDefault="00A10377" w:rsidP="00A10377">
            <w:pPr>
              <w:spacing w:line="240" w:lineRule="auto"/>
              <w:jc w:val="center"/>
              <w:rPr>
                <w:color w:val="000000" w:themeColor="text1"/>
              </w:rPr>
            </w:pPr>
            <w:r w:rsidRPr="00606D67">
              <w:rPr>
                <w:color w:val="000000" w:themeColor="text1"/>
              </w:rPr>
              <w:t>Latino immigrants in the US</w:t>
            </w:r>
          </w:p>
        </w:tc>
        <w:tc>
          <w:tcPr>
            <w:tcW w:w="3548" w:type="dxa"/>
            <w:noWrap/>
            <w:vAlign w:val="center"/>
            <w:hideMark/>
          </w:tcPr>
          <w:p w14:paraId="45FFAB73" w14:textId="77777777" w:rsidR="00A10377" w:rsidRPr="00606D67" w:rsidRDefault="00A10377" w:rsidP="00A10377">
            <w:pPr>
              <w:spacing w:line="240" w:lineRule="auto"/>
              <w:jc w:val="center"/>
              <w:rPr>
                <w:color w:val="000000" w:themeColor="text1"/>
              </w:rPr>
            </w:pPr>
            <w:r w:rsidRPr="00606D67">
              <w:rPr>
                <w:color w:val="000000" w:themeColor="text1"/>
              </w:rPr>
              <w:t>Acculturative stress, perceived discrimination</w:t>
            </w:r>
          </w:p>
        </w:tc>
        <w:tc>
          <w:tcPr>
            <w:tcW w:w="1892" w:type="dxa"/>
            <w:noWrap/>
            <w:vAlign w:val="center"/>
            <w:hideMark/>
          </w:tcPr>
          <w:p w14:paraId="7C612FBE" w14:textId="77777777" w:rsidR="00A10377" w:rsidRPr="00606D67" w:rsidRDefault="00A10377" w:rsidP="00A10377">
            <w:pPr>
              <w:spacing w:line="240" w:lineRule="auto"/>
              <w:jc w:val="center"/>
              <w:rPr>
                <w:color w:val="000000" w:themeColor="text1"/>
              </w:rPr>
            </w:pPr>
            <w:r w:rsidRPr="00606D67">
              <w:rPr>
                <w:color w:val="000000" w:themeColor="text1"/>
              </w:rPr>
              <w:t>Mental health</w:t>
            </w:r>
          </w:p>
        </w:tc>
        <w:tc>
          <w:tcPr>
            <w:tcW w:w="1283" w:type="dxa"/>
            <w:noWrap/>
            <w:vAlign w:val="center"/>
            <w:hideMark/>
          </w:tcPr>
          <w:p w14:paraId="37718B7A" w14:textId="77777777" w:rsidR="00A10377" w:rsidRPr="00606D67" w:rsidRDefault="00A10377" w:rsidP="00A10377">
            <w:pPr>
              <w:spacing w:line="240" w:lineRule="auto"/>
              <w:jc w:val="center"/>
              <w:rPr>
                <w:color w:val="000000" w:themeColor="text1"/>
              </w:rPr>
            </w:pPr>
            <w:r w:rsidRPr="00606D67">
              <w:rPr>
                <w:color w:val="000000" w:themeColor="text1"/>
              </w:rPr>
              <w:t>Medium</w:t>
            </w:r>
          </w:p>
        </w:tc>
      </w:tr>
      <w:tr w:rsidR="00606D67" w:rsidRPr="00606D67" w14:paraId="79972609" w14:textId="77777777" w:rsidTr="00AE0D1B">
        <w:trPr>
          <w:trHeight w:val="1134"/>
        </w:trPr>
        <w:tc>
          <w:tcPr>
            <w:tcW w:w="1271" w:type="dxa"/>
            <w:noWrap/>
            <w:vAlign w:val="center"/>
          </w:tcPr>
          <w:p w14:paraId="250B3561" w14:textId="77777777" w:rsidR="00A10377" w:rsidRPr="00606D67" w:rsidRDefault="00A10377" w:rsidP="00A10377">
            <w:pPr>
              <w:spacing w:line="240" w:lineRule="auto"/>
              <w:jc w:val="center"/>
              <w:rPr>
                <w:color w:val="000000" w:themeColor="text1"/>
              </w:rPr>
            </w:pPr>
            <w:r w:rsidRPr="00606D67">
              <w:rPr>
                <w:color w:val="000000" w:themeColor="text1"/>
              </w:rPr>
              <w:t>Bhat et al. (2018)</w:t>
            </w:r>
          </w:p>
        </w:tc>
        <w:tc>
          <w:tcPr>
            <w:tcW w:w="1519" w:type="dxa"/>
            <w:noWrap/>
            <w:vAlign w:val="center"/>
          </w:tcPr>
          <w:p w14:paraId="3A0B9099" w14:textId="77777777" w:rsidR="00A10377" w:rsidRPr="00606D67" w:rsidRDefault="00A10377" w:rsidP="00A10377">
            <w:pPr>
              <w:spacing w:line="240" w:lineRule="auto"/>
              <w:jc w:val="center"/>
              <w:rPr>
                <w:color w:val="000000" w:themeColor="text1"/>
              </w:rPr>
            </w:pPr>
            <w:r w:rsidRPr="00606D67">
              <w:rPr>
                <w:color w:val="000000" w:themeColor="text1"/>
              </w:rPr>
              <w:t>up to Oct 2017</w:t>
            </w:r>
          </w:p>
        </w:tc>
        <w:tc>
          <w:tcPr>
            <w:tcW w:w="2313" w:type="dxa"/>
            <w:noWrap/>
            <w:vAlign w:val="center"/>
          </w:tcPr>
          <w:p w14:paraId="68B7068F" w14:textId="77777777" w:rsidR="00A10377" w:rsidRPr="00606D67" w:rsidRDefault="00A10377" w:rsidP="00A10377">
            <w:pPr>
              <w:spacing w:line="240" w:lineRule="auto"/>
              <w:jc w:val="center"/>
              <w:rPr>
                <w:color w:val="000000" w:themeColor="text1"/>
              </w:rPr>
            </w:pPr>
            <w:r w:rsidRPr="00606D67">
              <w:rPr>
                <w:color w:val="000000" w:themeColor="text1"/>
              </w:rPr>
              <w:t>correlational</w:t>
            </w:r>
          </w:p>
        </w:tc>
        <w:tc>
          <w:tcPr>
            <w:tcW w:w="2122" w:type="dxa"/>
            <w:noWrap/>
            <w:vAlign w:val="center"/>
          </w:tcPr>
          <w:p w14:paraId="50839901" w14:textId="77777777" w:rsidR="00A10377" w:rsidRPr="00606D67" w:rsidRDefault="00A10377" w:rsidP="00A10377">
            <w:pPr>
              <w:spacing w:line="240" w:lineRule="auto"/>
              <w:jc w:val="center"/>
              <w:rPr>
                <w:color w:val="000000" w:themeColor="text1"/>
              </w:rPr>
            </w:pPr>
            <w:r w:rsidRPr="00606D67">
              <w:rPr>
                <w:color w:val="000000" w:themeColor="text1"/>
              </w:rPr>
              <w:t>People from armed conflict zones</w:t>
            </w:r>
          </w:p>
        </w:tc>
        <w:tc>
          <w:tcPr>
            <w:tcW w:w="3548" w:type="dxa"/>
            <w:noWrap/>
            <w:vAlign w:val="center"/>
          </w:tcPr>
          <w:p w14:paraId="63919B45" w14:textId="77777777" w:rsidR="00A10377" w:rsidRPr="00606D67" w:rsidRDefault="00A10377" w:rsidP="00A10377">
            <w:pPr>
              <w:spacing w:line="240" w:lineRule="auto"/>
              <w:jc w:val="center"/>
              <w:rPr>
                <w:color w:val="000000" w:themeColor="text1"/>
              </w:rPr>
            </w:pPr>
            <w:r w:rsidRPr="00606D67">
              <w:rPr>
                <w:color w:val="000000" w:themeColor="text1"/>
              </w:rPr>
              <w:t>Exposure to violent conflict</w:t>
            </w:r>
          </w:p>
        </w:tc>
        <w:tc>
          <w:tcPr>
            <w:tcW w:w="1892" w:type="dxa"/>
            <w:noWrap/>
            <w:vAlign w:val="center"/>
          </w:tcPr>
          <w:p w14:paraId="63FE9316" w14:textId="77777777" w:rsidR="00A10377" w:rsidRPr="00606D67" w:rsidRDefault="00A10377" w:rsidP="00A10377">
            <w:pPr>
              <w:spacing w:line="240" w:lineRule="auto"/>
              <w:jc w:val="center"/>
              <w:rPr>
                <w:color w:val="000000" w:themeColor="text1"/>
              </w:rPr>
            </w:pPr>
            <w:r w:rsidRPr="00606D67">
              <w:rPr>
                <w:color w:val="000000" w:themeColor="text1"/>
              </w:rPr>
              <w:t>Mental health</w:t>
            </w:r>
          </w:p>
        </w:tc>
        <w:tc>
          <w:tcPr>
            <w:tcW w:w="1283" w:type="dxa"/>
            <w:noWrap/>
            <w:vAlign w:val="center"/>
          </w:tcPr>
          <w:p w14:paraId="385D97D9" w14:textId="77777777" w:rsidR="00A10377" w:rsidRPr="00606D67" w:rsidRDefault="00A10377" w:rsidP="00A10377">
            <w:pPr>
              <w:spacing w:line="240" w:lineRule="auto"/>
              <w:jc w:val="center"/>
              <w:rPr>
                <w:color w:val="000000" w:themeColor="text1"/>
              </w:rPr>
            </w:pPr>
            <w:r w:rsidRPr="00606D67">
              <w:rPr>
                <w:color w:val="000000" w:themeColor="text1"/>
              </w:rPr>
              <w:t>Low</w:t>
            </w:r>
          </w:p>
        </w:tc>
      </w:tr>
      <w:tr w:rsidR="00606D67" w:rsidRPr="00606D67" w14:paraId="7DC9A94D" w14:textId="77777777" w:rsidTr="00AE0D1B">
        <w:trPr>
          <w:trHeight w:val="1134"/>
        </w:trPr>
        <w:tc>
          <w:tcPr>
            <w:tcW w:w="1271" w:type="dxa"/>
            <w:noWrap/>
            <w:vAlign w:val="center"/>
            <w:hideMark/>
          </w:tcPr>
          <w:p w14:paraId="369B2F0A" w14:textId="77777777" w:rsidR="00A10377" w:rsidRPr="00606D67" w:rsidRDefault="00A10377" w:rsidP="00A10377">
            <w:pPr>
              <w:spacing w:line="240" w:lineRule="auto"/>
              <w:jc w:val="center"/>
              <w:rPr>
                <w:color w:val="000000" w:themeColor="text1"/>
              </w:rPr>
            </w:pPr>
            <w:r w:rsidRPr="00606D67">
              <w:rPr>
                <w:color w:val="000000" w:themeColor="text1"/>
              </w:rPr>
              <w:lastRenderedPageBreak/>
              <w:t>Bhattacharya et al. (2019)</w:t>
            </w:r>
          </w:p>
        </w:tc>
        <w:tc>
          <w:tcPr>
            <w:tcW w:w="1519" w:type="dxa"/>
            <w:noWrap/>
            <w:vAlign w:val="center"/>
            <w:hideMark/>
          </w:tcPr>
          <w:p w14:paraId="7A687190" w14:textId="77777777" w:rsidR="00A10377" w:rsidRPr="00606D67" w:rsidRDefault="00A10377" w:rsidP="00A10377">
            <w:pPr>
              <w:spacing w:line="240" w:lineRule="auto"/>
              <w:jc w:val="center"/>
              <w:rPr>
                <w:color w:val="000000" w:themeColor="text1"/>
              </w:rPr>
            </w:pPr>
            <w:r w:rsidRPr="00606D67">
              <w:rPr>
                <w:color w:val="000000" w:themeColor="text1"/>
              </w:rPr>
              <w:t>1987 to 2017</w:t>
            </w:r>
          </w:p>
        </w:tc>
        <w:tc>
          <w:tcPr>
            <w:tcW w:w="2313" w:type="dxa"/>
            <w:noWrap/>
            <w:vAlign w:val="center"/>
            <w:hideMark/>
          </w:tcPr>
          <w:p w14:paraId="13D9A6D6" w14:textId="77777777" w:rsidR="00A10377" w:rsidRPr="00606D67" w:rsidRDefault="00A10377" w:rsidP="00A10377">
            <w:pPr>
              <w:spacing w:line="240" w:lineRule="auto"/>
              <w:jc w:val="center"/>
              <w:rPr>
                <w:color w:val="000000" w:themeColor="text1"/>
              </w:rPr>
            </w:pPr>
            <w:r w:rsidRPr="00606D67">
              <w:rPr>
                <w:color w:val="000000" w:themeColor="text1"/>
              </w:rPr>
              <w:t>qualitative or mixed-method studies that reported on qualitative findings</w:t>
            </w:r>
          </w:p>
        </w:tc>
        <w:tc>
          <w:tcPr>
            <w:tcW w:w="2122" w:type="dxa"/>
            <w:noWrap/>
            <w:vAlign w:val="center"/>
            <w:hideMark/>
          </w:tcPr>
          <w:p w14:paraId="1FE22D98" w14:textId="77777777" w:rsidR="00A10377" w:rsidRPr="00606D67" w:rsidRDefault="00A10377" w:rsidP="00A10377">
            <w:pPr>
              <w:spacing w:line="240" w:lineRule="auto"/>
              <w:jc w:val="center"/>
              <w:rPr>
                <w:color w:val="000000" w:themeColor="text1"/>
              </w:rPr>
            </w:pPr>
            <w:r w:rsidRPr="00606D67">
              <w:rPr>
                <w:color w:val="000000" w:themeColor="text1"/>
              </w:rPr>
              <w:t>Women in India</w:t>
            </w:r>
          </w:p>
        </w:tc>
        <w:tc>
          <w:tcPr>
            <w:tcW w:w="3548" w:type="dxa"/>
            <w:noWrap/>
            <w:vAlign w:val="center"/>
            <w:hideMark/>
          </w:tcPr>
          <w:p w14:paraId="42FBEF7E" w14:textId="77777777" w:rsidR="00A10377" w:rsidRPr="00606D67" w:rsidRDefault="00A10377" w:rsidP="00A10377">
            <w:pPr>
              <w:spacing w:line="240" w:lineRule="auto"/>
              <w:jc w:val="center"/>
              <w:rPr>
                <w:color w:val="000000" w:themeColor="text1"/>
              </w:rPr>
            </w:pPr>
            <w:r w:rsidRPr="00606D67">
              <w:rPr>
                <w:color w:val="000000" w:themeColor="text1"/>
              </w:rPr>
              <w:t>Interpersonal conflict, caregiving burden, domestic violence, financial insecurity, adverse reproductive events and widowhood</w:t>
            </w:r>
          </w:p>
        </w:tc>
        <w:tc>
          <w:tcPr>
            <w:tcW w:w="1892" w:type="dxa"/>
            <w:noWrap/>
            <w:vAlign w:val="center"/>
            <w:hideMark/>
          </w:tcPr>
          <w:p w14:paraId="561F955B" w14:textId="77777777" w:rsidR="00A10377" w:rsidRPr="00606D67" w:rsidRDefault="00A10377" w:rsidP="00A10377">
            <w:pPr>
              <w:spacing w:line="240" w:lineRule="auto"/>
              <w:jc w:val="center"/>
              <w:rPr>
                <w:color w:val="000000" w:themeColor="text1"/>
              </w:rPr>
            </w:pPr>
            <w:r w:rsidRPr="00606D67">
              <w:rPr>
                <w:color w:val="000000" w:themeColor="text1"/>
              </w:rPr>
              <w:t>Depression</w:t>
            </w:r>
          </w:p>
        </w:tc>
        <w:tc>
          <w:tcPr>
            <w:tcW w:w="1283" w:type="dxa"/>
            <w:noWrap/>
            <w:vAlign w:val="center"/>
            <w:hideMark/>
          </w:tcPr>
          <w:p w14:paraId="14B1A312" w14:textId="77777777" w:rsidR="00A10377" w:rsidRPr="00606D67" w:rsidRDefault="00A10377" w:rsidP="00A10377">
            <w:pPr>
              <w:spacing w:line="240" w:lineRule="auto"/>
              <w:jc w:val="center"/>
              <w:rPr>
                <w:color w:val="000000" w:themeColor="text1"/>
              </w:rPr>
            </w:pPr>
            <w:r w:rsidRPr="00606D67">
              <w:rPr>
                <w:color w:val="000000" w:themeColor="text1"/>
              </w:rPr>
              <w:t>High</w:t>
            </w:r>
          </w:p>
        </w:tc>
      </w:tr>
      <w:tr w:rsidR="00606D67" w:rsidRPr="00606D67" w14:paraId="4A629B3E" w14:textId="77777777" w:rsidTr="00AE0D1B">
        <w:trPr>
          <w:trHeight w:val="1134"/>
        </w:trPr>
        <w:tc>
          <w:tcPr>
            <w:tcW w:w="1271" w:type="dxa"/>
            <w:noWrap/>
            <w:vAlign w:val="center"/>
            <w:hideMark/>
          </w:tcPr>
          <w:p w14:paraId="3C70DEEB" w14:textId="77777777" w:rsidR="00A10377" w:rsidRPr="00606D67" w:rsidRDefault="00A10377" w:rsidP="00A10377">
            <w:pPr>
              <w:spacing w:line="240" w:lineRule="auto"/>
              <w:jc w:val="center"/>
              <w:rPr>
                <w:color w:val="000000" w:themeColor="text1"/>
              </w:rPr>
            </w:pPr>
            <w:r w:rsidRPr="00606D67">
              <w:rPr>
                <w:color w:val="000000" w:themeColor="text1"/>
              </w:rPr>
              <w:t>Campos-Matos et al. (2016)</w:t>
            </w:r>
          </w:p>
        </w:tc>
        <w:tc>
          <w:tcPr>
            <w:tcW w:w="1519" w:type="dxa"/>
            <w:noWrap/>
            <w:vAlign w:val="center"/>
            <w:hideMark/>
          </w:tcPr>
          <w:p w14:paraId="51249F3B" w14:textId="77777777" w:rsidR="00A10377" w:rsidRPr="00606D67" w:rsidRDefault="00A10377" w:rsidP="00A10377">
            <w:pPr>
              <w:spacing w:line="240" w:lineRule="auto"/>
              <w:jc w:val="center"/>
              <w:rPr>
                <w:color w:val="000000" w:themeColor="text1"/>
              </w:rPr>
            </w:pPr>
            <w:r w:rsidRPr="00606D67">
              <w:rPr>
                <w:color w:val="000000" w:themeColor="text1"/>
              </w:rPr>
              <w:t>Jan 2000 to [unspecified]</w:t>
            </w:r>
          </w:p>
        </w:tc>
        <w:tc>
          <w:tcPr>
            <w:tcW w:w="2313" w:type="dxa"/>
            <w:noWrap/>
            <w:vAlign w:val="center"/>
            <w:hideMark/>
          </w:tcPr>
          <w:p w14:paraId="04FD8DAD" w14:textId="77777777" w:rsidR="00A10377" w:rsidRPr="00606D67" w:rsidRDefault="00A10377" w:rsidP="00A10377">
            <w:pPr>
              <w:spacing w:line="240" w:lineRule="auto"/>
              <w:jc w:val="center"/>
              <w:rPr>
                <w:color w:val="000000" w:themeColor="text1"/>
              </w:rPr>
            </w:pPr>
            <w:r w:rsidRPr="00606D67">
              <w:rPr>
                <w:color w:val="000000" w:themeColor="text1"/>
              </w:rPr>
              <w:t>quantitative</w:t>
            </w:r>
          </w:p>
        </w:tc>
        <w:tc>
          <w:tcPr>
            <w:tcW w:w="2122" w:type="dxa"/>
            <w:noWrap/>
            <w:vAlign w:val="center"/>
            <w:hideMark/>
          </w:tcPr>
          <w:p w14:paraId="0E30E743" w14:textId="77777777" w:rsidR="00A10377" w:rsidRPr="00606D67" w:rsidRDefault="00A10377" w:rsidP="00A10377">
            <w:pPr>
              <w:spacing w:line="240" w:lineRule="auto"/>
              <w:jc w:val="center"/>
              <w:rPr>
                <w:color w:val="000000" w:themeColor="text1"/>
              </w:rPr>
            </w:pPr>
            <w:r w:rsidRPr="00606D67">
              <w:rPr>
                <w:color w:val="000000" w:themeColor="text1"/>
              </w:rPr>
              <w:t>Resident Portuguese population</w:t>
            </w:r>
          </w:p>
        </w:tc>
        <w:tc>
          <w:tcPr>
            <w:tcW w:w="3548" w:type="dxa"/>
            <w:noWrap/>
            <w:vAlign w:val="center"/>
            <w:hideMark/>
          </w:tcPr>
          <w:p w14:paraId="0524BEC6" w14:textId="77777777" w:rsidR="00A10377" w:rsidRPr="00606D67" w:rsidRDefault="00A10377" w:rsidP="00A10377">
            <w:pPr>
              <w:spacing w:line="240" w:lineRule="auto"/>
              <w:jc w:val="center"/>
              <w:rPr>
                <w:color w:val="000000" w:themeColor="text1"/>
              </w:rPr>
            </w:pPr>
            <w:r w:rsidRPr="00606D67">
              <w:rPr>
                <w:color w:val="000000" w:themeColor="text1"/>
              </w:rPr>
              <w:t>Gender and migrant populations</w:t>
            </w:r>
          </w:p>
        </w:tc>
        <w:tc>
          <w:tcPr>
            <w:tcW w:w="1892" w:type="dxa"/>
            <w:noWrap/>
            <w:vAlign w:val="center"/>
            <w:hideMark/>
          </w:tcPr>
          <w:p w14:paraId="6DB765B4" w14:textId="77777777" w:rsidR="00A10377" w:rsidRPr="00606D67" w:rsidRDefault="00A10377" w:rsidP="00A10377">
            <w:pPr>
              <w:spacing w:line="240" w:lineRule="auto"/>
              <w:jc w:val="center"/>
              <w:rPr>
                <w:color w:val="000000" w:themeColor="text1"/>
              </w:rPr>
            </w:pPr>
            <w:r w:rsidRPr="00606D67">
              <w:rPr>
                <w:color w:val="000000" w:themeColor="text1"/>
              </w:rPr>
              <w:t>Mental health</w:t>
            </w:r>
          </w:p>
        </w:tc>
        <w:tc>
          <w:tcPr>
            <w:tcW w:w="1283" w:type="dxa"/>
            <w:noWrap/>
            <w:vAlign w:val="center"/>
            <w:hideMark/>
          </w:tcPr>
          <w:p w14:paraId="2FC597F0" w14:textId="77777777" w:rsidR="00A10377" w:rsidRPr="00606D67" w:rsidRDefault="00A10377" w:rsidP="00A10377">
            <w:pPr>
              <w:spacing w:line="240" w:lineRule="auto"/>
              <w:jc w:val="center"/>
              <w:rPr>
                <w:color w:val="000000" w:themeColor="text1"/>
              </w:rPr>
            </w:pPr>
            <w:r w:rsidRPr="00606D67">
              <w:rPr>
                <w:color w:val="000000" w:themeColor="text1"/>
              </w:rPr>
              <w:t>Medium</w:t>
            </w:r>
          </w:p>
        </w:tc>
      </w:tr>
      <w:tr w:rsidR="00606D67" w:rsidRPr="00606D67" w14:paraId="29F19DE5" w14:textId="77777777" w:rsidTr="00AE0D1B">
        <w:trPr>
          <w:trHeight w:val="1134"/>
        </w:trPr>
        <w:tc>
          <w:tcPr>
            <w:tcW w:w="1271" w:type="dxa"/>
            <w:noWrap/>
            <w:vAlign w:val="center"/>
            <w:hideMark/>
          </w:tcPr>
          <w:p w14:paraId="43EA772F" w14:textId="77777777" w:rsidR="00A10377" w:rsidRPr="00606D67" w:rsidRDefault="00A10377" w:rsidP="00A10377">
            <w:pPr>
              <w:spacing w:line="240" w:lineRule="auto"/>
              <w:jc w:val="center"/>
              <w:rPr>
                <w:color w:val="000000" w:themeColor="text1"/>
              </w:rPr>
            </w:pPr>
            <w:r w:rsidRPr="00606D67">
              <w:rPr>
                <w:color w:val="000000" w:themeColor="text1"/>
              </w:rPr>
              <w:t>Carrere et al. (2020)</w:t>
            </w:r>
          </w:p>
        </w:tc>
        <w:tc>
          <w:tcPr>
            <w:tcW w:w="1519" w:type="dxa"/>
            <w:noWrap/>
            <w:vAlign w:val="center"/>
            <w:hideMark/>
          </w:tcPr>
          <w:p w14:paraId="14EB21DD" w14:textId="77777777" w:rsidR="00A10377" w:rsidRPr="00606D67" w:rsidRDefault="00A10377" w:rsidP="00A10377">
            <w:pPr>
              <w:spacing w:line="240" w:lineRule="auto"/>
              <w:jc w:val="center"/>
              <w:rPr>
                <w:color w:val="000000" w:themeColor="text1"/>
              </w:rPr>
            </w:pPr>
            <w:r w:rsidRPr="00606D67">
              <w:rPr>
                <w:color w:val="000000" w:themeColor="text1"/>
              </w:rPr>
              <w:t>1960 to May 2019</w:t>
            </w:r>
          </w:p>
        </w:tc>
        <w:tc>
          <w:tcPr>
            <w:tcW w:w="2313" w:type="dxa"/>
            <w:noWrap/>
            <w:vAlign w:val="center"/>
            <w:hideMark/>
          </w:tcPr>
          <w:p w14:paraId="1B7EE252" w14:textId="77777777" w:rsidR="00A10377" w:rsidRPr="00606D67" w:rsidRDefault="00A10377" w:rsidP="00A10377">
            <w:pPr>
              <w:spacing w:line="240" w:lineRule="auto"/>
              <w:jc w:val="center"/>
              <w:rPr>
                <w:color w:val="000000" w:themeColor="text1"/>
              </w:rPr>
            </w:pPr>
            <w:r w:rsidRPr="00606D67">
              <w:rPr>
                <w:color w:val="000000" w:themeColor="text1"/>
              </w:rPr>
              <w:t>all except books and conference communications and studies without an available summary</w:t>
            </w:r>
          </w:p>
        </w:tc>
        <w:tc>
          <w:tcPr>
            <w:tcW w:w="2122" w:type="dxa"/>
            <w:noWrap/>
            <w:vAlign w:val="center"/>
            <w:hideMark/>
          </w:tcPr>
          <w:p w14:paraId="6DBD1EC1" w14:textId="77777777" w:rsidR="00A10377" w:rsidRPr="00606D67" w:rsidRDefault="00A10377" w:rsidP="00A10377">
            <w:pPr>
              <w:spacing w:line="240" w:lineRule="auto"/>
              <w:jc w:val="center"/>
              <w:rPr>
                <w:color w:val="000000" w:themeColor="text1"/>
              </w:rPr>
            </w:pPr>
            <w:r w:rsidRPr="00606D67">
              <w:rPr>
                <w:color w:val="000000" w:themeColor="text1"/>
              </w:rPr>
              <w:t>Human/general population</w:t>
            </w:r>
          </w:p>
        </w:tc>
        <w:tc>
          <w:tcPr>
            <w:tcW w:w="3548" w:type="dxa"/>
            <w:noWrap/>
            <w:vAlign w:val="center"/>
            <w:hideMark/>
          </w:tcPr>
          <w:p w14:paraId="0B51D072" w14:textId="77777777" w:rsidR="00A10377" w:rsidRPr="00606D67" w:rsidRDefault="00A10377" w:rsidP="00A10377">
            <w:pPr>
              <w:spacing w:line="240" w:lineRule="auto"/>
              <w:jc w:val="center"/>
              <w:rPr>
                <w:color w:val="000000" w:themeColor="text1"/>
              </w:rPr>
            </w:pPr>
            <w:r w:rsidRPr="00606D67">
              <w:rPr>
                <w:color w:val="000000" w:themeColor="text1"/>
              </w:rPr>
              <w:t>Inconclusive, but potentially communal living arrangements characterised as cohousing</w:t>
            </w:r>
          </w:p>
        </w:tc>
        <w:tc>
          <w:tcPr>
            <w:tcW w:w="1892" w:type="dxa"/>
            <w:noWrap/>
            <w:vAlign w:val="center"/>
            <w:hideMark/>
          </w:tcPr>
          <w:p w14:paraId="5CB6627B" w14:textId="77777777" w:rsidR="00A10377" w:rsidRPr="00606D67" w:rsidRDefault="00A10377" w:rsidP="00A10377">
            <w:pPr>
              <w:spacing w:line="240" w:lineRule="auto"/>
              <w:jc w:val="center"/>
              <w:rPr>
                <w:color w:val="000000" w:themeColor="text1"/>
              </w:rPr>
            </w:pPr>
            <w:r w:rsidRPr="00606D67">
              <w:rPr>
                <w:color w:val="000000" w:themeColor="text1"/>
              </w:rPr>
              <w:t>Self-perceived mental health, quality of live, and wellbeing</w:t>
            </w:r>
          </w:p>
        </w:tc>
        <w:tc>
          <w:tcPr>
            <w:tcW w:w="1283" w:type="dxa"/>
            <w:noWrap/>
            <w:vAlign w:val="center"/>
            <w:hideMark/>
          </w:tcPr>
          <w:p w14:paraId="5BECE3F2" w14:textId="77777777" w:rsidR="00A10377" w:rsidRPr="00606D67" w:rsidRDefault="00A10377" w:rsidP="00A10377">
            <w:pPr>
              <w:spacing w:line="240" w:lineRule="auto"/>
              <w:jc w:val="center"/>
              <w:rPr>
                <w:color w:val="000000" w:themeColor="text1"/>
              </w:rPr>
            </w:pPr>
            <w:r w:rsidRPr="00606D67">
              <w:rPr>
                <w:color w:val="000000" w:themeColor="text1"/>
              </w:rPr>
              <w:t>Medium</w:t>
            </w:r>
          </w:p>
        </w:tc>
      </w:tr>
      <w:tr w:rsidR="00606D67" w:rsidRPr="00606D67" w14:paraId="641C5BE0" w14:textId="77777777" w:rsidTr="00AE0D1B">
        <w:trPr>
          <w:trHeight w:val="1134"/>
        </w:trPr>
        <w:tc>
          <w:tcPr>
            <w:tcW w:w="1271" w:type="dxa"/>
            <w:noWrap/>
            <w:vAlign w:val="center"/>
            <w:hideMark/>
          </w:tcPr>
          <w:p w14:paraId="35433202" w14:textId="77777777" w:rsidR="00A10377" w:rsidRPr="00606D67" w:rsidRDefault="00A10377" w:rsidP="00A10377">
            <w:pPr>
              <w:spacing w:line="240" w:lineRule="auto"/>
              <w:jc w:val="center"/>
              <w:rPr>
                <w:color w:val="000000" w:themeColor="text1"/>
              </w:rPr>
            </w:pPr>
            <w:r w:rsidRPr="00606D67">
              <w:rPr>
                <w:color w:val="000000" w:themeColor="text1"/>
              </w:rPr>
              <w:t>Chekole and Abate (2021)</w:t>
            </w:r>
          </w:p>
        </w:tc>
        <w:tc>
          <w:tcPr>
            <w:tcW w:w="1519" w:type="dxa"/>
            <w:noWrap/>
            <w:vAlign w:val="center"/>
            <w:hideMark/>
          </w:tcPr>
          <w:p w14:paraId="6DE24C11" w14:textId="77777777" w:rsidR="00A10377" w:rsidRPr="00606D67" w:rsidRDefault="00A10377" w:rsidP="00A10377">
            <w:pPr>
              <w:spacing w:line="240" w:lineRule="auto"/>
              <w:jc w:val="center"/>
              <w:rPr>
                <w:color w:val="000000" w:themeColor="text1"/>
              </w:rPr>
            </w:pPr>
            <w:r w:rsidRPr="00606D67">
              <w:rPr>
                <w:color w:val="000000" w:themeColor="text1"/>
              </w:rPr>
              <w:t>Dec 2019 to April 2020</w:t>
            </w:r>
          </w:p>
        </w:tc>
        <w:tc>
          <w:tcPr>
            <w:tcW w:w="2313" w:type="dxa"/>
            <w:noWrap/>
            <w:vAlign w:val="center"/>
            <w:hideMark/>
          </w:tcPr>
          <w:p w14:paraId="1D8D241C" w14:textId="77777777" w:rsidR="00A10377" w:rsidRPr="00606D67" w:rsidRDefault="00A10377" w:rsidP="00A10377">
            <w:pPr>
              <w:spacing w:line="240" w:lineRule="auto"/>
              <w:jc w:val="center"/>
              <w:rPr>
                <w:color w:val="000000" w:themeColor="text1"/>
              </w:rPr>
            </w:pPr>
            <w:r w:rsidRPr="00606D67">
              <w:rPr>
                <w:color w:val="000000" w:themeColor="text1"/>
              </w:rPr>
              <w:t>cross-sectional</w:t>
            </w:r>
          </w:p>
        </w:tc>
        <w:tc>
          <w:tcPr>
            <w:tcW w:w="2122" w:type="dxa"/>
            <w:noWrap/>
            <w:vAlign w:val="center"/>
            <w:hideMark/>
          </w:tcPr>
          <w:p w14:paraId="4AAF0A6E" w14:textId="77777777" w:rsidR="00A10377" w:rsidRPr="00606D67" w:rsidRDefault="00A10377" w:rsidP="00A10377">
            <w:pPr>
              <w:spacing w:line="240" w:lineRule="auto"/>
              <w:jc w:val="center"/>
              <w:rPr>
                <w:color w:val="000000" w:themeColor="text1"/>
              </w:rPr>
            </w:pPr>
            <w:r w:rsidRPr="00606D67">
              <w:rPr>
                <w:color w:val="000000" w:themeColor="text1"/>
              </w:rPr>
              <w:t>Human/general population</w:t>
            </w:r>
          </w:p>
        </w:tc>
        <w:tc>
          <w:tcPr>
            <w:tcW w:w="3548" w:type="dxa"/>
            <w:noWrap/>
            <w:vAlign w:val="center"/>
            <w:hideMark/>
          </w:tcPr>
          <w:p w14:paraId="38300A02" w14:textId="77777777" w:rsidR="00A10377" w:rsidRPr="00606D67" w:rsidRDefault="00A10377" w:rsidP="00A10377">
            <w:pPr>
              <w:spacing w:line="240" w:lineRule="auto"/>
              <w:jc w:val="center"/>
              <w:rPr>
                <w:color w:val="000000" w:themeColor="text1"/>
              </w:rPr>
            </w:pPr>
            <w:r w:rsidRPr="00606D67">
              <w:rPr>
                <w:color w:val="000000" w:themeColor="text1"/>
              </w:rPr>
              <w:t>During the COVID-19 pandemic: Female gender, health care workers, married marital status, and higher educational level</w:t>
            </w:r>
          </w:p>
        </w:tc>
        <w:tc>
          <w:tcPr>
            <w:tcW w:w="1892" w:type="dxa"/>
            <w:noWrap/>
            <w:vAlign w:val="center"/>
            <w:hideMark/>
          </w:tcPr>
          <w:p w14:paraId="25FCC5B8" w14:textId="77777777" w:rsidR="00A10377" w:rsidRPr="00606D67" w:rsidRDefault="00A10377" w:rsidP="00A10377">
            <w:pPr>
              <w:spacing w:line="240" w:lineRule="auto"/>
              <w:jc w:val="center"/>
              <w:rPr>
                <w:color w:val="000000" w:themeColor="text1"/>
              </w:rPr>
            </w:pPr>
            <w:r w:rsidRPr="00606D67">
              <w:rPr>
                <w:color w:val="000000" w:themeColor="text1"/>
              </w:rPr>
              <w:t>Anxiety and depression</w:t>
            </w:r>
          </w:p>
        </w:tc>
        <w:tc>
          <w:tcPr>
            <w:tcW w:w="1283" w:type="dxa"/>
            <w:noWrap/>
            <w:vAlign w:val="center"/>
            <w:hideMark/>
          </w:tcPr>
          <w:p w14:paraId="6D39F942" w14:textId="77777777" w:rsidR="00A10377" w:rsidRPr="00606D67" w:rsidRDefault="00A10377" w:rsidP="00A10377">
            <w:pPr>
              <w:spacing w:line="240" w:lineRule="auto"/>
              <w:jc w:val="center"/>
              <w:rPr>
                <w:color w:val="000000" w:themeColor="text1"/>
              </w:rPr>
            </w:pPr>
            <w:r w:rsidRPr="00606D67">
              <w:rPr>
                <w:color w:val="000000" w:themeColor="text1"/>
              </w:rPr>
              <w:t>High</w:t>
            </w:r>
          </w:p>
        </w:tc>
      </w:tr>
      <w:tr w:rsidR="00606D67" w:rsidRPr="00606D67" w14:paraId="1A3BA800" w14:textId="77777777" w:rsidTr="00AE0D1B">
        <w:trPr>
          <w:trHeight w:val="1134"/>
        </w:trPr>
        <w:tc>
          <w:tcPr>
            <w:tcW w:w="1271" w:type="dxa"/>
            <w:noWrap/>
            <w:vAlign w:val="center"/>
            <w:hideMark/>
          </w:tcPr>
          <w:p w14:paraId="2EFD86CE" w14:textId="77777777" w:rsidR="00A10377" w:rsidRPr="00606D67" w:rsidRDefault="00A10377" w:rsidP="00A10377">
            <w:pPr>
              <w:spacing w:line="240" w:lineRule="auto"/>
              <w:jc w:val="center"/>
              <w:rPr>
                <w:color w:val="000000" w:themeColor="text1"/>
              </w:rPr>
            </w:pPr>
            <w:r w:rsidRPr="00606D67">
              <w:rPr>
                <w:color w:val="000000" w:themeColor="text1"/>
              </w:rPr>
              <w:t>Fan and Koski (2022)</w:t>
            </w:r>
          </w:p>
        </w:tc>
        <w:tc>
          <w:tcPr>
            <w:tcW w:w="1519" w:type="dxa"/>
            <w:noWrap/>
            <w:vAlign w:val="center"/>
            <w:hideMark/>
          </w:tcPr>
          <w:p w14:paraId="4F294BED" w14:textId="77777777" w:rsidR="00A10377" w:rsidRPr="00606D67" w:rsidRDefault="00A10377" w:rsidP="00A10377">
            <w:pPr>
              <w:spacing w:line="240" w:lineRule="auto"/>
              <w:jc w:val="center"/>
              <w:rPr>
                <w:color w:val="000000" w:themeColor="text1"/>
              </w:rPr>
            </w:pPr>
            <w:r w:rsidRPr="00606D67">
              <w:rPr>
                <w:color w:val="000000" w:themeColor="text1"/>
              </w:rPr>
              <w:t>up to May 2020</w:t>
            </w:r>
          </w:p>
        </w:tc>
        <w:tc>
          <w:tcPr>
            <w:tcW w:w="2313" w:type="dxa"/>
            <w:noWrap/>
            <w:vAlign w:val="center"/>
            <w:hideMark/>
          </w:tcPr>
          <w:p w14:paraId="7E529AAF" w14:textId="77777777" w:rsidR="00A10377" w:rsidRPr="00606D67" w:rsidRDefault="00A10377" w:rsidP="00A10377">
            <w:pPr>
              <w:spacing w:line="240" w:lineRule="auto"/>
              <w:jc w:val="center"/>
              <w:rPr>
                <w:color w:val="000000" w:themeColor="text1"/>
              </w:rPr>
            </w:pPr>
            <w:r w:rsidRPr="00606D67">
              <w:rPr>
                <w:color w:val="000000" w:themeColor="text1"/>
              </w:rPr>
              <w:t>all except studies that used only qualitative methods, or studies that exclusively relied on hypothesis testing to indicate differences between groups</w:t>
            </w:r>
          </w:p>
        </w:tc>
        <w:tc>
          <w:tcPr>
            <w:tcW w:w="2122" w:type="dxa"/>
            <w:noWrap/>
            <w:vAlign w:val="center"/>
            <w:hideMark/>
          </w:tcPr>
          <w:p w14:paraId="420538BD" w14:textId="77777777" w:rsidR="00A10377" w:rsidRPr="00606D67" w:rsidRDefault="00A10377" w:rsidP="00A10377">
            <w:pPr>
              <w:spacing w:line="240" w:lineRule="auto"/>
              <w:jc w:val="center"/>
              <w:rPr>
                <w:color w:val="000000" w:themeColor="text1"/>
              </w:rPr>
            </w:pPr>
            <w:r w:rsidRPr="00606D67">
              <w:rPr>
                <w:color w:val="000000" w:themeColor="text1"/>
              </w:rPr>
              <w:t xml:space="preserve">Ghana, Iran, Ethiopia, </w:t>
            </w:r>
            <w:proofErr w:type="gramStart"/>
            <w:r w:rsidRPr="00606D67">
              <w:rPr>
                <w:color w:val="000000" w:themeColor="text1"/>
              </w:rPr>
              <w:t>Niger</w:t>
            </w:r>
            <w:proofErr w:type="gramEnd"/>
            <w:r w:rsidRPr="00606D67">
              <w:rPr>
                <w:color w:val="000000" w:themeColor="text1"/>
              </w:rPr>
              <w:t xml:space="preserve"> and the United States</w:t>
            </w:r>
          </w:p>
        </w:tc>
        <w:tc>
          <w:tcPr>
            <w:tcW w:w="3548" w:type="dxa"/>
            <w:noWrap/>
            <w:vAlign w:val="center"/>
            <w:hideMark/>
          </w:tcPr>
          <w:p w14:paraId="5D5E8C97" w14:textId="77777777" w:rsidR="00A10377" w:rsidRPr="00606D67" w:rsidRDefault="00A10377" w:rsidP="00A10377">
            <w:pPr>
              <w:spacing w:line="240" w:lineRule="auto"/>
              <w:jc w:val="center"/>
              <w:rPr>
                <w:color w:val="000000" w:themeColor="text1"/>
              </w:rPr>
            </w:pPr>
            <w:r w:rsidRPr="00606D67">
              <w:rPr>
                <w:color w:val="000000" w:themeColor="text1"/>
              </w:rPr>
              <w:t>Child marriage</w:t>
            </w:r>
          </w:p>
        </w:tc>
        <w:tc>
          <w:tcPr>
            <w:tcW w:w="1892" w:type="dxa"/>
            <w:noWrap/>
            <w:vAlign w:val="center"/>
            <w:hideMark/>
          </w:tcPr>
          <w:p w14:paraId="0F446635" w14:textId="77777777" w:rsidR="00A10377" w:rsidRPr="00606D67" w:rsidRDefault="00A10377" w:rsidP="00A10377">
            <w:pPr>
              <w:spacing w:line="240" w:lineRule="auto"/>
              <w:jc w:val="center"/>
              <w:rPr>
                <w:color w:val="000000" w:themeColor="text1"/>
              </w:rPr>
            </w:pPr>
            <w:r w:rsidRPr="00606D67">
              <w:rPr>
                <w:color w:val="000000" w:themeColor="text1"/>
              </w:rPr>
              <w:t>Mental health</w:t>
            </w:r>
          </w:p>
        </w:tc>
        <w:tc>
          <w:tcPr>
            <w:tcW w:w="1283" w:type="dxa"/>
            <w:noWrap/>
            <w:vAlign w:val="center"/>
            <w:hideMark/>
          </w:tcPr>
          <w:p w14:paraId="4E11C191" w14:textId="77777777" w:rsidR="00A10377" w:rsidRPr="00606D67" w:rsidRDefault="00A10377" w:rsidP="00A10377">
            <w:pPr>
              <w:spacing w:line="240" w:lineRule="auto"/>
              <w:jc w:val="center"/>
              <w:rPr>
                <w:color w:val="000000" w:themeColor="text1"/>
              </w:rPr>
            </w:pPr>
            <w:r w:rsidRPr="00606D67">
              <w:rPr>
                <w:color w:val="000000" w:themeColor="text1"/>
              </w:rPr>
              <w:t>Medium</w:t>
            </w:r>
          </w:p>
        </w:tc>
      </w:tr>
      <w:tr w:rsidR="00606D67" w:rsidRPr="00606D67" w14:paraId="78F74DED" w14:textId="77777777" w:rsidTr="00AE0D1B">
        <w:trPr>
          <w:trHeight w:val="1134"/>
        </w:trPr>
        <w:tc>
          <w:tcPr>
            <w:tcW w:w="1271" w:type="dxa"/>
            <w:noWrap/>
            <w:vAlign w:val="center"/>
          </w:tcPr>
          <w:p w14:paraId="7DA8D70C" w14:textId="77777777" w:rsidR="00A10377" w:rsidRPr="00606D67" w:rsidRDefault="00A10377" w:rsidP="00A10377">
            <w:pPr>
              <w:spacing w:line="240" w:lineRule="auto"/>
              <w:jc w:val="center"/>
              <w:rPr>
                <w:color w:val="000000" w:themeColor="text1"/>
              </w:rPr>
            </w:pPr>
            <w:r w:rsidRPr="00606D67">
              <w:rPr>
                <w:color w:val="000000" w:themeColor="text1"/>
              </w:rPr>
              <w:t xml:space="preserve">Fryers and </w:t>
            </w:r>
            <w:proofErr w:type="spellStart"/>
            <w:r w:rsidRPr="00606D67">
              <w:rPr>
                <w:color w:val="000000" w:themeColor="text1"/>
              </w:rPr>
              <w:t>Brugha</w:t>
            </w:r>
            <w:proofErr w:type="spellEnd"/>
            <w:r w:rsidRPr="00606D67">
              <w:rPr>
                <w:color w:val="000000" w:themeColor="text1"/>
              </w:rPr>
              <w:t xml:space="preserve"> (2013)</w:t>
            </w:r>
          </w:p>
        </w:tc>
        <w:tc>
          <w:tcPr>
            <w:tcW w:w="1519" w:type="dxa"/>
            <w:noWrap/>
            <w:vAlign w:val="center"/>
          </w:tcPr>
          <w:p w14:paraId="514ED966" w14:textId="77777777" w:rsidR="00A10377" w:rsidRPr="00606D67" w:rsidRDefault="00A10377" w:rsidP="00A10377">
            <w:pPr>
              <w:spacing w:line="240" w:lineRule="auto"/>
              <w:jc w:val="center"/>
              <w:rPr>
                <w:color w:val="000000" w:themeColor="text1"/>
              </w:rPr>
            </w:pPr>
            <w:r w:rsidRPr="00606D67">
              <w:rPr>
                <w:color w:val="000000" w:themeColor="text1"/>
              </w:rPr>
              <w:t>up to May 2011</w:t>
            </w:r>
          </w:p>
        </w:tc>
        <w:tc>
          <w:tcPr>
            <w:tcW w:w="2313" w:type="dxa"/>
            <w:noWrap/>
            <w:vAlign w:val="center"/>
          </w:tcPr>
          <w:p w14:paraId="58F70993" w14:textId="77777777" w:rsidR="00A10377" w:rsidRPr="00606D67" w:rsidRDefault="00A10377" w:rsidP="00A10377">
            <w:pPr>
              <w:spacing w:line="240" w:lineRule="auto"/>
              <w:jc w:val="center"/>
              <w:rPr>
                <w:color w:val="000000" w:themeColor="text1"/>
              </w:rPr>
            </w:pPr>
            <w:r w:rsidRPr="00606D67">
              <w:rPr>
                <w:color w:val="000000" w:themeColor="text1"/>
              </w:rPr>
              <w:t>longitudinal and retrospective studies</w:t>
            </w:r>
          </w:p>
        </w:tc>
        <w:tc>
          <w:tcPr>
            <w:tcW w:w="2122" w:type="dxa"/>
            <w:noWrap/>
            <w:vAlign w:val="center"/>
          </w:tcPr>
          <w:p w14:paraId="18373F58" w14:textId="77777777" w:rsidR="00A10377" w:rsidRPr="00606D67" w:rsidRDefault="00A10377" w:rsidP="00A10377">
            <w:pPr>
              <w:spacing w:line="240" w:lineRule="auto"/>
              <w:jc w:val="center"/>
              <w:rPr>
                <w:color w:val="000000" w:themeColor="text1"/>
              </w:rPr>
            </w:pPr>
            <w:r w:rsidRPr="00606D67">
              <w:rPr>
                <w:color w:val="000000" w:themeColor="text1"/>
              </w:rPr>
              <w:t>Human/general population</w:t>
            </w:r>
          </w:p>
        </w:tc>
        <w:tc>
          <w:tcPr>
            <w:tcW w:w="3548" w:type="dxa"/>
            <w:noWrap/>
            <w:vAlign w:val="center"/>
          </w:tcPr>
          <w:p w14:paraId="1A85DEE0" w14:textId="77777777" w:rsidR="00A10377" w:rsidRPr="00606D67" w:rsidRDefault="00A10377" w:rsidP="00A10377">
            <w:pPr>
              <w:spacing w:line="240" w:lineRule="auto"/>
              <w:jc w:val="center"/>
              <w:rPr>
                <w:color w:val="000000" w:themeColor="text1"/>
              </w:rPr>
            </w:pPr>
            <w:r w:rsidRPr="00606D67">
              <w:rPr>
                <w:color w:val="000000" w:themeColor="text1"/>
              </w:rPr>
              <w:t xml:space="preserve">Childhood and adolescence factors </w:t>
            </w:r>
          </w:p>
        </w:tc>
        <w:tc>
          <w:tcPr>
            <w:tcW w:w="1892" w:type="dxa"/>
            <w:noWrap/>
            <w:vAlign w:val="center"/>
          </w:tcPr>
          <w:p w14:paraId="1CC3EAEE" w14:textId="77777777" w:rsidR="00A10377" w:rsidRPr="00606D67" w:rsidRDefault="00A10377" w:rsidP="00A10377">
            <w:pPr>
              <w:spacing w:line="240" w:lineRule="auto"/>
              <w:jc w:val="center"/>
              <w:rPr>
                <w:color w:val="000000" w:themeColor="text1"/>
              </w:rPr>
            </w:pPr>
            <w:r w:rsidRPr="00606D67">
              <w:rPr>
                <w:color w:val="000000" w:themeColor="text1"/>
              </w:rPr>
              <w:t>Mental disorder</w:t>
            </w:r>
          </w:p>
        </w:tc>
        <w:tc>
          <w:tcPr>
            <w:tcW w:w="1283" w:type="dxa"/>
            <w:noWrap/>
            <w:vAlign w:val="center"/>
          </w:tcPr>
          <w:p w14:paraId="23185EBD" w14:textId="77777777" w:rsidR="00A10377" w:rsidRPr="00606D67" w:rsidRDefault="00A10377" w:rsidP="00A10377">
            <w:pPr>
              <w:spacing w:line="240" w:lineRule="auto"/>
              <w:jc w:val="center"/>
              <w:rPr>
                <w:color w:val="000000" w:themeColor="text1"/>
              </w:rPr>
            </w:pPr>
            <w:r w:rsidRPr="00606D67">
              <w:rPr>
                <w:color w:val="000000" w:themeColor="text1"/>
              </w:rPr>
              <w:t>Low</w:t>
            </w:r>
          </w:p>
        </w:tc>
      </w:tr>
      <w:tr w:rsidR="00606D67" w:rsidRPr="00606D67" w14:paraId="0AA3A56A" w14:textId="77777777" w:rsidTr="00AE0D1B">
        <w:trPr>
          <w:trHeight w:val="1134"/>
        </w:trPr>
        <w:tc>
          <w:tcPr>
            <w:tcW w:w="1271" w:type="dxa"/>
            <w:noWrap/>
            <w:vAlign w:val="center"/>
            <w:hideMark/>
          </w:tcPr>
          <w:p w14:paraId="42757210" w14:textId="77777777" w:rsidR="00A10377" w:rsidRPr="00606D67" w:rsidRDefault="00A10377" w:rsidP="00A10377">
            <w:pPr>
              <w:spacing w:line="240" w:lineRule="auto"/>
              <w:jc w:val="center"/>
              <w:rPr>
                <w:color w:val="000000" w:themeColor="text1"/>
              </w:rPr>
            </w:pPr>
            <w:proofErr w:type="spellStart"/>
            <w:r w:rsidRPr="00606D67">
              <w:rPr>
                <w:color w:val="000000" w:themeColor="text1"/>
              </w:rPr>
              <w:lastRenderedPageBreak/>
              <w:t>Hennsler</w:t>
            </w:r>
            <w:proofErr w:type="spellEnd"/>
            <w:r w:rsidRPr="00606D67">
              <w:rPr>
                <w:color w:val="000000" w:themeColor="text1"/>
              </w:rPr>
              <w:t xml:space="preserve"> et al. (2021)</w:t>
            </w:r>
          </w:p>
        </w:tc>
        <w:tc>
          <w:tcPr>
            <w:tcW w:w="1519" w:type="dxa"/>
            <w:noWrap/>
            <w:vAlign w:val="center"/>
            <w:hideMark/>
          </w:tcPr>
          <w:p w14:paraId="2EA5981F" w14:textId="77777777" w:rsidR="00A10377" w:rsidRPr="00606D67" w:rsidRDefault="00A10377" w:rsidP="00A10377">
            <w:pPr>
              <w:spacing w:line="240" w:lineRule="auto"/>
              <w:jc w:val="center"/>
              <w:rPr>
                <w:color w:val="000000" w:themeColor="text1"/>
              </w:rPr>
            </w:pPr>
            <w:r w:rsidRPr="00606D67">
              <w:rPr>
                <w:color w:val="000000" w:themeColor="text1"/>
              </w:rPr>
              <w:t>up to April 2020</w:t>
            </w:r>
          </w:p>
        </w:tc>
        <w:tc>
          <w:tcPr>
            <w:tcW w:w="2313" w:type="dxa"/>
            <w:noWrap/>
            <w:vAlign w:val="center"/>
            <w:hideMark/>
          </w:tcPr>
          <w:p w14:paraId="21C99B9B" w14:textId="77777777" w:rsidR="00A10377" w:rsidRPr="00606D67" w:rsidRDefault="00A10377" w:rsidP="00A10377">
            <w:pPr>
              <w:spacing w:line="240" w:lineRule="auto"/>
              <w:jc w:val="center"/>
              <w:rPr>
                <w:color w:val="000000" w:themeColor="text1"/>
              </w:rPr>
            </w:pPr>
            <w:r w:rsidRPr="00606D67">
              <w:rPr>
                <w:color w:val="000000" w:themeColor="text1"/>
              </w:rPr>
              <w:t>quantitative</w:t>
            </w:r>
          </w:p>
        </w:tc>
        <w:tc>
          <w:tcPr>
            <w:tcW w:w="2122" w:type="dxa"/>
            <w:noWrap/>
            <w:vAlign w:val="center"/>
            <w:hideMark/>
          </w:tcPr>
          <w:p w14:paraId="4E634194" w14:textId="77777777" w:rsidR="00A10377" w:rsidRPr="00606D67" w:rsidRDefault="00A10377" w:rsidP="00A10377">
            <w:pPr>
              <w:spacing w:line="240" w:lineRule="auto"/>
              <w:jc w:val="center"/>
              <w:rPr>
                <w:color w:val="000000" w:themeColor="text1"/>
              </w:rPr>
            </w:pPr>
            <w:r w:rsidRPr="00606D67">
              <w:rPr>
                <w:color w:val="000000" w:themeColor="text1"/>
              </w:rPr>
              <w:t>General population, specific populations were included</w:t>
            </w:r>
          </w:p>
        </w:tc>
        <w:tc>
          <w:tcPr>
            <w:tcW w:w="3548" w:type="dxa"/>
            <w:noWrap/>
            <w:vAlign w:val="center"/>
            <w:hideMark/>
          </w:tcPr>
          <w:p w14:paraId="50D7B46A" w14:textId="77777777" w:rsidR="00A10377" w:rsidRPr="00606D67" w:rsidRDefault="00A10377" w:rsidP="00A10377">
            <w:pPr>
              <w:spacing w:line="240" w:lineRule="auto"/>
              <w:jc w:val="center"/>
              <w:rPr>
                <w:color w:val="000000" w:themeColor="text1"/>
              </w:rPr>
            </w:pPr>
            <w:r w:rsidRPr="00606D67">
              <w:rPr>
                <w:color w:val="000000" w:themeColor="text1"/>
              </w:rPr>
              <w:t>Isolation or quarantine. Determinants of psychological effects for people that experienced isolation or quarantine include age, gender, education level, income level, social networks, history of mental illness, physical health status, exposure to infection, satisfaction of patients and health care workers, and duration of quarantine/isolation.</w:t>
            </w:r>
          </w:p>
        </w:tc>
        <w:tc>
          <w:tcPr>
            <w:tcW w:w="1892" w:type="dxa"/>
            <w:noWrap/>
            <w:vAlign w:val="center"/>
            <w:hideMark/>
          </w:tcPr>
          <w:p w14:paraId="7E3124B0" w14:textId="77777777" w:rsidR="00A10377" w:rsidRPr="00606D67" w:rsidRDefault="00A10377" w:rsidP="00A10377">
            <w:pPr>
              <w:spacing w:line="240" w:lineRule="auto"/>
              <w:jc w:val="center"/>
              <w:rPr>
                <w:color w:val="000000" w:themeColor="text1"/>
              </w:rPr>
            </w:pPr>
            <w:r w:rsidRPr="00606D67">
              <w:rPr>
                <w:color w:val="000000" w:themeColor="text1"/>
              </w:rPr>
              <w:t>Depression, anxiety, stress-related disorders, and others</w:t>
            </w:r>
          </w:p>
        </w:tc>
        <w:tc>
          <w:tcPr>
            <w:tcW w:w="1283" w:type="dxa"/>
            <w:noWrap/>
            <w:vAlign w:val="center"/>
            <w:hideMark/>
          </w:tcPr>
          <w:p w14:paraId="3E598081" w14:textId="77777777" w:rsidR="00A10377" w:rsidRPr="00606D67" w:rsidRDefault="00A10377" w:rsidP="00A10377">
            <w:pPr>
              <w:spacing w:line="240" w:lineRule="auto"/>
              <w:jc w:val="center"/>
              <w:rPr>
                <w:color w:val="000000" w:themeColor="text1"/>
              </w:rPr>
            </w:pPr>
            <w:r w:rsidRPr="00606D67">
              <w:rPr>
                <w:color w:val="000000" w:themeColor="text1"/>
              </w:rPr>
              <w:t>High</w:t>
            </w:r>
          </w:p>
        </w:tc>
      </w:tr>
      <w:tr w:rsidR="00606D67" w:rsidRPr="00606D67" w14:paraId="75F834B2" w14:textId="77777777" w:rsidTr="00AE0D1B">
        <w:trPr>
          <w:trHeight w:val="1134"/>
        </w:trPr>
        <w:tc>
          <w:tcPr>
            <w:tcW w:w="1271" w:type="dxa"/>
            <w:noWrap/>
            <w:vAlign w:val="center"/>
            <w:hideMark/>
          </w:tcPr>
          <w:p w14:paraId="430D9119" w14:textId="77777777" w:rsidR="00A10377" w:rsidRPr="00606D67" w:rsidRDefault="00A10377" w:rsidP="00A10377">
            <w:pPr>
              <w:spacing w:line="240" w:lineRule="auto"/>
              <w:jc w:val="center"/>
              <w:rPr>
                <w:color w:val="000000" w:themeColor="text1"/>
              </w:rPr>
            </w:pPr>
            <w:proofErr w:type="spellStart"/>
            <w:r w:rsidRPr="00606D67">
              <w:rPr>
                <w:color w:val="000000" w:themeColor="text1"/>
              </w:rPr>
              <w:t>Kairuz</w:t>
            </w:r>
            <w:proofErr w:type="spellEnd"/>
            <w:r w:rsidRPr="00606D67">
              <w:rPr>
                <w:color w:val="000000" w:themeColor="text1"/>
              </w:rPr>
              <w:t xml:space="preserve"> et al. (2021)</w:t>
            </w:r>
          </w:p>
        </w:tc>
        <w:tc>
          <w:tcPr>
            <w:tcW w:w="1519" w:type="dxa"/>
            <w:noWrap/>
            <w:vAlign w:val="center"/>
            <w:hideMark/>
          </w:tcPr>
          <w:p w14:paraId="7A8451C2" w14:textId="77777777" w:rsidR="00A10377" w:rsidRPr="00606D67" w:rsidRDefault="00A10377" w:rsidP="00A10377">
            <w:pPr>
              <w:spacing w:line="240" w:lineRule="auto"/>
              <w:jc w:val="center"/>
              <w:rPr>
                <w:color w:val="000000" w:themeColor="text1"/>
              </w:rPr>
            </w:pPr>
            <w:r w:rsidRPr="00606D67">
              <w:rPr>
                <w:color w:val="000000" w:themeColor="text1"/>
              </w:rPr>
              <w:t>Jan 2000 to June 2020</w:t>
            </w:r>
          </w:p>
        </w:tc>
        <w:tc>
          <w:tcPr>
            <w:tcW w:w="2313" w:type="dxa"/>
            <w:noWrap/>
            <w:vAlign w:val="center"/>
            <w:hideMark/>
          </w:tcPr>
          <w:p w14:paraId="41416BF9" w14:textId="77777777" w:rsidR="00A10377" w:rsidRPr="00606D67" w:rsidRDefault="00A10377" w:rsidP="00A10377">
            <w:pPr>
              <w:spacing w:line="240" w:lineRule="auto"/>
              <w:jc w:val="center"/>
              <w:rPr>
                <w:color w:val="000000" w:themeColor="text1"/>
              </w:rPr>
            </w:pPr>
            <w:r w:rsidRPr="00606D67">
              <w:rPr>
                <w:color w:val="000000" w:themeColor="text1"/>
              </w:rPr>
              <w:t>quantitative</w:t>
            </w:r>
          </w:p>
        </w:tc>
        <w:tc>
          <w:tcPr>
            <w:tcW w:w="2122" w:type="dxa"/>
            <w:noWrap/>
            <w:vAlign w:val="center"/>
            <w:hideMark/>
          </w:tcPr>
          <w:p w14:paraId="05D809E6" w14:textId="77777777" w:rsidR="00A10377" w:rsidRPr="00606D67" w:rsidRDefault="00A10377" w:rsidP="00A10377">
            <w:pPr>
              <w:spacing w:line="240" w:lineRule="auto"/>
              <w:jc w:val="center"/>
              <w:rPr>
                <w:color w:val="000000" w:themeColor="text1"/>
              </w:rPr>
            </w:pPr>
            <w:r w:rsidRPr="00606D67">
              <w:rPr>
                <w:color w:val="000000" w:themeColor="text1"/>
              </w:rPr>
              <w:t>Aboriginal and Torres Strait islander peoples living in Australia</w:t>
            </w:r>
          </w:p>
        </w:tc>
        <w:tc>
          <w:tcPr>
            <w:tcW w:w="3548" w:type="dxa"/>
            <w:noWrap/>
            <w:vAlign w:val="center"/>
            <w:hideMark/>
          </w:tcPr>
          <w:p w14:paraId="4C00793F" w14:textId="77777777" w:rsidR="00A10377" w:rsidRPr="00606D67" w:rsidRDefault="00A10377" w:rsidP="00A10377">
            <w:pPr>
              <w:spacing w:line="240" w:lineRule="auto"/>
              <w:jc w:val="center"/>
              <w:rPr>
                <w:color w:val="000000" w:themeColor="text1"/>
              </w:rPr>
            </w:pPr>
            <w:r w:rsidRPr="00606D67">
              <w:rPr>
                <w:color w:val="000000" w:themeColor="text1"/>
              </w:rPr>
              <w:t>Racism</w:t>
            </w:r>
          </w:p>
        </w:tc>
        <w:tc>
          <w:tcPr>
            <w:tcW w:w="1892" w:type="dxa"/>
            <w:noWrap/>
            <w:vAlign w:val="center"/>
            <w:hideMark/>
          </w:tcPr>
          <w:p w14:paraId="493844AC" w14:textId="77777777" w:rsidR="00A10377" w:rsidRPr="00606D67" w:rsidRDefault="00A10377" w:rsidP="00A10377">
            <w:pPr>
              <w:spacing w:line="240" w:lineRule="auto"/>
              <w:jc w:val="center"/>
              <w:rPr>
                <w:color w:val="000000" w:themeColor="text1"/>
              </w:rPr>
            </w:pPr>
            <w:r w:rsidRPr="00606D67">
              <w:rPr>
                <w:color w:val="000000" w:themeColor="text1"/>
              </w:rPr>
              <w:t>Mental health</w:t>
            </w:r>
          </w:p>
        </w:tc>
        <w:tc>
          <w:tcPr>
            <w:tcW w:w="1283" w:type="dxa"/>
            <w:noWrap/>
            <w:vAlign w:val="center"/>
            <w:hideMark/>
          </w:tcPr>
          <w:p w14:paraId="0EAF4BB6" w14:textId="77777777" w:rsidR="00A10377" w:rsidRPr="00606D67" w:rsidRDefault="00A10377" w:rsidP="00A10377">
            <w:pPr>
              <w:spacing w:line="240" w:lineRule="auto"/>
              <w:jc w:val="center"/>
              <w:rPr>
                <w:color w:val="000000" w:themeColor="text1"/>
              </w:rPr>
            </w:pPr>
            <w:r w:rsidRPr="00606D67">
              <w:rPr>
                <w:color w:val="000000" w:themeColor="text1"/>
              </w:rPr>
              <w:t>Medium</w:t>
            </w:r>
          </w:p>
        </w:tc>
      </w:tr>
      <w:tr w:rsidR="00606D67" w:rsidRPr="00606D67" w14:paraId="09D40722" w14:textId="77777777" w:rsidTr="00AE0D1B">
        <w:trPr>
          <w:trHeight w:val="1134"/>
        </w:trPr>
        <w:tc>
          <w:tcPr>
            <w:tcW w:w="1271" w:type="dxa"/>
            <w:noWrap/>
            <w:vAlign w:val="center"/>
            <w:hideMark/>
          </w:tcPr>
          <w:p w14:paraId="4E0A779D" w14:textId="77777777" w:rsidR="00A10377" w:rsidRPr="00606D67" w:rsidRDefault="00A10377" w:rsidP="00A10377">
            <w:pPr>
              <w:spacing w:line="240" w:lineRule="auto"/>
              <w:jc w:val="center"/>
              <w:rPr>
                <w:color w:val="000000" w:themeColor="text1"/>
              </w:rPr>
            </w:pPr>
            <w:r w:rsidRPr="00606D67">
              <w:rPr>
                <w:color w:val="000000" w:themeColor="text1"/>
              </w:rPr>
              <w:t>Kim et al. (2012)</w:t>
            </w:r>
          </w:p>
        </w:tc>
        <w:tc>
          <w:tcPr>
            <w:tcW w:w="1519" w:type="dxa"/>
            <w:noWrap/>
            <w:vAlign w:val="center"/>
            <w:hideMark/>
          </w:tcPr>
          <w:p w14:paraId="029BB20F" w14:textId="77777777" w:rsidR="00A10377" w:rsidRPr="00606D67" w:rsidRDefault="00A10377" w:rsidP="00A10377">
            <w:pPr>
              <w:spacing w:line="240" w:lineRule="auto"/>
              <w:jc w:val="center"/>
              <w:rPr>
                <w:color w:val="000000" w:themeColor="text1"/>
              </w:rPr>
            </w:pPr>
            <w:r w:rsidRPr="00606D67">
              <w:rPr>
                <w:color w:val="000000" w:themeColor="text1"/>
              </w:rPr>
              <w:t>1988 to June 2010</w:t>
            </w:r>
          </w:p>
        </w:tc>
        <w:tc>
          <w:tcPr>
            <w:tcW w:w="2313" w:type="dxa"/>
            <w:noWrap/>
            <w:vAlign w:val="center"/>
            <w:hideMark/>
          </w:tcPr>
          <w:p w14:paraId="2A0A8BC5" w14:textId="77777777" w:rsidR="00A10377" w:rsidRPr="00606D67" w:rsidRDefault="00A10377" w:rsidP="00A10377">
            <w:pPr>
              <w:spacing w:line="240" w:lineRule="auto"/>
              <w:jc w:val="center"/>
              <w:rPr>
                <w:color w:val="000000" w:themeColor="text1"/>
              </w:rPr>
            </w:pPr>
            <w:r w:rsidRPr="00606D67">
              <w:rPr>
                <w:color w:val="000000" w:themeColor="text1"/>
              </w:rPr>
              <w:t>qualitative and quantitative</w:t>
            </w:r>
          </w:p>
        </w:tc>
        <w:tc>
          <w:tcPr>
            <w:tcW w:w="2122" w:type="dxa"/>
            <w:noWrap/>
            <w:vAlign w:val="center"/>
            <w:hideMark/>
          </w:tcPr>
          <w:p w14:paraId="71A0BF62" w14:textId="77777777" w:rsidR="00A10377" w:rsidRPr="00606D67" w:rsidRDefault="00A10377" w:rsidP="00A10377">
            <w:pPr>
              <w:spacing w:line="240" w:lineRule="auto"/>
              <w:jc w:val="center"/>
              <w:rPr>
                <w:color w:val="000000" w:themeColor="text1"/>
              </w:rPr>
            </w:pPr>
            <w:r w:rsidRPr="00606D67">
              <w:rPr>
                <w:color w:val="000000" w:themeColor="text1"/>
              </w:rPr>
              <w:t>Human/general population</w:t>
            </w:r>
          </w:p>
        </w:tc>
        <w:tc>
          <w:tcPr>
            <w:tcW w:w="3548" w:type="dxa"/>
            <w:noWrap/>
            <w:vAlign w:val="center"/>
            <w:hideMark/>
          </w:tcPr>
          <w:p w14:paraId="3EDB19FF" w14:textId="77777777" w:rsidR="00A10377" w:rsidRPr="00606D67" w:rsidRDefault="00A10377" w:rsidP="00A10377">
            <w:pPr>
              <w:spacing w:line="240" w:lineRule="auto"/>
              <w:jc w:val="center"/>
              <w:rPr>
                <w:color w:val="000000" w:themeColor="text1"/>
              </w:rPr>
            </w:pPr>
            <w:r w:rsidRPr="00606D67">
              <w:rPr>
                <w:color w:val="000000" w:themeColor="text1"/>
              </w:rPr>
              <w:t>Job insecurity, precarious employment</w:t>
            </w:r>
          </w:p>
        </w:tc>
        <w:tc>
          <w:tcPr>
            <w:tcW w:w="1892" w:type="dxa"/>
            <w:noWrap/>
            <w:vAlign w:val="center"/>
            <w:hideMark/>
          </w:tcPr>
          <w:p w14:paraId="76812E2A" w14:textId="77777777" w:rsidR="00A10377" w:rsidRPr="00606D67" w:rsidRDefault="00A10377" w:rsidP="00A10377">
            <w:pPr>
              <w:spacing w:line="240" w:lineRule="auto"/>
              <w:jc w:val="center"/>
              <w:rPr>
                <w:color w:val="000000" w:themeColor="text1"/>
              </w:rPr>
            </w:pPr>
            <w:r w:rsidRPr="00606D67">
              <w:rPr>
                <w:color w:val="000000" w:themeColor="text1"/>
              </w:rPr>
              <w:t>Mental health</w:t>
            </w:r>
          </w:p>
        </w:tc>
        <w:tc>
          <w:tcPr>
            <w:tcW w:w="1283" w:type="dxa"/>
            <w:noWrap/>
            <w:vAlign w:val="center"/>
            <w:hideMark/>
          </w:tcPr>
          <w:p w14:paraId="54D4FBFD" w14:textId="77777777" w:rsidR="00A10377" w:rsidRPr="00606D67" w:rsidRDefault="00A10377" w:rsidP="00A10377">
            <w:pPr>
              <w:spacing w:line="240" w:lineRule="auto"/>
              <w:jc w:val="center"/>
              <w:rPr>
                <w:color w:val="000000" w:themeColor="text1"/>
              </w:rPr>
            </w:pPr>
            <w:r w:rsidRPr="00606D67">
              <w:rPr>
                <w:color w:val="000000" w:themeColor="text1"/>
              </w:rPr>
              <w:t>Medium</w:t>
            </w:r>
          </w:p>
        </w:tc>
      </w:tr>
      <w:tr w:rsidR="00606D67" w:rsidRPr="00606D67" w14:paraId="789C982E" w14:textId="77777777" w:rsidTr="00AE0D1B">
        <w:trPr>
          <w:trHeight w:val="1134"/>
        </w:trPr>
        <w:tc>
          <w:tcPr>
            <w:tcW w:w="1271" w:type="dxa"/>
            <w:noWrap/>
            <w:vAlign w:val="center"/>
            <w:hideMark/>
          </w:tcPr>
          <w:p w14:paraId="26225E3F" w14:textId="77777777" w:rsidR="00A10377" w:rsidRPr="00606D67" w:rsidRDefault="00A10377" w:rsidP="00A10377">
            <w:pPr>
              <w:spacing w:line="240" w:lineRule="auto"/>
              <w:jc w:val="center"/>
              <w:rPr>
                <w:color w:val="000000" w:themeColor="text1"/>
              </w:rPr>
            </w:pPr>
            <w:r w:rsidRPr="00606D67">
              <w:rPr>
                <w:color w:val="000000" w:themeColor="text1"/>
              </w:rPr>
              <w:t>LaFave et al. (2022)</w:t>
            </w:r>
          </w:p>
        </w:tc>
        <w:tc>
          <w:tcPr>
            <w:tcW w:w="1519" w:type="dxa"/>
            <w:noWrap/>
            <w:vAlign w:val="center"/>
            <w:hideMark/>
          </w:tcPr>
          <w:p w14:paraId="0F8667E3" w14:textId="77777777" w:rsidR="00A10377" w:rsidRPr="00606D67" w:rsidRDefault="00A10377" w:rsidP="00A10377">
            <w:pPr>
              <w:spacing w:line="240" w:lineRule="auto"/>
              <w:jc w:val="center"/>
              <w:rPr>
                <w:color w:val="000000" w:themeColor="text1"/>
              </w:rPr>
            </w:pPr>
            <w:r w:rsidRPr="00606D67">
              <w:rPr>
                <w:color w:val="000000" w:themeColor="text1"/>
              </w:rPr>
              <w:t>2011 to Jan 2021</w:t>
            </w:r>
          </w:p>
        </w:tc>
        <w:tc>
          <w:tcPr>
            <w:tcW w:w="2313" w:type="dxa"/>
            <w:noWrap/>
            <w:vAlign w:val="center"/>
            <w:hideMark/>
          </w:tcPr>
          <w:p w14:paraId="324C3081" w14:textId="77777777" w:rsidR="00A10377" w:rsidRPr="00606D67" w:rsidRDefault="00A10377" w:rsidP="00A10377">
            <w:pPr>
              <w:spacing w:line="240" w:lineRule="auto"/>
              <w:jc w:val="center"/>
              <w:rPr>
                <w:color w:val="000000" w:themeColor="text1"/>
              </w:rPr>
            </w:pPr>
            <w:r w:rsidRPr="00606D67">
              <w:rPr>
                <w:color w:val="000000" w:themeColor="text1"/>
              </w:rPr>
              <w:t>quantitative</w:t>
            </w:r>
          </w:p>
        </w:tc>
        <w:tc>
          <w:tcPr>
            <w:tcW w:w="2122" w:type="dxa"/>
            <w:noWrap/>
            <w:vAlign w:val="center"/>
            <w:hideMark/>
          </w:tcPr>
          <w:p w14:paraId="2FED91D1" w14:textId="77777777" w:rsidR="00A10377" w:rsidRPr="00606D67" w:rsidRDefault="00A10377" w:rsidP="00A10377">
            <w:pPr>
              <w:spacing w:line="240" w:lineRule="auto"/>
              <w:jc w:val="center"/>
              <w:rPr>
                <w:color w:val="000000" w:themeColor="text1"/>
              </w:rPr>
            </w:pPr>
            <w:r w:rsidRPr="00606D67">
              <w:rPr>
                <w:color w:val="000000" w:themeColor="text1"/>
              </w:rPr>
              <w:t>Black American Adults over the age of 50</w:t>
            </w:r>
          </w:p>
        </w:tc>
        <w:tc>
          <w:tcPr>
            <w:tcW w:w="3548" w:type="dxa"/>
            <w:noWrap/>
            <w:vAlign w:val="center"/>
            <w:hideMark/>
          </w:tcPr>
          <w:p w14:paraId="47FFC74E" w14:textId="77777777" w:rsidR="00A10377" w:rsidRPr="00606D67" w:rsidRDefault="00A10377" w:rsidP="00A10377">
            <w:pPr>
              <w:spacing w:line="240" w:lineRule="auto"/>
              <w:jc w:val="center"/>
              <w:rPr>
                <w:color w:val="000000" w:themeColor="text1"/>
              </w:rPr>
            </w:pPr>
            <w:r w:rsidRPr="00606D67">
              <w:rPr>
                <w:color w:val="000000" w:themeColor="text1"/>
              </w:rPr>
              <w:t>Racism</w:t>
            </w:r>
          </w:p>
        </w:tc>
        <w:tc>
          <w:tcPr>
            <w:tcW w:w="1892" w:type="dxa"/>
            <w:noWrap/>
            <w:vAlign w:val="center"/>
            <w:hideMark/>
          </w:tcPr>
          <w:p w14:paraId="3A8DE702" w14:textId="77777777" w:rsidR="00A10377" w:rsidRPr="00606D67" w:rsidRDefault="00A10377" w:rsidP="00A10377">
            <w:pPr>
              <w:spacing w:line="240" w:lineRule="auto"/>
              <w:jc w:val="center"/>
              <w:rPr>
                <w:color w:val="000000" w:themeColor="text1"/>
              </w:rPr>
            </w:pPr>
            <w:r w:rsidRPr="00606D67">
              <w:rPr>
                <w:color w:val="000000" w:themeColor="text1"/>
              </w:rPr>
              <w:t>Mental health</w:t>
            </w:r>
          </w:p>
        </w:tc>
        <w:tc>
          <w:tcPr>
            <w:tcW w:w="1283" w:type="dxa"/>
            <w:noWrap/>
            <w:vAlign w:val="center"/>
            <w:hideMark/>
          </w:tcPr>
          <w:p w14:paraId="70E4123D" w14:textId="77777777" w:rsidR="00A10377" w:rsidRPr="00606D67" w:rsidRDefault="00A10377" w:rsidP="00A10377">
            <w:pPr>
              <w:spacing w:line="240" w:lineRule="auto"/>
              <w:jc w:val="center"/>
              <w:rPr>
                <w:color w:val="000000" w:themeColor="text1"/>
              </w:rPr>
            </w:pPr>
            <w:r w:rsidRPr="00606D67">
              <w:rPr>
                <w:color w:val="000000" w:themeColor="text1"/>
              </w:rPr>
              <w:t>Medium</w:t>
            </w:r>
          </w:p>
        </w:tc>
      </w:tr>
      <w:tr w:rsidR="00606D67" w:rsidRPr="00606D67" w14:paraId="77C29DFB" w14:textId="77777777" w:rsidTr="00AE0D1B">
        <w:trPr>
          <w:trHeight w:val="1134"/>
        </w:trPr>
        <w:tc>
          <w:tcPr>
            <w:tcW w:w="1271" w:type="dxa"/>
            <w:noWrap/>
            <w:vAlign w:val="center"/>
            <w:hideMark/>
          </w:tcPr>
          <w:p w14:paraId="2A871DD0" w14:textId="77777777" w:rsidR="00A10377" w:rsidRPr="00606D67" w:rsidRDefault="00A10377" w:rsidP="00A10377">
            <w:pPr>
              <w:spacing w:line="240" w:lineRule="auto"/>
              <w:jc w:val="center"/>
              <w:rPr>
                <w:color w:val="000000" w:themeColor="text1"/>
              </w:rPr>
            </w:pPr>
            <w:r w:rsidRPr="00606D67">
              <w:rPr>
                <w:color w:val="000000" w:themeColor="text1"/>
              </w:rPr>
              <w:t>Lund et al. (2018)</w:t>
            </w:r>
          </w:p>
        </w:tc>
        <w:tc>
          <w:tcPr>
            <w:tcW w:w="1519" w:type="dxa"/>
            <w:noWrap/>
            <w:vAlign w:val="center"/>
            <w:hideMark/>
          </w:tcPr>
          <w:p w14:paraId="1C8F8D35" w14:textId="77777777" w:rsidR="00A10377" w:rsidRPr="00606D67" w:rsidRDefault="00A10377" w:rsidP="00A10377">
            <w:pPr>
              <w:spacing w:line="240" w:lineRule="auto"/>
              <w:jc w:val="center"/>
              <w:rPr>
                <w:color w:val="000000" w:themeColor="text1"/>
              </w:rPr>
            </w:pPr>
            <w:r w:rsidRPr="00606D67">
              <w:rPr>
                <w:color w:val="000000" w:themeColor="text1"/>
              </w:rPr>
              <w:t>Jan 2000 to Dec 2016</w:t>
            </w:r>
          </w:p>
        </w:tc>
        <w:tc>
          <w:tcPr>
            <w:tcW w:w="2313" w:type="dxa"/>
            <w:noWrap/>
            <w:vAlign w:val="center"/>
            <w:hideMark/>
          </w:tcPr>
          <w:p w14:paraId="4A28D929" w14:textId="77777777" w:rsidR="00A10377" w:rsidRPr="00606D67" w:rsidRDefault="00A10377" w:rsidP="00A10377">
            <w:pPr>
              <w:spacing w:line="240" w:lineRule="auto"/>
              <w:jc w:val="center"/>
              <w:rPr>
                <w:color w:val="000000" w:themeColor="text1"/>
              </w:rPr>
            </w:pPr>
            <w:r w:rsidRPr="00606D67">
              <w:rPr>
                <w:color w:val="000000" w:themeColor="text1"/>
              </w:rPr>
              <w:t>systematic reviews</w:t>
            </w:r>
          </w:p>
        </w:tc>
        <w:tc>
          <w:tcPr>
            <w:tcW w:w="2122" w:type="dxa"/>
            <w:noWrap/>
            <w:vAlign w:val="center"/>
            <w:hideMark/>
          </w:tcPr>
          <w:p w14:paraId="1C1FC87F" w14:textId="77777777" w:rsidR="00A10377" w:rsidRPr="00606D67" w:rsidRDefault="00A10377" w:rsidP="00A10377">
            <w:pPr>
              <w:spacing w:line="240" w:lineRule="auto"/>
              <w:jc w:val="center"/>
              <w:rPr>
                <w:color w:val="000000" w:themeColor="text1"/>
              </w:rPr>
            </w:pPr>
            <w:r w:rsidRPr="00606D67">
              <w:rPr>
                <w:color w:val="000000" w:themeColor="text1"/>
              </w:rPr>
              <w:t>Human/general population</w:t>
            </w:r>
          </w:p>
        </w:tc>
        <w:tc>
          <w:tcPr>
            <w:tcW w:w="3548" w:type="dxa"/>
            <w:noWrap/>
            <w:vAlign w:val="center"/>
            <w:hideMark/>
          </w:tcPr>
          <w:p w14:paraId="0A5B785F" w14:textId="77777777" w:rsidR="00A10377" w:rsidRPr="00606D67" w:rsidRDefault="00A10377" w:rsidP="00A10377">
            <w:pPr>
              <w:spacing w:line="240" w:lineRule="auto"/>
              <w:jc w:val="center"/>
              <w:rPr>
                <w:color w:val="000000" w:themeColor="text1"/>
              </w:rPr>
            </w:pPr>
            <w:r w:rsidRPr="00606D67">
              <w:rPr>
                <w:color w:val="000000" w:themeColor="text1"/>
              </w:rPr>
              <w:t>Various demographic, economic, neighbourhood, environmental, and social and cultural factors</w:t>
            </w:r>
          </w:p>
        </w:tc>
        <w:tc>
          <w:tcPr>
            <w:tcW w:w="1892" w:type="dxa"/>
            <w:noWrap/>
            <w:vAlign w:val="center"/>
            <w:hideMark/>
          </w:tcPr>
          <w:p w14:paraId="72258BE2" w14:textId="77777777" w:rsidR="00A10377" w:rsidRPr="00606D67" w:rsidRDefault="00A10377" w:rsidP="00A10377">
            <w:pPr>
              <w:spacing w:line="240" w:lineRule="auto"/>
              <w:jc w:val="center"/>
              <w:rPr>
                <w:color w:val="000000" w:themeColor="text1"/>
              </w:rPr>
            </w:pPr>
            <w:r w:rsidRPr="00606D67">
              <w:rPr>
                <w:color w:val="000000" w:themeColor="text1"/>
              </w:rPr>
              <w:t>Mental disorder</w:t>
            </w:r>
          </w:p>
        </w:tc>
        <w:tc>
          <w:tcPr>
            <w:tcW w:w="1283" w:type="dxa"/>
            <w:noWrap/>
            <w:vAlign w:val="center"/>
            <w:hideMark/>
          </w:tcPr>
          <w:p w14:paraId="25743FDC" w14:textId="77777777" w:rsidR="00A10377" w:rsidRPr="00606D67" w:rsidRDefault="00A10377" w:rsidP="00A10377">
            <w:pPr>
              <w:spacing w:line="240" w:lineRule="auto"/>
              <w:jc w:val="center"/>
              <w:rPr>
                <w:color w:val="000000" w:themeColor="text1"/>
              </w:rPr>
            </w:pPr>
            <w:r w:rsidRPr="00606D67">
              <w:rPr>
                <w:color w:val="000000" w:themeColor="text1"/>
              </w:rPr>
              <w:t>Medium</w:t>
            </w:r>
          </w:p>
        </w:tc>
      </w:tr>
      <w:tr w:rsidR="00606D67" w:rsidRPr="00606D67" w14:paraId="32178AD6" w14:textId="77777777" w:rsidTr="00AE0D1B">
        <w:trPr>
          <w:trHeight w:val="1134"/>
        </w:trPr>
        <w:tc>
          <w:tcPr>
            <w:tcW w:w="1271" w:type="dxa"/>
            <w:noWrap/>
            <w:vAlign w:val="center"/>
            <w:hideMark/>
          </w:tcPr>
          <w:p w14:paraId="003395D5" w14:textId="77777777" w:rsidR="00A10377" w:rsidRPr="00606D67" w:rsidRDefault="00A10377" w:rsidP="00A10377">
            <w:pPr>
              <w:spacing w:line="240" w:lineRule="auto"/>
              <w:jc w:val="center"/>
              <w:rPr>
                <w:color w:val="000000" w:themeColor="text1"/>
              </w:rPr>
            </w:pPr>
            <w:r w:rsidRPr="00606D67">
              <w:rPr>
                <w:color w:val="000000" w:themeColor="text1"/>
              </w:rPr>
              <w:lastRenderedPageBreak/>
              <w:t>McAllister et al. (2018)</w:t>
            </w:r>
          </w:p>
        </w:tc>
        <w:tc>
          <w:tcPr>
            <w:tcW w:w="1519" w:type="dxa"/>
            <w:noWrap/>
            <w:vAlign w:val="center"/>
            <w:hideMark/>
          </w:tcPr>
          <w:p w14:paraId="5607B25E" w14:textId="77777777" w:rsidR="00A10377" w:rsidRPr="00606D67" w:rsidRDefault="00A10377" w:rsidP="00A10377">
            <w:pPr>
              <w:spacing w:line="240" w:lineRule="auto"/>
              <w:jc w:val="center"/>
              <w:rPr>
                <w:color w:val="000000" w:themeColor="text1"/>
              </w:rPr>
            </w:pPr>
            <w:r w:rsidRPr="00606D67">
              <w:rPr>
                <w:color w:val="000000" w:themeColor="text1"/>
              </w:rPr>
              <w:t>up to Nov 2017</w:t>
            </w:r>
          </w:p>
        </w:tc>
        <w:tc>
          <w:tcPr>
            <w:tcW w:w="2313" w:type="dxa"/>
            <w:noWrap/>
            <w:vAlign w:val="center"/>
            <w:hideMark/>
          </w:tcPr>
          <w:p w14:paraId="00529D84" w14:textId="77777777" w:rsidR="00A10377" w:rsidRPr="00606D67" w:rsidRDefault="00A10377" w:rsidP="00A10377">
            <w:pPr>
              <w:spacing w:line="240" w:lineRule="auto"/>
              <w:jc w:val="center"/>
              <w:rPr>
                <w:color w:val="000000" w:themeColor="text1"/>
              </w:rPr>
            </w:pPr>
            <w:r w:rsidRPr="00606D67">
              <w:rPr>
                <w:color w:val="000000" w:themeColor="text1"/>
              </w:rPr>
              <w:t>quantitative</w:t>
            </w:r>
          </w:p>
        </w:tc>
        <w:tc>
          <w:tcPr>
            <w:tcW w:w="2122" w:type="dxa"/>
            <w:noWrap/>
            <w:vAlign w:val="center"/>
            <w:hideMark/>
          </w:tcPr>
          <w:p w14:paraId="7C7178E3" w14:textId="77777777" w:rsidR="00A10377" w:rsidRPr="00606D67" w:rsidRDefault="00A10377" w:rsidP="00A10377">
            <w:pPr>
              <w:spacing w:line="240" w:lineRule="auto"/>
              <w:jc w:val="center"/>
              <w:rPr>
                <w:color w:val="000000" w:themeColor="text1"/>
              </w:rPr>
            </w:pPr>
            <w:r w:rsidRPr="00606D67">
              <w:rPr>
                <w:color w:val="000000" w:themeColor="text1"/>
              </w:rPr>
              <w:t>Human/general population</w:t>
            </w:r>
          </w:p>
        </w:tc>
        <w:tc>
          <w:tcPr>
            <w:tcW w:w="3548" w:type="dxa"/>
            <w:noWrap/>
            <w:vAlign w:val="center"/>
            <w:hideMark/>
          </w:tcPr>
          <w:p w14:paraId="2837958D" w14:textId="77777777" w:rsidR="00A10377" w:rsidRPr="00606D67" w:rsidRDefault="00A10377" w:rsidP="00A10377">
            <w:pPr>
              <w:spacing w:line="240" w:lineRule="auto"/>
              <w:jc w:val="center"/>
              <w:rPr>
                <w:color w:val="000000" w:themeColor="text1"/>
              </w:rPr>
            </w:pPr>
            <w:r w:rsidRPr="00606D67">
              <w:rPr>
                <w:color w:val="000000" w:themeColor="text1"/>
              </w:rPr>
              <w:t>Gender inclusive welfare states</w:t>
            </w:r>
          </w:p>
        </w:tc>
        <w:tc>
          <w:tcPr>
            <w:tcW w:w="1892" w:type="dxa"/>
            <w:noWrap/>
            <w:vAlign w:val="center"/>
            <w:hideMark/>
          </w:tcPr>
          <w:p w14:paraId="77711876" w14:textId="77777777" w:rsidR="00A10377" w:rsidRPr="00606D67" w:rsidRDefault="00A10377" w:rsidP="00A10377">
            <w:pPr>
              <w:spacing w:line="240" w:lineRule="auto"/>
              <w:jc w:val="center"/>
              <w:rPr>
                <w:color w:val="000000" w:themeColor="text1"/>
              </w:rPr>
            </w:pPr>
            <w:r w:rsidRPr="00606D67">
              <w:rPr>
                <w:color w:val="000000" w:themeColor="text1"/>
              </w:rPr>
              <w:t>Positive mental health outcomes</w:t>
            </w:r>
          </w:p>
        </w:tc>
        <w:tc>
          <w:tcPr>
            <w:tcW w:w="1283" w:type="dxa"/>
            <w:noWrap/>
            <w:vAlign w:val="center"/>
            <w:hideMark/>
          </w:tcPr>
          <w:p w14:paraId="48C469B1" w14:textId="77777777" w:rsidR="00A10377" w:rsidRPr="00606D67" w:rsidRDefault="00A10377" w:rsidP="00A10377">
            <w:pPr>
              <w:spacing w:line="240" w:lineRule="auto"/>
              <w:jc w:val="center"/>
              <w:rPr>
                <w:color w:val="000000" w:themeColor="text1"/>
              </w:rPr>
            </w:pPr>
            <w:r w:rsidRPr="00606D67">
              <w:rPr>
                <w:color w:val="000000" w:themeColor="text1"/>
              </w:rPr>
              <w:t>Medium</w:t>
            </w:r>
          </w:p>
        </w:tc>
      </w:tr>
      <w:tr w:rsidR="00606D67" w:rsidRPr="00606D67" w14:paraId="284418B4" w14:textId="77777777" w:rsidTr="00AE0D1B">
        <w:trPr>
          <w:trHeight w:val="1134"/>
        </w:trPr>
        <w:tc>
          <w:tcPr>
            <w:tcW w:w="1271" w:type="dxa"/>
            <w:noWrap/>
            <w:vAlign w:val="center"/>
            <w:hideMark/>
          </w:tcPr>
          <w:p w14:paraId="4C35FDEC" w14:textId="77777777" w:rsidR="00A10377" w:rsidRPr="00606D67" w:rsidRDefault="00A10377" w:rsidP="00A10377">
            <w:pPr>
              <w:spacing w:line="240" w:lineRule="auto"/>
              <w:jc w:val="center"/>
              <w:rPr>
                <w:color w:val="000000" w:themeColor="text1"/>
              </w:rPr>
            </w:pPr>
            <w:r w:rsidRPr="00606D67">
              <w:rPr>
                <w:color w:val="000000" w:themeColor="text1"/>
              </w:rPr>
              <w:t>Meyer et al. (2017)</w:t>
            </w:r>
          </w:p>
        </w:tc>
        <w:tc>
          <w:tcPr>
            <w:tcW w:w="1519" w:type="dxa"/>
            <w:noWrap/>
            <w:vAlign w:val="center"/>
            <w:hideMark/>
          </w:tcPr>
          <w:p w14:paraId="4E5B19D4" w14:textId="77777777" w:rsidR="00A10377" w:rsidRPr="00606D67" w:rsidRDefault="00A10377" w:rsidP="00A10377">
            <w:pPr>
              <w:spacing w:line="240" w:lineRule="auto"/>
              <w:jc w:val="center"/>
              <w:rPr>
                <w:color w:val="000000" w:themeColor="text1"/>
              </w:rPr>
            </w:pPr>
            <w:r w:rsidRPr="00606D67">
              <w:rPr>
                <w:color w:val="000000" w:themeColor="text1"/>
              </w:rPr>
              <w:t>1991 to March 2016</w:t>
            </w:r>
          </w:p>
        </w:tc>
        <w:tc>
          <w:tcPr>
            <w:tcW w:w="2313" w:type="dxa"/>
            <w:noWrap/>
            <w:vAlign w:val="center"/>
            <w:hideMark/>
          </w:tcPr>
          <w:p w14:paraId="17FAC4B7" w14:textId="77777777" w:rsidR="00A10377" w:rsidRPr="00606D67" w:rsidRDefault="00A10377" w:rsidP="00A10377">
            <w:pPr>
              <w:spacing w:line="240" w:lineRule="auto"/>
              <w:jc w:val="center"/>
              <w:rPr>
                <w:color w:val="000000" w:themeColor="text1"/>
              </w:rPr>
            </w:pPr>
            <w:r w:rsidRPr="00606D67">
              <w:rPr>
                <w:color w:val="000000" w:themeColor="text1"/>
              </w:rPr>
              <w:t>empirical</w:t>
            </w:r>
          </w:p>
        </w:tc>
        <w:tc>
          <w:tcPr>
            <w:tcW w:w="2122" w:type="dxa"/>
            <w:noWrap/>
            <w:vAlign w:val="center"/>
            <w:hideMark/>
          </w:tcPr>
          <w:p w14:paraId="0A596D23" w14:textId="77777777" w:rsidR="00A10377" w:rsidRPr="00606D67" w:rsidRDefault="00A10377" w:rsidP="00A10377">
            <w:pPr>
              <w:spacing w:line="240" w:lineRule="auto"/>
              <w:jc w:val="center"/>
              <w:rPr>
                <w:color w:val="000000" w:themeColor="text1"/>
              </w:rPr>
            </w:pPr>
            <w:r w:rsidRPr="00606D67">
              <w:rPr>
                <w:color w:val="000000" w:themeColor="text1"/>
              </w:rPr>
              <w:t>Rural-to-urban migrants in low and middle income countries</w:t>
            </w:r>
          </w:p>
        </w:tc>
        <w:tc>
          <w:tcPr>
            <w:tcW w:w="3548" w:type="dxa"/>
            <w:noWrap/>
            <w:vAlign w:val="center"/>
            <w:hideMark/>
          </w:tcPr>
          <w:p w14:paraId="23BC8439" w14:textId="77777777" w:rsidR="00A10377" w:rsidRPr="00606D67" w:rsidRDefault="00A10377" w:rsidP="00A10377">
            <w:pPr>
              <w:spacing w:line="240" w:lineRule="auto"/>
              <w:jc w:val="center"/>
              <w:rPr>
                <w:color w:val="000000" w:themeColor="text1"/>
              </w:rPr>
            </w:pPr>
            <w:r w:rsidRPr="00606D67">
              <w:rPr>
                <w:color w:val="000000" w:themeColor="text1"/>
              </w:rPr>
              <w:t>Inconclusive, but potentially migration</w:t>
            </w:r>
          </w:p>
        </w:tc>
        <w:tc>
          <w:tcPr>
            <w:tcW w:w="1892" w:type="dxa"/>
            <w:noWrap/>
            <w:vAlign w:val="center"/>
            <w:hideMark/>
          </w:tcPr>
          <w:p w14:paraId="12295481" w14:textId="77777777" w:rsidR="00A10377" w:rsidRPr="00606D67" w:rsidRDefault="00A10377" w:rsidP="00A10377">
            <w:pPr>
              <w:spacing w:line="240" w:lineRule="auto"/>
              <w:jc w:val="center"/>
              <w:rPr>
                <w:color w:val="000000" w:themeColor="text1"/>
              </w:rPr>
            </w:pPr>
            <w:r w:rsidRPr="00606D67">
              <w:rPr>
                <w:color w:val="000000" w:themeColor="text1"/>
              </w:rPr>
              <w:t>Mental health</w:t>
            </w:r>
          </w:p>
        </w:tc>
        <w:tc>
          <w:tcPr>
            <w:tcW w:w="1283" w:type="dxa"/>
            <w:noWrap/>
            <w:vAlign w:val="center"/>
            <w:hideMark/>
          </w:tcPr>
          <w:p w14:paraId="569B8B84" w14:textId="77777777" w:rsidR="00A10377" w:rsidRPr="00606D67" w:rsidRDefault="00A10377" w:rsidP="00A10377">
            <w:pPr>
              <w:spacing w:line="240" w:lineRule="auto"/>
              <w:jc w:val="center"/>
              <w:rPr>
                <w:color w:val="000000" w:themeColor="text1"/>
              </w:rPr>
            </w:pPr>
            <w:r w:rsidRPr="00606D67">
              <w:rPr>
                <w:color w:val="000000" w:themeColor="text1"/>
              </w:rPr>
              <w:t>Medium</w:t>
            </w:r>
          </w:p>
        </w:tc>
      </w:tr>
      <w:tr w:rsidR="00606D67" w:rsidRPr="00606D67" w14:paraId="25C304CF" w14:textId="77777777" w:rsidTr="00AE0D1B">
        <w:trPr>
          <w:trHeight w:val="1134"/>
        </w:trPr>
        <w:tc>
          <w:tcPr>
            <w:tcW w:w="1271" w:type="dxa"/>
            <w:noWrap/>
            <w:vAlign w:val="center"/>
            <w:hideMark/>
          </w:tcPr>
          <w:p w14:paraId="57746B62" w14:textId="77777777" w:rsidR="00A10377" w:rsidRPr="00606D67" w:rsidRDefault="00A10377" w:rsidP="00A10377">
            <w:pPr>
              <w:spacing w:line="240" w:lineRule="auto"/>
              <w:jc w:val="center"/>
              <w:rPr>
                <w:color w:val="000000" w:themeColor="text1"/>
              </w:rPr>
            </w:pPr>
            <w:r w:rsidRPr="00606D67">
              <w:rPr>
                <w:color w:val="000000" w:themeColor="text1"/>
              </w:rPr>
              <w:t>Milner et al. (2021)</w:t>
            </w:r>
          </w:p>
        </w:tc>
        <w:tc>
          <w:tcPr>
            <w:tcW w:w="1519" w:type="dxa"/>
            <w:noWrap/>
            <w:vAlign w:val="center"/>
            <w:hideMark/>
          </w:tcPr>
          <w:p w14:paraId="28487F12" w14:textId="77777777" w:rsidR="00A10377" w:rsidRPr="00606D67" w:rsidRDefault="00A10377" w:rsidP="00A10377">
            <w:pPr>
              <w:spacing w:line="240" w:lineRule="auto"/>
              <w:jc w:val="center"/>
              <w:rPr>
                <w:color w:val="000000" w:themeColor="text1"/>
              </w:rPr>
            </w:pPr>
            <w:r w:rsidRPr="00606D67">
              <w:rPr>
                <w:color w:val="000000" w:themeColor="text1"/>
              </w:rPr>
              <w:t>2008 to 2018</w:t>
            </w:r>
          </w:p>
        </w:tc>
        <w:tc>
          <w:tcPr>
            <w:tcW w:w="2313" w:type="dxa"/>
            <w:noWrap/>
            <w:vAlign w:val="center"/>
            <w:hideMark/>
          </w:tcPr>
          <w:p w14:paraId="003FA1AC" w14:textId="77777777" w:rsidR="00A10377" w:rsidRPr="00606D67" w:rsidRDefault="00A10377" w:rsidP="00A10377">
            <w:pPr>
              <w:spacing w:line="240" w:lineRule="auto"/>
              <w:jc w:val="center"/>
              <w:rPr>
                <w:color w:val="000000" w:themeColor="text1"/>
              </w:rPr>
            </w:pPr>
            <w:r w:rsidRPr="00606D67">
              <w:rPr>
                <w:color w:val="000000" w:themeColor="text1"/>
              </w:rPr>
              <w:t>cohort studies</w:t>
            </w:r>
          </w:p>
        </w:tc>
        <w:tc>
          <w:tcPr>
            <w:tcW w:w="2122" w:type="dxa"/>
            <w:noWrap/>
            <w:vAlign w:val="center"/>
            <w:hideMark/>
          </w:tcPr>
          <w:p w14:paraId="2429E594" w14:textId="77777777" w:rsidR="00A10377" w:rsidRPr="00606D67" w:rsidRDefault="00A10377" w:rsidP="00A10377">
            <w:pPr>
              <w:spacing w:line="240" w:lineRule="auto"/>
              <w:jc w:val="center"/>
              <w:rPr>
                <w:color w:val="000000" w:themeColor="text1"/>
              </w:rPr>
            </w:pPr>
            <w:r w:rsidRPr="00606D67">
              <w:rPr>
                <w:color w:val="000000" w:themeColor="text1"/>
              </w:rPr>
              <w:t>Human/general population</w:t>
            </w:r>
          </w:p>
        </w:tc>
        <w:tc>
          <w:tcPr>
            <w:tcW w:w="3548" w:type="dxa"/>
            <w:noWrap/>
            <w:vAlign w:val="center"/>
            <w:hideMark/>
          </w:tcPr>
          <w:p w14:paraId="76592B0B" w14:textId="77777777" w:rsidR="00A10377" w:rsidRPr="00606D67" w:rsidRDefault="00A10377" w:rsidP="00A10377">
            <w:pPr>
              <w:spacing w:line="240" w:lineRule="auto"/>
              <w:jc w:val="center"/>
              <w:rPr>
                <w:color w:val="000000" w:themeColor="text1"/>
              </w:rPr>
            </w:pPr>
            <w:r w:rsidRPr="00606D67">
              <w:rPr>
                <w:color w:val="000000" w:themeColor="text1"/>
              </w:rPr>
              <w:t>Gendered working environments</w:t>
            </w:r>
          </w:p>
        </w:tc>
        <w:tc>
          <w:tcPr>
            <w:tcW w:w="1892" w:type="dxa"/>
            <w:noWrap/>
            <w:vAlign w:val="center"/>
            <w:hideMark/>
          </w:tcPr>
          <w:p w14:paraId="55D529C6" w14:textId="77777777" w:rsidR="00A10377" w:rsidRPr="00606D67" w:rsidRDefault="00A10377" w:rsidP="00A10377">
            <w:pPr>
              <w:spacing w:line="240" w:lineRule="auto"/>
              <w:jc w:val="center"/>
              <w:rPr>
                <w:color w:val="000000" w:themeColor="text1"/>
              </w:rPr>
            </w:pPr>
            <w:r w:rsidRPr="00606D67">
              <w:rPr>
                <w:color w:val="000000" w:themeColor="text1"/>
              </w:rPr>
              <w:t>Mental health</w:t>
            </w:r>
          </w:p>
        </w:tc>
        <w:tc>
          <w:tcPr>
            <w:tcW w:w="1283" w:type="dxa"/>
            <w:noWrap/>
            <w:vAlign w:val="center"/>
            <w:hideMark/>
          </w:tcPr>
          <w:p w14:paraId="6DB0769B" w14:textId="77777777" w:rsidR="00A10377" w:rsidRPr="00606D67" w:rsidRDefault="00A10377" w:rsidP="00A10377">
            <w:pPr>
              <w:spacing w:line="240" w:lineRule="auto"/>
              <w:jc w:val="center"/>
              <w:rPr>
                <w:color w:val="000000" w:themeColor="text1"/>
              </w:rPr>
            </w:pPr>
            <w:r w:rsidRPr="00606D67">
              <w:rPr>
                <w:color w:val="000000" w:themeColor="text1"/>
              </w:rPr>
              <w:t>Medium</w:t>
            </w:r>
          </w:p>
        </w:tc>
      </w:tr>
      <w:tr w:rsidR="00606D67" w:rsidRPr="00606D67" w14:paraId="2586A1FC" w14:textId="77777777" w:rsidTr="00AE0D1B">
        <w:trPr>
          <w:trHeight w:val="1134"/>
        </w:trPr>
        <w:tc>
          <w:tcPr>
            <w:tcW w:w="1271" w:type="dxa"/>
            <w:noWrap/>
            <w:vAlign w:val="center"/>
            <w:hideMark/>
          </w:tcPr>
          <w:p w14:paraId="459C2D46" w14:textId="77777777" w:rsidR="00A10377" w:rsidRPr="00606D67" w:rsidRDefault="00A10377" w:rsidP="00A10377">
            <w:pPr>
              <w:spacing w:line="240" w:lineRule="auto"/>
              <w:jc w:val="center"/>
              <w:rPr>
                <w:color w:val="000000" w:themeColor="text1"/>
              </w:rPr>
            </w:pPr>
            <w:r w:rsidRPr="00606D67">
              <w:rPr>
                <w:color w:val="000000" w:themeColor="text1"/>
              </w:rPr>
              <w:t>Nelson and Wilson (2017)</w:t>
            </w:r>
          </w:p>
        </w:tc>
        <w:tc>
          <w:tcPr>
            <w:tcW w:w="1519" w:type="dxa"/>
            <w:noWrap/>
            <w:vAlign w:val="center"/>
            <w:hideMark/>
          </w:tcPr>
          <w:p w14:paraId="1381B97D" w14:textId="77777777" w:rsidR="00A10377" w:rsidRPr="00606D67" w:rsidRDefault="00A10377" w:rsidP="00A10377">
            <w:pPr>
              <w:spacing w:line="240" w:lineRule="auto"/>
              <w:jc w:val="center"/>
              <w:rPr>
                <w:color w:val="000000" w:themeColor="text1"/>
              </w:rPr>
            </w:pPr>
            <w:r w:rsidRPr="00606D67">
              <w:rPr>
                <w:color w:val="000000" w:themeColor="text1"/>
              </w:rPr>
              <w:t>2006 to Aug 2016</w:t>
            </w:r>
          </w:p>
        </w:tc>
        <w:tc>
          <w:tcPr>
            <w:tcW w:w="2313" w:type="dxa"/>
            <w:noWrap/>
            <w:vAlign w:val="center"/>
            <w:hideMark/>
          </w:tcPr>
          <w:p w14:paraId="72B5A8D4" w14:textId="77777777" w:rsidR="00A10377" w:rsidRPr="00606D67" w:rsidRDefault="00A10377" w:rsidP="00A10377">
            <w:pPr>
              <w:spacing w:line="240" w:lineRule="auto"/>
              <w:jc w:val="center"/>
              <w:rPr>
                <w:color w:val="000000" w:themeColor="text1"/>
              </w:rPr>
            </w:pPr>
            <w:r w:rsidRPr="00606D67">
              <w:rPr>
                <w:color w:val="000000" w:themeColor="text1"/>
              </w:rPr>
              <w:t>empirical</w:t>
            </w:r>
          </w:p>
        </w:tc>
        <w:tc>
          <w:tcPr>
            <w:tcW w:w="2122" w:type="dxa"/>
            <w:noWrap/>
            <w:vAlign w:val="center"/>
            <w:hideMark/>
          </w:tcPr>
          <w:p w14:paraId="3E1AC49A" w14:textId="77777777" w:rsidR="00A10377" w:rsidRPr="00606D67" w:rsidRDefault="00A10377" w:rsidP="00A10377">
            <w:pPr>
              <w:spacing w:line="240" w:lineRule="auto"/>
              <w:jc w:val="center"/>
              <w:rPr>
                <w:color w:val="000000" w:themeColor="text1"/>
              </w:rPr>
            </w:pPr>
            <w:r w:rsidRPr="00606D67">
              <w:rPr>
                <w:color w:val="000000" w:themeColor="text1"/>
              </w:rPr>
              <w:t>Indigenous peoples in Canada</w:t>
            </w:r>
          </w:p>
        </w:tc>
        <w:tc>
          <w:tcPr>
            <w:tcW w:w="3548" w:type="dxa"/>
            <w:noWrap/>
            <w:vAlign w:val="center"/>
            <w:hideMark/>
          </w:tcPr>
          <w:p w14:paraId="23F51DE4" w14:textId="77777777" w:rsidR="00A10377" w:rsidRPr="00606D67" w:rsidRDefault="00A10377" w:rsidP="00A10377">
            <w:pPr>
              <w:spacing w:line="240" w:lineRule="auto"/>
              <w:jc w:val="center"/>
              <w:rPr>
                <w:color w:val="000000" w:themeColor="text1"/>
              </w:rPr>
            </w:pPr>
            <w:r w:rsidRPr="00606D67">
              <w:rPr>
                <w:color w:val="000000" w:themeColor="text1"/>
              </w:rPr>
              <w:t>Colonialism, interpersonal violence, social support, and social/economic/demographic factors among others</w:t>
            </w:r>
          </w:p>
        </w:tc>
        <w:tc>
          <w:tcPr>
            <w:tcW w:w="1892" w:type="dxa"/>
            <w:noWrap/>
            <w:vAlign w:val="center"/>
            <w:hideMark/>
          </w:tcPr>
          <w:p w14:paraId="0D88746B" w14:textId="77777777" w:rsidR="00A10377" w:rsidRPr="00606D67" w:rsidRDefault="00A10377" w:rsidP="00A10377">
            <w:pPr>
              <w:spacing w:line="240" w:lineRule="auto"/>
              <w:jc w:val="center"/>
              <w:rPr>
                <w:color w:val="000000" w:themeColor="text1"/>
              </w:rPr>
            </w:pPr>
            <w:r w:rsidRPr="00606D67">
              <w:rPr>
                <w:color w:val="000000" w:themeColor="text1"/>
              </w:rPr>
              <w:t>Mental health</w:t>
            </w:r>
          </w:p>
        </w:tc>
        <w:tc>
          <w:tcPr>
            <w:tcW w:w="1283" w:type="dxa"/>
            <w:noWrap/>
            <w:vAlign w:val="center"/>
            <w:hideMark/>
          </w:tcPr>
          <w:p w14:paraId="46E6F660" w14:textId="77777777" w:rsidR="00A10377" w:rsidRPr="00606D67" w:rsidRDefault="00A10377" w:rsidP="00A10377">
            <w:pPr>
              <w:spacing w:line="240" w:lineRule="auto"/>
              <w:jc w:val="center"/>
              <w:rPr>
                <w:color w:val="000000" w:themeColor="text1"/>
              </w:rPr>
            </w:pPr>
            <w:r w:rsidRPr="00606D67">
              <w:rPr>
                <w:color w:val="000000" w:themeColor="text1"/>
              </w:rPr>
              <w:t>Medium</w:t>
            </w:r>
          </w:p>
        </w:tc>
      </w:tr>
      <w:tr w:rsidR="00606D67" w:rsidRPr="00606D67" w14:paraId="4EAF7A5A" w14:textId="77777777" w:rsidTr="00AE0D1B">
        <w:trPr>
          <w:trHeight w:val="1134"/>
        </w:trPr>
        <w:tc>
          <w:tcPr>
            <w:tcW w:w="1271" w:type="dxa"/>
            <w:noWrap/>
            <w:vAlign w:val="center"/>
            <w:hideMark/>
          </w:tcPr>
          <w:p w14:paraId="3901039C" w14:textId="77777777" w:rsidR="00A10377" w:rsidRPr="00606D67" w:rsidRDefault="00A10377" w:rsidP="00A10377">
            <w:pPr>
              <w:spacing w:line="240" w:lineRule="auto"/>
              <w:jc w:val="center"/>
              <w:rPr>
                <w:color w:val="000000" w:themeColor="text1"/>
              </w:rPr>
            </w:pPr>
            <w:r w:rsidRPr="00606D67">
              <w:rPr>
                <w:color w:val="000000" w:themeColor="text1"/>
              </w:rPr>
              <w:t>Ni et al. (2020)</w:t>
            </w:r>
          </w:p>
        </w:tc>
        <w:tc>
          <w:tcPr>
            <w:tcW w:w="1519" w:type="dxa"/>
            <w:noWrap/>
            <w:vAlign w:val="center"/>
            <w:hideMark/>
          </w:tcPr>
          <w:p w14:paraId="76F440F3" w14:textId="77777777" w:rsidR="00A10377" w:rsidRPr="00606D67" w:rsidRDefault="00A10377" w:rsidP="00A10377">
            <w:pPr>
              <w:spacing w:line="240" w:lineRule="auto"/>
              <w:jc w:val="center"/>
              <w:rPr>
                <w:color w:val="000000" w:themeColor="text1"/>
              </w:rPr>
            </w:pPr>
            <w:r w:rsidRPr="00606D67">
              <w:rPr>
                <w:color w:val="000000" w:themeColor="text1"/>
              </w:rPr>
              <w:t>up to Jan 2018</w:t>
            </w:r>
          </w:p>
        </w:tc>
        <w:tc>
          <w:tcPr>
            <w:tcW w:w="2313" w:type="dxa"/>
            <w:noWrap/>
            <w:vAlign w:val="center"/>
            <w:hideMark/>
          </w:tcPr>
          <w:p w14:paraId="136C9CD9" w14:textId="77777777" w:rsidR="00A10377" w:rsidRPr="00606D67" w:rsidRDefault="00A10377" w:rsidP="00A10377">
            <w:pPr>
              <w:spacing w:line="240" w:lineRule="auto"/>
              <w:jc w:val="center"/>
              <w:rPr>
                <w:color w:val="000000" w:themeColor="text1"/>
              </w:rPr>
            </w:pPr>
            <w:r w:rsidRPr="00606D67">
              <w:rPr>
                <w:color w:val="000000" w:themeColor="text1"/>
              </w:rPr>
              <w:t>empirical</w:t>
            </w:r>
          </w:p>
        </w:tc>
        <w:tc>
          <w:tcPr>
            <w:tcW w:w="2122" w:type="dxa"/>
            <w:noWrap/>
            <w:vAlign w:val="center"/>
            <w:hideMark/>
          </w:tcPr>
          <w:p w14:paraId="48C9D9F8" w14:textId="77777777" w:rsidR="00A10377" w:rsidRPr="00606D67" w:rsidRDefault="00A10377" w:rsidP="00A10377">
            <w:pPr>
              <w:spacing w:line="240" w:lineRule="auto"/>
              <w:jc w:val="center"/>
              <w:rPr>
                <w:color w:val="000000" w:themeColor="text1"/>
              </w:rPr>
            </w:pPr>
            <w:r w:rsidRPr="00606D67">
              <w:rPr>
                <w:color w:val="000000" w:themeColor="text1"/>
              </w:rPr>
              <w:t>Human/general population</w:t>
            </w:r>
          </w:p>
        </w:tc>
        <w:tc>
          <w:tcPr>
            <w:tcW w:w="3548" w:type="dxa"/>
            <w:noWrap/>
            <w:vAlign w:val="center"/>
            <w:hideMark/>
          </w:tcPr>
          <w:p w14:paraId="02BBCE39" w14:textId="77777777" w:rsidR="00A10377" w:rsidRPr="00606D67" w:rsidRDefault="00A10377" w:rsidP="00A10377">
            <w:pPr>
              <w:spacing w:line="240" w:lineRule="auto"/>
              <w:jc w:val="center"/>
              <w:rPr>
                <w:color w:val="000000" w:themeColor="text1"/>
              </w:rPr>
            </w:pPr>
            <w:r w:rsidRPr="00606D67">
              <w:rPr>
                <w:color w:val="000000" w:themeColor="text1"/>
              </w:rPr>
              <w:t xml:space="preserve">Protests, </w:t>
            </w:r>
            <w:proofErr w:type="gramStart"/>
            <w:r w:rsidRPr="00606D67">
              <w:rPr>
                <w:color w:val="000000" w:themeColor="text1"/>
              </w:rPr>
              <w:t>riots</w:t>
            </w:r>
            <w:proofErr w:type="gramEnd"/>
            <w:r w:rsidRPr="00606D67">
              <w:rPr>
                <w:color w:val="000000" w:themeColor="text1"/>
              </w:rPr>
              <w:t xml:space="preserve"> and revolutions</w:t>
            </w:r>
          </w:p>
        </w:tc>
        <w:tc>
          <w:tcPr>
            <w:tcW w:w="1892" w:type="dxa"/>
            <w:noWrap/>
            <w:vAlign w:val="center"/>
            <w:hideMark/>
          </w:tcPr>
          <w:p w14:paraId="79E30CFD" w14:textId="77777777" w:rsidR="00A10377" w:rsidRPr="00606D67" w:rsidRDefault="00A10377" w:rsidP="00A10377">
            <w:pPr>
              <w:spacing w:line="240" w:lineRule="auto"/>
              <w:jc w:val="center"/>
              <w:rPr>
                <w:color w:val="000000" w:themeColor="text1"/>
              </w:rPr>
            </w:pPr>
            <w:r w:rsidRPr="00606D67">
              <w:rPr>
                <w:color w:val="000000" w:themeColor="text1"/>
              </w:rPr>
              <w:t>Mental health</w:t>
            </w:r>
          </w:p>
        </w:tc>
        <w:tc>
          <w:tcPr>
            <w:tcW w:w="1283" w:type="dxa"/>
            <w:noWrap/>
            <w:vAlign w:val="center"/>
            <w:hideMark/>
          </w:tcPr>
          <w:p w14:paraId="16762D2B" w14:textId="77777777" w:rsidR="00A10377" w:rsidRPr="00606D67" w:rsidRDefault="00A10377" w:rsidP="00A10377">
            <w:pPr>
              <w:spacing w:line="240" w:lineRule="auto"/>
              <w:jc w:val="center"/>
              <w:rPr>
                <w:color w:val="000000" w:themeColor="text1"/>
              </w:rPr>
            </w:pPr>
            <w:r w:rsidRPr="00606D67">
              <w:rPr>
                <w:color w:val="000000" w:themeColor="text1"/>
              </w:rPr>
              <w:t>Medium</w:t>
            </w:r>
          </w:p>
        </w:tc>
      </w:tr>
      <w:tr w:rsidR="00606D67" w:rsidRPr="00606D67" w14:paraId="1BA6A3ED" w14:textId="77777777" w:rsidTr="00AE0D1B">
        <w:trPr>
          <w:trHeight w:val="1134"/>
        </w:trPr>
        <w:tc>
          <w:tcPr>
            <w:tcW w:w="1271" w:type="dxa"/>
            <w:noWrap/>
            <w:vAlign w:val="center"/>
            <w:hideMark/>
          </w:tcPr>
          <w:p w14:paraId="3CF59D38" w14:textId="77777777" w:rsidR="00A10377" w:rsidRPr="00606D67" w:rsidRDefault="00A10377" w:rsidP="00A10377">
            <w:pPr>
              <w:spacing w:line="240" w:lineRule="auto"/>
              <w:jc w:val="center"/>
              <w:rPr>
                <w:color w:val="000000" w:themeColor="text1"/>
              </w:rPr>
            </w:pPr>
            <w:r w:rsidRPr="00606D67">
              <w:rPr>
                <w:color w:val="000000" w:themeColor="text1"/>
              </w:rPr>
              <w:t>Odone et al. (2021)</w:t>
            </w:r>
          </w:p>
        </w:tc>
        <w:tc>
          <w:tcPr>
            <w:tcW w:w="1519" w:type="dxa"/>
            <w:noWrap/>
            <w:vAlign w:val="center"/>
            <w:hideMark/>
          </w:tcPr>
          <w:p w14:paraId="359D54F8" w14:textId="77777777" w:rsidR="00A10377" w:rsidRPr="00606D67" w:rsidRDefault="00A10377" w:rsidP="00A10377">
            <w:pPr>
              <w:spacing w:line="240" w:lineRule="auto"/>
              <w:jc w:val="center"/>
              <w:rPr>
                <w:color w:val="000000" w:themeColor="text1"/>
              </w:rPr>
            </w:pPr>
            <w:r w:rsidRPr="00606D67">
              <w:rPr>
                <w:color w:val="000000" w:themeColor="text1"/>
              </w:rPr>
              <w:t>up to March 2021</w:t>
            </w:r>
          </w:p>
        </w:tc>
        <w:tc>
          <w:tcPr>
            <w:tcW w:w="2313" w:type="dxa"/>
            <w:noWrap/>
            <w:vAlign w:val="center"/>
            <w:hideMark/>
          </w:tcPr>
          <w:p w14:paraId="6FD18FF3" w14:textId="77777777" w:rsidR="00A10377" w:rsidRPr="00606D67" w:rsidRDefault="00A10377" w:rsidP="00A10377">
            <w:pPr>
              <w:spacing w:line="240" w:lineRule="auto"/>
              <w:jc w:val="center"/>
              <w:rPr>
                <w:color w:val="000000" w:themeColor="text1"/>
              </w:rPr>
            </w:pPr>
            <w:r w:rsidRPr="00606D67">
              <w:rPr>
                <w:color w:val="000000" w:themeColor="text1"/>
              </w:rPr>
              <w:t>quantitative</w:t>
            </w:r>
          </w:p>
        </w:tc>
        <w:tc>
          <w:tcPr>
            <w:tcW w:w="2122" w:type="dxa"/>
            <w:noWrap/>
            <w:vAlign w:val="center"/>
            <w:hideMark/>
          </w:tcPr>
          <w:p w14:paraId="558C3FA8" w14:textId="77777777" w:rsidR="00A10377" w:rsidRPr="00606D67" w:rsidRDefault="00A10377" w:rsidP="00A10377">
            <w:pPr>
              <w:spacing w:line="240" w:lineRule="auto"/>
              <w:jc w:val="center"/>
              <w:rPr>
                <w:color w:val="000000" w:themeColor="text1"/>
              </w:rPr>
            </w:pPr>
            <w:r w:rsidRPr="00606D67">
              <w:rPr>
                <w:color w:val="000000" w:themeColor="text1"/>
              </w:rPr>
              <w:t>Human/general population</w:t>
            </w:r>
          </w:p>
        </w:tc>
        <w:tc>
          <w:tcPr>
            <w:tcW w:w="3548" w:type="dxa"/>
            <w:noWrap/>
            <w:vAlign w:val="center"/>
            <w:hideMark/>
          </w:tcPr>
          <w:p w14:paraId="0072FCE8" w14:textId="77777777" w:rsidR="00A10377" w:rsidRPr="00606D67" w:rsidRDefault="00A10377" w:rsidP="00A10377">
            <w:pPr>
              <w:spacing w:line="240" w:lineRule="auto"/>
              <w:jc w:val="center"/>
              <w:rPr>
                <w:color w:val="000000" w:themeColor="text1"/>
              </w:rPr>
            </w:pPr>
            <w:r w:rsidRPr="00606D67">
              <w:rPr>
                <w:color w:val="000000" w:themeColor="text1"/>
              </w:rPr>
              <w:t>Retirement</w:t>
            </w:r>
          </w:p>
        </w:tc>
        <w:tc>
          <w:tcPr>
            <w:tcW w:w="1892" w:type="dxa"/>
            <w:noWrap/>
            <w:vAlign w:val="center"/>
            <w:hideMark/>
          </w:tcPr>
          <w:p w14:paraId="565D00D5" w14:textId="77777777" w:rsidR="00A10377" w:rsidRPr="00606D67" w:rsidRDefault="00A10377" w:rsidP="00A10377">
            <w:pPr>
              <w:spacing w:line="240" w:lineRule="auto"/>
              <w:jc w:val="center"/>
              <w:rPr>
                <w:color w:val="000000" w:themeColor="text1"/>
              </w:rPr>
            </w:pPr>
            <w:r w:rsidRPr="00606D67">
              <w:rPr>
                <w:color w:val="000000" w:themeColor="text1"/>
              </w:rPr>
              <w:t>Depression</w:t>
            </w:r>
          </w:p>
        </w:tc>
        <w:tc>
          <w:tcPr>
            <w:tcW w:w="1283" w:type="dxa"/>
            <w:noWrap/>
            <w:vAlign w:val="center"/>
            <w:hideMark/>
          </w:tcPr>
          <w:p w14:paraId="48F5E031" w14:textId="77777777" w:rsidR="00A10377" w:rsidRPr="00606D67" w:rsidRDefault="00A10377" w:rsidP="00A10377">
            <w:pPr>
              <w:spacing w:line="240" w:lineRule="auto"/>
              <w:jc w:val="center"/>
              <w:rPr>
                <w:color w:val="000000" w:themeColor="text1"/>
              </w:rPr>
            </w:pPr>
            <w:r w:rsidRPr="00606D67">
              <w:rPr>
                <w:color w:val="000000" w:themeColor="text1"/>
              </w:rPr>
              <w:t>High</w:t>
            </w:r>
          </w:p>
        </w:tc>
      </w:tr>
      <w:tr w:rsidR="00606D67" w:rsidRPr="00606D67" w14:paraId="6FCD76E2" w14:textId="77777777" w:rsidTr="00AE0D1B">
        <w:trPr>
          <w:trHeight w:val="1134"/>
        </w:trPr>
        <w:tc>
          <w:tcPr>
            <w:tcW w:w="1271" w:type="dxa"/>
            <w:noWrap/>
            <w:vAlign w:val="center"/>
          </w:tcPr>
          <w:p w14:paraId="62EB72B1" w14:textId="77777777" w:rsidR="00A10377" w:rsidRPr="00606D67" w:rsidRDefault="00A10377" w:rsidP="00A10377">
            <w:pPr>
              <w:spacing w:line="240" w:lineRule="auto"/>
              <w:jc w:val="center"/>
              <w:rPr>
                <w:color w:val="000000" w:themeColor="text1"/>
              </w:rPr>
            </w:pPr>
            <w:proofErr w:type="spellStart"/>
            <w:r w:rsidRPr="00606D67">
              <w:rPr>
                <w:color w:val="000000" w:themeColor="text1"/>
              </w:rPr>
              <w:t>Paradies</w:t>
            </w:r>
            <w:proofErr w:type="spellEnd"/>
            <w:r w:rsidRPr="00606D67">
              <w:rPr>
                <w:color w:val="000000" w:themeColor="text1"/>
              </w:rPr>
              <w:t xml:space="preserve"> (2006)</w:t>
            </w:r>
          </w:p>
        </w:tc>
        <w:tc>
          <w:tcPr>
            <w:tcW w:w="1519" w:type="dxa"/>
            <w:noWrap/>
            <w:vAlign w:val="center"/>
          </w:tcPr>
          <w:p w14:paraId="7D9BE7F5" w14:textId="77777777" w:rsidR="00A10377" w:rsidRPr="00606D67" w:rsidRDefault="00A10377" w:rsidP="00A10377">
            <w:pPr>
              <w:spacing w:line="240" w:lineRule="auto"/>
              <w:jc w:val="center"/>
              <w:rPr>
                <w:color w:val="000000" w:themeColor="text1"/>
              </w:rPr>
            </w:pPr>
            <w:r w:rsidRPr="00606D67">
              <w:rPr>
                <w:color w:val="000000" w:themeColor="text1"/>
              </w:rPr>
              <w:t>up to Dec 2004</w:t>
            </w:r>
          </w:p>
        </w:tc>
        <w:tc>
          <w:tcPr>
            <w:tcW w:w="2313" w:type="dxa"/>
            <w:noWrap/>
            <w:vAlign w:val="center"/>
          </w:tcPr>
          <w:p w14:paraId="611EA547" w14:textId="77777777" w:rsidR="00A10377" w:rsidRPr="00606D67" w:rsidRDefault="00A10377" w:rsidP="00A10377">
            <w:pPr>
              <w:spacing w:line="240" w:lineRule="auto"/>
              <w:jc w:val="center"/>
              <w:rPr>
                <w:color w:val="000000" w:themeColor="text1"/>
              </w:rPr>
            </w:pPr>
            <w:r w:rsidRPr="00606D67">
              <w:rPr>
                <w:color w:val="000000" w:themeColor="text1"/>
              </w:rPr>
              <w:t>quantitative population-based self-report studies</w:t>
            </w:r>
          </w:p>
        </w:tc>
        <w:tc>
          <w:tcPr>
            <w:tcW w:w="2122" w:type="dxa"/>
            <w:noWrap/>
            <w:vAlign w:val="center"/>
          </w:tcPr>
          <w:p w14:paraId="6FB7779F" w14:textId="77777777" w:rsidR="00A10377" w:rsidRPr="00606D67" w:rsidRDefault="00A10377" w:rsidP="00A10377">
            <w:pPr>
              <w:spacing w:line="240" w:lineRule="auto"/>
              <w:jc w:val="center"/>
              <w:rPr>
                <w:color w:val="000000" w:themeColor="text1"/>
              </w:rPr>
            </w:pPr>
            <w:r w:rsidRPr="00606D67">
              <w:rPr>
                <w:color w:val="000000" w:themeColor="text1"/>
              </w:rPr>
              <w:t xml:space="preserve">Human/general population </w:t>
            </w:r>
          </w:p>
        </w:tc>
        <w:tc>
          <w:tcPr>
            <w:tcW w:w="3548" w:type="dxa"/>
            <w:noWrap/>
            <w:vAlign w:val="center"/>
          </w:tcPr>
          <w:p w14:paraId="6C74FF00" w14:textId="77777777" w:rsidR="00A10377" w:rsidRPr="00606D67" w:rsidRDefault="00A10377" w:rsidP="00A10377">
            <w:pPr>
              <w:spacing w:line="240" w:lineRule="auto"/>
              <w:jc w:val="center"/>
              <w:rPr>
                <w:color w:val="000000" w:themeColor="text1"/>
              </w:rPr>
            </w:pPr>
            <w:r w:rsidRPr="00606D67">
              <w:rPr>
                <w:color w:val="000000" w:themeColor="text1"/>
              </w:rPr>
              <w:t>Self-reported racism</w:t>
            </w:r>
          </w:p>
        </w:tc>
        <w:tc>
          <w:tcPr>
            <w:tcW w:w="1892" w:type="dxa"/>
            <w:noWrap/>
            <w:vAlign w:val="center"/>
          </w:tcPr>
          <w:p w14:paraId="5F67A719" w14:textId="77777777" w:rsidR="00A10377" w:rsidRPr="00606D67" w:rsidRDefault="00A10377" w:rsidP="00A10377">
            <w:pPr>
              <w:spacing w:line="240" w:lineRule="auto"/>
              <w:jc w:val="center"/>
              <w:rPr>
                <w:color w:val="000000" w:themeColor="text1"/>
              </w:rPr>
            </w:pPr>
            <w:r w:rsidRPr="00606D67">
              <w:rPr>
                <w:color w:val="000000" w:themeColor="text1"/>
              </w:rPr>
              <w:t>Mental health</w:t>
            </w:r>
          </w:p>
        </w:tc>
        <w:tc>
          <w:tcPr>
            <w:tcW w:w="1283" w:type="dxa"/>
            <w:noWrap/>
            <w:vAlign w:val="center"/>
          </w:tcPr>
          <w:p w14:paraId="26824CEA" w14:textId="77777777" w:rsidR="00A10377" w:rsidRPr="00606D67" w:rsidRDefault="00A10377" w:rsidP="00A10377">
            <w:pPr>
              <w:spacing w:line="240" w:lineRule="auto"/>
              <w:jc w:val="center"/>
              <w:rPr>
                <w:color w:val="000000" w:themeColor="text1"/>
              </w:rPr>
            </w:pPr>
            <w:r w:rsidRPr="00606D67">
              <w:rPr>
                <w:color w:val="000000" w:themeColor="text1"/>
              </w:rPr>
              <w:t>Low</w:t>
            </w:r>
          </w:p>
        </w:tc>
      </w:tr>
      <w:tr w:rsidR="00606D67" w:rsidRPr="00606D67" w14:paraId="064E381E" w14:textId="77777777" w:rsidTr="00AE0D1B">
        <w:trPr>
          <w:trHeight w:val="1134"/>
        </w:trPr>
        <w:tc>
          <w:tcPr>
            <w:tcW w:w="1271" w:type="dxa"/>
            <w:noWrap/>
            <w:vAlign w:val="center"/>
            <w:hideMark/>
          </w:tcPr>
          <w:p w14:paraId="3856C00D" w14:textId="77777777" w:rsidR="00A10377" w:rsidRPr="00606D67" w:rsidRDefault="00A10377" w:rsidP="00A10377">
            <w:pPr>
              <w:spacing w:line="240" w:lineRule="auto"/>
              <w:jc w:val="center"/>
              <w:rPr>
                <w:color w:val="000000" w:themeColor="text1"/>
              </w:rPr>
            </w:pPr>
            <w:proofErr w:type="spellStart"/>
            <w:r w:rsidRPr="00606D67">
              <w:rPr>
                <w:color w:val="000000" w:themeColor="text1"/>
              </w:rPr>
              <w:lastRenderedPageBreak/>
              <w:t>Paradies</w:t>
            </w:r>
            <w:proofErr w:type="spellEnd"/>
            <w:r w:rsidRPr="00606D67">
              <w:rPr>
                <w:color w:val="000000" w:themeColor="text1"/>
              </w:rPr>
              <w:t xml:space="preserve"> et al. (2015)</w:t>
            </w:r>
          </w:p>
        </w:tc>
        <w:tc>
          <w:tcPr>
            <w:tcW w:w="1519" w:type="dxa"/>
            <w:noWrap/>
            <w:vAlign w:val="center"/>
            <w:hideMark/>
          </w:tcPr>
          <w:p w14:paraId="7312879D" w14:textId="77777777" w:rsidR="00A10377" w:rsidRPr="00606D67" w:rsidRDefault="00A10377" w:rsidP="00A10377">
            <w:pPr>
              <w:spacing w:line="240" w:lineRule="auto"/>
              <w:jc w:val="center"/>
              <w:rPr>
                <w:color w:val="000000" w:themeColor="text1"/>
              </w:rPr>
            </w:pPr>
            <w:r w:rsidRPr="00606D67">
              <w:rPr>
                <w:color w:val="000000" w:themeColor="text1"/>
              </w:rPr>
              <w:t>up to 2013</w:t>
            </w:r>
          </w:p>
        </w:tc>
        <w:tc>
          <w:tcPr>
            <w:tcW w:w="2313" w:type="dxa"/>
            <w:noWrap/>
            <w:vAlign w:val="center"/>
            <w:hideMark/>
          </w:tcPr>
          <w:p w14:paraId="28E98A86" w14:textId="77777777" w:rsidR="00A10377" w:rsidRPr="00606D67" w:rsidRDefault="00A10377" w:rsidP="00A10377">
            <w:pPr>
              <w:spacing w:line="240" w:lineRule="auto"/>
              <w:jc w:val="center"/>
              <w:rPr>
                <w:color w:val="000000" w:themeColor="text1"/>
              </w:rPr>
            </w:pPr>
            <w:r w:rsidRPr="00606D67">
              <w:rPr>
                <w:color w:val="000000" w:themeColor="text1"/>
              </w:rPr>
              <w:t>quantitative</w:t>
            </w:r>
          </w:p>
        </w:tc>
        <w:tc>
          <w:tcPr>
            <w:tcW w:w="2122" w:type="dxa"/>
            <w:noWrap/>
            <w:vAlign w:val="center"/>
            <w:hideMark/>
          </w:tcPr>
          <w:p w14:paraId="2273ED28" w14:textId="77777777" w:rsidR="00A10377" w:rsidRPr="00606D67" w:rsidRDefault="00A10377" w:rsidP="00A10377">
            <w:pPr>
              <w:spacing w:line="240" w:lineRule="auto"/>
              <w:jc w:val="center"/>
              <w:rPr>
                <w:color w:val="000000" w:themeColor="text1"/>
              </w:rPr>
            </w:pPr>
            <w:r w:rsidRPr="00606D67">
              <w:rPr>
                <w:color w:val="000000" w:themeColor="text1"/>
              </w:rPr>
              <w:t>General population, predominantly in the US</w:t>
            </w:r>
          </w:p>
        </w:tc>
        <w:tc>
          <w:tcPr>
            <w:tcW w:w="3548" w:type="dxa"/>
            <w:noWrap/>
            <w:vAlign w:val="center"/>
            <w:hideMark/>
          </w:tcPr>
          <w:p w14:paraId="545DCD07" w14:textId="77777777" w:rsidR="00A10377" w:rsidRPr="00606D67" w:rsidRDefault="00A10377" w:rsidP="00A10377">
            <w:pPr>
              <w:spacing w:line="240" w:lineRule="auto"/>
              <w:jc w:val="center"/>
              <w:rPr>
                <w:color w:val="000000" w:themeColor="text1"/>
              </w:rPr>
            </w:pPr>
            <w:r w:rsidRPr="00606D67">
              <w:rPr>
                <w:color w:val="000000" w:themeColor="text1"/>
              </w:rPr>
              <w:t>Racism</w:t>
            </w:r>
          </w:p>
        </w:tc>
        <w:tc>
          <w:tcPr>
            <w:tcW w:w="1892" w:type="dxa"/>
            <w:noWrap/>
            <w:vAlign w:val="center"/>
            <w:hideMark/>
          </w:tcPr>
          <w:p w14:paraId="2D8F79E8" w14:textId="77777777" w:rsidR="00A10377" w:rsidRPr="00606D67" w:rsidRDefault="00A10377" w:rsidP="00A10377">
            <w:pPr>
              <w:spacing w:line="240" w:lineRule="auto"/>
              <w:jc w:val="center"/>
              <w:rPr>
                <w:color w:val="000000" w:themeColor="text1"/>
              </w:rPr>
            </w:pPr>
            <w:r w:rsidRPr="00606D67">
              <w:rPr>
                <w:color w:val="000000" w:themeColor="text1"/>
              </w:rPr>
              <w:t>Mental health</w:t>
            </w:r>
          </w:p>
        </w:tc>
        <w:tc>
          <w:tcPr>
            <w:tcW w:w="1283" w:type="dxa"/>
            <w:noWrap/>
            <w:vAlign w:val="center"/>
            <w:hideMark/>
          </w:tcPr>
          <w:p w14:paraId="7444967D" w14:textId="77777777" w:rsidR="00A10377" w:rsidRPr="00606D67" w:rsidRDefault="00A10377" w:rsidP="00A10377">
            <w:pPr>
              <w:spacing w:line="240" w:lineRule="auto"/>
              <w:jc w:val="center"/>
              <w:rPr>
                <w:color w:val="000000" w:themeColor="text1"/>
              </w:rPr>
            </w:pPr>
            <w:r w:rsidRPr="00606D67">
              <w:rPr>
                <w:color w:val="000000" w:themeColor="text1"/>
              </w:rPr>
              <w:t>Medium</w:t>
            </w:r>
          </w:p>
        </w:tc>
      </w:tr>
      <w:tr w:rsidR="00606D67" w:rsidRPr="00606D67" w14:paraId="23AB4B32" w14:textId="77777777" w:rsidTr="00AE0D1B">
        <w:trPr>
          <w:trHeight w:val="1134"/>
        </w:trPr>
        <w:tc>
          <w:tcPr>
            <w:tcW w:w="1271" w:type="dxa"/>
            <w:noWrap/>
            <w:vAlign w:val="center"/>
            <w:hideMark/>
          </w:tcPr>
          <w:p w14:paraId="01CB905F" w14:textId="77777777" w:rsidR="00A10377" w:rsidRPr="00606D67" w:rsidRDefault="00A10377" w:rsidP="00A10377">
            <w:pPr>
              <w:spacing w:line="240" w:lineRule="auto"/>
              <w:jc w:val="center"/>
              <w:rPr>
                <w:color w:val="000000" w:themeColor="text1"/>
              </w:rPr>
            </w:pPr>
            <w:r w:rsidRPr="00606D67">
              <w:rPr>
                <w:color w:val="000000" w:themeColor="text1"/>
              </w:rPr>
              <w:t>Patel et al. (2018)</w:t>
            </w:r>
          </w:p>
        </w:tc>
        <w:tc>
          <w:tcPr>
            <w:tcW w:w="1519" w:type="dxa"/>
            <w:noWrap/>
            <w:vAlign w:val="center"/>
            <w:hideMark/>
          </w:tcPr>
          <w:p w14:paraId="796E4C33" w14:textId="77777777" w:rsidR="00A10377" w:rsidRPr="00606D67" w:rsidRDefault="00A10377" w:rsidP="00A10377">
            <w:pPr>
              <w:spacing w:line="240" w:lineRule="auto"/>
              <w:jc w:val="center"/>
              <w:rPr>
                <w:color w:val="000000" w:themeColor="text1"/>
              </w:rPr>
            </w:pPr>
            <w:r w:rsidRPr="00606D67">
              <w:rPr>
                <w:color w:val="000000" w:themeColor="text1"/>
              </w:rPr>
              <w:t>up to July 2017</w:t>
            </w:r>
          </w:p>
        </w:tc>
        <w:tc>
          <w:tcPr>
            <w:tcW w:w="2313" w:type="dxa"/>
            <w:noWrap/>
            <w:vAlign w:val="center"/>
            <w:hideMark/>
          </w:tcPr>
          <w:p w14:paraId="176E2982" w14:textId="77777777" w:rsidR="00A10377" w:rsidRPr="00606D67" w:rsidRDefault="00A10377" w:rsidP="00A10377">
            <w:pPr>
              <w:spacing w:line="240" w:lineRule="auto"/>
              <w:jc w:val="center"/>
              <w:rPr>
                <w:color w:val="000000" w:themeColor="text1"/>
              </w:rPr>
            </w:pPr>
            <w:r w:rsidRPr="00606D67">
              <w:rPr>
                <w:color w:val="000000" w:themeColor="text1"/>
              </w:rPr>
              <w:t>empirical</w:t>
            </w:r>
          </w:p>
        </w:tc>
        <w:tc>
          <w:tcPr>
            <w:tcW w:w="2122" w:type="dxa"/>
            <w:noWrap/>
            <w:vAlign w:val="center"/>
            <w:hideMark/>
          </w:tcPr>
          <w:p w14:paraId="783B16B2" w14:textId="77777777" w:rsidR="00A10377" w:rsidRPr="00606D67" w:rsidRDefault="00A10377" w:rsidP="00A10377">
            <w:pPr>
              <w:spacing w:line="240" w:lineRule="auto"/>
              <w:jc w:val="center"/>
              <w:rPr>
                <w:color w:val="000000" w:themeColor="text1"/>
              </w:rPr>
            </w:pPr>
            <w:r w:rsidRPr="00606D67">
              <w:rPr>
                <w:color w:val="000000" w:themeColor="text1"/>
              </w:rPr>
              <w:t>Human/general population</w:t>
            </w:r>
          </w:p>
        </w:tc>
        <w:tc>
          <w:tcPr>
            <w:tcW w:w="3548" w:type="dxa"/>
            <w:noWrap/>
            <w:vAlign w:val="center"/>
            <w:hideMark/>
          </w:tcPr>
          <w:p w14:paraId="0DE2ACE5" w14:textId="77777777" w:rsidR="00A10377" w:rsidRPr="00606D67" w:rsidRDefault="00A10377" w:rsidP="00A10377">
            <w:pPr>
              <w:spacing w:line="240" w:lineRule="auto"/>
              <w:jc w:val="center"/>
              <w:rPr>
                <w:color w:val="000000" w:themeColor="text1"/>
              </w:rPr>
            </w:pPr>
            <w:r w:rsidRPr="00606D67">
              <w:rPr>
                <w:color w:val="000000" w:themeColor="text1"/>
              </w:rPr>
              <w:t>Income inequality</w:t>
            </w:r>
          </w:p>
        </w:tc>
        <w:tc>
          <w:tcPr>
            <w:tcW w:w="1892" w:type="dxa"/>
            <w:noWrap/>
            <w:vAlign w:val="center"/>
            <w:hideMark/>
          </w:tcPr>
          <w:p w14:paraId="4C0F74FA" w14:textId="77777777" w:rsidR="00A10377" w:rsidRPr="00606D67" w:rsidRDefault="00A10377" w:rsidP="00A10377">
            <w:pPr>
              <w:spacing w:line="240" w:lineRule="auto"/>
              <w:jc w:val="center"/>
              <w:rPr>
                <w:color w:val="000000" w:themeColor="text1"/>
              </w:rPr>
            </w:pPr>
            <w:r w:rsidRPr="00606D67">
              <w:rPr>
                <w:color w:val="000000" w:themeColor="text1"/>
              </w:rPr>
              <w:t>Depression</w:t>
            </w:r>
          </w:p>
        </w:tc>
        <w:tc>
          <w:tcPr>
            <w:tcW w:w="1283" w:type="dxa"/>
            <w:noWrap/>
            <w:vAlign w:val="center"/>
            <w:hideMark/>
          </w:tcPr>
          <w:p w14:paraId="080785F9" w14:textId="77777777" w:rsidR="00A10377" w:rsidRPr="00606D67" w:rsidRDefault="00A10377" w:rsidP="00A10377">
            <w:pPr>
              <w:spacing w:line="240" w:lineRule="auto"/>
              <w:jc w:val="center"/>
              <w:rPr>
                <w:color w:val="000000" w:themeColor="text1"/>
              </w:rPr>
            </w:pPr>
            <w:r w:rsidRPr="00606D67">
              <w:rPr>
                <w:color w:val="000000" w:themeColor="text1"/>
              </w:rPr>
              <w:t>Medium</w:t>
            </w:r>
          </w:p>
        </w:tc>
      </w:tr>
      <w:tr w:rsidR="00606D67" w:rsidRPr="00606D67" w14:paraId="545E0867" w14:textId="77777777" w:rsidTr="00AE0D1B">
        <w:trPr>
          <w:trHeight w:val="1134"/>
        </w:trPr>
        <w:tc>
          <w:tcPr>
            <w:tcW w:w="1271" w:type="dxa"/>
            <w:noWrap/>
            <w:vAlign w:val="center"/>
            <w:hideMark/>
          </w:tcPr>
          <w:p w14:paraId="7D70774E" w14:textId="77777777" w:rsidR="00A10377" w:rsidRPr="00606D67" w:rsidRDefault="00A10377" w:rsidP="00A10377">
            <w:pPr>
              <w:spacing w:line="240" w:lineRule="auto"/>
              <w:jc w:val="center"/>
              <w:rPr>
                <w:color w:val="000000" w:themeColor="text1"/>
              </w:rPr>
            </w:pPr>
            <w:r w:rsidRPr="00606D67">
              <w:rPr>
                <w:color w:val="000000" w:themeColor="text1"/>
              </w:rPr>
              <w:t>Remes et al. (2021)</w:t>
            </w:r>
          </w:p>
        </w:tc>
        <w:tc>
          <w:tcPr>
            <w:tcW w:w="1519" w:type="dxa"/>
            <w:noWrap/>
            <w:vAlign w:val="center"/>
            <w:hideMark/>
          </w:tcPr>
          <w:p w14:paraId="5E9DE9BD" w14:textId="77777777" w:rsidR="00A10377" w:rsidRPr="00606D67" w:rsidRDefault="00A10377" w:rsidP="00A10377">
            <w:pPr>
              <w:spacing w:line="240" w:lineRule="auto"/>
              <w:jc w:val="center"/>
              <w:rPr>
                <w:color w:val="000000" w:themeColor="text1"/>
              </w:rPr>
            </w:pPr>
            <w:r w:rsidRPr="00606D67">
              <w:rPr>
                <w:color w:val="000000" w:themeColor="text1"/>
              </w:rPr>
              <w:t>2017-2020</w:t>
            </w:r>
          </w:p>
        </w:tc>
        <w:tc>
          <w:tcPr>
            <w:tcW w:w="2313" w:type="dxa"/>
            <w:noWrap/>
            <w:vAlign w:val="center"/>
            <w:hideMark/>
          </w:tcPr>
          <w:p w14:paraId="6B1CE1FB" w14:textId="77777777" w:rsidR="00A10377" w:rsidRPr="00606D67" w:rsidRDefault="00A10377" w:rsidP="00A10377">
            <w:pPr>
              <w:spacing w:line="240" w:lineRule="auto"/>
              <w:jc w:val="center"/>
              <w:rPr>
                <w:color w:val="000000" w:themeColor="text1"/>
              </w:rPr>
            </w:pPr>
            <w:r w:rsidRPr="00606D67">
              <w:rPr>
                <w:color w:val="000000" w:themeColor="text1"/>
              </w:rPr>
              <w:t>primary studies, literature reviews, systematic reviews, meta-analyses, reports, and commentaries</w:t>
            </w:r>
          </w:p>
        </w:tc>
        <w:tc>
          <w:tcPr>
            <w:tcW w:w="2122" w:type="dxa"/>
            <w:noWrap/>
            <w:vAlign w:val="center"/>
            <w:hideMark/>
          </w:tcPr>
          <w:p w14:paraId="4E1650B8" w14:textId="77777777" w:rsidR="00A10377" w:rsidRPr="00606D67" w:rsidRDefault="00A10377" w:rsidP="00A10377">
            <w:pPr>
              <w:spacing w:line="240" w:lineRule="auto"/>
              <w:jc w:val="center"/>
              <w:rPr>
                <w:color w:val="000000" w:themeColor="text1"/>
              </w:rPr>
            </w:pPr>
            <w:r w:rsidRPr="00606D67">
              <w:rPr>
                <w:color w:val="000000" w:themeColor="text1"/>
              </w:rPr>
              <w:t>Human and/or rodent populations (rodent studies excluded from synthesis)</w:t>
            </w:r>
          </w:p>
        </w:tc>
        <w:tc>
          <w:tcPr>
            <w:tcW w:w="3548" w:type="dxa"/>
            <w:noWrap/>
            <w:vAlign w:val="center"/>
            <w:hideMark/>
          </w:tcPr>
          <w:p w14:paraId="49238A78" w14:textId="77777777" w:rsidR="00A10377" w:rsidRPr="00606D67" w:rsidRDefault="00A10377" w:rsidP="00A10377">
            <w:pPr>
              <w:spacing w:line="240" w:lineRule="auto"/>
              <w:jc w:val="center"/>
              <w:rPr>
                <w:color w:val="000000" w:themeColor="text1"/>
              </w:rPr>
            </w:pPr>
            <w:r w:rsidRPr="00606D67">
              <w:rPr>
                <w:color w:val="000000" w:themeColor="text1"/>
              </w:rPr>
              <w:t>Various psychological, social, and other factors</w:t>
            </w:r>
          </w:p>
        </w:tc>
        <w:tc>
          <w:tcPr>
            <w:tcW w:w="1892" w:type="dxa"/>
            <w:noWrap/>
            <w:vAlign w:val="center"/>
            <w:hideMark/>
          </w:tcPr>
          <w:p w14:paraId="7383FF73" w14:textId="77777777" w:rsidR="00A10377" w:rsidRPr="00606D67" w:rsidRDefault="00A10377" w:rsidP="00A10377">
            <w:pPr>
              <w:spacing w:line="240" w:lineRule="auto"/>
              <w:jc w:val="center"/>
              <w:rPr>
                <w:color w:val="000000" w:themeColor="text1"/>
              </w:rPr>
            </w:pPr>
            <w:r w:rsidRPr="00606D67">
              <w:rPr>
                <w:color w:val="000000" w:themeColor="text1"/>
              </w:rPr>
              <w:t>Depression</w:t>
            </w:r>
          </w:p>
        </w:tc>
        <w:tc>
          <w:tcPr>
            <w:tcW w:w="1283" w:type="dxa"/>
            <w:noWrap/>
            <w:vAlign w:val="center"/>
            <w:hideMark/>
          </w:tcPr>
          <w:p w14:paraId="29EBC129" w14:textId="77777777" w:rsidR="00A10377" w:rsidRPr="00606D67" w:rsidRDefault="00A10377" w:rsidP="00A10377">
            <w:pPr>
              <w:spacing w:line="240" w:lineRule="auto"/>
              <w:jc w:val="center"/>
              <w:rPr>
                <w:color w:val="000000" w:themeColor="text1"/>
              </w:rPr>
            </w:pPr>
            <w:r w:rsidRPr="00606D67">
              <w:rPr>
                <w:color w:val="000000" w:themeColor="text1"/>
              </w:rPr>
              <w:t>Medium</w:t>
            </w:r>
          </w:p>
        </w:tc>
      </w:tr>
      <w:tr w:rsidR="00606D67" w:rsidRPr="00606D67" w14:paraId="3F5D3DD2" w14:textId="77777777" w:rsidTr="00AE0D1B">
        <w:trPr>
          <w:trHeight w:val="1134"/>
        </w:trPr>
        <w:tc>
          <w:tcPr>
            <w:tcW w:w="1271" w:type="dxa"/>
            <w:noWrap/>
            <w:vAlign w:val="center"/>
            <w:hideMark/>
          </w:tcPr>
          <w:p w14:paraId="36752E56" w14:textId="77777777" w:rsidR="00A10377" w:rsidRPr="00606D67" w:rsidRDefault="00A10377" w:rsidP="00A10377">
            <w:pPr>
              <w:spacing w:line="240" w:lineRule="auto"/>
              <w:jc w:val="center"/>
              <w:rPr>
                <w:color w:val="000000" w:themeColor="text1"/>
              </w:rPr>
            </w:pPr>
            <w:proofErr w:type="spellStart"/>
            <w:r w:rsidRPr="00606D67">
              <w:rPr>
                <w:color w:val="000000" w:themeColor="text1"/>
              </w:rPr>
              <w:t>Ribiero</w:t>
            </w:r>
            <w:proofErr w:type="spellEnd"/>
            <w:r w:rsidRPr="00606D67">
              <w:rPr>
                <w:color w:val="000000" w:themeColor="text1"/>
              </w:rPr>
              <w:t xml:space="preserve"> et al. (2017)</w:t>
            </w:r>
          </w:p>
        </w:tc>
        <w:tc>
          <w:tcPr>
            <w:tcW w:w="1519" w:type="dxa"/>
            <w:noWrap/>
            <w:vAlign w:val="center"/>
            <w:hideMark/>
          </w:tcPr>
          <w:p w14:paraId="487F67B1" w14:textId="77777777" w:rsidR="00A10377" w:rsidRPr="00606D67" w:rsidRDefault="00A10377" w:rsidP="00A10377">
            <w:pPr>
              <w:spacing w:line="240" w:lineRule="auto"/>
              <w:jc w:val="center"/>
              <w:rPr>
                <w:color w:val="000000" w:themeColor="text1"/>
              </w:rPr>
            </w:pPr>
            <w:r w:rsidRPr="00606D67">
              <w:rPr>
                <w:color w:val="000000" w:themeColor="text1"/>
              </w:rPr>
              <w:t>July 2016</w:t>
            </w:r>
          </w:p>
        </w:tc>
        <w:tc>
          <w:tcPr>
            <w:tcW w:w="2313" w:type="dxa"/>
            <w:noWrap/>
            <w:vAlign w:val="center"/>
            <w:hideMark/>
          </w:tcPr>
          <w:p w14:paraId="5AB9D1F5" w14:textId="77777777" w:rsidR="00A10377" w:rsidRPr="00606D67" w:rsidRDefault="00A10377" w:rsidP="00A10377">
            <w:pPr>
              <w:spacing w:line="240" w:lineRule="auto"/>
              <w:jc w:val="center"/>
              <w:rPr>
                <w:color w:val="000000" w:themeColor="text1"/>
              </w:rPr>
            </w:pPr>
            <w:r w:rsidRPr="00606D67">
              <w:rPr>
                <w:color w:val="000000" w:themeColor="text1"/>
              </w:rPr>
              <w:t>quantitative</w:t>
            </w:r>
          </w:p>
        </w:tc>
        <w:tc>
          <w:tcPr>
            <w:tcW w:w="2122" w:type="dxa"/>
            <w:noWrap/>
            <w:vAlign w:val="center"/>
            <w:hideMark/>
          </w:tcPr>
          <w:p w14:paraId="25B889FC" w14:textId="77777777" w:rsidR="00A10377" w:rsidRPr="00606D67" w:rsidRDefault="00A10377" w:rsidP="00A10377">
            <w:pPr>
              <w:spacing w:line="240" w:lineRule="auto"/>
              <w:jc w:val="center"/>
              <w:rPr>
                <w:color w:val="000000" w:themeColor="text1"/>
              </w:rPr>
            </w:pPr>
            <w:r w:rsidRPr="00606D67">
              <w:rPr>
                <w:color w:val="000000" w:themeColor="text1"/>
              </w:rPr>
              <w:t>Human/general population</w:t>
            </w:r>
          </w:p>
        </w:tc>
        <w:tc>
          <w:tcPr>
            <w:tcW w:w="3548" w:type="dxa"/>
            <w:noWrap/>
            <w:vAlign w:val="center"/>
            <w:hideMark/>
          </w:tcPr>
          <w:p w14:paraId="33924431" w14:textId="77777777" w:rsidR="00A10377" w:rsidRPr="00606D67" w:rsidRDefault="00A10377" w:rsidP="00A10377">
            <w:pPr>
              <w:spacing w:line="240" w:lineRule="auto"/>
              <w:jc w:val="center"/>
              <w:rPr>
                <w:color w:val="000000" w:themeColor="text1"/>
              </w:rPr>
            </w:pPr>
            <w:r w:rsidRPr="00606D67">
              <w:rPr>
                <w:color w:val="000000" w:themeColor="text1"/>
              </w:rPr>
              <w:t>Income inequality</w:t>
            </w:r>
          </w:p>
        </w:tc>
        <w:tc>
          <w:tcPr>
            <w:tcW w:w="1892" w:type="dxa"/>
            <w:noWrap/>
            <w:vAlign w:val="center"/>
            <w:hideMark/>
          </w:tcPr>
          <w:p w14:paraId="0D4ED5C2" w14:textId="77777777" w:rsidR="00A10377" w:rsidRPr="00606D67" w:rsidRDefault="00A10377" w:rsidP="00A10377">
            <w:pPr>
              <w:spacing w:line="240" w:lineRule="auto"/>
              <w:jc w:val="center"/>
              <w:rPr>
                <w:color w:val="000000" w:themeColor="text1"/>
              </w:rPr>
            </w:pPr>
            <w:r w:rsidRPr="00606D67">
              <w:rPr>
                <w:color w:val="000000" w:themeColor="text1"/>
              </w:rPr>
              <w:t>Mental health</w:t>
            </w:r>
          </w:p>
        </w:tc>
        <w:tc>
          <w:tcPr>
            <w:tcW w:w="1283" w:type="dxa"/>
            <w:noWrap/>
            <w:vAlign w:val="center"/>
            <w:hideMark/>
          </w:tcPr>
          <w:p w14:paraId="246B31AB" w14:textId="77777777" w:rsidR="00A10377" w:rsidRPr="00606D67" w:rsidRDefault="00A10377" w:rsidP="00A10377">
            <w:pPr>
              <w:spacing w:line="240" w:lineRule="auto"/>
              <w:jc w:val="center"/>
              <w:rPr>
                <w:color w:val="000000" w:themeColor="text1"/>
              </w:rPr>
            </w:pPr>
            <w:r w:rsidRPr="00606D67">
              <w:rPr>
                <w:color w:val="000000" w:themeColor="text1"/>
              </w:rPr>
              <w:t>Medium</w:t>
            </w:r>
          </w:p>
        </w:tc>
      </w:tr>
      <w:tr w:rsidR="00606D67" w:rsidRPr="00606D67" w14:paraId="1D3AB4B6" w14:textId="77777777" w:rsidTr="00AE0D1B">
        <w:trPr>
          <w:trHeight w:val="1134"/>
        </w:trPr>
        <w:tc>
          <w:tcPr>
            <w:tcW w:w="1271" w:type="dxa"/>
            <w:noWrap/>
            <w:vAlign w:val="center"/>
            <w:hideMark/>
          </w:tcPr>
          <w:p w14:paraId="77196CD0" w14:textId="77777777" w:rsidR="00A10377" w:rsidRPr="00606D67" w:rsidRDefault="00A10377" w:rsidP="00A10377">
            <w:pPr>
              <w:spacing w:line="240" w:lineRule="auto"/>
              <w:jc w:val="center"/>
              <w:rPr>
                <w:color w:val="000000" w:themeColor="text1"/>
              </w:rPr>
            </w:pPr>
            <w:proofErr w:type="spellStart"/>
            <w:r w:rsidRPr="00606D67">
              <w:rPr>
                <w:color w:val="000000" w:themeColor="text1"/>
              </w:rPr>
              <w:t>Samari</w:t>
            </w:r>
            <w:proofErr w:type="spellEnd"/>
            <w:r w:rsidRPr="00606D67">
              <w:rPr>
                <w:color w:val="000000" w:themeColor="text1"/>
              </w:rPr>
              <w:t xml:space="preserve"> et al. (2018)</w:t>
            </w:r>
          </w:p>
        </w:tc>
        <w:tc>
          <w:tcPr>
            <w:tcW w:w="1519" w:type="dxa"/>
            <w:noWrap/>
            <w:vAlign w:val="center"/>
            <w:hideMark/>
          </w:tcPr>
          <w:p w14:paraId="25706B5D" w14:textId="77777777" w:rsidR="00A10377" w:rsidRPr="00606D67" w:rsidRDefault="00A10377" w:rsidP="00A10377">
            <w:pPr>
              <w:spacing w:line="240" w:lineRule="auto"/>
              <w:jc w:val="center"/>
              <w:rPr>
                <w:color w:val="000000" w:themeColor="text1"/>
              </w:rPr>
            </w:pPr>
            <w:r w:rsidRPr="00606D67">
              <w:rPr>
                <w:color w:val="000000" w:themeColor="text1"/>
              </w:rPr>
              <w:t>up to Oct 2017</w:t>
            </w:r>
          </w:p>
        </w:tc>
        <w:tc>
          <w:tcPr>
            <w:tcW w:w="2313" w:type="dxa"/>
            <w:noWrap/>
            <w:vAlign w:val="center"/>
            <w:hideMark/>
          </w:tcPr>
          <w:p w14:paraId="64D395BE" w14:textId="77777777" w:rsidR="00A10377" w:rsidRPr="00606D67" w:rsidRDefault="00A10377" w:rsidP="00A10377">
            <w:pPr>
              <w:spacing w:line="240" w:lineRule="auto"/>
              <w:jc w:val="center"/>
              <w:rPr>
                <w:color w:val="000000" w:themeColor="text1"/>
              </w:rPr>
            </w:pPr>
            <w:r w:rsidRPr="00606D67">
              <w:rPr>
                <w:color w:val="000000" w:themeColor="text1"/>
              </w:rPr>
              <w:t>empirical</w:t>
            </w:r>
          </w:p>
        </w:tc>
        <w:tc>
          <w:tcPr>
            <w:tcW w:w="2122" w:type="dxa"/>
            <w:noWrap/>
            <w:vAlign w:val="center"/>
            <w:hideMark/>
          </w:tcPr>
          <w:p w14:paraId="24247464" w14:textId="77777777" w:rsidR="00A10377" w:rsidRPr="00606D67" w:rsidRDefault="00A10377" w:rsidP="00A10377">
            <w:pPr>
              <w:spacing w:line="240" w:lineRule="auto"/>
              <w:jc w:val="center"/>
              <w:rPr>
                <w:color w:val="000000" w:themeColor="text1"/>
              </w:rPr>
            </w:pPr>
            <w:r w:rsidRPr="00606D67">
              <w:rPr>
                <w:color w:val="000000" w:themeColor="text1"/>
              </w:rPr>
              <w:t>Muslim and Muslim-like populations in North America, Europe, Australia, or New Zealand</w:t>
            </w:r>
          </w:p>
        </w:tc>
        <w:tc>
          <w:tcPr>
            <w:tcW w:w="3548" w:type="dxa"/>
            <w:noWrap/>
            <w:vAlign w:val="center"/>
            <w:hideMark/>
          </w:tcPr>
          <w:p w14:paraId="2591D60E" w14:textId="77777777" w:rsidR="00A10377" w:rsidRPr="00606D67" w:rsidRDefault="00A10377" w:rsidP="00A10377">
            <w:pPr>
              <w:spacing w:line="240" w:lineRule="auto"/>
              <w:jc w:val="center"/>
              <w:rPr>
                <w:color w:val="000000" w:themeColor="text1"/>
              </w:rPr>
            </w:pPr>
            <w:r w:rsidRPr="00606D67">
              <w:rPr>
                <w:color w:val="000000" w:themeColor="text1"/>
              </w:rPr>
              <w:t>Islamophobia</w:t>
            </w:r>
          </w:p>
        </w:tc>
        <w:tc>
          <w:tcPr>
            <w:tcW w:w="1892" w:type="dxa"/>
            <w:noWrap/>
            <w:vAlign w:val="center"/>
            <w:hideMark/>
          </w:tcPr>
          <w:p w14:paraId="66CD93A0" w14:textId="77777777" w:rsidR="00A10377" w:rsidRPr="00606D67" w:rsidRDefault="00A10377" w:rsidP="00A10377">
            <w:pPr>
              <w:spacing w:line="240" w:lineRule="auto"/>
              <w:jc w:val="center"/>
              <w:rPr>
                <w:color w:val="000000" w:themeColor="text1"/>
              </w:rPr>
            </w:pPr>
            <w:r w:rsidRPr="00606D67">
              <w:rPr>
                <w:color w:val="000000" w:themeColor="text1"/>
              </w:rPr>
              <w:t>Mental health</w:t>
            </w:r>
          </w:p>
        </w:tc>
        <w:tc>
          <w:tcPr>
            <w:tcW w:w="1283" w:type="dxa"/>
            <w:noWrap/>
            <w:vAlign w:val="center"/>
            <w:hideMark/>
          </w:tcPr>
          <w:p w14:paraId="77A55855" w14:textId="77777777" w:rsidR="00A10377" w:rsidRPr="00606D67" w:rsidRDefault="00A10377" w:rsidP="00A10377">
            <w:pPr>
              <w:spacing w:line="240" w:lineRule="auto"/>
              <w:jc w:val="center"/>
              <w:rPr>
                <w:color w:val="000000" w:themeColor="text1"/>
              </w:rPr>
            </w:pPr>
            <w:r w:rsidRPr="00606D67">
              <w:rPr>
                <w:color w:val="000000" w:themeColor="text1"/>
              </w:rPr>
              <w:t>Medium</w:t>
            </w:r>
          </w:p>
        </w:tc>
      </w:tr>
      <w:tr w:rsidR="00606D67" w:rsidRPr="00606D67" w14:paraId="0BCC788B" w14:textId="77777777" w:rsidTr="00AE0D1B">
        <w:trPr>
          <w:trHeight w:val="1134"/>
        </w:trPr>
        <w:tc>
          <w:tcPr>
            <w:tcW w:w="1271" w:type="dxa"/>
            <w:noWrap/>
            <w:vAlign w:val="center"/>
            <w:hideMark/>
          </w:tcPr>
          <w:p w14:paraId="70335918" w14:textId="77777777" w:rsidR="00A10377" w:rsidRPr="00606D67" w:rsidRDefault="00A10377" w:rsidP="00A10377">
            <w:pPr>
              <w:spacing w:line="240" w:lineRule="auto"/>
              <w:jc w:val="center"/>
              <w:rPr>
                <w:color w:val="000000" w:themeColor="text1"/>
              </w:rPr>
            </w:pPr>
            <w:proofErr w:type="spellStart"/>
            <w:r w:rsidRPr="00606D67">
              <w:rPr>
                <w:color w:val="000000" w:themeColor="text1"/>
              </w:rPr>
              <w:t>Santomauro</w:t>
            </w:r>
            <w:proofErr w:type="spellEnd"/>
            <w:r w:rsidRPr="00606D67">
              <w:rPr>
                <w:color w:val="000000" w:themeColor="text1"/>
              </w:rPr>
              <w:t xml:space="preserve"> et al. (2021)</w:t>
            </w:r>
          </w:p>
        </w:tc>
        <w:tc>
          <w:tcPr>
            <w:tcW w:w="1519" w:type="dxa"/>
            <w:noWrap/>
            <w:vAlign w:val="center"/>
            <w:hideMark/>
          </w:tcPr>
          <w:p w14:paraId="7CEDE9A6" w14:textId="77777777" w:rsidR="00A10377" w:rsidRPr="00606D67" w:rsidRDefault="00A10377" w:rsidP="00A10377">
            <w:pPr>
              <w:spacing w:line="240" w:lineRule="auto"/>
              <w:jc w:val="center"/>
              <w:rPr>
                <w:color w:val="000000" w:themeColor="text1"/>
              </w:rPr>
            </w:pPr>
            <w:r w:rsidRPr="00606D67">
              <w:rPr>
                <w:color w:val="000000" w:themeColor="text1"/>
              </w:rPr>
              <w:t>Jan 2020 to Jan 2021</w:t>
            </w:r>
          </w:p>
        </w:tc>
        <w:tc>
          <w:tcPr>
            <w:tcW w:w="2313" w:type="dxa"/>
            <w:noWrap/>
            <w:vAlign w:val="center"/>
            <w:hideMark/>
          </w:tcPr>
          <w:p w14:paraId="4E296FED" w14:textId="77777777" w:rsidR="00A10377" w:rsidRPr="00606D67" w:rsidRDefault="00A10377" w:rsidP="00A10377">
            <w:pPr>
              <w:spacing w:line="240" w:lineRule="auto"/>
              <w:jc w:val="center"/>
              <w:rPr>
                <w:color w:val="000000" w:themeColor="text1"/>
              </w:rPr>
            </w:pPr>
            <w:r w:rsidRPr="00606D67">
              <w:rPr>
                <w:color w:val="000000" w:themeColor="text1"/>
              </w:rPr>
              <w:t>Longitudinal studies and cross-sectional studies (if comparable pre-pandemic prevalence data existed)</w:t>
            </w:r>
          </w:p>
        </w:tc>
        <w:tc>
          <w:tcPr>
            <w:tcW w:w="2122" w:type="dxa"/>
            <w:noWrap/>
            <w:vAlign w:val="center"/>
            <w:hideMark/>
          </w:tcPr>
          <w:p w14:paraId="26B7C339" w14:textId="77777777" w:rsidR="00A10377" w:rsidRPr="00606D67" w:rsidRDefault="00A10377" w:rsidP="00A10377">
            <w:pPr>
              <w:spacing w:line="240" w:lineRule="auto"/>
              <w:jc w:val="center"/>
              <w:rPr>
                <w:color w:val="000000" w:themeColor="text1"/>
              </w:rPr>
            </w:pPr>
            <w:r w:rsidRPr="00606D67">
              <w:rPr>
                <w:color w:val="000000" w:themeColor="text1"/>
              </w:rPr>
              <w:t>Humans/general population</w:t>
            </w:r>
          </w:p>
        </w:tc>
        <w:tc>
          <w:tcPr>
            <w:tcW w:w="3548" w:type="dxa"/>
            <w:noWrap/>
            <w:vAlign w:val="center"/>
            <w:hideMark/>
          </w:tcPr>
          <w:p w14:paraId="72C9194D" w14:textId="77777777" w:rsidR="00A10377" w:rsidRPr="00606D67" w:rsidRDefault="00A10377" w:rsidP="00A10377">
            <w:pPr>
              <w:spacing w:line="240" w:lineRule="auto"/>
              <w:jc w:val="center"/>
              <w:rPr>
                <w:color w:val="000000" w:themeColor="text1"/>
              </w:rPr>
            </w:pPr>
            <w:r w:rsidRPr="00606D67">
              <w:rPr>
                <w:color w:val="000000" w:themeColor="text1"/>
              </w:rPr>
              <w:t>The COVID-19 pandemic</w:t>
            </w:r>
          </w:p>
        </w:tc>
        <w:tc>
          <w:tcPr>
            <w:tcW w:w="1892" w:type="dxa"/>
            <w:noWrap/>
            <w:vAlign w:val="center"/>
            <w:hideMark/>
          </w:tcPr>
          <w:p w14:paraId="27DC96A3" w14:textId="77777777" w:rsidR="00A10377" w:rsidRPr="00606D67" w:rsidRDefault="00A10377" w:rsidP="00A10377">
            <w:pPr>
              <w:spacing w:line="240" w:lineRule="auto"/>
              <w:jc w:val="center"/>
              <w:rPr>
                <w:color w:val="000000" w:themeColor="text1"/>
              </w:rPr>
            </w:pPr>
            <w:r w:rsidRPr="00606D67">
              <w:rPr>
                <w:color w:val="000000" w:themeColor="text1"/>
              </w:rPr>
              <w:t>Anxiety and depression</w:t>
            </w:r>
          </w:p>
        </w:tc>
        <w:tc>
          <w:tcPr>
            <w:tcW w:w="1283" w:type="dxa"/>
            <w:noWrap/>
            <w:vAlign w:val="center"/>
            <w:hideMark/>
          </w:tcPr>
          <w:p w14:paraId="548BA1D6" w14:textId="77777777" w:rsidR="00A10377" w:rsidRPr="00606D67" w:rsidRDefault="00A10377" w:rsidP="00A10377">
            <w:pPr>
              <w:spacing w:line="240" w:lineRule="auto"/>
              <w:jc w:val="center"/>
              <w:rPr>
                <w:color w:val="000000" w:themeColor="text1"/>
              </w:rPr>
            </w:pPr>
            <w:r w:rsidRPr="00606D67">
              <w:rPr>
                <w:color w:val="000000" w:themeColor="text1"/>
              </w:rPr>
              <w:t>Medium</w:t>
            </w:r>
          </w:p>
        </w:tc>
      </w:tr>
      <w:tr w:rsidR="00606D67" w:rsidRPr="00606D67" w14:paraId="7DEE7511" w14:textId="77777777" w:rsidTr="00AE0D1B">
        <w:trPr>
          <w:trHeight w:val="1134"/>
        </w:trPr>
        <w:tc>
          <w:tcPr>
            <w:tcW w:w="1271" w:type="dxa"/>
            <w:noWrap/>
            <w:vAlign w:val="center"/>
            <w:hideMark/>
          </w:tcPr>
          <w:p w14:paraId="3E393241" w14:textId="77777777" w:rsidR="00A10377" w:rsidRPr="00606D67" w:rsidRDefault="00A10377" w:rsidP="00A10377">
            <w:pPr>
              <w:spacing w:line="240" w:lineRule="auto"/>
              <w:jc w:val="center"/>
              <w:rPr>
                <w:color w:val="000000" w:themeColor="text1"/>
              </w:rPr>
            </w:pPr>
            <w:proofErr w:type="spellStart"/>
            <w:r w:rsidRPr="00606D67">
              <w:rPr>
                <w:color w:val="000000" w:themeColor="text1"/>
              </w:rPr>
              <w:lastRenderedPageBreak/>
              <w:t>Sepahvand</w:t>
            </w:r>
            <w:proofErr w:type="spellEnd"/>
            <w:r w:rsidRPr="00606D67">
              <w:rPr>
                <w:color w:val="000000" w:themeColor="text1"/>
              </w:rPr>
              <w:t xml:space="preserve"> et al. (2019)</w:t>
            </w:r>
          </w:p>
        </w:tc>
        <w:tc>
          <w:tcPr>
            <w:tcW w:w="1519" w:type="dxa"/>
            <w:noWrap/>
            <w:vAlign w:val="center"/>
            <w:hideMark/>
          </w:tcPr>
          <w:p w14:paraId="3349C593" w14:textId="77777777" w:rsidR="00A10377" w:rsidRPr="00606D67" w:rsidRDefault="00A10377" w:rsidP="00A10377">
            <w:pPr>
              <w:spacing w:line="240" w:lineRule="auto"/>
              <w:jc w:val="center"/>
              <w:rPr>
                <w:color w:val="000000" w:themeColor="text1"/>
              </w:rPr>
            </w:pPr>
            <w:r w:rsidRPr="00606D67">
              <w:rPr>
                <w:color w:val="000000" w:themeColor="text1"/>
              </w:rPr>
              <w:t>2000 to Oct 2015</w:t>
            </w:r>
          </w:p>
        </w:tc>
        <w:tc>
          <w:tcPr>
            <w:tcW w:w="2313" w:type="dxa"/>
            <w:noWrap/>
            <w:vAlign w:val="center"/>
            <w:hideMark/>
          </w:tcPr>
          <w:p w14:paraId="302D69B3" w14:textId="77777777" w:rsidR="00A10377" w:rsidRPr="00606D67" w:rsidRDefault="00A10377" w:rsidP="00A10377">
            <w:pPr>
              <w:spacing w:line="240" w:lineRule="auto"/>
              <w:jc w:val="center"/>
              <w:rPr>
                <w:color w:val="000000" w:themeColor="text1"/>
              </w:rPr>
            </w:pPr>
            <w:r w:rsidRPr="00606D67">
              <w:rPr>
                <w:color w:val="000000" w:themeColor="text1"/>
              </w:rPr>
              <w:t>quantitative</w:t>
            </w:r>
          </w:p>
        </w:tc>
        <w:tc>
          <w:tcPr>
            <w:tcW w:w="2122" w:type="dxa"/>
            <w:noWrap/>
            <w:vAlign w:val="center"/>
            <w:hideMark/>
          </w:tcPr>
          <w:p w14:paraId="593CD4F0" w14:textId="77777777" w:rsidR="00A10377" w:rsidRPr="00606D67" w:rsidRDefault="00A10377" w:rsidP="00A10377">
            <w:pPr>
              <w:spacing w:line="240" w:lineRule="auto"/>
              <w:jc w:val="center"/>
              <w:rPr>
                <w:color w:val="000000" w:themeColor="text1"/>
              </w:rPr>
            </w:pPr>
            <w:r w:rsidRPr="00606D67">
              <w:rPr>
                <w:color w:val="000000" w:themeColor="text1"/>
              </w:rPr>
              <w:t>Iranian people</w:t>
            </w:r>
          </w:p>
        </w:tc>
        <w:tc>
          <w:tcPr>
            <w:tcW w:w="3548" w:type="dxa"/>
            <w:noWrap/>
            <w:vAlign w:val="center"/>
            <w:hideMark/>
          </w:tcPr>
          <w:p w14:paraId="0DC1DE05" w14:textId="77777777" w:rsidR="00A10377" w:rsidRPr="00606D67" w:rsidRDefault="00A10377" w:rsidP="00A10377">
            <w:pPr>
              <w:spacing w:line="240" w:lineRule="auto"/>
              <w:jc w:val="center"/>
              <w:rPr>
                <w:color w:val="000000" w:themeColor="text1"/>
              </w:rPr>
            </w:pPr>
            <w:r w:rsidRPr="00606D67">
              <w:rPr>
                <w:color w:val="000000" w:themeColor="text1"/>
              </w:rPr>
              <w:t>Exposure to earthquakes or war, having certain occupations, childbirth, injury, events that cause significant damage, and violence and sexual harassment</w:t>
            </w:r>
          </w:p>
        </w:tc>
        <w:tc>
          <w:tcPr>
            <w:tcW w:w="1892" w:type="dxa"/>
            <w:noWrap/>
            <w:vAlign w:val="center"/>
            <w:hideMark/>
          </w:tcPr>
          <w:p w14:paraId="616F2FB2" w14:textId="77777777" w:rsidR="00A10377" w:rsidRPr="00606D67" w:rsidRDefault="00A10377" w:rsidP="00A10377">
            <w:pPr>
              <w:spacing w:line="240" w:lineRule="auto"/>
              <w:jc w:val="center"/>
              <w:rPr>
                <w:color w:val="000000" w:themeColor="text1"/>
              </w:rPr>
            </w:pPr>
            <w:r w:rsidRPr="00606D67">
              <w:rPr>
                <w:color w:val="000000" w:themeColor="text1"/>
              </w:rPr>
              <w:t>PTSD</w:t>
            </w:r>
          </w:p>
        </w:tc>
        <w:tc>
          <w:tcPr>
            <w:tcW w:w="1283" w:type="dxa"/>
            <w:noWrap/>
            <w:vAlign w:val="center"/>
            <w:hideMark/>
          </w:tcPr>
          <w:p w14:paraId="01859D41" w14:textId="77777777" w:rsidR="00A10377" w:rsidRPr="00606D67" w:rsidRDefault="00A10377" w:rsidP="00A10377">
            <w:pPr>
              <w:spacing w:line="240" w:lineRule="auto"/>
              <w:jc w:val="center"/>
              <w:rPr>
                <w:color w:val="000000" w:themeColor="text1"/>
              </w:rPr>
            </w:pPr>
            <w:r w:rsidRPr="00606D67">
              <w:rPr>
                <w:color w:val="000000" w:themeColor="text1"/>
              </w:rPr>
              <w:t>Medium</w:t>
            </w:r>
          </w:p>
        </w:tc>
      </w:tr>
      <w:tr w:rsidR="00606D67" w:rsidRPr="00606D67" w14:paraId="3B9A3852" w14:textId="77777777" w:rsidTr="00AE0D1B">
        <w:trPr>
          <w:trHeight w:val="1134"/>
        </w:trPr>
        <w:tc>
          <w:tcPr>
            <w:tcW w:w="1271" w:type="dxa"/>
            <w:noWrap/>
            <w:vAlign w:val="center"/>
            <w:hideMark/>
          </w:tcPr>
          <w:p w14:paraId="400DFEB2" w14:textId="77777777" w:rsidR="00A10377" w:rsidRPr="00606D67" w:rsidRDefault="00A10377" w:rsidP="00A10377">
            <w:pPr>
              <w:spacing w:line="240" w:lineRule="auto"/>
              <w:jc w:val="center"/>
              <w:rPr>
                <w:color w:val="000000" w:themeColor="text1"/>
              </w:rPr>
            </w:pPr>
            <w:proofErr w:type="spellStart"/>
            <w:r w:rsidRPr="00606D67">
              <w:rPr>
                <w:color w:val="000000" w:themeColor="text1"/>
              </w:rPr>
              <w:t>Tibber</w:t>
            </w:r>
            <w:proofErr w:type="spellEnd"/>
            <w:r w:rsidRPr="00606D67">
              <w:rPr>
                <w:color w:val="000000" w:themeColor="text1"/>
              </w:rPr>
              <w:t xml:space="preserve"> et al. (2022)</w:t>
            </w:r>
          </w:p>
        </w:tc>
        <w:tc>
          <w:tcPr>
            <w:tcW w:w="1519" w:type="dxa"/>
            <w:noWrap/>
            <w:vAlign w:val="center"/>
            <w:hideMark/>
          </w:tcPr>
          <w:p w14:paraId="73F0B8DE" w14:textId="77777777" w:rsidR="00A10377" w:rsidRPr="00606D67" w:rsidRDefault="00A10377" w:rsidP="00A10377">
            <w:pPr>
              <w:spacing w:line="240" w:lineRule="auto"/>
              <w:jc w:val="center"/>
              <w:rPr>
                <w:color w:val="000000" w:themeColor="text1"/>
              </w:rPr>
            </w:pPr>
            <w:r w:rsidRPr="00606D67">
              <w:rPr>
                <w:color w:val="000000" w:themeColor="text1"/>
              </w:rPr>
              <w:t>up to Sept 2020</w:t>
            </w:r>
          </w:p>
        </w:tc>
        <w:tc>
          <w:tcPr>
            <w:tcW w:w="2313" w:type="dxa"/>
            <w:noWrap/>
            <w:vAlign w:val="center"/>
            <w:hideMark/>
          </w:tcPr>
          <w:p w14:paraId="74F1246A" w14:textId="77777777" w:rsidR="00A10377" w:rsidRPr="00606D67" w:rsidRDefault="00A10377" w:rsidP="00A10377">
            <w:pPr>
              <w:spacing w:line="240" w:lineRule="auto"/>
              <w:jc w:val="center"/>
              <w:rPr>
                <w:color w:val="000000" w:themeColor="text1"/>
              </w:rPr>
            </w:pPr>
            <w:r w:rsidRPr="00606D67">
              <w:rPr>
                <w:color w:val="000000" w:themeColor="text1"/>
              </w:rPr>
              <w:t>quantitative</w:t>
            </w:r>
          </w:p>
        </w:tc>
        <w:tc>
          <w:tcPr>
            <w:tcW w:w="2122" w:type="dxa"/>
            <w:noWrap/>
            <w:vAlign w:val="center"/>
            <w:hideMark/>
          </w:tcPr>
          <w:p w14:paraId="620EFBCE" w14:textId="77777777" w:rsidR="00A10377" w:rsidRPr="00606D67" w:rsidRDefault="00A10377" w:rsidP="00A10377">
            <w:pPr>
              <w:spacing w:line="240" w:lineRule="auto"/>
              <w:jc w:val="center"/>
              <w:rPr>
                <w:color w:val="000000" w:themeColor="text1"/>
              </w:rPr>
            </w:pPr>
            <w:r w:rsidRPr="00606D67">
              <w:rPr>
                <w:color w:val="000000" w:themeColor="text1"/>
              </w:rPr>
              <w:t>Adults</w:t>
            </w:r>
          </w:p>
        </w:tc>
        <w:tc>
          <w:tcPr>
            <w:tcW w:w="3548" w:type="dxa"/>
            <w:noWrap/>
            <w:vAlign w:val="center"/>
            <w:hideMark/>
          </w:tcPr>
          <w:p w14:paraId="73DEED11" w14:textId="77777777" w:rsidR="00A10377" w:rsidRPr="00606D67" w:rsidRDefault="00A10377" w:rsidP="00A10377">
            <w:pPr>
              <w:spacing w:line="240" w:lineRule="auto"/>
              <w:jc w:val="center"/>
              <w:rPr>
                <w:color w:val="000000" w:themeColor="text1"/>
              </w:rPr>
            </w:pPr>
            <w:r w:rsidRPr="00606D67">
              <w:rPr>
                <w:color w:val="000000" w:themeColor="text1"/>
              </w:rPr>
              <w:t>Income inequality</w:t>
            </w:r>
          </w:p>
        </w:tc>
        <w:tc>
          <w:tcPr>
            <w:tcW w:w="1892" w:type="dxa"/>
            <w:noWrap/>
            <w:vAlign w:val="center"/>
            <w:hideMark/>
          </w:tcPr>
          <w:p w14:paraId="4A39A035" w14:textId="77777777" w:rsidR="00A10377" w:rsidRPr="00606D67" w:rsidRDefault="00A10377" w:rsidP="00A10377">
            <w:pPr>
              <w:spacing w:line="240" w:lineRule="auto"/>
              <w:jc w:val="center"/>
              <w:rPr>
                <w:color w:val="000000" w:themeColor="text1"/>
              </w:rPr>
            </w:pPr>
            <w:r w:rsidRPr="00606D67">
              <w:rPr>
                <w:color w:val="000000" w:themeColor="text1"/>
              </w:rPr>
              <w:t>Mental health</w:t>
            </w:r>
          </w:p>
        </w:tc>
        <w:tc>
          <w:tcPr>
            <w:tcW w:w="1283" w:type="dxa"/>
            <w:noWrap/>
            <w:vAlign w:val="center"/>
            <w:hideMark/>
          </w:tcPr>
          <w:p w14:paraId="1FC3F4FC" w14:textId="77777777" w:rsidR="00A10377" w:rsidRPr="00606D67" w:rsidRDefault="00A10377" w:rsidP="00A10377">
            <w:pPr>
              <w:spacing w:line="240" w:lineRule="auto"/>
              <w:jc w:val="center"/>
              <w:rPr>
                <w:color w:val="000000" w:themeColor="text1"/>
              </w:rPr>
            </w:pPr>
            <w:r w:rsidRPr="00606D67">
              <w:rPr>
                <w:color w:val="000000" w:themeColor="text1"/>
              </w:rPr>
              <w:t>Medium</w:t>
            </w:r>
          </w:p>
        </w:tc>
      </w:tr>
      <w:tr w:rsidR="00606D67" w:rsidRPr="00606D67" w14:paraId="4C546E8E" w14:textId="77777777" w:rsidTr="00AE0D1B">
        <w:trPr>
          <w:trHeight w:val="1134"/>
        </w:trPr>
        <w:tc>
          <w:tcPr>
            <w:tcW w:w="1271" w:type="dxa"/>
            <w:noWrap/>
            <w:vAlign w:val="center"/>
            <w:hideMark/>
          </w:tcPr>
          <w:p w14:paraId="266F7449" w14:textId="77777777" w:rsidR="00A10377" w:rsidRPr="00606D67" w:rsidRDefault="00A10377" w:rsidP="00A10377">
            <w:pPr>
              <w:spacing w:line="240" w:lineRule="auto"/>
              <w:jc w:val="center"/>
              <w:rPr>
                <w:color w:val="000000" w:themeColor="text1"/>
              </w:rPr>
            </w:pPr>
            <w:r w:rsidRPr="00606D67">
              <w:rPr>
                <w:color w:val="000000" w:themeColor="text1"/>
              </w:rPr>
              <w:t>Vásquez-Vera et al. (2017)</w:t>
            </w:r>
          </w:p>
        </w:tc>
        <w:tc>
          <w:tcPr>
            <w:tcW w:w="1519" w:type="dxa"/>
            <w:noWrap/>
            <w:vAlign w:val="center"/>
            <w:hideMark/>
          </w:tcPr>
          <w:p w14:paraId="1CCCEDD6" w14:textId="77777777" w:rsidR="00A10377" w:rsidRPr="00606D67" w:rsidRDefault="00A10377" w:rsidP="00A10377">
            <w:pPr>
              <w:spacing w:line="240" w:lineRule="auto"/>
              <w:jc w:val="center"/>
              <w:rPr>
                <w:color w:val="000000" w:themeColor="text1"/>
              </w:rPr>
            </w:pPr>
            <w:r w:rsidRPr="00606D67">
              <w:rPr>
                <w:color w:val="000000" w:themeColor="text1"/>
              </w:rPr>
              <w:t>up to March 2016</w:t>
            </w:r>
          </w:p>
        </w:tc>
        <w:tc>
          <w:tcPr>
            <w:tcW w:w="2313" w:type="dxa"/>
            <w:noWrap/>
            <w:vAlign w:val="center"/>
            <w:hideMark/>
          </w:tcPr>
          <w:p w14:paraId="7CCCF1FF" w14:textId="77777777" w:rsidR="00A10377" w:rsidRPr="00606D67" w:rsidRDefault="00A10377" w:rsidP="00A10377">
            <w:pPr>
              <w:spacing w:line="240" w:lineRule="auto"/>
              <w:jc w:val="center"/>
              <w:rPr>
                <w:color w:val="000000" w:themeColor="text1"/>
              </w:rPr>
            </w:pPr>
            <w:r w:rsidRPr="00606D67">
              <w:rPr>
                <w:color w:val="000000" w:themeColor="text1"/>
              </w:rPr>
              <w:t>empirical</w:t>
            </w:r>
          </w:p>
        </w:tc>
        <w:tc>
          <w:tcPr>
            <w:tcW w:w="2122" w:type="dxa"/>
            <w:noWrap/>
            <w:vAlign w:val="center"/>
            <w:hideMark/>
          </w:tcPr>
          <w:p w14:paraId="5D6CB9DF" w14:textId="77777777" w:rsidR="00A10377" w:rsidRPr="00606D67" w:rsidRDefault="00A10377" w:rsidP="00A10377">
            <w:pPr>
              <w:spacing w:line="240" w:lineRule="auto"/>
              <w:jc w:val="center"/>
              <w:rPr>
                <w:color w:val="000000" w:themeColor="text1"/>
              </w:rPr>
            </w:pPr>
            <w:r w:rsidRPr="00606D67">
              <w:rPr>
                <w:color w:val="000000" w:themeColor="text1"/>
              </w:rPr>
              <w:t>Human/general population</w:t>
            </w:r>
          </w:p>
        </w:tc>
        <w:tc>
          <w:tcPr>
            <w:tcW w:w="3548" w:type="dxa"/>
            <w:noWrap/>
            <w:vAlign w:val="center"/>
            <w:hideMark/>
          </w:tcPr>
          <w:p w14:paraId="2F239221" w14:textId="77777777" w:rsidR="00A10377" w:rsidRPr="00606D67" w:rsidRDefault="00A10377" w:rsidP="00A10377">
            <w:pPr>
              <w:spacing w:line="240" w:lineRule="auto"/>
              <w:jc w:val="center"/>
              <w:rPr>
                <w:color w:val="000000" w:themeColor="text1"/>
              </w:rPr>
            </w:pPr>
            <w:r w:rsidRPr="00606D67">
              <w:rPr>
                <w:color w:val="000000" w:themeColor="text1"/>
              </w:rPr>
              <w:t>The threat of home eviction</w:t>
            </w:r>
          </w:p>
        </w:tc>
        <w:tc>
          <w:tcPr>
            <w:tcW w:w="1892" w:type="dxa"/>
            <w:noWrap/>
            <w:vAlign w:val="center"/>
            <w:hideMark/>
          </w:tcPr>
          <w:p w14:paraId="02A9C7F8" w14:textId="77777777" w:rsidR="00A10377" w:rsidRPr="00606D67" w:rsidRDefault="00A10377" w:rsidP="00A10377">
            <w:pPr>
              <w:spacing w:line="240" w:lineRule="auto"/>
              <w:jc w:val="center"/>
              <w:rPr>
                <w:color w:val="000000" w:themeColor="text1"/>
              </w:rPr>
            </w:pPr>
            <w:r w:rsidRPr="00606D67">
              <w:rPr>
                <w:color w:val="000000" w:themeColor="text1"/>
              </w:rPr>
              <w:t>Mental health</w:t>
            </w:r>
          </w:p>
        </w:tc>
        <w:tc>
          <w:tcPr>
            <w:tcW w:w="1283" w:type="dxa"/>
            <w:noWrap/>
            <w:vAlign w:val="center"/>
            <w:hideMark/>
          </w:tcPr>
          <w:p w14:paraId="46692F9D" w14:textId="77777777" w:rsidR="00A10377" w:rsidRPr="00606D67" w:rsidRDefault="00A10377" w:rsidP="00A10377">
            <w:pPr>
              <w:spacing w:line="240" w:lineRule="auto"/>
              <w:jc w:val="center"/>
              <w:rPr>
                <w:color w:val="000000" w:themeColor="text1"/>
              </w:rPr>
            </w:pPr>
            <w:r w:rsidRPr="00606D67">
              <w:rPr>
                <w:color w:val="000000" w:themeColor="text1"/>
              </w:rPr>
              <w:t>Medium</w:t>
            </w:r>
          </w:p>
        </w:tc>
      </w:tr>
      <w:tr w:rsidR="00606D67" w:rsidRPr="00606D67" w14:paraId="38621BD4" w14:textId="77777777" w:rsidTr="00AE0D1B">
        <w:trPr>
          <w:trHeight w:val="1134"/>
        </w:trPr>
        <w:tc>
          <w:tcPr>
            <w:tcW w:w="1271" w:type="dxa"/>
            <w:noWrap/>
            <w:vAlign w:val="center"/>
          </w:tcPr>
          <w:p w14:paraId="5E222A3B" w14:textId="77777777" w:rsidR="00A10377" w:rsidRPr="00606D67" w:rsidRDefault="00A10377" w:rsidP="00A10377">
            <w:pPr>
              <w:spacing w:line="240" w:lineRule="auto"/>
              <w:jc w:val="center"/>
              <w:rPr>
                <w:color w:val="000000" w:themeColor="text1"/>
              </w:rPr>
            </w:pPr>
            <w:proofErr w:type="spellStart"/>
            <w:r w:rsidRPr="00606D67">
              <w:rPr>
                <w:color w:val="000000" w:themeColor="text1"/>
              </w:rPr>
              <w:t>Wichaidit</w:t>
            </w:r>
            <w:proofErr w:type="spellEnd"/>
            <w:r w:rsidRPr="00606D67">
              <w:rPr>
                <w:color w:val="000000" w:themeColor="text1"/>
              </w:rPr>
              <w:t xml:space="preserve"> (2018)</w:t>
            </w:r>
          </w:p>
        </w:tc>
        <w:tc>
          <w:tcPr>
            <w:tcW w:w="1519" w:type="dxa"/>
            <w:noWrap/>
            <w:vAlign w:val="center"/>
          </w:tcPr>
          <w:p w14:paraId="5FBB01CF" w14:textId="77777777" w:rsidR="00A10377" w:rsidRPr="00606D67" w:rsidRDefault="00A10377" w:rsidP="00A10377">
            <w:pPr>
              <w:spacing w:line="240" w:lineRule="auto"/>
              <w:jc w:val="center"/>
              <w:rPr>
                <w:color w:val="000000" w:themeColor="text1"/>
              </w:rPr>
            </w:pPr>
            <w:r w:rsidRPr="00606D67">
              <w:rPr>
                <w:color w:val="000000" w:themeColor="text1"/>
              </w:rPr>
              <w:t>2004 to Dec 2016</w:t>
            </w:r>
          </w:p>
        </w:tc>
        <w:tc>
          <w:tcPr>
            <w:tcW w:w="2313" w:type="dxa"/>
            <w:noWrap/>
            <w:vAlign w:val="center"/>
          </w:tcPr>
          <w:p w14:paraId="24413D04" w14:textId="77777777" w:rsidR="00A10377" w:rsidRPr="00606D67" w:rsidRDefault="00A10377" w:rsidP="00A10377">
            <w:pPr>
              <w:spacing w:line="240" w:lineRule="auto"/>
              <w:jc w:val="center"/>
              <w:rPr>
                <w:color w:val="000000" w:themeColor="text1"/>
              </w:rPr>
            </w:pPr>
            <w:r w:rsidRPr="00606D67">
              <w:rPr>
                <w:color w:val="000000" w:themeColor="text1"/>
              </w:rPr>
              <w:t>empirical</w:t>
            </w:r>
          </w:p>
        </w:tc>
        <w:tc>
          <w:tcPr>
            <w:tcW w:w="2122" w:type="dxa"/>
            <w:noWrap/>
            <w:vAlign w:val="center"/>
          </w:tcPr>
          <w:p w14:paraId="75CE7B9F" w14:textId="77777777" w:rsidR="00A10377" w:rsidRPr="00606D67" w:rsidRDefault="00A10377" w:rsidP="00A10377">
            <w:pPr>
              <w:spacing w:line="240" w:lineRule="auto"/>
              <w:jc w:val="center"/>
              <w:rPr>
                <w:color w:val="000000" w:themeColor="text1"/>
              </w:rPr>
            </w:pPr>
            <w:r w:rsidRPr="00606D67">
              <w:rPr>
                <w:color w:val="000000" w:themeColor="text1"/>
              </w:rPr>
              <w:t>People affected by the South Thailand insurgency</w:t>
            </w:r>
          </w:p>
        </w:tc>
        <w:tc>
          <w:tcPr>
            <w:tcW w:w="3548" w:type="dxa"/>
            <w:noWrap/>
            <w:vAlign w:val="center"/>
          </w:tcPr>
          <w:p w14:paraId="0D69734F" w14:textId="77777777" w:rsidR="00A10377" w:rsidRPr="00606D67" w:rsidRDefault="00A10377" w:rsidP="00A10377">
            <w:pPr>
              <w:spacing w:line="240" w:lineRule="auto"/>
              <w:jc w:val="center"/>
              <w:rPr>
                <w:color w:val="000000" w:themeColor="text1"/>
              </w:rPr>
            </w:pPr>
            <w:r w:rsidRPr="00606D67">
              <w:rPr>
                <w:color w:val="000000" w:themeColor="text1"/>
              </w:rPr>
              <w:t>Trauma due to armed conflict</w:t>
            </w:r>
          </w:p>
        </w:tc>
        <w:tc>
          <w:tcPr>
            <w:tcW w:w="1892" w:type="dxa"/>
            <w:noWrap/>
            <w:vAlign w:val="center"/>
          </w:tcPr>
          <w:p w14:paraId="21794A95" w14:textId="77777777" w:rsidR="00A10377" w:rsidRPr="00606D67" w:rsidRDefault="00A10377" w:rsidP="00A10377">
            <w:pPr>
              <w:spacing w:line="240" w:lineRule="auto"/>
              <w:jc w:val="center"/>
              <w:rPr>
                <w:color w:val="000000" w:themeColor="text1"/>
              </w:rPr>
            </w:pPr>
            <w:r w:rsidRPr="00606D67">
              <w:rPr>
                <w:color w:val="000000" w:themeColor="text1"/>
              </w:rPr>
              <w:t>Mental disorder</w:t>
            </w:r>
          </w:p>
        </w:tc>
        <w:tc>
          <w:tcPr>
            <w:tcW w:w="1283" w:type="dxa"/>
            <w:noWrap/>
            <w:vAlign w:val="center"/>
          </w:tcPr>
          <w:p w14:paraId="452F0866" w14:textId="77777777" w:rsidR="00A10377" w:rsidRPr="00606D67" w:rsidRDefault="00A10377" w:rsidP="00A10377">
            <w:pPr>
              <w:spacing w:line="240" w:lineRule="auto"/>
              <w:jc w:val="center"/>
              <w:rPr>
                <w:color w:val="000000" w:themeColor="text1"/>
              </w:rPr>
            </w:pPr>
            <w:r w:rsidRPr="00606D67">
              <w:rPr>
                <w:color w:val="000000" w:themeColor="text1"/>
              </w:rPr>
              <w:t>Low</w:t>
            </w:r>
          </w:p>
        </w:tc>
      </w:tr>
      <w:tr w:rsidR="00606D67" w:rsidRPr="00606D67" w14:paraId="30C6637E" w14:textId="77777777" w:rsidTr="00AE0D1B">
        <w:trPr>
          <w:trHeight w:val="1134"/>
        </w:trPr>
        <w:tc>
          <w:tcPr>
            <w:tcW w:w="1271" w:type="dxa"/>
            <w:noWrap/>
            <w:vAlign w:val="center"/>
            <w:hideMark/>
          </w:tcPr>
          <w:p w14:paraId="26D267A3" w14:textId="77777777" w:rsidR="00A10377" w:rsidRPr="00606D67" w:rsidRDefault="00A10377" w:rsidP="00A10377">
            <w:pPr>
              <w:spacing w:line="240" w:lineRule="auto"/>
              <w:jc w:val="center"/>
              <w:rPr>
                <w:color w:val="000000" w:themeColor="text1"/>
              </w:rPr>
            </w:pPr>
            <w:r w:rsidRPr="00606D67">
              <w:rPr>
                <w:color w:val="000000" w:themeColor="text1"/>
              </w:rPr>
              <w:t>Wolf et al. (2020)</w:t>
            </w:r>
          </w:p>
        </w:tc>
        <w:tc>
          <w:tcPr>
            <w:tcW w:w="1519" w:type="dxa"/>
            <w:noWrap/>
            <w:vAlign w:val="center"/>
            <w:hideMark/>
          </w:tcPr>
          <w:p w14:paraId="70DEA6F6" w14:textId="77777777" w:rsidR="00A10377" w:rsidRPr="00606D67" w:rsidRDefault="00A10377" w:rsidP="00A10377">
            <w:pPr>
              <w:spacing w:line="240" w:lineRule="auto"/>
              <w:jc w:val="center"/>
              <w:rPr>
                <w:color w:val="000000" w:themeColor="text1"/>
              </w:rPr>
            </w:pPr>
            <w:r w:rsidRPr="00606D67">
              <w:rPr>
                <w:color w:val="000000" w:themeColor="text1"/>
              </w:rPr>
              <w:t>up to March 2018</w:t>
            </w:r>
          </w:p>
        </w:tc>
        <w:tc>
          <w:tcPr>
            <w:tcW w:w="2313" w:type="dxa"/>
            <w:noWrap/>
            <w:vAlign w:val="center"/>
            <w:hideMark/>
          </w:tcPr>
          <w:p w14:paraId="28B827E6" w14:textId="77777777" w:rsidR="00A10377" w:rsidRPr="00606D67" w:rsidRDefault="00A10377" w:rsidP="00A10377">
            <w:pPr>
              <w:spacing w:line="240" w:lineRule="auto"/>
              <w:jc w:val="center"/>
              <w:rPr>
                <w:color w:val="000000" w:themeColor="text1"/>
              </w:rPr>
            </w:pPr>
            <w:r w:rsidRPr="00606D67">
              <w:rPr>
                <w:color w:val="000000" w:themeColor="text1"/>
              </w:rPr>
              <w:t xml:space="preserve">quantitative or </w:t>
            </w:r>
            <w:proofErr w:type="gramStart"/>
            <w:r w:rsidRPr="00606D67">
              <w:rPr>
                <w:color w:val="000000" w:themeColor="text1"/>
              </w:rPr>
              <w:t>mixed-methods</w:t>
            </w:r>
            <w:proofErr w:type="gramEnd"/>
          </w:p>
        </w:tc>
        <w:tc>
          <w:tcPr>
            <w:tcW w:w="2122" w:type="dxa"/>
            <w:noWrap/>
            <w:vAlign w:val="center"/>
            <w:hideMark/>
          </w:tcPr>
          <w:p w14:paraId="3BDF7833" w14:textId="77777777" w:rsidR="00A10377" w:rsidRPr="00606D67" w:rsidRDefault="00A10377" w:rsidP="00A10377">
            <w:pPr>
              <w:spacing w:line="240" w:lineRule="auto"/>
              <w:jc w:val="center"/>
              <w:rPr>
                <w:color w:val="000000" w:themeColor="text1"/>
              </w:rPr>
            </w:pPr>
            <w:r w:rsidRPr="00606D67">
              <w:rPr>
                <w:color w:val="000000" w:themeColor="text1"/>
              </w:rPr>
              <w:t>Urban populations</w:t>
            </w:r>
          </w:p>
        </w:tc>
        <w:tc>
          <w:tcPr>
            <w:tcW w:w="3548" w:type="dxa"/>
            <w:noWrap/>
            <w:vAlign w:val="center"/>
            <w:hideMark/>
          </w:tcPr>
          <w:p w14:paraId="0713079C" w14:textId="77777777" w:rsidR="00A10377" w:rsidRPr="00606D67" w:rsidRDefault="00A10377" w:rsidP="00A10377">
            <w:pPr>
              <w:spacing w:line="240" w:lineRule="auto"/>
              <w:jc w:val="center"/>
              <w:rPr>
                <w:color w:val="000000" w:themeColor="text1"/>
              </w:rPr>
            </w:pPr>
            <w:r w:rsidRPr="00606D67">
              <w:rPr>
                <w:color w:val="000000" w:themeColor="text1"/>
              </w:rPr>
              <w:t>Exposure to urban trees</w:t>
            </w:r>
          </w:p>
        </w:tc>
        <w:tc>
          <w:tcPr>
            <w:tcW w:w="1892" w:type="dxa"/>
            <w:noWrap/>
            <w:vAlign w:val="center"/>
            <w:hideMark/>
          </w:tcPr>
          <w:p w14:paraId="00179F4D" w14:textId="77777777" w:rsidR="00A10377" w:rsidRPr="00606D67" w:rsidRDefault="00A10377" w:rsidP="00A10377">
            <w:pPr>
              <w:spacing w:line="240" w:lineRule="auto"/>
              <w:jc w:val="center"/>
              <w:rPr>
                <w:color w:val="000000" w:themeColor="text1"/>
              </w:rPr>
            </w:pPr>
            <w:r w:rsidRPr="00606D67">
              <w:rPr>
                <w:color w:val="000000" w:themeColor="text1"/>
              </w:rPr>
              <w:t>Mental health</w:t>
            </w:r>
          </w:p>
        </w:tc>
        <w:tc>
          <w:tcPr>
            <w:tcW w:w="1283" w:type="dxa"/>
            <w:noWrap/>
            <w:vAlign w:val="center"/>
            <w:hideMark/>
          </w:tcPr>
          <w:p w14:paraId="25470638" w14:textId="77777777" w:rsidR="00A10377" w:rsidRPr="00606D67" w:rsidRDefault="00A10377" w:rsidP="00A10377">
            <w:pPr>
              <w:spacing w:line="240" w:lineRule="auto"/>
              <w:jc w:val="center"/>
              <w:rPr>
                <w:color w:val="000000" w:themeColor="text1"/>
              </w:rPr>
            </w:pPr>
            <w:r w:rsidRPr="00606D67">
              <w:rPr>
                <w:color w:val="000000" w:themeColor="text1"/>
              </w:rPr>
              <w:t>Medium</w:t>
            </w:r>
          </w:p>
        </w:tc>
      </w:tr>
      <w:tr w:rsidR="00606D67" w:rsidRPr="00606D67" w14:paraId="26804572" w14:textId="77777777" w:rsidTr="00AE0D1B">
        <w:trPr>
          <w:trHeight w:val="1134"/>
        </w:trPr>
        <w:tc>
          <w:tcPr>
            <w:tcW w:w="1271" w:type="dxa"/>
            <w:noWrap/>
            <w:vAlign w:val="center"/>
            <w:hideMark/>
          </w:tcPr>
          <w:p w14:paraId="45E3B563" w14:textId="77777777" w:rsidR="00A10377" w:rsidRPr="00606D67" w:rsidRDefault="00A10377" w:rsidP="00A10377">
            <w:pPr>
              <w:spacing w:line="240" w:lineRule="auto"/>
              <w:jc w:val="center"/>
              <w:rPr>
                <w:color w:val="000000" w:themeColor="text1"/>
              </w:rPr>
            </w:pPr>
            <w:proofErr w:type="spellStart"/>
            <w:r w:rsidRPr="00606D67">
              <w:rPr>
                <w:color w:val="000000" w:themeColor="text1"/>
              </w:rPr>
              <w:t>Yelton</w:t>
            </w:r>
            <w:proofErr w:type="spellEnd"/>
            <w:r w:rsidRPr="00606D67">
              <w:rPr>
                <w:color w:val="000000" w:themeColor="text1"/>
              </w:rPr>
              <w:t xml:space="preserve"> et al. (2022)</w:t>
            </w:r>
          </w:p>
        </w:tc>
        <w:tc>
          <w:tcPr>
            <w:tcW w:w="1519" w:type="dxa"/>
            <w:noWrap/>
            <w:vAlign w:val="center"/>
            <w:hideMark/>
          </w:tcPr>
          <w:p w14:paraId="4BB25DEC" w14:textId="77777777" w:rsidR="00A10377" w:rsidRPr="00606D67" w:rsidRDefault="00A10377" w:rsidP="00A10377">
            <w:pPr>
              <w:spacing w:line="240" w:lineRule="auto"/>
              <w:jc w:val="center"/>
              <w:rPr>
                <w:color w:val="000000" w:themeColor="text1"/>
              </w:rPr>
            </w:pPr>
            <w:r w:rsidRPr="00606D67">
              <w:rPr>
                <w:color w:val="000000" w:themeColor="text1"/>
              </w:rPr>
              <w:t>up to March 2021</w:t>
            </w:r>
          </w:p>
        </w:tc>
        <w:tc>
          <w:tcPr>
            <w:tcW w:w="2313" w:type="dxa"/>
            <w:noWrap/>
            <w:vAlign w:val="center"/>
            <w:hideMark/>
          </w:tcPr>
          <w:p w14:paraId="14CA011A" w14:textId="77777777" w:rsidR="00A10377" w:rsidRPr="00606D67" w:rsidRDefault="00A10377" w:rsidP="00A10377">
            <w:pPr>
              <w:spacing w:line="240" w:lineRule="auto"/>
              <w:jc w:val="center"/>
              <w:rPr>
                <w:color w:val="000000" w:themeColor="text1"/>
              </w:rPr>
            </w:pPr>
            <w:r w:rsidRPr="00606D67">
              <w:rPr>
                <w:color w:val="000000" w:themeColor="text1"/>
              </w:rPr>
              <w:t>empirical</w:t>
            </w:r>
          </w:p>
        </w:tc>
        <w:tc>
          <w:tcPr>
            <w:tcW w:w="2122" w:type="dxa"/>
            <w:noWrap/>
            <w:vAlign w:val="center"/>
            <w:hideMark/>
          </w:tcPr>
          <w:p w14:paraId="2498F82C" w14:textId="77777777" w:rsidR="00A10377" w:rsidRPr="00606D67" w:rsidRDefault="00A10377" w:rsidP="00A10377">
            <w:pPr>
              <w:spacing w:line="240" w:lineRule="auto"/>
              <w:jc w:val="center"/>
              <w:rPr>
                <w:color w:val="000000" w:themeColor="text1"/>
              </w:rPr>
            </w:pPr>
            <w:r w:rsidRPr="00606D67">
              <w:rPr>
                <w:color w:val="000000" w:themeColor="text1"/>
              </w:rPr>
              <w:t>Adult African Americans in the United States</w:t>
            </w:r>
          </w:p>
        </w:tc>
        <w:tc>
          <w:tcPr>
            <w:tcW w:w="3548" w:type="dxa"/>
            <w:noWrap/>
            <w:vAlign w:val="center"/>
            <w:hideMark/>
          </w:tcPr>
          <w:p w14:paraId="1B756C87" w14:textId="77777777" w:rsidR="00A10377" w:rsidRPr="00606D67" w:rsidRDefault="00A10377" w:rsidP="00A10377">
            <w:pPr>
              <w:spacing w:line="240" w:lineRule="auto"/>
              <w:jc w:val="center"/>
              <w:rPr>
                <w:color w:val="000000" w:themeColor="text1"/>
              </w:rPr>
            </w:pPr>
            <w:r w:rsidRPr="00606D67">
              <w:rPr>
                <w:color w:val="000000" w:themeColor="text1"/>
              </w:rPr>
              <w:t>Economic stability, neighbourhood and built environment, social and community context, health care access and quality</w:t>
            </w:r>
          </w:p>
        </w:tc>
        <w:tc>
          <w:tcPr>
            <w:tcW w:w="1892" w:type="dxa"/>
            <w:noWrap/>
            <w:vAlign w:val="center"/>
            <w:hideMark/>
          </w:tcPr>
          <w:p w14:paraId="02D147E5" w14:textId="77777777" w:rsidR="00A10377" w:rsidRPr="00606D67" w:rsidRDefault="00A10377" w:rsidP="00A10377">
            <w:pPr>
              <w:spacing w:line="240" w:lineRule="auto"/>
              <w:jc w:val="center"/>
              <w:rPr>
                <w:color w:val="000000" w:themeColor="text1"/>
              </w:rPr>
            </w:pPr>
            <w:r w:rsidRPr="00606D67">
              <w:rPr>
                <w:color w:val="000000" w:themeColor="text1"/>
              </w:rPr>
              <w:t>Depression</w:t>
            </w:r>
          </w:p>
        </w:tc>
        <w:tc>
          <w:tcPr>
            <w:tcW w:w="1283" w:type="dxa"/>
            <w:noWrap/>
            <w:vAlign w:val="center"/>
            <w:hideMark/>
          </w:tcPr>
          <w:p w14:paraId="31BFCF4B" w14:textId="77777777" w:rsidR="00A10377" w:rsidRPr="00606D67" w:rsidRDefault="00A10377" w:rsidP="00A10377">
            <w:pPr>
              <w:spacing w:line="240" w:lineRule="auto"/>
              <w:jc w:val="center"/>
              <w:rPr>
                <w:color w:val="000000" w:themeColor="text1"/>
              </w:rPr>
            </w:pPr>
            <w:r w:rsidRPr="00606D67">
              <w:rPr>
                <w:color w:val="000000" w:themeColor="text1"/>
              </w:rPr>
              <w:t>Medium</w:t>
            </w:r>
          </w:p>
        </w:tc>
      </w:tr>
      <w:tr w:rsidR="00606D67" w:rsidRPr="00606D67" w14:paraId="6C2EA42F" w14:textId="77777777" w:rsidTr="00AE0D1B">
        <w:trPr>
          <w:trHeight w:val="1134"/>
        </w:trPr>
        <w:tc>
          <w:tcPr>
            <w:tcW w:w="1271" w:type="dxa"/>
            <w:noWrap/>
            <w:vAlign w:val="center"/>
            <w:hideMark/>
          </w:tcPr>
          <w:p w14:paraId="21F4DEB0" w14:textId="77777777" w:rsidR="00A10377" w:rsidRPr="00606D67" w:rsidRDefault="00A10377" w:rsidP="00A10377">
            <w:pPr>
              <w:spacing w:line="240" w:lineRule="auto"/>
              <w:jc w:val="center"/>
              <w:rPr>
                <w:color w:val="000000" w:themeColor="text1"/>
              </w:rPr>
            </w:pPr>
            <w:proofErr w:type="spellStart"/>
            <w:r w:rsidRPr="00606D67">
              <w:rPr>
                <w:color w:val="000000" w:themeColor="text1"/>
              </w:rPr>
              <w:t>Zenebe</w:t>
            </w:r>
            <w:proofErr w:type="spellEnd"/>
            <w:r w:rsidRPr="00606D67">
              <w:rPr>
                <w:color w:val="000000" w:themeColor="text1"/>
              </w:rPr>
              <w:t xml:space="preserve"> et al. (2021)</w:t>
            </w:r>
          </w:p>
        </w:tc>
        <w:tc>
          <w:tcPr>
            <w:tcW w:w="1519" w:type="dxa"/>
            <w:noWrap/>
            <w:vAlign w:val="center"/>
            <w:hideMark/>
          </w:tcPr>
          <w:p w14:paraId="4A0FC939" w14:textId="77777777" w:rsidR="00A10377" w:rsidRPr="00606D67" w:rsidRDefault="00A10377" w:rsidP="00A10377">
            <w:pPr>
              <w:spacing w:line="240" w:lineRule="auto"/>
              <w:jc w:val="center"/>
              <w:rPr>
                <w:color w:val="000000" w:themeColor="text1"/>
              </w:rPr>
            </w:pPr>
            <w:r w:rsidRPr="00606D67">
              <w:rPr>
                <w:color w:val="000000" w:themeColor="text1"/>
              </w:rPr>
              <w:t>August 1994 to January 2020</w:t>
            </w:r>
          </w:p>
        </w:tc>
        <w:tc>
          <w:tcPr>
            <w:tcW w:w="2313" w:type="dxa"/>
            <w:noWrap/>
            <w:vAlign w:val="center"/>
            <w:hideMark/>
          </w:tcPr>
          <w:p w14:paraId="5AA76DE4" w14:textId="77777777" w:rsidR="00A10377" w:rsidRPr="00606D67" w:rsidRDefault="00A10377" w:rsidP="00A10377">
            <w:pPr>
              <w:spacing w:line="240" w:lineRule="auto"/>
              <w:jc w:val="center"/>
              <w:rPr>
                <w:color w:val="000000" w:themeColor="text1"/>
              </w:rPr>
            </w:pPr>
            <w:r w:rsidRPr="00606D67">
              <w:rPr>
                <w:color w:val="000000" w:themeColor="text1"/>
              </w:rPr>
              <w:t>randomized controlled trials, cohort, case–control, cross-sectional</w:t>
            </w:r>
          </w:p>
        </w:tc>
        <w:tc>
          <w:tcPr>
            <w:tcW w:w="2122" w:type="dxa"/>
            <w:noWrap/>
            <w:vAlign w:val="center"/>
            <w:hideMark/>
          </w:tcPr>
          <w:p w14:paraId="642FAA07" w14:textId="77777777" w:rsidR="00A10377" w:rsidRPr="00606D67" w:rsidRDefault="00A10377" w:rsidP="00A10377">
            <w:pPr>
              <w:spacing w:line="240" w:lineRule="auto"/>
              <w:jc w:val="center"/>
              <w:rPr>
                <w:color w:val="000000" w:themeColor="text1"/>
              </w:rPr>
            </w:pPr>
            <w:r w:rsidRPr="00606D67">
              <w:rPr>
                <w:color w:val="000000" w:themeColor="text1"/>
              </w:rPr>
              <w:t>Older adults</w:t>
            </w:r>
          </w:p>
        </w:tc>
        <w:tc>
          <w:tcPr>
            <w:tcW w:w="3548" w:type="dxa"/>
            <w:noWrap/>
            <w:vAlign w:val="center"/>
            <w:hideMark/>
          </w:tcPr>
          <w:p w14:paraId="139AC575" w14:textId="77777777" w:rsidR="00A10377" w:rsidRPr="00606D67" w:rsidRDefault="00A10377" w:rsidP="00A10377">
            <w:pPr>
              <w:spacing w:line="240" w:lineRule="auto"/>
              <w:jc w:val="center"/>
              <w:rPr>
                <w:color w:val="000000" w:themeColor="text1"/>
              </w:rPr>
            </w:pPr>
            <w:r w:rsidRPr="00606D67">
              <w:rPr>
                <w:color w:val="000000" w:themeColor="text1"/>
              </w:rPr>
              <w:t xml:space="preserve">Various demographic, interpersonal, </w:t>
            </w:r>
            <w:proofErr w:type="gramStart"/>
            <w:r w:rsidRPr="00606D67">
              <w:rPr>
                <w:color w:val="000000" w:themeColor="text1"/>
              </w:rPr>
              <w:t>environmental</w:t>
            </w:r>
            <w:proofErr w:type="gramEnd"/>
            <w:r w:rsidRPr="00606D67">
              <w:rPr>
                <w:color w:val="000000" w:themeColor="text1"/>
              </w:rPr>
              <w:t xml:space="preserve"> and other factors</w:t>
            </w:r>
          </w:p>
        </w:tc>
        <w:tc>
          <w:tcPr>
            <w:tcW w:w="1892" w:type="dxa"/>
            <w:noWrap/>
            <w:vAlign w:val="center"/>
            <w:hideMark/>
          </w:tcPr>
          <w:p w14:paraId="3395D719" w14:textId="77777777" w:rsidR="00A10377" w:rsidRPr="00606D67" w:rsidRDefault="00A10377" w:rsidP="00A10377">
            <w:pPr>
              <w:spacing w:line="240" w:lineRule="auto"/>
              <w:jc w:val="center"/>
              <w:rPr>
                <w:color w:val="000000" w:themeColor="text1"/>
              </w:rPr>
            </w:pPr>
            <w:r w:rsidRPr="00606D67">
              <w:rPr>
                <w:color w:val="000000" w:themeColor="text1"/>
              </w:rPr>
              <w:t>Depression</w:t>
            </w:r>
          </w:p>
        </w:tc>
        <w:tc>
          <w:tcPr>
            <w:tcW w:w="1283" w:type="dxa"/>
            <w:noWrap/>
            <w:vAlign w:val="center"/>
            <w:hideMark/>
          </w:tcPr>
          <w:p w14:paraId="16699966" w14:textId="77777777" w:rsidR="00A10377" w:rsidRPr="00606D67" w:rsidRDefault="00A10377" w:rsidP="00A10377">
            <w:pPr>
              <w:spacing w:line="240" w:lineRule="auto"/>
              <w:jc w:val="center"/>
              <w:rPr>
                <w:color w:val="000000" w:themeColor="text1"/>
              </w:rPr>
            </w:pPr>
            <w:r w:rsidRPr="00606D67">
              <w:rPr>
                <w:color w:val="000000" w:themeColor="text1"/>
              </w:rPr>
              <w:t>Medium</w:t>
            </w:r>
          </w:p>
        </w:tc>
      </w:tr>
      <w:tr w:rsidR="00A10377" w:rsidRPr="00606D67" w14:paraId="7FD74EC4" w14:textId="77777777" w:rsidTr="00AE0D1B">
        <w:trPr>
          <w:trHeight w:val="1134"/>
        </w:trPr>
        <w:tc>
          <w:tcPr>
            <w:tcW w:w="1271" w:type="dxa"/>
            <w:noWrap/>
            <w:vAlign w:val="center"/>
            <w:hideMark/>
          </w:tcPr>
          <w:p w14:paraId="545D9FE0" w14:textId="77777777" w:rsidR="00A10377" w:rsidRPr="00606D67" w:rsidRDefault="00A10377" w:rsidP="00A10377">
            <w:pPr>
              <w:spacing w:line="240" w:lineRule="auto"/>
              <w:jc w:val="center"/>
              <w:rPr>
                <w:color w:val="000000" w:themeColor="text1"/>
              </w:rPr>
            </w:pPr>
            <w:proofErr w:type="spellStart"/>
            <w:r w:rsidRPr="00606D67">
              <w:rPr>
                <w:color w:val="000000" w:themeColor="text1"/>
              </w:rPr>
              <w:lastRenderedPageBreak/>
              <w:t>Ziersch</w:t>
            </w:r>
            <w:proofErr w:type="spellEnd"/>
            <w:r w:rsidRPr="00606D67">
              <w:rPr>
                <w:color w:val="000000" w:themeColor="text1"/>
              </w:rPr>
              <w:t xml:space="preserve"> and Due (2018)</w:t>
            </w:r>
          </w:p>
        </w:tc>
        <w:tc>
          <w:tcPr>
            <w:tcW w:w="1519" w:type="dxa"/>
            <w:noWrap/>
            <w:vAlign w:val="center"/>
            <w:hideMark/>
          </w:tcPr>
          <w:p w14:paraId="26CB3782" w14:textId="77777777" w:rsidR="00A10377" w:rsidRPr="00606D67" w:rsidRDefault="00A10377" w:rsidP="00A10377">
            <w:pPr>
              <w:spacing w:line="240" w:lineRule="auto"/>
              <w:jc w:val="center"/>
              <w:rPr>
                <w:color w:val="000000" w:themeColor="text1"/>
              </w:rPr>
            </w:pPr>
            <w:r w:rsidRPr="00606D67">
              <w:rPr>
                <w:color w:val="000000" w:themeColor="text1"/>
              </w:rPr>
              <w:t>1997 to 2017</w:t>
            </w:r>
          </w:p>
        </w:tc>
        <w:tc>
          <w:tcPr>
            <w:tcW w:w="2313" w:type="dxa"/>
            <w:noWrap/>
            <w:vAlign w:val="center"/>
            <w:hideMark/>
          </w:tcPr>
          <w:p w14:paraId="5D1D359D" w14:textId="77777777" w:rsidR="00A10377" w:rsidRPr="00606D67" w:rsidRDefault="00A10377" w:rsidP="00A10377">
            <w:pPr>
              <w:spacing w:line="240" w:lineRule="auto"/>
              <w:jc w:val="center"/>
              <w:rPr>
                <w:color w:val="000000" w:themeColor="text1"/>
              </w:rPr>
            </w:pPr>
            <w:r w:rsidRPr="00606D67">
              <w:rPr>
                <w:color w:val="000000" w:themeColor="text1"/>
              </w:rPr>
              <w:t xml:space="preserve">qualitative, quantitative, and mixed methods </w:t>
            </w:r>
            <w:proofErr w:type="gramStart"/>
            <w:r w:rsidRPr="00606D67">
              <w:rPr>
                <w:color w:val="000000" w:themeColor="text1"/>
              </w:rPr>
              <w:t>designs</w:t>
            </w:r>
            <w:proofErr w:type="gramEnd"/>
          </w:p>
        </w:tc>
        <w:tc>
          <w:tcPr>
            <w:tcW w:w="2122" w:type="dxa"/>
            <w:noWrap/>
            <w:vAlign w:val="center"/>
            <w:hideMark/>
          </w:tcPr>
          <w:p w14:paraId="449EBB80" w14:textId="77777777" w:rsidR="00A10377" w:rsidRPr="00606D67" w:rsidRDefault="00A10377" w:rsidP="00A10377">
            <w:pPr>
              <w:spacing w:line="240" w:lineRule="auto"/>
              <w:jc w:val="center"/>
              <w:rPr>
                <w:color w:val="000000" w:themeColor="text1"/>
              </w:rPr>
            </w:pPr>
            <w:r w:rsidRPr="00606D67">
              <w:rPr>
                <w:color w:val="000000" w:themeColor="text1"/>
              </w:rPr>
              <w:t>People from refugee and asylum seeking backgrounds</w:t>
            </w:r>
          </w:p>
        </w:tc>
        <w:tc>
          <w:tcPr>
            <w:tcW w:w="3548" w:type="dxa"/>
            <w:noWrap/>
            <w:vAlign w:val="center"/>
            <w:hideMark/>
          </w:tcPr>
          <w:p w14:paraId="188BF3D2" w14:textId="77777777" w:rsidR="00A10377" w:rsidRPr="00606D67" w:rsidRDefault="00A10377" w:rsidP="00A10377">
            <w:pPr>
              <w:spacing w:line="240" w:lineRule="auto"/>
              <w:jc w:val="center"/>
              <w:rPr>
                <w:color w:val="000000" w:themeColor="text1"/>
              </w:rPr>
            </w:pPr>
            <w:r w:rsidRPr="00606D67">
              <w:rPr>
                <w:color w:val="000000" w:themeColor="text1"/>
              </w:rPr>
              <w:t>Housing factors</w:t>
            </w:r>
          </w:p>
        </w:tc>
        <w:tc>
          <w:tcPr>
            <w:tcW w:w="1892" w:type="dxa"/>
            <w:noWrap/>
            <w:vAlign w:val="center"/>
            <w:hideMark/>
          </w:tcPr>
          <w:p w14:paraId="4C157C5B" w14:textId="77777777" w:rsidR="00A10377" w:rsidRPr="00606D67" w:rsidRDefault="00A10377" w:rsidP="00A10377">
            <w:pPr>
              <w:spacing w:line="240" w:lineRule="auto"/>
              <w:jc w:val="center"/>
              <w:rPr>
                <w:color w:val="000000" w:themeColor="text1"/>
              </w:rPr>
            </w:pPr>
            <w:r w:rsidRPr="00606D67">
              <w:rPr>
                <w:color w:val="000000" w:themeColor="text1"/>
              </w:rPr>
              <w:t>Mental health</w:t>
            </w:r>
          </w:p>
        </w:tc>
        <w:tc>
          <w:tcPr>
            <w:tcW w:w="1283" w:type="dxa"/>
            <w:noWrap/>
            <w:vAlign w:val="center"/>
            <w:hideMark/>
          </w:tcPr>
          <w:p w14:paraId="6F508A52" w14:textId="77777777" w:rsidR="00A10377" w:rsidRPr="00606D67" w:rsidRDefault="00A10377" w:rsidP="00A10377">
            <w:pPr>
              <w:spacing w:line="240" w:lineRule="auto"/>
              <w:jc w:val="center"/>
              <w:rPr>
                <w:color w:val="000000" w:themeColor="text1"/>
              </w:rPr>
            </w:pPr>
            <w:r w:rsidRPr="00606D67">
              <w:rPr>
                <w:color w:val="000000" w:themeColor="text1"/>
              </w:rPr>
              <w:t>Medium</w:t>
            </w:r>
          </w:p>
        </w:tc>
      </w:tr>
    </w:tbl>
    <w:p w14:paraId="01F5B376" w14:textId="77777777" w:rsidR="00A10377" w:rsidRPr="00606D67" w:rsidRDefault="00A10377" w:rsidP="00A10377">
      <w:pPr>
        <w:spacing w:after="160" w:line="259" w:lineRule="auto"/>
        <w:rPr>
          <w:rFonts w:eastAsia="Calibri"/>
          <w:color w:val="000000" w:themeColor="text1"/>
          <w:lang w:eastAsia="en-US"/>
        </w:rPr>
      </w:pPr>
    </w:p>
    <w:p w14:paraId="49F26BE4" w14:textId="77777777" w:rsidR="00A10377" w:rsidRPr="00606D67" w:rsidRDefault="00A10377" w:rsidP="0044032C">
      <w:pPr>
        <w:pStyle w:val="Tabletitle"/>
        <w:rPr>
          <w:rFonts w:eastAsia="Calibri"/>
          <w:color w:val="000000" w:themeColor="text1"/>
          <w:lang w:eastAsia="en-US"/>
        </w:rPr>
      </w:pPr>
      <w:r w:rsidRPr="00606D67">
        <w:rPr>
          <w:rFonts w:eastAsia="Calibri"/>
          <w:color w:val="000000" w:themeColor="text1"/>
          <w:lang w:eastAsia="en-US"/>
        </w:rPr>
        <w:t>Table 1. Characteristics and quality appraisal of included studies</w:t>
      </w:r>
    </w:p>
    <w:p w14:paraId="75FAC5B4" w14:textId="307F7A56" w:rsidR="0093231F" w:rsidRPr="00606D67" w:rsidRDefault="0093231F" w:rsidP="00B83A6D">
      <w:pPr>
        <w:rPr>
          <w:color w:val="000000" w:themeColor="text1"/>
        </w:rPr>
      </w:pPr>
    </w:p>
    <w:p w14:paraId="2584F71B" w14:textId="790893AF" w:rsidR="0093231F" w:rsidRPr="00606D67" w:rsidRDefault="0093231F">
      <w:pPr>
        <w:spacing w:line="240" w:lineRule="auto"/>
        <w:rPr>
          <w:color w:val="000000" w:themeColor="text1"/>
        </w:rPr>
      </w:pPr>
      <w:r w:rsidRPr="00606D67">
        <w:rPr>
          <w:color w:val="000000" w:themeColor="text1"/>
        </w:rPr>
        <w:br w:type="page"/>
      </w:r>
    </w:p>
    <w:p w14:paraId="6627488B" w14:textId="77777777" w:rsidR="00693A83" w:rsidRPr="00606D67" w:rsidRDefault="00693A83" w:rsidP="00D223F1">
      <w:pPr>
        <w:pStyle w:val="Heading1"/>
        <w:rPr>
          <w:color w:val="000000" w:themeColor="text1"/>
        </w:rPr>
        <w:sectPr w:rsidR="00693A83" w:rsidRPr="00606D67" w:rsidSect="003C4ACB">
          <w:pgSz w:w="16840" w:h="11901" w:orient="landscape" w:code="9"/>
          <w:pgMar w:top="1701" w:right="1418" w:bottom="1701" w:left="1418" w:header="709" w:footer="709" w:gutter="0"/>
          <w:cols w:space="708"/>
          <w:docGrid w:linePitch="360"/>
        </w:sectPr>
      </w:pPr>
    </w:p>
    <w:p w14:paraId="59168859" w14:textId="4CFC4943" w:rsidR="0093231F" w:rsidRPr="00606D67" w:rsidRDefault="0093231F" w:rsidP="00D223F1">
      <w:pPr>
        <w:pStyle w:val="Heading1"/>
        <w:rPr>
          <w:color w:val="000000" w:themeColor="text1"/>
        </w:rPr>
      </w:pPr>
      <w:r w:rsidRPr="00606D67">
        <w:rPr>
          <w:color w:val="000000" w:themeColor="text1"/>
        </w:rPr>
        <w:lastRenderedPageBreak/>
        <w:t xml:space="preserve">Figures </w:t>
      </w:r>
    </w:p>
    <w:p w14:paraId="05938056" w14:textId="06AF136D" w:rsidR="00952756" w:rsidRPr="00606D67" w:rsidRDefault="00952756" w:rsidP="00B83A6D">
      <w:pPr>
        <w:rPr>
          <w:color w:val="000000" w:themeColor="text1"/>
        </w:rPr>
      </w:pPr>
    </w:p>
    <w:p w14:paraId="31C0AC2D" w14:textId="77777777" w:rsidR="00F811BE" w:rsidRPr="00606D67" w:rsidRDefault="00F811BE" w:rsidP="00F811BE">
      <w:pPr>
        <w:spacing w:line="240" w:lineRule="auto"/>
        <w:rPr>
          <w:color w:val="000000" w:themeColor="text1"/>
        </w:rPr>
      </w:pPr>
    </w:p>
    <w:p w14:paraId="479A0FB1" w14:textId="77777777" w:rsidR="00F811BE" w:rsidRPr="00606D67" w:rsidRDefault="00F811BE" w:rsidP="00F811BE">
      <w:pPr>
        <w:spacing w:line="240" w:lineRule="auto"/>
        <w:rPr>
          <w:color w:val="000000" w:themeColor="text1"/>
        </w:rPr>
      </w:pPr>
      <w:r w:rsidRPr="00606D67">
        <w:rPr>
          <w:noProof/>
          <w:color w:val="000000" w:themeColor="text1"/>
        </w:rPr>
        <mc:AlternateContent>
          <mc:Choice Requires="wps">
            <w:drawing>
              <wp:anchor distT="0" distB="0" distL="114300" distR="114300" simplePos="0" relativeHeight="251629568" behindDoc="0" locked="0" layoutInCell="1" allowOverlap="1" wp14:anchorId="5114F9B8" wp14:editId="2CBCD878">
                <wp:simplePos x="0" y="0"/>
                <wp:positionH relativeFrom="column">
                  <wp:posOffset>540385</wp:posOffset>
                </wp:positionH>
                <wp:positionV relativeFrom="paragraph">
                  <wp:posOffset>4272915</wp:posOffset>
                </wp:positionV>
                <wp:extent cx="1887220" cy="723900"/>
                <wp:effectExtent l="0" t="0" r="17780" b="19050"/>
                <wp:wrapNone/>
                <wp:docPr id="13" name="Rectangle 13"/>
                <wp:cNvGraphicFramePr/>
                <a:graphic xmlns:a="http://schemas.openxmlformats.org/drawingml/2006/main">
                  <a:graphicData uri="http://schemas.microsoft.com/office/word/2010/wordprocessingShape">
                    <wps:wsp>
                      <wps:cNvSpPr/>
                      <wps:spPr>
                        <a:xfrm>
                          <a:off x="0" y="0"/>
                          <a:ext cx="1887220" cy="723900"/>
                        </a:xfrm>
                        <a:prstGeom prst="rect">
                          <a:avLst/>
                        </a:prstGeom>
                        <a:noFill/>
                        <a:ln w="12700" cap="flat" cmpd="sng" algn="ctr">
                          <a:solidFill>
                            <a:sysClr val="windowText" lastClr="000000"/>
                          </a:solidFill>
                          <a:prstDash val="solid"/>
                          <a:miter lim="800000"/>
                        </a:ln>
                        <a:effectLst/>
                      </wps:spPr>
                      <wps:txbx>
                        <w:txbxContent>
                          <w:p w14:paraId="0B356030" w14:textId="77777777" w:rsidR="00F811BE" w:rsidRPr="00F811BE" w:rsidRDefault="00F811BE" w:rsidP="00F811BE">
                            <w:pPr>
                              <w:spacing w:line="240" w:lineRule="auto"/>
                              <w:rPr>
                                <w:rFonts w:ascii="Arial" w:hAnsi="Arial" w:cs="Arial"/>
                                <w:color w:val="000000"/>
                                <w:sz w:val="18"/>
                                <w:szCs w:val="20"/>
                              </w:rPr>
                            </w:pPr>
                            <w:r w:rsidRPr="00F811BE">
                              <w:rPr>
                                <w:rFonts w:ascii="Arial" w:hAnsi="Arial" w:cs="Arial"/>
                                <w:color w:val="000000"/>
                                <w:sz w:val="18"/>
                                <w:szCs w:val="20"/>
                              </w:rPr>
                              <w:t>Studies included in review</w:t>
                            </w:r>
                          </w:p>
                          <w:p w14:paraId="19B7DAA5" w14:textId="77777777" w:rsidR="00F811BE" w:rsidRPr="00F811BE" w:rsidRDefault="00F811BE" w:rsidP="00F811BE">
                            <w:pPr>
                              <w:spacing w:line="240" w:lineRule="auto"/>
                              <w:rPr>
                                <w:rFonts w:ascii="Arial" w:hAnsi="Arial" w:cs="Arial"/>
                                <w:color w:val="000000"/>
                                <w:sz w:val="18"/>
                                <w:szCs w:val="20"/>
                              </w:rPr>
                            </w:pPr>
                            <w:r w:rsidRPr="00F811BE">
                              <w:rPr>
                                <w:rFonts w:ascii="Arial" w:hAnsi="Arial" w:cs="Arial"/>
                                <w:color w:val="000000"/>
                                <w:sz w:val="18"/>
                                <w:szCs w:val="20"/>
                              </w:rPr>
                              <w:t>(</w:t>
                            </w:r>
                            <w:r w:rsidRPr="00F811BE">
                              <w:rPr>
                                <w:rFonts w:ascii="Arial" w:hAnsi="Arial" w:cs="Arial"/>
                                <w:i/>
                                <w:iCs/>
                                <w:color w:val="000000"/>
                                <w:sz w:val="18"/>
                                <w:szCs w:val="20"/>
                              </w:rPr>
                              <w:t>n</w:t>
                            </w:r>
                            <w:r w:rsidRPr="00F811BE">
                              <w:rPr>
                                <w:rFonts w:ascii="Arial" w:hAnsi="Arial" w:cs="Arial"/>
                                <w:color w:val="000000"/>
                                <w:sz w:val="18"/>
                                <w:szCs w:val="20"/>
                              </w:rPr>
                              <w:t xml:space="preserve"> = 37)</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114F9B8" id="Rectangle 13" o:spid="_x0000_s1026" style="position:absolute;margin-left:42.55pt;margin-top:336.45pt;width:148.6pt;height:57pt;z-index:251629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" filled="f" strokecolor="windowText" strokeweight="1pt">
                <v:textbox>
                  <w:txbxContent>
                    <w:p w14:paraId="0B356030" w14:textId="77777777" w:rsidR="00F811BE" w:rsidRPr="00F811BE" w:rsidRDefault="00F811BE" w:rsidP="00F811BE">
                      <w:pPr>
                        <w:spacing w:line="240" w:lineRule="auto"/>
                        <w:rPr>
                          <w:rFonts w:ascii="Arial" w:hAnsi="Arial" w:cs="Arial"/>
                          <w:color w:val="000000"/>
                          <w:sz w:val="18"/>
                          <w:szCs w:val="20"/>
                        </w:rPr>
                      </w:pPr>
                      <w:r w:rsidRPr="00F811BE">
                        <w:rPr>
                          <w:rFonts w:ascii="Arial" w:hAnsi="Arial" w:cs="Arial"/>
                          <w:color w:val="000000"/>
                          <w:sz w:val="18"/>
                          <w:szCs w:val="20"/>
                        </w:rPr>
                        <w:t>Studies included in review</w:t>
                      </w:r>
                    </w:p>
                    <w:p w14:paraId="19B7DAA5" w14:textId="77777777" w:rsidR="00F811BE" w:rsidRPr="00F811BE" w:rsidRDefault="00F811BE" w:rsidP="00F811BE">
                      <w:pPr>
                        <w:spacing w:line="240" w:lineRule="auto"/>
                        <w:rPr>
                          <w:rFonts w:ascii="Arial" w:hAnsi="Arial" w:cs="Arial"/>
                          <w:color w:val="000000"/>
                          <w:sz w:val="18"/>
                          <w:szCs w:val="20"/>
                        </w:rPr>
                      </w:pPr>
                      <w:r w:rsidRPr="00F811BE">
                        <w:rPr>
                          <w:rFonts w:ascii="Arial" w:hAnsi="Arial" w:cs="Arial"/>
                          <w:color w:val="000000"/>
                          <w:sz w:val="18"/>
                          <w:szCs w:val="20"/>
                        </w:rPr>
                        <w:t>(</w:t>
                      </w:r>
                      <w:r w:rsidRPr="00F811BE">
                        <w:rPr>
                          <w:rFonts w:ascii="Arial" w:hAnsi="Arial" w:cs="Arial"/>
                          <w:i/>
                          <w:iCs/>
                          <w:color w:val="000000"/>
                          <w:sz w:val="18"/>
                          <w:szCs w:val="20"/>
                        </w:rPr>
                        <w:t>n</w:t>
                      </w:r>
                      <w:r w:rsidRPr="00F811BE">
                        <w:rPr>
                          <w:rFonts w:ascii="Arial" w:hAnsi="Arial" w:cs="Arial"/>
                          <w:color w:val="000000"/>
                          <w:sz w:val="18"/>
                          <w:szCs w:val="20"/>
                        </w:rPr>
                        <w:t xml:space="preserve"> = 37)</w:t>
                      </w:r>
                    </w:p>
                  </w:txbxContent>
                </v:textbox>
              </v:rect>
            </w:pict>
          </mc:Fallback>
        </mc:AlternateContent>
      </w:r>
      <w:r w:rsidRPr="00606D67">
        <w:rPr>
          <w:noProof/>
          <w:color w:val="000000" w:themeColor="text1"/>
        </w:rPr>
        <mc:AlternateContent>
          <mc:Choice Requires="wps">
            <w:drawing>
              <wp:anchor distT="0" distB="0" distL="114300" distR="114300" simplePos="0" relativeHeight="251635712" behindDoc="0" locked="0" layoutInCell="1" allowOverlap="1" wp14:anchorId="63C93827" wp14:editId="397C11BA">
                <wp:simplePos x="0" y="0"/>
                <wp:positionH relativeFrom="column">
                  <wp:posOffset>-133350</wp:posOffset>
                </wp:positionH>
                <wp:positionV relativeFrom="paragraph">
                  <wp:posOffset>4514215</wp:posOffset>
                </wp:positionV>
                <wp:extent cx="764540" cy="262890"/>
                <wp:effectExtent l="3175" t="0" r="19685" b="19685"/>
                <wp:wrapNone/>
                <wp:docPr id="33" name="Flowchart: Alternate Process 33"/>
                <wp:cNvGraphicFramePr/>
                <a:graphic xmlns:a="http://schemas.openxmlformats.org/drawingml/2006/main">
                  <a:graphicData uri="http://schemas.microsoft.com/office/word/2010/wordprocessingShape">
                    <wps:wsp>
                      <wps:cNvSpPr/>
                      <wps:spPr>
                        <a:xfrm rot="16200000">
                          <a:off x="0" y="0"/>
                          <a:ext cx="763905" cy="262890"/>
                        </a:xfrm>
                        <a:prstGeom prst="flowChartAlternateProcess">
                          <a:avLst/>
                        </a:prstGeom>
                        <a:solidFill>
                          <a:srgbClr val="E7E6E6"/>
                        </a:solidFill>
                        <a:ln w="12700" cap="flat" cmpd="sng" algn="ctr">
                          <a:solidFill>
                            <a:sysClr val="windowText" lastClr="000000"/>
                          </a:solidFill>
                          <a:prstDash val="solid"/>
                          <a:miter lim="800000"/>
                        </a:ln>
                        <a:effectLst/>
                      </wps:spPr>
                      <wps:txbx>
                        <w:txbxContent>
                          <w:p w14:paraId="3D4BB12D" w14:textId="77777777" w:rsidR="00F811BE" w:rsidRPr="00F811BE" w:rsidRDefault="00F811BE" w:rsidP="00F811BE">
                            <w:pPr>
                              <w:spacing w:line="240" w:lineRule="auto"/>
                              <w:jc w:val="center"/>
                              <w:rPr>
                                <w:rFonts w:ascii="Arial" w:hAnsi="Arial" w:cs="Arial"/>
                                <w:b/>
                                <w:color w:val="000000"/>
                                <w:sz w:val="18"/>
                                <w:szCs w:val="18"/>
                              </w:rPr>
                            </w:pPr>
                            <w:r w:rsidRPr="00F811BE">
                              <w:rPr>
                                <w:rFonts w:ascii="Arial" w:hAnsi="Arial" w:cs="Arial"/>
                                <w:b/>
                                <w:color w:val="000000"/>
                                <w:sz w:val="18"/>
                                <w:szCs w:val="18"/>
                              </w:rPr>
                              <w:t>Included</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3C93827"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33" o:spid="_x0000_s1027" type="#_x0000_t176" style="position:absolute;margin-left:-10.5pt;margin-top:355.45pt;width:60.2pt;height:20.7pt;rotation:-90;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" fillcolor="#e7e6e6" strokecolor="windowText" strokeweight="1pt">
                <v:textbox>
                  <w:txbxContent>
                    <w:p w14:paraId="3D4BB12D" w14:textId="77777777" w:rsidR="00F811BE" w:rsidRPr="00F811BE" w:rsidRDefault="00F811BE" w:rsidP="00F811BE">
                      <w:pPr>
                        <w:spacing w:line="240" w:lineRule="auto"/>
                        <w:jc w:val="center"/>
                        <w:rPr>
                          <w:rFonts w:ascii="Arial" w:hAnsi="Arial" w:cs="Arial"/>
                          <w:b/>
                          <w:color w:val="000000"/>
                          <w:sz w:val="18"/>
                          <w:szCs w:val="18"/>
                        </w:rPr>
                      </w:pPr>
                      <w:r w:rsidRPr="00F811BE">
                        <w:rPr>
                          <w:rFonts w:ascii="Arial" w:hAnsi="Arial" w:cs="Arial"/>
                          <w:b/>
                          <w:color w:val="000000"/>
                          <w:sz w:val="18"/>
                          <w:szCs w:val="18"/>
                        </w:rPr>
                        <w:t>Included</w:t>
                      </w:r>
                    </w:p>
                  </w:txbxContent>
                </v:textbox>
              </v:shape>
            </w:pict>
          </mc:Fallback>
        </mc:AlternateContent>
      </w:r>
      <w:r w:rsidRPr="00606D67">
        <w:rPr>
          <w:noProof/>
          <w:color w:val="000000" w:themeColor="text1"/>
        </w:rPr>
        <mc:AlternateContent>
          <mc:Choice Requires="wps">
            <w:drawing>
              <wp:anchor distT="0" distB="0" distL="114300" distR="114300" simplePos="0" relativeHeight="251638784" behindDoc="0" locked="0" layoutInCell="1" allowOverlap="1" wp14:anchorId="67C0D313" wp14:editId="6B6E7D2E">
                <wp:simplePos x="0" y="0"/>
                <wp:positionH relativeFrom="column">
                  <wp:posOffset>560705</wp:posOffset>
                </wp:positionH>
                <wp:positionV relativeFrom="paragraph">
                  <wp:posOffset>2038350</wp:posOffset>
                </wp:positionV>
                <wp:extent cx="1887220" cy="526415"/>
                <wp:effectExtent l="0" t="0" r="17780" b="26035"/>
                <wp:wrapNone/>
                <wp:docPr id="5" name="Rectangle 5"/>
                <wp:cNvGraphicFramePr/>
                <a:graphic xmlns:a="http://schemas.openxmlformats.org/drawingml/2006/main">
                  <a:graphicData uri="http://schemas.microsoft.com/office/word/2010/wordprocessingShape">
                    <wps:wsp>
                      <wps:cNvSpPr/>
                      <wps:spPr>
                        <a:xfrm>
                          <a:off x="0" y="0"/>
                          <a:ext cx="1887220" cy="526415"/>
                        </a:xfrm>
                        <a:prstGeom prst="rect">
                          <a:avLst/>
                        </a:prstGeom>
                        <a:noFill/>
                        <a:ln w="12700" cap="flat" cmpd="sng" algn="ctr">
                          <a:solidFill>
                            <a:sysClr val="windowText" lastClr="000000"/>
                          </a:solidFill>
                          <a:prstDash val="solid"/>
                          <a:miter lim="800000"/>
                        </a:ln>
                        <a:effectLst/>
                      </wps:spPr>
                      <wps:txbx>
                        <w:txbxContent>
                          <w:p w14:paraId="1BD8DEE5" w14:textId="77777777" w:rsidR="00F811BE" w:rsidRPr="00F811BE" w:rsidRDefault="00F811BE" w:rsidP="00F811BE">
                            <w:pPr>
                              <w:spacing w:line="240" w:lineRule="auto"/>
                              <w:rPr>
                                <w:rFonts w:ascii="Arial" w:hAnsi="Arial" w:cs="Arial"/>
                                <w:color w:val="000000"/>
                                <w:sz w:val="18"/>
                                <w:szCs w:val="20"/>
                              </w:rPr>
                            </w:pPr>
                            <w:r w:rsidRPr="00F811BE">
                              <w:rPr>
                                <w:rFonts w:ascii="Arial" w:hAnsi="Arial" w:cs="Arial"/>
                                <w:color w:val="000000"/>
                                <w:sz w:val="18"/>
                                <w:szCs w:val="20"/>
                              </w:rPr>
                              <w:t>Reports sought for retrieval</w:t>
                            </w:r>
                          </w:p>
                          <w:p w14:paraId="69EBBEF8" w14:textId="77777777" w:rsidR="00F811BE" w:rsidRPr="00F811BE" w:rsidRDefault="00F811BE" w:rsidP="00F811BE">
                            <w:pPr>
                              <w:spacing w:line="240" w:lineRule="auto"/>
                              <w:rPr>
                                <w:rFonts w:ascii="Arial" w:hAnsi="Arial" w:cs="Arial"/>
                                <w:color w:val="000000"/>
                                <w:sz w:val="18"/>
                                <w:szCs w:val="20"/>
                              </w:rPr>
                            </w:pPr>
                            <w:r w:rsidRPr="00F811BE">
                              <w:rPr>
                                <w:rFonts w:ascii="Arial" w:hAnsi="Arial" w:cs="Arial"/>
                                <w:color w:val="000000"/>
                                <w:sz w:val="18"/>
                                <w:szCs w:val="20"/>
                              </w:rPr>
                              <w:t>(</w:t>
                            </w:r>
                            <w:r w:rsidRPr="00F811BE">
                              <w:rPr>
                                <w:rFonts w:ascii="Arial" w:hAnsi="Arial" w:cs="Arial"/>
                                <w:i/>
                                <w:iCs/>
                                <w:color w:val="000000"/>
                                <w:sz w:val="18"/>
                                <w:szCs w:val="20"/>
                              </w:rPr>
                              <w:t>n</w:t>
                            </w:r>
                            <w:r w:rsidRPr="00F811BE">
                              <w:rPr>
                                <w:rFonts w:ascii="Arial" w:hAnsi="Arial" w:cs="Arial"/>
                                <w:color w:val="000000"/>
                                <w:sz w:val="18"/>
                                <w:szCs w:val="20"/>
                              </w:rPr>
                              <w:t xml:space="preserve"> = 89)</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7C0D313" id="Rectangle 5" o:spid="_x0000_s1028" style="position:absolute;margin-left:44.15pt;margin-top:160.5pt;width:148.6pt;height:41.4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" filled="f" strokecolor="windowText" strokeweight="1pt">
                <v:textbox>
                  <w:txbxContent>
                    <w:p w14:paraId="1BD8DEE5" w14:textId="77777777" w:rsidR="00F811BE" w:rsidRPr="00F811BE" w:rsidRDefault="00F811BE" w:rsidP="00F811BE">
                      <w:pPr>
                        <w:spacing w:line="240" w:lineRule="auto"/>
                        <w:rPr>
                          <w:rFonts w:ascii="Arial" w:hAnsi="Arial" w:cs="Arial"/>
                          <w:color w:val="000000"/>
                          <w:sz w:val="18"/>
                          <w:szCs w:val="20"/>
                        </w:rPr>
                      </w:pPr>
                      <w:r w:rsidRPr="00F811BE">
                        <w:rPr>
                          <w:rFonts w:ascii="Arial" w:hAnsi="Arial" w:cs="Arial"/>
                          <w:color w:val="000000"/>
                          <w:sz w:val="18"/>
                          <w:szCs w:val="20"/>
                        </w:rPr>
                        <w:t>Reports sought for retrieval</w:t>
                      </w:r>
                    </w:p>
                    <w:p w14:paraId="69EBBEF8" w14:textId="77777777" w:rsidR="00F811BE" w:rsidRPr="00F811BE" w:rsidRDefault="00F811BE" w:rsidP="00F811BE">
                      <w:pPr>
                        <w:spacing w:line="240" w:lineRule="auto"/>
                        <w:rPr>
                          <w:rFonts w:ascii="Arial" w:hAnsi="Arial" w:cs="Arial"/>
                          <w:color w:val="000000"/>
                          <w:sz w:val="18"/>
                          <w:szCs w:val="20"/>
                        </w:rPr>
                      </w:pPr>
                      <w:r w:rsidRPr="00F811BE">
                        <w:rPr>
                          <w:rFonts w:ascii="Arial" w:hAnsi="Arial" w:cs="Arial"/>
                          <w:color w:val="000000"/>
                          <w:sz w:val="18"/>
                          <w:szCs w:val="20"/>
                        </w:rPr>
                        <w:t>(</w:t>
                      </w:r>
                      <w:r w:rsidRPr="00F811BE">
                        <w:rPr>
                          <w:rFonts w:ascii="Arial" w:hAnsi="Arial" w:cs="Arial"/>
                          <w:i/>
                          <w:iCs/>
                          <w:color w:val="000000"/>
                          <w:sz w:val="18"/>
                          <w:szCs w:val="20"/>
                        </w:rPr>
                        <w:t>n</w:t>
                      </w:r>
                      <w:r w:rsidRPr="00F811BE">
                        <w:rPr>
                          <w:rFonts w:ascii="Arial" w:hAnsi="Arial" w:cs="Arial"/>
                          <w:color w:val="000000"/>
                          <w:sz w:val="18"/>
                          <w:szCs w:val="20"/>
                        </w:rPr>
                        <w:t xml:space="preserve"> = 89)</w:t>
                      </w:r>
                    </w:p>
                  </w:txbxContent>
                </v:textbox>
              </v:rect>
            </w:pict>
          </mc:Fallback>
        </mc:AlternateContent>
      </w:r>
      <w:r w:rsidRPr="00606D67">
        <w:rPr>
          <w:noProof/>
          <w:color w:val="000000" w:themeColor="text1"/>
        </w:rPr>
        <mc:AlternateContent>
          <mc:Choice Requires="wps">
            <w:drawing>
              <wp:anchor distT="0" distB="0" distL="114300" distR="114300" simplePos="0" relativeHeight="251641856" behindDoc="0" locked="0" layoutInCell="1" allowOverlap="1" wp14:anchorId="08C54287" wp14:editId="1295EF6A">
                <wp:simplePos x="0" y="0"/>
                <wp:positionH relativeFrom="column">
                  <wp:posOffset>3049270</wp:posOffset>
                </wp:positionH>
                <wp:positionV relativeFrom="paragraph">
                  <wp:posOffset>2057400</wp:posOffset>
                </wp:positionV>
                <wp:extent cx="1887220" cy="526415"/>
                <wp:effectExtent l="0" t="0" r="17780" b="26035"/>
                <wp:wrapNone/>
                <wp:docPr id="6" name="Rectangle 6"/>
                <wp:cNvGraphicFramePr/>
                <a:graphic xmlns:a="http://schemas.openxmlformats.org/drawingml/2006/main">
                  <a:graphicData uri="http://schemas.microsoft.com/office/word/2010/wordprocessingShape">
                    <wps:wsp>
                      <wps:cNvSpPr/>
                      <wps:spPr>
                        <a:xfrm>
                          <a:off x="0" y="0"/>
                          <a:ext cx="1887220" cy="526415"/>
                        </a:xfrm>
                        <a:prstGeom prst="rect">
                          <a:avLst/>
                        </a:prstGeom>
                        <a:noFill/>
                        <a:ln w="12700" cap="flat" cmpd="sng" algn="ctr">
                          <a:solidFill>
                            <a:sysClr val="windowText" lastClr="000000"/>
                          </a:solidFill>
                          <a:prstDash val="solid"/>
                          <a:miter lim="800000"/>
                        </a:ln>
                        <a:effectLst/>
                      </wps:spPr>
                      <wps:txbx>
                        <w:txbxContent>
                          <w:p w14:paraId="140A30C0" w14:textId="77777777" w:rsidR="00F811BE" w:rsidRPr="00F811BE" w:rsidRDefault="00F811BE" w:rsidP="00F811BE">
                            <w:pPr>
                              <w:spacing w:line="240" w:lineRule="auto"/>
                              <w:rPr>
                                <w:rFonts w:ascii="Arial" w:hAnsi="Arial" w:cs="Arial"/>
                                <w:color w:val="000000"/>
                                <w:sz w:val="18"/>
                                <w:szCs w:val="20"/>
                              </w:rPr>
                            </w:pPr>
                            <w:r w:rsidRPr="00F811BE">
                              <w:rPr>
                                <w:rFonts w:ascii="Arial" w:hAnsi="Arial" w:cs="Arial"/>
                                <w:color w:val="000000"/>
                                <w:sz w:val="18"/>
                                <w:szCs w:val="20"/>
                              </w:rPr>
                              <w:t>Reports not retrieved</w:t>
                            </w:r>
                          </w:p>
                          <w:p w14:paraId="65FCE481" w14:textId="77777777" w:rsidR="00F811BE" w:rsidRPr="00F811BE" w:rsidRDefault="00F811BE" w:rsidP="00F811BE">
                            <w:pPr>
                              <w:spacing w:line="240" w:lineRule="auto"/>
                              <w:rPr>
                                <w:rFonts w:ascii="Arial" w:hAnsi="Arial" w:cs="Arial"/>
                                <w:color w:val="000000"/>
                                <w:sz w:val="18"/>
                                <w:szCs w:val="20"/>
                              </w:rPr>
                            </w:pPr>
                            <w:r w:rsidRPr="00F811BE">
                              <w:rPr>
                                <w:rFonts w:ascii="Arial" w:hAnsi="Arial" w:cs="Arial"/>
                                <w:color w:val="000000"/>
                                <w:sz w:val="18"/>
                                <w:szCs w:val="20"/>
                              </w:rPr>
                              <w:t>(</w:t>
                            </w:r>
                            <w:r w:rsidRPr="00F811BE">
                              <w:rPr>
                                <w:rFonts w:ascii="Arial" w:hAnsi="Arial" w:cs="Arial"/>
                                <w:i/>
                                <w:iCs/>
                                <w:color w:val="000000"/>
                                <w:sz w:val="18"/>
                                <w:szCs w:val="20"/>
                              </w:rPr>
                              <w:t>n</w:t>
                            </w:r>
                            <w:r w:rsidRPr="00F811BE">
                              <w:rPr>
                                <w:rFonts w:ascii="Arial" w:hAnsi="Arial" w:cs="Arial"/>
                                <w:color w:val="000000"/>
                                <w:sz w:val="18"/>
                                <w:szCs w:val="20"/>
                              </w:rPr>
                              <w:t xml:space="preserve"> = 3)</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C54287" id="Rectangle 6" o:spid="_x0000_s1029" style="position:absolute;margin-left:240.1pt;margin-top:162pt;width:148.6pt;height:41.45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" filled="f" strokecolor="windowText" strokeweight="1pt">
                <v:textbox>
                  <w:txbxContent>
                    <w:p w14:paraId="140A30C0" w14:textId="77777777" w:rsidR="00F811BE" w:rsidRPr="00F811BE" w:rsidRDefault="00F811BE" w:rsidP="00F811BE">
                      <w:pPr>
                        <w:spacing w:line="240" w:lineRule="auto"/>
                        <w:rPr>
                          <w:rFonts w:ascii="Arial" w:hAnsi="Arial" w:cs="Arial"/>
                          <w:color w:val="000000"/>
                          <w:sz w:val="18"/>
                          <w:szCs w:val="20"/>
                        </w:rPr>
                      </w:pPr>
                      <w:r w:rsidRPr="00F811BE">
                        <w:rPr>
                          <w:rFonts w:ascii="Arial" w:hAnsi="Arial" w:cs="Arial"/>
                          <w:color w:val="000000"/>
                          <w:sz w:val="18"/>
                          <w:szCs w:val="20"/>
                        </w:rPr>
                        <w:t>Reports not retrieved</w:t>
                      </w:r>
                    </w:p>
                    <w:p w14:paraId="65FCE481" w14:textId="77777777" w:rsidR="00F811BE" w:rsidRPr="00F811BE" w:rsidRDefault="00F811BE" w:rsidP="00F811BE">
                      <w:pPr>
                        <w:spacing w:line="240" w:lineRule="auto"/>
                        <w:rPr>
                          <w:rFonts w:ascii="Arial" w:hAnsi="Arial" w:cs="Arial"/>
                          <w:color w:val="000000"/>
                          <w:sz w:val="18"/>
                          <w:szCs w:val="20"/>
                        </w:rPr>
                      </w:pPr>
                      <w:r w:rsidRPr="00F811BE">
                        <w:rPr>
                          <w:rFonts w:ascii="Arial" w:hAnsi="Arial" w:cs="Arial"/>
                          <w:color w:val="000000"/>
                          <w:sz w:val="18"/>
                          <w:szCs w:val="20"/>
                        </w:rPr>
                        <w:t>(</w:t>
                      </w:r>
                      <w:r w:rsidRPr="00F811BE">
                        <w:rPr>
                          <w:rFonts w:ascii="Arial" w:hAnsi="Arial" w:cs="Arial"/>
                          <w:i/>
                          <w:iCs/>
                          <w:color w:val="000000"/>
                          <w:sz w:val="18"/>
                          <w:szCs w:val="20"/>
                        </w:rPr>
                        <w:t>n</w:t>
                      </w:r>
                      <w:r w:rsidRPr="00F811BE">
                        <w:rPr>
                          <w:rFonts w:ascii="Arial" w:hAnsi="Arial" w:cs="Arial"/>
                          <w:color w:val="000000"/>
                          <w:sz w:val="18"/>
                          <w:szCs w:val="20"/>
                        </w:rPr>
                        <w:t xml:space="preserve"> = 3)</w:t>
                      </w:r>
                    </w:p>
                  </w:txbxContent>
                </v:textbox>
              </v:rect>
            </w:pict>
          </mc:Fallback>
        </mc:AlternateContent>
      </w:r>
      <w:r w:rsidRPr="00606D67">
        <w:rPr>
          <w:noProof/>
          <w:color w:val="000000" w:themeColor="text1"/>
        </w:rPr>
        <mc:AlternateContent>
          <mc:Choice Requires="wps">
            <w:drawing>
              <wp:anchor distT="0" distB="0" distL="114300" distR="114300" simplePos="0" relativeHeight="251644928" behindDoc="0" locked="0" layoutInCell="1" allowOverlap="1" wp14:anchorId="1D0E7C18" wp14:editId="4FBB5C3D">
                <wp:simplePos x="0" y="0"/>
                <wp:positionH relativeFrom="column">
                  <wp:posOffset>561975</wp:posOffset>
                </wp:positionH>
                <wp:positionV relativeFrom="paragraph">
                  <wp:posOffset>2908935</wp:posOffset>
                </wp:positionV>
                <wp:extent cx="1887220" cy="526415"/>
                <wp:effectExtent l="0" t="0" r="17780" b="26035"/>
                <wp:wrapNone/>
                <wp:docPr id="8" name="Rectangle 8"/>
                <wp:cNvGraphicFramePr/>
                <a:graphic xmlns:a="http://schemas.openxmlformats.org/drawingml/2006/main">
                  <a:graphicData uri="http://schemas.microsoft.com/office/word/2010/wordprocessingShape">
                    <wps:wsp>
                      <wps:cNvSpPr/>
                      <wps:spPr>
                        <a:xfrm>
                          <a:off x="0" y="0"/>
                          <a:ext cx="1887220" cy="526415"/>
                        </a:xfrm>
                        <a:prstGeom prst="rect">
                          <a:avLst/>
                        </a:prstGeom>
                        <a:noFill/>
                        <a:ln w="12700" cap="flat" cmpd="sng" algn="ctr">
                          <a:solidFill>
                            <a:sysClr val="windowText" lastClr="000000"/>
                          </a:solidFill>
                          <a:prstDash val="solid"/>
                          <a:miter lim="800000"/>
                        </a:ln>
                        <a:effectLst/>
                      </wps:spPr>
                      <wps:txbx>
                        <w:txbxContent>
                          <w:p w14:paraId="31D70FE4" w14:textId="77777777" w:rsidR="00F811BE" w:rsidRPr="00F811BE" w:rsidRDefault="00F811BE" w:rsidP="00F811BE">
                            <w:pPr>
                              <w:spacing w:line="240" w:lineRule="auto"/>
                              <w:rPr>
                                <w:rFonts w:ascii="Arial" w:hAnsi="Arial" w:cs="Arial"/>
                                <w:color w:val="000000"/>
                                <w:sz w:val="18"/>
                                <w:szCs w:val="20"/>
                              </w:rPr>
                            </w:pPr>
                            <w:r w:rsidRPr="00F811BE">
                              <w:rPr>
                                <w:rFonts w:ascii="Arial" w:hAnsi="Arial" w:cs="Arial"/>
                                <w:color w:val="000000"/>
                                <w:sz w:val="18"/>
                                <w:szCs w:val="20"/>
                              </w:rPr>
                              <w:t>Reports assessed for eligibility</w:t>
                            </w:r>
                          </w:p>
                          <w:p w14:paraId="22896E4E" w14:textId="77777777" w:rsidR="00F811BE" w:rsidRPr="00F811BE" w:rsidRDefault="00F811BE" w:rsidP="00F811BE">
                            <w:pPr>
                              <w:spacing w:line="240" w:lineRule="auto"/>
                              <w:rPr>
                                <w:rFonts w:ascii="Arial" w:hAnsi="Arial" w:cs="Arial"/>
                                <w:color w:val="000000"/>
                                <w:sz w:val="18"/>
                                <w:szCs w:val="20"/>
                              </w:rPr>
                            </w:pPr>
                            <w:r w:rsidRPr="00F811BE">
                              <w:rPr>
                                <w:rFonts w:ascii="Arial" w:hAnsi="Arial" w:cs="Arial"/>
                                <w:color w:val="000000"/>
                                <w:sz w:val="18"/>
                                <w:szCs w:val="20"/>
                              </w:rPr>
                              <w:t>(</w:t>
                            </w:r>
                            <w:r w:rsidRPr="00F811BE">
                              <w:rPr>
                                <w:rFonts w:ascii="Arial" w:hAnsi="Arial" w:cs="Arial"/>
                                <w:i/>
                                <w:iCs/>
                                <w:color w:val="000000"/>
                                <w:sz w:val="18"/>
                                <w:szCs w:val="20"/>
                              </w:rPr>
                              <w:t>n</w:t>
                            </w:r>
                            <w:r w:rsidRPr="00F811BE">
                              <w:rPr>
                                <w:rFonts w:ascii="Arial" w:hAnsi="Arial" w:cs="Arial"/>
                                <w:color w:val="000000"/>
                                <w:sz w:val="18"/>
                                <w:szCs w:val="20"/>
                              </w:rPr>
                              <w:t xml:space="preserve"> = 86)</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0E7C18" id="Rectangle 8" o:spid="_x0000_s1030" style="position:absolute;margin-left:44.25pt;margin-top:229.05pt;width:148.6pt;height:41.4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" filled="f" strokecolor="windowText" strokeweight="1pt">
                <v:textbox>
                  <w:txbxContent>
                    <w:p w14:paraId="31D70FE4" w14:textId="77777777" w:rsidR="00F811BE" w:rsidRPr="00F811BE" w:rsidRDefault="00F811BE" w:rsidP="00F811BE">
                      <w:pPr>
                        <w:spacing w:line="240" w:lineRule="auto"/>
                        <w:rPr>
                          <w:rFonts w:ascii="Arial" w:hAnsi="Arial" w:cs="Arial"/>
                          <w:color w:val="000000"/>
                          <w:sz w:val="18"/>
                          <w:szCs w:val="20"/>
                        </w:rPr>
                      </w:pPr>
                      <w:r w:rsidRPr="00F811BE">
                        <w:rPr>
                          <w:rFonts w:ascii="Arial" w:hAnsi="Arial" w:cs="Arial"/>
                          <w:color w:val="000000"/>
                          <w:sz w:val="18"/>
                          <w:szCs w:val="20"/>
                        </w:rPr>
                        <w:t>Reports assessed for eligibility</w:t>
                      </w:r>
                    </w:p>
                    <w:p w14:paraId="22896E4E" w14:textId="77777777" w:rsidR="00F811BE" w:rsidRPr="00F811BE" w:rsidRDefault="00F811BE" w:rsidP="00F811BE">
                      <w:pPr>
                        <w:spacing w:line="240" w:lineRule="auto"/>
                        <w:rPr>
                          <w:rFonts w:ascii="Arial" w:hAnsi="Arial" w:cs="Arial"/>
                          <w:color w:val="000000"/>
                          <w:sz w:val="18"/>
                          <w:szCs w:val="20"/>
                        </w:rPr>
                      </w:pPr>
                      <w:r w:rsidRPr="00F811BE">
                        <w:rPr>
                          <w:rFonts w:ascii="Arial" w:hAnsi="Arial" w:cs="Arial"/>
                          <w:color w:val="000000"/>
                          <w:sz w:val="18"/>
                          <w:szCs w:val="20"/>
                        </w:rPr>
                        <w:t>(</w:t>
                      </w:r>
                      <w:r w:rsidRPr="00F811BE">
                        <w:rPr>
                          <w:rFonts w:ascii="Arial" w:hAnsi="Arial" w:cs="Arial"/>
                          <w:i/>
                          <w:iCs/>
                          <w:color w:val="000000"/>
                          <w:sz w:val="18"/>
                          <w:szCs w:val="20"/>
                        </w:rPr>
                        <w:t>n</w:t>
                      </w:r>
                      <w:r w:rsidRPr="00F811BE">
                        <w:rPr>
                          <w:rFonts w:ascii="Arial" w:hAnsi="Arial" w:cs="Arial"/>
                          <w:color w:val="000000"/>
                          <w:sz w:val="18"/>
                          <w:szCs w:val="20"/>
                        </w:rPr>
                        <w:t xml:space="preserve"> = 86)</w:t>
                      </w:r>
                    </w:p>
                  </w:txbxContent>
                </v:textbox>
              </v:rect>
            </w:pict>
          </mc:Fallback>
        </mc:AlternateContent>
      </w:r>
      <w:r w:rsidRPr="00606D67">
        <w:rPr>
          <w:noProof/>
          <w:color w:val="000000" w:themeColor="text1"/>
        </w:rPr>
        <mc:AlternateContent>
          <mc:Choice Requires="wps">
            <w:drawing>
              <wp:anchor distT="0" distB="0" distL="114300" distR="114300" simplePos="0" relativeHeight="251648000" behindDoc="0" locked="0" layoutInCell="1" allowOverlap="1" wp14:anchorId="61CE80DA" wp14:editId="4A320C3A">
                <wp:simplePos x="0" y="0"/>
                <wp:positionH relativeFrom="column">
                  <wp:posOffset>3057525</wp:posOffset>
                </wp:positionH>
                <wp:positionV relativeFrom="paragraph">
                  <wp:posOffset>2906395</wp:posOffset>
                </wp:positionV>
                <wp:extent cx="1887220" cy="1133475"/>
                <wp:effectExtent l="0" t="0" r="17780" b="28575"/>
                <wp:wrapNone/>
                <wp:docPr id="9" name="Rectangle 9"/>
                <wp:cNvGraphicFramePr/>
                <a:graphic xmlns:a="http://schemas.openxmlformats.org/drawingml/2006/main">
                  <a:graphicData uri="http://schemas.microsoft.com/office/word/2010/wordprocessingShape">
                    <wps:wsp>
                      <wps:cNvSpPr/>
                      <wps:spPr>
                        <a:xfrm>
                          <a:off x="0" y="0"/>
                          <a:ext cx="1887220" cy="1133475"/>
                        </a:xfrm>
                        <a:prstGeom prst="rect">
                          <a:avLst/>
                        </a:prstGeom>
                        <a:noFill/>
                        <a:ln w="12700" cap="flat" cmpd="sng" algn="ctr">
                          <a:solidFill>
                            <a:sysClr val="windowText" lastClr="000000"/>
                          </a:solidFill>
                          <a:prstDash val="solid"/>
                          <a:miter lim="800000"/>
                        </a:ln>
                        <a:effectLst/>
                      </wps:spPr>
                      <wps:txbx>
                        <w:txbxContent>
                          <w:p w14:paraId="0D595CF6" w14:textId="77777777" w:rsidR="00F811BE" w:rsidRPr="00F811BE" w:rsidRDefault="00F811BE" w:rsidP="00F811BE">
                            <w:pPr>
                              <w:spacing w:line="240" w:lineRule="auto"/>
                              <w:rPr>
                                <w:rFonts w:ascii="Arial" w:hAnsi="Arial" w:cs="Arial"/>
                                <w:color w:val="000000"/>
                                <w:sz w:val="18"/>
                                <w:szCs w:val="20"/>
                              </w:rPr>
                            </w:pPr>
                            <w:r w:rsidRPr="00F811BE">
                              <w:rPr>
                                <w:rFonts w:ascii="Arial" w:hAnsi="Arial" w:cs="Arial"/>
                                <w:color w:val="000000"/>
                                <w:sz w:val="18"/>
                                <w:szCs w:val="20"/>
                              </w:rPr>
                              <w:t>Reports excluded due to:</w:t>
                            </w:r>
                          </w:p>
                          <w:p w14:paraId="38500CCE" w14:textId="77777777" w:rsidR="00F811BE" w:rsidRPr="00F811BE" w:rsidRDefault="00F811BE" w:rsidP="00F811BE">
                            <w:pPr>
                              <w:spacing w:line="240" w:lineRule="auto"/>
                              <w:ind w:left="284"/>
                              <w:rPr>
                                <w:rFonts w:ascii="Arial" w:hAnsi="Arial" w:cs="Arial"/>
                                <w:color w:val="000000"/>
                                <w:sz w:val="18"/>
                                <w:szCs w:val="20"/>
                              </w:rPr>
                            </w:pPr>
                            <w:r w:rsidRPr="00F811BE">
                              <w:rPr>
                                <w:rFonts w:ascii="Arial" w:hAnsi="Arial" w:cs="Arial"/>
                                <w:color w:val="000000"/>
                                <w:sz w:val="18"/>
                                <w:szCs w:val="20"/>
                              </w:rPr>
                              <w:t>Population (</w:t>
                            </w:r>
                            <w:r w:rsidRPr="00F811BE">
                              <w:rPr>
                                <w:rFonts w:ascii="Arial" w:hAnsi="Arial" w:cs="Arial"/>
                                <w:i/>
                                <w:iCs/>
                                <w:color w:val="000000"/>
                                <w:sz w:val="18"/>
                                <w:szCs w:val="20"/>
                              </w:rPr>
                              <w:t>n</w:t>
                            </w:r>
                            <w:r w:rsidRPr="00F811BE">
                              <w:rPr>
                                <w:rFonts w:ascii="Arial" w:hAnsi="Arial" w:cs="Arial"/>
                                <w:color w:val="000000"/>
                                <w:sz w:val="18"/>
                                <w:szCs w:val="20"/>
                              </w:rPr>
                              <w:t xml:space="preserve"> = 23)</w:t>
                            </w:r>
                          </w:p>
                          <w:p w14:paraId="72080097" w14:textId="77777777" w:rsidR="00F811BE" w:rsidRPr="00F811BE" w:rsidRDefault="00F811BE" w:rsidP="00F811BE">
                            <w:pPr>
                              <w:spacing w:line="240" w:lineRule="auto"/>
                              <w:ind w:left="284"/>
                              <w:rPr>
                                <w:rFonts w:ascii="Arial" w:hAnsi="Arial" w:cs="Arial"/>
                                <w:color w:val="000000"/>
                                <w:sz w:val="18"/>
                                <w:szCs w:val="20"/>
                              </w:rPr>
                            </w:pPr>
                            <w:r w:rsidRPr="00F811BE">
                              <w:rPr>
                                <w:rFonts w:ascii="Arial" w:hAnsi="Arial" w:cs="Arial"/>
                                <w:color w:val="000000"/>
                                <w:sz w:val="18"/>
                                <w:szCs w:val="20"/>
                              </w:rPr>
                              <w:t>Methodology (</w:t>
                            </w:r>
                            <w:r w:rsidRPr="00F811BE">
                              <w:rPr>
                                <w:rFonts w:ascii="Arial" w:hAnsi="Arial" w:cs="Arial"/>
                                <w:i/>
                                <w:iCs/>
                                <w:color w:val="000000"/>
                                <w:sz w:val="18"/>
                                <w:szCs w:val="20"/>
                              </w:rPr>
                              <w:t>n</w:t>
                            </w:r>
                            <w:r w:rsidRPr="00F811BE">
                              <w:rPr>
                                <w:rFonts w:ascii="Arial" w:hAnsi="Arial" w:cs="Arial"/>
                                <w:color w:val="000000"/>
                                <w:sz w:val="18"/>
                                <w:szCs w:val="20"/>
                              </w:rPr>
                              <w:t xml:space="preserve"> = 9)</w:t>
                            </w:r>
                          </w:p>
                          <w:p w14:paraId="380BA52E" w14:textId="77777777" w:rsidR="00F811BE" w:rsidRPr="00F811BE" w:rsidRDefault="00F811BE" w:rsidP="00F811BE">
                            <w:pPr>
                              <w:spacing w:line="240" w:lineRule="auto"/>
                              <w:ind w:left="284"/>
                              <w:rPr>
                                <w:rFonts w:ascii="Arial" w:hAnsi="Arial" w:cs="Arial"/>
                                <w:color w:val="000000"/>
                                <w:sz w:val="18"/>
                                <w:szCs w:val="20"/>
                              </w:rPr>
                            </w:pPr>
                            <w:r w:rsidRPr="00F811BE">
                              <w:rPr>
                                <w:rFonts w:ascii="Arial" w:hAnsi="Arial" w:cs="Arial"/>
                                <w:color w:val="000000"/>
                                <w:sz w:val="18"/>
                                <w:szCs w:val="20"/>
                              </w:rPr>
                              <w:t>Outcome/exposure (</w:t>
                            </w:r>
                            <w:r w:rsidRPr="00F811BE">
                              <w:rPr>
                                <w:rFonts w:ascii="Arial" w:hAnsi="Arial" w:cs="Arial"/>
                                <w:i/>
                                <w:iCs/>
                                <w:color w:val="000000"/>
                                <w:sz w:val="18"/>
                                <w:szCs w:val="20"/>
                              </w:rPr>
                              <w:t>n</w:t>
                            </w:r>
                            <w:r w:rsidRPr="00F811BE">
                              <w:rPr>
                                <w:rFonts w:ascii="Arial" w:hAnsi="Arial" w:cs="Arial"/>
                                <w:color w:val="000000"/>
                                <w:sz w:val="18"/>
                                <w:szCs w:val="20"/>
                              </w:rPr>
                              <w:t xml:space="preserve"> =17)</w:t>
                            </w:r>
                          </w:p>
                          <w:p w14:paraId="31CCA729" w14:textId="77777777" w:rsidR="00F811BE" w:rsidRPr="00F811BE" w:rsidRDefault="00F811BE" w:rsidP="00F811BE">
                            <w:pPr>
                              <w:spacing w:line="240" w:lineRule="auto"/>
                              <w:ind w:left="284"/>
                              <w:rPr>
                                <w:rFonts w:ascii="Arial" w:hAnsi="Arial" w:cs="Arial"/>
                                <w:color w:val="000000"/>
                                <w:sz w:val="18"/>
                                <w:szCs w:val="20"/>
                              </w:rPr>
                            </w:pP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CE80DA" id="Rectangle 9" o:spid="_x0000_s1031" style="position:absolute;margin-left:240.75pt;margin-top:228.85pt;width:148.6pt;height:89.2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" filled="f" strokecolor="windowText" strokeweight="1pt">
                <v:textbox>
                  <w:txbxContent>
                    <w:p w14:paraId="0D595CF6" w14:textId="77777777" w:rsidR="00F811BE" w:rsidRPr="00F811BE" w:rsidRDefault="00F811BE" w:rsidP="00F811BE">
                      <w:pPr>
                        <w:spacing w:line="240" w:lineRule="auto"/>
                        <w:rPr>
                          <w:rFonts w:ascii="Arial" w:hAnsi="Arial" w:cs="Arial"/>
                          <w:color w:val="000000"/>
                          <w:sz w:val="18"/>
                          <w:szCs w:val="20"/>
                        </w:rPr>
                      </w:pPr>
                      <w:r w:rsidRPr="00F811BE">
                        <w:rPr>
                          <w:rFonts w:ascii="Arial" w:hAnsi="Arial" w:cs="Arial"/>
                          <w:color w:val="000000"/>
                          <w:sz w:val="18"/>
                          <w:szCs w:val="20"/>
                        </w:rPr>
                        <w:t>Reports excluded due to:</w:t>
                      </w:r>
                    </w:p>
                    <w:p w14:paraId="38500CCE" w14:textId="77777777" w:rsidR="00F811BE" w:rsidRPr="00F811BE" w:rsidRDefault="00F811BE" w:rsidP="00F811BE">
                      <w:pPr>
                        <w:spacing w:line="240" w:lineRule="auto"/>
                        <w:ind w:left="284"/>
                        <w:rPr>
                          <w:rFonts w:ascii="Arial" w:hAnsi="Arial" w:cs="Arial"/>
                          <w:color w:val="000000"/>
                          <w:sz w:val="18"/>
                          <w:szCs w:val="20"/>
                        </w:rPr>
                      </w:pPr>
                      <w:r w:rsidRPr="00F811BE">
                        <w:rPr>
                          <w:rFonts w:ascii="Arial" w:hAnsi="Arial" w:cs="Arial"/>
                          <w:color w:val="000000"/>
                          <w:sz w:val="18"/>
                          <w:szCs w:val="20"/>
                        </w:rPr>
                        <w:t>Population (</w:t>
                      </w:r>
                      <w:r w:rsidRPr="00F811BE">
                        <w:rPr>
                          <w:rFonts w:ascii="Arial" w:hAnsi="Arial" w:cs="Arial"/>
                          <w:i/>
                          <w:iCs/>
                          <w:color w:val="000000"/>
                          <w:sz w:val="18"/>
                          <w:szCs w:val="20"/>
                        </w:rPr>
                        <w:t>n</w:t>
                      </w:r>
                      <w:r w:rsidRPr="00F811BE">
                        <w:rPr>
                          <w:rFonts w:ascii="Arial" w:hAnsi="Arial" w:cs="Arial"/>
                          <w:color w:val="000000"/>
                          <w:sz w:val="18"/>
                          <w:szCs w:val="20"/>
                        </w:rPr>
                        <w:t xml:space="preserve"> = 23)</w:t>
                      </w:r>
                    </w:p>
                    <w:p w14:paraId="72080097" w14:textId="77777777" w:rsidR="00F811BE" w:rsidRPr="00F811BE" w:rsidRDefault="00F811BE" w:rsidP="00F811BE">
                      <w:pPr>
                        <w:spacing w:line="240" w:lineRule="auto"/>
                        <w:ind w:left="284"/>
                        <w:rPr>
                          <w:rFonts w:ascii="Arial" w:hAnsi="Arial" w:cs="Arial"/>
                          <w:color w:val="000000"/>
                          <w:sz w:val="18"/>
                          <w:szCs w:val="20"/>
                        </w:rPr>
                      </w:pPr>
                      <w:r w:rsidRPr="00F811BE">
                        <w:rPr>
                          <w:rFonts w:ascii="Arial" w:hAnsi="Arial" w:cs="Arial"/>
                          <w:color w:val="000000"/>
                          <w:sz w:val="18"/>
                          <w:szCs w:val="20"/>
                        </w:rPr>
                        <w:t>Methodology (</w:t>
                      </w:r>
                      <w:r w:rsidRPr="00F811BE">
                        <w:rPr>
                          <w:rFonts w:ascii="Arial" w:hAnsi="Arial" w:cs="Arial"/>
                          <w:i/>
                          <w:iCs/>
                          <w:color w:val="000000"/>
                          <w:sz w:val="18"/>
                          <w:szCs w:val="20"/>
                        </w:rPr>
                        <w:t>n</w:t>
                      </w:r>
                      <w:r w:rsidRPr="00F811BE">
                        <w:rPr>
                          <w:rFonts w:ascii="Arial" w:hAnsi="Arial" w:cs="Arial"/>
                          <w:color w:val="000000"/>
                          <w:sz w:val="18"/>
                          <w:szCs w:val="20"/>
                        </w:rPr>
                        <w:t xml:space="preserve"> = 9)</w:t>
                      </w:r>
                    </w:p>
                    <w:p w14:paraId="380BA52E" w14:textId="77777777" w:rsidR="00F811BE" w:rsidRPr="00F811BE" w:rsidRDefault="00F811BE" w:rsidP="00F811BE">
                      <w:pPr>
                        <w:spacing w:line="240" w:lineRule="auto"/>
                        <w:ind w:left="284"/>
                        <w:rPr>
                          <w:rFonts w:ascii="Arial" w:hAnsi="Arial" w:cs="Arial"/>
                          <w:color w:val="000000"/>
                          <w:sz w:val="18"/>
                          <w:szCs w:val="20"/>
                        </w:rPr>
                      </w:pPr>
                      <w:r w:rsidRPr="00F811BE">
                        <w:rPr>
                          <w:rFonts w:ascii="Arial" w:hAnsi="Arial" w:cs="Arial"/>
                          <w:color w:val="000000"/>
                          <w:sz w:val="18"/>
                          <w:szCs w:val="20"/>
                        </w:rPr>
                        <w:t>Outcome/exposure (</w:t>
                      </w:r>
                      <w:r w:rsidRPr="00F811BE">
                        <w:rPr>
                          <w:rFonts w:ascii="Arial" w:hAnsi="Arial" w:cs="Arial"/>
                          <w:i/>
                          <w:iCs/>
                          <w:color w:val="000000"/>
                          <w:sz w:val="18"/>
                          <w:szCs w:val="20"/>
                        </w:rPr>
                        <w:t>n</w:t>
                      </w:r>
                      <w:r w:rsidRPr="00F811BE">
                        <w:rPr>
                          <w:rFonts w:ascii="Arial" w:hAnsi="Arial" w:cs="Arial"/>
                          <w:color w:val="000000"/>
                          <w:sz w:val="18"/>
                          <w:szCs w:val="20"/>
                        </w:rPr>
                        <w:t xml:space="preserve"> =17)</w:t>
                      </w:r>
                    </w:p>
                    <w:p w14:paraId="31CCA729" w14:textId="77777777" w:rsidR="00F811BE" w:rsidRPr="00F811BE" w:rsidRDefault="00F811BE" w:rsidP="00F811BE">
                      <w:pPr>
                        <w:spacing w:line="240" w:lineRule="auto"/>
                        <w:ind w:left="284"/>
                        <w:rPr>
                          <w:rFonts w:ascii="Arial" w:hAnsi="Arial" w:cs="Arial"/>
                          <w:color w:val="000000"/>
                          <w:sz w:val="18"/>
                          <w:szCs w:val="20"/>
                        </w:rPr>
                      </w:pPr>
                    </w:p>
                  </w:txbxContent>
                </v:textbox>
              </v:rect>
            </w:pict>
          </mc:Fallback>
        </mc:AlternateContent>
      </w:r>
      <w:r w:rsidRPr="00606D67">
        <w:rPr>
          <w:noProof/>
          <w:color w:val="000000" w:themeColor="text1"/>
        </w:rPr>
        <mc:AlternateContent>
          <mc:Choice Requires="wps">
            <w:drawing>
              <wp:anchor distT="0" distB="0" distL="114300" distR="114300" simplePos="0" relativeHeight="251651072" behindDoc="0" locked="0" layoutInCell="1" allowOverlap="1" wp14:anchorId="7D0BEF86" wp14:editId="4DF0DB72">
                <wp:simplePos x="0" y="0"/>
                <wp:positionH relativeFrom="column">
                  <wp:posOffset>2463165</wp:posOffset>
                </wp:positionH>
                <wp:positionV relativeFrom="paragraph">
                  <wp:posOffset>2311400</wp:posOffset>
                </wp:positionV>
                <wp:extent cx="563245" cy="0"/>
                <wp:effectExtent l="0" t="76200" r="27305" b="95250"/>
                <wp:wrapNone/>
                <wp:docPr id="16" name="Straight Arrow Connector 16"/>
                <wp:cNvGraphicFramePr/>
                <a:graphic xmlns:a="http://schemas.openxmlformats.org/drawingml/2006/main">
                  <a:graphicData uri="http://schemas.microsoft.com/office/word/2010/wordprocessingShape">
                    <wps:wsp>
                      <wps:cNvCnPr/>
                      <wps:spPr>
                        <a:xfrm>
                          <a:off x="0" y="0"/>
                          <a:ext cx="563245"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type w14:anchorId="4F182D7C" id="_x0000_t32" coordsize="21600,21600" o:spt="32" o:oned="t" path="m,l21600,21600e" filled="f">
                <v:path arrowok="t" fillok="f" o:connecttype="none"/>
                <o:lock v:ext="edit" shapetype="t"/>
              </v:shapetype>
              <v:shape id="Straight Arrow Connector 16" o:spid="_x0000_s1026" type="#_x0000_t32" style="position:absolute;margin-left:193.95pt;margin-top:182pt;width:44.35pt;height:0;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" strokecolor="windowText" strokeweight=".5pt">
                <v:stroke endarrow="block" joinstyle="miter"/>
              </v:shape>
            </w:pict>
          </mc:Fallback>
        </mc:AlternateContent>
      </w:r>
      <w:r w:rsidRPr="00606D67">
        <w:rPr>
          <w:noProof/>
          <w:color w:val="000000" w:themeColor="text1"/>
        </w:rPr>
        <mc:AlternateContent>
          <mc:Choice Requires="wps">
            <w:drawing>
              <wp:anchor distT="0" distB="0" distL="114300" distR="114300" simplePos="0" relativeHeight="251654144" behindDoc="0" locked="0" layoutInCell="1" allowOverlap="1" wp14:anchorId="2C1F7051" wp14:editId="4D24AD57">
                <wp:simplePos x="0" y="0"/>
                <wp:positionH relativeFrom="column">
                  <wp:posOffset>2476500</wp:posOffset>
                </wp:positionH>
                <wp:positionV relativeFrom="paragraph">
                  <wp:posOffset>3190240</wp:posOffset>
                </wp:positionV>
                <wp:extent cx="563245" cy="0"/>
                <wp:effectExtent l="0" t="76200" r="27305" b="95250"/>
                <wp:wrapNone/>
                <wp:docPr id="17" name="Straight Arrow Connector 17"/>
                <wp:cNvGraphicFramePr/>
                <a:graphic xmlns:a="http://schemas.openxmlformats.org/drawingml/2006/main">
                  <a:graphicData uri="http://schemas.microsoft.com/office/word/2010/wordprocessingShape">
                    <wps:wsp>
                      <wps:cNvCnPr/>
                      <wps:spPr>
                        <a:xfrm>
                          <a:off x="0" y="0"/>
                          <a:ext cx="563245"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04FF258B" id="Straight Arrow Connector 17" o:spid="_x0000_s1026" type="#_x0000_t32" style="position:absolute;margin-left:195pt;margin-top:251.2pt;width:44.35pt;height:0;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" strokecolor="windowText" strokeweight=".5pt">
                <v:stroke endarrow="block" joinstyle="miter"/>
              </v:shape>
            </w:pict>
          </mc:Fallback>
        </mc:AlternateContent>
      </w:r>
      <w:r w:rsidRPr="00606D67">
        <w:rPr>
          <w:noProof/>
          <w:color w:val="000000" w:themeColor="text1"/>
        </w:rPr>
        <mc:AlternateContent>
          <mc:Choice Requires="wps">
            <w:drawing>
              <wp:anchor distT="0" distB="0" distL="114300" distR="114300" simplePos="0" relativeHeight="251657216" behindDoc="0" locked="0" layoutInCell="1" allowOverlap="1" wp14:anchorId="131ABB40" wp14:editId="038E3529">
                <wp:simplePos x="0" y="0"/>
                <wp:positionH relativeFrom="column">
                  <wp:posOffset>1400175</wp:posOffset>
                </wp:positionH>
                <wp:positionV relativeFrom="paragraph">
                  <wp:posOffset>1728470</wp:posOffset>
                </wp:positionV>
                <wp:extent cx="0" cy="281305"/>
                <wp:effectExtent l="76200" t="0" r="57150" b="61595"/>
                <wp:wrapNone/>
                <wp:docPr id="35" name="Straight Arrow Connector 35"/>
                <wp:cNvGraphicFramePr/>
                <a:graphic xmlns:a="http://schemas.openxmlformats.org/drawingml/2006/main">
                  <a:graphicData uri="http://schemas.microsoft.com/office/word/2010/wordprocessingShape">
                    <wps:wsp>
                      <wps:cNvCnPr/>
                      <wps:spPr>
                        <a:xfrm>
                          <a:off x="0" y="0"/>
                          <a:ext cx="0" cy="28130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6A9666AC" id="Straight Arrow Connector 35" o:spid="_x0000_s1026" type="#_x0000_t32" style="position:absolute;margin-left:110.25pt;margin-top:136.1pt;width:0;height:22.1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" strokecolor="windowText" strokeweight=".5pt">
                <v:stroke endarrow="block" joinstyle="miter"/>
              </v:shape>
            </w:pict>
          </mc:Fallback>
        </mc:AlternateContent>
      </w:r>
      <w:r w:rsidRPr="00606D67">
        <w:rPr>
          <w:noProof/>
          <w:color w:val="000000" w:themeColor="text1"/>
        </w:rPr>
        <mc:AlternateContent>
          <mc:Choice Requires="wps">
            <w:drawing>
              <wp:anchor distT="0" distB="0" distL="114300" distR="114300" simplePos="0" relativeHeight="251660288" behindDoc="0" locked="0" layoutInCell="1" allowOverlap="1" wp14:anchorId="019A0E23" wp14:editId="0E1CF696">
                <wp:simplePos x="0" y="0"/>
                <wp:positionH relativeFrom="column">
                  <wp:posOffset>1409700</wp:posOffset>
                </wp:positionH>
                <wp:positionV relativeFrom="paragraph">
                  <wp:posOffset>2590165</wp:posOffset>
                </wp:positionV>
                <wp:extent cx="0" cy="281305"/>
                <wp:effectExtent l="76200" t="0" r="57150" b="61595"/>
                <wp:wrapNone/>
                <wp:docPr id="36" name="Straight Arrow Connector 36"/>
                <wp:cNvGraphicFramePr/>
                <a:graphic xmlns:a="http://schemas.openxmlformats.org/drawingml/2006/main">
                  <a:graphicData uri="http://schemas.microsoft.com/office/word/2010/wordprocessingShape">
                    <wps:wsp>
                      <wps:cNvCnPr/>
                      <wps:spPr>
                        <a:xfrm>
                          <a:off x="0" y="0"/>
                          <a:ext cx="0" cy="28130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15AF7E32" id="Straight Arrow Connector 36" o:spid="_x0000_s1026" type="#_x0000_t32" style="position:absolute;margin-left:111pt;margin-top:203.95pt;width:0;height:22.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" strokecolor="windowText" strokeweight=".5pt">
                <v:stroke endarrow="block" joinstyle="miter"/>
              </v:shape>
            </w:pict>
          </mc:Fallback>
        </mc:AlternateContent>
      </w:r>
      <w:r w:rsidRPr="00606D67">
        <w:rPr>
          <w:noProof/>
          <w:color w:val="000000" w:themeColor="text1"/>
        </w:rPr>
        <mc:AlternateContent>
          <mc:Choice Requires="wps">
            <w:drawing>
              <wp:anchor distT="0" distB="0" distL="114300" distR="114300" simplePos="0" relativeHeight="251663360" behindDoc="0" locked="0" layoutInCell="1" allowOverlap="1" wp14:anchorId="082C8FDE" wp14:editId="3097FF8B">
                <wp:simplePos x="0" y="0"/>
                <wp:positionH relativeFrom="column">
                  <wp:posOffset>1400810</wp:posOffset>
                </wp:positionH>
                <wp:positionV relativeFrom="paragraph">
                  <wp:posOffset>3468370</wp:posOffset>
                </wp:positionV>
                <wp:extent cx="0" cy="746125"/>
                <wp:effectExtent l="76200" t="0" r="57150" b="53975"/>
                <wp:wrapNone/>
                <wp:docPr id="19" name="Straight Arrow Connector 19"/>
                <wp:cNvGraphicFramePr/>
                <a:graphic xmlns:a="http://schemas.openxmlformats.org/drawingml/2006/main">
                  <a:graphicData uri="http://schemas.microsoft.com/office/word/2010/wordprocessingShape">
                    <wps:wsp>
                      <wps:cNvCnPr/>
                      <wps:spPr>
                        <a:xfrm>
                          <a:off x="0" y="0"/>
                          <a:ext cx="0" cy="74612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36DD5D51" id="Straight Arrow Connector 19" o:spid="_x0000_s1026" type="#_x0000_t32" style="position:absolute;margin-left:110.3pt;margin-top:273.1pt;width:0;height:58.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" strokecolor="windowText" strokeweight=".5pt">
                <v:stroke endarrow="block" joinstyle="miter"/>
              </v:shape>
            </w:pict>
          </mc:Fallback>
        </mc:AlternateContent>
      </w:r>
      <w:r w:rsidRPr="00606D67">
        <w:rPr>
          <w:noProof/>
          <w:color w:val="000000" w:themeColor="text1"/>
        </w:rPr>
        <mc:AlternateContent>
          <mc:Choice Requires="wps">
            <w:drawing>
              <wp:anchor distT="0" distB="0" distL="114300" distR="114300" simplePos="0" relativeHeight="251666432" behindDoc="0" locked="0" layoutInCell="1" allowOverlap="1" wp14:anchorId="5233490E" wp14:editId="14868035">
                <wp:simplePos x="0" y="0"/>
                <wp:positionH relativeFrom="column">
                  <wp:posOffset>559435</wp:posOffset>
                </wp:positionH>
                <wp:positionV relativeFrom="paragraph">
                  <wp:posOffset>1160780</wp:posOffset>
                </wp:positionV>
                <wp:extent cx="1887220" cy="526415"/>
                <wp:effectExtent l="0" t="0" r="17780" b="26035"/>
                <wp:wrapNone/>
                <wp:docPr id="3" name="Rectangle 3"/>
                <wp:cNvGraphicFramePr/>
                <a:graphic xmlns:a="http://schemas.openxmlformats.org/drawingml/2006/main">
                  <a:graphicData uri="http://schemas.microsoft.com/office/word/2010/wordprocessingShape">
                    <wps:wsp>
                      <wps:cNvSpPr/>
                      <wps:spPr>
                        <a:xfrm>
                          <a:off x="0" y="0"/>
                          <a:ext cx="1887220" cy="526415"/>
                        </a:xfrm>
                        <a:prstGeom prst="rect">
                          <a:avLst/>
                        </a:prstGeom>
                        <a:noFill/>
                        <a:ln w="12700" cap="flat" cmpd="sng" algn="ctr">
                          <a:solidFill>
                            <a:sysClr val="windowText" lastClr="000000"/>
                          </a:solidFill>
                          <a:prstDash val="solid"/>
                          <a:miter lim="800000"/>
                        </a:ln>
                        <a:effectLst/>
                      </wps:spPr>
                      <wps:txbx>
                        <w:txbxContent>
                          <w:p w14:paraId="13359462" w14:textId="77777777" w:rsidR="00F811BE" w:rsidRPr="00F811BE" w:rsidRDefault="00F811BE" w:rsidP="00F811BE">
                            <w:pPr>
                              <w:spacing w:line="240" w:lineRule="auto"/>
                              <w:rPr>
                                <w:rFonts w:ascii="Arial" w:hAnsi="Arial" w:cs="Arial"/>
                                <w:color w:val="000000"/>
                                <w:sz w:val="18"/>
                                <w:szCs w:val="20"/>
                              </w:rPr>
                            </w:pPr>
                            <w:r w:rsidRPr="00F811BE">
                              <w:rPr>
                                <w:rFonts w:ascii="Arial" w:hAnsi="Arial" w:cs="Arial"/>
                                <w:color w:val="000000"/>
                                <w:sz w:val="18"/>
                                <w:szCs w:val="20"/>
                              </w:rPr>
                              <w:t>Records screened</w:t>
                            </w:r>
                          </w:p>
                          <w:p w14:paraId="098A27D5" w14:textId="77777777" w:rsidR="00F811BE" w:rsidRPr="00F811BE" w:rsidRDefault="00F811BE" w:rsidP="00F811BE">
                            <w:pPr>
                              <w:spacing w:line="240" w:lineRule="auto"/>
                              <w:rPr>
                                <w:rFonts w:ascii="Arial" w:hAnsi="Arial" w:cs="Arial"/>
                                <w:color w:val="000000"/>
                                <w:sz w:val="18"/>
                                <w:szCs w:val="20"/>
                              </w:rPr>
                            </w:pPr>
                            <w:r w:rsidRPr="00F811BE">
                              <w:rPr>
                                <w:rFonts w:ascii="Arial" w:hAnsi="Arial" w:cs="Arial"/>
                                <w:color w:val="000000"/>
                                <w:sz w:val="18"/>
                                <w:szCs w:val="20"/>
                              </w:rPr>
                              <w:t>(</w:t>
                            </w:r>
                            <w:r w:rsidRPr="00F811BE">
                              <w:rPr>
                                <w:rFonts w:ascii="Arial" w:hAnsi="Arial" w:cs="Arial"/>
                                <w:i/>
                                <w:iCs/>
                                <w:color w:val="000000"/>
                                <w:sz w:val="18"/>
                                <w:szCs w:val="20"/>
                              </w:rPr>
                              <w:t>n</w:t>
                            </w:r>
                            <w:r w:rsidRPr="00F811BE">
                              <w:rPr>
                                <w:rFonts w:ascii="Arial" w:hAnsi="Arial" w:cs="Arial"/>
                                <w:color w:val="000000"/>
                                <w:sz w:val="18"/>
                                <w:szCs w:val="20"/>
                              </w:rPr>
                              <w:t xml:space="preserve"> = 361)</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33490E" id="Rectangle 3" o:spid="_x0000_s1032" style="position:absolute;margin-left:44.05pt;margin-top:91.4pt;width:148.6pt;height:41.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" filled="f" strokecolor="windowText" strokeweight="1pt">
                <v:textbox>
                  <w:txbxContent>
                    <w:p w14:paraId="13359462" w14:textId="77777777" w:rsidR="00F811BE" w:rsidRPr="00F811BE" w:rsidRDefault="00F811BE" w:rsidP="00F811BE">
                      <w:pPr>
                        <w:spacing w:line="240" w:lineRule="auto"/>
                        <w:rPr>
                          <w:rFonts w:ascii="Arial" w:hAnsi="Arial" w:cs="Arial"/>
                          <w:color w:val="000000"/>
                          <w:sz w:val="18"/>
                          <w:szCs w:val="20"/>
                        </w:rPr>
                      </w:pPr>
                      <w:r w:rsidRPr="00F811BE">
                        <w:rPr>
                          <w:rFonts w:ascii="Arial" w:hAnsi="Arial" w:cs="Arial"/>
                          <w:color w:val="000000"/>
                          <w:sz w:val="18"/>
                          <w:szCs w:val="20"/>
                        </w:rPr>
                        <w:t>Records screened</w:t>
                      </w:r>
                    </w:p>
                    <w:p w14:paraId="098A27D5" w14:textId="77777777" w:rsidR="00F811BE" w:rsidRPr="00F811BE" w:rsidRDefault="00F811BE" w:rsidP="00F811BE">
                      <w:pPr>
                        <w:spacing w:line="240" w:lineRule="auto"/>
                        <w:rPr>
                          <w:rFonts w:ascii="Arial" w:hAnsi="Arial" w:cs="Arial"/>
                          <w:color w:val="000000"/>
                          <w:sz w:val="18"/>
                          <w:szCs w:val="20"/>
                        </w:rPr>
                      </w:pPr>
                      <w:r w:rsidRPr="00F811BE">
                        <w:rPr>
                          <w:rFonts w:ascii="Arial" w:hAnsi="Arial" w:cs="Arial"/>
                          <w:color w:val="000000"/>
                          <w:sz w:val="18"/>
                          <w:szCs w:val="20"/>
                        </w:rPr>
                        <w:t>(</w:t>
                      </w:r>
                      <w:r w:rsidRPr="00F811BE">
                        <w:rPr>
                          <w:rFonts w:ascii="Arial" w:hAnsi="Arial" w:cs="Arial"/>
                          <w:i/>
                          <w:iCs/>
                          <w:color w:val="000000"/>
                          <w:sz w:val="18"/>
                          <w:szCs w:val="20"/>
                        </w:rPr>
                        <w:t>n</w:t>
                      </w:r>
                      <w:r w:rsidRPr="00F811BE">
                        <w:rPr>
                          <w:rFonts w:ascii="Arial" w:hAnsi="Arial" w:cs="Arial"/>
                          <w:color w:val="000000"/>
                          <w:sz w:val="18"/>
                          <w:szCs w:val="20"/>
                        </w:rPr>
                        <w:t xml:space="preserve"> = 361)</w:t>
                      </w:r>
                    </w:p>
                  </w:txbxContent>
                </v:textbox>
              </v:rect>
            </w:pict>
          </mc:Fallback>
        </mc:AlternateContent>
      </w:r>
      <w:r w:rsidRPr="00606D67">
        <w:rPr>
          <w:noProof/>
          <w:color w:val="000000" w:themeColor="text1"/>
        </w:rPr>
        <mc:AlternateContent>
          <mc:Choice Requires="wps">
            <w:drawing>
              <wp:anchor distT="0" distB="0" distL="114300" distR="114300" simplePos="0" relativeHeight="251669504" behindDoc="0" locked="0" layoutInCell="1" allowOverlap="1" wp14:anchorId="06F13272" wp14:editId="6E28F3F0">
                <wp:simplePos x="0" y="0"/>
                <wp:positionH relativeFrom="column">
                  <wp:posOffset>3048000</wp:posOffset>
                </wp:positionH>
                <wp:positionV relativeFrom="paragraph">
                  <wp:posOffset>1160780</wp:posOffset>
                </wp:positionV>
                <wp:extent cx="1887220" cy="526415"/>
                <wp:effectExtent l="0" t="0" r="17780" b="26035"/>
                <wp:wrapNone/>
                <wp:docPr id="4" name="Rectangle 4"/>
                <wp:cNvGraphicFramePr/>
                <a:graphic xmlns:a="http://schemas.openxmlformats.org/drawingml/2006/main">
                  <a:graphicData uri="http://schemas.microsoft.com/office/word/2010/wordprocessingShape">
                    <wps:wsp>
                      <wps:cNvSpPr/>
                      <wps:spPr>
                        <a:xfrm>
                          <a:off x="0" y="0"/>
                          <a:ext cx="1887220" cy="526415"/>
                        </a:xfrm>
                        <a:prstGeom prst="rect">
                          <a:avLst/>
                        </a:prstGeom>
                        <a:noFill/>
                        <a:ln w="12700" cap="flat" cmpd="sng" algn="ctr">
                          <a:solidFill>
                            <a:sysClr val="windowText" lastClr="000000"/>
                          </a:solidFill>
                          <a:prstDash val="solid"/>
                          <a:miter lim="800000"/>
                        </a:ln>
                        <a:effectLst/>
                      </wps:spPr>
                      <wps:txbx>
                        <w:txbxContent>
                          <w:p w14:paraId="1426BAA6" w14:textId="77777777" w:rsidR="00F811BE" w:rsidRPr="00F811BE" w:rsidRDefault="00F811BE" w:rsidP="00F811BE">
                            <w:pPr>
                              <w:spacing w:line="240" w:lineRule="auto"/>
                              <w:rPr>
                                <w:rFonts w:ascii="Arial" w:hAnsi="Arial" w:cs="Arial"/>
                                <w:color w:val="000000"/>
                                <w:sz w:val="18"/>
                                <w:szCs w:val="20"/>
                              </w:rPr>
                            </w:pPr>
                            <w:r w:rsidRPr="00F811BE">
                              <w:rPr>
                                <w:rFonts w:ascii="Arial" w:hAnsi="Arial" w:cs="Arial"/>
                                <w:color w:val="000000"/>
                                <w:sz w:val="18"/>
                                <w:szCs w:val="20"/>
                              </w:rPr>
                              <w:t>Records excluded</w:t>
                            </w:r>
                          </w:p>
                          <w:p w14:paraId="2CD3227C" w14:textId="77777777" w:rsidR="00F811BE" w:rsidRPr="00F811BE" w:rsidRDefault="00F811BE" w:rsidP="00F811BE">
                            <w:pPr>
                              <w:spacing w:line="240" w:lineRule="auto"/>
                              <w:rPr>
                                <w:rFonts w:ascii="Arial" w:hAnsi="Arial" w:cs="Arial"/>
                                <w:color w:val="000000"/>
                                <w:sz w:val="18"/>
                                <w:szCs w:val="20"/>
                              </w:rPr>
                            </w:pPr>
                            <w:r w:rsidRPr="00F811BE">
                              <w:rPr>
                                <w:rFonts w:ascii="Arial" w:hAnsi="Arial" w:cs="Arial"/>
                                <w:color w:val="000000"/>
                                <w:sz w:val="18"/>
                                <w:szCs w:val="20"/>
                              </w:rPr>
                              <w:t>(</w:t>
                            </w:r>
                            <w:r w:rsidRPr="00F811BE">
                              <w:rPr>
                                <w:rFonts w:ascii="Arial" w:hAnsi="Arial" w:cs="Arial"/>
                                <w:i/>
                                <w:iCs/>
                                <w:color w:val="000000"/>
                                <w:sz w:val="18"/>
                                <w:szCs w:val="20"/>
                              </w:rPr>
                              <w:t>n</w:t>
                            </w:r>
                            <w:r w:rsidRPr="00F811BE">
                              <w:rPr>
                                <w:rFonts w:ascii="Arial" w:hAnsi="Arial" w:cs="Arial"/>
                                <w:color w:val="000000"/>
                                <w:sz w:val="18"/>
                                <w:szCs w:val="20"/>
                              </w:rPr>
                              <w:t xml:space="preserve"> = 272)</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F13272" id="Rectangle 4" o:spid="_x0000_s1033" style="position:absolute;margin-left:240pt;margin-top:91.4pt;width:148.6pt;height:41.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" filled="f" strokecolor="windowText" strokeweight="1pt">
                <v:textbox>
                  <w:txbxContent>
                    <w:p w14:paraId="1426BAA6" w14:textId="77777777" w:rsidR="00F811BE" w:rsidRPr="00F811BE" w:rsidRDefault="00F811BE" w:rsidP="00F811BE">
                      <w:pPr>
                        <w:spacing w:line="240" w:lineRule="auto"/>
                        <w:rPr>
                          <w:rFonts w:ascii="Arial" w:hAnsi="Arial" w:cs="Arial"/>
                          <w:color w:val="000000"/>
                          <w:sz w:val="18"/>
                          <w:szCs w:val="20"/>
                        </w:rPr>
                      </w:pPr>
                      <w:r w:rsidRPr="00F811BE">
                        <w:rPr>
                          <w:rFonts w:ascii="Arial" w:hAnsi="Arial" w:cs="Arial"/>
                          <w:color w:val="000000"/>
                          <w:sz w:val="18"/>
                          <w:szCs w:val="20"/>
                        </w:rPr>
                        <w:t>Records excluded</w:t>
                      </w:r>
                    </w:p>
                    <w:p w14:paraId="2CD3227C" w14:textId="77777777" w:rsidR="00F811BE" w:rsidRPr="00F811BE" w:rsidRDefault="00F811BE" w:rsidP="00F811BE">
                      <w:pPr>
                        <w:spacing w:line="240" w:lineRule="auto"/>
                        <w:rPr>
                          <w:rFonts w:ascii="Arial" w:hAnsi="Arial" w:cs="Arial"/>
                          <w:color w:val="000000"/>
                          <w:sz w:val="18"/>
                          <w:szCs w:val="20"/>
                        </w:rPr>
                      </w:pPr>
                      <w:r w:rsidRPr="00F811BE">
                        <w:rPr>
                          <w:rFonts w:ascii="Arial" w:hAnsi="Arial" w:cs="Arial"/>
                          <w:color w:val="000000"/>
                          <w:sz w:val="18"/>
                          <w:szCs w:val="20"/>
                        </w:rPr>
                        <w:t>(</w:t>
                      </w:r>
                      <w:r w:rsidRPr="00F811BE">
                        <w:rPr>
                          <w:rFonts w:ascii="Arial" w:hAnsi="Arial" w:cs="Arial"/>
                          <w:i/>
                          <w:iCs/>
                          <w:color w:val="000000"/>
                          <w:sz w:val="18"/>
                          <w:szCs w:val="20"/>
                        </w:rPr>
                        <w:t>n</w:t>
                      </w:r>
                      <w:r w:rsidRPr="00F811BE">
                        <w:rPr>
                          <w:rFonts w:ascii="Arial" w:hAnsi="Arial" w:cs="Arial"/>
                          <w:color w:val="000000"/>
                          <w:sz w:val="18"/>
                          <w:szCs w:val="20"/>
                        </w:rPr>
                        <w:t xml:space="preserve"> = 272)</w:t>
                      </w:r>
                    </w:p>
                  </w:txbxContent>
                </v:textbox>
              </v:rect>
            </w:pict>
          </mc:Fallback>
        </mc:AlternateContent>
      </w:r>
      <w:r w:rsidRPr="00606D67">
        <w:rPr>
          <w:noProof/>
          <w:color w:val="000000" w:themeColor="text1"/>
        </w:rPr>
        <mc:AlternateContent>
          <mc:Choice Requires="wps">
            <w:drawing>
              <wp:anchor distT="0" distB="0" distL="114300" distR="114300" simplePos="0" relativeHeight="251672576" behindDoc="0" locked="0" layoutInCell="1" allowOverlap="1" wp14:anchorId="342324B1" wp14:editId="4343605C">
                <wp:simplePos x="0" y="0"/>
                <wp:positionH relativeFrom="column">
                  <wp:posOffset>2453640</wp:posOffset>
                </wp:positionH>
                <wp:positionV relativeFrom="paragraph">
                  <wp:posOffset>1414145</wp:posOffset>
                </wp:positionV>
                <wp:extent cx="563245" cy="0"/>
                <wp:effectExtent l="0" t="76200" r="27305" b="95250"/>
                <wp:wrapNone/>
                <wp:docPr id="15" name="Straight Arrow Connector 15"/>
                <wp:cNvGraphicFramePr/>
                <a:graphic xmlns:a="http://schemas.openxmlformats.org/drawingml/2006/main">
                  <a:graphicData uri="http://schemas.microsoft.com/office/word/2010/wordprocessingShape">
                    <wps:wsp>
                      <wps:cNvCnPr/>
                      <wps:spPr>
                        <a:xfrm>
                          <a:off x="0" y="0"/>
                          <a:ext cx="563245"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2935917C" id="Straight Arrow Connector 15" o:spid="_x0000_s1026" type="#_x0000_t32" style="position:absolute;margin-left:193.2pt;margin-top:111.35pt;width:44.35pt;height:0;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" strokecolor="windowText" strokeweight=".5pt">
                <v:stroke endarrow="block" joinstyle="miter"/>
              </v:shape>
            </w:pict>
          </mc:Fallback>
        </mc:AlternateContent>
      </w:r>
      <w:r w:rsidRPr="00606D67">
        <w:rPr>
          <w:noProof/>
          <w:color w:val="000000" w:themeColor="text1"/>
        </w:rPr>
        <mc:AlternateContent>
          <mc:Choice Requires="wps">
            <w:drawing>
              <wp:anchor distT="0" distB="0" distL="114300" distR="114300" simplePos="0" relativeHeight="251675648" behindDoc="0" locked="0" layoutInCell="1" allowOverlap="1" wp14:anchorId="0AD47CE5" wp14:editId="14C81E02">
                <wp:simplePos x="0" y="0"/>
                <wp:positionH relativeFrom="column">
                  <wp:posOffset>1400175</wp:posOffset>
                </wp:positionH>
                <wp:positionV relativeFrom="paragraph">
                  <wp:posOffset>852805</wp:posOffset>
                </wp:positionV>
                <wp:extent cx="0" cy="281305"/>
                <wp:effectExtent l="76200" t="0" r="57150" b="61595"/>
                <wp:wrapNone/>
                <wp:docPr id="27" name="Straight Arrow Connector 27"/>
                <wp:cNvGraphicFramePr/>
                <a:graphic xmlns:a="http://schemas.openxmlformats.org/drawingml/2006/main">
                  <a:graphicData uri="http://schemas.microsoft.com/office/word/2010/wordprocessingShape">
                    <wps:wsp>
                      <wps:cNvCnPr/>
                      <wps:spPr>
                        <a:xfrm>
                          <a:off x="0" y="0"/>
                          <a:ext cx="0" cy="281305"/>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4AED7219" id="Straight Arrow Connector 27" o:spid="_x0000_s1026" type="#_x0000_t32" style="position:absolute;margin-left:110.25pt;margin-top:67.15pt;width:0;height:22.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" strokecolor="windowText" strokeweight=".5pt">
                <v:stroke endarrow="block" joinstyle="miter"/>
              </v:shape>
            </w:pict>
          </mc:Fallback>
        </mc:AlternateContent>
      </w:r>
      <w:r w:rsidRPr="00606D67">
        <w:rPr>
          <w:noProof/>
          <w:color w:val="000000" w:themeColor="text1"/>
        </w:rPr>
        <mc:AlternateContent>
          <mc:Choice Requires="wps">
            <w:drawing>
              <wp:anchor distT="0" distB="0" distL="114300" distR="114300" simplePos="0" relativeHeight="251678720" behindDoc="0" locked="0" layoutInCell="1" allowOverlap="1" wp14:anchorId="5C33EAC6" wp14:editId="4EC282AC">
                <wp:simplePos x="0" y="0"/>
                <wp:positionH relativeFrom="column">
                  <wp:posOffset>-1160780</wp:posOffset>
                </wp:positionH>
                <wp:positionV relativeFrom="paragraph">
                  <wp:posOffset>2493010</wp:posOffset>
                </wp:positionV>
                <wp:extent cx="2787650" cy="262890"/>
                <wp:effectExtent l="5080" t="0" r="17780" b="17780"/>
                <wp:wrapNone/>
                <wp:docPr id="32" name="Flowchart: Alternate Process 32"/>
                <wp:cNvGraphicFramePr/>
                <a:graphic xmlns:a="http://schemas.openxmlformats.org/drawingml/2006/main">
                  <a:graphicData uri="http://schemas.microsoft.com/office/word/2010/wordprocessingShape">
                    <wps:wsp>
                      <wps:cNvSpPr/>
                      <wps:spPr>
                        <a:xfrm rot="16200000">
                          <a:off x="0" y="0"/>
                          <a:ext cx="2787015" cy="262890"/>
                        </a:xfrm>
                        <a:prstGeom prst="flowChartAlternateProcess">
                          <a:avLst/>
                        </a:prstGeom>
                        <a:solidFill>
                          <a:srgbClr val="E7E6E6"/>
                        </a:solidFill>
                        <a:ln w="12700" cap="flat" cmpd="sng" algn="ctr">
                          <a:solidFill>
                            <a:sysClr val="windowText" lastClr="000000"/>
                          </a:solidFill>
                          <a:prstDash val="solid"/>
                          <a:miter lim="800000"/>
                        </a:ln>
                        <a:effectLst/>
                      </wps:spPr>
                      <wps:txbx>
                        <w:txbxContent>
                          <w:p w14:paraId="3ADEC105" w14:textId="77777777" w:rsidR="00F811BE" w:rsidRPr="00F811BE" w:rsidRDefault="00F811BE" w:rsidP="00F811BE">
                            <w:pPr>
                              <w:spacing w:line="240" w:lineRule="auto"/>
                              <w:jc w:val="center"/>
                              <w:rPr>
                                <w:rFonts w:ascii="Arial" w:hAnsi="Arial" w:cs="Arial"/>
                                <w:b/>
                                <w:color w:val="000000"/>
                                <w:sz w:val="18"/>
                                <w:szCs w:val="18"/>
                              </w:rPr>
                            </w:pPr>
                            <w:r w:rsidRPr="00F811BE">
                              <w:rPr>
                                <w:rFonts w:ascii="Arial" w:hAnsi="Arial" w:cs="Arial"/>
                                <w:b/>
                                <w:color w:val="000000"/>
                                <w:sz w:val="18"/>
                                <w:szCs w:val="18"/>
                              </w:rPr>
                              <w:t>Screening</w:t>
                            </w:r>
                          </w:p>
                          <w:p w14:paraId="0E9FABB8" w14:textId="77777777" w:rsidR="00F811BE" w:rsidRPr="00F811BE" w:rsidRDefault="00F811BE" w:rsidP="00F811BE">
                            <w:pPr>
                              <w:spacing w:line="240" w:lineRule="auto"/>
                              <w:rPr>
                                <w:rFonts w:ascii="Arial" w:hAnsi="Arial" w:cs="Arial"/>
                                <w:b/>
                                <w:color w:val="000000"/>
                                <w:sz w:val="18"/>
                                <w:szCs w:val="18"/>
                              </w:rPr>
                            </w:pP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C33EAC6" id="Flowchart: Alternate Process 32" o:spid="_x0000_s1034" type="#_x0000_t176" style="position:absolute;margin-left:-91.4pt;margin-top:196.3pt;width:219.5pt;height:20.7pt;rotation:-90;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" fillcolor="#e7e6e6" strokecolor="windowText" strokeweight="1pt">
                <v:textbox>
                  <w:txbxContent>
                    <w:p w14:paraId="3ADEC105" w14:textId="77777777" w:rsidR="00F811BE" w:rsidRPr="00F811BE" w:rsidRDefault="00F811BE" w:rsidP="00F811BE">
                      <w:pPr>
                        <w:spacing w:line="240" w:lineRule="auto"/>
                        <w:jc w:val="center"/>
                        <w:rPr>
                          <w:rFonts w:ascii="Arial" w:hAnsi="Arial" w:cs="Arial"/>
                          <w:b/>
                          <w:color w:val="000000"/>
                          <w:sz w:val="18"/>
                          <w:szCs w:val="18"/>
                        </w:rPr>
                      </w:pPr>
                      <w:r w:rsidRPr="00F811BE">
                        <w:rPr>
                          <w:rFonts w:ascii="Arial" w:hAnsi="Arial" w:cs="Arial"/>
                          <w:b/>
                          <w:color w:val="000000"/>
                          <w:sz w:val="18"/>
                          <w:szCs w:val="18"/>
                        </w:rPr>
                        <w:t>Screening</w:t>
                      </w:r>
                    </w:p>
                    <w:p w14:paraId="0E9FABB8" w14:textId="77777777" w:rsidR="00F811BE" w:rsidRPr="00F811BE" w:rsidRDefault="00F811BE" w:rsidP="00F811BE">
                      <w:pPr>
                        <w:spacing w:line="240" w:lineRule="auto"/>
                        <w:rPr>
                          <w:rFonts w:ascii="Arial" w:hAnsi="Arial" w:cs="Arial"/>
                          <w:b/>
                          <w:color w:val="000000"/>
                          <w:sz w:val="18"/>
                          <w:szCs w:val="18"/>
                        </w:rPr>
                      </w:pPr>
                    </w:p>
                  </w:txbxContent>
                </v:textbox>
              </v:shape>
            </w:pict>
          </mc:Fallback>
        </mc:AlternateContent>
      </w:r>
      <w:r w:rsidRPr="00606D67">
        <w:rPr>
          <w:noProof/>
          <w:color w:val="000000" w:themeColor="text1"/>
        </w:rPr>
        <mc:AlternateContent>
          <mc:Choice Requires="wps">
            <w:drawing>
              <wp:anchor distT="0" distB="0" distL="114300" distR="114300" simplePos="0" relativeHeight="251681792" behindDoc="0" locked="0" layoutInCell="1" allowOverlap="1" wp14:anchorId="171BEB09" wp14:editId="251476FD">
                <wp:simplePos x="0" y="0"/>
                <wp:positionH relativeFrom="column">
                  <wp:posOffset>556260</wp:posOffset>
                </wp:positionH>
                <wp:positionV relativeFrom="paragraph">
                  <wp:posOffset>71120</wp:posOffset>
                </wp:positionV>
                <wp:extent cx="1887220" cy="723900"/>
                <wp:effectExtent l="0" t="0" r="17780" b="19050"/>
                <wp:wrapNone/>
                <wp:docPr id="1" name="Rectangle 1"/>
                <wp:cNvGraphicFramePr/>
                <a:graphic xmlns:a="http://schemas.openxmlformats.org/drawingml/2006/main">
                  <a:graphicData uri="http://schemas.microsoft.com/office/word/2010/wordprocessingShape">
                    <wps:wsp>
                      <wps:cNvSpPr/>
                      <wps:spPr>
                        <a:xfrm>
                          <a:off x="0" y="0"/>
                          <a:ext cx="1887220" cy="723900"/>
                        </a:xfrm>
                        <a:prstGeom prst="rect">
                          <a:avLst/>
                        </a:prstGeom>
                        <a:noFill/>
                        <a:ln w="12700" cap="flat" cmpd="sng" algn="ctr">
                          <a:solidFill>
                            <a:sysClr val="windowText" lastClr="000000"/>
                          </a:solidFill>
                          <a:prstDash val="solid"/>
                          <a:miter lim="800000"/>
                        </a:ln>
                        <a:effectLst/>
                      </wps:spPr>
                      <wps:txbx>
                        <w:txbxContent>
                          <w:p w14:paraId="1E8B6F96" w14:textId="77777777" w:rsidR="00F811BE" w:rsidRPr="00F811BE" w:rsidRDefault="00F811BE" w:rsidP="00F811BE">
                            <w:pPr>
                              <w:spacing w:line="240" w:lineRule="auto"/>
                              <w:rPr>
                                <w:rFonts w:ascii="Arial" w:hAnsi="Arial" w:cs="Arial"/>
                                <w:color w:val="000000"/>
                                <w:sz w:val="18"/>
                                <w:szCs w:val="20"/>
                              </w:rPr>
                            </w:pPr>
                            <w:r w:rsidRPr="00F811BE">
                              <w:rPr>
                                <w:rFonts w:ascii="Arial" w:hAnsi="Arial" w:cs="Arial"/>
                                <w:color w:val="000000"/>
                                <w:sz w:val="18"/>
                                <w:szCs w:val="20"/>
                              </w:rPr>
                              <w:t>Records identified from databases (</w:t>
                            </w:r>
                            <w:r w:rsidRPr="00F811BE">
                              <w:rPr>
                                <w:rFonts w:ascii="Arial" w:hAnsi="Arial" w:cs="Arial"/>
                                <w:i/>
                                <w:iCs/>
                                <w:color w:val="000000"/>
                                <w:sz w:val="18"/>
                                <w:szCs w:val="20"/>
                              </w:rPr>
                              <w:t>n</w:t>
                            </w:r>
                            <w:r w:rsidRPr="00F811BE">
                              <w:rPr>
                                <w:rFonts w:ascii="Arial" w:hAnsi="Arial" w:cs="Arial"/>
                                <w:color w:val="000000"/>
                                <w:sz w:val="18"/>
                                <w:szCs w:val="20"/>
                              </w:rPr>
                              <w:t xml:space="preserve"> = 621)</w:t>
                            </w:r>
                          </w:p>
                          <w:p w14:paraId="66449ABE" w14:textId="77777777" w:rsidR="00F811BE" w:rsidRPr="00F811BE" w:rsidRDefault="00F811BE" w:rsidP="00F811BE">
                            <w:pPr>
                              <w:spacing w:line="240" w:lineRule="auto"/>
                              <w:ind w:left="284"/>
                              <w:rPr>
                                <w:rFonts w:ascii="Arial" w:hAnsi="Arial" w:cs="Arial"/>
                                <w:color w:val="000000"/>
                                <w:sz w:val="18"/>
                                <w:szCs w:val="20"/>
                              </w:rPr>
                            </w:pP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1BEB09" id="Rectangle 1" o:spid="_x0000_s1035" style="position:absolute;margin-left:43.8pt;margin-top:5.6pt;width:148.6pt;height:57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" filled="f" strokecolor="windowText" strokeweight="1pt">
                <v:textbox>
                  <w:txbxContent>
                    <w:p w14:paraId="1E8B6F96" w14:textId="77777777" w:rsidR="00F811BE" w:rsidRPr="00F811BE" w:rsidRDefault="00F811BE" w:rsidP="00F811BE">
                      <w:pPr>
                        <w:spacing w:line="240" w:lineRule="auto"/>
                        <w:rPr>
                          <w:rFonts w:ascii="Arial" w:hAnsi="Arial" w:cs="Arial"/>
                          <w:color w:val="000000"/>
                          <w:sz w:val="18"/>
                          <w:szCs w:val="20"/>
                        </w:rPr>
                      </w:pPr>
                      <w:r w:rsidRPr="00F811BE">
                        <w:rPr>
                          <w:rFonts w:ascii="Arial" w:hAnsi="Arial" w:cs="Arial"/>
                          <w:color w:val="000000"/>
                          <w:sz w:val="18"/>
                          <w:szCs w:val="20"/>
                        </w:rPr>
                        <w:t>Records identified from databases (</w:t>
                      </w:r>
                      <w:r w:rsidRPr="00F811BE">
                        <w:rPr>
                          <w:rFonts w:ascii="Arial" w:hAnsi="Arial" w:cs="Arial"/>
                          <w:i/>
                          <w:iCs/>
                          <w:color w:val="000000"/>
                          <w:sz w:val="18"/>
                          <w:szCs w:val="20"/>
                        </w:rPr>
                        <w:t>n</w:t>
                      </w:r>
                      <w:r w:rsidRPr="00F811BE">
                        <w:rPr>
                          <w:rFonts w:ascii="Arial" w:hAnsi="Arial" w:cs="Arial"/>
                          <w:color w:val="000000"/>
                          <w:sz w:val="18"/>
                          <w:szCs w:val="20"/>
                        </w:rPr>
                        <w:t xml:space="preserve"> = 621)</w:t>
                      </w:r>
                    </w:p>
                    <w:p w14:paraId="66449ABE" w14:textId="77777777" w:rsidR="00F811BE" w:rsidRPr="00F811BE" w:rsidRDefault="00F811BE" w:rsidP="00F811BE">
                      <w:pPr>
                        <w:spacing w:line="240" w:lineRule="auto"/>
                        <w:ind w:left="284"/>
                        <w:rPr>
                          <w:rFonts w:ascii="Arial" w:hAnsi="Arial" w:cs="Arial"/>
                          <w:color w:val="000000"/>
                          <w:sz w:val="18"/>
                          <w:szCs w:val="20"/>
                        </w:rPr>
                      </w:pPr>
                    </w:p>
                  </w:txbxContent>
                </v:textbox>
              </v:rect>
            </w:pict>
          </mc:Fallback>
        </mc:AlternateContent>
      </w:r>
      <w:r w:rsidRPr="00606D67">
        <w:rPr>
          <w:noProof/>
          <w:color w:val="000000" w:themeColor="text1"/>
        </w:rPr>
        <mc:AlternateContent>
          <mc:Choice Requires="wps">
            <w:drawing>
              <wp:anchor distT="0" distB="0" distL="114300" distR="114300" simplePos="0" relativeHeight="251684864" behindDoc="0" locked="0" layoutInCell="1" allowOverlap="1" wp14:anchorId="1D257CAA" wp14:editId="422C3470">
                <wp:simplePos x="0" y="0"/>
                <wp:positionH relativeFrom="column">
                  <wp:posOffset>3035935</wp:posOffset>
                </wp:positionH>
                <wp:positionV relativeFrom="paragraph">
                  <wp:posOffset>63500</wp:posOffset>
                </wp:positionV>
                <wp:extent cx="1887220" cy="730885"/>
                <wp:effectExtent l="0" t="0" r="17780" b="12065"/>
                <wp:wrapNone/>
                <wp:docPr id="2" name="Rectangle 2"/>
                <wp:cNvGraphicFramePr/>
                <a:graphic xmlns:a="http://schemas.openxmlformats.org/drawingml/2006/main">
                  <a:graphicData uri="http://schemas.microsoft.com/office/word/2010/wordprocessingShape">
                    <wps:wsp>
                      <wps:cNvSpPr/>
                      <wps:spPr>
                        <a:xfrm>
                          <a:off x="0" y="0"/>
                          <a:ext cx="1887220" cy="730250"/>
                        </a:xfrm>
                        <a:prstGeom prst="rect">
                          <a:avLst/>
                        </a:prstGeom>
                        <a:noFill/>
                        <a:ln w="12700" cap="flat" cmpd="sng" algn="ctr">
                          <a:solidFill>
                            <a:sysClr val="windowText" lastClr="000000"/>
                          </a:solidFill>
                          <a:prstDash val="solid"/>
                          <a:miter lim="800000"/>
                        </a:ln>
                        <a:effectLst/>
                      </wps:spPr>
                      <wps:txbx>
                        <w:txbxContent>
                          <w:p w14:paraId="70F14F46" w14:textId="77777777" w:rsidR="00F811BE" w:rsidRPr="00F811BE" w:rsidRDefault="00F811BE" w:rsidP="00F811BE">
                            <w:pPr>
                              <w:spacing w:line="240" w:lineRule="auto"/>
                              <w:jc w:val="both"/>
                              <w:rPr>
                                <w:rFonts w:ascii="Arial" w:hAnsi="Arial" w:cs="Arial"/>
                                <w:color w:val="000000"/>
                                <w:sz w:val="18"/>
                                <w:szCs w:val="20"/>
                              </w:rPr>
                            </w:pPr>
                            <w:r w:rsidRPr="00F811BE">
                              <w:rPr>
                                <w:rFonts w:ascii="Arial" w:hAnsi="Arial" w:cs="Arial"/>
                                <w:color w:val="000000"/>
                                <w:sz w:val="18"/>
                                <w:szCs w:val="20"/>
                              </w:rPr>
                              <w:t xml:space="preserve">Duplicate records removed </w:t>
                            </w:r>
                          </w:p>
                          <w:p w14:paraId="747B31FA" w14:textId="77777777" w:rsidR="00F811BE" w:rsidRPr="00F811BE" w:rsidRDefault="00F811BE" w:rsidP="00F811BE">
                            <w:pPr>
                              <w:spacing w:line="240" w:lineRule="auto"/>
                              <w:jc w:val="both"/>
                              <w:rPr>
                                <w:rFonts w:ascii="Arial" w:hAnsi="Arial" w:cs="Arial"/>
                                <w:color w:val="000000"/>
                                <w:sz w:val="18"/>
                                <w:szCs w:val="20"/>
                              </w:rPr>
                            </w:pPr>
                            <w:r w:rsidRPr="00F811BE">
                              <w:rPr>
                                <w:rFonts w:ascii="Arial" w:hAnsi="Arial" w:cs="Arial"/>
                                <w:color w:val="000000"/>
                                <w:sz w:val="18"/>
                                <w:szCs w:val="20"/>
                              </w:rPr>
                              <w:t>(</w:t>
                            </w:r>
                            <w:r w:rsidRPr="00F811BE">
                              <w:rPr>
                                <w:rFonts w:ascii="Arial" w:hAnsi="Arial" w:cs="Arial"/>
                                <w:i/>
                                <w:iCs/>
                                <w:color w:val="000000"/>
                                <w:sz w:val="18"/>
                                <w:szCs w:val="20"/>
                              </w:rPr>
                              <w:t>n</w:t>
                            </w:r>
                            <w:r w:rsidRPr="00F811BE">
                              <w:rPr>
                                <w:rFonts w:ascii="Arial" w:hAnsi="Arial" w:cs="Arial"/>
                                <w:color w:val="000000"/>
                                <w:sz w:val="18"/>
                                <w:szCs w:val="20"/>
                              </w:rPr>
                              <w:t xml:space="preserve"> = 260)</w:t>
                            </w:r>
                          </w:p>
                          <w:p w14:paraId="35394645" w14:textId="77777777" w:rsidR="00F811BE" w:rsidRPr="00F811BE" w:rsidRDefault="00F811BE" w:rsidP="00F811BE">
                            <w:pPr>
                              <w:spacing w:line="240" w:lineRule="auto"/>
                              <w:ind w:left="284"/>
                              <w:rPr>
                                <w:rFonts w:ascii="Arial" w:hAnsi="Arial" w:cs="Arial"/>
                                <w:color w:val="000000"/>
                                <w:sz w:val="18"/>
                                <w:szCs w:val="20"/>
                              </w:rPr>
                            </w:pP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D257CAA" id="Rectangle 2" o:spid="_x0000_s1036" style="position:absolute;margin-left:239.05pt;margin-top:5pt;width:148.6pt;height:57.5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" filled="f" strokecolor="windowText" strokeweight="1pt">
                <v:textbox>
                  <w:txbxContent>
                    <w:p w14:paraId="70F14F46" w14:textId="77777777" w:rsidR="00F811BE" w:rsidRPr="00F811BE" w:rsidRDefault="00F811BE" w:rsidP="00F811BE">
                      <w:pPr>
                        <w:spacing w:line="240" w:lineRule="auto"/>
                        <w:jc w:val="both"/>
                        <w:rPr>
                          <w:rFonts w:ascii="Arial" w:hAnsi="Arial" w:cs="Arial"/>
                          <w:color w:val="000000"/>
                          <w:sz w:val="18"/>
                          <w:szCs w:val="20"/>
                        </w:rPr>
                      </w:pPr>
                      <w:r w:rsidRPr="00F811BE">
                        <w:rPr>
                          <w:rFonts w:ascii="Arial" w:hAnsi="Arial" w:cs="Arial"/>
                          <w:color w:val="000000"/>
                          <w:sz w:val="18"/>
                          <w:szCs w:val="20"/>
                        </w:rPr>
                        <w:t xml:space="preserve">Duplicate records removed </w:t>
                      </w:r>
                    </w:p>
                    <w:p w14:paraId="747B31FA" w14:textId="77777777" w:rsidR="00F811BE" w:rsidRPr="00F811BE" w:rsidRDefault="00F811BE" w:rsidP="00F811BE">
                      <w:pPr>
                        <w:spacing w:line="240" w:lineRule="auto"/>
                        <w:jc w:val="both"/>
                        <w:rPr>
                          <w:rFonts w:ascii="Arial" w:hAnsi="Arial" w:cs="Arial"/>
                          <w:color w:val="000000"/>
                          <w:sz w:val="18"/>
                          <w:szCs w:val="20"/>
                        </w:rPr>
                      </w:pPr>
                      <w:r w:rsidRPr="00F811BE">
                        <w:rPr>
                          <w:rFonts w:ascii="Arial" w:hAnsi="Arial" w:cs="Arial"/>
                          <w:color w:val="000000"/>
                          <w:sz w:val="18"/>
                          <w:szCs w:val="20"/>
                        </w:rPr>
                        <w:t>(</w:t>
                      </w:r>
                      <w:r w:rsidRPr="00F811BE">
                        <w:rPr>
                          <w:rFonts w:ascii="Arial" w:hAnsi="Arial" w:cs="Arial"/>
                          <w:i/>
                          <w:iCs/>
                          <w:color w:val="000000"/>
                          <w:sz w:val="18"/>
                          <w:szCs w:val="20"/>
                        </w:rPr>
                        <w:t>n</w:t>
                      </w:r>
                      <w:r w:rsidRPr="00F811BE">
                        <w:rPr>
                          <w:rFonts w:ascii="Arial" w:hAnsi="Arial" w:cs="Arial"/>
                          <w:color w:val="000000"/>
                          <w:sz w:val="18"/>
                          <w:szCs w:val="20"/>
                        </w:rPr>
                        <w:t xml:space="preserve"> = 260)</w:t>
                      </w:r>
                    </w:p>
                    <w:p w14:paraId="35394645" w14:textId="77777777" w:rsidR="00F811BE" w:rsidRPr="00F811BE" w:rsidRDefault="00F811BE" w:rsidP="00F811BE">
                      <w:pPr>
                        <w:spacing w:line="240" w:lineRule="auto"/>
                        <w:ind w:left="284"/>
                        <w:rPr>
                          <w:rFonts w:ascii="Arial" w:hAnsi="Arial" w:cs="Arial"/>
                          <w:color w:val="000000"/>
                          <w:sz w:val="18"/>
                          <w:szCs w:val="20"/>
                        </w:rPr>
                      </w:pPr>
                    </w:p>
                  </w:txbxContent>
                </v:textbox>
              </v:rect>
            </w:pict>
          </mc:Fallback>
        </mc:AlternateContent>
      </w:r>
      <w:r w:rsidRPr="00606D67">
        <w:rPr>
          <w:noProof/>
          <w:color w:val="000000" w:themeColor="text1"/>
        </w:rPr>
        <mc:AlternateContent>
          <mc:Choice Requires="wps">
            <w:drawing>
              <wp:anchor distT="0" distB="0" distL="114300" distR="114300" simplePos="0" relativeHeight="251687936" behindDoc="0" locked="0" layoutInCell="1" allowOverlap="1" wp14:anchorId="34E48CBF" wp14:editId="3EF84FFB">
                <wp:simplePos x="0" y="0"/>
                <wp:positionH relativeFrom="column">
                  <wp:posOffset>2475865</wp:posOffset>
                </wp:positionH>
                <wp:positionV relativeFrom="paragraph">
                  <wp:posOffset>445135</wp:posOffset>
                </wp:positionV>
                <wp:extent cx="563245" cy="0"/>
                <wp:effectExtent l="0" t="76200" r="27305" b="95250"/>
                <wp:wrapNone/>
                <wp:docPr id="14" name="Straight Arrow Connector 14"/>
                <wp:cNvGraphicFramePr/>
                <a:graphic xmlns:a="http://schemas.openxmlformats.org/drawingml/2006/main">
                  <a:graphicData uri="http://schemas.microsoft.com/office/word/2010/wordprocessingShape">
                    <wps:wsp>
                      <wps:cNvCnPr/>
                      <wps:spPr>
                        <a:xfrm>
                          <a:off x="0" y="0"/>
                          <a:ext cx="563245"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page">
                  <wp14:pctWidth>0</wp14:pctWidth>
                </wp14:sizeRelH>
                <wp14:sizeRelV relativeFrom="page">
                  <wp14:pctHeight>0</wp14:pctHeight>
                </wp14:sizeRelV>
              </wp:anchor>
            </w:drawing>
          </mc:Choice>
          <mc:Fallback>
            <w:pict>
              <v:shape w14:anchorId="6CC4091C" id="Straight Arrow Connector 14" o:spid="_x0000_s1026" type="#_x0000_t32" style="position:absolute;margin-left:194.95pt;margin-top:35.05pt;width:44.35pt;height:0;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" strokecolor="windowText" strokeweight=".5pt">
                <v:stroke endarrow="block" joinstyle="miter"/>
              </v:shape>
            </w:pict>
          </mc:Fallback>
        </mc:AlternateContent>
      </w:r>
    </w:p>
    <w:p w14:paraId="7C58CEDE" w14:textId="77777777" w:rsidR="00F811BE" w:rsidRPr="00606D67" w:rsidRDefault="00F811BE" w:rsidP="00F811BE">
      <w:pPr>
        <w:spacing w:line="240" w:lineRule="auto"/>
        <w:rPr>
          <w:color w:val="000000" w:themeColor="text1"/>
        </w:rPr>
      </w:pPr>
      <w:r w:rsidRPr="00606D67">
        <w:rPr>
          <w:noProof/>
          <w:color w:val="000000" w:themeColor="text1"/>
        </w:rPr>
        <mc:AlternateContent>
          <mc:Choice Requires="wps">
            <w:drawing>
              <wp:anchor distT="0" distB="0" distL="114300" distR="114300" simplePos="0" relativeHeight="251632640" behindDoc="0" locked="0" layoutInCell="1" allowOverlap="1" wp14:anchorId="57212CCB" wp14:editId="2EC05511">
                <wp:simplePos x="0" y="0"/>
                <wp:positionH relativeFrom="column">
                  <wp:posOffset>-260033</wp:posOffset>
                </wp:positionH>
                <wp:positionV relativeFrom="paragraph">
                  <wp:posOffset>187776</wp:posOffset>
                </wp:positionV>
                <wp:extent cx="978535" cy="262890"/>
                <wp:effectExtent l="0" t="4127" r="26987" b="26988"/>
                <wp:wrapNone/>
                <wp:docPr id="31" name="Flowchart: Alternate Process 31"/>
                <wp:cNvGraphicFramePr/>
                <a:graphic xmlns:a="http://schemas.openxmlformats.org/drawingml/2006/main">
                  <a:graphicData uri="http://schemas.microsoft.com/office/word/2010/wordprocessingShape">
                    <wps:wsp>
                      <wps:cNvSpPr/>
                      <wps:spPr>
                        <a:xfrm rot="16200000">
                          <a:off x="0" y="0"/>
                          <a:ext cx="978535" cy="262890"/>
                        </a:xfrm>
                        <a:prstGeom prst="flowChartAlternateProcess">
                          <a:avLst/>
                        </a:prstGeom>
                        <a:solidFill>
                          <a:srgbClr val="E7E6E6"/>
                        </a:solidFill>
                        <a:ln w="12700" cap="flat" cmpd="sng" algn="ctr">
                          <a:solidFill>
                            <a:sysClr val="windowText" lastClr="000000"/>
                          </a:solidFill>
                          <a:prstDash val="solid"/>
                          <a:miter lim="800000"/>
                        </a:ln>
                        <a:effectLst/>
                      </wps:spPr>
                      <wps:txbx>
                        <w:txbxContent>
                          <w:p w14:paraId="7149A80B" w14:textId="77777777" w:rsidR="00F811BE" w:rsidRPr="00F811BE" w:rsidRDefault="00F811BE" w:rsidP="00F811BE">
                            <w:pPr>
                              <w:spacing w:line="240" w:lineRule="auto"/>
                              <w:jc w:val="center"/>
                              <w:rPr>
                                <w:rFonts w:ascii="Arial" w:hAnsi="Arial" w:cs="Arial"/>
                                <w:b/>
                                <w:color w:val="000000"/>
                                <w:sz w:val="18"/>
                                <w:szCs w:val="18"/>
                              </w:rPr>
                            </w:pPr>
                            <w:r w:rsidRPr="00F811BE">
                              <w:rPr>
                                <w:rFonts w:ascii="Arial" w:hAnsi="Arial" w:cs="Arial"/>
                                <w:b/>
                                <w:color w:val="000000"/>
                                <w:sz w:val="18"/>
                                <w:szCs w:val="18"/>
                              </w:rPr>
                              <w:t>Identification</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212CCB" id="Flowchart: Alternate Process 31" o:spid="_x0000_s1037" type="#_x0000_t176" style="position:absolute;margin-left:-20.5pt;margin-top:14.8pt;width:77.05pt;height:20.7pt;rotation:-90;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" fillcolor="#e7e6e6" strokecolor="windowText" strokeweight="1pt">
                <v:textbox>
                  <w:txbxContent>
                    <w:p w14:paraId="7149A80B" w14:textId="77777777" w:rsidR="00F811BE" w:rsidRPr="00F811BE" w:rsidRDefault="00F811BE" w:rsidP="00F811BE">
                      <w:pPr>
                        <w:spacing w:line="240" w:lineRule="auto"/>
                        <w:jc w:val="center"/>
                        <w:rPr>
                          <w:rFonts w:ascii="Arial" w:hAnsi="Arial" w:cs="Arial"/>
                          <w:b/>
                          <w:color w:val="000000"/>
                          <w:sz w:val="18"/>
                          <w:szCs w:val="18"/>
                        </w:rPr>
                      </w:pPr>
                      <w:r w:rsidRPr="00F811BE">
                        <w:rPr>
                          <w:rFonts w:ascii="Arial" w:hAnsi="Arial" w:cs="Arial"/>
                          <w:b/>
                          <w:color w:val="000000"/>
                          <w:sz w:val="18"/>
                          <w:szCs w:val="18"/>
                        </w:rPr>
                        <w:t>Identification</w:t>
                      </w:r>
                    </w:p>
                  </w:txbxContent>
                </v:textbox>
              </v:shape>
            </w:pict>
          </mc:Fallback>
        </mc:AlternateContent>
      </w:r>
    </w:p>
    <w:p w14:paraId="7605051E" w14:textId="77777777" w:rsidR="00F811BE" w:rsidRPr="00606D67" w:rsidRDefault="00F811BE" w:rsidP="00F811BE">
      <w:pPr>
        <w:spacing w:line="240" w:lineRule="auto"/>
        <w:rPr>
          <w:color w:val="000000" w:themeColor="text1"/>
        </w:rPr>
      </w:pPr>
    </w:p>
    <w:p w14:paraId="39A25473" w14:textId="77777777" w:rsidR="00F811BE" w:rsidRPr="00606D67" w:rsidRDefault="00F811BE" w:rsidP="00F811BE">
      <w:pPr>
        <w:spacing w:line="240" w:lineRule="auto"/>
        <w:rPr>
          <w:color w:val="000000" w:themeColor="text1"/>
        </w:rPr>
      </w:pPr>
    </w:p>
    <w:p w14:paraId="238E7FB1" w14:textId="77777777" w:rsidR="00F811BE" w:rsidRPr="00606D67" w:rsidRDefault="00F811BE" w:rsidP="00F811BE">
      <w:pPr>
        <w:spacing w:line="240" w:lineRule="auto"/>
        <w:rPr>
          <w:color w:val="000000" w:themeColor="text1"/>
        </w:rPr>
      </w:pPr>
    </w:p>
    <w:p w14:paraId="2CC580D2" w14:textId="77777777" w:rsidR="00F811BE" w:rsidRPr="00606D67" w:rsidRDefault="00F811BE" w:rsidP="00F811BE">
      <w:pPr>
        <w:rPr>
          <w:color w:val="000000" w:themeColor="text1"/>
        </w:rPr>
      </w:pPr>
    </w:p>
    <w:p w14:paraId="2FEBB1C3" w14:textId="77777777" w:rsidR="00F811BE" w:rsidRPr="00606D67" w:rsidRDefault="00F811BE" w:rsidP="00F811BE">
      <w:pPr>
        <w:rPr>
          <w:color w:val="000000" w:themeColor="text1"/>
        </w:rPr>
      </w:pPr>
    </w:p>
    <w:p w14:paraId="000F4588" w14:textId="77777777" w:rsidR="00F811BE" w:rsidRPr="00606D67" w:rsidRDefault="00F811BE" w:rsidP="00F811BE">
      <w:pPr>
        <w:rPr>
          <w:color w:val="000000" w:themeColor="text1"/>
        </w:rPr>
      </w:pPr>
    </w:p>
    <w:p w14:paraId="64EB3504" w14:textId="77777777" w:rsidR="00F811BE" w:rsidRPr="00606D67" w:rsidRDefault="00F811BE" w:rsidP="00F811BE">
      <w:pPr>
        <w:rPr>
          <w:color w:val="000000" w:themeColor="text1"/>
        </w:rPr>
      </w:pPr>
    </w:p>
    <w:p w14:paraId="2E5DC6A7" w14:textId="77777777" w:rsidR="00F811BE" w:rsidRPr="00606D67" w:rsidRDefault="00F811BE" w:rsidP="00F811BE">
      <w:pPr>
        <w:rPr>
          <w:color w:val="000000" w:themeColor="text1"/>
        </w:rPr>
      </w:pPr>
    </w:p>
    <w:p w14:paraId="5E9AC0DE" w14:textId="77777777" w:rsidR="00F811BE" w:rsidRPr="00606D67" w:rsidRDefault="00F811BE" w:rsidP="00F811BE">
      <w:pPr>
        <w:rPr>
          <w:color w:val="000000" w:themeColor="text1"/>
        </w:rPr>
      </w:pPr>
    </w:p>
    <w:p w14:paraId="71E5FA6F" w14:textId="77777777" w:rsidR="00F811BE" w:rsidRPr="00606D67" w:rsidRDefault="00F811BE" w:rsidP="00F811BE">
      <w:pPr>
        <w:rPr>
          <w:color w:val="000000" w:themeColor="text1"/>
        </w:rPr>
      </w:pPr>
    </w:p>
    <w:p w14:paraId="1EC562D9" w14:textId="77777777" w:rsidR="00F811BE" w:rsidRPr="00606D67" w:rsidRDefault="00F811BE" w:rsidP="00F811BE">
      <w:pPr>
        <w:rPr>
          <w:color w:val="000000" w:themeColor="text1"/>
        </w:rPr>
      </w:pPr>
    </w:p>
    <w:p w14:paraId="156DCF50" w14:textId="77777777" w:rsidR="00F811BE" w:rsidRPr="00606D67" w:rsidRDefault="00F811BE" w:rsidP="00F811BE">
      <w:pPr>
        <w:rPr>
          <w:color w:val="000000" w:themeColor="text1"/>
        </w:rPr>
      </w:pPr>
    </w:p>
    <w:p w14:paraId="30B6F78C" w14:textId="77777777" w:rsidR="00F811BE" w:rsidRPr="00606D67" w:rsidRDefault="00F811BE" w:rsidP="00F811BE">
      <w:pPr>
        <w:rPr>
          <w:color w:val="000000" w:themeColor="text1"/>
        </w:rPr>
      </w:pPr>
    </w:p>
    <w:p w14:paraId="76437446" w14:textId="77777777" w:rsidR="00F811BE" w:rsidRPr="00606D67" w:rsidRDefault="00F811BE" w:rsidP="00F811BE">
      <w:pPr>
        <w:rPr>
          <w:color w:val="000000" w:themeColor="text1"/>
        </w:rPr>
      </w:pPr>
    </w:p>
    <w:p w14:paraId="14D08709" w14:textId="77777777" w:rsidR="00F811BE" w:rsidRPr="00606D67" w:rsidRDefault="00F811BE" w:rsidP="00F811BE">
      <w:pPr>
        <w:rPr>
          <w:color w:val="000000" w:themeColor="text1"/>
        </w:rPr>
      </w:pPr>
    </w:p>
    <w:p w14:paraId="1ED92370" w14:textId="77777777" w:rsidR="00F811BE" w:rsidRPr="00606D67" w:rsidRDefault="00F811BE" w:rsidP="00F811BE">
      <w:pPr>
        <w:rPr>
          <w:color w:val="000000" w:themeColor="text1"/>
        </w:rPr>
      </w:pPr>
    </w:p>
    <w:p w14:paraId="0B3137E3" w14:textId="77777777" w:rsidR="00F811BE" w:rsidRPr="00606D67" w:rsidRDefault="00F811BE" w:rsidP="00590CC3">
      <w:pPr>
        <w:pStyle w:val="Tabletitle"/>
        <w:rPr>
          <w:color w:val="000000" w:themeColor="text1"/>
        </w:rPr>
      </w:pPr>
      <w:r w:rsidRPr="00606D67">
        <w:rPr>
          <w:color w:val="000000" w:themeColor="text1"/>
        </w:rPr>
        <w:t xml:space="preserve">Figure 1. PRISMA (Preferred Reporting Items for Systematic Reviews and Meta-Analyses) flow diagram for selection process. </w:t>
      </w:r>
    </w:p>
    <w:p w14:paraId="7A39BBC7" w14:textId="77777777" w:rsidR="00F811BE" w:rsidRPr="00606D67" w:rsidRDefault="00F811BE" w:rsidP="00F811BE">
      <w:pPr>
        <w:rPr>
          <w:color w:val="000000" w:themeColor="text1"/>
        </w:rPr>
      </w:pPr>
    </w:p>
    <w:p w14:paraId="0588E836" w14:textId="77777777" w:rsidR="00952756" w:rsidRPr="00606D67" w:rsidRDefault="00952756" w:rsidP="00B83A6D">
      <w:pPr>
        <w:rPr>
          <w:color w:val="000000" w:themeColor="text1"/>
        </w:rPr>
      </w:pPr>
    </w:p>
    <w:sectPr w:rsidR="00952756" w:rsidRPr="00606D67" w:rsidSect="00693A83">
      <w:pgSz w:w="11901" w:h="16840" w:code="9"/>
      <w:pgMar w:top="1418" w:right="1701" w:bottom="1418" w:left="1701" w:header="709" w:footer="709" w:gutter="0"/>
      <w:cols w:space="708"/>
      <w:docGrid w:linePitch="360"/>
    </w:sectPr>
  </w:body>
</w:document>
</file>

<file path=word/customizations.xml><?xml version="1.0" encoding="utf-8"?>
<wne:tcg xmlns:r="http://schemas.openxmlformats.org/officeDocument/2006/relationships" xmlns:wne="http://schemas.microsoft.com/office/word/2006/wordml">
  <wne:keymaps>
    <wne:keymap wne:kcmPrimary="0631">
      <wne:acd wne:acdName="acd12"/>
    </wne:keymap>
    <wne:keymap wne:kcmPrimary="0632">
      <wne:acd wne:acdName="acd13"/>
    </wne:keymap>
    <wne:keymap wne:kcmPrimary="0633">
      <wne:acd wne:acdName="acd14"/>
    </wne:keymap>
    <wne:keymap wne:kcmPrimary="0634">
      <wne:acd wne:acdName="acd8"/>
    </wne:keymap>
    <wne:keymap wne:kcmPrimary="0641">
      <wne:acd wne:acdName="acd2"/>
    </wne:keymap>
    <wne:keymap wne:kcmPrimary="0642">
      <wne:acd wne:acdName="acd7"/>
    </wne:keymap>
    <wne:keymap wne:kcmPrimary="0643">
      <wne:acd wne:acdName="acd6"/>
    </wne:keymap>
    <wne:keymap wne:kcmPrimary="0645">
      <wne:acd wne:acdName="acd20"/>
    </wne:keymap>
    <wne:keymap wne:kcmPrimary="0646">
      <wne:acd wne:acdName="acd24"/>
    </wne:keymap>
    <wne:keymap wne:kcmPrimary="0649">
      <wne:acd wne:acdName="acd22"/>
    </wne:keymap>
    <wne:keymap wne:kcmPrimary="064A">
      <wne:acd wne:acdName="acd18"/>
    </wne:keymap>
    <wne:keymap wne:kcmPrimary="064B">
      <wne:acd wne:acdName="acd16"/>
    </wne:keymap>
    <wne:keymap wne:kcmPrimary="064C">
      <wne:acd wne:acdName="acd26"/>
    </wne:keymap>
    <wne:keymap wne:kcmPrimary="064E">
      <wne:acd wne:acdName="acd4"/>
    </wne:keymap>
    <wne:keymap wne:kcmPrimary="064F">
      <wne:acd wne:acdName="acd11"/>
    </wne:keymap>
    <wne:keymap wne:kcmPrimary="0650">
      <wne:acd wne:acdName="acd28"/>
    </wne:keymap>
    <wne:keymap wne:kcmPrimary="0651">
      <wne:acd wne:acdName="acd9"/>
    </wne:keymap>
    <wne:keymap wne:kcmPrimary="0652">
      <wne:acd wne:acdName="acd21"/>
    </wne:keymap>
    <wne:keymap wne:kcmPrimary="0653">
      <wne:acd wne:acdName="acd0"/>
    </wne:keymap>
    <wne:keymap wne:kcmPrimary="0654">
      <wne:acd wne:acdName="acd3"/>
    </wne:keymap>
    <wne:keymap wne:kcmPrimary="0655">
      <wne:acd wne:acdName="acd19"/>
    </wne:keymap>
    <wne:keymap wne:kcmPrimary="0657">
      <wne:acd wne:acdName="acd1"/>
    </wne:keymap>
    <wne:keymap wne:kcmPrimary="0658">
      <wne:acd wne:acdName="acd23"/>
    </wne:keymap>
    <wne:keymap wne:kcmPrimary="065A">
      <wne:acd wne:acdName="acd29"/>
    </wne:keymap>
  </wne:keymaps>
  <wne:toolbars>
    <wne:acdManifest>
      <wne:acdEntry wne:acdName="acd0"/>
      <wne:acdEntry wne:acdName="acd1"/>
      <wne:acdEntry wne:acdName="acd2"/>
      <wne:acdEntry wne:acdName="acd3"/>
      <wne:acdEntry wne:acdName="acd4"/>
      <wne:acdEntry wne:acdName="acd5"/>
      <wne:acdEntry wne:acdName="acd6"/>
      <wne:acdEntry wne:acdName="acd7"/>
      <wne:acdEntry wne:acdName="acd8"/>
      <wne:acdEntry wne:acdName="acd9"/>
      <wne:acdEntry wne:acdName="acd10"/>
      <wne:acdEntry wne:acdName="acd11"/>
      <wne:acdEntry wne:acdName="acd12"/>
      <wne:acdEntry wne:acdName="acd13"/>
      <wne:acdEntry wne:acdName="acd14"/>
      <wne:acdEntry wne:acdName="acd15"/>
      <wne:acdEntry wne:acdName="acd16"/>
      <wne:acdEntry wne:acdName="acd17"/>
      <wne:acdEntry wne:acdName="acd18"/>
      <wne:acdEntry wne:acdName="acd19"/>
      <wne:acdEntry wne:acdName="acd20"/>
      <wne:acdEntry wne:acdName="acd21"/>
      <wne:acdEntry wne:acdName="acd22"/>
      <wne:acdEntry wne:acdName="acd23"/>
      <wne:acdEntry wne:acdName="acd24"/>
      <wne:acdEntry wne:acdName="acd25"/>
      <wne:acdEntry wne:acdName="acd26"/>
      <wne:acdEntry wne:acdName="acd27"/>
      <wne:acdEntry wne:acdName="acd28"/>
      <wne:acdEntry wne:acdName="acd29"/>
    </wne:acdManifest>
    <wne:toolbarData r:id="rId1"/>
  </wne:toolbars>
  <wne:acds>
    <wne:acd wne:argValue="AgBBAGIAcwB0AHIAYQBjAHQA" wne:acdName="acd0" wne:fciIndexBasedOn="0065"/>
    <wne:acd wne:argValue="AgBBAGMAawBuAG8AdwBsAGUAZABnAGUAbQBlAG4AdABzAA==" wne:acdName="acd1" wne:fciIndexBasedOn="0065"/>
    <wne:acd wne:argValue="AgBBAGYAZgBpAGwAaQBhAHQAaQBvAG4A" wne:acdName="acd2" wne:fciIndexBasedOn="0065"/>
    <wne:acd wne:argValue="AgBBAHIAdABpAGMAbABlACAAdABpAHQAbABlAA==" wne:acdName="acd3" wne:fciIndexBasedOn="0065"/>
    <wne:acd wne:argValue="AgBBAHUAdABoAG8AcgAgAG4AYQBtAGUAcwA=" wne:acdName="acd4" wne:fciIndexBasedOn="0065"/>
    <wne:acd wne:argValue="AgBIAGUAYQBkAGkAbgBnACAANAAgACsAIABQAGEAcgBhAGcAcgBhAHAAaAA=" wne:acdName="acd5" wne:fciIndexBasedOn="0065"/>
    <wne:acd wne:argValue="AgBDAG8AcgByAGUAcwBwAG8AbgBkAGUAbgBjAGUAIABkAGUAdABhAGkAbABzAA==" wne:acdName="acd6" wne:fciIndexBasedOn="0065"/>
    <wne:acd wne:argValue="AgBCAHUAbABsAGUAdABlAGQAIABsAGkAcwB0AA==" wne:acdName="acd7" wne:fciIndexBasedOn="0065"/>
    <wne:acd wne:argValue="AgBIAGUAYQBkAGkAbgBnACAANAAgACsAIABQAGEAcgBhAGcAcgBhAHAAaAA=" wne:acdName="acd8" wne:fciIndexBasedOn="0065"/>
    <wne:acd wne:argValue="AgBEAGkAcwBwAGwAYQB5AGUAZAAgAHEAdQBvAHQAYQB0AGkAbwBuAA==" wne:acdName="acd9" wne:fciIndexBasedOn="0065"/>
    <wne:acd wne:acdName="acd10" wne:fciIndexBasedOn="0065"/>
    <wne:acd wne:argValue="AgBGAG8AbwB0AG4AbwB0AGUAcwA=" wne:acdName="acd11" wne:fciIndexBasedOn="0065"/>
    <wne:acd wne:argValue="AQAAAAEA" wne:acdName="acd12" wne:fciIndexBasedOn="0065"/>
    <wne:acd wne:argValue="AQAAAAIA" wne:acdName="acd13" wne:fciIndexBasedOn="0065"/>
    <wne:acd wne:argValue="AQAAAAMA" wne:acdName="acd14" wne:fciIndexBasedOn="0065"/>
    <wne:acd wne:acdName="acd15" wne:fciIndexBasedOn="0065"/>
    <wne:acd wne:argValue="AgBLAGUAeQB3AG8AcgBkAHMA" wne:acdName="acd16" wne:fciIndexBasedOn="0065"/>
    <wne:acd wne:argValue="AgBOAHUAbQBiAGUAcgBlAGQAIABsAGkAcwB0AA==" wne:acdName="acd17" wne:fciIndexBasedOn="0065"/>
    <wne:acd wne:argValue="AgBTAHUAYgBqAGUAYwB0ACAAYwBvAGQAZQBzAA==" wne:acdName="acd18" wne:fciIndexBasedOn="0065"/>
    <wne:acd wne:argValue="AgBOAG8AdABlAHMAIABvAG4AIABjAG8AbgB0AHIAaQBiAHUAdABvAHIAcwA=" wne:acdName="acd19" wne:fciIndexBasedOn="0065"/>
    <wne:acd wne:argValue="AgBEAGkAcwBwAGwAYQB5AGUAZAAgAGUAcQB1AGEAdABpAG8AbgA=" wne:acdName="acd20" wne:fciIndexBasedOn="0065"/>
    <wne:acd wne:argValue="AgBSAGUAYwBlAGkAdgBlAGQAIABkAGEAdABlAHMA" wne:acdName="acd21" wne:fciIndexBasedOn="0065"/>
    <wne:acd wne:argValue="AgBUAGEAYgBsAGUAIAB0AGkAdABsAGUA" wne:acdName="acd22" wne:fciIndexBasedOn="0065"/>
    <wne:acd wne:argValue="AgBSAGUAZgBlAHIAZQBuAGMAZQBzAA==" wne:acdName="acd23" wne:fciIndexBasedOn="0065"/>
    <wne:acd wne:argValue="AgBGAGkAZwB1AHIAZQAgAGMAYQBwAHQAaQBvAG4A" wne:acdName="acd24" wne:fciIndexBasedOn="0065"/>
    <wne:acd wne:acdName="acd25" wne:fciIndexBasedOn="0065"/>
    <wne:acd wne:argValue="AgBOAHUAbQBiAGUAcgBlAGQAIABsAGkAcwB0AA==" wne:acdName="acd26" wne:fciIndexBasedOn="0065"/>
    <wne:acd wne:acdName="acd27" wne:fciIndexBasedOn="0065"/>
    <wne:acd wne:argValue="AgBQAGEAcgBhAGcAcgBhAHAAaAA=" wne:acdName="acd28" wne:fciIndexBasedOn="0065"/>
    <wne:acd wne:argValue="AgBOAGUAdwAgAHAAYQByAGEAZwByAGEAcABoAA==" wne:acdName="acd29"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5CA831" w14:textId="77777777" w:rsidR="003830E4" w:rsidRDefault="003830E4" w:rsidP="00AF2C92">
      <w:r>
        <w:separator/>
      </w:r>
    </w:p>
  </w:endnote>
  <w:endnote w:type="continuationSeparator" w:id="0">
    <w:p w14:paraId="286C5B8C" w14:textId="77777777" w:rsidR="003830E4" w:rsidRDefault="003830E4" w:rsidP="00AF2C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307605" w14:textId="77777777" w:rsidR="002211DD" w:rsidRDefault="002211D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FCA281" w14:textId="77777777" w:rsidR="002211DD" w:rsidRDefault="002211D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1DFE10" w14:textId="77777777" w:rsidR="002211DD" w:rsidRDefault="002211D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6BC1FB5" w14:textId="77777777" w:rsidR="003830E4" w:rsidRDefault="003830E4" w:rsidP="00AF2C92">
      <w:r>
        <w:separator/>
      </w:r>
    </w:p>
  </w:footnote>
  <w:footnote w:type="continuationSeparator" w:id="0">
    <w:p w14:paraId="07BD27CC" w14:textId="77777777" w:rsidR="003830E4" w:rsidRDefault="003830E4" w:rsidP="00AF2C9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C35613" w14:textId="77777777" w:rsidR="002211DD" w:rsidRDefault="002211D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676C37" w14:textId="77777777" w:rsidR="002211DD" w:rsidRDefault="002211D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EDA045" w14:textId="77777777" w:rsidR="002211DD" w:rsidRDefault="002211D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B0D4262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B1FECAF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C74E2DA"/>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E8F228EA"/>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A274B1E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D2442F12"/>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79147BC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94C1B5A"/>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34C6DA04"/>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C472E25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5DC819AE"/>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40604E8"/>
    <w:multiLevelType w:val="hybridMultilevel"/>
    <w:tmpl w:val="01F6A0DE"/>
    <w:lvl w:ilvl="0" w:tplc="A7F056E4">
      <w:numFmt w:val="bullet"/>
      <w:lvlText w:val="-"/>
      <w:lvlJc w:val="left"/>
      <w:pPr>
        <w:ind w:left="1080" w:hanging="360"/>
      </w:pPr>
      <w:rPr>
        <w:rFonts w:ascii="Times New Roman" w:eastAsia="Times New Roman"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05CC0843"/>
    <w:multiLevelType w:val="multilevel"/>
    <w:tmpl w:val="9426EBB6"/>
    <w:lvl w:ilvl="0">
      <w:start w:val="1"/>
      <w:numFmt w:val="decimal"/>
      <w:lvlText w:val="(%1)"/>
      <w:lvlJc w:val="right"/>
      <w:pPr>
        <w:ind w:left="720" w:hanging="181"/>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06BA3A36"/>
    <w:multiLevelType w:val="hybridMultilevel"/>
    <w:tmpl w:val="D2D82F04"/>
    <w:lvl w:ilvl="0" w:tplc="68C0086E">
      <w:start w:val="6"/>
      <w:numFmt w:val="bullet"/>
      <w:lvlText w:val="-"/>
      <w:lvlJc w:val="left"/>
      <w:pPr>
        <w:ind w:left="1080" w:hanging="360"/>
      </w:pPr>
      <w:rPr>
        <w:rFonts w:ascii="Times New Roman" w:eastAsia="Times New Roman"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0D0E7653"/>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0EAC076B"/>
    <w:multiLevelType w:val="hybridMultilevel"/>
    <w:tmpl w:val="6BFCFB12"/>
    <w:lvl w:ilvl="0" w:tplc="F2D6B9A4">
      <w:numFmt w:val="bullet"/>
      <w:lvlText w:val="-"/>
      <w:lvlJc w:val="left"/>
      <w:pPr>
        <w:ind w:left="1440" w:hanging="360"/>
      </w:pPr>
      <w:rPr>
        <w:rFonts w:ascii="Times New Roman" w:eastAsia="Times New Roman" w:hAnsi="Times New Roman" w:cs="Times New Roman"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1F413159"/>
    <w:multiLevelType w:val="multilevel"/>
    <w:tmpl w:val="30C08770"/>
    <w:lvl w:ilvl="0">
      <w:start w:val="1"/>
      <w:numFmt w:val="decimal"/>
      <w:lvlText w:val="(%1)"/>
      <w:lvlJc w:val="right"/>
      <w:pPr>
        <w:ind w:left="720" w:hanging="153"/>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1FBD58E1"/>
    <w:multiLevelType w:val="multilevel"/>
    <w:tmpl w:val="1B88B870"/>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2410417B"/>
    <w:multiLevelType w:val="hybridMultilevel"/>
    <w:tmpl w:val="001EBE38"/>
    <w:lvl w:ilvl="0" w:tplc="C81EC6E0">
      <w:numFmt w:val="bullet"/>
      <w:lvlText w:val="-"/>
      <w:lvlJc w:val="left"/>
      <w:pPr>
        <w:ind w:left="1080" w:hanging="360"/>
      </w:pPr>
      <w:rPr>
        <w:rFonts w:ascii="Times New Roman" w:eastAsia="Times New Roman"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27E8289F"/>
    <w:multiLevelType w:val="hybridMultilevel"/>
    <w:tmpl w:val="E976D66C"/>
    <w:lvl w:ilvl="0" w:tplc="0CDA721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0" w15:restartNumberingAfterBreak="0">
    <w:nsid w:val="29765E0C"/>
    <w:multiLevelType w:val="hybridMultilevel"/>
    <w:tmpl w:val="47748F8A"/>
    <w:lvl w:ilvl="0" w:tplc="4A56344A">
      <w:numFmt w:val="bullet"/>
      <w:lvlText w:val="-"/>
      <w:lvlJc w:val="left"/>
      <w:pPr>
        <w:ind w:left="1080" w:hanging="360"/>
      </w:pPr>
      <w:rPr>
        <w:rFonts w:ascii="Times New Roman" w:eastAsia="Times New Roman" w:hAnsi="Times New Roman"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389B5003"/>
    <w:multiLevelType w:val="multilevel"/>
    <w:tmpl w:val="DD5255FA"/>
    <w:lvl w:ilvl="0">
      <w:start w:val="1"/>
      <w:numFmt w:val="decimal"/>
      <w:lvlText w:val="(%1)"/>
      <w:lvlJc w:val="left"/>
      <w:pPr>
        <w:ind w:left="720" w:hanging="454"/>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3C5D0C07"/>
    <w:multiLevelType w:val="hybridMultilevel"/>
    <w:tmpl w:val="4CA02766"/>
    <w:lvl w:ilvl="0" w:tplc="79367BA0">
      <w:start w:val="1"/>
      <w:numFmt w:val="decimal"/>
      <w:pStyle w:val="Numberedlist"/>
      <w:lvlText w:val="(%1)"/>
      <w:lvlJc w:val="right"/>
      <w:pPr>
        <w:ind w:left="720" w:hanging="153"/>
      </w:pPr>
      <w:rPr>
        <w:rFonts w:hint="default"/>
      </w:rPr>
    </w:lvl>
    <w:lvl w:ilvl="1" w:tplc="FE3AC208">
      <w:start w:val="1"/>
      <w:numFmt w:val="lowerLetter"/>
      <w:lvlText w:val="(%2)"/>
      <w:lvlJc w:val="left"/>
      <w:pPr>
        <w:ind w:left="1440" w:hanging="360"/>
      </w:pPr>
      <w:rPr>
        <w:rFonts w:hint="default"/>
      </w:rPr>
    </w:lvl>
    <w:lvl w:ilvl="2" w:tplc="77E4D7DE">
      <w:start w:val="1"/>
      <w:numFmt w:val="lowerRoman"/>
      <w:lvlText w:val="(%3)"/>
      <w:lvlJc w:val="right"/>
      <w:pPr>
        <w:ind w:left="2160" w:hanging="18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3D4A71FF"/>
    <w:multiLevelType w:val="hybridMultilevel"/>
    <w:tmpl w:val="CADCD1B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567B6391"/>
    <w:multiLevelType w:val="hybridMultilevel"/>
    <w:tmpl w:val="AD0E5C32"/>
    <w:lvl w:ilvl="0" w:tplc="5212E138">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838135E"/>
    <w:multiLevelType w:val="hybridMultilevel"/>
    <w:tmpl w:val="68EEE13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BD96BF8"/>
    <w:multiLevelType w:val="hybridMultilevel"/>
    <w:tmpl w:val="76D2C65A"/>
    <w:lvl w:ilvl="0" w:tplc="0456C424">
      <w:start w:val="1"/>
      <w:numFmt w:val="bullet"/>
      <w:pStyle w:val="Bulleted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Arial"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Arial"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DD751B3"/>
    <w:multiLevelType w:val="hybridMultilevel"/>
    <w:tmpl w:val="5708286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3FA38AF"/>
    <w:multiLevelType w:val="hybridMultilevel"/>
    <w:tmpl w:val="C96A95C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D9373AB"/>
    <w:multiLevelType w:val="multilevel"/>
    <w:tmpl w:val="B89CB32C"/>
    <w:lvl w:ilvl="0">
      <w:start w:val="1"/>
      <w:numFmt w:val="decimal"/>
      <w:lvlText w:val="(%1)"/>
      <w:lvlJc w:val="right"/>
      <w:pPr>
        <w:ind w:left="720" w:hanging="153"/>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749892056">
    <w:abstractNumId w:val="19"/>
  </w:num>
  <w:num w:numId="2" w16cid:durableId="1247568831">
    <w:abstractNumId w:val="25"/>
  </w:num>
  <w:num w:numId="3" w16cid:durableId="27605193">
    <w:abstractNumId w:val="1"/>
  </w:num>
  <w:num w:numId="4" w16cid:durableId="1894153703">
    <w:abstractNumId w:val="2"/>
  </w:num>
  <w:num w:numId="5" w16cid:durableId="2127580717">
    <w:abstractNumId w:val="3"/>
  </w:num>
  <w:num w:numId="6" w16cid:durableId="269748653">
    <w:abstractNumId w:val="4"/>
  </w:num>
  <w:num w:numId="7" w16cid:durableId="1319722058">
    <w:abstractNumId w:val="9"/>
  </w:num>
  <w:num w:numId="8" w16cid:durableId="32003951">
    <w:abstractNumId w:val="5"/>
  </w:num>
  <w:num w:numId="9" w16cid:durableId="1504929535">
    <w:abstractNumId w:val="7"/>
  </w:num>
  <w:num w:numId="10" w16cid:durableId="1067648837">
    <w:abstractNumId w:val="6"/>
  </w:num>
  <w:num w:numId="11" w16cid:durableId="675963323">
    <w:abstractNumId w:val="10"/>
  </w:num>
  <w:num w:numId="12" w16cid:durableId="1642423230">
    <w:abstractNumId w:val="8"/>
  </w:num>
  <w:num w:numId="13" w16cid:durableId="987397248">
    <w:abstractNumId w:val="22"/>
  </w:num>
  <w:num w:numId="14" w16cid:durableId="389040280">
    <w:abstractNumId w:val="26"/>
  </w:num>
  <w:num w:numId="15" w16cid:durableId="541864619">
    <w:abstractNumId w:val="17"/>
  </w:num>
  <w:num w:numId="16" w16cid:durableId="1104616816">
    <w:abstractNumId w:val="21"/>
  </w:num>
  <w:num w:numId="17" w16cid:durableId="848985274">
    <w:abstractNumId w:val="12"/>
  </w:num>
  <w:num w:numId="18" w16cid:durableId="931006990">
    <w:abstractNumId w:val="0"/>
  </w:num>
  <w:num w:numId="19" w16cid:durableId="1926067610">
    <w:abstractNumId w:val="14"/>
  </w:num>
  <w:num w:numId="20" w16cid:durableId="114494164">
    <w:abstractNumId w:val="26"/>
  </w:num>
  <w:num w:numId="21" w16cid:durableId="1366565592">
    <w:abstractNumId w:val="26"/>
  </w:num>
  <w:num w:numId="22" w16cid:durableId="259218499">
    <w:abstractNumId w:val="26"/>
  </w:num>
  <w:num w:numId="23" w16cid:durableId="168957476">
    <w:abstractNumId w:val="26"/>
  </w:num>
  <w:num w:numId="24" w16cid:durableId="1590653577">
    <w:abstractNumId w:val="22"/>
  </w:num>
  <w:num w:numId="25" w16cid:durableId="1269312479">
    <w:abstractNumId w:val="23"/>
  </w:num>
  <w:num w:numId="26" w16cid:durableId="87895765">
    <w:abstractNumId w:val="27"/>
  </w:num>
  <w:num w:numId="27" w16cid:durableId="1743526101">
    <w:abstractNumId w:val="28"/>
  </w:num>
  <w:num w:numId="28" w16cid:durableId="454719594">
    <w:abstractNumId w:val="26"/>
  </w:num>
  <w:num w:numId="29" w16cid:durableId="362444603">
    <w:abstractNumId w:val="16"/>
  </w:num>
  <w:num w:numId="30" w16cid:durableId="296959761">
    <w:abstractNumId w:val="29"/>
  </w:num>
  <w:num w:numId="31" w16cid:durableId="158546137">
    <w:abstractNumId w:val="24"/>
  </w:num>
  <w:num w:numId="32" w16cid:durableId="649752457">
    <w:abstractNumId w:val="20"/>
  </w:num>
  <w:num w:numId="33" w16cid:durableId="1514372866">
    <w:abstractNumId w:val="11"/>
  </w:num>
  <w:num w:numId="34" w16cid:durableId="633481744">
    <w:abstractNumId w:val="18"/>
  </w:num>
  <w:num w:numId="35" w16cid:durableId="1528758668">
    <w:abstractNumId w:val="15"/>
  </w:num>
  <w:num w:numId="36" w16cid:durableId="58749644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3"/>
  <w:proofState w:spelling="clean" w:grammar="clean"/>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tDA2tjQwNDMxMTYyNDZV0lEKTi0uzszPAykwrgUAEry3BCwAAAA="/>
  </w:docVars>
  <w:rsids>
    <w:rsidRoot w:val="00735F8B"/>
    <w:rsid w:val="00001899"/>
    <w:rsid w:val="00003D81"/>
    <w:rsid w:val="000049AD"/>
    <w:rsid w:val="0000681B"/>
    <w:rsid w:val="000133C0"/>
    <w:rsid w:val="00014C4E"/>
    <w:rsid w:val="00017107"/>
    <w:rsid w:val="000176E3"/>
    <w:rsid w:val="00017916"/>
    <w:rsid w:val="00017CB2"/>
    <w:rsid w:val="000202E2"/>
    <w:rsid w:val="00022309"/>
    <w:rsid w:val="00022441"/>
    <w:rsid w:val="0002261E"/>
    <w:rsid w:val="00024839"/>
    <w:rsid w:val="00024A54"/>
    <w:rsid w:val="00026871"/>
    <w:rsid w:val="000269C0"/>
    <w:rsid w:val="000318CF"/>
    <w:rsid w:val="000318D5"/>
    <w:rsid w:val="00031E69"/>
    <w:rsid w:val="00031F75"/>
    <w:rsid w:val="00035208"/>
    <w:rsid w:val="00037A98"/>
    <w:rsid w:val="000427FB"/>
    <w:rsid w:val="0004366F"/>
    <w:rsid w:val="000439F5"/>
    <w:rsid w:val="0004455E"/>
    <w:rsid w:val="000456C4"/>
    <w:rsid w:val="000462DF"/>
    <w:rsid w:val="00047CB5"/>
    <w:rsid w:val="00051C6C"/>
    <w:rsid w:val="00051FAA"/>
    <w:rsid w:val="00052EBA"/>
    <w:rsid w:val="000572A9"/>
    <w:rsid w:val="00061325"/>
    <w:rsid w:val="00065E65"/>
    <w:rsid w:val="00067C23"/>
    <w:rsid w:val="000733AC"/>
    <w:rsid w:val="00073B97"/>
    <w:rsid w:val="00074B81"/>
    <w:rsid w:val="00074D22"/>
    <w:rsid w:val="00075081"/>
    <w:rsid w:val="0007528A"/>
    <w:rsid w:val="0007676F"/>
    <w:rsid w:val="0007793A"/>
    <w:rsid w:val="00080B86"/>
    <w:rsid w:val="000811AB"/>
    <w:rsid w:val="00081BB6"/>
    <w:rsid w:val="00082065"/>
    <w:rsid w:val="00083C5F"/>
    <w:rsid w:val="000851FC"/>
    <w:rsid w:val="00091090"/>
    <w:rsid w:val="0009172C"/>
    <w:rsid w:val="000930EC"/>
    <w:rsid w:val="00093492"/>
    <w:rsid w:val="00095D90"/>
    <w:rsid w:val="00095E61"/>
    <w:rsid w:val="000966C1"/>
    <w:rsid w:val="000970AC"/>
    <w:rsid w:val="000A0147"/>
    <w:rsid w:val="000A1167"/>
    <w:rsid w:val="000A4428"/>
    <w:rsid w:val="000A45D3"/>
    <w:rsid w:val="000A6D40"/>
    <w:rsid w:val="000A731E"/>
    <w:rsid w:val="000A7BC3"/>
    <w:rsid w:val="000B15EB"/>
    <w:rsid w:val="000B1661"/>
    <w:rsid w:val="000B1F0B"/>
    <w:rsid w:val="000B2E88"/>
    <w:rsid w:val="000B4603"/>
    <w:rsid w:val="000B47E7"/>
    <w:rsid w:val="000C0810"/>
    <w:rsid w:val="000C09BE"/>
    <w:rsid w:val="000C1380"/>
    <w:rsid w:val="000C2077"/>
    <w:rsid w:val="000C481E"/>
    <w:rsid w:val="000C554F"/>
    <w:rsid w:val="000D0DC5"/>
    <w:rsid w:val="000D15FF"/>
    <w:rsid w:val="000D1DAA"/>
    <w:rsid w:val="000D1DDF"/>
    <w:rsid w:val="000D28DF"/>
    <w:rsid w:val="000D37EF"/>
    <w:rsid w:val="000D488B"/>
    <w:rsid w:val="000D5906"/>
    <w:rsid w:val="000D621D"/>
    <w:rsid w:val="000D68DF"/>
    <w:rsid w:val="000D7DC7"/>
    <w:rsid w:val="000E138D"/>
    <w:rsid w:val="000E187A"/>
    <w:rsid w:val="000E1DA7"/>
    <w:rsid w:val="000E1EC1"/>
    <w:rsid w:val="000E2D61"/>
    <w:rsid w:val="000E450E"/>
    <w:rsid w:val="000E4BA2"/>
    <w:rsid w:val="000E6259"/>
    <w:rsid w:val="000E74B0"/>
    <w:rsid w:val="000F1B4B"/>
    <w:rsid w:val="000F24AB"/>
    <w:rsid w:val="000F393E"/>
    <w:rsid w:val="000F4677"/>
    <w:rsid w:val="000F5BE0"/>
    <w:rsid w:val="00100587"/>
    <w:rsid w:val="0010284E"/>
    <w:rsid w:val="001030F9"/>
    <w:rsid w:val="00103122"/>
    <w:rsid w:val="0010336A"/>
    <w:rsid w:val="001050F1"/>
    <w:rsid w:val="00105544"/>
    <w:rsid w:val="00105AEA"/>
    <w:rsid w:val="00106387"/>
    <w:rsid w:val="00106BD2"/>
    <w:rsid w:val="00106DAF"/>
    <w:rsid w:val="0010765A"/>
    <w:rsid w:val="00107721"/>
    <w:rsid w:val="00111F1F"/>
    <w:rsid w:val="00114ABE"/>
    <w:rsid w:val="00116023"/>
    <w:rsid w:val="0012489A"/>
    <w:rsid w:val="001259DB"/>
    <w:rsid w:val="00127BDD"/>
    <w:rsid w:val="00130653"/>
    <w:rsid w:val="00133192"/>
    <w:rsid w:val="001348A7"/>
    <w:rsid w:val="00134A51"/>
    <w:rsid w:val="00136B2F"/>
    <w:rsid w:val="00140727"/>
    <w:rsid w:val="00144659"/>
    <w:rsid w:val="00151FDA"/>
    <w:rsid w:val="0015372A"/>
    <w:rsid w:val="00155D76"/>
    <w:rsid w:val="00160628"/>
    <w:rsid w:val="00161344"/>
    <w:rsid w:val="00162195"/>
    <w:rsid w:val="00162788"/>
    <w:rsid w:val="0016322A"/>
    <w:rsid w:val="001633D6"/>
    <w:rsid w:val="00165A21"/>
    <w:rsid w:val="001705CE"/>
    <w:rsid w:val="001708E5"/>
    <w:rsid w:val="0017590A"/>
    <w:rsid w:val="0017714B"/>
    <w:rsid w:val="001804DF"/>
    <w:rsid w:val="00180AC4"/>
    <w:rsid w:val="00181BDC"/>
    <w:rsid w:val="00181DB0"/>
    <w:rsid w:val="001829E3"/>
    <w:rsid w:val="001839D0"/>
    <w:rsid w:val="00183EFE"/>
    <w:rsid w:val="00184C61"/>
    <w:rsid w:val="001867AB"/>
    <w:rsid w:val="00190C56"/>
    <w:rsid w:val="001924C0"/>
    <w:rsid w:val="00192F9F"/>
    <w:rsid w:val="001959D1"/>
    <w:rsid w:val="0019731E"/>
    <w:rsid w:val="001A09FE"/>
    <w:rsid w:val="001A67C9"/>
    <w:rsid w:val="001A67D2"/>
    <w:rsid w:val="001A69DE"/>
    <w:rsid w:val="001A713C"/>
    <w:rsid w:val="001A79C9"/>
    <w:rsid w:val="001B1A5A"/>
    <w:rsid w:val="001B1C7C"/>
    <w:rsid w:val="001B398F"/>
    <w:rsid w:val="001B46C6"/>
    <w:rsid w:val="001B4B48"/>
    <w:rsid w:val="001B4BA2"/>
    <w:rsid w:val="001B4D1F"/>
    <w:rsid w:val="001B5E00"/>
    <w:rsid w:val="001B7681"/>
    <w:rsid w:val="001B7CAE"/>
    <w:rsid w:val="001C06CB"/>
    <w:rsid w:val="001C0772"/>
    <w:rsid w:val="001C0D4F"/>
    <w:rsid w:val="001C1BA3"/>
    <w:rsid w:val="001C1DEC"/>
    <w:rsid w:val="001C5736"/>
    <w:rsid w:val="001C6D6D"/>
    <w:rsid w:val="001D33FA"/>
    <w:rsid w:val="001D647F"/>
    <w:rsid w:val="001D6857"/>
    <w:rsid w:val="001E0572"/>
    <w:rsid w:val="001E09F2"/>
    <w:rsid w:val="001E0A67"/>
    <w:rsid w:val="001E1028"/>
    <w:rsid w:val="001E14E2"/>
    <w:rsid w:val="001E497F"/>
    <w:rsid w:val="001E6302"/>
    <w:rsid w:val="001E7DCB"/>
    <w:rsid w:val="001F1658"/>
    <w:rsid w:val="001F3411"/>
    <w:rsid w:val="001F4287"/>
    <w:rsid w:val="001F4DBA"/>
    <w:rsid w:val="001F6030"/>
    <w:rsid w:val="001F6C4F"/>
    <w:rsid w:val="002034C3"/>
    <w:rsid w:val="0020415E"/>
    <w:rsid w:val="00204FF4"/>
    <w:rsid w:val="002064C8"/>
    <w:rsid w:val="002068BA"/>
    <w:rsid w:val="0021056E"/>
    <w:rsid w:val="0021075D"/>
    <w:rsid w:val="0021165A"/>
    <w:rsid w:val="00211BC9"/>
    <w:rsid w:val="0021620C"/>
    <w:rsid w:val="00216E78"/>
    <w:rsid w:val="00216F1E"/>
    <w:rsid w:val="00217275"/>
    <w:rsid w:val="002203AA"/>
    <w:rsid w:val="00220CE0"/>
    <w:rsid w:val="002211DD"/>
    <w:rsid w:val="00223D5D"/>
    <w:rsid w:val="002240CE"/>
    <w:rsid w:val="00224E34"/>
    <w:rsid w:val="00226685"/>
    <w:rsid w:val="0022778B"/>
    <w:rsid w:val="00235FB8"/>
    <w:rsid w:val="00236F4B"/>
    <w:rsid w:val="00237008"/>
    <w:rsid w:val="00242B0D"/>
    <w:rsid w:val="002467C6"/>
    <w:rsid w:val="0024692A"/>
    <w:rsid w:val="00252BBA"/>
    <w:rsid w:val="00252DB4"/>
    <w:rsid w:val="00252F28"/>
    <w:rsid w:val="00253123"/>
    <w:rsid w:val="00254D3D"/>
    <w:rsid w:val="00262493"/>
    <w:rsid w:val="002625CA"/>
    <w:rsid w:val="00264001"/>
    <w:rsid w:val="00266354"/>
    <w:rsid w:val="00266C9F"/>
    <w:rsid w:val="00267A18"/>
    <w:rsid w:val="00267E50"/>
    <w:rsid w:val="00273462"/>
    <w:rsid w:val="0027395B"/>
    <w:rsid w:val="00275854"/>
    <w:rsid w:val="00283B41"/>
    <w:rsid w:val="00285F28"/>
    <w:rsid w:val="00286398"/>
    <w:rsid w:val="00291346"/>
    <w:rsid w:val="0029170E"/>
    <w:rsid w:val="00292F32"/>
    <w:rsid w:val="00293F75"/>
    <w:rsid w:val="002A3C42"/>
    <w:rsid w:val="002A5D75"/>
    <w:rsid w:val="002A6564"/>
    <w:rsid w:val="002A6B22"/>
    <w:rsid w:val="002B0AE3"/>
    <w:rsid w:val="002B0F1D"/>
    <w:rsid w:val="002B1B1A"/>
    <w:rsid w:val="002B55BA"/>
    <w:rsid w:val="002B5C86"/>
    <w:rsid w:val="002B5F8D"/>
    <w:rsid w:val="002B7228"/>
    <w:rsid w:val="002C53EE"/>
    <w:rsid w:val="002C6294"/>
    <w:rsid w:val="002D17F3"/>
    <w:rsid w:val="002D24F7"/>
    <w:rsid w:val="002D2799"/>
    <w:rsid w:val="002D2CD7"/>
    <w:rsid w:val="002D326C"/>
    <w:rsid w:val="002D4DDC"/>
    <w:rsid w:val="002D4F75"/>
    <w:rsid w:val="002D6493"/>
    <w:rsid w:val="002D77F9"/>
    <w:rsid w:val="002D7AB6"/>
    <w:rsid w:val="002D7E01"/>
    <w:rsid w:val="002E06D0"/>
    <w:rsid w:val="002E08CA"/>
    <w:rsid w:val="002E3A2C"/>
    <w:rsid w:val="002E3C27"/>
    <w:rsid w:val="002E403A"/>
    <w:rsid w:val="002E7F3A"/>
    <w:rsid w:val="002F0DBC"/>
    <w:rsid w:val="002F30C1"/>
    <w:rsid w:val="002F4EDB"/>
    <w:rsid w:val="002F5E74"/>
    <w:rsid w:val="002F6054"/>
    <w:rsid w:val="002F7EBA"/>
    <w:rsid w:val="0030414F"/>
    <w:rsid w:val="003055CA"/>
    <w:rsid w:val="0030768F"/>
    <w:rsid w:val="00310E13"/>
    <w:rsid w:val="003135FD"/>
    <w:rsid w:val="003144D7"/>
    <w:rsid w:val="00315713"/>
    <w:rsid w:val="0031686C"/>
    <w:rsid w:val="00316FE0"/>
    <w:rsid w:val="00317240"/>
    <w:rsid w:val="003204D2"/>
    <w:rsid w:val="0032605E"/>
    <w:rsid w:val="003275D1"/>
    <w:rsid w:val="00330B2A"/>
    <w:rsid w:val="00331E17"/>
    <w:rsid w:val="00332708"/>
    <w:rsid w:val="00333063"/>
    <w:rsid w:val="0033514C"/>
    <w:rsid w:val="003408E3"/>
    <w:rsid w:val="00343480"/>
    <w:rsid w:val="00345E89"/>
    <w:rsid w:val="00347136"/>
    <w:rsid w:val="0034716A"/>
    <w:rsid w:val="003522A1"/>
    <w:rsid w:val="0035254B"/>
    <w:rsid w:val="00353555"/>
    <w:rsid w:val="00355887"/>
    <w:rsid w:val="00355CA1"/>
    <w:rsid w:val="003565D4"/>
    <w:rsid w:val="003578B7"/>
    <w:rsid w:val="003607FB"/>
    <w:rsid w:val="00360FD5"/>
    <w:rsid w:val="00361FE1"/>
    <w:rsid w:val="0036257D"/>
    <w:rsid w:val="00363207"/>
    <w:rsid w:val="0036340D"/>
    <w:rsid w:val="003634A5"/>
    <w:rsid w:val="003645FF"/>
    <w:rsid w:val="00364C5E"/>
    <w:rsid w:val="00366868"/>
    <w:rsid w:val="00367506"/>
    <w:rsid w:val="00370085"/>
    <w:rsid w:val="003744A7"/>
    <w:rsid w:val="003749E9"/>
    <w:rsid w:val="00376235"/>
    <w:rsid w:val="003775FF"/>
    <w:rsid w:val="00381FB6"/>
    <w:rsid w:val="003830E4"/>
    <w:rsid w:val="003836D3"/>
    <w:rsid w:val="00383A52"/>
    <w:rsid w:val="00383C7D"/>
    <w:rsid w:val="0038481D"/>
    <w:rsid w:val="00391652"/>
    <w:rsid w:val="003918A0"/>
    <w:rsid w:val="00392623"/>
    <w:rsid w:val="0039507F"/>
    <w:rsid w:val="00395941"/>
    <w:rsid w:val="003A02B1"/>
    <w:rsid w:val="003A1260"/>
    <w:rsid w:val="003A295F"/>
    <w:rsid w:val="003A41DD"/>
    <w:rsid w:val="003A7033"/>
    <w:rsid w:val="003B0CA1"/>
    <w:rsid w:val="003B15E5"/>
    <w:rsid w:val="003B19E6"/>
    <w:rsid w:val="003B4228"/>
    <w:rsid w:val="003B47FE"/>
    <w:rsid w:val="003B54C2"/>
    <w:rsid w:val="003B5673"/>
    <w:rsid w:val="003B6287"/>
    <w:rsid w:val="003B62C9"/>
    <w:rsid w:val="003C3E65"/>
    <w:rsid w:val="003C482E"/>
    <w:rsid w:val="003C4ACB"/>
    <w:rsid w:val="003C7176"/>
    <w:rsid w:val="003D0929"/>
    <w:rsid w:val="003D17FE"/>
    <w:rsid w:val="003D4729"/>
    <w:rsid w:val="003D7DD6"/>
    <w:rsid w:val="003E1069"/>
    <w:rsid w:val="003E1B49"/>
    <w:rsid w:val="003E5AAF"/>
    <w:rsid w:val="003E600D"/>
    <w:rsid w:val="003E624B"/>
    <w:rsid w:val="003E64DF"/>
    <w:rsid w:val="003E6A5D"/>
    <w:rsid w:val="003F1580"/>
    <w:rsid w:val="003F193A"/>
    <w:rsid w:val="003F2042"/>
    <w:rsid w:val="003F2697"/>
    <w:rsid w:val="003F4207"/>
    <w:rsid w:val="003F5AC2"/>
    <w:rsid w:val="003F5C46"/>
    <w:rsid w:val="003F7415"/>
    <w:rsid w:val="003F7CBB"/>
    <w:rsid w:val="003F7D34"/>
    <w:rsid w:val="00403990"/>
    <w:rsid w:val="004047B2"/>
    <w:rsid w:val="0041094D"/>
    <w:rsid w:val="0041233B"/>
    <w:rsid w:val="00412C8E"/>
    <w:rsid w:val="0041518D"/>
    <w:rsid w:val="00421304"/>
    <w:rsid w:val="0042221D"/>
    <w:rsid w:val="00422B9B"/>
    <w:rsid w:val="00424DD3"/>
    <w:rsid w:val="004269C5"/>
    <w:rsid w:val="00426A08"/>
    <w:rsid w:val="00430028"/>
    <w:rsid w:val="00432C87"/>
    <w:rsid w:val="00435939"/>
    <w:rsid w:val="00435F0E"/>
    <w:rsid w:val="00437CC7"/>
    <w:rsid w:val="00437D66"/>
    <w:rsid w:val="0044032C"/>
    <w:rsid w:val="0044221E"/>
    <w:rsid w:val="004426B9"/>
    <w:rsid w:val="00442B9C"/>
    <w:rsid w:val="00445EFA"/>
    <w:rsid w:val="0044738A"/>
    <w:rsid w:val="004473D3"/>
    <w:rsid w:val="0044745D"/>
    <w:rsid w:val="00450C62"/>
    <w:rsid w:val="00452231"/>
    <w:rsid w:val="00455236"/>
    <w:rsid w:val="0045755E"/>
    <w:rsid w:val="00460C13"/>
    <w:rsid w:val="00461BD3"/>
    <w:rsid w:val="00462F1F"/>
    <w:rsid w:val="00463228"/>
    <w:rsid w:val="00463782"/>
    <w:rsid w:val="004667E0"/>
    <w:rsid w:val="00467572"/>
    <w:rsid w:val="0046760E"/>
    <w:rsid w:val="00470E10"/>
    <w:rsid w:val="00472450"/>
    <w:rsid w:val="00473349"/>
    <w:rsid w:val="00474186"/>
    <w:rsid w:val="00476183"/>
    <w:rsid w:val="00477308"/>
    <w:rsid w:val="00477A97"/>
    <w:rsid w:val="00480AC8"/>
    <w:rsid w:val="00481244"/>
    <w:rsid w:val="00481343"/>
    <w:rsid w:val="00481B15"/>
    <w:rsid w:val="004820F3"/>
    <w:rsid w:val="00482567"/>
    <w:rsid w:val="0048549E"/>
    <w:rsid w:val="004928CB"/>
    <w:rsid w:val="00492BDB"/>
    <w:rsid w:val="004930C6"/>
    <w:rsid w:val="00493347"/>
    <w:rsid w:val="00496092"/>
    <w:rsid w:val="0049789D"/>
    <w:rsid w:val="004A08DB"/>
    <w:rsid w:val="004A25D0"/>
    <w:rsid w:val="004A37E8"/>
    <w:rsid w:val="004A7549"/>
    <w:rsid w:val="004A7FA4"/>
    <w:rsid w:val="004B09D4"/>
    <w:rsid w:val="004B12EC"/>
    <w:rsid w:val="004B309D"/>
    <w:rsid w:val="004B330A"/>
    <w:rsid w:val="004B7C8E"/>
    <w:rsid w:val="004B7EBE"/>
    <w:rsid w:val="004C3D3C"/>
    <w:rsid w:val="004D0312"/>
    <w:rsid w:val="004D071F"/>
    <w:rsid w:val="004D0EDC"/>
    <w:rsid w:val="004D10C0"/>
    <w:rsid w:val="004D1220"/>
    <w:rsid w:val="004D14B3"/>
    <w:rsid w:val="004D1529"/>
    <w:rsid w:val="004D2253"/>
    <w:rsid w:val="004D3162"/>
    <w:rsid w:val="004D3396"/>
    <w:rsid w:val="004D5514"/>
    <w:rsid w:val="004D56C3"/>
    <w:rsid w:val="004E0338"/>
    <w:rsid w:val="004E1607"/>
    <w:rsid w:val="004E1759"/>
    <w:rsid w:val="004E19D7"/>
    <w:rsid w:val="004E31DE"/>
    <w:rsid w:val="004E4FF3"/>
    <w:rsid w:val="004E56A8"/>
    <w:rsid w:val="004E5E16"/>
    <w:rsid w:val="004F0F0F"/>
    <w:rsid w:val="004F0F40"/>
    <w:rsid w:val="004F3880"/>
    <w:rsid w:val="004F3B55"/>
    <w:rsid w:val="004F41DE"/>
    <w:rsid w:val="004F428E"/>
    <w:rsid w:val="004F4E46"/>
    <w:rsid w:val="004F6B7D"/>
    <w:rsid w:val="004F732F"/>
    <w:rsid w:val="004F762D"/>
    <w:rsid w:val="005009A0"/>
    <w:rsid w:val="005015F6"/>
    <w:rsid w:val="005030C4"/>
    <w:rsid w:val="005031C5"/>
    <w:rsid w:val="00504FDC"/>
    <w:rsid w:val="0051030F"/>
    <w:rsid w:val="005120CC"/>
    <w:rsid w:val="00512305"/>
    <w:rsid w:val="00512B7B"/>
    <w:rsid w:val="00514EA1"/>
    <w:rsid w:val="00517235"/>
    <w:rsid w:val="0051798B"/>
    <w:rsid w:val="005202E2"/>
    <w:rsid w:val="00520DAF"/>
    <w:rsid w:val="00521F5A"/>
    <w:rsid w:val="00525E06"/>
    <w:rsid w:val="00526454"/>
    <w:rsid w:val="00531823"/>
    <w:rsid w:val="00534ECC"/>
    <w:rsid w:val="00536325"/>
    <w:rsid w:val="0053720D"/>
    <w:rsid w:val="00540EF5"/>
    <w:rsid w:val="00541BF3"/>
    <w:rsid w:val="00541CD3"/>
    <w:rsid w:val="005426EA"/>
    <w:rsid w:val="005476FA"/>
    <w:rsid w:val="00550C8E"/>
    <w:rsid w:val="0055595E"/>
    <w:rsid w:val="00557988"/>
    <w:rsid w:val="00560FBA"/>
    <w:rsid w:val="0056108A"/>
    <w:rsid w:val="005614DE"/>
    <w:rsid w:val="005624E4"/>
    <w:rsid w:val="00562C49"/>
    <w:rsid w:val="00562DEF"/>
    <w:rsid w:val="0056321A"/>
    <w:rsid w:val="00563A35"/>
    <w:rsid w:val="00564D57"/>
    <w:rsid w:val="00566596"/>
    <w:rsid w:val="00571097"/>
    <w:rsid w:val="005741E9"/>
    <w:rsid w:val="005748CF"/>
    <w:rsid w:val="00576DCC"/>
    <w:rsid w:val="00581C81"/>
    <w:rsid w:val="00582832"/>
    <w:rsid w:val="00583410"/>
    <w:rsid w:val="00584270"/>
    <w:rsid w:val="00584738"/>
    <w:rsid w:val="00590802"/>
    <w:rsid w:val="00590CC3"/>
    <w:rsid w:val="005920B0"/>
    <w:rsid w:val="0059380D"/>
    <w:rsid w:val="0059445C"/>
    <w:rsid w:val="00594FBC"/>
    <w:rsid w:val="00595A8F"/>
    <w:rsid w:val="005977C2"/>
    <w:rsid w:val="00597BF2"/>
    <w:rsid w:val="005A1059"/>
    <w:rsid w:val="005A1F54"/>
    <w:rsid w:val="005A3020"/>
    <w:rsid w:val="005A55CF"/>
    <w:rsid w:val="005B1083"/>
    <w:rsid w:val="005B134E"/>
    <w:rsid w:val="005B1EC0"/>
    <w:rsid w:val="005B2039"/>
    <w:rsid w:val="005B32A5"/>
    <w:rsid w:val="005B344F"/>
    <w:rsid w:val="005B3D9E"/>
    <w:rsid w:val="005B3FBA"/>
    <w:rsid w:val="005B4A1D"/>
    <w:rsid w:val="005B674D"/>
    <w:rsid w:val="005B77E7"/>
    <w:rsid w:val="005C056D"/>
    <w:rsid w:val="005C0CBE"/>
    <w:rsid w:val="005C1BE1"/>
    <w:rsid w:val="005C1FCF"/>
    <w:rsid w:val="005C3F41"/>
    <w:rsid w:val="005D053D"/>
    <w:rsid w:val="005D1885"/>
    <w:rsid w:val="005D1920"/>
    <w:rsid w:val="005D2287"/>
    <w:rsid w:val="005D2A1F"/>
    <w:rsid w:val="005D4A38"/>
    <w:rsid w:val="005D551F"/>
    <w:rsid w:val="005D6B73"/>
    <w:rsid w:val="005D6EAE"/>
    <w:rsid w:val="005E2EEA"/>
    <w:rsid w:val="005E3708"/>
    <w:rsid w:val="005E3CCD"/>
    <w:rsid w:val="005E3D6B"/>
    <w:rsid w:val="005E4208"/>
    <w:rsid w:val="005E5B55"/>
    <w:rsid w:val="005E5E4A"/>
    <w:rsid w:val="005E693D"/>
    <w:rsid w:val="005E75BF"/>
    <w:rsid w:val="005F4337"/>
    <w:rsid w:val="005F57BA"/>
    <w:rsid w:val="005F61E6"/>
    <w:rsid w:val="005F6C45"/>
    <w:rsid w:val="0060144B"/>
    <w:rsid w:val="00604E7C"/>
    <w:rsid w:val="00605A69"/>
    <w:rsid w:val="00606C54"/>
    <w:rsid w:val="00606D67"/>
    <w:rsid w:val="00610749"/>
    <w:rsid w:val="00612D98"/>
    <w:rsid w:val="00614375"/>
    <w:rsid w:val="00615B0A"/>
    <w:rsid w:val="006168CF"/>
    <w:rsid w:val="0062011B"/>
    <w:rsid w:val="006252C5"/>
    <w:rsid w:val="00626DE0"/>
    <w:rsid w:val="00630901"/>
    <w:rsid w:val="00631D11"/>
    <w:rsid w:val="00631F8E"/>
    <w:rsid w:val="0063244E"/>
    <w:rsid w:val="00632828"/>
    <w:rsid w:val="00636EE9"/>
    <w:rsid w:val="00637305"/>
    <w:rsid w:val="0063764C"/>
    <w:rsid w:val="00637AB4"/>
    <w:rsid w:val="00640950"/>
    <w:rsid w:val="00641AE7"/>
    <w:rsid w:val="00642629"/>
    <w:rsid w:val="0064782B"/>
    <w:rsid w:val="00647933"/>
    <w:rsid w:val="00651A89"/>
    <w:rsid w:val="0065293D"/>
    <w:rsid w:val="00653EFC"/>
    <w:rsid w:val="00654021"/>
    <w:rsid w:val="00657723"/>
    <w:rsid w:val="00661045"/>
    <w:rsid w:val="00661267"/>
    <w:rsid w:val="00666B1F"/>
    <w:rsid w:val="00666DA8"/>
    <w:rsid w:val="00671057"/>
    <w:rsid w:val="00672713"/>
    <w:rsid w:val="00673078"/>
    <w:rsid w:val="00674436"/>
    <w:rsid w:val="00675AAF"/>
    <w:rsid w:val="0068031A"/>
    <w:rsid w:val="00680D81"/>
    <w:rsid w:val="00681B2F"/>
    <w:rsid w:val="0068335F"/>
    <w:rsid w:val="00686B0B"/>
    <w:rsid w:val="00687217"/>
    <w:rsid w:val="00687358"/>
    <w:rsid w:val="00687620"/>
    <w:rsid w:val="00687F87"/>
    <w:rsid w:val="00693302"/>
    <w:rsid w:val="00693751"/>
    <w:rsid w:val="00693A83"/>
    <w:rsid w:val="0069640B"/>
    <w:rsid w:val="00697850"/>
    <w:rsid w:val="006A1B83"/>
    <w:rsid w:val="006A21CD"/>
    <w:rsid w:val="006A4F67"/>
    <w:rsid w:val="006A5918"/>
    <w:rsid w:val="006A78F4"/>
    <w:rsid w:val="006B21B2"/>
    <w:rsid w:val="006B2B91"/>
    <w:rsid w:val="006B4A4A"/>
    <w:rsid w:val="006B6A7A"/>
    <w:rsid w:val="006C19B2"/>
    <w:rsid w:val="006C3002"/>
    <w:rsid w:val="006C3371"/>
    <w:rsid w:val="006C4409"/>
    <w:rsid w:val="006C4F0D"/>
    <w:rsid w:val="006C5BB8"/>
    <w:rsid w:val="006C6936"/>
    <w:rsid w:val="006C7960"/>
    <w:rsid w:val="006C7B01"/>
    <w:rsid w:val="006D0FE8"/>
    <w:rsid w:val="006D3F99"/>
    <w:rsid w:val="006D471B"/>
    <w:rsid w:val="006D4B2B"/>
    <w:rsid w:val="006D4CBE"/>
    <w:rsid w:val="006D4F3C"/>
    <w:rsid w:val="006D57AA"/>
    <w:rsid w:val="006D5C66"/>
    <w:rsid w:val="006D687F"/>
    <w:rsid w:val="006D7002"/>
    <w:rsid w:val="006E1B3C"/>
    <w:rsid w:val="006E23FB"/>
    <w:rsid w:val="006E325A"/>
    <w:rsid w:val="006E33EC"/>
    <w:rsid w:val="006E3802"/>
    <w:rsid w:val="006E518F"/>
    <w:rsid w:val="006E6C02"/>
    <w:rsid w:val="006F1666"/>
    <w:rsid w:val="006F231A"/>
    <w:rsid w:val="006F6B55"/>
    <w:rsid w:val="006F70A4"/>
    <w:rsid w:val="006F788D"/>
    <w:rsid w:val="006F78E1"/>
    <w:rsid w:val="00701072"/>
    <w:rsid w:val="0070146E"/>
    <w:rsid w:val="00701FB4"/>
    <w:rsid w:val="00702054"/>
    <w:rsid w:val="0070225F"/>
    <w:rsid w:val="007035A4"/>
    <w:rsid w:val="00704590"/>
    <w:rsid w:val="007075EE"/>
    <w:rsid w:val="00711799"/>
    <w:rsid w:val="00712132"/>
    <w:rsid w:val="00712B78"/>
    <w:rsid w:val="0071393B"/>
    <w:rsid w:val="00713EE2"/>
    <w:rsid w:val="00716C97"/>
    <w:rsid w:val="007177FC"/>
    <w:rsid w:val="00717FFB"/>
    <w:rsid w:val="00720C5E"/>
    <w:rsid w:val="00721701"/>
    <w:rsid w:val="00723197"/>
    <w:rsid w:val="00731162"/>
    <w:rsid w:val="00731835"/>
    <w:rsid w:val="007318A9"/>
    <w:rsid w:val="007318AE"/>
    <w:rsid w:val="007341F8"/>
    <w:rsid w:val="00734372"/>
    <w:rsid w:val="00734EB8"/>
    <w:rsid w:val="00735F8B"/>
    <w:rsid w:val="0073707C"/>
    <w:rsid w:val="0074090B"/>
    <w:rsid w:val="00741C91"/>
    <w:rsid w:val="00742D1F"/>
    <w:rsid w:val="00742F03"/>
    <w:rsid w:val="00743EBA"/>
    <w:rsid w:val="00744C8E"/>
    <w:rsid w:val="00746B68"/>
    <w:rsid w:val="0074707E"/>
    <w:rsid w:val="0075072E"/>
    <w:rsid w:val="00750AC3"/>
    <w:rsid w:val="00750C88"/>
    <w:rsid w:val="007516DC"/>
    <w:rsid w:val="00752E58"/>
    <w:rsid w:val="00753E7A"/>
    <w:rsid w:val="007541A0"/>
    <w:rsid w:val="00754B80"/>
    <w:rsid w:val="007570B6"/>
    <w:rsid w:val="00761918"/>
    <w:rsid w:val="00762F03"/>
    <w:rsid w:val="0076413B"/>
    <w:rsid w:val="007643F2"/>
    <w:rsid w:val="007648AE"/>
    <w:rsid w:val="00764BF8"/>
    <w:rsid w:val="0076514D"/>
    <w:rsid w:val="00770D35"/>
    <w:rsid w:val="00773D59"/>
    <w:rsid w:val="007802F5"/>
    <w:rsid w:val="007804AC"/>
    <w:rsid w:val="00781003"/>
    <w:rsid w:val="0078125D"/>
    <w:rsid w:val="007827DC"/>
    <w:rsid w:val="0078469E"/>
    <w:rsid w:val="00785BCB"/>
    <w:rsid w:val="0078628E"/>
    <w:rsid w:val="00787913"/>
    <w:rsid w:val="00790443"/>
    <w:rsid w:val="007907D2"/>
    <w:rsid w:val="007908D0"/>
    <w:rsid w:val="007911FD"/>
    <w:rsid w:val="00793930"/>
    <w:rsid w:val="00793DD1"/>
    <w:rsid w:val="00794FEC"/>
    <w:rsid w:val="00796868"/>
    <w:rsid w:val="007975FA"/>
    <w:rsid w:val="007A003E"/>
    <w:rsid w:val="007A08EB"/>
    <w:rsid w:val="007A1965"/>
    <w:rsid w:val="007A2ED1"/>
    <w:rsid w:val="007A4578"/>
    <w:rsid w:val="007A4BE6"/>
    <w:rsid w:val="007A4F8A"/>
    <w:rsid w:val="007A7009"/>
    <w:rsid w:val="007B0DC6"/>
    <w:rsid w:val="007B1094"/>
    <w:rsid w:val="007B1762"/>
    <w:rsid w:val="007B2793"/>
    <w:rsid w:val="007B3320"/>
    <w:rsid w:val="007B6F82"/>
    <w:rsid w:val="007C2C3B"/>
    <w:rsid w:val="007C301F"/>
    <w:rsid w:val="007C325C"/>
    <w:rsid w:val="007C4540"/>
    <w:rsid w:val="007C65AF"/>
    <w:rsid w:val="007D06FB"/>
    <w:rsid w:val="007D0FAC"/>
    <w:rsid w:val="007D135D"/>
    <w:rsid w:val="007D32F6"/>
    <w:rsid w:val="007D3C89"/>
    <w:rsid w:val="007D550A"/>
    <w:rsid w:val="007D730F"/>
    <w:rsid w:val="007D7CD8"/>
    <w:rsid w:val="007E2294"/>
    <w:rsid w:val="007E3AA7"/>
    <w:rsid w:val="007F6E90"/>
    <w:rsid w:val="007F737D"/>
    <w:rsid w:val="00801182"/>
    <w:rsid w:val="008026C0"/>
    <w:rsid w:val="0080308E"/>
    <w:rsid w:val="00805303"/>
    <w:rsid w:val="00806705"/>
    <w:rsid w:val="00806738"/>
    <w:rsid w:val="00807A4E"/>
    <w:rsid w:val="008121A6"/>
    <w:rsid w:val="00814CC8"/>
    <w:rsid w:val="00815CB8"/>
    <w:rsid w:val="00815ECD"/>
    <w:rsid w:val="00817DE0"/>
    <w:rsid w:val="00817F6E"/>
    <w:rsid w:val="008216D5"/>
    <w:rsid w:val="008249CE"/>
    <w:rsid w:val="00824C9E"/>
    <w:rsid w:val="00826611"/>
    <w:rsid w:val="00830612"/>
    <w:rsid w:val="008306A5"/>
    <w:rsid w:val="008316A9"/>
    <w:rsid w:val="00831A50"/>
    <w:rsid w:val="00831B3C"/>
    <w:rsid w:val="00831C89"/>
    <w:rsid w:val="00832114"/>
    <w:rsid w:val="00833B49"/>
    <w:rsid w:val="00834C46"/>
    <w:rsid w:val="00837C52"/>
    <w:rsid w:val="0084093E"/>
    <w:rsid w:val="008414F4"/>
    <w:rsid w:val="00841CE1"/>
    <w:rsid w:val="0084430A"/>
    <w:rsid w:val="00845551"/>
    <w:rsid w:val="008473D8"/>
    <w:rsid w:val="0085130E"/>
    <w:rsid w:val="008528DC"/>
    <w:rsid w:val="00852B8C"/>
    <w:rsid w:val="008536C6"/>
    <w:rsid w:val="00853EB4"/>
    <w:rsid w:val="00854981"/>
    <w:rsid w:val="0085512E"/>
    <w:rsid w:val="00855983"/>
    <w:rsid w:val="00857D99"/>
    <w:rsid w:val="00860A43"/>
    <w:rsid w:val="008623DC"/>
    <w:rsid w:val="008637A4"/>
    <w:rsid w:val="00864B2E"/>
    <w:rsid w:val="00865963"/>
    <w:rsid w:val="00867C19"/>
    <w:rsid w:val="00871C1D"/>
    <w:rsid w:val="0087450E"/>
    <w:rsid w:val="00875A82"/>
    <w:rsid w:val="00876CA3"/>
    <w:rsid w:val="008772FE"/>
    <w:rsid w:val="008775F1"/>
    <w:rsid w:val="00881585"/>
    <w:rsid w:val="008821AE"/>
    <w:rsid w:val="00883525"/>
    <w:rsid w:val="00883D3A"/>
    <w:rsid w:val="00884CEB"/>
    <w:rsid w:val="008854F7"/>
    <w:rsid w:val="00885A9D"/>
    <w:rsid w:val="0089118A"/>
    <w:rsid w:val="008929D2"/>
    <w:rsid w:val="00893636"/>
    <w:rsid w:val="00893B94"/>
    <w:rsid w:val="00896E9D"/>
    <w:rsid w:val="00896F11"/>
    <w:rsid w:val="008A1049"/>
    <w:rsid w:val="008A1C98"/>
    <w:rsid w:val="008A2244"/>
    <w:rsid w:val="008A2F3D"/>
    <w:rsid w:val="008A322D"/>
    <w:rsid w:val="008A4D72"/>
    <w:rsid w:val="008A4F59"/>
    <w:rsid w:val="008A5087"/>
    <w:rsid w:val="008A573B"/>
    <w:rsid w:val="008A6285"/>
    <w:rsid w:val="008A63B2"/>
    <w:rsid w:val="008B0F91"/>
    <w:rsid w:val="008B1183"/>
    <w:rsid w:val="008B3257"/>
    <w:rsid w:val="008B345D"/>
    <w:rsid w:val="008B3ABB"/>
    <w:rsid w:val="008B57CE"/>
    <w:rsid w:val="008B685F"/>
    <w:rsid w:val="008C097F"/>
    <w:rsid w:val="008C1FC2"/>
    <w:rsid w:val="008C2980"/>
    <w:rsid w:val="008C4DD6"/>
    <w:rsid w:val="008C5AFB"/>
    <w:rsid w:val="008C6743"/>
    <w:rsid w:val="008C6CA9"/>
    <w:rsid w:val="008C6ED0"/>
    <w:rsid w:val="008D07FB"/>
    <w:rsid w:val="008D0C02"/>
    <w:rsid w:val="008D2F36"/>
    <w:rsid w:val="008D330A"/>
    <w:rsid w:val="008D357D"/>
    <w:rsid w:val="008D435A"/>
    <w:rsid w:val="008E248A"/>
    <w:rsid w:val="008E387B"/>
    <w:rsid w:val="008E527E"/>
    <w:rsid w:val="008E6087"/>
    <w:rsid w:val="008E6D9E"/>
    <w:rsid w:val="008E7383"/>
    <w:rsid w:val="008E758D"/>
    <w:rsid w:val="008F10A7"/>
    <w:rsid w:val="008F2816"/>
    <w:rsid w:val="008F755D"/>
    <w:rsid w:val="008F7A39"/>
    <w:rsid w:val="009021E8"/>
    <w:rsid w:val="00904224"/>
    <w:rsid w:val="0090452C"/>
    <w:rsid w:val="00904677"/>
    <w:rsid w:val="00905CF8"/>
    <w:rsid w:val="00905EE2"/>
    <w:rsid w:val="0090693C"/>
    <w:rsid w:val="00911440"/>
    <w:rsid w:val="00911712"/>
    <w:rsid w:val="00911B27"/>
    <w:rsid w:val="009121C8"/>
    <w:rsid w:val="0091266B"/>
    <w:rsid w:val="00915798"/>
    <w:rsid w:val="009170BE"/>
    <w:rsid w:val="00920B55"/>
    <w:rsid w:val="009212AC"/>
    <w:rsid w:val="00921AAE"/>
    <w:rsid w:val="00922A01"/>
    <w:rsid w:val="009262C9"/>
    <w:rsid w:val="00927D4A"/>
    <w:rsid w:val="00930EB9"/>
    <w:rsid w:val="009315B3"/>
    <w:rsid w:val="00931B78"/>
    <w:rsid w:val="0093231F"/>
    <w:rsid w:val="00933DC7"/>
    <w:rsid w:val="00935F97"/>
    <w:rsid w:val="00940366"/>
    <w:rsid w:val="009418F4"/>
    <w:rsid w:val="00942BBC"/>
    <w:rsid w:val="00943AE5"/>
    <w:rsid w:val="00944180"/>
    <w:rsid w:val="00944AA0"/>
    <w:rsid w:val="009472DB"/>
    <w:rsid w:val="00947DA2"/>
    <w:rsid w:val="0095071E"/>
    <w:rsid w:val="00951177"/>
    <w:rsid w:val="00952756"/>
    <w:rsid w:val="00961B46"/>
    <w:rsid w:val="009673E8"/>
    <w:rsid w:val="00970C52"/>
    <w:rsid w:val="00973BA4"/>
    <w:rsid w:val="00974008"/>
    <w:rsid w:val="00974DB8"/>
    <w:rsid w:val="00976B7E"/>
    <w:rsid w:val="00980661"/>
    <w:rsid w:val="0098093B"/>
    <w:rsid w:val="00980F55"/>
    <w:rsid w:val="009876D4"/>
    <w:rsid w:val="009901B7"/>
    <w:rsid w:val="009914A5"/>
    <w:rsid w:val="0099548E"/>
    <w:rsid w:val="00996456"/>
    <w:rsid w:val="00996A12"/>
    <w:rsid w:val="00997B0F"/>
    <w:rsid w:val="009A0CC3"/>
    <w:rsid w:val="009A1CAD"/>
    <w:rsid w:val="009A3440"/>
    <w:rsid w:val="009A5832"/>
    <w:rsid w:val="009A6838"/>
    <w:rsid w:val="009B047B"/>
    <w:rsid w:val="009B0DA1"/>
    <w:rsid w:val="009B1226"/>
    <w:rsid w:val="009B24B5"/>
    <w:rsid w:val="009B2DE3"/>
    <w:rsid w:val="009B3AAE"/>
    <w:rsid w:val="009B450C"/>
    <w:rsid w:val="009B4EBC"/>
    <w:rsid w:val="009B53A2"/>
    <w:rsid w:val="009B5ABB"/>
    <w:rsid w:val="009B73CE"/>
    <w:rsid w:val="009B7FBE"/>
    <w:rsid w:val="009C2461"/>
    <w:rsid w:val="009C58DA"/>
    <w:rsid w:val="009C5A15"/>
    <w:rsid w:val="009C6FE2"/>
    <w:rsid w:val="009C7674"/>
    <w:rsid w:val="009D004A"/>
    <w:rsid w:val="009D1305"/>
    <w:rsid w:val="009D15DC"/>
    <w:rsid w:val="009D2223"/>
    <w:rsid w:val="009D3273"/>
    <w:rsid w:val="009D4E25"/>
    <w:rsid w:val="009D5880"/>
    <w:rsid w:val="009E1FD4"/>
    <w:rsid w:val="009E32DE"/>
    <w:rsid w:val="009E3B07"/>
    <w:rsid w:val="009E48E7"/>
    <w:rsid w:val="009E5003"/>
    <w:rsid w:val="009E51D1"/>
    <w:rsid w:val="009E5531"/>
    <w:rsid w:val="009F171E"/>
    <w:rsid w:val="009F3D2F"/>
    <w:rsid w:val="009F3EB7"/>
    <w:rsid w:val="009F4E85"/>
    <w:rsid w:val="009F7052"/>
    <w:rsid w:val="00A02668"/>
    <w:rsid w:val="00A02801"/>
    <w:rsid w:val="00A06142"/>
    <w:rsid w:val="00A06A39"/>
    <w:rsid w:val="00A07F58"/>
    <w:rsid w:val="00A10377"/>
    <w:rsid w:val="00A131CB"/>
    <w:rsid w:val="00A14847"/>
    <w:rsid w:val="00A16D6D"/>
    <w:rsid w:val="00A20DB0"/>
    <w:rsid w:val="00A21383"/>
    <w:rsid w:val="00A2199F"/>
    <w:rsid w:val="00A21B31"/>
    <w:rsid w:val="00A2360E"/>
    <w:rsid w:val="00A24C12"/>
    <w:rsid w:val="00A26060"/>
    <w:rsid w:val="00A268C5"/>
    <w:rsid w:val="00A26E0C"/>
    <w:rsid w:val="00A27113"/>
    <w:rsid w:val="00A27C0A"/>
    <w:rsid w:val="00A32FCB"/>
    <w:rsid w:val="00A34C25"/>
    <w:rsid w:val="00A3507D"/>
    <w:rsid w:val="00A36AD1"/>
    <w:rsid w:val="00A3717A"/>
    <w:rsid w:val="00A4009D"/>
    <w:rsid w:val="00A4088C"/>
    <w:rsid w:val="00A4160A"/>
    <w:rsid w:val="00A4456B"/>
    <w:rsid w:val="00A448D4"/>
    <w:rsid w:val="00A452E0"/>
    <w:rsid w:val="00A50030"/>
    <w:rsid w:val="00A506DF"/>
    <w:rsid w:val="00A51EA5"/>
    <w:rsid w:val="00A53742"/>
    <w:rsid w:val="00A54827"/>
    <w:rsid w:val="00A54DFF"/>
    <w:rsid w:val="00A557A1"/>
    <w:rsid w:val="00A56F18"/>
    <w:rsid w:val="00A60632"/>
    <w:rsid w:val="00A60906"/>
    <w:rsid w:val="00A63059"/>
    <w:rsid w:val="00A63AE3"/>
    <w:rsid w:val="00A64EF7"/>
    <w:rsid w:val="00A651A4"/>
    <w:rsid w:val="00A65981"/>
    <w:rsid w:val="00A71361"/>
    <w:rsid w:val="00A71B1B"/>
    <w:rsid w:val="00A7427B"/>
    <w:rsid w:val="00A746E2"/>
    <w:rsid w:val="00A749EE"/>
    <w:rsid w:val="00A81FF2"/>
    <w:rsid w:val="00A83904"/>
    <w:rsid w:val="00A90A79"/>
    <w:rsid w:val="00A923F3"/>
    <w:rsid w:val="00A92628"/>
    <w:rsid w:val="00A96B30"/>
    <w:rsid w:val="00A9723D"/>
    <w:rsid w:val="00AA442D"/>
    <w:rsid w:val="00AA4926"/>
    <w:rsid w:val="00AA4EDC"/>
    <w:rsid w:val="00AA59B5"/>
    <w:rsid w:val="00AA6F83"/>
    <w:rsid w:val="00AA7777"/>
    <w:rsid w:val="00AA7B84"/>
    <w:rsid w:val="00AA7FB2"/>
    <w:rsid w:val="00AB046E"/>
    <w:rsid w:val="00AB0F35"/>
    <w:rsid w:val="00AB32D6"/>
    <w:rsid w:val="00AB36C4"/>
    <w:rsid w:val="00AB3BD5"/>
    <w:rsid w:val="00AC0B4C"/>
    <w:rsid w:val="00AC1164"/>
    <w:rsid w:val="00AC2296"/>
    <w:rsid w:val="00AC2754"/>
    <w:rsid w:val="00AC48B0"/>
    <w:rsid w:val="00AC4A43"/>
    <w:rsid w:val="00AC4ACD"/>
    <w:rsid w:val="00AC5DFB"/>
    <w:rsid w:val="00AC7050"/>
    <w:rsid w:val="00AC7D4F"/>
    <w:rsid w:val="00AD0497"/>
    <w:rsid w:val="00AD0FFF"/>
    <w:rsid w:val="00AD13DC"/>
    <w:rsid w:val="00AD6DE2"/>
    <w:rsid w:val="00AE0A40"/>
    <w:rsid w:val="00AE13B3"/>
    <w:rsid w:val="00AE1ED4"/>
    <w:rsid w:val="00AE21E1"/>
    <w:rsid w:val="00AE260D"/>
    <w:rsid w:val="00AE2F8D"/>
    <w:rsid w:val="00AE3BAE"/>
    <w:rsid w:val="00AE6A21"/>
    <w:rsid w:val="00AF1C8F"/>
    <w:rsid w:val="00AF2B68"/>
    <w:rsid w:val="00AF2C92"/>
    <w:rsid w:val="00AF3EC1"/>
    <w:rsid w:val="00AF5025"/>
    <w:rsid w:val="00AF519F"/>
    <w:rsid w:val="00AF5387"/>
    <w:rsid w:val="00AF55F5"/>
    <w:rsid w:val="00AF7937"/>
    <w:rsid w:val="00AF7E86"/>
    <w:rsid w:val="00B024B9"/>
    <w:rsid w:val="00B02C07"/>
    <w:rsid w:val="00B0488B"/>
    <w:rsid w:val="00B0490B"/>
    <w:rsid w:val="00B077FA"/>
    <w:rsid w:val="00B10734"/>
    <w:rsid w:val="00B111C1"/>
    <w:rsid w:val="00B122C3"/>
    <w:rsid w:val="00B124F3"/>
    <w:rsid w:val="00B127D7"/>
    <w:rsid w:val="00B129EA"/>
    <w:rsid w:val="00B13B0C"/>
    <w:rsid w:val="00B13C0E"/>
    <w:rsid w:val="00B14408"/>
    <w:rsid w:val="00B1453A"/>
    <w:rsid w:val="00B20F82"/>
    <w:rsid w:val="00B226F7"/>
    <w:rsid w:val="00B25BD5"/>
    <w:rsid w:val="00B31CF1"/>
    <w:rsid w:val="00B34079"/>
    <w:rsid w:val="00B374DE"/>
    <w:rsid w:val="00B3793A"/>
    <w:rsid w:val="00B401BA"/>
    <w:rsid w:val="00B403F3"/>
    <w:rsid w:val="00B407E4"/>
    <w:rsid w:val="00B40D07"/>
    <w:rsid w:val="00B41597"/>
    <w:rsid w:val="00B425B6"/>
    <w:rsid w:val="00B42A72"/>
    <w:rsid w:val="00B441AE"/>
    <w:rsid w:val="00B45A65"/>
    <w:rsid w:val="00B45F33"/>
    <w:rsid w:val="00B4623C"/>
    <w:rsid w:val="00B46D50"/>
    <w:rsid w:val="00B50169"/>
    <w:rsid w:val="00B53170"/>
    <w:rsid w:val="00B548B9"/>
    <w:rsid w:val="00B5548B"/>
    <w:rsid w:val="00B56DBE"/>
    <w:rsid w:val="00B60E76"/>
    <w:rsid w:val="00B62999"/>
    <w:rsid w:val="00B638AC"/>
    <w:rsid w:val="00B63BE3"/>
    <w:rsid w:val="00B64885"/>
    <w:rsid w:val="00B64B0D"/>
    <w:rsid w:val="00B64FA3"/>
    <w:rsid w:val="00B6535E"/>
    <w:rsid w:val="00B65DBB"/>
    <w:rsid w:val="00B66810"/>
    <w:rsid w:val="00B70D3E"/>
    <w:rsid w:val="00B72BE3"/>
    <w:rsid w:val="00B72C8E"/>
    <w:rsid w:val="00B73B80"/>
    <w:rsid w:val="00B770C7"/>
    <w:rsid w:val="00B80F26"/>
    <w:rsid w:val="00B822BD"/>
    <w:rsid w:val="00B831D6"/>
    <w:rsid w:val="00B83A6D"/>
    <w:rsid w:val="00B83F2C"/>
    <w:rsid w:val="00B842F4"/>
    <w:rsid w:val="00B91A7B"/>
    <w:rsid w:val="00B92465"/>
    <w:rsid w:val="00B9267A"/>
    <w:rsid w:val="00B929DD"/>
    <w:rsid w:val="00B93AF6"/>
    <w:rsid w:val="00B94718"/>
    <w:rsid w:val="00B95405"/>
    <w:rsid w:val="00B9630A"/>
    <w:rsid w:val="00B963F1"/>
    <w:rsid w:val="00BA020A"/>
    <w:rsid w:val="00BA0633"/>
    <w:rsid w:val="00BA4978"/>
    <w:rsid w:val="00BB025A"/>
    <w:rsid w:val="00BB02A4"/>
    <w:rsid w:val="00BB1270"/>
    <w:rsid w:val="00BB1E44"/>
    <w:rsid w:val="00BB1F4D"/>
    <w:rsid w:val="00BB2A9C"/>
    <w:rsid w:val="00BB4147"/>
    <w:rsid w:val="00BB44EF"/>
    <w:rsid w:val="00BB5267"/>
    <w:rsid w:val="00BB52B8"/>
    <w:rsid w:val="00BB59D8"/>
    <w:rsid w:val="00BB7E69"/>
    <w:rsid w:val="00BC0E51"/>
    <w:rsid w:val="00BC1F93"/>
    <w:rsid w:val="00BC3C1F"/>
    <w:rsid w:val="00BC5EAE"/>
    <w:rsid w:val="00BC63A3"/>
    <w:rsid w:val="00BC7CE7"/>
    <w:rsid w:val="00BD0C81"/>
    <w:rsid w:val="00BD295E"/>
    <w:rsid w:val="00BD41F0"/>
    <w:rsid w:val="00BD4664"/>
    <w:rsid w:val="00BD6C2A"/>
    <w:rsid w:val="00BE1193"/>
    <w:rsid w:val="00BE4C1F"/>
    <w:rsid w:val="00BE52D5"/>
    <w:rsid w:val="00BF2D18"/>
    <w:rsid w:val="00BF2D86"/>
    <w:rsid w:val="00BF4849"/>
    <w:rsid w:val="00BF4EA7"/>
    <w:rsid w:val="00BF54EC"/>
    <w:rsid w:val="00BF6525"/>
    <w:rsid w:val="00BF6AD9"/>
    <w:rsid w:val="00BF71D4"/>
    <w:rsid w:val="00C005AD"/>
    <w:rsid w:val="00C0066E"/>
    <w:rsid w:val="00C00EDB"/>
    <w:rsid w:val="00C011D7"/>
    <w:rsid w:val="00C01E7A"/>
    <w:rsid w:val="00C02863"/>
    <w:rsid w:val="00C0383A"/>
    <w:rsid w:val="00C0383F"/>
    <w:rsid w:val="00C067FF"/>
    <w:rsid w:val="00C10573"/>
    <w:rsid w:val="00C11050"/>
    <w:rsid w:val="00C12156"/>
    <w:rsid w:val="00C12862"/>
    <w:rsid w:val="00C13792"/>
    <w:rsid w:val="00C13D28"/>
    <w:rsid w:val="00C14585"/>
    <w:rsid w:val="00C165A0"/>
    <w:rsid w:val="00C177B1"/>
    <w:rsid w:val="00C216CE"/>
    <w:rsid w:val="00C2184F"/>
    <w:rsid w:val="00C22233"/>
    <w:rsid w:val="00C22A78"/>
    <w:rsid w:val="00C23C7E"/>
    <w:rsid w:val="00C246C5"/>
    <w:rsid w:val="00C25A82"/>
    <w:rsid w:val="00C26C6D"/>
    <w:rsid w:val="00C30A2A"/>
    <w:rsid w:val="00C33993"/>
    <w:rsid w:val="00C350A5"/>
    <w:rsid w:val="00C4069E"/>
    <w:rsid w:val="00C40EC8"/>
    <w:rsid w:val="00C414E8"/>
    <w:rsid w:val="00C41ADC"/>
    <w:rsid w:val="00C44149"/>
    <w:rsid w:val="00C44410"/>
    <w:rsid w:val="00C44A15"/>
    <w:rsid w:val="00C4630A"/>
    <w:rsid w:val="00C4664D"/>
    <w:rsid w:val="00C51532"/>
    <w:rsid w:val="00C51BD1"/>
    <w:rsid w:val="00C523F0"/>
    <w:rsid w:val="00C526D2"/>
    <w:rsid w:val="00C53A91"/>
    <w:rsid w:val="00C53C87"/>
    <w:rsid w:val="00C5794E"/>
    <w:rsid w:val="00C60968"/>
    <w:rsid w:val="00C63D39"/>
    <w:rsid w:val="00C63EDD"/>
    <w:rsid w:val="00C6555F"/>
    <w:rsid w:val="00C65B36"/>
    <w:rsid w:val="00C72243"/>
    <w:rsid w:val="00C7292E"/>
    <w:rsid w:val="00C74E88"/>
    <w:rsid w:val="00C76AC1"/>
    <w:rsid w:val="00C80924"/>
    <w:rsid w:val="00C811A7"/>
    <w:rsid w:val="00C81F7C"/>
    <w:rsid w:val="00C8286B"/>
    <w:rsid w:val="00C82DCA"/>
    <w:rsid w:val="00C83091"/>
    <w:rsid w:val="00C8512E"/>
    <w:rsid w:val="00C926F1"/>
    <w:rsid w:val="00C936BB"/>
    <w:rsid w:val="00C93817"/>
    <w:rsid w:val="00C947F8"/>
    <w:rsid w:val="00C9515F"/>
    <w:rsid w:val="00C963C5"/>
    <w:rsid w:val="00CA0198"/>
    <w:rsid w:val="00CA030C"/>
    <w:rsid w:val="00CA0FCA"/>
    <w:rsid w:val="00CA1F41"/>
    <w:rsid w:val="00CA295C"/>
    <w:rsid w:val="00CA32EE"/>
    <w:rsid w:val="00CA5771"/>
    <w:rsid w:val="00CA6A1A"/>
    <w:rsid w:val="00CA79CD"/>
    <w:rsid w:val="00CB2A7B"/>
    <w:rsid w:val="00CB317F"/>
    <w:rsid w:val="00CB6DAA"/>
    <w:rsid w:val="00CC1E75"/>
    <w:rsid w:val="00CC2E0E"/>
    <w:rsid w:val="00CC361C"/>
    <w:rsid w:val="00CC474B"/>
    <w:rsid w:val="00CC6257"/>
    <w:rsid w:val="00CC658C"/>
    <w:rsid w:val="00CC67BF"/>
    <w:rsid w:val="00CD0537"/>
    <w:rsid w:val="00CD0843"/>
    <w:rsid w:val="00CD1557"/>
    <w:rsid w:val="00CD4E31"/>
    <w:rsid w:val="00CD55E7"/>
    <w:rsid w:val="00CD5A78"/>
    <w:rsid w:val="00CD7345"/>
    <w:rsid w:val="00CE029C"/>
    <w:rsid w:val="00CE372E"/>
    <w:rsid w:val="00CF0122"/>
    <w:rsid w:val="00CF0A1B"/>
    <w:rsid w:val="00CF19F6"/>
    <w:rsid w:val="00CF20C9"/>
    <w:rsid w:val="00CF2F4F"/>
    <w:rsid w:val="00CF4C2E"/>
    <w:rsid w:val="00CF536D"/>
    <w:rsid w:val="00CF5A0B"/>
    <w:rsid w:val="00CF6DE3"/>
    <w:rsid w:val="00D01B1F"/>
    <w:rsid w:val="00D02E9D"/>
    <w:rsid w:val="00D030D5"/>
    <w:rsid w:val="00D10CB8"/>
    <w:rsid w:val="00D119AB"/>
    <w:rsid w:val="00D11B06"/>
    <w:rsid w:val="00D12210"/>
    <w:rsid w:val="00D12806"/>
    <w:rsid w:val="00D12A83"/>
    <w:rsid w:val="00D12D44"/>
    <w:rsid w:val="00D15018"/>
    <w:rsid w:val="00D15578"/>
    <w:rsid w:val="00D158AC"/>
    <w:rsid w:val="00D1694C"/>
    <w:rsid w:val="00D20F5E"/>
    <w:rsid w:val="00D223F1"/>
    <w:rsid w:val="00D23B76"/>
    <w:rsid w:val="00D24B4A"/>
    <w:rsid w:val="00D24E66"/>
    <w:rsid w:val="00D31DA9"/>
    <w:rsid w:val="00D3283D"/>
    <w:rsid w:val="00D377F5"/>
    <w:rsid w:val="00D379A3"/>
    <w:rsid w:val="00D37B9A"/>
    <w:rsid w:val="00D4002C"/>
    <w:rsid w:val="00D45FF3"/>
    <w:rsid w:val="00D477C8"/>
    <w:rsid w:val="00D512CF"/>
    <w:rsid w:val="00D528B9"/>
    <w:rsid w:val="00D53186"/>
    <w:rsid w:val="00D5487D"/>
    <w:rsid w:val="00D559E2"/>
    <w:rsid w:val="00D55B59"/>
    <w:rsid w:val="00D55EDD"/>
    <w:rsid w:val="00D56C41"/>
    <w:rsid w:val="00D60140"/>
    <w:rsid w:val="00D6024A"/>
    <w:rsid w:val="00D608B5"/>
    <w:rsid w:val="00D62AEB"/>
    <w:rsid w:val="00D64739"/>
    <w:rsid w:val="00D67047"/>
    <w:rsid w:val="00D67F83"/>
    <w:rsid w:val="00D71F99"/>
    <w:rsid w:val="00D72B86"/>
    <w:rsid w:val="00D72EBC"/>
    <w:rsid w:val="00D73CA4"/>
    <w:rsid w:val="00D73D71"/>
    <w:rsid w:val="00D74396"/>
    <w:rsid w:val="00D758FF"/>
    <w:rsid w:val="00D77178"/>
    <w:rsid w:val="00D776F1"/>
    <w:rsid w:val="00D77C63"/>
    <w:rsid w:val="00D80284"/>
    <w:rsid w:val="00D819D2"/>
    <w:rsid w:val="00D81F71"/>
    <w:rsid w:val="00D8642D"/>
    <w:rsid w:val="00D90A5E"/>
    <w:rsid w:val="00D91A68"/>
    <w:rsid w:val="00D91B9D"/>
    <w:rsid w:val="00D95342"/>
    <w:rsid w:val="00D95A68"/>
    <w:rsid w:val="00DA033D"/>
    <w:rsid w:val="00DA135A"/>
    <w:rsid w:val="00DA17C7"/>
    <w:rsid w:val="00DA1F3B"/>
    <w:rsid w:val="00DA25E5"/>
    <w:rsid w:val="00DA6A9A"/>
    <w:rsid w:val="00DB1EFD"/>
    <w:rsid w:val="00DB2352"/>
    <w:rsid w:val="00DB31E6"/>
    <w:rsid w:val="00DB3EAF"/>
    <w:rsid w:val="00DB459C"/>
    <w:rsid w:val="00DB46C6"/>
    <w:rsid w:val="00DC3203"/>
    <w:rsid w:val="00DC3C99"/>
    <w:rsid w:val="00DC4B73"/>
    <w:rsid w:val="00DC52F5"/>
    <w:rsid w:val="00DC5B62"/>
    <w:rsid w:val="00DC5FD0"/>
    <w:rsid w:val="00DD0354"/>
    <w:rsid w:val="00DD0563"/>
    <w:rsid w:val="00DD07EC"/>
    <w:rsid w:val="00DD11F5"/>
    <w:rsid w:val="00DD27D7"/>
    <w:rsid w:val="00DD2FC8"/>
    <w:rsid w:val="00DD458C"/>
    <w:rsid w:val="00DD5E3B"/>
    <w:rsid w:val="00DD72E9"/>
    <w:rsid w:val="00DD7605"/>
    <w:rsid w:val="00DD7FF8"/>
    <w:rsid w:val="00DE2020"/>
    <w:rsid w:val="00DE3476"/>
    <w:rsid w:val="00DE7BEA"/>
    <w:rsid w:val="00DF31A5"/>
    <w:rsid w:val="00DF3DA6"/>
    <w:rsid w:val="00DF5B84"/>
    <w:rsid w:val="00DF6143"/>
    <w:rsid w:val="00DF6D5B"/>
    <w:rsid w:val="00DF771B"/>
    <w:rsid w:val="00DF7EE2"/>
    <w:rsid w:val="00E01BAA"/>
    <w:rsid w:val="00E0282A"/>
    <w:rsid w:val="00E02F9B"/>
    <w:rsid w:val="00E07E14"/>
    <w:rsid w:val="00E113C6"/>
    <w:rsid w:val="00E14F94"/>
    <w:rsid w:val="00E16F14"/>
    <w:rsid w:val="00E17336"/>
    <w:rsid w:val="00E17D15"/>
    <w:rsid w:val="00E220E4"/>
    <w:rsid w:val="00E22B95"/>
    <w:rsid w:val="00E26783"/>
    <w:rsid w:val="00E30331"/>
    <w:rsid w:val="00E30BB8"/>
    <w:rsid w:val="00E31F9C"/>
    <w:rsid w:val="00E322A5"/>
    <w:rsid w:val="00E3403E"/>
    <w:rsid w:val="00E3693E"/>
    <w:rsid w:val="00E40488"/>
    <w:rsid w:val="00E43CF9"/>
    <w:rsid w:val="00E50367"/>
    <w:rsid w:val="00E51ABA"/>
    <w:rsid w:val="00E524CB"/>
    <w:rsid w:val="00E5386D"/>
    <w:rsid w:val="00E57360"/>
    <w:rsid w:val="00E60885"/>
    <w:rsid w:val="00E65456"/>
    <w:rsid w:val="00E65A91"/>
    <w:rsid w:val="00E66188"/>
    <w:rsid w:val="00E664FB"/>
    <w:rsid w:val="00E672F0"/>
    <w:rsid w:val="00E70373"/>
    <w:rsid w:val="00E714CA"/>
    <w:rsid w:val="00E72E40"/>
    <w:rsid w:val="00E73665"/>
    <w:rsid w:val="00E73999"/>
    <w:rsid w:val="00E73BDC"/>
    <w:rsid w:val="00E73E9E"/>
    <w:rsid w:val="00E756BD"/>
    <w:rsid w:val="00E75C8B"/>
    <w:rsid w:val="00E81660"/>
    <w:rsid w:val="00E8282A"/>
    <w:rsid w:val="00E84336"/>
    <w:rsid w:val="00E84A54"/>
    <w:rsid w:val="00E854FE"/>
    <w:rsid w:val="00E86592"/>
    <w:rsid w:val="00E87F69"/>
    <w:rsid w:val="00E906CC"/>
    <w:rsid w:val="00E91FB3"/>
    <w:rsid w:val="00E939A0"/>
    <w:rsid w:val="00E94D0C"/>
    <w:rsid w:val="00E965EB"/>
    <w:rsid w:val="00E97E4E"/>
    <w:rsid w:val="00EA1CC2"/>
    <w:rsid w:val="00EA2A2F"/>
    <w:rsid w:val="00EA2D76"/>
    <w:rsid w:val="00EA4644"/>
    <w:rsid w:val="00EA4E35"/>
    <w:rsid w:val="00EA758A"/>
    <w:rsid w:val="00EB096F"/>
    <w:rsid w:val="00EB199F"/>
    <w:rsid w:val="00EB21A4"/>
    <w:rsid w:val="00EB27C4"/>
    <w:rsid w:val="00EB43F7"/>
    <w:rsid w:val="00EB4DAE"/>
    <w:rsid w:val="00EB5387"/>
    <w:rsid w:val="00EB5C10"/>
    <w:rsid w:val="00EB7322"/>
    <w:rsid w:val="00EB740A"/>
    <w:rsid w:val="00EC0FE9"/>
    <w:rsid w:val="00EC166A"/>
    <w:rsid w:val="00EC198B"/>
    <w:rsid w:val="00EC426D"/>
    <w:rsid w:val="00EC571B"/>
    <w:rsid w:val="00EC57D7"/>
    <w:rsid w:val="00EC6385"/>
    <w:rsid w:val="00EC75A5"/>
    <w:rsid w:val="00EC77E8"/>
    <w:rsid w:val="00EC7B68"/>
    <w:rsid w:val="00ED1704"/>
    <w:rsid w:val="00ED1DE9"/>
    <w:rsid w:val="00ED2385"/>
    <w:rsid w:val="00ED23D4"/>
    <w:rsid w:val="00ED2A45"/>
    <w:rsid w:val="00ED2D13"/>
    <w:rsid w:val="00ED4416"/>
    <w:rsid w:val="00ED5404"/>
    <w:rsid w:val="00ED5E0B"/>
    <w:rsid w:val="00EE0B80"/>
    <w:rsid w:val="00EE18F8"/>
    <w:rsid w:val="00EE2955"/>
    <w:rsid w:val="00EE37B6"/>
    <w:rsid w:val="00EE3914"/>
    <w:rsid w:val="00EE3B38"/>
    <w:rsid w:val="00EE6F4A"/>
    <w:rsid w:val="00EE77DF"/>
    <w:rsid w:val="00EF0F45"/>
    <w:rsid w:val="00EF2C5E"/>
    <w:rsid w:val="00EF4528"/>
    <w:rsid w:val="00EF45F3"/>
    <w:rsid w:val="00EF4B1A"/>
    <w:rsid w:val="00EF652B"/>
    <w:rsid w:val="00EF7463"/>
    <w:rsid w:val="00EF7971"/>
    <w:rsid w:val="00F002EF"/>
    <w:rsid w:val="00F01924"/>
    <w:rsid w:val="00F01EE9"/>
    <w:rsid w:val="00F03D1F"/>
    <w:rsid w:val="00F04900"/>
    <w:rsid w:val="00F063F0"/>
    <w:rsid w:val="00F065A4"/>
    <w:rsid w:val="00F06D54"/>
    <w:rsid w:val="00F125B6"/>
    <w:rsid w:val="00F126B9"/>
    <w:rsid w:val="00F12715"/>
    <w:rsid w:val="00F1277A"/>
    <w:rsid w:val="00F13A2E"/>
    <w:rsid w:val="00F144D5"/>
    <w:rsid w:val="00F146F0"/>
    <w:rsid w:val="00F14EB7"/>
    <w:rsid w:val="00F15039"/>
    <w:rsid w:val="00F20B06"/>
    <w:rsid w:val="00F20FF3"/>
    <w:rsid w:val="00F2190B"/>
    <w:rsid w:val="00F228B5"/>
    <w:rsid w:val="00F2389C"/>
    <w:rsid w:val="00F23A86"/>
    <w:rsid w:val="00F25C67"/>
    <w:rsid w:val="00F2602E"/>
    <w:rsid w:val="00F2649D"/>
    <w:rsid w:val="00F27BE9"/>
    <w:rsid w:val="00F30DFF"/>
    <w:rsid w:val="00F32B80"/>
    <w:rsid w:val="00F32D6C"/>
    <w:rsid w:val="00F340EB"/>
    <w:rsid w:val="00F35285"/>
    <w:rsid w:val="00F3673A"/>
    <w:rsid w:val="00F43B9D"/>
    <w:rsid w:val="00F44D5E"/>
    <w:rsid w:val="00F53A35"/>
    <w:rsid w:val="00F54A82"/>
    <w:rsid w:val="00F55A3D"/>
    <w:rsid w:val="00F5744B"/>
    <w:rsid w:val="00F61209"/>
    <w:rsid w:val="00F6257F"/>
    <w:rsid w:val="00F6259E"/>
    <w:rsid w:val="00F6456A"/>
    <w:rsid w:val="00F65DD4"/>
    <w:rsid w:val="00F65FD0"/>
    <w:rsid w:val="00F672B2"/>
    <w:rsid w:val="00F70BD8"/>
    <w:rsid w:val="00F72460"/>
    <w:rsid w:val="00F7764A"/>
    <w:rsid w:val="00F80C17"/>
    <w:rsid w:val="00F811BE"/>
    <w:rsid w:val="00F81305"/>
    <w:rsid w:val="00F83973"/>
    <w:rsid w:val="00F840E9"/>
    <w:rsid w:val="00F87FA3"/>
    <w:rsid w:val="00F93D8C"/>
    <w:rsid w:val="00FA3102"/>
    <w:rsid w:val="00FA48D4"/>
    <w:rsid w:val="00FA54FA"/>
    <w:rsid w:val="00FA6D39"/>
    <w:rsid w:val="00FB227E"/>
    <w:rsid w:val="00FB3D61"/>
    <w:rsid w:val="00FB44CE"/>
    <w:rsid w:val="00FB5009"/>
    <w:rsid w:val="00FB633B"/>
    <w:rsid w:val="00FB76AB"/>
    <w:rsid w:val="00FC2569"/>
    <w:rsid w:val="00FC4C2C"/>
    <w:rsid w:val="00FC59D3"/>
    <w:rsid w:val="00FD03FE"/>
    <w:rsid w:val="00FD126E"/>
    <w:rsid w:val="00FD1711"/>
    <w:rsid w:val="00FD3C36"/>
    <w:rsid w:val="00FD4D81"/>
    <w:rsid w:val="00FD7498"/>
    <w:rsid w:val="00FD7FB3"/>
    <w:rsid w:val="00FE4713"/>
    <w:rsid w:val="00FF0246"/>
    <w:rsid w:val="00FF09F7"/>
    <w:rsid w:val="00FF1874"/>
    <w:rsid w:val="00FF1F44"/>
    <w:rsid w:val="00FF225E"/>
    <w:rsid w:val="00FF286E"/>
    <w:rsid w:val="00FF34F8"/>
    <w:rsid w:val="00FF672C"/>
    <w:rsid w:val="00FF6CE8"/>
    <w:rsid w:val="00FF7805"/>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D90E0BC"/>
  <w14:defaultImageDpi w14:val="330"/>
  <w15:docId w15:val="{DD38E449-5F3D-4250-B8B7-5073BDC971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heading 1" w:qFormat="1"/>
    <w:lsdException w:name="heading 2" w:qFormat="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72450"/>
    <w:pPr>
      <w:spacing w:line="480" w:lineRule="auto"/>
    </w:pPr>
    <w:rPr>
      <w:sz w:val="24"/>
      <w:szCs w:val="24"/>
    </w:rPr>
  </w:style>
  <w:style w:type="paragraph" w:styleId="Heading1">
    <w:name w:val="heading 1"/>
    <w:basedOn w:val="Normal"/>
    <w:next w:val="Paragraph"/>
    <w:link w:val="Heading1Char"/>
    <w:qFormat/>
    <w:rsid w:val="00AE1ED4"/>
    <w:pPr>
      <w:keepNext/>
      <w:spacing w:before="360" w:after="60" w:line="360" w:lineRule="auto"/>
      <w:ind w:right="567"/>
      <w:contextualSpacing/>
      <w:outlineLvl w:val="0"/>
    </w:pPr>
    <w:rPr>
      <w:rFonts w:cs="Arial"/>
      <w:b/>
      <w:bCs/>
      <w:kern w:val="32"/>
      <w:szCs w:val="32"/>
    </w:rPr>
  </w:style>
  <w:style w:type="paragraph" w:styleId="Heading2">
    <w:name w:val="heading 2"/>
    <w:basedOn w:val="Normal"/>
    <w:next w:val="Paragraph"/>
    <w:link w:val="Heading2Char"/>
    <w:qFormat/>
    <w:rsid w:val="008D07FB"/>
    <w:pPr>
      <w:keepNext/>
      <w:spacing w:before="360" w:after="60" w:line="360" w:lineRule="auto"/>
      <w:ind w:right="567"/>
      <w:contextualSpacing/>
      <w:outlineLvl w:val="1"/>
    </w:pPr>
    <w:rPr>
      <w:rFonts w:cs="Arial"/>
      <w:b/>
      <w:bCs/>
      <w:i/>
      <w:iCs/>
      <w:szCs w:val="28"/>
    </w:rPr>
  </w:style>
  <w:style w:type="paragraph" w:styleId="Heading3">
    <w:name w:val="heading 3"/>
    <w:basedOn w:val="Normal"/>
    <w:next w:val="Paragraph"/>
    <w:link w:val="Heading3Char"/>
    <w:qFormat/>
    <w:rsid w:val="00DF7EE2"/>
    <w:pPr>
      <w:keepNext/>
      <w:spacing w:before="360" w:after="60" w:line="360" w:lineRule="auto"/>
      <w:ind w:right="567"/>
      <w:contextualSpacing/>
      <w:outlineLvl w:val="2"/>
    </w:pPr>
    <w:rPr>
      <w:rFonts w:cs="Arial"/>
      <w:bCs/>
      <w:i/>
      <w:szCs w:val="26"/>
    </w:rPr>
  </w:style>
  <w:style w:type="paragraph" w:styleId="Heading4">
    <w:name w:val="heading 4"/>
    <w:basedOn w:val="Paragraph"/>
    <w:next w:val="Newparagraph"/>
    <w:link w:val="Heading4Char"/>
    <w:rsid w:val="00F43B9D"/>
    <w:pPr>
      <w:spacing w:before="360"/>
      <w:outlineLvl w:val="3"/>
    </w:pPr>
    <w:rPr>
      <w:bCs/>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ticletitle">
    <w:name w:val="Article title"/>
    <w:basedOn w:val="Normal"/>
    <w:next w:val="Normal"/>
    <w:qFormat/>
    <w:rsid w:val="0024692A"/>
    <w:pPr>
      <w:spacing w:after="120" w:line="360" w:lineRule="auto"/>
    </w:pPr>
    <w:rPr>
      <w:b/>
      <w:sz w:val="28"/>
    </w:rPr>
  </w:style>
  <w:style w:type="paragraph" w:customStyle="1" w:styleId="Authornames">
    <w:name w:val="Author names"/>
    <w:basedOn w:val="Normal"/>
    <w:next w:val="Normal"/>
    <w:qFormat/>
    <w:rsid w:val="00F04900"/>
    <w:pPr>
      <w:spacing w:before="240" w:line="360" w:lineRule="auto"/>
    </w:pPr>
    <w:rPr>
      <w:sz w:val="28"/>
    </w:rPr>
  </w:style>
  <w:style w:type="paragraph" w:customStyle="1" w:styleId="Affiliation">
    <w:name w:val="Affiliation"/>
    <w:basedOn w:val="Normal"/>
    <w:qFormat/>
    <w:rsid w:val="00F04900"/>
    <w:pPr>
      <w:spacing w:before="240" w:line="360" w:lineRule="auto"/>
    </w:pPr>
    <w:rPr>
      <w:i/>
    </w:rPr>
  </w:style>
  <w:style w:type="paragraph" w:customStyle="1" w:styleId="Receiveddates">
    <w:name w:val="Received dates"/>
    <w:basedOn w:val="Affiliation"/>
    <w:next w:val="Normal"/>
    <w:qFormat/>
    <w:rsid w:val="00CC474B"/>
  </w:style>
  <w:style w:type="paragraph" w:customStyle="1" w:styleId="Abstract">
    <w:name w:val="Abstract"/>
    <w:basedOn w:val="Normal"/>
    <w:next w:val="Keywords"/>
    <w:qFormat/>
    <w:rsid w:val="00310E13"/>
    <w:pPr>
      <w:spacing w:before="360" w:after="300" w:line="360" w:lineRule="auto"/>
      <w:ind w:left="720" w:right="567"/>
    </w:pPr>
    <w:rPr>
      <w:sz w:val="22"/>
    </w:rPr>
  </w:style>
  <w:style w:type="paragraph" w:customStyle="1" w:styleId="Keywords">
    <w:name w:val="Keywords"/>
    <w:basedOn w:val="Normal"/>
    <w:next w:val="Paragraph"/>
    <w:qFormat/>
    <w:rsid w:val="00BB1270"/>
    <w:pPr>
      <w:spacing w:before="240" w:after="240" w:line="360" w:lineRule="auto"/>
      <w:ind w:left="720" w:right="567"/>
    </w:pPr>
    <w:rPr>
      <w:sz w:val="22"/>
    </w:rPr>
  </w:style>
  <w:style w:type="paragraph" w:customStyle="1" w:styleId="Correspondencedetails">
    <w:name w:val="Correspondence details"/>
    <w:basedOn w:val="Normal"/>
    <w:qFormat/>
    <w:rsid w:val="00F04900"/>
    <w:pPr>
      <w:spacing w:before="240" w:line="360" w:lineRule="auto"/>
    </w:pPr>
  </w:style>
  <w:style w:type="paragraph" w:customStyle="1" w:styleId="Displayedquotation">
    <w:name w:val="Displayed quotation"/>
    <w:basedOn w:val="Normal"/>
    <w:qFormat/>
    <w:rsid w:val="00731835"/>
    <w:pPr>
      <w:tabs>
        <w:tab w:val="left" w:pos="1077"/>
        <w:tab w:val="left" w:pos="1440"/>
        <w:tab w:val="left" w:pos="1797"/>
        <w:tab w:val="left" w:pos="2155"/>
        <w:tab w:val="left" w:pos="2512"/>
      </w:tabs>
      <w:spacing w:before="240" w:after="360" w:line="360" w:lineRule="auto"/>
      <w:ind w:left="709" w:right="425"/>
      <w:contextualSpacing/>
    </w:pPr>
    <w:rPr>
      <w:sz w:val="22"/>
    </w:rPr>
  </w:style>
  <w:style w:type="paragraph" w:customStyle="1" w:styleId="Numberedlist">
    <w:name w:val="Numbered list"/>
    <w:basedOn w:val="Paragraph"/>
    <w:next w:val="Paragraph"/>
    <w:qFormat/>
    <w:rsid w:val="00D80284"/>
    <w:pPr>
      <w:widowControl/>
      <w:numPr>
        <w:numId w:val="24"/>
      </w:numPr>
      <w:spacing w:after="240"/>
      <w:contextualSpacing/>
    </w:pPr>
  </w:style>
  <w:style w:type="paragraph" w:customStyle="1" w:styleId="Displayedequation">
    <w:name w:val="Displayed equation"/>
    <w:basedOn w:val="Normal"/>
    <w:next w:val="Paragraph"/>
    <w:qFormat/>
    <w:rsid w:val="00EF0F45"/>
    <w:pPr>
      <w:tabs>
        <w:tab w:val="center" w:pos="4253"/>
        <w:tab w:val="right" w:pos="8222"/>
      </w:tabs>
      <w:spacing w:before="240" w:after="240"/>
      <w:jc w:val="center"/>
    </w:pPr>
  </w:style>
  <w:style w:type="paragraph" w:customStyle="1" w:styleId="Acknowledgements">
    <w:name w:val="Acknowledgements"/>
    <w:basedOn w:val="Normal"/>
    <w:next w:val="Normal"/>
    <w:qFormat/>
    <w:rsid w:val="00D379A3"/>
    <w:pPr>
      <w:spacing w:before="120" w:line="360" w:lineRule="auto"/>
    </w:pPr>
    <w:rPr>
      <w:sz w:val="22"/>
    </w:rPr>
  </w:style>
  <w:style w:type="paragraph" w:customStyle="1" w:styleId="Tabletitle">
    <w:name w:val="Table title"/>
    <w:basedOn w:val="Normal"/>
    <w:next w:val="Normal"/>
    <w:qFormat/>
    <w:rsid w:val="0031686C"/>
    <w:pPr>
      <w:spacing w:before="240" w:line="360" w:lineRule="auto"/>
    </w:pPr>
  </w:style>
  <w:style w:type="paragraph" w:customStyle="1" w:styleId="Figurecaption">
    <w:name w:val="Figure caption"/>
    <w:basedOn w:val="Normal"/>
    <w:next w:val="Normal"/>
    <w:qFormat/>
    <w:rsid w:val="0031686C"/>
    <w:pPr>
      <w:spacing w:before="240" w:line="360" w:lineRule="auto"/>
    </w:pPr>
  </w:style>
  <w:style w:type="paragraph" w:customStyle="1" w:styleId="Footnotes">
    <w:name w:val="Footnotes"/>
    <w:basedOn w:val="Normal"/>
    <w:qFormat/>
    <w:rsid w:val="006C6936"/>
    <w:pPr>
      <w:spacing w:before="120" w:line="360" w:lineRule="auto"/>
      <w:ind w:left="482" w:hanging="482"/>
      <w:contextualSpacing/>
    </w:pPr>
    <w:rPr>
      <w:sz w:val="22"/>
    </w:rPr>
  </w:style>
  <w:style w:type="paragraph" w:customStyle="1" w:styleId="Notesoncontributors">
    <w:name w:val="Notes on contributors"/>
    <w:basedOn w:val="Normal"/>
    <w:qFormat/>
    <w:rsid w:val="00F04900"/>
    <w:pPr>
      <w:spacing w:before="240" w:line="360" w:lineRule="auto"/>
    </w:pPr>
    <w:rPr>
      <w:sz w:val="22"/>
    </w:rPr>
  </w:style>
  <w:style w:type="paragraph" w:customStyle="1" w:styleId="Normalparagraphstyle">
    <w:name w:val="Normal paragraph style"/>
    <w:basedOn w:val="Normal"/>
    <w:next w:val="Normal"/>
    <w:rsid w:val="00562DEF"/>
  </w:style>
  <w:style w:type="paragraph" w:customStyle="1" w:styleId="Paragraph">
    <w:name w:val="Paragraph"/>
    <w:basedOn w:val="Normal"/>
    <w:next w:val="Newparagraph"/>
    <w:qFormat/>
    <w:rsid w:val="001B7681"/>
    <w:pPr>
      <w:widowControl w:val="0"/>
      <w:spacing w:before="240"/>
    </w:pPr>
  </w:style>
  <w:style w:type="paragraph" w:customStyle="1" w:styleId="Newparagraph">
    <w:name w:val="New paragraph"/>
    <w:basedOn w:val="Normal"/>
    <w:qFormat/>
    <w:rsid w:val="00AE2F8D"/>
    <w:pPr>
      <w:ind w:firstLine="720"/>
    </w:pPr>
  </w:style>
  <w:style w:type="paragraph" w:styleId="NormalIndent">
    <w:name w:val="Normal Indent"/>
    <w:basedOn w:val="Normal"/>
    <w:rsid w:val="00526454"/>
    <w:pPr>
      <w:ind w:left="720"/>
    </w:pPr>
  </w:style>
  <w:style w:type="paragraph" w:customStyle="1" w:styleId="References">
    <w:name w:val="References"/>
    <w:basedOn w:val="Normal"/>
    <w:qFormat/>
    <w:rsid w:val="002C53EE"/>
    <w:pPr>
      <w:spacing w:before="120" w:line="360" w:lineRule="auto"/>
      <w:ind w:left="720" w:hanging="720"/>
      <w:contextualSpacing/>
    </w:pPr>
  </w:style>
  <w:style w:type="paragraph" w:customStyle="1" w:styleId="Subjectcodes">
    <w:name w:val="Subject codes"/>
    <w:basedOn w:val="Keywords"/>
    <w:next w:val="Paragraph"/>
    <w:qFormat/>
    <w:rsid w:val="0000681B"/>
  </w:style>
  <w:style w:type="character" w:customStyle="1" w:styleId="Heading2Char">
    <w:name w:val="Heading 2 Char"/>
    <w:basedOn w:val="DefaultParagraphFont"/>
    <w:link w:val="Heading2"/>
    <w:rsid w:val="008D07FB"/>
    <w:rPr>
      <w:rFonts w:cs="Arial"/>
      <w:b/>
      <w:bCs/>
      <w:i/>
      <w:iCs/>
      <w:sz w:val="24"/>
      <w:szCs w:val="28"/>
    </w:rPr>
  </w:style>
  <w:style w:type="character" w:customStyle="1" w:styleId="Heading1Char">
    <w:name w:val="Heading 1 Char"/>
    <w:basedOn w:val="DefaultParagraphFont"/>
    <w:link w:val="Heading1"/>
    <w:rsid w:val="00AE1ED4"/>
    <w:rPr>
      <w:rFonts w:cs="Arial"/>
      <w:b/>
      <w:bCs/>
      <w:kern w:val="32"/>
      <w:sz w:val="24"/>
      <w:szCs w:val="32"/>
    </w:rPr>
  </w:style>
  <w:style w:type="character" w:customStyle="1" w:styleId="Heading3Char">
    <w:name w:val="Heading 3 Char"/>
    <w:basedOn w:val="DefaultParagraphFont"/>
    <w:link w:val="Heading3"/>
    <w:rsid w:val="00DF7EE2"/>
    <w:rPr>
      <w:rFonts w:eastAsia="Times New Roman" w:cs="Arial"/>
      <w:bCs/>
      <w:i/>
      <w:sz w:val="24"/>
      <w:szCs w:val="26"/>
      <w:lang w:eastAsia="en-GB"/>
    </w:rPr>
  </w:style>
  <w:style w:type="paragraph" w:customStyle="1" w:styleId="Bulletedlist">
    <w:name w:val="Bulleted list"/>
    <w:basedOn w:val="Paragraph"/>
    <w:next w:val="Paragraph"/>
    <w:qFormat/>
    <w:rsid w:val="004E0338"/>
    <w:pPr>
      <w:widowControl/>
      <w:numPr>
        <w:numId w:val="28"/>
      </w:numPr>
      <w:spacing w:after="240"/>
      <w:contextualSpacing/>
    </w:pPr>
  </w:style>
  <w:style w:type="paragraph" w:styleId="FootnoteText">
    <w:name w:val="footnote text"/>
    <w:basedOn w:val="Normal"/>
    <w:link w:val="FootnoteTextChar"/>
    <w:autoRedefine/>
    <w:rsid w:val="006C19B2"/>
    <w:pPr>
      <w:ind w:left="284" w:hanging="284"/>
    </w:pPr>
    <w:rPr>
      <w:sz w:val="22"/>
      <w:szCs w:val="20"/>
    </w:rPr>
  </w:style>
  <w:style w:type="character" w:customStyle="1" w:styleId="FootnoteTextChar">
    <w:name w:val="Footnote Text Char"/>
    <w:basedOn w:val="DefaultParagraphFont"/>
    <w:link w:val="FootnoteText"/>
    <w:rsid w:val="006C19B2"/>
    <w:rPr>
      <w:sz w:val="22"/>
    </w:rPr>
  </w:style>
  <w:style w:type="character" w:styleId="FootnoteReference">
    <w:name w:val="footnote reference"/>
    <w:basedOn w:val="DefaultParagraphFont"/>
    <w:rsid w:val="00AF2C92"/>
    <w:rPr>
      <w:vertAlign w:val="superscript"/>
    </w:rPr>
  </w:style>
  <w:style w:type="paragraph" w:styleId="EndnoteText">
    <w:name w:val="endnote text"/>
    <w:basedOn w:val="Normal"/>
    <w:link w:val="EndnoteTextChar"/>
    <w:autoRedefine/>
    <w:rsid w:val="006C19B2"/>
    <w:pPr>
      <w:ind w:left="284" w:hanging="284"/>
    </w:pPr>
    <w:rPr>
      <w:sz w:val="22"/>
      <w:szCs w:val="20"/>
    </w:rPr>
  </w:style>
  <w:style w:type="character" w:customStyle="1" w:styleId="EndnoteTextChar">
    <w:name w:val="Endnote Text Char"/>
    <w:basedOn w:val="DefaultParagraphFont"/>
    <w:link w:val="EndnoteText"/>
    <w:rsid w:val="006C19B2"/>
    <w:rPr>
      <w:sz w:val="22"/>
    </w:rPr>
  </w:style>
  <w:style w:type="character" w:styleId="EndnoteReference">
    <w:name w:val="endnote reference"/>
    <w:basedOn w:val="DefaultParagraphFont"/>
    <w:rsid w:val="00EC571B"/>
    <w:rPr>
      <w:vertAlign w:val="superscript"/>
    </w:rPr>
  </w:style>
  <w:style w:type="character" w:customStyle="1" w:styleId="Heading4Char">
    <w:name w:val="Heading 4 Char"/>
    <w:basedOn w:val="DefaultParagraphFont"/>
    <w:link w:val="Heading4"/>
    <w:rsid w:val="00F43B9D"/>
    <w:rPr>
      <w:bCs/>
      <w:sz w:val="24"/>
      <w:szCs w:val="28"/>
    </w:rPr>
  </w:style>
  <w:style w:type="paragraph" w:styleId="Header">
    <w:name w:val="header"/>
    <w:basedOn w:val="Normal"/>
    <w:link w:val="HeaderChar"/>
    <w:rsid w:val="003F193A"/>
    <w:pPr>
      <w:tabs>
        <w:tab w:val="center" w:pos="4320"/>
        <w:tab w:val="right" w:pos="8640"/>
      </w:tabs>
      <w:spacing w:after="120" w:line="240" w:lineRule="auto"/>
      <w:contextualSpacing/>
    </w:pPr>
  </w:style>
  <w:style w:type="character" w:customStyle="1" w:styleId="HeaderChar">
    <w:name w:val="Header Char"/>
    <w:basedOn w:val="DefaultParagraphFont"/>
    <w:link w:val="Header"/>
    <w:rsid w:val="003F193A"/>
    <w:rPr>
      <w:rFonts w:eastAsia="Times New Roman"/>
      <w:sz w:val="24"/>
      <w:szCs w:val="24"/>
      <w:lang w:eastAsia="en-GB"/>
    </w:rPr>
  </w:style>
  <w:style w:type="paragraph" w:styleId="Footer">
    <w:name w:val="footer"/>
    <w:basedOn w:val="Normal"/>
    <w:link w:val="FooterChar"/>
    <w:rsid w:val="00AE6A21"/>
    <w:pPr>
      <w:tabs>
        <w:tab w:val="center" w:pos="4320"/>
        <w:tab w:val="right" w:pos="8640"/>
      </w:tabs>
      <w:spacing w:before="240" w:line="240" w:lineRule="auto"/>
      <w:contextualSpacing/>
    </w:pPr>
  </w:style>
  <w:style w:type="character" w:customStyle="1" w:styleId="FooterChar">
    <w:name w:val="Footer Char"/>
    <w:basedOn w:val="DefaultParagraphFont"/>
    <w:link w:val="Footer"/>
    <w:rsid w:val="00AE6A21"/>
    <w:rPr>
      <w:sz w:val="24"/>
      <w:szCs w:val="24"/>
    </w:rPr>
  </w:style>
  <w:style w:type="paragraph" w:customStyle="1" w:styleId="Heading4Paragraph">
    <w:name w:val="Heading 4 + Paragraph"/>
    <w:basedOn w:val="Paragraph"/>
    <w:next w:val="Newparagraph"/>
    <w:qFormat/>
    <w:rsid w:val="00AE1ED4"/>
    <w:pPr>
      <w:widowControl/>
      <w:spacing w:before="360"/>
    </w:pPr>
  </w:style>
  <w:style w:type="character" w:styleId="Hyperlink">
    <w:name w:val="Hyperlink"/>
    <w:basedOn w:val="DefaultParagraphFont"/>
    <w:unhideWhenUsed/>
    <w:rsid w:val="00A54DFF"/>
    <w:rPr>
      <w:color w:val="0000FF" w:themeColor="hyperlink"/>
      <w:u w:val="single"/>
    </w:rPr>
  </w:style>
  <w:style w:type="character" w:styleId="UnresolvedMention">
    <w:name w:val="Unresolved Mention"/>
    <w:basedOn w:val="DefaultParagraphFont"/>
    <w:uiPriority w:val="99"/>
    <w:semiHidden/>
    <w:unhideWhenUsed/>
    <w:rsid w:val="00A54DFF"/>
    <w:rPr>
      <w:color w:val="605E5C"/>
      <w:shd w:val="clear" w:color="auto" w:fill="E1DFDD"/>
    </w:rPr>
  </w:style>
  <w:style w:type="character" w:styleId="FollowedHyperlink">
    <w:name w:val="FollowedHyperlink"/>
    <w:basedOn w:val="DefaultParagraphFont"/>
    <w:semiHidden/>
    <w:unhideWhenUsed/>
    <w:rsid w:val="009D4E25"/>
    <w:rPr>
      <w:color w:val="800080" w:themeColor="followedHyperlink"/>
      <w:u w:val="single"/>
    </w:rPr>
  </w:style>
  <w:style w:type="paragraph" w:styleId="Revision">
    <w:name w:val="Revision"/>
    <w:hidden/>
    <w:semiHidden/>
    <w:rsid w:val="00DA1F3B"/>
    <w:rPr>
      <w:sz w:val="24"/>
      <w:szCs w:val="24"/>
    </w:rPr>
  </w:style>
  <w:style w:type="character" w:styleId="CommentReference">
    <w:name w:val="annotation reference"/>
    <w:basedOn w:val="DefaultParagraphFont"/>
    <w:semiHidden/>
    <w:unhideWhenUsed/>
    <w:rsid w:val="007C325C"/>
    <w:rPr>
      <w:sz w:val="16"/>
      <w:szCs w:val="16"/>
    </w:rPr>
  </w:style>
  <w:style w:type="paragraph" w:styleId="CommentText">
    <w:name w:val="annotation text"/>
    <w:basedOn w:val="Normal"/>
    <w:link w:val="CommentTextChar"/>
    <w:unhideWhenUsed/>
    <w:rsid w:val="007C325C"/>
    <w:pPr>
      <w:spacing w:line="240" w:lineRule="auto"/>
    </w:pPr>
    <w:rPr>
      <w:sz w:val="20"/>
      <w:szCs w:val="20"/>
    </w:rPr>
  </w:style>
  <w:style w:type="character" w:customStyle="1" w:styleId="CommentTextChar">
    <w:name w:val="Comment Text Char"/>
    <w:basedOn w:val="DefaultParagraphFont"/>
    <w:link w:val="CommentText"/>
    <w:rsid w:val="007C325C"/>
  </w:style>
  <w:style w:type="paragraph" w:styleId="CommentSubject">
    <w:name w:val="annotation subject"/>
    <w:basedOn w:val="CommentText"/>
    <w:next w:val="CommentText"/>
    <w:link w:val="CommentSubjectChar"/>
    <w:semiHidden/>
    <w:unhideWhenUsed/>
    <w:rsid w:val="007C325C"/>
    <w:rPr>
      <w:b/>
      <w:bCs/>
    </w:rPr>
  </w:style>
  <w:style w:type="character" w:customStyle="1" w:styleId="CommentSubjectChar">
    <w:name w:val="Comment Subject Char"/>
    <w:basedOn w:val="CommentTextChar"/>
    <w:link w:val="CommentSubject"/>
    <w:semiHidden/>
    <w:rsid w:val="007C325C"/>
    <w:rPr>
      <w:b/>
      <w:bCs/>
    </w:rPr>
  </w:style>
  <w:style w:type="character" w:customStyle="1" w:styleId="cf01">
    <w:name w:val="cf01"/>
    <w:basedOn w:val="DefaultParagraphFont"/>
    <w:rsid w:val="00252DB4"/>
    <w:rPr>
      <w:rFonts w:ascii="Segoe UI" w:hAnsi="Segoe UI" w:cs="Segoe UI" w:hint="default"/>
      <w:sz w:val="18"/>
      <w:szCs w:val="18"/>
    </w:rPr>
  </w:style>
  <w:style w:type="paragraph" w:styleId="Bibliography">
    <w:name w:val="Bibliography"/>
    <w:basedOn w:val="Normal"/>
    <w:next w:val="Normal"/>
    <w:unhideWhenUsed/>
    <w:rsid w:val="000A0147"/>
    <w:pPr>
      <w:ind w:left="720" w:hanging="720"/>
    </w:pPr>
  </w:style>
  <w:style w:type="table" w:customStyle="1" w:styleId="TableGrid1">
    <w:name w:val="Table Grid1"/>
    <w:basedOn w:val="TableNormal"/>
    <w:next w:val="TableGrid"/>
    <w:uiPriority w:val="39"/>
    <w:rsid w:val="00A10377"/>
    <w:rPr>
      <w:rFonts w:eastAsia="Calibr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rsid w:val="00A1037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rsid w:val="000F393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3631501">
      <w:bodyDiv w:val="1"/>
      <w:marLeft w:val="0"/>
      <w:marRight w:val="0"/>
      <w:marTop w:val="0"/>
      <w:marBottom w:val="0"/>
      <w:divBdr>
        <w:top w:val="none" w:sz="0" w:space="0" w:color="auto"/>
        <w:left w:val="none" w:sz="0" w:space="0" w:color="auto"/>
        <w:bottom w:val="none" w:sz="0" w:space="0" w:color="auto"/>
        <w:right w:val="none" w:sz="0" w:space="0" w:color="auto"/>
      </w:divBdr>
      <w:divsChild>
        <w:div w:id="1417821723">
          <w:marLeft w:val="480"/>
          <w:marRight w:val="0"/>
          <w:marTop w:val="0"/>
          <w:marBottom w:val="0"/>
          <w:divBdr>
            <w:top w:val="none" w:sz="0" w:space="0" w:color="auto"/>
            <w:left w:val="none" w:sz="0" w:space="0" w:color="auto"/>
            <w:bottom w:val="none" w:sz="0" w:space="0" w:color="auto"/>
            <w:right w:val="none" w:sz="0" w:space="0" w:color="auto"/>
          </w:divBdr>
          <w:divsChild>
            <w:div w:id="823087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9926053">
      <w:bodyDiv w:val="1"/>
      <w:marLeft w:val="0"/>
      <w:marRight w:val="0"/>
      <w:marTop w:val="0"/>
      <w:marBottom w:val="0"/>
      <w:divBdr>
        <w:top w:val="none" w:sz="0" w:space="0" w:color="auto"/>
        <w:left w:val="none" w:sz="0" w:space="0" w:color="auto"/>
        <w:bottom w:val="none" w:sz="0" w:space="0" w:color="auto"/>
        <w:right w:val="none" w:sz="0" w:space="0" w:color="auto"/>
      </w:divBdr>
    </w:div>
    <w:div w:id="954022875">
      <w:bodyDiv w:val="1"/>
      <w:marLeft w:val="0"/>
      <w:marRight w:val="0"/>
      <w:marTop w:val="0"/>
      <w:marBottom w:val="0"/>
      <w:divBdr>
        <w:top w:val="none" w:sz="0" w:space="0" w:color="auto"/>
        <w:left w:val="none" w:sz="0" w:space="0" w:color="auto"/>
        <w:bottom w:val="none" w:sz="0" w:space="0" w:color="auto"/>
        <w:right w:val="none" w:sz="0" w:space="0" w:color="auto"/>
      </w:divBdr>
      <w:divsChild>
        <w:div w:id="1847549680">
          <w:marLeft w:val="480"/>
          <w:marRight w:val="0"/>
          <w:marTop w:val="0"/>
          <w:marBottom w:val="0"/>
          <w:divBdr>
            <w:top w:val="none" w:sz="0" w:space="0" w:color="auto"/>
            <w:left w:val="none" w:sz="0" w:space="0" w:color="auto"/>
            <w:bottom w:val="none" w:sz="0" w:space="0" w:color="auto"/>
            <w:right w:val="none" w:sz="0" w:space="0" w:color="auto"/>
          </w:divBdr>
          <w:divsChild>
            <w:div w:id="348069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3224340">
      <w:bodyDiv w:val="1"/>
      <w:marLeft w:val="0"/>
      <w:marRight w:val="0"/>
      <w:marTop w:val="0"/>
      <w:marBottom w:val="0"/>
      <w:divBdr>
        <w:top w:val="none" w:sz="0" w:space="0" w:color="auto"/>
        <w:left w:val="none" w:sz="0" w:space="0" w:color="auto"/>
        <w:bottom w:val="none" w:sz="0" w:space="0" w:color="auto"/>
        <w:right w:val="none" w:sz="0" w:space="0" w:color="auto"/>
      </w:divBdr>
      <w:divsChild>
        <w:div w:id="286863692">
          <w:marLeft w:val="480"/>
          <w:marRight w:val="0"/>
          <w:marTop w:val="0"/>
          <w:marBottom w:val="0"/>
          <w:divBdr>
            <w:top w:val="none" w:sz="0" w:space="0" w:color="auto"/>
            <w:left w:val="none" w:sz="0" w:space="0" w:color="auto"/>
            <w:bottom w:val="none" w:sz="0" w:space="0" w:color="auto"/>
            <w:right w:val="none" w:sz="0" w:space="0" w:color="auto"/>
          </w:divBdr>
          <w:divsChild>
            <w:div w:id="682823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1097666">
      <w:bodyDiv w:val="1"/>
      <w:marLeft w:val="0"/>
      <w:marRight w:val="0"/>
      <w:marTop w:val="0"/>
      <w:marBottom w:val="0"/>
      <w:divBdr>
        <w:top w:val="none" w:sz="0" w:space="0" w:color="auto"/>
        <w:left w:val="none" w:sz="0" w:space="0" w:color="auto"/>
        <w:bottom w:val="none" w:sz="0" w:space="0" w:color="auto"/>
        <w:right w:val="none" w:sz="0" w:space="0" w:color="auto"/>
      </w:divBdr>
      <w:divsChild>
        <w:div w:id="522014814">
          <w:marLeft w:val="480"/>
          <w:marRight w:val="0"/>
          <w:marTop w:val="0"/>
          <w:marBottom w:val="0"/>
          <w:divBdr>
            <w:top w:val="none" w:sz="0" w:space="0" w:color="auto"/>
            <w:left w:val="none" w:sz="0" w:space="0" w:color="auto"/>
            <w:bottom w:val="none" w:sz="0" w:space="0" w:color="auto"/>
            <w:right w:val="none" w:sz="0" w:space="0" w:color="auto"/>
          </w:divBdr>
          <w:divsChild>
            <w:div w:id="705448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7428819">
      <w:bodyDiv w:val="1"/>
      <w:marLeft w:val="0"/>
      <w:marRight w:val="0"/>
      <w:marTop w:val="0"/>
      <w:marBottom w:val="0"/>
      <w:divBdr>
        <w:top w:val="none" w:sz="0" w:space="0" w:color="auto"/>
        <w:left w:val="none" w:sz="0" w:space="0" w:color="auto"/>
        <w:bottom w:val="none" w:sz="0" w:space="0" w:color="auto"/>
        <w:right w:val="none" w:sz="0" w:space="0" w:color="auto"/>
      </w:divBdr>
      <w:divsChild>
        <w:div w:id="1114789809">
          <w:marLeft w:val="480"/>
          <w:marRight w:val="0"/>
          <w:marTop w:val="0"/>
          <w:marBottom w:val="0"/>
          <w:divBdr>
            <w:top w:val="none" w:sz="0" w:space="0" w:color="auto"/>
            <w:left w:val="none" w:sz="0" w:space="0" w:color="auto"/>
            <w:bottom w:val="none" w:sz="0" w:space="0" w:color="auto"/>
            <w:right w:val="none" w:sz="0" w:space="0" w:color="auto"/>
          </w:divBdr>
          <w:divsChild>
            <w:div w:id="1562012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5547039">
      <w:bodyDiv w:val="1"/>
      <w:marLeft w:val="0"/>
      <w:marRight w:val="0"/>
      <w:marTop w:val="0"/>
      <w:marBottom w:val="0"/>
      <w:divBdr>
        <w:top w:val="none" w:sz="0" w:space="0" w:color="auto"/>
        <w:left w:val="none" w:sz="0" w:space="0" w:color="auto"/>
        <w:bottom w:val="none" w:sz="0" w:space="0" w:color="auto"/>
        <w:right w:val="none" w:sz="0" w:space="0" w:color="auto"/>
      </w:divBdr>
      <w:divsChild>
        <w:div w:id="1719353031">
          <w:marLeft w:val="480"/>
          <w:marRight w:val="0"/>
          <w:marTop w:val="0"/>
          <w:marBottom w:val="0"/>
          <w:divBdr>
            <w:top w:val="none" w:sz="0" w:space="0" w:color="auto"/>
            <w:left w:val="none" w:sz="0" w:space="0" w:color="auto"/>
            <w:bottom w:val="none" w:sz="0" w:space="0" w:color="auto"/>
            <w:right w:val="none" w:sz="0" w:space="0" w:color="auto"/>
          </w:divBdr>
          <w:divsChild>
            <w:div w:id="595987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9828917">
      <w:bodyDiv w:val="1"/>
      <w:marLeft w:val="0"/>
      <w:marRight w:val="0"/>
      <w:marTop w:val="0"/>
      <w:marBottom w:val="0"/>
      <w:divBdr>
        <w:top w:val="none" w:sz="0" w:space="0" w:color="auto"/>
        <w:left w:val="none" w:sz="0" w:space="0" w:color="auto"/>
        <w:bottom w:val="none" w:sz="0" w:space="0" w:color="auto"/>
        <w:right w:val="none" w:sz="0" w:space="0" w:color="auto"/>
      </w:divBdr>
      <w:divsChild>
        <w:div w:id="269555016">
          <w:marLeft w:val="480"/>
          <w:marRight w:val="0"/>
          <w:marTop w:val="0"/>
          <w:marBottom w:val="0"/>
          <w:divBdr>
            <w:top w:val="none" w:sz="0" w:space="0" w:color="auto"/>
            <w:left w:val="none" w:sz="0" w:space="0" w:color="auto"/>
            <w:bottom w:val="none" w:sz="0" w:space="0" w:color="auto"/>
            <w:right w:val="none" w:sz="0" w:space="0" w:color="auto"/>
          </w:divBdr>
          <w:divsChild>
            <w:div w:id="1321234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1.xml"/><Relationship Id="rId16" Type="http://schemas.openxmlformats.org/officeDocument/2006/relationships/theme" Target="theme/theme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F02914E-4C3A-4163-A6C9-332A453E9D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74743</Words>
  <Characters>426038</Characters>
  <Application>Microsoft Office Word</Application>
  <DocSecurity>0</DocSecurity>
  <Lines>3550</Lines>
  <Paragraphs>999</Paragraphs>
  <ScaleCrop>false</ScaleCrop>
  <HeadingPairs>
    <vt:vector size="2" baseType="variant">
      <vt:variant>
        <vt:lpstr>Title</vt:lpstr>
      </vt:variant>
      <vt:variant>
        <vt:i4>1</vt:i4>
      </vt:variant>
    </vt:vector>
  </HeadingPairs>
  <TitlesOfParts>
    <vt:vector size="1" baseType="lpstr">
      <vt:lpstr>TF_Template_Word_Windows_2016</vt:lpstr>
    </vt:vector>
  </TitlesOfParts>
  <Company>Informa Plc</Company>
  <LinksUpToDate>false</LinksUpToDate>
  <CharactersWithSpaces>499782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TF_Template_Word_Windows_2016</dc:title>
  <dc:creator>Taylor &amp; Francis Author Services</dc:creator>
  <cp:lastModifiedBy>Leigh Huggard</cp:lastModifiedBy>
  <cp:revision>3</cp:revision>
  <cp:lastPrinted>2011-07-22T14:54:00Z</cp:lastPrinted>
  <dcterms:created xsi:type="dcterms:W3CDTF">2023-07-24T09:28:00Z</dcterms:created>
  <dcterms:modified xsi:type="dcterms:W3CDTF">2023-07-24T09:29:00Z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zotero-version="6.0.19"&gt;&lt;session id="JQCsQGpX"/&gt;&lt;style id="http://www.zotero.org/styles/apa" locale="en-GB"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