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CD90C" w14:textId="77777777" w:rsidR="00532282" w:rsidRPr="003736F5" w:rsidRDefault="00892C2A" w:rsidP="00532282">
      <w:pPr>
        <w:pStyle w:val="AU"/>
        <w:spacing w:line="276" w:lineRule="auto"/>
        <w:jc w:val="both"/>
        <w:rPr>
          <w:rFonts w:cs="Times New Roman"/>
          <w:b/>
          <w:bCs/>
          <w:color w:val="auto"/>
          <w:sz w:val="36"/>
          <w:szCs w:val="36"/>
        </w:rPr>
      </w:pPr>
      <w:bookmarkStart w:id="0" w:name="_Hlk530585848"/>
      <w:r w:rsidRPr="003736F5">
        <w:rPr>
          <w:rFonts w:cs="Times New Roman"/>
          <w:b/>
          <w:bCs/>
          <w:color w:val="auto"/>
          <w:sz w:val="36"/>
          <w:szCs w:val="36"/>
        </w:rPr>
        <w:t>Small Business Property Tax Reductions and Firm Productivity</w:t>
      </w:r>
    </w:p>
    <w:p w14:paraId="0ACF66F9" w14:textId="77777777" w:rsidR="00AD5D12" w:rsidRPr="003736F5" w:rsidRDefault="00AD5D12" w:rsidP="00532282">
      <w:pPr>
        <w:pStyle w:val="AU"/>
        <w:spacing w:line="276" w:lineRule="auto"/>
        <w:jc w:val="both"/>
        <w:rPr>
          <w:rFonts w:cs="Times New Roman"/>
          <w:b/>
          <w:bCs/>
          <w:color w:val="auto"/>
          <w:sz w:val="36"/>
          <w:szCs w:val="36"/>
        </w:rPr>
      </w:pPr>
    </w:p>
    <w:p w14:paraId="51AE081E" w14:textId="396FCDFA" w:rsidR="00AD5D12" w:rsidRPr="003736F5" w:rsidRDefault="006536A0" w:rsidP="00C36426">
      <w:pPr>
        <w:rPr>
          <w:rFonts w:cs="Times New Roman"/>
          <w:szCs w:val="24"/>
        </w:rPr>
      </w:pPr>
      <w:r w:rsidRPr="003736F5">
        <w:rPr>
          <w:rFonts w:cs="Times New Roman"/>
          <w:szCs w:val="24"/>
        </w:rPr>
        <w:t>We</w:t>
      </w:r>
      <w:r w:rsidR="007009A5" w:rsidRPr="003736F5">
        <w:rPr>
          <w:rFonts w:cs="Times New Roman"/>
          <w:szCs w:val="24"/>
        </w:rPr>
        <w:t xml:space="preserve"> </w:t>
      </w:r>
      <w:r w:rsidRPr="003736F5">
        <w:rPr>
          <w:rFonts w:cs="Times New Roman"/>
          <w:szCs w:val="24"/>
        </w:rPr>
        <w:t>investigate the productivity spillovers from</w:t>
      </w:r>
      <w:r w:rsidR="00E31D4D" w:rsidRPr="003736F5">
        <w:rPr>
          <w:rFonts w:cs="Times New Roman"/>
          <w:szCs w:val="24"/>
        </w:rPr>
        <w:t xml:space="preserve"> the</w:t>
      </w:r>
      <w:r w:rsidRPr="003736F5">
        <w:rPr>
          <w:rFonts w:cs="Times New Roman"/>
          <w:szCs w:val="24"/>
        </w:rPr>
        <w:t xml:space="preserve"> UK government</w:t>
      </w:r>
      <w:r w:rsidR="00DC19C9" w:rsidRPr="003736F5">
        <w:rPr>
          <w:rFonts w:cs="Times New Roman"/>
          <w:szCs w:val="24"/>
        </w:rPr>
        <w:t>’s</w:t>
      </w:r>
      <w:r w:rsidRPr="003736F5">
        <w:rPr>
          <w:rFonts w:cs="Times New Roman"/>
          <w:szCs w:val="24"/>
        </w:rPr>
        <w:t xml:space="preserve"> decision to use extensive property tax reductions as a key instrument to stimulate innovation in smaller businesses and drive local growth. </w:t>
      </w:r>
      <w:r w:rsidR="005D2B9D" w:rsidRPr="003736F5">
        <w:rPr>
          <w:rFonts w:cs="Times New Roman"/>
          <w:szCs w:val="24"/>
        </w:rPr>
        <w:t xml:space="preserve">To capture the complex interaction and clustering of hierarchical effects, we apply non-parametric Random Effects Expectation Maximisation algorithm that complements more standard econometric estimators, namely matching to control for endogeneity and control functions to estimate total factor productivity. </w:t>
      </w:r>
      <w:r w:rsidR="00877ECA" w:rsidRPr="003736F5">
        <w:rPr>
          <w:rFonts w:cs="Times New Roman"/>
          <w:szCs w:val="24"/>
        </w:rPr>
        <w:t>T</w:t>
      </w:r>
      <w:r w:rsidR="005D2B9D" w:rsidRPr="003736F5">
        <w:rPr>
          <w:rFonts w:cs="Times New Roman"/>
          <w:szCs w:val="24"/>
        </w:rPr>
        <w:t>hese approaches</w:t>
      </w:r>
      <w:r w:rsidR="00877ECA" w:rsidRPr="003736F5">
        <w:rPr>
          <w:rFonts w:cs="Times New Roman"/>
          <w:szCs w:val="24"/>
        </w:rPr>
        <w:t xml:space="preserve"> enabled us</w:t>
      </w:r>
      <w:r w:rsidR="005D2B9D" w:rsidRPr="003736F5">
        <w:rPr>
          <w:rFonts w:cs="Times New Roman"/>
          <w:szCs w:val="24"/>
        </w:rPr>
        <w:t xml:space="preserve"> to </w:t>
      </w:r>
      <w:r w:rsidR="00AB3D85" w:rsidRPr="003736F5">
        <w:rPr>
          <w:rFonts w:cs="Times New Roman"/>
          <w:szCs w:val="24"/>
        </w:rPr>
        <w:t>incorporate various</w:t>
      </w:r>
      <w:r w:rsidR="003435E5" w:rsidRPr="003736F5">
        <w:rPr>
          <w:rFonts w:cs="Times New Roman"/>
          <w:szCs w:val="24"/>
        </w:rPr>
        <w:t xml:space="preserve"> contextual</w:t>
      </w:r>
      <w:r w:rsidR="00AB3D85" w:rsidRPr="003736F5">
        <w:rPr>
          <w:rFonts w:cs="Times New Roman"/>
          <w:szCs w:val="24"/>
        </w:rPr>
        <w:t xml:space="preserve"> </w:t>
      </w:r>
      <w:r w:rsidR="008D7CBA" w:rsidRPr="003736F5">
        <w:rPr>
          <w:rFonts w:cs="Times New Roman"/>
          <w:szCs w:val="24"/>
        </w:rPr>
        <w:t>configurations</w:t>
      </w:r>
      <w:r w:rsidR="00AB3D85" w:rsidRPr="003736F5">
        <w:rPr>
          <w:rFonts w:cs="Times New Roman"/>
          <w:szCs w:val="24"/>
        </w:rPr>
        <w:t xml:space="preserve"> in compari</w:t>
      </w:r>
      <w:r w:rsidR="00E31D4D" w:rsidRPr="003736F5">
        <w:rPr>
          <w:rFonts w:cs="Times New Roman"/>
          <w:szCs w:val="24"/>
        </w:rPr>
        <w:t>ng</w:t>
      </w:r>
      <w:r w:rsidR="00AB3D85" w:rsidRPr="003736F5">
        <w:rPr>
          <w:rFonts w:cs="Times New Roman"/>
          <w:szCs w:val="24"/>
        </w:rPr>
        <w:t xml:space="preserve"> the recipients of </w:t>
      </w:r>
      <w:r w:rsidR="00AD10A3" w:rsidRPr="003736F5">
        <w:rPr>
          <w:rFonts w:cs="Times New Roman"/>
          <w:szCs w:val="24"/>
        </w:rPr>
        <w:t>these reductions</w:t>
      </w:r>
      <w:r w:rsidR="00AB3D85" w:rsidRPr="003736F5">
        <w:rPr>
          <w:rFonts w:cs="Times New Roman"/>
          <w:szCs w:val="24"/>
        </w:rPr>
        <w:t xml:space="preserve"> to non-recipients </w:t>
      </w:r>
      <w:r w:rsidR="00C36426" w:rsidRPr="003736F5">
        <w:rPr>
          <w:rFonts w:cs="Times New Roman"/>
          <w:szCs w:val="24"/>
        </w:rPr>
        <w:t xml:space="preserve">with regards to </w:t>
      </w:r>
      <w:r w:rsidR="00AB3D85" w:rsidRPr="003736F5">
        <w:rPr>
          <w:rFonts w:cs="Times New Roman"/>
          <w:szCs w:val="24"/>
        </w:rPr>
        <w:t xml:space="preserve">productivity, in which the UK has </w:t>
      </w:r>
      <w:r w:rsidR="00551D0F" w:rsidRPr="003736F5">
        <w:rPr>
          <w:rFonts w:cs="Times New Roman"/>
          <w:szCs w:val="24"/>
        </w:rPr>
        <w:t>experienced</w:t>
      </w:r>
      <w:r w:rsidR="00AB3D85" w:rsidRPr="003736F5">
        <w:rPr>
          <w:rFonts w:cs="Times New Roman"/>
          <w:szCs w:val="24"/>
        </w:rPr>
        <w:t xml:space="preserve"> a </w:t>
      </w:r>
      <w:r w:rsidR="00551D0F" w:rsidRPr="003736F5">
        <w:rPr>
          <w:rFonts w:cs="Times New Roman"/>
          <w:szCs w:val="24"/>
        </w:rPr>
        <w:t>considerably</w:t>
      </w:r>
      <w:r w:rsidR="00AB3D85" w:rsidRPr="003736F5">
        <w:rPr>
          <w:rFonts w:cs="Times New Roman"/>
          <w:szCs w:val="24"/>
        </w:rPr>
        <w:t xml:space="preserve"> worse </w:t>
      </w:r>
      <w:r w:rsidR="004A3F98" w:rsidRPr="003736F5">
        <w:rPr>
          <w:rFonts w:cs="Times New Roman"/>
          <w:szCs w:val="24"/>
        </w:rPr>
        <w:t xml:space="preserve">performance </w:t>
      </w:r>
      <w:r w:rsidR="00AB3D85" w:rsidRPr="003736F5">
        <w:rPr>
          <w:rFonts w:cs="Times New Roman"/>
          <w:szCs w:val="24"/>
        </w:rPr>
        <w:t xml:space="preserve">than its peers since the great recession. </w:t>
      </w:r>
      <w:r w:rsidR="00AD5D12" w:rsidRPr="003736F5">
        <w:rPr>
          <w:rFonts w:cs="Times New Roman"/>
          <w:szCs w:val="24"/>
        </w:rPr>
        <w:t>Contrary to policy assumptions and business community expectations, we show that generic tax reductions, when significant, are mostly associated with lower productivity</w:t>
      </w:r>
      <w:r w:rsidR="00C75B44" w:rsidRPr="003736F5">
        <w:rPr>
          <w:rFonts w:cs="Times New Roman"/>
          <w:szCs w:val="24"/>
        </w:rPr>
        <w:t xml:space="preserve"> and thus </w:t>
      </w:r>
      <w:r w:rsidR="002E4871" w:rsidRPr="003736F5">
        <w:rPr>
          <w:rFonts w:cs="Times New Roman"/>
          <w:szCs w:val="24"/>
        </w:rPr>
        <w:t>have been unsuitably chosen as a policy mechanism to stimulate productivity</w:t>
      </w:r>
      <w:r w:rsidR="001609FC" w:rsidRPr="003736F5">
        <w:rPr>
          <w:rFonts w:cs="Times New Roman"/>
          <w:szCs w:val="24"/>
        </w:rPr>
        <w:t xml:space="preserve"> growth</w:t>
      </w:r>
      <w:r w:rsidR="002E4871" w:rsidRPr="003736F5">
        <w:rPr>
          <w:rFonts w:cs="Times New Roman"/>
          <w:szCs w:val="24"/>
        </w:rPr>
        <w:t xml:space="preserve">. </w:t>
      </w:r>
      <w:r w:rsidR="00AD5D12" w:rsidRPr="003736F5">
        <w:rPr>
          <w:rFonts w:cs="Times New Roman"/>
          <w:szCs w:val="24"/>
        </w:rPr>
        <w:t xml:space="preserve">We further show how instruments that are not built for causality could be beneficial for policy evaluation. </w:t>
      </w:r>
    </w:p>
    <w:bookmarkEnd w:id="0"/>
    <w:p w14:paraId="1C7A4071" w14:textId="77777777" w:rsidR="005C1444" w:rsidRPr="003736F5" w:rsidRDefault="005C1444">
      <w:pPr>
        <w:spacing w:after="0" w:line="240" w:lineRule="auto"/>
        <w:rPr>
          <w:rFonts w:cs="Times New Roman"/>
        </w:rPr>
      </w:pPr>
    </w:p>
    <w:p w14:paraId="1906E4DA" w14:textId="77777777" w:rsidR="001B1F65" w:rsidRPr="003736F5" w:rsidRDefault="249781B6" w:rsidP="007B0104">
      <w:pPr>
        <w:pStyle w:val="Heading1"/>
        <w:numPr>
          <w:ilvl w:val="0"/>
          <w:numId w:val="10"/>
        </w:numPr>
        <w:jc w:val="left"/>
      </w:pPr>
      <w:r w:rsidRPr="003736F5">
        <w:t>Introducti</w:t>
      </w:r>
      <w:r w:rsidR="001B1F65" w:rsidRPr="003736F5">
        <w:t>on</w:t>
      </w:r>
    </w:p>
    <w:p w14:paraId="388642B5" w14:textId="46BCFDD4" w:rsidR="00DB2517" w:rsidRPr="003736F5" w:rsidRDefault="003F3FF0" w:rsidP="00831585">
      <w:pPr>
        <w:rPr>
          <w:rFonts w:cs="Times New Roman"/>
          <w:color w:val="000000"/>
        </w:rPr>
      </w:pPr>
      <w:r w:rsidRPr="003736F5">
        <w:rPr>
          <w:rFonts w:cs="Times New Roman"/>
          <w:color w:val="000000"/>
        </w:rPr>
        <w:t>Advanced economies around the world are suffering from weaker levels of productivity growth post</w:t>
      </w:r>
      <w:r w:rsidR="005937E1" w:rsidRPr="003736F5">
        <w:rPr>
          <w:rFonts w:cs="Times New Roman"/>
          <w:color w:val="000000"/>
        </w:rPr>
        <w:t>-</w:t>
      </w:r>
      <w:r w:rsidRPr="003736F5">
        <w:rPr>
          <w:rFonts w:cs="Times New Roman"/>
          <w:color w:val="000000"/>
        </w:rPr>
        <w:t>2008 recession, but the UK’s poor performance is particularly pronounced (OECD, 202</w:t>
      </w:r>
      <w:r w:rsidR="00937B35" w:rsidRPr="003736F5">
        <w:rPr>
          <w:rFonts w:cs="Times New Roman"/>
          <w:color w:val="000000"/>
        </w:rPr>
        <w:t>0</w:t>
      </w:r>
      <w:r w:rsidRPr="003736F5">
        <w:rPr>
          <w:rFonts w:cs="Times New Roman"/>
          <w:color w:val="000000"/>
        </w:rPr>
        <w:t>). Productivity</w:t>
      </w:r>
      <w:r w:rsidR="00CB135C" w:rsidRPr="003736F5">
        <w:rPr>
          <w:rFonts w:cs="Times New Roman"/>
          <w:color w:val="000000"/>
        </w:rPr>
        <w:t xml:space="preserve"> growth</w:t>
      </w:r>
      <w:r w:rsidRPr="003736F5">
        <w:rPr>
          <w:rFonts w:cs="Times New Roman"/>
          <w:color w:val="000000"/>
        </w:rPr>
        <w:t xml:space="preserve"> ha</w:t>
      </w:r>
      <w:r w:rsidR="00B24B9C" w:rsidRPr="003736F5">
        <w:rPr>
          <w:rFonts w:cs="Times New Roman"/>
          <w:color w:val="000000"/>
        </w:rPr>
        <w:t>d</w:t>
      </w:r>
      <w:r w:rsidRPr="003736F5">
        <w:rPr>
          <w:rFonts w:cs="Times New Roman"/>
          <w:color w:val="000000"/>
        </w:rPr>
        <w:t xml:space="preserve"> averaged 0.3% </w:t>
      </w:r>
      <w:r w:rsidR="00B24B9C" w:rsidRPr="003736F5">
        <w:rPr>
          <w:rFonts w:cs="Times New Roman"/>
          <w:color w:val="000000"/>
        </w:rPr>
        <w:t>from</w:t>
      </w:r>
      <w:r w:rsidRPr="003736F5">
        <w:rPr>
          <w:rFonts w:cs="Times New Roman"/>
          <w:color w:val="000000"/>
        </w:rPr>
        <w:t xml:space="preserve"> 2008, compared to 2.3% in the </w:t>
      </w:r>
      <w:r w:rsidR="00577F97" w:rsidRPr="003736F5">
        <w:rPr>
          <w:rFonts w:cs="Times New Roman"/>
          <w:color w:val="000000"/>
        </w:rPr>
        <w:t xml:space="preserve">previous </w:t>
      </w:r>
      <w:r w:rsidRPr="003736F5">
        <w:rPr>
          <w:rFonts w:cs="Times New Roman"/>
          <w:color w:val="000000"/>
        </w:rPr>
        <w:t>decade</w:t>
      </w:r>
      <w:r w:rsidR="0089315A" w:rsidRPr="003736F5">
        <w:rPr>
          <w:rFonts w:cs="Times New Roman"/>
          <w:color w:val="000000"/>
        </w:rPr>
        <w:t>,</w:t>
      </w:r>
      <w:r w:rsidRPr="003736F5">
        <w:rPr>
          <w:rFonts w:cs="Times New Roman"/>
          <w:color w:val="000000"/>
        </w:rPr>
        <w:t xml:space="preserve"> and </w:t>
      </w:r>
      <w:r w:rsidR="00C317DB" w:rsidRPr="003736F5">
        <w:rPr>
          <w:rFonts w:cs="Times New Roman"/>
          <w:color w:val="000000"/>
        </w:rPr>
        <w:t>this</w:t>
      </w:r>
      <w:r w:rsidRPr="003736F5">
        <w:rPr>
          <w:rFonts w:cs="Times New Roman"/>
          <w:color w:val="000000"/>
        </w:rPr>
        <w:t xml:space="preserve"> gap is wide</w:t>
      </w:r>
      <w:r w:rsidR="00000E3E" w:rsidRPr="003736F5">
        <w:rPr>
          <w:rFonts w:cs="Times New Roman"/>
          <w:color w:val="000000"/>
        </w:rPr>
        <w:t xml:space="preserve">ning when compared with other advanced economies (HM </w:t>
      </w:r>
      <w:r w:rsidR="5256B7A4" w:rsidRPr="003736F5">
        <w:rPr>
          <w:rFonts w:cs="Times New Roman"/>
          <w:color w:val="000000"/>
        </w:rPr>
        <w:t>Treasury, 2020</w:t>
      </w:r>
      <w:r w:rsidR="00000E3E" w:rsidRPr="003736F5">
        <w:rPr>
          <w:rFonts w:cs="Times New Roman"/>
          <w:color w:val="000000"/>
        </w:rPr>
        <w:t>)</w:t>
      </w:r>
      <w:r w:rsidR="003430C8" w:rsidRPr="003736F5">
        <w:rPr>
          <w:rFonts w:cs="Times New Roman"/>
          <w:color w:val="000000"/>
        </w:rPr>
        <w:t>.</w:t>
      </w:r>
      <w:r w:rsidR="00000E3E" w:rsidRPr="003736F5">
        <w:rPr>
          <w:rFonts w:cs="Times New Roman"/>
          <w:color w:val="000000"/>
        </w:rPr>
        <w:t xml:space="preserve"> </w:t>
      </w:r>
      <w:r w:rsidR="0C493B94" w:rsidRPr="003736F5">
        <w:rPr>
          <w:rFonts w:cs="Times New Roman"/>
          <w:color w:val="000000"/>
        </w:rPr>
        <w:t xml:space="preserve">In this context, </w:t>
      </w:r>
      <w:r w:rsidR="34E7BB97" w:rsidRPr="003736F5">
        <w:rPr>
          <w:rFonts w:cs="Times New Roman"/>
          <w:color w:val="000000"/>
        </w:rPr>
        <w:t xml:space="preserve">UK governments have enacted </w:t>
      </w:r>
      <w:r w:rsidR="3DFC737E" w:rsidRPr="003736F5">
        <w:rPr>
          <w:rFonts w:cs="Times New Roman"/>
          <w:color w:val="000000"/>
        </w:rPr>
        <w:t>e</w:t>
      </w:r>
      <w:r w:rsidR="70C3A1E1" w:rsidRPr="003736F5">
        <w:rPr>
          <w:rFonts w:cs="Times New Roman"/>
          <w:color w:val="000000"/>
        </w:rPr>
        <w:t>xtensive</w:t>
      </w:r>
      <w:r w:rsidR="530A3412" w:rsidRPr="003736F5">
        <w:rPr>
          <w:rFonts w:cs="Times New Roman"/>
          <w:color w:val="000000"/>
        </w:rPr>
        <w:t xml:space="preserve"> commercial</w:t>
      </w:r>
      <w:r w:rsidR="70C3A1E1" w:rsidRPr="003736F5">
        <w:rPr>
          <w:rFonts w:cs="Times New Roman"/>
          <w:color w:val="000000"/>
        </w:rPr>
        <w:t xml:space="preserve"> </w:t>
      </w:r>
      <w:r w:rsidR="70C3A1E1" w:rsidRPr="003736F5">
        <w:rPr>
          <w:rFonts w:cs="Times New Roman"/>
          <w:color w:val="000000"/>
        </w:rPr>
        <w:lastRenderedPageBreak/>
        <w:t>property tax reductions</w:t>
      </w:r>
      <w:r w:rsidR="00B6182F" w:rsidRPr="003736F5">
        <w:rPr>
          <w:rFonts w:cs="Times New Roman"/>
          <w:color w:val="000000"/>
        </w:rPr>
        <w:t xml:space="preserve"> </w:t>
      </w:r>
      <w:r w:rsidR="70C3A1E1" w:rsidRPr="003736F5">
        <w:rPr>
          <w:rFonts w:cs="Times New Roman"/>
          <w:color w:val="000000"/>
        </w:rPr>
        <w:t>for smaller firms</w:t>
      </w:r>
      <w:r w:rsidR="461E7654" w:rsidRPr="003736F5">
        <w:rPr>
          <w:rFonts w:cs="Times New Roman"/>
          <w:color w:val="000000"/>
        </w:rPr>
        <w:t xml:space="preserve"> to incentivi</w:t>
      </w:r>
      <w:r w:rsidR="00D81068" w:rsidRPr="003736F5">
        <w:rPr>
          <w:rFonts w:cs="Times New Roman"/>
          <w:color w:val="000000"/>
        </w:rPr>
        <w:t>s</w:t>
      </w:r>
      <w:r w:rsidR="461E7654" w:rsidRPr="003736F5">
        <w:rPr>
          <w:rFonts w:cs="Times New Roman"/>
          <w:color w:val="000000"/>
        </w:rPr>
        <w:t>e investment</w:t>
      </w:r>
      <w:r w:rsidR="003D6A5C" w:rsidRPr="003736F5">
        <w:rPr>
          <w:rFonts w:cs="Times New Roman"/>
          <w:color w:val="000000"/>
        </w:rPr>
        <w:t>,</w:t>
      </w:r>
      <w:r w:rsidR="007E34D7" w:rsidRPr="003736F5">
        <w:rPr>
          <w:rFonts w:cs="Times New Roman"/>
          <w:color w:val="000000"/>
        </w:rPr>
        <w:t xml:space="preserve"> </w:t>
      </w:r>
      <w:r w:rsidR="461E7654" w:rsidRPr="003736F5">
        <w:rPr>
          <w:rFonts w:cs="Times New Roman"/>
          <w:color w:val="000000"/>
        </w:rPr>
        <w:t>leading to productivity improvements and local growth</w:t>
      </w:r>
      <w:r w:rsidR="461E7654" w:rsidRPr="003736F5">
        <w:rPr>
          <w:rFonts w:eastAsia="Times New Roman" w:cs="Times New Roman"/>
        </w:rPr>
        <w:t xml:space="preserve"> (HM Treasury 2016b, 2017)</w:t>
      </w:r>
      <w:r w:rsidR="461E7654" w:rsidRPr="003736F5">
        <w:rPr>
          <w:rFonts w:cs="Times New Roman"/>
          <w:color w:val="000000"/>
        </w:rPr>
        <w:t>.</w:t>
      </w:r>
      <w:r w:rsidR="5534A23C" w:rsidRPr="003736F5">
        <w:rPr>
          <w:rFonts w:cs="Times New Roman"/>
          <w:color w:val="000000"/>
        </w:rPr>
        <w:t xml:space="preserve"> </w:t>
      </w:r>
      <w:r w:rsidR="00BD6A84" w:rsidRPr="003736F5">
        <w:rPr>
          <w:rFonts w:cs="Times New Roman"/>
          <w:color w:val="000000"/>
        </w:rPr>
        <w:t xml:space="preserve">Over the past decade, </w:t>
      </w:r>
      <w:r w:rsidR="00DB2517" w:rsidRPr="003736F5">
        <w:rPr>
          <w:rFonts w:cs="Times New Roman"/>
          <w:color w:val="000000"/>
        </w:rPr>
        <w:t>these tax reliefs</w:t>
      </w:r>
      <w:r w:rsidR="00BD6A84" w:rsidRPr="003736F5">
        <w:rPr>
          <w:rFonts w:cs="Times New Roman"/>
          <w:color w:val="000000"/>
        </w:rPr>
        <w:t xml:space="preserve"> have increased eight-fold and have now removed approximately one-third of businesses from local tax bases</w:t>
      </w:r>
      <w:r w:rsidR="002B0B92" w:rsidRPr="003736F5">
        <w:rPr>
          <w:rFonts w:cs="Times New Roman"/>
          <w:color w:val="000000"/>
        </w:rPr>
        <w:t xml:space="preserve">, despite the </w:t>
      </w:r>
      <w:r w:rsidR="00B66D6E" w:rsidRPr="003736F5">
        <w:rPr>
          <w:rFonts w:cs="Times New Roman"/>
        </w:rPr>
        <w:t>concerns related to the lack of justification, mistargeting and the subsequent capitalisation</w:t>
      </w:r>
      <w:r w:rsidR="00EA035D" w:rsidRPr="003736F5">
        <w:rPr>
          <w:rFonts w:cs="Times New Roman"/>
        </w:rPr>
        <w:t xml:space="preserve"> of these reductions </w:t>
      </w:r>
      <w:r w:rsidR="002B0B92" w:rsidRPr="003736F5">
        <w:rPr>
          <w:rFonts w:cs="Times New Roman"/>
        </w:rPr>
        <w:t>(</w:t>
      </w:r>
      <w:r w:rsidR="00EA035D" w:rsidRPr="003736F5">
        <w:rPr>
          <w:rFonts w:cs="Times New Roman"/>
        </w:rPr>
        <w:t xml:space="preserve">Matikonis, </w:t>
      </w:r>
      <w:r w:rsidR="002B0B92" w:rsidRPr="003736F5">
        <w:rPr>
          <w:rFonts w:cs="Times New Roman"/>
        </w:rPr>
        <w:t>2020 and 2022)</w:t>
      </w:r>
      <w:r w:rsidR="00B66D6E" w:rsidRPr="003736F5">
        <w:rPr>
          <w:rFonts w:cs="Times New Roman"/>
        </w:rPr>
        <w:t>.</w:t>
      </w:r>
      <w:r w:rsidR="00DB2517" w:rsidRPr="003736F5">
        <w:rPr>
          <w:rFonts w:cs="Times New Roman"/>
          <w:color w:val="000000"/>
        </w:rPr>
        <w:t xml:space="preserve"> </w:t>
      </w:r>
      <w:r w:rsidR="00C452B1" w:rsidRPr="003736F5">
        <w:rPr>
          <w:rFonts w:cs="Times New Roman"/>
          <w:color w:val="000000"/>
        </w:rPr>
        <w:t>This paper aims to</w:t>
      </w:r>
      <w:r w:rsidR="00EA035D" w:rsidRPr="003736F5">
        <w:rPr>
          <w:rFonts w:cs="Times New Roman"/>
          <w:color w:val="000000"/>
        </w:rPr>
        <w:t xml:space="preserve"> empirically</w:t>
      </w:r>
      <w:r w:rsidR="001C1B91" w:rsidRPr="003736F5">
        <w:rPr>
          <w:rFonts w:cs="Times New Roman"/>
          <w:color w:val="000000"/>
        </w:rPr>
        <w:t xml:space="preserve"> </w:t>
      </w:r>
      <w:r w:rsidR="00701D3E" w:rsidRPr="003736F5">
        <w:rPr>
          <w:rFonts w:cs="Times New Roman"/>
          <w:color w:val="000000"/>
        </w:rPr>
        <w:t xml:space="preserve">explore whether </w:t>
      </w:r>
      <w:r w:rsidR="008B0584" w:rsidRPr="003736F5">
        <w:rPr>
          <w:rFonts w:cs="Times New Roman"/>
          <w:color w:val="000000"/>
        </w:rPr>
        <w:t xml:space="preserve">the </w:t>
      </w:r>
      <w:r w:rsidR="00701D3E" w:rsidRPr="003736F5">
        <w:rPr>
          <w:rFonts w:cs="Times New Roman"/>
          <w:color w:val="000000"/>
        </w:rPr>
        <w:t xml:space="preserve">effects of commercial property tax reductions </w:t>
      </w:r>
      <w:r w:rsidR="00D72582" w:rsidRPr="003736F5">
        <w:rPr>
          <w:rFonts w:cs="Times New Roman"/>
          <w:color w:val="000000"/>
        </w:rPr>
        <w:t xml:space="preserve">on productivity </w:t>
      </w:r>
      <w:r w:rsidR="002A771E" w:rsidRPr="003736F5">
        <w:rPr>
          <w:rFonts w:cs="Times New Roman"/>
          <w:color w:val="000000"/>
        </w:rPr>
        <w:t xml:space="preserve">vary and interrelate with </w:t>
      </w:r>
      <w:r w:rsidR="00B808E5" w:rsidRPr="003736F5">
        <w:rPr>
          <w:rFonts w:cs="Times New Roman"/>
          <w:color w:val="000000"/>
        </w:rPr>
        <w:t xml:space="preserve">firm, place, </w:t>
      </w:r>
      <w:proofErr w:type="gramStart"/>
      <w:r w:rsidR="00B808E5" w:rsidRPr="003736F5">
        <w:rPr>
          <w:rFonts w:cs="Times New Roman"/>
          <w:color w:val="000000"/>
        </w:rPr>
        <w:t>industry</w:t>
      </w:r>
      <w:proofErr w:type="gramEnd"/>
      <w:r w:rsidR="00B808E5" w:rsidRPr="003736F5">
        <w:rPr>
          <w:rFonts w:cs="Times New Roman"/>
          <w:color w:val="000000"/>
        </w:rPr>
        <w:t xml:space="preserve"> and policy characteristics. </w:t>
      </w:r>
      <w:r w:rsidR="00D106CB" w:rsidRPr="003736F5">
        <w:rPr>
          <w:rFonts w:cs="Times New Roman"/>
          <w:color w:val="000000"/>
        </w:rPr>
        <w:t>We use</w:t>
      </w:r>
      <w:r w:rsidR="00C452B1" w:rsidRPr="003736F5">
        <w:rPr>
          <w:rFonts w:cs="Times New Roman"/>
          <w:color w:val="000000"/>
        </w:rPr>
        <w:t xml:space="preserve"> </w:t>
      </w:r>
      <w:r w:rsidR="002E01B1" w:rsidRPr="003736F5">
        <w:rPr>
          <w:rFonts w:cs="Times New Roman"/>
          <w:color w:val="000000"/>
        </w:rPr>
        <w:t>configurational approaches</w:t>
      </w:r>
      <w:r w:rsidR="00D106CB" w:rsidRPr="003736F5">
        <w:rPr>
          <w:rFonts w:cs="Times New Roman"/>
          <w:color w:val="000000"/>
        </w:rPr>
        <w:t xml:space="preserve"> </w:t>
      </w:r>
      <w:r w:rsidR="00F778D3" w:rsidRPr="003736F5">
        <w:rPr>
          <w:rFonts w:cs="Times New Roman"/>
          <w:color w:val="000000"/>
        </w:rPr>
        <w:t xml:space="preserve">to </w:t>
      </w:r>
      <w:r w:rsidR="006D1CE8" w:rsidRPr="003736F5">
        <w:rPr>
          <w:rFonts w:cs="Times New Roman"/>
          <w:color w:val="000000"/>
        </w:rPr>
        <w:t>delineate</w:t>
      </w:r>
      <w:r w:rsidR="00B55CFF" w:rsidRPr="003736F5">
        <w:rPr>
          <w:rFonts w:cs="Times New Roman"/>
          <w:color w:val="000000"/>
        </w:rPr>
        <w:t xml:space="preserve"> whether this </w:t>
      </w:r>
      <w:r w:rsidR="00B06889" w:rsidRPr="003736F5">
        <w:rPr>
          <w:rFonts w:cs="Times New Roman"/>
          <w:color w:val="000000"/>
        </w:rPr>
        <w:t xml:space="preserve">expensive (more than £16bn to 2022, HM Treasury, 2017) </w:t>
      </w:r>
      <w:r w:rsidR="00B55CFF" w:rsidRPr="003736F5">
        <w:rPr>
          <w:rFonts w:cs="Times New Roman"/>
          <w:color w:val="000000"/>
        </w:rPr>
        <w:t xml:space="preserve">policy </w:t>
      </w:r>
      <w:r w:rsidR="00B06889" w:rsidRPr="003736F5">
        <w:rPr>
          <w:rFonts w:cs="Times New Roman"/>
          <w:color w:val="000000"/>
        </w:rPr>
        <w:t xml:space="preserve">works or </w:t>
      </w:r>
      <w:r w:rsidR="008B0584" w:rsidRPr="003736F5">
        <w:rPr>
          <w:rFonts w:cs="Times New Roman"/>
          <w:color w:val="000000"/>
        </w:rPr>
        <w:t xml:space="preserve">whether </w:t>
      </w:r>
      <w:r w:rsidR="00B06889" w:rsidRPr="003736F5">
        <w:rPr>
          <w:rFonts w:cs="Times New Roman"/>
          <w:color w:val="000000"/>
        </w:rPr>
        <w:t xml:space="preserve">we need more </w:t>
      </w:r>
      <w:r w:rsidR="00C452B1" w:rsidRPr="003736F5">
        <w:rPr>
          <w:rFonts w:cs="Times New Roman"/>
          <w:color w:val="000000"/>
        </w:rPr>
        <w:t>feasible delivery mechanisms.</w:t>
      </w:r>
    </w:p>
    <w:p w14:paraId="11B9E67C" w14:textId="1CE6BAF1" w:rsidR="006B7925" w:rsidRPr="003736F5" w:rsidRDefault="00580E97" w:rsidP="00357084">
      <w:pPr>
        <w:rPr>
          <w:rFonts w:cs="Times New Roman"/>
        </w:rPr>
      </w:pPr>
      <w:bookmarkStart w:id="1" w:name="_Hlk103692707"/>
      <w:r w:rsidRPr="003736F5">
        <w:rPr>
          <w:rFonts w:cs="Times New Roman"/>
        </w:rPr>
        <w:t xml:space="preserve">The </w:t>
      </w:r>
      <w:r w:rsidR="00186248" w:rsidRPr="003736F5">
        <w:rPr>
          <w:rFonts w:cs="Times New Roman"/>
        </w:rPr>
        <w:t>contested (e. g. Holtz-Eakin, 2000</w:t>
      </w:r>
      <w:r w:rsidR="00CE49FE" w:rsidRPr="003736F5">
        <w:rPr>
          <w:rFonts w:cs="Times New Roman"/>
        </w:rPr>
        <w:t>) policy</w:t>
      </w:r>
      <w:r w:rsidRPr="003736F5">
        <w:rPr>
          <w:rFonts w:cs="Times New Roman"/>
        </w:rPr>
        <w:t xml:space="preserve"> narrative justifying these </w:t>
      </w:r>
      <w:r w:rsidR="00186248" w:rsidRPr="003736F5">
        <w:rPr>
          <w:rFonts w:cs="Times New Roman"/>
        </w:rPr>
        <w:t>substantial</w:t>
      </w:r>
      <w:r w:rsidR="00293372" w:rsidRPr="003736F5">
        <w:rPr>
          <w:rFonts w:cs="Times New Roman"/>
        </w:rPr>
        <w:t xml:space="preserve"> </w:t>
      </w:r>
      <w:r w:rsidRPr="003736F5">
        <w:rPr>
          <w:rFonts w:cs="Times New Roman"/>
        </w:rPr>
        <w:t>tax subsidies rests on supply-side efficiency arguments</w:t>
      </w:r>
      <w:r w:rsidR="00186248" w:rsidRPr="003736F5">
        <w:rPr>
          <w:rFonts w:cs="Times New Roman"/>
        </w:rPr>
        <w:t>.</w:t>
      </w:r>
      <w:r w:rsidRPr="003736F5">
        <w:rPr>
          <w:rFonts w:cs="Times New Roman"/>
        </w:rPr>
        <w:t xml:space="preserve"> </w:t>
      </w:r>
      <w:r w:rsidR="00186248" w:rsidRPr="003736F5">
        <w:rPr>
          <w:rFonts w:cs="Times New Roman"/>
        </w:rPr>
        <w:t xml:space="preserve">The subsidies </w:t>
      </w:r>
      <w:r w:rsidR="00B2776E" w:rsidRPr="003736F5">
        <w:rPr>
          <w:rFonts w:cs="Times New Roman"/>
        </w:rPr>
        <w:t xml:space="preserve">are meant to </w:t>
      </w:r>
      <w:r w:rsidR="00186248" w:rsidRPr="003736F5">
        <w:rPr>
          <w:rFonts w:cs="Times New Roman"/>
        </w:rPr>
        <w:t xml:space="preserve">overcome </w:t>
      </w:r>
      <w:r w:rsidRPr="003736F5">
        <w:rPr>
          <w:rFonts w:cs="Times New Roman"/>
        </w:rPr>
        <w:t>funding distortions for smaller firms</w:t>
      </w:r>
      <w:r w:rsidR="00186248" w:rsidRPr="003736F5">
        <w:rPr>
          <w:rFonts w:cs="Times New Roman"/>
        </w:rPr>
        <w:t>,</w:t>
      </w:r>
      <w:r w:rsidRPr="003736F5">
        <w:rPr>
          <w:rFonts w:cs="Times New Roman"/>
        </w:rPr>
        <w:t xml:space="preserve"> which face tighter financial constraints than larger </w:t>
      </w:r>
      <w:r w:rsidR="00C317DB" w:rsidRPr="003736F5">
        <w:rPr>
          <w:rFonts w:cs="Times New Roman"/>
        </w:rPr>
        <w:t>ones</w:t>
      </w:r>
      <w:r w:rsidR="003E03F0" w:rsidRPr="003736F5">
        <w:rPr>
          <w:rFonts w:cs="Times New Roman"/>
        </w:rPr>
        <w:t>.</w:t>
      </w:r>
      <w:r w:rsidR="008F0E82" w:rsidRPr="003736F5">
        <w:rPr>
          <w:rFonts w:cs="Times New Roman"/>
        </w:rPr>
        <w:t xml:space="preserve"> </w:t>
      </w:r>
      <w:r w:rsidRPr="003736F5">
        <w:rPr>
          <w:rFonts w:cs="Times New Roman"/>
        </w:rPr>
        <w:t>Freed from th</w:t>
      </w:r>
      <w:r w:rsidR="00B6182F" w:rsidRPr="003736F5">
        <w:rPr>
          <w:rFonts w:cs="Times New Roman"/>
        </w:rPr>
        <w:t>ese</w:t>
      </w:r>
      <w:r w:rsidRPr="003736F5">
        <w:rPr>
          <w:rFonts w:cs="Times New Roman"/>
        </w:rPr>
        <w:t xml:space="preserve"> constraint</w:t>
      </w:r>
      <w:r w:rsidR="00B6182F" w:rsidRPr="003736F5">
        <w:rPr>
          <w:rFonts w:cs="Times New Roman"/>
        </w:rPr>
        <w:t>s</w:t>
      </w:r>
      <w:r w:rsidRPr="003736F5">
        <w:rPr>
          <w:rFonts w:cs="Times New Roman"/>
        </w:rPr>
        <w:t xml:space="preserve">, it is </w:t>
      </w:r>
      <w:r w:rsidR="7C5BA9A7" w:rsidRPr="003736F5">
        <w:rPr>
          <w:rFonts w:cs="Times New Roman"/>
        </w:rPr>
        <w:t>assumed</w:t>
      </w:r>
      <w:r w:rsidR="00CF4F75" w:rsidRPr="003736F5">
        <w:rPr>
          <w:rFonts w:cs="Times New Roman"/>
        </w:rPr>
        <w:t xml:space="preserve"> </w:t>
      </w:r>
      <w:r w:rsidR="00A46DB5" w:rsidRPr="003736F5">
        <w:rPr>
          <w:rFonts w:cs="Times New Roman"/>
        </w:rPr>
        <w:t>that</w:t>
      </w:r>
      <w:r w:rsidR="00186248" w:rsidRPr="003736F5">
        <w:rPr>
          <w:rFonts w:cs="Times New Roman"/>
        </w:rPr>
        <w:t xml:space="preserve"> </w:t>
      </w:r>
      <w:r w:rsidRPr="003736F5">
        <w:rPr>
          <w:rFonts w:cs="Times New Roman"/>
        </w:rPr>
        <w:t>firms invest and innovate</w:t>
      </w:r>
      <w:r w:rsidR="007C3552" w:rsidRPr="003736F5">
        <w:rPr>
          <w:rFonts w:cs="Times New Roman"/>
        </w:rPr>
        <w:t xml:space="preserve"> (Shane, 2009)</w:t>
      </w:r>
      <w:r w:rsidR="00CF4F75" w:rsidRPr="003736F5">
        <w:rPr>
          <w:rFonts w:cs="Times New Roman"/>
        </w:rPr>
        <w:t xml:space="preserve">. They </w:t>
      </w:r>
      <w:r w:rsidR="003E03F0" w:rsidRPr="003736F5">
        <w:rPr>
          <w:rFonts w:cs="Times New Roman"/>
        </w:rPr>
        <w:t xml:space="preserve">in turn become </w:t>
      </w:r>
      <w:r w:rsidRPr="003736F5">
        <w:rPr>
          <w:rFonts w:cs="Times New Roman"/>
        </w:rPr>
        <w:t>more efficient and productive</w:t>
      </w:r>
      <w:r w:rsidR="003E03F0" w:rsidRPr="003736F5">
        <w:rPr>
          <w:rFonts w:cs="Times New Roman"/>
        </w:rPr>
        <w:t xml:space="preserve"> as they </w:t>
      </w:r>
      <w:r w:rsidRPr="003736F5">
        <w:rPr>
          <w:rFonts w:cs="Times New Roman"/>
        </w:rPr>
        <w:t>employ</w:t>
      </w:r>
      <w:r w:rsidR="00E85852" w:rsidRPr="003736F5">
        <w:rPr>
          <w:rFonts w:cs="Times New Roman"/>
        </w:rPr>
        <w:t xml:space="preserve"> more qualified staff,</w:t>
      </w:r>
      <w:r w:rsidRPr="003736F5">
        <w:rPr>
          <w:rFonts w:cs="Times New Roman"/>
        </w:rPr>
        <w:t xml:space="preserve"> better </w:t>
      </w:r>
      <w:proofErr w:type="gramStart"/>
      <w:r w:rsidRPr="003736F5">
        <w:rPr>
          <w:rFonts w:cs="Times New Roman"/>
        </w:rPr>
        <w:t>technology</w:t>
      </w:r>
      <w:proofErr w:type="gramEnd"/>
      <w:r w:rsidRPr="003736F5">
        <w:rPr>
          <w:rFonts w:cs="Times New Roman"/>
        </w:rPr>
        <w:t xml:space="preserve"> or </w:t>
      </w:r>
      <w:r w:rsidR="003E03F0" w:rsidRPr="003736F5">
        <w:rPr>
          <w:rFonts w:cs="Times New Roman"/>
        </w:rPr>
        <w:t xml:space="preserve">improve their </w:t>
      </w:r>
      <w:r w:rsidR="0065370A" w:rsidRPr="003736F5">
        <w:rPr>
          <w:rFonts w:cs="Times New Roman"/>
        </w:rPr>
        <w:t>management</w:t>
      </w:r>
      <w:r w:rsidRPr="003736F5">
        <w:rPr>
          <w:rFonts w:cs="Times New Roman"/>
        </w:rPr>
        <w:t xml:space="preserve">, </w:t>
      </w:r>
      <w:r w:rsidR="003E03F0" w:rsidRPr="003736F5">
        <w:rPr>
          <w:rFonts w:cs="Times New Roman"/>
        </w:rPr>
        <w:t xml:space="preserve">enabling catch-up with their larger competitors. </w:t>
      </w:r>
    </w:p>
    <w:p w14:paraId="23CBD686" w14:textId="54A2310E" w:rsidR="0095780D" w:rsidRPr="003736F5" w:rsidRDefault="00A45F04" w:rsidP="00357084">
      <w:pPr>
        <w:rPr>
          <w:rFonts w:cs="Times New Roman"/>
        </w:rPr>
      </w:pPr>
      <w:r w:rsidRPr="003736F5">
        <w:rPr>
          <w:rFonts w:cs="Times New Roman"/>
        </w:rPr>
        <w:t>Nevertheless</w:t>
      </w:r>
      <w:r w:rsidR="00DB157C" w:rsidRPr="003736F5">
        <w:rPr>
          <w:rFonts w:cs="Times New Roman"/>
        </w:rPr>
        <w:t>, t</w:t>
      </w:r>
      <w:r w:rsidR="00020407" w:rsidRPr="003736F5">
        <w:rPr>
          <w:rFonts w:cs="Times New Roman"/>
        </w:rPr>
        <w:t>his superficially plausible</w:t>
      </w:r>
      <w:r w:rsidR="006B3221" w:rsidRPr="003736F5">
        <w:rPr>
          <w:rFonts w:cs="Times New Roman"/>
        </w:rPr>
        <w:t xml:space="preserve"> ‘one size fits all’</w:t>
      </w:r>
      <w:r w:rsidR="00020407" w:rsidRPr="003736F5">
        <w:rPr>
          <w:rFonts w:cs="Times New Roman"/>
        </w:rPr>
        <w:t xml:space="preserve"> logic omits vital contextual location, </w:t>
      </w:r>
      <w:proofErr w:type="gramStart"/>
      <w:r w:rsidR="00020407" w:rsidRPr="003736F5">
        <w:rPr>
          <w:rFonts w:cs="Times New Roman"/>
        </w:rPr>
        <w:t>market</w:t>
      </w:r>
      <w:proofErr w:type="gramEnd"/>
      <w:r w:rsidR="00020407" w:rsidRPr="003736F5">
        <w:rPr>
          <w:rFonts w:cs="Times New Roman"/>
        </w:rPr>
        <w:t xml:space="preserve"> and industry factors.</w:t>
      </w:r>
      <w:r w:rsidR="00F84725" w:rsidRPr="003736F5">
        <w:rPr>
          <w:rFonts w:cs="Times New Roman"/>
        </w:rPr>
        <w:t xml:space="preserve"> </w:t>
      </w:r>
      <w:r w:rsidR="00907059" w:rsidRPr="003736F5">
        <w:rPr>
          <w:rFonts w:cs="Times New Roman"/>
        </w:rPr>
        <w:t>For instance, t</w:t>
      </w:r>
      <w:r w:rsidR="00020407" w:rsidRPr="003736F5">
        <w:rPr>
          <w:rFonts w:cs="Times New Roman"/>
        </w:rPr>
        <w:t>he delivery mechanism</w:t>
      </w:r>
      <w:r w:rsidR="00A91AF3" w:rsidRPr="003736F5">
        <w:rPr>
          <w:rFonts w:cs="Times New Roman"/>
        </w:rPr>
        <w:t xml:space="preserve"> </w:t>
      </w:r>
      <w:r w:rsidR="00020407" w:rsidRPr="003736F5">
        <w:rPr>
          <w:rFonts w:cs="Times New Roman"/>
        </w:rPr>
        <w:t xml:space="preserve">fails to account for the divergence between the statutory and economic incidence of taxation and the </w:t>
      </w:r>
      <w:r w:rsidR="00433B00" w:rsidRPr="003736F5">
        <w:rPr>
          <w:rFonts w:cs="Times New Roman"/>
        </w:rPr>
        <w:t>subsequent uneven</w:t>
      </w:r>
      <w:r w:rsidR="00020407" w:rsidRPr="003736F5">
        <w:rPr>
          <w:rFonts w:cs="Times New Roman"/>
        </w:rPr>
        <w:t xml:space="preserve"> appropriation of reliefs by property owners (</w:t>
      </w:r>
      <w:r w:rsidR="00A61765" w:rsidRPr="003736F5">
        <w:rPr>
          <w:rFonts w:cs="Times New Roman"/>
        </w:rPr>
        <w:t xml:space="preserve">Hilber, 2017; </w:t>
      </w:r>
      <w:r w:rsidR="00020407" w:rsidRPr="003736F5">
        <w:rPr>
          <w:rFonts w:cs="Times New Roman"/>
        </w:rPr>
        <w:t>Matikonis, 2020 and 2022)</w:t>
      </w:r>
      <w:r w:rsidR="002E467D" w:rsidRPr="003736F5">
        <w:rPr>
          <w:rFonts w:cs="Times New Roman"/>
        </w:rPr>
        <w:t xml:space="preserve">. </w:t>
      </w:r>
      <w:r w:rsidR="00241015" w:rsidRPr="003736F5">
        <w:rPr>
          <w:rFonts w:cs="Times New Roman"/>
        </w:rPr>
        <w:t xml:space="preserve">For those in receipt of </w:t>
      </w:r>
      <w:r w:rsidR="00B6080D" w:rsidRPr="003736F5">
        <w:rPr>
          <w:rFonts w:cs="Times New Roman"/>
        </w:rPr>
        <w:t xml:space="preserve">funds, </w:t>
      </w:r>
      <w:r w:rsidR="009756D2" w:rsidRPr="003736F5">
        <w:rPr>
          <w:rFonts w:cs="Times New Roman"/>
        </w:rPr>
        <w:t>l</w:t>
      </w:r>
      <w:r w:rsidR="00E46231" w:rsidRPr="003736F5">
        <w:rPr>
          <w:rFonts w:cs="Times New Roman"/>
        </w:rPr>
        <w:t>ittle consideration</w:t>
      </w:r>
      <w:r w:rsidR="002E467D" w:rsidRPr="003736F5">
        <w:rPr>
          <w:rFonts w:cs="Times New Roman"/>
        </w:rPr>
        <w:t xml:space="preserve"> is </w:t>
      </w:r>
      <w:r w:rsidR="007E361A" w:rsidRPr="003736F5">
        <w:rPr>
          <w:rFonts w:cs="Times New Roman"/>
        </w:rPr>
        <w:t>given to enc</w:t>
      </w:r>
      <w:r w:rsidR="00D84763" w:rsidRPr="003736F5">
        <w:rPr>
          <w:rFonts w:cs="Times New Roman"/>
        </w:rPr>
        <w:t>o</w:t>
      </w:r>
      <w:r w:rsidR="007E361A" w:rsidRPr="003736F5">
        <w:rPr>
          <w:rFonts w:cs="Times New Roman"/>
        </w:rPr>
        <w:t xml:space="preserve">uraging </w:t>
      </w:r>
      <w:r w:rsidR="00C718BA" w:rsidRPr="003736F5">
        <w:rPr>
          <w:rFonts w:cs="Times New Roman"/>
        </w:rPr>
        <w:t>them</w:t>
      </w:r>
      <w:r w:rsidR="00882425" w:rsidRPr="003736F5">
        <w:rPr>
          <w:rFonts w:cs="Times New Roman"/>
        </w:rPr>
        <w:t xml:space="preserve"> to invest </w:t>
      </w:r>
      <w:r w:rsidR="008509A8" w:rsidRPr="003736F5">
        <w:rPr>
          <w:rFonts w:cs="Times New Roman"/>
        </w:rPr>
        <w:t>in productivity improvements</w:t>
      </w:r>
      <w:r w:rsidR="000C2462" w:rsidRPr="003736F5">
        <w:rPr>
          <w:rFonts w:cs="Times New Roman"/>
        </w:rPr>
        <w:t>. N</w:t>
      </w:r>
      <w:r w:rsidR="00A11862" w:rsidRPr="003736F5">
        <w:rPr>
          <w:rFonts w:cs="Times New Roman"/>
        </w:rPr>
        <w:t>umerous factors</w:t>
      </w:r>
      <w:r w:rsidR="00387805" w:rsidRPr="003736F5">
        <w:rPr>
          <w:rFonts w:cs="Times New Roman"/>
        </w:rPr>
        <w:t>, such as</w:t>
      </w:r>
      <w:r w:rsidR="00767E3F" w:rsidRPr="003736F5">
        <w:rPr>
          <w:rFonts w:cs="Times New Roman"/>
        </w:rPr>
        <w:t xml:space="preserve"> </w:t>
      </w:r>
      <w:r w:rsidR="00F5321D" w:rsidRPr="003736F5">
        <w:rPr>
          <w:rFonts w:cs="Times New Roman"/>
        </w:rPr>
        <w:t xml:space="preserve">staff shortages (Bennett and McGuinness, 2009), </w:t>
      </w:r>
      <w:r w:rsidR="002E6666" w:rsidRPr="003736F5">
        <w:rPr>
          <w:rFonts w:cs="Times New Roman"/>
        </w:rPr>
        <w:t>investment uncertainties (Bloom et al., 2018) or demand-pull innovation (Piva and Vivarelli, 2007),</w:t>
      </w:r>
      <w:r w:rsidR="00A11862" w:rsidRPr="003736F5">
        <w:rPr>
          <w:rFonts w:cs="Times New Roman"/>
        </w:rPr>
        <w:t xml:space="preserve"> could </w:t>
      </w:r>
      <w:r w:rsidR="008509A8" w:rsidRPr="003736F5">
        <w:rPr>
          <w:rFonts w:cs="Times New Roman"/>
        </w:rPr>
        <w:t xml:space="preserve">interact in </w:t>
      </w:r>
      <w:r w:rsidR="00A11862" w:rsidRPr="003736F5">
        <w:rPr>
          <w:rFonts w:cs="Times New Roman"/>
        </w:rPr>
        <w:t>limit</w:t>
      </w:r>
      <w:r w:rsidR="008509A8" w:rsidRPr="003736F5">
        <w:rPr>
          <w:rFonts w:cs="Times New Roman"/>
        </w:rPr>
        <w:t>ing</w:t>
      </w:r>
      <w:r w:rsidR="00A11862" w:rsidRPr="003736F5">
        <w:rPr>
          <w:rFonts w:cs="Times New Roman"/>
        </w:rPr>
        <w:t xml:space="preserve"> </w:t>
      </w:r>
      <w:r w:rsidR="00B94A14" w:rsidRPr="003736F5">
        <w:rPr>
          <w:rFonts w:cs="Times New Roman"/>
        </w:rPr>
        <w:t>productivity gains</w:t>
      </w:r>
      <w:r w:rsidR="008509A8" w:rsidRPr="003736F5">
        <w:rPr>
          <w:rFonts w:cs="Times New Roman"/>
        </w:rPr>
        <w:t>.</w:t>
      </w:r>
      <w:r w:rsidR="006111A1" w:rsidRPr="003736F5">
        <w:rPr>
          <w:rFonts w:cs="Times New Roman"/>
        </w:rPr>
        <w:t xml:space="preserve"> </w:t>
      </w:r>
    </w:p>
    <w:p w14:paraId="1E52713F" w14:textId="059F10AC" w:rsidR="00D141A0" w:rsidRPr="003736F5" w:rsidRDefault="00565EAD" w:rsidP="00357084">
      <w:pPr>
        <w:rPr>
          <w:rFonts w:cs="Times New Roman"/>
        </w:rPr>
      </w:pPr>
      <w:r w:rsidRPr="003736F5">
        <w:rPr>
          <w:rFonts w:cs="Times New Roman"/>
        </w:rPr>
        <w:lastRenderedPageBreak/>
        <w:t>Papers in SBEJ have been integral in contributing to our knowledge base of small business taxation</w:t>
      </w:r>
      <w:proofErr w:type="gramStart"/>
      <w:r w:rsidRPr="003736F5">
        <w:rPr>
          <w:rFonts w:cs="Times New Roman"/>
        </w:rPr>
        <w:t>, in particular, its</w:t>
      </w:r>
      <w:proofErr w:type="gramEnd"/>
      <w:r w:rsidRPr="003736F5">
        <w:rPr>
          <w:rFonts w:cs="Times New Roman"/>
        </w:rPr>
        <w:t xml:space="preserve"> effects on entrepreneurship (Baliamoune-Lutz and Garello, 2014; </w:t>
      </w:r>
      <w:r w:rsidR="00C94218" w:rsidRPr="003736F5">
        <w:rPr>
          <w:rFonts w:cs="Times New Roman"/>
        </w:rPr>
        <w:t xml:space="preserve">Bennett, 2020; </w:t>
      </w:r>
      <w:r w:rsidRPr="003736F5">
        <w:rPr>
          <w:rFonts w:cs="Times New Roman"/>
        </w:rPr>
        <w:t>Bruce and Mohsin, 2006; Ferede, 20</w:t>
      </w:r>
      <w:r w:rsidR="0085128C" w:rsidRPr="003736F5">
        <w:rPr>
          <w:rFonts w:cs="Times New Roman"/>
        </w:rPr>
        <w:t>21</w:t>
      </w:r>
      <w:r w:rsidRPr="003736F5">
        <w:rPr>
          <w:rFonts w:cs="Times New Roman"/>
        </w:rPr>
        <w:t xml:space="preserve">; Venâncio et al., 2022) with findings </w:t>
      </w:r>
      <w:r w:rsidR="00745105" w:rsidRPr="003736F5">
        <w:rPr>
          <w:rFonts w:cs="Times New Roman"/>
        </w:rPr>
        <w:t>indicating</w:t>
      </w:r>
      <w:r w:rsidRPr="003736F5">
        <w:rPr>
          <w:rFonts w:cs="Times New Roman"/>
        </w:rPr>
        <w:t xml:space="preserve"> the detrimental impact of taxation, including </w:t>
      </w:r>
      <w:r w:rsidR="00745105" w:rsidRPr="003736F5">
        <w:rPr>
          <w:rFonts w:cs="Times New Roman"/>
        </w:rPr>
        <w:t xml:space="preserve">to </w:t>
      </w:r>
      <w:r w:rsidRPr="003736F5">
        <w:rPr>
          <w:rFonts w:cs="Times New Roman"/>
        </w:rPr>
        <w:t>productivity (Romero-Jordán et al., 2020). Although this is generally supported by literature on tax incentives (Liu et al., 2019; Sterlacchini and Venturini, 2019</w:t>
      </w:r>
      <w:r w:rsidR="00E471E8" w:rsidRPr="003736F5">
        <w:rPr>
          <w:rFonts w:cs="Times New Roman"/>
        </w:rPr>
        <w:t xml:space="preserve">; </w:t>
      </w:r>
      <w:r w:rsidR="00EA6B41" w:rsidRPr="003736F5">
        <w:rPr>
          <w:rFonts w:cs="Times New Roman"/>
        </w:rPr>
        <w:t>Venancio et al., 2022</w:t>
      </w:r>
      <w:r w:rsidRPr="003736F5">
        <w:rPr>
          <w:rFonts w:cs="Times New Roman"/>
        </w:rPr>
        <w:t xml:space="preserve">), Gobey and Matikonis (2021) show that this is not the case for the UK, where they find that small business property tax reductions do not produce additional employment. </w:t>
      </w:r>
    </w:p>
    <w:p w14:paraId="5DF1A45A" w14:textId="0746E47B" w:rsidR="00565EAD" w:rsidRPr="003736F5" w:rsidRDefault="00565EAD" w:rsidP="00357084">
      <w:pPr>
        <w:rPr>
          <w:rFonts w:cs="Times New Roman"/>
        </w:rPr>
      </w:pPr>
      <w:r w:rsidRPr="003736F5">
        <w:rPr>
          <w:rFonts w:cs="Times New Roman"/>
        </w:rPr>
        <w:t xml:space="preserve">We build on their study, but instead of employment, we focus on productivity when comparing the recipients of these reductions to non-recipients. </w:t>
      </w:r>
      <w:r w:rsidR="00A5665D" w:rsidRPr="003736F5">
        <w:rPr>
          <w:rFonts w:cs="Times New Roman"/>
        </w:rPr>
        <w:t xml:space="preserve">Informed by the configurational approaches </w:t>
      </w:r>
      <w:r w:rsidR="009939EC" w:rsidRPr="003736F5">
        <w:rPr>
          <w:rFonts w:cs="Times New Roman"/>
        </w:rPr>
        <w:t>constructed</w:t>
      </w:r>
      <w:r w:rsidR="00A5665D" w:rsidRPr="003736F5">
        <w:rPr>
          <w:rFonts w:cs="Times New Roman"/>
        </w:rPr>
        <w:t xml:space="preserve"> from the complexity theory that rejects the ‘one size fits all’ approach to studying organisations</w:t>
      </w:r>
      <w:r w:rsidR="00B12E43" w:rsidRPr="003736F5">
        <w:rPr>
          <w:rFonts w:cs="Times New Roman"/>
        </w:rPr>
        <w:t xml:space="preserve"> (Meyer et al., 1993)</w:t>
      </w:r>
      <w:r w:rsidR="003F2A61" w:rsidRPr="003736F5">
        <w:rPr>
          <w:rFonts w:cs="Times New Roman"/>
        </w:rPr>
        <w:t>, w</w:t>
      </w:r>
      <w:r w:rsidRPr="003736F5">
        <w:rPr>
          <w:rFonts w:cs="Times New Roman"/>
        </w:rPr>
        <w:t>e also account for vital contextual location, market and industry factors with the use of the novel Sela and Simonoff (2012) and Fu and Simonoff (2015) Random Effects Expectation Maximisation (RE-EM) decision tree algorithm</w:t>
      </w:r>
      <w:r w:rsidR="00CD5765" w:rsidRPr="003736F5">
        <w:rPr>
          <w:rFonts w:cs="Times New Roman"/>
        </w:rPr>
        <w:t>.</w:t>
      </w:r>
      <w:r w:rsidRPr="003736F5">
        <w:rPr>
          <w:rStyle w:val="FootnoteReference"/>
          <w:rFonts w:cs="Times New Roman"/>
          <w:color w:val="000000"/>
        </w:rPr>
        <w:footnoteReference w:id="2"/>
      </w:r>
      <w:r w:rsidRPr="003736F5">
        <w:rPr>
          <w:rFonts w:cs="Times New Roman"/>
        </w:rPr>
        <w:t xml:space="preserve"> We show how these non-parametric techniques, known as regression trees, enable us to visualise and identify complex hierarchical relationships when analysing whether recipients of deep reductions in property taxes are associated with higher total productivity.</w:t>
      </w:r>
    </w:p>
    <w:bookmarkEnd w:id="1"/>
    <w:p w14:paraId="1A3AEA16" w14:textId="37CCF904" w:rsidR="000646C2" w:rsidRPr="003736F5" w:rsidRDefault="000646C2" w:rsidP="00F33A4C">
      <w:pPr>
        <w:rPr>
          <w:rFonts w:cs="Times New Roman"/>
          <w:color w:val="000000"/>
        </w:rPr>
      </w:pPr>
      <w:r w:rsidRPr="003736F5">
        <w:rPr>
          <w:rFonts w:cs="Times New Roman"/>
          <w:color w:val="000000"/>
        </w:rPr>
        <w:t xml:space="preserve">We visualise the significant levels of total factor productivity depending on the depth of the relief and other finer-grained characteristics, including location and industry-specific indexes. Our results suggest that when significant, the reductions in property taxation over sustained periods are associated with lower </w:t>
      </w:r>
      <w:r w:rsidR="001C1B91" w:rsidRPr="003736F5">
        <w:rPr>
          <w:rFonts w:cs="Times New Roman"/>
          <w:color w:val="000000"/>
        </w:rPr>
        <w:t>productivity</w:t>
      </w:r>
      <w:r w:rsidRPr="003736F5">
        <w:rPr>
          <w:rFonts w:cs="Times New Roman"/>
          <w:color w:val="000000"/>
        </w:rPr>
        <w:t xml:space="preserve"> levels, but this relationship interacts with numerous location, </w:t>
      </w:r>
      <w:proofErr w:type="gramStart"/>
      <w:r w:rsidRPr="003736F5">
        <w:rPr>
          <w:rFonts w:cs="Times New Roman"/>
          <w:color w:val="000000"/>
        </w:rPr>
        <w:t>market</w:t>
      </w:r>
      <w:proofErr w:type="gramEnd"/>
      <w:r w:rsidRPr="003736F5">
        <w:rPr>
          <w:rFonts w:cs="Times New Roman"/>
          <w:color w:val="000000"/>
        </w:rPr>
        <w:t xml:space="preserve"> and industry factors. </w:t>
      </w:r>
      <w:r w:rsidR="00865B99" w:rsidRPr="003736F5">
        <w:rPr>
          <w:rFonts w:cs="Times New Roman"/>
          <w:color w:val="000000"/>
        </w:rPr>
        <w:t xml:space="preserve">Thus, we suggest that a nuanced and targeted </w:t>
      </w:r>
      <w:r w:rsidR="00865B99" w:rsidRPr="003736F5">
        <w:rPr>
          <w:rFonts w:cs="Times New Roman"/>
          <w:color w:val="000000"/>
        </w:rPr>
        <w:lastRenderedPageBreak/>
        <w:t>policy incorporating an understanding of local drivers and constraints could be more fruitful than the current generic polic</w:t>
      </w:r>
      <w:r w:rsidRPr="003736F5">
        <w:rPr>
          <w:rFonts w:cs="Times New Roman"/>
          <w:color w:val="000000"/>
        </w:rPr>
        <w:t>y based on building and land value.</w:t>
      </w:r>
    </w:p>
    <w:p w14:paraId="61331C37" w14:textId="61DD3EAE" w:rsidR="004C660A" w:rsidRPr="003736F5" w:rsidRDefault="5C021E0F" w:rsidP="00F33A4C">
      <w:pPr>
        <w:rPr>
          <w:rFonts w:cs="Times New Roman"/>
        </w:rPr>
      </w:pPr>
      <w:r w:rsidRPr="003736F5">
        <w:rPr>
          <w:rFonts w:cs="Times New Roman"/>
        </w:rPr>
        <w:t xml:space="preserve">We </w:t>
      </w:r>
      <w:r w:rsidR="004C660A" w:rsidRPr="003736F5">
        <w:rPr>
          <w:rFonts w:cs="Times New Roman"/>
        </w:rPr>
        <w:t xml:space="preserve">structure the rest of the paper as follows. In </w:t>
      </w:r>
      <w:r w:rsidR="000D613D" w:rsidRPr="003736F5">
        <w:rPr>
          <w:rFonts w:cs="Times New Roman"/>
        </w:rPr>
        <w:t>s</w:t>
      </w:r>
      <w:r w:rsidR="004C660A" w:rsidRPr="003736F5">
        <w:rPr>
          <w:rFonts w:cs="Times New Roman"/>
        </w:rPr>
        <w:t xml:space="preserve">ection </w:t>
      </w:r>
      <w:r w:rsidR="00785073" w:rsidRPr="003736F5">
        <w:rPr>
          <w:rFonts w:cs="Times New Roman"/>
        </w:rPr>
        <w:t>2</w:t>
      </w:r>
      <w:r w:rsidR="0068403F" w:rsidRPr="003736F5">
        <w:rPr>
          <w:rFonts w:cs="Times New Roman"/>
        </w:rPr>
        <w:t xml:space="preserve">, </w:t>
      </w:r>
      <w:r w:rsidR="004C660A" w:rsidRPr="003736F5">
        <w:rPr>
          <w:rFonts w:cs="Times New Roman"/>
        </w:rPr>
        <w:t xml:space="preserve">we </w:t>
      </w:r>
      <w:r w:rsidR="00F2356E" w:rsidRPr="003736F5">
        <w:rPr>
          <w:rFonts w:cs="Times New Roman"/>
        </w:rPr>
        <w:t>summarise</w:t>
      </w:r>
      <w:r w:rsidR="004C660A" w:rsidRPr="003736F5">
        <w:rPr>
          <w:rFonts w:cs="Times New Roman"/>
        </w:rPr>
        <w:t xml:space="preserve"> the </w:t>
      </w:r>
      <w:r w:rsidR="00F2356E" w:rsidRPr="003736F5">
        <w:rPr>
          <w:rFonts w:cs="Times New Roman"/>
        </w:rPr>
        <w:t xml:space="preserve">UK </w:t>
      </w:r>
      <w:r w:rsidR="004C660A" w:rsidRPr="003736F5">
        <w:rPr>
          <w:rFonts w:cs="Times New Roman"/>
        </w:rPr>
        <w:t>property tax regime and its policy context</w:t>
      </w:r>
      <w:r w:rsidR="0068403F" w:rsidRPr="003736F5">
        <w:rPr>
          <w:rFonts w:cs="Times New Roman"/>
        </w:rPr>
        <w:t>.</w:t>
      </w:r>
      <w:r w:rsidR="0038173E" w:rsidRPr="003736F5">
        <w:rPr>
          <w:rFonts w:cs="Times New Roman"/>
        </w:rPr>
        <w:t xml:space="preserve"> In </w:t>
      </w:r>
      <w:r w:rsidR="000D613D" w:rsidRPr="003736F5">
        <w:rPr>
          <w:rFonts w:cs="Times New Roman"/>
        </w:rPr>
        <w:t>s</w:t>
      </w:r>
      <w:r w:rsidR="0038173E" w:rsidRPr="003736F5">
        <w:rPr>
          <w:rFonts w:cs="Times New Roman"/>
        </w:rPr>
        <w:t>ection 3, we briefly introduce configurational approaches.</w:t>
      </w:r>
      <w:r w:rsidR="004C660A" w:rsidRPr="003736F5">
        <w:rPr>
          <w:rFonts w:cs="Times New Roman"/>
        </w:rPr>
        <w:t xml:space="preserve"> </w:t>
      </w:r>
      <w:r w:rsidR="0068403F" w:rsidRPr="003736F5">
        <w:rPr>
          <w:rFonts w:cs="Times New Roman"/>
        </w:rPr>
        <w:t>W</w:t>
      </w:r>
      <w:r w:rsidR="004C660A" w:rsidRPr="003736F5">
        <w:rPr>
          <w:rFonts w:cs="Times New Roman"/>
        </w:rPr>
        <w:t xml:space="preserve">e then discuss the data, </w:t>
      </w:r>
      <w:proofErr w:type="gramStart"/>
      <w:r w:rsidR="004C660A" w:rsidRPr="003736F5">
        <w:rPr>
          <w:rFonts w:cs="Times New Roman"/>
        </w:rPr>
        <w:t>modelling</w:t>
      </w:r>
      <w:proofErr w:type="gramEnd"/>
      <w:r w:rsidR="004C660A" w:rsidRPr="003736F5">
        <w:rPr>
          <w:rFonts w:cs="Times New Roman"/>
        </w:rPr>
        <w:t xml:space="preserve"> and approach to estimation in </w:t>
      </w:r>
      <w:r w:rsidR="000D613D" w:rsidRPr="003736F5">
        <w:rPr>
          <w:rFonts w:cs="Times New Roman"/>
        </w:rPr>
        <w:t>s</w:t>
      </w:r>
      <w:r w:rsidR="004C660A" w:rsidRPr="003736F5">
        <w:rPr>
          <w:rFonts w:cs="Times New Roman"/>
        </w:rPr>
        <w:t xml:space="preserve">ection </w:t>
      </w:r>
      <w:r w:rsidR="003E4873" w:rsidRPr="003736F5">
        <w:rPr>
          <w:rFonts w:cs="Times New Roman"/>
        </w:rPr>
        <w:t>4</w:t>
      </w:r>
      <w:r w:rsidR="0068403F" w:rsidRPr="003736F5">
        <w:rPr>
          <w:rFonts w:cs="Times New Roman"/>
        </w:rPr>
        <w:t xml:space="preserve">. </w:t>
      </w:r>
      <w:r w:rsidR="004C660A" w:rsidRPr="003736F5">
        <w:rPr>
          <w:rFonts w:cs="Times New Roman"/>
        </w:rPr>
        <w:t xml:space="preserve">In section </w:t>
      </w:r>
      <w:r w:rsidR="003E4873" w:rsidRPr="003736F5">
        <w:rPr>
          <w:rFonts w:cs="Times New Roman"/>
        </w:rPr>
        <w:t>5</w:t>
      </w:r>
      <w:r w:rsidR="0068403F" w:rsidRPr="003736F5">
        <w:rPr>
          <w:rFonts w:cs="Times New Roman"/>
        </w:rPr>
        <w:t xml:space="preserve">, </w:t>
      </w:r>
      <w:r w:rsidR="004C660A" w:rsidRPr="003736F5">
        <w:rPr>
          <w:rFonts w:cs="Times New Roman"/>
        </w:rPr>
        <w:t>we present our findings</w:t>
      </w:r>
      <w:r w:rsidR="00465184" w:rsidRPr="003736F5">
        <w:rPr>
          <w:rFonts w:cs="Times New Roman"/>
        </w:rPr>
        <w:t>,</w:t>
      </w:r>
      <w:r w:rsidR="004C660A" w:rsidRPr="003736F5">
        <w:rPr>
          <w:rFonts w:cs="Times New Roman"/>
        </w:rPr>
        <w:t xml:space="preserve"> and we </w:t>
      </w:r>
      <w:r w:rsidR="0068403F" w:rsidRPr="003736F5">
        <w:rPr>
          <w:rFonts w:cs="Times New Roman"/>
        </w:rPr>
        <w:t xml:space="preserve">set out our </w:t>
      </w:r>
      <w:r w:rsidR="004C660A" w:rsidRPr="003736F5">
        <w:rPr>
          <w:rFonts w:cs="Times New Roman"/>
        </w:rPr>
        <w:t>conclu</w:t>
      </w:r>
      <w:r w:rsidR="0068403F" w:rsidRPr="003736F5">
        <w:rPr>
          <w:rFonts w:cs="Times New Roman"/>
        </w:rPr>
        <w:t>sion</w:t>
      </w:r>
      <w:r w:rsidR="004C660A" w:rsidRPr="003736F5">
        <w:rPr>
          <w:rFonts w:cs="Times New Roman"/>
        </w:rPr>
        <w:t xml:space="preserve"> in </w:t>
      </w:r>
      <w:r w:rsidR="000D613D" w:rsidRPr="003736F5">
        <w:rPr>
          <w:rFonts w:cs="Times New Roman"/>
        </w:rPr>
        <w:t>s</w:t>
      </w:r>
      <w:r w:rsidR="004C660A" w:rsidRPr="003736F5">
        <w:rPr>
          <w:rFonts w:cs="Times New Roman"/>
        </w:rPr>
        <w:t xml:space="preserve">ection </w:t>
      </w:r>
      <w:r w:rsidR="003E4873" w:rsidRPr="003736F5">
        <w:rPr>
          <w:rFonts w:cs="Times New Roman"/>
        </w:rPr>
        <w:t>6</w:t>
      </w:r>
      <w:r w:rsidR="0068403F" w:rsidRPr="003736F5">
        <w:rPr>
          <w:rFonts w:cs="Times New Roman"/>
        </w:rPr>
        <w:t>.</w:t>
      </w:r>
    </w:p>
    <w:p w14:paraId="00CE5C1A" w14:textId="77777777" w:rsidR="004C660A" w:rsidRPr="003736F5" w:rsidRDefault="004C660A" w:rsidP="007B0104">
      <w:pPr>
        <w:pStyle w:val="Heading1"/>
        <w:numPr>
          <w:ilvl w:val="0"/>
          <w:numId w:val="10"/>
        </w:numPr>
        <w:jc w:val="left"/>
      </w:pPr>
      <w:r w:rsidRPr="003736F5">
        <w:t>Small Business Rate Reliefs</w:t>
      </w:r>
    </w:p>
    <w:p w14:paraId="46F39F66" w14:textId="410A0BEC" w:rsidR="00A02CB5" w:rsidRPr="003736F5" w:rsidRDefault="00796618" w:rsidP="00796618">
      <w:pPr>
        <w:rPr>
          <w:rFonts w:eastAsia="Times New Roman" w:cs="Times New Roman"/>
        </w:rPr>
      </w:pPr>
      <w:r w:rsidRPr="003736F5">
        <w:rPr>
          <w:rFonts w:eastAsia="Times New Roman" w:cs="Times New Roman"/>
        </w:rPr>
        <w:t>The Small Business Rate Reliefs (SBRR) are substantial</w:t>
      </w:r>
      <w:r w:rsidR="007A7B9E" w:rsidRPr="003736F5">
        <w:rPr>
          <w:rFonts w:eastAsia="Times New Roman" w:cs="Times New Roman"/>
        </w:rPr>
        <w:t xml:space="preserve"> </w:t>
      </w:r>
      <w:r w:rsidRPr="003736F5">
        <w:rPr>
          <w:rFonts w:eastAsia="Times New Roman" w:cs="Times New Roman"/>
        </w:rPr>
        <w:t xml:space="preserve">reductions to the non-domestic property taxation </w:t>
      </w:r>
      <w:r w:rsidR="002005A0" w:rsidRPr="003736F5">
        <w:rPr>
          <w:rFonts w:eastAsia="Times New Roman" w:cs="Times New Roman"/>
        </w:rPr>
        <w:t>receipts</w:t>
      </w:r>
      <w:r w:rsidRPr="003736F5">
        <w:rPr>
          <w:rFonts w:eastAsia="Times New Roman" w:cs="Times New Roman"/>
        </w:rPr>
        <w:t>, more widely known as Business Rates (BR), targeted at small businesses. The</w:t>
      </w:r>
      <w:r w:rsidR="003A4519" w:rsidRPr="003736F5">
        <w:rPr>
          <w:rFonts w:eastAsia="Times New Roman" w:cs="Times New Roman"/>
        </w:rPr>
        <w:t>se</w:t>
      </w:r>
      <w:r w:rsidRPr="003736F5">
        <w:rPr>
          <w:rFonts w:eastAsia="Times New Roman" w:cs="Times New Roman"/>
        </w:rPr>
        <w:t xml:space="preserve"> </w:t>
      </w:r>
      <w:r w:rsidR="008C2F1B" w:rsidRPr="003736F5">
        <w:rPr>
          <w:rFonts w:eastAsia="Times New Roman" w:cs="Times New Roman"/>
        </w:rPr>
        <w:t xml:space="preserve">tax </w:t>
      </w:r>
      <w:r w:rsidRPr="003736F5">
        <w:rPr>
          <w:rFonts w:eastAsia="Times New Roman" w:cs="Times New Roman"/>
        </w:rPr>
        <w:t xml:space="preserve">reliefs </w:t>
      </w:r>
      <w:r w:rsidR="002F1485" w:rsidRPr="003736F5">
        <w:rPr>
          <w:rFonts w:eastAsia="Times New Roman" w:cs="Times New Roman"/>
        </w:rPr>
        <w:t>(</w:t>
      </w:r>
      <w:r w:rsidRPr="003736F5">
        <w:rPr>
          <w:rFonts w:eastAsia="Times New Roman" w:cs="Times New Roman"/>
        </w:rPr>
        <w:t>or subsidies</w:t>
      </w:r>
      <w:r w:rsidR="002F1485" w:rsidRPr="003736F5">
        <w:rPr>
          <w:rFonts w:eastAsia="Times New Roman" w:cs="Times New Roman"/>
        </w:rPr>
        <w:t>)</w:t>
      </w:r>
      <w:r w:rsidRPr="003736F5">
        <w:rPr>
          <w:rFonts w:eastAsia="Times New Roman" w:cs="Times New Roman"/>
        </w:rPr>
        <w:t xml:space="preserve"> were first introduced in Scotland in 2003, England in 2005 and Wales in 2007. Initially, </w:t>
      </w:r>
      <w:r w:rsidR="006469CD" w:rsidRPr="003736F5">
        <w:rPr>
          <w:rFonts w:eastAsia="Times New Roman" w:cs="Times New Roman"/>
        </w:rPr>
        <w:t>they</w:t>
      </w:r>
      <w:r w:rsidRPr="003736F5">
        <w:rPr>
          <w:rFonts w:eastAsia="Times New Roman" w:cs="Times New Roman"/>
        </w:rPr>
        <w:t xml:space="preserve"> were temporary reliefs, but </w:t>
      </w:r>
      <w:r w:rsidR="00247371" w:rsidRPr="003736F5">
        <w:rPr>
          <w:rFonts w:eastAsia="Times New Roman" w:cs="Times New Roman"/>
        </w:rPr>
        <w:t xml:space="preserve">these and subsequent deeper reductions have become permanent over time, </w:t>
      </w:r>
      <w:r w:rsidR="006918DD" w:rsidRPr="003736F5">
        <w:rPr>
          <w:rFonts w:eastAsia="Times New Roman" w:cs="Times New Roman"/>
        </w:rPr>
        <w:t>despite</w:t>
      </w:r>
      <w:r w:rsidR="00247371" w:rsidRPr="003736F5">
        <w:rPr>
          <w:rFonts w:eastAsia="Times New Roman" w:cs="Times New Roman"/>
        </w:rPr>
        <w:t xml:space="preserve"> little evidence that they have supported local business or</w:t>
      </w:r>
      <w:r w:rsidRPr="003736F5">
        <w:rPr>
          <w:rFonts w:eastAsia="Times New Roman" w:cs="Times New Roman"/>
        </w:rPr>
        <w:t xml:space="preserve"> growth (Gobey and Matikonis, 2021). </w:t>
      </w:r>
    </w:p>
    <w:p w14:paraId="04A5DB56" w14:textId="24C04EC3" w:rsidR="00D57AA5" w:rsidRPr="003736F5" w:rsidRDefault="00D57AA5" w:rsidP="00D57AA5">
      <w:pPr>
        <w:rPr>
          <w:rFonts w:eastAsia="Times New Roman" w:cs="Times New Roman"/>
        </w:rPr>
      </w:pPr>
      <w:r w:rsidRPr="003736F5">
        <w:rPr>
          <w:rFonts w:eastAsia="Times New Roman" w:cs="Times New Roman"/>
        </w:rPr>
        <w:t>BR is a substantive high-profile UK tax instrument which raises the equivalent of around half the revenue raised from corporation taxes</w:t>
      </w:r>
      <w:r w:rsidR="004914B9" w:rsidRPr="003736F5">
        <w:rPr>
          <w:rFonts w:eastAsia="Times New Roman" w:cs="Times New Roman"/>
        </w:rPr>
        <w:t xml:space="preserve"> and </w:t>
      </w:r>
      <w:r w:rsidR="007A7B9E" w:rsidRPr="003736F5">
        <w:rPr>
          <w:rFonts w:eastAsia="Times New Roman" w:cs="Times New Roman"/>
        </w:rPr>
        <w:t>places a great cost on businesses</w:t>
      </w:r>
      <w:r w:rsidRPr="003736F5">
        <w:rPr>
          <w:rFonts w:eastAsia="Times New Roman" w:cs="Times New Roman"/>
        </w:rPr>
        <w:t>.</w:t>
      </w:r>
      <w:r w:rsidR="007A7B9E" w:rsidRPr="003736F5">
        <w:rPr>
          <w:rStyle w:val="FootnoteReference"/>
          <w:rFonts w:eastAsia="Times New Roman" w:cs="Times New Roman"/>
        </w:rPr>
        <w:footnoteReference w:id="3"/>
      </w:r>
      <w:r w:rsidR="007A7B9E" w:rsidRPr="003736F5">
        <w:rPr>
          <w:rFonts w:eastAsia="Times New Roman" w:cs="Times New Roman"/>
        </w:rPr>
        <w:t xml:space="preserve"> </w:t>
      </w:r>
      <w:r w:rsidR="007A7B9E" w:rsidRPr="003736F5">
        <w:rPr>
          <w:rStyle w:val="FootnoteReference"/>
          <w:rFonts w:eastAsia="Times New Roman" w:cs="Times New Roman"/>
        </w:rPr>
        <w:t xml:space="preserve"> </w:t>
      </w:r>
      <w:r w:rsidRPr="003736F5">
        <w:rPr>
          <w:rFonts w:eastAsia="Times New Roman" w:cs="Times New Roman"/>
        </w:rPr>
        <w:t>It was reformed as a centrali</w:t>
      </w:r>
      <w:r w:rsidR="00A100F2" w:rsidRPr="003736F5">
        <w:rPr>
          <w:rFonts w:eastAsia="Times New Roman" w:cs="Times New Roman"/>
        </w:rPr>
        <w:t>s</w:t>
      </w:r>
      <w:r w:rsidRPr="003736F5">
        <w:rPr>
          <w:rFonts w:eastAsia="Times New Roman" w:cs="Times New Roman"/>
        </w:rPr>
        <w:t xml:space="preserve">ed tax instrument, with powers removed from local councils in 1990 as part of the wider reform of local council funding, which included the infamous poll tax. Local councils have consequently had </w:t>
      </w:r>
      <w:r w:rsidR="004B24BA" w:rsidRPr="003736F5">
        <w:rPr>
          <w:rFonts w:eastAsia="Times New Roman" w:cs="Times New Roman"/>
        </w:rPr>
        <w:t>minimal</w:t>
      </w:r>
      <w:r w:rsidRPr="003736F5">
        <w:rPr>
          <w:rFonts w:eastAsia="Times New Roman" w:cs="Times New Roman"/>
        </w:rPr>
        <w:t xml:space="preserve"> ability to finesse the local application of the tax and associated reliefs to meet </w:t>
      </w:r>
      <w:r w:rsidR="6D06BBA8" w:rsidRPr="003736F5">
        <w:rPr>
          <w:rFonts w:eastAsia="Times New Roman" w:cs="Times New Roman"/>
        </w:rPr>
        <w:t>heterogeneous</w:t>
      </w:r>
      <w:r w:rsidRPr="003736F5">
        <w:rPr>
          <w:rFonts w:eastAsia="Times New Roman" w:cs="Times New Roman"/>
        </w:rPr>
        <w:t xml:space="preserve"> local needs. The SBRR are then centrally defined </w:t>
      </w:r>
      <w:r w:rsidRPr="003736F5">
        <w:rPr>
          <w:rFonts w:eastAsia="Times New Roman" w:cs="Times New Roman"/>
        </w:rPr>
        <w:lastRenderedPageBreak/>
        <w:t xml:space="preserve">homogeneous (within each separate nation) and unconditional revenue reductions, which in England alone, up to 2022, have been forecast to reduce revenue by £16bn </w:t>
      </w:r>
      <w:bookmarkStart w:id="2" w:name="_Hlk103680849"/>
      <w:r w:rsidRPr="003736F5">
        <w:rPr>
          <w:rFonts w:eastAsia="Times New Roman" w:cs="Times New Roman"/>
        </w:rPr>
        <w:t>(HM Treasury, 2017</w:t>
      </w:r>
      <w:bookmarkEnd w:id="2"/>
      <w:r w:rsidRPr="003736F5">
        <w:rPr>
          <w:rFonts w:eastAsia="Times New Roman" w:cs="Times New Roman"/>
        </w:rPr>
        <w:t xml:space="preserve">). Moreover, the reductions introduced </w:t>
      </w:r>
      <w:r w:rsidR="009B2F56" w:rsidRPr="003736F5">
        <w:rPr>
          <w:rFonts w:eastAsia="Times New Roman" w:cs="Times New Roman"/>
        </w:rPr>
        <w:t>in</w:t>
      </w:r>
      <w:r w:rsidRPr="003736F5">
        <w:rPr>
          <w:rFonts w:eastAsia="Times New Roman" w:cs="Times New Roman"/>
        </w:rPr>
        <w:t xml:space="preserve"> 2017 reduced the liability for 900,000 firms, of which 600,000 saw their liability reduced to zero </w:t>
      </w:r>
      <w:r w:rsidR="008C2F1B" w:rsidRPr="003736F5">
        <w:rPr>
          <w:rFonts w:eastAsia="Times New Roman" w:cs="Times New Roman"/>
        </w:rPr>
        <w:t>(HM Treasury</w:t>
      </w:r>
      <w:r w:rsidR="003A278F" w:rsidRPr="003736F5">
        <w:rPr>
          <w:rFonts w:eastAsia="Times New Roman" w:cs="Times New Roman"/>
        </w:rPr>
        <w:t>,</w:t>
      </w:r>
      <w:r w:rsidR="008C2F1B" w:rsidRPr="003736F5">
        <w:rPr>
          <w:rFonts w:eastAsia="Times New Roman" w:cs="Times New Roman"/>
        </w:rPr>
        <w:t xml:space="preserve"> 2017). </w:t>
      </w:r>
      <w:r w:rsidRPr="003736F5">
        <w:rPr>
          <w:rFonts w:eastAsia="Times New Roman" w:cs="Times New Roman"/>
        </w:rPr>
        <w:t xml:space="preserve">These are from an approximate total population of two million firms and as such revenues are increasingly dependent on a narrowing set of larger firms.  </w:t>
      </w:r>
    </w:p>
    <w:p w14:paraId="69DC2BE6" w14:textId="7C7C224B" w:rsidR="004C660A" w:rsidRPr="003736F5" w:rsidRDefault="30BC2B77" w:rsidP="00F33A4C">
      <w:pPr>
        <w:rPr>
          <w:rFonts w:eastAsia="Times New Roman" w:cs="Times New Roman"/>
        </w:rPr>
      </w:pPr>
      <w:r w:rsidRPr="003736F5">
        <w:rPr>
          <w:rFonts w:eastAsia="Times New Roman" w:cs="Times New Roman"/>
        </w:rPr>
        <w:t xml:space="preserve">The calculation of a </w:t>
      </w:r>
      <w:r w:rsidR="71031687" w:rsidRPr="003736F5">
        <w:rPr>
          <w:rFonts w:eastAsia="Times New Roman" w:cs="Times New Roman"/>
        </w:rPr>
        <w:t xml:space="preserve">firm’s </w:t>
      </w:r>
      <w:r w:rsidR="004C660A" w:rsidRPr="003736F5">
        <w:rPr>
          <w:rFonts w:eastAsia="Times New Roman" w:cs="Times New Roman"/>
        </w:rPr>
        <w:t>BR</w:t>
      </w:r>
      <w:r w:rsidR="2F943BA1" w:rsidRPr="003736F5">
        <w:rPr>
          <w:rFonts w:eastAsia="Times New Roman" w:cs="Times New Roman"/>
        </w:rPr>
        <w:t xml:space="preserve"> liability </w:t>
      </w:r>
      <w:r w:rsidR="4BF61D46" w:rsidRPr="003736F5">
        <w:rPr>
          <w:rFonts w:eastAsia="Times New Roman" w:cs="Times New Roman"/>
        </w:rPr>
        <w:t xml:space="preserve">is </w:t>
      </w:r>
      <w:r w:rsidR="76D627BF" w:rsidRPr="003736F5">
        <w:rPr>
          <w:rFonts w:eastAsia="Times New Roman" w:cs="Times New Roman"/>
        </w:rPr>
        <w:t xml:space="preserve">based on </w:t>
      </w:r>
      <w:r w:rsidR="2125CD3A" w:rsidRPr="003736F5">
        <w:rPr>
          <w:rFonts w:eastAsia="Times New Roman" w:cs="Times New Roman"/>
        </w:rPr>
        <w:t>an</w:t>
      </w:r>
      <w:r w:rsidR="76D627BF" w:rsidRPr="003736F5">
        <w:rPr>
          <w:rFonts w:eastAsia="Times New Roman" w:cs="Times New Roman"/>
        </w:rPr>
        <w:t xml:space="preserve"> annually set multiplier linked to the</w:t>
      </w:r>
      <w:r w:rsidR="40925AF7" w:rsidRPr="003736F5">
        <w:rPr>
          <w:rFonts w:eastAsia="Times New Roman" w:cs="Times New Roman"/>
        </w:rPr>
        <w:t xml:space="preserve"> rateable</w:t>
      </w:r>
      <w:r w:rsidR="004C660A" w:rsidRPr="003736F5">
        <w:rPr>
          <w:rFonts w:eastAsia="Times New Roman" w:cs="Times New Roman"/>
        </w:rPr>
        <w:t xml:space="preserve"> value </w:t>
      </w:r>
      <w:r w:rsidR="17248290" w:rsidRPr="003736F5">
        <w:rPr>
          <w:rFonts w:eastAsia="Times New Roman" w:cs="Times New Roman"/>
        </w:rPr>
        <w:t>of a property</w:t>
      </w:r>
      <w:r w:rsidR="00AE085A" w:rsidRPr="003736F5">
        <w:rPr>
          <w:rFonts w:eastAsia="Times New Roman" w:cs="Times New Roman"/>
        </w:rPr>
        <w:t xml:space="preserve">, </w:t>
      </w:r>
      <w:r w:rsidR="47359257" w:rsidRPr="003736F5">
        <w:rPr>
          <w:rFonts w:eastAsia="Times New Roman" w:cs="Times New Roman"/>
        </w:rPr>
        <w:t xml:space="preserve">which is </w:t>
      </w:r>
      <w:r w:rsidR="2369DB11" w:rsidRPr="003736F5">
        <w:rPr>
          <w:rFonts w:eastAsia="Times New Roman" w:cs="Times New Roman"/>
        </w:rPr>
        <w:t>estimated</w:t>
      </w:r>
      <w:r w:rsidR="030D703F" w:rsidRPr="003736F5">
        <w:rPr>
          <w:rFonts w:eastAsia="Times New Roman" w:cs="Times New Roman"/>
        </w:rPr>
        <w:t xml:space="preserve"> on a </w:t>
      </w:r>
      <w:r w:rsidR="7BBE76CF" w:rsidRPr="003736F5">
        <w:rPr>
          <w:rFonts w:eastAsia="Times New Roman" w:cs="Times New Roman"/>
        </w:rPr>
        <w:t>five</w:t>
      </w:r>
      <w:r w:rsidR="030D703F" w:rsidRPr="003736F5">
        <w:rPr>
          <w:rFonts w:eastAsia="Times New Roman" w:cs="Times New Roman"/>
        </w:rPr>
        <w:t>-year cycle by the</w:t>
      </w:r>
      <w:r w:rsidR="7466168F" w:rsidRPr="003736F5">
        <w:rPr>
          <w:rFonts w:eastAsia="Times New Roman" w:cs="Times New Roman"/>
        </w:rPr>
        <w:t xml:space="preserve"> Valuation Office Agency</w:t>
      </w:r>
      <w:r w:rsidR="43DAC32C" w:rsidRPr="003736F5">
        <w:rPr>
          <w:rFonts w:eastAsia="Times New Roman" w:cs="Times New Roman"/>
        </w:rPr>
        <w:t>.</w:t>
      </w:r>
      <w:r w:rsidR="004C660A" w:rsidRPr="003736F5">
        <w:rPr>
          <w:rFonts w:eastAsia="Times New Roman" w:cs="Times New Roman"/>
        </w:rPr>
        <w:t xml:space="preserve"> </w:t>
      </w:r>
      <w:r w:rsidR="000B16AB" w:rsidRPr="003736F5">
        <w:rPr>
          <w:rFonts w:eastAsia="Times New Roman" w:cs="Times New Roman"/>
        </w:rPr>
        <w:t>R</w:t>
      </w:r>
      <w:r w:rsidR="000B16AB" w:rsidRPr="003736F5">
        <w:rPr>
          <w:rFonts w:cs="Times New Roman"/>
        </w:rPr>
        <w:t xml:space="preserve">ateable values </w:t>
      </w:r>
      <w:r w:rsidR="00AE085A" w:rsidRPr="003736F5">
        <w:rPr>
          <w:rFonts w:cs="Times New Roman"/>
        </w:rPr>
        <w:t xml:space="preserve">do not include such characteristics as sector, </w:t>
      </w:r>
      <w:proofErr w:type="gramStart"/>
      <w:r w:rsidR="00AE085A" w:rsidRPr="003736F5">
        <w:rPr>
          <w:rFonts w:cs="Times New Roman"/>
        </w:rPr>
        <w:t>turnover</w:t>
      </w:r>
      <w:proofErr w:type="gramEnd"/>
      <w:r w:rsidR="00AE085A" w:rsidRPr="003736F5">
        <w:rPr>
          <w:rFonts w:cs="Times New Roman"/>
        </w:rPr>
        <w:t xml:space="preserve"> or employment, leading to the mistargeting of SBRR (Matikonis, 2020).</w:t>
      </w:r>
      <w:r w:rsidR="00A340DE" w:rsidRPr="003736F5">
        <w:rPr>
          <w:rFonts w:cs="Times New Roman"/>
        </w:rPr>
        <w:t xml:space="preserve"> </w:t>
      </w:r>
      <w:r w:rsidR="0015787E" w:rsidRPr="003736F5">
        <w:rPr>
          <w:rFonts w:cs="Times New Roman"/>
        </w:rPr>
        <w:t>Instead, t</w:t>
      </w:r>
      <w:r w:rsidR="00A340DE" w:rsidRPr="003736F5">
        <w:rPr>
          <w:rFonts w:cs="Times New Roman"/>
        </w:rPr>
        <w:t xml:space="preserve">he estimation is </w:t>
      </w:r>
      <w:r w:rsidR="00FB4FF9" w:rsidRPr="003736F5">
        <w:rPr>
          <w:rFonts w:cs="Times New Roman"/>
        </w:rPr>
        <w:t xml:space="preserve">solely </w:t>
      </w:r>
      <w:r w:rsidR="00A340DE" w:rsidRPr="003736F5">
        <w:rPr>
          <w:rFonts w:cs="Times New Roman"/>
        </w:rPr>
        <w:t xml:space="preserve">based on </w:t>
      </w:r>
      <w:r w:rsidR="00E45ECD" w:rsidRPr="003736F5">
        <w:rPr>
          <w:rFonts w:cs="Times New Roman"/>
        </w:rPr>
        <w:t xml:space="preserve">land </w:t>
      </w:r>
      <w:r w:rsidR="00936AC4" w:rsidRPr="003736F5">
        <w:rPr>
          <w:rFonts w:cs="Times New Roman"/>
        </w:rPr>
        <w:t>and</w:t>
      </w:r>
      <w:r w:rsidR="00E45ECD" w:rsidRPr="003736F5">
        <w:rPr>
          <w:rFonts w:cs="Times New Roman"/>
        </w:rPr>
        <w:t xml:space="preserve"> buildings</w:t>
      </w:r>
      <w:r w:rsidR="00936AC4" w:rsidRPr="003736F5">
        <w:rPr>
          <w:rFonts w:cs="Times New Roman"/>
        </w:rPr>
        <w:t>.</w:t>
      </w:r>
      <w:r w:rsidR="00A340DE" w:rsidRPr="003736F5">
        <w:rPr>
          <w:rFonts w:eastAsia="Times New Roman" w:cs="Times New Roman"/>
        </w:rPr>
        <w:t xml:space="preserve"> </w:t>
      </w:r>
      <w:r w:rsidR="26BBD4D3" w:rsidRPr="003736F5">
        <w:rPr>
          <w:rFonts w:eastAsia="Times New Roman" w:cs="Times New Roman"/>
        </w:rPr>
        <w:t xml:space="preserve">The valuation </w:t>
      </w:r>
      <w:r w:rsidR="5206C37A" w:rsidRPr="003736F5">
        <w:rPr>
          <w:rFonts w:eastAsia="Times New Roman" w:cs="Times New Roman"/>
        </w:rPr>
        <w:t>includ</w:t>
      </w:r>
      <w:r w:rsidR="48676F5C" w:rsidRPr="003736F5">
        <w:rPr>
          <w:rFonts w:eastAsia="Times New Roman" w:cs="Times New Roman"/>
        </w:rPr>
        <w:t xml:space="preserve">es </w:t>
      </w:r>
      <w:r w:rsidR="77C74B31" w:rsidRPr="003736F5">
        <w:rPr>
          <w:rFonts w:eastAsia="Times New Roman" w:cs="Times New Roman"/>
        </w:rPr>
        <w:t xml:space="preserve">certain categories of </w:t>
      </w:r>
      <w:r w:rsidR="004C660A" w:rsidRPr="003736F5">
        <w:rPr>
          <w:rFonts w:eastAsia="Times New Roman" w:cs="Times New Roman"/>
        </w:rPr>
        <w:t>installed capital</w:t>
      </w:r>
      <w:r w:rsidR="7779DCD8" w:rsidRPr="003736F5">
        <w:rPr>
          <w:rFonts w:eastAsia="Times New Roman" w:cs="Times New Roman"/>
        </w:rPr>
        <w:t xml:space="preserve"> </w:t>
      </w:r>
      <w:r w:rsidR="346A2B61" w:rsidRPr="003736F5">
        <w:rPr>
          <w:rFonts w:eastAsia="Times New Roman" w:cs="Times New Roman"/>
        </w:rPr>
        <w:t>integral</w:t>
      </w:r>
      <w:r w:rsidR="6E4B64AA" w:rsidRPr="003736F5">
        <w:rPr>
          <w:rFonts w:eastAsia="Times New Roman" w:cs="Times New Roman"/>
        </w:rPr>
        <w:t xml:space="preserve"> to </w:t>
      </w:r>
      <w:r w:rsidR="47F3AED7" w:rsidRPr="003736F5">
        <w:rPr>
          <w:rFonts w:eastAsia="Times New Roman" w:cs="Times New Roman"/>
        </w:rPr>
        <w:t>a</w:t>
      </w:r>
      <w:r w:rsidR="6E4B64AA" w:rsidRPr="003736F5">
        <w:rPr>
          <w:rFonts w:eastAsia="Times New Roman" w:cs="Times New Roman"/>
        </w:rPr>
        <w:t xml:space="preserve"> building </w:t>
      </w:r>
      <w:r w:rsidR="7779DCD8" w:rsidRPr="003736F5">
        <w:rPr>
          <w:rFonts w:eastAsia="Times New Roman" w:cs="Times New Roman"/>
        </w:rPr>
        <w:t>(</w:t>
      </w:r>
      <w:r w:rsidR="50C3B011" w:rsidRPr="003736F5">
        <w:rPr>
          <w:rFonts w:eastAsia="Times New Roman" w:cs="Times New Roman"/>
        </w:rPr>
        <w:t>e.g.,</w:t>
      </w:r>
      <w:r w:rsidR="32A6D9EE" w:rsidRPr="003736F5">
        <w:rPr>
          <w:rFonts w:eastAsia="Times New Roman" w:cs="Times New Roman"/>
        </w:rPr>
        <w:t xml:space="preserve"> </w:t>
      </w:r>
      <w:r w:rsidR="008C61EC" w:rsidRPr="003736F5">
        <w:rPr>
          <w:rFonts w:eastAsia="Times New Roman" w:cs="Times New Roman"/>
        </w:rPr>
        <w:t>bicyc</w:t>
      </w:r>
      <w:r w:rsidR="00A831E1" w:rsidRPr="003736F5">
        <w:rPr>
          <w:rFonts w:eastAsia="Times New Roman" w:cs="Times New Roman"/>
        </w:rPr>
        <w:t>l</w:t>
      </w:r>
      <w:r w:rsidR="008C61EC" w:rsidRPr="003736F5">
        <w:rPr>
          <w:rFonts w:eastAsia="Times New Roman" w:cs="Times New Roman"/>
        </w:rPr>
        <w:t>e sheds</w:t>
      </w:r>
      <w:r w:rsidR="32A6D9EE" w:rsidRPr="003736F5">
        <w:rPr>
          <w:rFonts w:eastAsia="Times New Roman" w:cs="Times New Roman"/>
        </w:rPr>
        <w:t xml:space="preserve"> to </w:t>
      </w:r>
      <w:r w:rsidR="5BE77925" w:rsidRPr="003736F5">
        <w:rPr>
          <w:rFonts w:eastAsia="Times New Roman" w:cs="Times New Roman"/>
        </w:rPr>
        <w:t>furnaces) which</w:t>
      </w:r>
      <w:r w:rsidR="2BFA4683" w:rsidRPr="003736F5">
        <w:rPr>
          <w:rFonts w:eastAsia="Times New Roman" w:cs="Times New Roman"/>
        </w:rPr>
        <w:t xml:space="preserve"> consistently leads to high numbers of </w:t>
      </w:r>
      <w:r w:rsidR="004C660A" w:rsidRPr="003736F5">
        <w:rPr>
          <w:rFonts w:eastAsia="Times New Roman" w:cs="Times New Roman"/>
        </w:rPr>
        <w:t>a</w:t>
      </w:r>
      <w:r w:rsidR="02A15EA1" w:rsidRPr="003736F5">
        <w:rPr>
          <w:rFonts w:eastAsia="Times New Roman" w:cs="Times New Roman"/>
        </w:rPr>
        <w:t>ppeals.</w:t>
      </w:r>
      <w:r w:rsidR="008B6B74" w:rsidRPr="003736F5">
        <w:rPr>
          <w:rFonts w:eastAsia="Times New Roman" w:cs="Times New Roman"/>
        </w:rPr>
        <w:t xml:space="preserve"> T</w:t>
      </w:r>
      <w:r w:rsidR="004C660A" w:rsidRPr="003736F5">
        <w:rPr>
          <w:rFonts w:eastAsia="Times New Roman" w:cs="Times New Roman"/>
        </w:rPr>
        <w:t xml:space="preserve">he inclusion of capital in the tax base provides a </w:t>
      </w:r>
      <w:r w:rsidR="008B6B74" w:rsidRPr="003736F5">
        <w:rPr>
          <w:rFonts w:eastAsia="Times New Roman" w:cs="Times New Roman"/>
        </w:rPr>
        <w:t xml:space="preserve">further </w:t>
      </w:r>
      <w:r w:rsidR="004C660A" w:rsidRPr="003736F5">
        <w:rPr>
          <w:rFonts w:eastAsia="Times New Roman" w:cs="Times New Roman"/>
        </w:rPr>
        <w:t xml:space="preserve">channel through which </w:t>
      </w:r>
      <w:r w:rsidR="00B11950" w:rsidRPr="003736F5">
        <w:rPr>
          <w:rFonts w:eastAsia="Times New Roman" w:cs="Times New Roman"/>
        </w:rPr>
        <w:t>BR</w:t>
      </w:r>
      <w:r w:rsidR="004C660A" w:rsidRPr="003736F5">
        <w:rPr>
          <w:rFonts w:eastAsia="Times New Roman" w:cs="Times New Roman"/>
        </w:rPr>
        <w:t xml:space="preserve"> could affect </w:t>
      </w:r>
      <w:r w:rsidR="00A810C0" w:rsidRPr="003736F5">
        <w:rPr>
          <w:rFonts w:eastAsia="Times New Roman" w:cs="Times New Roman"/>
        </w:rPr>
        <w:t>productivity</w:t>
      </w:r>
      <w:r w:rsidR="004C660A" w:rsidRPr="003736F5">
        <w:rPr>
          <w:rFonts w:eastAsia="Times New Roman" w:cs="Times New Roman"/>
        </w:rPr>
        <w:t>.</w:t>
      </w:r>
    </w:p>
    <w:p w14:paraId="3E8CFAD9" w14:textId="58B6D66F" w:rsidR="004C660A" w:rsidRPr="003736F5" w:rsidRDefault="1CED0E00" w:rsidP="00F33A4C">
      <w:pPr>
        <w:rPr>
          <w:rFonts w:cs="Times New Roman"/>
        </w:rPr>
      </w:pPr>
      <w:r w:rsidRPr="003736F5">
        <w:rPr>
          <w:rFonts w:cs="Times New Roman"/>
        </w:rPr>
        <w:t>SBRR, depending on the nation and period, reduce the BR obligation in steps or sets a maximum tax reduction, which then tapers linearly</w:t>
      </w:r>
      <w:r w:rsidR="00CD5765" w:rsidRPr="003736F5">
        <w:rPr>
          <w:rFonts w:cs="Times New Roman"/>
        </w:rPr>
        <w:t>.</w:t>
      </w:r>
      <w:r w:rsidR="004C660A" w:rsidRPr="003736F5">
        <w:rPr>
          <w:rFonts w:cs="Times New Roman"/>
          <w:vertAlign w:val="superscript"/>
        </w:rPr>
        <w:footnoteReference w:id="4"/>
      </w:r>
      <w:r w:rsidRPr="003736F5">
        <w:rPr>
          <w:rFonts w:cs="Times New Roman"/>
        </w:rPr>
        <w:t xml:space="preserve"> For example, in England, for 2010-17 locations with a </w:t>
      </w:r>
      <w:r w:rsidR="000B16AB" w:rsidRPr="003736F5">
        <w:rPr>
          <w:rFonts w:eastAsia="Times New Roman" w:cs="Times New Roman"/>
        </w:rPr>
        <w:t xml:space="preserve">rateable value </w:t>
      </w:r>
      <w:r w:rsidRPr="003736F5">
        <w:rPr>
          <w:rFonts w:cs="Times New Roman"/>
        </w:rPr>
        <w:t>up to £6000 had a 100</w:t>
      </w:r>
      <w:r w:rsidR="00A021B3" w:rsidRPr="003736F5">
        <w:rPr>
          <w:rFonts w:cs="Times New Roman"/>
        </w:rPr>
        <w:t xml:space="preserve"> per cent </w:t>
      </w:r>
      <w:r w:rsidRPr="003736F5">
        <w:rPr>
          <w:rFonts w:cs="Times New Roman"/>
        </w:rPr>
        <w:t xml:space="preserve">reduction, </w:t>
      </w:r>
      <w:r w:rsidR="00E31BCB" w:rsidRPr="003736F5">
        <w:rPr>
          <w:rFonts w:cs="Times New Roman"/>
        </w:rPr>
        <w:t xml:space="preserve">which </w:t>
      </w:r>
      <w:r w:rsidRPr="003736F5">
        <w:rPr>
          <w:rFonts w:cs="Times New Roman"/>
        </w:rPr>
        <w:t>then tapered in a linear pattern to zero at £12,000 (</w:t>
      </w:r>
      <w:r w:rsidR="6E8BC1E0" w:rsidRPr="003736F5">
        <w:rPr>
          <w:rFonts w:cs="Times New Roman"/>
        </w:rPr>
        <w:t xml:space="preserve">this became the </w:t>
      </w:r>
      <w:r w:rsidRPr="003736F5">
        <w:rPr>
          <w:rFonts w:cs="Times New Roman"/>
        </w:rPr>
        <w:t>100</w:t>
      </w:r>
      <w:r w:rsidR="00A021B3" w:rsidRPr="003736F5">
        <w:rPr>
          <w:rFonts w:cs="Times New Roman"/>
        </w:rPr>
        <w:t xml:space="preserve"> per cent </w:t>
      </w:r>
      <w:r w:rsidR="6A66B247" w:rsidRPr="003736F5">
        <w:rPr>
          <w:rFonts w:cs="Times New Roman"/>
        </w:rPr>
        <w:t>threshold from</w:t>
      </w:r>
      <w:r w:rsidR="77652D99" w:rsidRPr="003736F5">
        <w:rPr>
          <w:rFonts w:cs="Times New Roman"/>
        </w:rPr>
        <w:t xml:space="preserve"> </w:t>
      </w:r>
      <w:r w:rsidRPr="003736F5">
        <w:rPr>
          <w:rFonts w:cs="Times New Roman"/>
        </w:rPr>
        <w:t>2017)</w:t>
      </w:r>
      <w:r w:rsidR="5C8EF9A1" w:rsidRPr="003736F5">
        <w:rPr>
          <w:rFonts w:cs="Times New Roman"/>
        </w:rPr>
        <w:t>.</w:t>
      </w:r>
      <w:r w:rsidR="00620DD4" w:rsidRPr="003736F5">
        <w:rPr>
          <w:rFonts w:cs="Times New Roman"/>
        </w:rPr>
        <w:t xml:space="preserve"> </w:t>
      </w:r>
      <w:r w:rsidR="00497C77" w:rsidRPr="003736F5">
        <w:rPr>
          <w:rFonts w:cs="Times New Roman"/>
        </w:rPr>
        <w:t xml:space="preserve">We calculate the precise individual firm level of reliefs, and this process is explained in </w:t>
      </w:r>
      <w:r w:rsidR="00780BD3" w:rsidRPr="003736F5">
        <w:rPr>
          <w:rFonts w:cs="Times New Roman"/>
        </w:rPr>
        <w:t>A</w:t>
      </w:r>
      <w:r w:rsidR="00497C77" w:rsidRPr="003736F5">
        <w:rPr>
          <w:rFonts w:cs="Times New Roman"/>
        </w:rPr>
        <w:t xml:space="preserve">ppendix 1. </w:t>
      </w:r>
      <w:r w:rsidR="00472CB7" w:rsidRPr="003736F5">
        <w:rPr>
          <w:rFonts w:cs="Times New Roman"/>
        </w:rPr>
        <w:t xml:space="preserve">Furthermore, the differential in rates faced by small and larger businesses is widened by the partial funding of the reliefs through a higher rate (multiplier) on premises with a </w:t>
      </w:r>
      <w:r w:rsidR="000B16AB" w:rsidRPr="003736F5">
        <w:rPr>
          <w:rFonts w:eastAsia="Times New Roman" w:cs="Times New Roman"/>
        </w:rPr>
        <w:t xml:space="preserve">rateable value </w:t>
      </w:r>
      <w:r w:rsidR="00472CB7" w:rsidRPr="003736F5">
        <w:rPr>
          <w:rFonts w:cs="Times New Roman"/>
        </w:rPr>
        <w:t>above the qualifying SBRR threshold</w:t>
      </w:r>
      <w:r w:rsidR="001E3A23" w:rsidRPr="003736F5">
        <w:rPr>
          <w:rFonts w:cs="Times New Roman"/>
        </w:rPr>
        <w:t>,</w:t>
      </w:r>
      <w:r w:rsidR="002C29E8" w:rsidRPr="003736F5">
        <w:rPr>
          <w:rFonts w:cs="Times New Roman"/>
        </w:rPr>
        <w:t xml:space="preserve"> but this contribution has not kept </w:t>
      </w:r>
      <w:r w:rsidR="00762B43" w:rsidRPr="003736F5">
        <w:rPr>
          <w:rFonts w:cs="Times New Roman"/>
        </w:rPr>
        <w:t xml:space="preserve">pace with the scale of reliefs </w:t>
      </w:r>
      <w:r w:rsidR="008E377F" w:rsidRPr="003736F5">
        <w:rPr>
          <w:rFonts w:cs="Times New Roman"/>
        </w:rPr>
        <w:t>(</w:t>
      </w:r>
      <w:r w:rsidR="002552BA" w:rsidRPr="003736F5">
        <w:rPr>
          <w:rFonts w:cs="Times New Roman"/>
        </w:rPr>
        <w:t>Gobey and Mat</w:t>
      </w:r>
      <w:r w:rsidR="00D3275D" w:rsidRPr="003736F5">
        <w:rPr>
          <w:rFonts w:cs="Times New Roman"/>
        </w:rPr>
        <w:t>i</w:t>
      </w:r>
      <w:r w:rsidR="002552BA" w:rsidRPr="003736F5">
        <w:rPr>
          <w:rFonts w:cs="Times New Roman"/>
        </w:rPr>
        <w:t>konis</w:t>
      </w:r>
      <w:r w:rsidR="00EE3222" w:rsidRPr="003736F5">
        <w:rPr>
          <w:rFonts w:cs="Times New Roman"/>
        </w:rPr>
        <w:t>,</w:t>
      </w:r>
      <w:r w:rsidR="002552BA" w:rsidRPr="003736F5">
        <w:rPr>
          <w:rFonts w:cs="Times New Roman"/>
        </w:rPr>
        <w:t xml:space="preserve"> 2021</w:t>
      </w:r>
      <w:r w:rsidR="008E377F" w:rsidRPr="003736F5">
        <w:rPr>
          <w:rFonts w:cs="Times New Roman"/>
        </w:rPr>
        <w:t>)</w:t>
      </w:r>
      <w:r w:rsidR="480EE6D9" w:rsidRPr="003736F5">
        <w:rPr>
          <w:rFonts w:cs="Times New Roman"/>
        </w:rPr>
        <w:t>.</w:t>
      </w:r>
      <w:r w:rsidR="32312EB1" w:rsidRPr="003736F5">
        <w:rPr>
          <w:rFonts w:cs="Times New Roman"/>
        </w:rPr>
        <w:t xml:space="preserve"> </w:t>
      </w:r>
      <w:r w:rsidR="004C660A" w:rsidRPr="003736F5" w:rsidDel="1CED0E00">
        <w:rPr>
          <w:rFonts w:cs="Times New Roman"/>
        </w:rPr>
        <w:t xml:space="preserve"> </w:t>
      </w:r>
    </w:p>
    <w:p w14:paraId="4180225C" w14:textId="07407165" w:rsidR="00D859E5" w:rsidRPr="003736F5" w:rsidRDefault="001F5B17" w:rsidP="00516B44">
      <w:pPr>
        <w:rPr>
          <w:rFonts w:cs="Times New Roman"/>
        </w:rPr>
      </w:pPr>
      <w:r w:rsidRPr="003736F5">
        <w:rPr>
          <w:rFonts w:cs="Times New Roman"/>
        </w:rPr>
        <w:lastRenderedPageBreak/>
        <w:t>The issues with</w:t>
      </w:r>
      <w:r w:rsidR="00B1327E" w:rsidRPr="003736F5">
        <w:rPr>
          <w:rFonts w:cs="Times New Roman"/>
        </w:rPr>
        <w:t xml:space="preserve"> the mechanisms behind</w:t>
      </w:r>
      <w:r w:rsidRPr="003736F5">
        <w:rPr>
          <w:rFonts w:cs="Times New Roman"/>
        </w:rPr>
        <w:t xml:space="preserve"> </w:t>
      </w:r>
      <w:r w:rsidR="000F2C46" w:rsidRPr="003736F5">
        <w:rPr>
          <w:rFonts w:cs="Times New Roman"/>
        </w:rPr>
        <w:t>the overall BR system and SBRR</w:t>
      </w:r>
      <w:r w:rsidRPr="003736F5">
        <w:rPr>
          <w:rFonts w:cs="Times New Roman"/>
        </w:rPr>
        <w:t xml:space="preserve"> have already been </w:t>
      </w:r>
      <w:r w:rsidR="0025194D" w:rsidRPr="003736F5">
        <w:rPr>
          <w:rFonts w:cs="Times New Roman"/>
        </w:rPr>
        <w:t>reviewed</w:t>
      </w:r>
      <w:r w:rsidR="00B1327E" w:rsidRPr="003736F5">
        <w:rPr>
          <w:rFonts w:cs="Times New Roman"/>
        </w:rPr>
        <w:t xml:space="preserve"> by</w:t>
      </w:r>
      <w:r w:rsidR="00E64933" w:rsidRPr="003736F5">
        <w:rPr>
          <w:rFonts w:cs="Times New Roman"/>
        </w:rPr>
        <w:t xml:space="preserve"> </w:t>
      </w:r>
      <w:r w:rsidRPr="003736F5">
        <w:rPr>
          <w:rFonts w:cs="Times New Roman"/>
        </w:rPr>
        <w:t xml:space="preserve">Matikonis </w:t>
      </w:r>
      <w:r w:rsidR="00B1327E" w:rsidRPr="003736F5">
        <w:rPr>
          <w:rFonts w:cs="Times New Roman"/>
        </w:rPr>
        <w:t>(</w:t>
      </w:r>
      <w:r w:rsidRPr="003736F5">
        <w:rPr>
          <w:rFonts w:cs="Times New Roman"/>
        </w:rPr>
        <w:t>2020 and 2022)</w:t>
      </w:r>
      <w:r w:rsidR="00C82923" w:rsidRPr="003736F5">
        <w:rPr>
          <w:rFonts w:cs="Times New Roman"/>
        </w:rPr>
        <w:t xml:space="preserve">, who </w:t>
      </w:r>
      <w:r w:rsidR="00276B4A" w:rsidRPr="003736F5">
        <w:rPr>
          <w:rFonts w:cs="Times New Roman"/>
        </w:rPr>
        <w:t>voice</w:t>
      </w:r>
      <w:r w:rsidR="003F1F15" w:rsidRPr="003736F5">
        <w:rPr>
          <w:rFonts w:cs="Times New Roman"/>
        </w:rPr>
        <w:t>d</w:t>
      </w:r>
      <w:r w:rsidR="00276B4A" w:rsidRPr="003736F5">
        <w:rPr>
          <w:rFonts w:cs="Times New Roman"/>
        </w:rPr>
        <w:t xml:space="preserve"> concerns </w:t>
      </w:r>
      <w:r w:rsidR="00464E7A" w:rsidRPr="003736F5">
        <w:rPr>
          <w:rFonts w:cs="Times New Roman"/>
        </w:rPr>
        <w:t>about</w:t>
      </w:r>
      <w:r w:rsidR="003F1F15" w:rsidRPr="003736F5">
        <w:rPr>
          <w:rFonts w:cs="Times New Roman"/>
        </w:rPr>
        <w:t xml:space="preserve"> </w:t>
      </w:r>
      <w:r w:rsidR="003810E0" w:rsidRPr="003736F5">
        <w:rPr>
          <w:rFonts w:cs="Times New Roman"/>
        </w:rPr>
        <w:t>the</w:t>
      </w:r>
      <w:r w:rsidR="000D5D41" w:rsidRPr="003736F5">
        <w:rPr>
          <w:rFonts w:cs="Times New Roman"/>
        </w:rPr>
        <w:t xml:space="preserve"> </w:t>
      </w:r>
      <w:r w:rsidR="003810E0" w:rsidRPr="003736F5">
        <w:rPr>
          <w:rFonts w:cs="Times New Roman"/>
        </w:rPr>
        <w:t>lack of justification, mistargeting and</w:t>
      </w:r>
      <w:r w:rsidR="00A5342F" w:rsidRPr="003736F5">
        <w:rPr>
          <w:rFonts w:cs="Times New Roman"/>
        </w:rPr>
        <w:t xml:space="preserve"> subsequent</w:t>
      </w:r>
      <w:r w:rsidR="003810E0" w:rsidRPr="003736F5">
        <w:rPr>
          <w:rFonts w:cs="Times New Roman"/>
        </w:rPr>
        <w:t xml:space="preserve"> capitali</w:t>
      </w:r>
      <w:r w:rsidR="00A100F2" w:rsidRPr="003736F5">
        <w:rPr>
          <w:rFonts w:cs="Times New Roman"/>
        </w:rPr>
        <w:t>s</w:t>
      </w:r>
      <w:r w:rsidR="003810E0" w:rsidRPr="003736F5">
        <w:rPr>
          <w:rFonts w:cs="Times New Roman"/>
        </w:rPr>
        <w:t xml:space="preserve">ation. </w:t>
      </w:r>
      <w:r w:rsidR="00D81C71" w:rsidRPr="003736F5">
        <w:rPr>
          <w:rFonts w:cs="Times New Roman"/>
        </w:rPr>
        <w:t xml:space="preserve">The latter is because of the failure to </w:t>
      </w:r>
      <w:r w:rsidR="00301ABE" w:rsidRPr="003736F5">
        <w:rPr>
          <w:rFonts w:cs="Times New Roman"/>
        </w:rPr>
        <w:t>account for the divergence between the statutory and economic incidence of taxation.</w:t>
      </w:r>
      <w:r w:rsidR="00887467" w:rsidRPr="003736F5">
        <w:rPr>
          <w:rFonts w:cs="Times New Roman"/>
        </w:rPr>
        <w:t xml:space="preserve"> This is fundamental in this context as the property occupier rather than the property owner faces the statutory responsibility to pay BR. </w:t>
      </w:r>
      <w:r w:rsidR="00041E50" w:rsidRPr="003736F5">
        <w:rPr>
          <w:rFonts w:cs="Times New Roman"/>
        </w:rPr>
        <w:t>The first to establish the incidence of UK property taxes was Fraser (1987). If we applied his reasoning to SBRR, we would expect SBRR to be received by occupiers because of the lag in rent review</w:t>
      </w:r>
      <w:r w:rsidR="00AA715E" w:rsidRPr="003736F5">
        <w:rPr>
          <w:rFonts w:cs="Times New Roman"/>
        </w:rPr>
        <w:t>,</w:t>
      </w:r>
      <w:r w:rsidR="00041E50" w:rsidRPr="003736F5">
        <w:rPr>
          <w:rFonts w:cs="Times New Roman"/>
        </w:rPr>
        <w:t xml:space="preserve"> but only in the short term. Property owners would later receive SBRR through increased rents and capital gains</w:t>
      </w:r>
      <w:r w:rsidR="00E41D1A" w:rsidRPr="003736F5">
        <w:rPr>
          <w:rFonts w:cs="Times New Roman"/>
        </w:rPr>
        <w:t xml:space="preserve">. </w:t>
      </w:r>
      <w:r w:rsidR="00315559" w:rsidRPr="003736F5">
        <w:rPr>
          <w:rFonts w:cs="Times New Roman"/>
        </w:rPr>
        <w:t xml:space="preserve">Having said that, </w:t>
      </w:r>
      <w:r w:rsidR="00C07434" w:rsidRPr="003736F5">
        <w:rPr>
          <w:rFonts w:cs="Times New Roman"/>
        </w:rPr>
        <w:t xml:space="preserve">the pace and degree of </w:t>
      </w:r>
      <w:r w:rsidR="00487ED9" w:rsidRPr="003736F5">
        <w:rPr>
          <w:rFonts w:cs="Times New Roman"/>
        </w:rPr>
        <w:t>this</w:t>
      </w:r>
      <w:r w:rsidR="00C07434" w:rsidRPr="003736F5">
        <w:rPr>
          <w:rFonts w:cs="Times New Roman"/>
        </w:rPr>
        <w:t xml:space="preserve"> </w:t>
      </w:r>
      <w:r w:rsidR="000C52E7" w:rsidRPr="003736F5">
        <w:rPr>
          <w:rFonts w:cs="Times New Roman"/>
        </w:rPr>
        <w:t>will not be</w:t>
      </w:r>
      <w:r w:rsidR="00D552E2" w:rsidRPr="003736F5">
        <w:rPr>
          <w:rFonts w:cs="Times New Roman"/>
        </w:rPr>
        <w:t xml:space="preserve"> uniform</w:t>
      </w:r>
      <w:r w:rsidR="00570711" w:rsidRPr="003736F5">
        <w:rPr>
          <w:rFonts w:cs="Times New Roman"/>
        </w:rPr>
        <w:t xml:space="preserve"> (Hilber</w:t>
      </w:r>
      <w:r w:rsidR="00064EA5" w:rsidRPr="003736F5">
        <w:rPr>
          <w:rFonts w:cs="Times New Roman"/>
        </w:rPr>
        <w:t>,</w:t>
      </w:r>
      <w:r w:rsidR="00570711" w:rsidRPr="003736F5">
        <w:rPr>
          <w:rFonts w:cs="Times New Roman"/>
        </w:rPr>
        <w:t xml:space="preserve"> 2017) but rather </w:t>
      </w:r>
      <w:r w:rsidR="00EC64CD" w:rsidRPr="003736F5">
        <w:rPr>
          <w:rFonts w:cs="Times New Roman"/>
        </w:rPr>
        <w:t>dep</w:t>
      </w:r>
      <w:r w:rsidR="00FF366B" w:rsidRPr="003736F5">
        <w:rPr>
          <w:rFonts w:cs="Times New Roman"/>
        </w:rPr>
        <w:t>end</w:t>
      </w:r>
      <w:r w:rsidR="00EC64CD" w:rsidRPr="003736F5">
        <w:rPr>
          <w:rFonts w:cs="Times New Roman"/>
        </w:rPr>
        <w:t>en</w:t>
      </w:r>
      <w:r w:rsidR="006F76E0" w:rsidRPr="003736F5">
        <w:rPr>
          <w:rFonts w:cs="Times New Roman"/>
        </w:rPr>
        <w:t>t</w:t>
      </w:r>
      <w:r w:rsidR="00EC64CD" w:rsidRPr="003736F5">
        <w:rPr>
          <w:rFonts w:cs="Times New Roman"/>
        </w:rPr>
        <w:t xml:space="preserve"> on the relative elasticities of property supply and demand conditions</w:t>
      </w:r>
      <w:r w:rsidR="00E05963" w:rsidRPr="003736F5">
        <w:rPr>
          <w:rFonts w:cs="Times New Roman"/>
        </w:rPr>
        <w:t>,</w:t>
      </w:r>
      <w:r w:rsidR="00EC64CD" w:rsidRPr="003736F5">
        <w:rPr>
          <w:rFonts w:cs="Times New Roman"/>
        </w:rPr>
        <w:t xml:space="preserve"> among other factors</w:t>
      </w:r>
      <w:r w:rsidR="00E05963" w:rsidRPr="003736F5">
        <w:rPr>
          <w:rFonts w:cs="Times New Roman"/>
        </w:rPr>
        <w:t>.</w:t>
      </w:r>
      <w:r w:rsidR="00EC64CD" w:rsidRPr="003736F5">
        <w:rPr>
          <w:rFonts w:cs="Times New Roman"/>
        </w:rPr>
        <w:t xml:space="preserve"> </w:t>
      </w:r>
    </w:p>
    <w:p w14:paraId="2BCED7E8" w14:textId="77777777" w:rsidR="00E85066" w:rsidRPr="003736F5" w:rsidRDefault="00A33F6A" w:rsidP="00A33F6A">
      <w:pPr>
        <w:rPr>
          <w:rFonts w:cs="Times New Roman"/>
        </w:rPr>
      </w:pPr>
      <w:r w:rsidRPr="003736F5">
        <w:rPr>
          <w:rFonts w:cs="Times New Roman"/>
        </w:rPr>
        <w:t>Interacting with expectations on capitali</w:t>
      </w:r>
      <w:r w:rsidR="0055449B" w:rsidRPr="003736F5">
        <w:rPr>
          <w:rFonts w:cs="Times New Roman"/>
        </w:rPr>
        <w:t>s</w:t>
      </w:r>
      <w:r w:rsidRPr="003736F5">
        <w:rPr>
          <w:rFonts w:cs="Times New Roman"/>
        </w:rPr>
        <w:t>ation is the assumption</w:t>
      </w:r>
      <w:r w:rsidR="00C35A84" w:rsidRPr="003736F5">
        <w:rPr>
          <w:rFonts w:cs="Times New Roman"/>
        </w:rPr>
        <w:t xml:space="preserve"> that</w:t>
      </w:r>
      <w:r w:rsidRPr="003736F5">
        <w:rPr>
          <w:rFonts w:cs="Times New Roman"/>
        </w:rPr>
        <w:t xml:space="preserve"> firms would necessarily invest any funds released by the SBRR. Given the heterogen</w:t>
      </w:r>
      <w:r w:rsidR="002C76F3" w:rsidRPr="003736F5">
        <w:rPr>
          <w:rFonts w:cs="Times New Roman"/>
        </w:rPr>
        <w:t>e</w:t>
      </w:r>
      <w:r w:rsidRPr="003736F5">
        <w:rPr>
          <w:rFonts w:cs="Times New Roman"/>
        </w:rPr>
        <w:t>ous nature of the recipient firms</w:t>
      </w:r>
      <w:r w:rsidR="00BE5DB8" w:rsidRPr="003736F5">
        <w:rPr>
          <w:rFonts w:cs="Times New Roman"/>
        </w:rPr>
        <w:t>,</w:t>
      </w:r>
      <w:r w:rsidR="00BB7EA4" w:rsidRPr="003736F5">
        <w:rPr>
          <w:rStyle w:val="FootnoteReference"/>
          <w:rFonts w:cs="Times New Roman"/>
        </w:rPr>
        <w:footnoteReference w:id="5"/>
      </w:r>
      <w:r w:rsidRPr="003736F5">
        <w:rPr>
          <w:rFonts w:cs="Times New Roman"/>
        </w:rPr>
        <w:t xml:space="preserve"> there are many factors which could interact </w:t>
      </w:r>
      <w:r w:rsidR="002B5668" w:rsidRPr="003736F5">
        <w:rPr>
          <w:rFonts w:cs="Times New Roman"/>
        </w:rPr>
        <w:t>with</w:t>
      </w:r>
      <w:r w:rsidRPr="003736F5">
        <w:rPr>
          <w:rFonts w:cs="Times New Roman"/>
        </w:rPr>
        <w:t xml:space="preserve"> </w:t>
      </w:r>
      <w:r w:rsidR="00342E13" w:rsidRPr="003736F5">
        <w:rPr>
          <w:rFonts w:cs="Times New Roman"/>
        </w:rPr>
        <w:t>productivity gains</w:t>
      </w:r>
      <w:r w:rsidR="00EF3932" w:rsidRPr="003736F5">
        <w:rPr>
          <w:rFonts w:cs="Times New Roman"/>
        </w:rPr>
        <w:t>.</w:t>
      </w:r>
      <w:r w:rsidR="00FC544C" w:rsidRPr="003736F5">
        <w:rPr>
          <w:rFonts w:cs="Times New Roman"/>
        </w:rPr>
        <w:t xml:space="preserve"> S</w:t>
      </w:r>
      <w:r w:rsidR="008646AE" w:rsidRPr="003736F5">
        <w:rPr>
          <w:rFonts w:cs="Times New Roman"/>
        </w:rPr>
        <w:t xml:space="preserve">ome firms could </w:t>
      </w:r>
      <w:r w:rsidR="00EB39CF" w:rsidRPr="003736F5">
        <w:rPr>
          <w:rFonts w:cs="Times New Roman"/>
        </w:rPr>
        <w:t xml:space="preserve">potentially </w:t>
      </w:r>
      <w:r w:rsidR="00D5664E" w:rsidRPr="003736F5">
        <w:rPr>
          <w:rFonts w:cs="Times New Roman"/>
        </w:rPr>
        <w:t>allocate</w:t>
      </w:r>
      <w:r w:rsidR="00FC544C" w:rsidRPr="003736F5">
        <w:rPr>
          <w:rFonts w:cs="Times New Roman"/>
        </w:rPr>
        <w:t xml:space="preserve"> extra</w:t>
      </w:r>
      <w:r w:rsidR="00D5664E" w:rsidRPr="003736F5">
        <w:rPr>
          <w:rFonts w:cs="Times New Roman"/>
        </w:rPr>
        <w:t xml:space="preserve"> resources towards improving</w:t>
      </w:r>
      <w:r w:rsidR="00FD4EDE" w:rsidRPr="003736F5">
        <w:rPr>
          <w:rFonts w:cs="Times New Roman"/>
        </w:rPr>
        <w:t xml:space="preserve"> </w:t>
      </w:r>
      <w:r w:rsidR="0024429D" w:rsidRPr="003736F5">
        <w:rPr>
          <w:rFonts w:cs="Times New Roman"/>
        </w:rPr>
        <w:t xml:space="preserve">the </w:t>
      </w:r>
      <w:r w:rsidR="00D5664E" w:rsidRPr="003736F5">
        <w:rPr>
          <w:rFonts w:cs="Times New Roman"/>
        </w:rPr>
        <w:t xml:space="preserve">organisational environment, organisational capabilities, types of innovation, </w:t>
      </w:r>
      <w:r w:rsidR="00EB39CF" w:rsidRPr="003736F5">
        <w:rPr>
          <w:rFonts w:cs="Times New Roman"/>
        </w:rPr>
        <w:t xml:space="preserve">or </w:t>
      </w:r>
      <w:r w:rsidR="00D5664E" w:rsidRPr="003736F5">
        <w:rPr>
          <w:rFonts w:cs="Times New Roman"/>
        </w:rPr>
        <w:t>external knowledgebase</w:t>
      </w:r>
      <w:r w:rsidR="00FC544C" w:rsidRPr="003736F5">
        <w:rPr>
          <w:rFonts w:cs="Times New Roman"/>
        </w:rPr>
        <w:t>,</w:t>
      </w:r>
      <w:r w:rsidR="00D5664E" w:rsidRPr="003736F5">
        <w:rPr>
          <w:rFonts w:cs="Times New Roman"/>
        </w:rPr>
        <w:t xml:space="preserve"> </w:t>
      </w:r>
      <w:r w:rsidR="00EB39CF" w:rsidRPr="003736F5">
        <w:rPr>
          <w:rFonts w:cs="Times New Roman"/>
        </w:rPr>
        <w:t>which</w:t>
      </w:r>
      <w:r w:rsidR="00D5664E" w:rsidRPr="003736F5">
        <w:rPr>
          <w:rFonts w:cs="Times New Roman"/>
        </w:rPr>
        <w:t xml:space="preserve"> were found to be dominant in researching SME productivity, as summarised by Owalla et al. (2022).</w:t>
      </w:r>
      <w:r w:rsidR="0024429D" w:rsidRPr="003736F5">
        <w:rPr>
          <w:rFonts w:cs="Times New Roman"/>
        </w:rPr>
        <w:t xml:space="preserve"> </w:t>
      </w:r>
    </w:p>
    <w:p w14:paraId="6BB300DB" w14:textId="2319BBFB" w:rsidR="00A33F6A" w:rsidRPr="003736F5" w:rsidRDefault="00840F5C" w:rsidP="00A33F6A">
      <w:pPr>
        <w:rPr>
          <w:rFonts w:cs="Times New Roman"/>
        </w:rPr>
      </w:pPr>
      <w:r w:rsidRPr="003736F5">
        <w:rPr>
          <w:rFonts w:cs="Times New Roman"/>
        </w:rPr>
        <w:t>Then again</w:t>
      </w:r>
      <w:r w:rsidR="00C559A0" w:rsidRPr="003736F5">
        <w:rPr>
          <w:rFonts w:cs="Times New Roman"/>
        </w:rPr>
        <w:t>,</w:t>
      </w:r>
      <w:r w:rsidRPr="003736F5">
        <w:rPr>
          <w:rFonts w:cs="Times New Roman"/>
        </w:rPr>
        <w:t xml:space="preserve"> some firms could also experience </w:t>
      </w:r>
      <w:r w:rsidR="00A33F6A" w:rsidRPr="003736F5">
        <w:rPr>
          <w:rFonts w:cs="Times New Roman"/>
        </w:rPr>
        <w:t xml:space="preserve">the absence of any demand-side stimulus to overcome firm investment (profit) uncertainties (Bloom et al., 2018) or generate demand-pull innovation (Piva and Vivarelli, 2007), which is more typical in small firms. These </w:t>
      </w:r>
      <w:r w:rsidR="00A54454" w:rsidRPr="003736F5">
        <w:rPr>
          <w:rFonts w:cs="Times New Roman"/>
        </w:rPr>
        <w:t>could</w:t>
      </w:r>
      <w:r w:rsidR="00A33F6A" w:rsidRPr="003736F5">
        <w:rPr>
          <w:rFonts w:cs="Times New Roman"/>
        </w:rPr>
        <w:t xml:space="preserve"> be influenced by the degree of irreversibility in capital sunk costs (Carruth et al., 2000; Guceri </w:t>
      </w:r>
      <w:r w:rsidR="00A33F6A" w:rsidRPr="003736F5">
        <w:rPr>
          <w:rFonts w:cs="Times New Roman"/>
        </w:rPr>
        <w:lastRenderedPageBreak/>
        <w:t>and Albinowski, 2021), for which there has been no reduction in risk aversion (Appelbaum and Katz, 1986: Bianco et al.</w:t>
      </w:r>
      <w:r w:rsidR="00C5561D" w:rsidRPr="003736F5">
        <w:rPr>
          <w:rFonts w:cs="Times New Roman"/>
        </w:rPr>
        <w:t>,</w:t>
      </w:r>
      <w:r w:rsidR="00A33F6A" w:rsidRPr="003736F5">
        <w:rPr>
          <w:rFonts w:cs="Times New Roman"/>
        </w:rPr>
        <w:t xml:space="preserve"> 2013). In this context, </w:t>
      </w:r>
      <w:r w:rsidR="0015792C" w:rsidRPr="003736F5">
        <w:rPr>
          <w:rFonts w:cs="Times New Roman"/>
        </w:rPr>
        <w:t xml:space="preserve">some </w:t>
      </w:r>
      <w:r w:rsidR="00A33F6A" w:rsidRPr="003736F5">
        <w:rPr>
          <w:rFonts w:cs="Times New Roman"/>
        </w:rPr>
        <w:t xml:space="preserve">firms </w:t>
      </w:r>
      <w:r w:rsidR="0015792C" w:rsidRPr="003736F5">
        <w:rPr>
          <w:rFonts w:cs="Times New Roman"/>
        </w:rPr>
        <w:t>will</w:t>
      </w:r>
      <w:r w:rsidR="00A33F6A" w:rsidRPr="003736F5">
        <w:rPr>
          <w:rFonts w:cs="Times New Roman"/>
        </w:rPr>
        <w:t xml:space="preserve"> alternatively increase mark-ups or pass tax reductions to consumers to gain or stabili</w:t>
      </w:r>
      <w:r w:rsidR="002304D1" w:rsidRPr="003736F5">
        <w:rPr>
          <w:rFonts w:cs="Times New Roman"/>
        </w:rPr>
        <w:t>s</w:t>
      </w:r>
      <w:r w:rsidR="00A33F6A" w:rsidRPr="003736F5">
        <w:rPr>
          <w:rFonts w:cs="Times New Roman"/>
        </w:rPr>
        <w:t xml:space="preserve">e market share amongst similar firms </w:t>
      </w:r>
      <w:r w:rsidR="00AB756F" w:rsidRPr="003736F5">
        <w:rPr>
          <w:rFonts w:cs="Times New Roman"/>
        </w:rPr>
        <w:t>that</w:t>
      </w:r>
      <w:r w:rsidR="00A33F6A" w:rsidRPr="003736F5">
        <w:rPr>
          <w:rFonts w:cs="Times New Roman"/>
        </w:rPr>
        <w:t xml:space="preserve"> have</w:t>
      </w:r>
      <w:r w:rsidR="007A76EA" w:rsidRPr="003736F5">
        <w:rPr>
          <w:rFonts w:cs="Times New Roman"/>
        </w:rPr>
        <w:t xml:space="preserve"> not</w:t>
      </w:r>
      <w:r w:rsidR="00A33F6A" w:rsidRPr="003736F5">
        <w:rPr>
          <w:rFonts w:cs="Times New Roman"/>
        </w:rPr>
        <w:t xml:space="preserve"> received </w:t>
      </w:r>
      <w:r w:rsidR="006C2DEA" w:rsidRPr="003736F5">
        <w:rPr>
          <w:rFonts w:cs="Times New Roman"/>
        </w:rPr>
        <w:t>SBRR</w:t>
      </w:r>
      <w:r w:rsidR="00A33F6A" w:rsidRPr="003736F5">
        <w:rPr>
          <w:rFonts w:cs="Times New Roman"/>
        </w:rPr>
        <w:t>.</w:t>
      </w:r>
      <w:r w:rsidR="00A766FB" w:rsidRPr="003736F5">
        <w:rPr>
          <w:rFonts w:cs="Times New Roman"/>
        </w:rPr>
        <w:t xml:space="preserve"> These are only a few reasons amongst many why we could not expect uniform linear relationships when modelling the effects of SBRR on </w:t>
      </w:r>
      <w:r w:rsidR="00A766FB" w:rsidRPr="003736F5">
        <w:rPr>
          <w:rFonts w:cs="Times New Roman"/>
          <w:color w:val="000000" w:themeColor="text1"/>
        </w:rPr>
        <w:t>productivity</w:t>
      </w:r>
      <w:r w:rsidR="00A766FB" w:rsidRPr="003736F5">
        <w:rPr>
          <w:rFonts w:cs="Times New Roman"/>
        </w:rPr>
        <w:t xml:space="preserve">. </w:t>
      </w:r>
    </w:p>
    <w:p w14:paraId="7043F86A" w14:textId="5CAC3570" w:rsidR="009F5340" w:rsidRPr="003736F5" w:rsidRDefault="009F5340" w:rsidP="005E7664">
      <w:pPr>
        <w:pStyle w:val="Heading1"/>
        <w:numPr>
          <w:ilvl w:val="0"/>
          <w:numId w:val="10"/>
        </w:numPr>
      </w:pPr>
      <w:r w:rsidRPr="003736F5">
        <w:t>Configurational Approaches</w:t>
      </w:r>
    </w:p>
    <w:p w14:paraId="5E53B8FE" w14:textId="0CE9851F" w:rsidR="005B7063" w:rsidRPr="003736F5" w:rsidRDefault="00D6358E" w:rsidP="005B7063">
      <w:pPr>
        <w:rPr>
          <w:rFonts w:cs="Times New Roman"/>
        </w:rPr>
      </w:pPr>
      <w:r w:rsidRPr="003736F5">
        <w:rPr>
          <w:rFonts w:cs="Times New Roman"/>
        </w:rPr>
        <w:t xml:space="preserve">Instead of </w:t>
      </w:r>
      <w:r w:rsidR="006E2AB3" w:rsidRPr="003736F5">
        <w:rPr>
          <w:rFonts w:cs="Times New Roman"/>
        </w:rPr>
        <w:t xml:space="preserve">uniform linear relationships, we </w:t>
      </w:r>
      <w:r w:rsidR="76815306" w:rsidRPr="003736F5">
        <w:rPr>
          <w:rFonts w:cs="Times New Roman"/>
        </w:rPr>
        <w:t xml:space="preserve">more realistically anticipate complex interactions </w:t>
      </w:r>
      <w:r w:rsidR="00827E16" w:rsidRPr="003736F5">
        <w:rPr>
          <w:rFonts w:cs="Times New Roman"/>
        </w:rPr>
        <w:t>that</w:t>
      </w:r>
      <w:r w:rsidR="76815306" w:rsidRPr="003736F5">
        <w:rPr>
          <w:rFonts w:cs="Times New Roman"/>
        </w:rPr>
        <w:t xml:space="preserve"> influence changes in productivity. From the theoretical perspective, our reasoning thus directs us to the configurational approaches built from the complexity theory that rejects the ‘one size fits all’ approach to studying organisations</w:t>
      </w:r>
      <w:r w:rsidR="00827E16" w:rsidRPr="003736F5">
        <w:rPr>
          <w:rFonts w:cs="Times New Roman"/>
        </w:rPr>
        <w:t xml:space="preserve"> (Meyer et al., 1993).</w:t>
      </w:r>
    </w:p>
    <w:p w14:paraId="24A8FD8A" w14:textId="73ACC78F" w:rsidR="008F465C" w:rsidRPr="003736F5" w:rsidRDefault="009F5340" w:rsidP="007927EA">
      <w:pPr>
        <w:rPr>
          <w:rFonts w:cs="Times New Roman"/>
        </w:rPr>
      </w:pPr>
      <w:r w:rsidRPr="003736F5">
        <w:rPr>
          <w:rFonts w:cs="Times New Roman"/>
        </w:rPr>
        <w:t>Configurational approaches</w:t>
      </w:r>
      <w:r w:rsidR="005A787D" w:rsidRPr="003736F5">
        <w:rPr>
          <w:rFonts w:cs="Times New Roman"/>
        </w:rPr>
        <w:t xml:space="preserve"> ha</w:t>
      </w:r>
      <w:r w:rsidR="006B4D58" w:rsidRPr="003736F5">
        <w:rPr>
          <w:rFonts w:cs="Times New Roman"/>
        </w:rPr>
        <w:t>ve</w:t>
      </w:r>
      <w:r w:rsidR="005A787D" w:rsidRPr="003736F5">
        <w:rPr>
          <w:rFonts w:cs="Times New Roman"/>
        </w:rPr>
        <w:t xml:space="preserve"> been defined as</w:t>
      </w:r>
      <w:r w:rsidR="008D1B55" w:rsidRPr="003736F5">
        <w:rPr>
          <w:rFonts w:cs="Times New Roman"/>
        </w:rPr>
        <w:t xml:space="preserve"> a</w:t>
      </w:r>
      <w:r w:rsidR="006B4D58" w:rsidRPr="003736F5">
        <w:rPr>
          <w:rFonts w:cs="Times New Roman"/>
        </w:rPr>
        <w:t>n</w:t>
      </w:r>
      <w:r w:rsidR="008D1B55" w:rsidRPr="003736F5">
        <w:rPr>
          <w:rFonts w:cs="Times New Roman"/>
        </w:rPr>
        <w:t xml:space="preserve"> analysis of</w:t>
      </w:r>
      <w:r w:rsidR="005A787D" w:rsidRPr="003736F5">
        <w:rPr>
          <w:rFonts w:cs="Times New Roman"/>
        </w:rPr>
        <w:t xml:space="preserve"> </w:t>
      </w:r>
      <w:r w:rsidR="00F85D3A" w:rsidRPr="003736F5">
        <w:rPr>
          <w:rFonts w:cs="Times New Roman"/>
        </w:rPr>
        <w:t xml:space="preserve">a </w:t>
      </w:r>
      <w:r w:rsidR="005A787D" w:rsidRPr="003736F5">
        <w:rPr>
          <w:rFonts w:cs="Times New Roman"/>
        </w:rPr>
        <w:t>‘multidimensional constellation of conceptually distinct characteristics that commonly occur together’ (Meyer et al., 1993)</w:t>
      </w:r>
      <w:r w:rsidR="008D1B55" w:rsidRPr="003736F5">
        <w:rPr>
          <w:rFonts w:cs="Times New Roman"/>
        </w:rPr>
        <w:t>. The theory</w:t>
      </w:r>
      <w:r w:rsidRPr="003736F5">
        <w:rPr>
          <w:rFonts w:cs="Times New Roman"/>
        </w:rPr>
        <w:t xml:space="preserve"> </w:t>
      </w:r>
      <w:r w:rsidR="001F5391" w:rsidRPr="003736F5">
        <w:rPr>
          <w:rFonts w:cs="Times New Roman"/>
        </w:rPr>
        <w:t>emphasise</w:t>
      </w:r>
      <w:r w:rsidR="008D1B55" w:rsidRPr="003736F5">
        <w:rPr>
          <w:rFonts w:cs="Times New Roman"/>
        </w:rPr>
        <w:t>s</w:t>
      </w:r>
      <w:r w:rsidR="001F5391" w:rsidRPr="003736F5">
        <w:rPr>
          <w:rFonts w:cs="Times New Roman"/>
        </w:rPr>
        <w:t xml:space="preserve"> heterogeneity in</w:t>
      </w:r>
      <w:r w:rsidR="0030478A" w:rsidRPr="003736F5">
        <w:rPr>
          <w:rFonts w:cs="Times New Roman"/>
        </w:rPr>
        <w:t xml:space="preserve"> organisations </w:t>
      </w:r>
      <w:r w:rsidR="001F5391" w:rsidRPr="003736F5">
        <w:rPr>
          <w:rFonts w:cs="Times New Roman"/>
        </w:rPr>
        <w:t>and view</w:t>
      </w:r>
      <w:r w:rsidR="007B55DF" w:rsidRPr="003736F5">
        <w:rPr>
          <w:rFonts w:cs="Times New Roman"/>
        </w:rPr>
        <w:t>s</w:t>
      </w:r>
      <w:r w:rsidR="001F5391" w:rsidRPr="003736F5">
        <w:rPr>
          <w:rFonts w:cs="Times New Roman"/>
        </w:rPr>
        <w:t xml:space="preserve"> them as </w:t>
      </w:r>
      <w:r w:rsidR="008D571F" w:rsidRPr="003736F5">
        <w:rPr>
          <w:rFonts w:cs="Times New Roman"/>
        </w:rPr>
        <w:t xml:space="preserve">a combination of factors that </w:t>
      </w:r>
      <w:proofErr w:type="gramStart"/>
      <w:r w:rsidR="00CE419F" w:rsidRPr="003736F5">
        <w:rPr>
          <w:rFonts w:cs="Times New Roman"/>
        </w:rPr>
        <w:t>particular organisations</w:t>
      </w:r>
      <w:proofErr w:type="gramEnd"/>
      <w:r w:rsidR="00CE419F" w:rsidRPr="003736F5">
        <w:rPr>
          <w:rFonts w:cs="Times New Roman"/>
        </w:rPr>
        <w:t xml:space="preserve"> share</w:t>
      </w:r>
      <w:r w:rsidR="00F4230D" w:rsidRPr="003736F5">
        <w:rPr>
          <w:rFonts w:cs="Times New Roman"/>
        </w:rPr>
        <w:t xml:space="preserve">. </w:t>
      </w:r>
      <w:r w:rsidR="001150DB" w:rsidRPr="003736F5">
        <w:rPr>
          <w:rFonts w:cs="Times New Roman"/>
        </w:rPr>
        <w:t>The</w:t>
      </w:r>
      <w:r w:rsidR="00F61F14" w:rsidRPr="003736F5">
        <w:rPr>
          <w:rFonts w:cs="Times New Roman"/>
        </w:rPr>
        <w:t xml:space="preserve"> relationships </w:t>
      </w:r>
      <w:r w:rsidR="008A4A34" w:rsidRPr="003736F5">
        <w:rPr>
          <w:rFonts w:cs="Times New Roman"/>
        </w:rPr>
        <w:t xml:space="preserve">are </w:t>
      </w:r>
      <w:r w:rsidR="001150DB" w:rsidRPr="003736F5">
        <w:rPr>
          <w:rFonts w:cs="Times New Roman"/>
        </w:rPr>
        <w:t>non-linear</w:t>
      </w:r>
      <w:r w:rsidR="00423C2E" w:rsidRPr="003736F5">
        <w:rPr>
          <w:rFonts w:cs="Times New Roman"/>
        </w:rPr>
        <w:t>,</w:t>
      </w:r>
      <w:r w:rsidR="001150DB" w:rsidRPr="003736F5">
        <w:rPr>
          <w:rFonts w:cs="Times New Roman"/>
        </w:rPr>
        <w:t xml:space="preserve"> and two or more configurations may be equifinal</w:t>
      </w:r>
      <w:r w:rsidR="007B55DF" w:rsidRPr="003736F5">
        <w:rPr>
          <w:rFonts w:cs="Times New Roman"/>
        </w:rPr>
        <w:t xml:space="preserve"> in affecting the outcome variable (Meyer et al., 1993). </w:t>
      </w:r>
      <w:r w:rsidR="003119EE" w:rsidRPr="003736F5">
        <w:rPr>
          <w:rFonts w:cs="Times New Roman"/>
        </w:rPr>
        <w:t>Th</w:t>
      </w:r>
      <w:r w:rsidR="00F813BA" w:rsidRPr="003736F5">
        <w:rPr>
          <w:rFonts w:cs="Times New Roman"/>
        </w:rPr>
        <w:t>e</w:t>
      </w:r>
      <w:r w:rsidR="003119EE" w:rsidRPr="003736F5">
        <w:rPr>
          <w:rFonts w:cs="Times New Roman"/>
        </w:rPr>
        <w:t xml:space="preserve"> conceptualisation</w:t>
      </w:r>
      <w:r w:rsidR="00F813BA" w:rsidRPr="003736F5">
        <w:rPr>
          <w:rFonts w:cs="Times New Roman"/>
        </w:rPr>
        <w:t xml:space="preserve"> </w:t>
      </w:r>
      <w:r w:rsidR="004506B4" w:rsidRPr="003736F5">
        <w:rPr>
          <w:rFonts w:cs="Times New Roman"/>
        </w:rPr>
        <w:t>based on configurational approaches</w:t>
      </w:r>
      <w:r w:rsidR="003119EE" w:rsidRPr="003736F5">
        <w:rPr>
          <w:rFonts w:cs="Times New Roman"/>
        </w:rPr>
        <w:t xml:space="preserve"> thus enables us </w:t>
      </w:r>
      <w:r w:rsidR="00D50E09" w:rsidRPr="003736F5">
        <w:rPr>
          <w:rFonts w:cs="Times New Roman"/>
        </w:rPr>
        <w:t xml:space="preserve">to </w:t>
      </w:r>
      <w:r w:rsidR="003119EE" w:rsidRPr="003736F5">
        <w:rPr>
          <w:rFonts w:cs="Times New Roman"/>
        </w:rPr>
        <w:t>depart from</w:t>
      </w:r>
      <w:r w:rsidR="00D50E09" w:rsidRPr="003736F5">
        <w:rPr>
          <w:rFonts w:cs="Times New Roman"/>
        </w:rPr>
        <w:t xml:space="preserve"> strictly</w:t>
      </w:r>
      <w:r w:rsidR="003119EE" w:rsidRPr="003736F5">
        <w:rPr>
          <w:rFonts w:cs="Times New Roman"/>
        </w:rPr>
        <w:t xml:space="preserve"> </w:t>
      </w:r>
      <w:r w:rsidR="00D50E09" w:rsidRPr="003736F5">
        <w:rPr>
          <w:rFonts w:cs="Times New Roman"/>
        </w:rPr>
        <w:t>linear relationships</w:t>
      </w:r>
      <w:r w:rsidR="00231D02" w:rsidRPr="003736F5">
        <w:rPr>
          <w:rFonts w:cs="Times New Roman"/>
        </w:rPr>
        <w:t>. It</w:t>
      </w:r>
      <w:r w:rsidR="00BF2460" w:rsidRPr="003736F5">
        <w:rPr>
          <w:rFonts w:cs="Times New Roman"/>
        </w:rPr>
        <w:t xml:space="preserve"> </w:t>
      </w:r>
      <w:r w:rsidR="002B00ED" w:rsidRPr="003736F5">
        <w:rPr>
          <w:rFonts w:cs="Times New Roman"/>
        </w:rPr>
        <w:t xml:space="preserve">supports </w:t>
      </w:r>
      <w:r w:rsidR="00BF2460" w:rsidRPr="003736F5">
        <w:rPr>
          <w:rFonts w:cs="Times New Roman"/>
        </w:rPr>
        <w:t>the notion that</w:t>
      </w:r>
      <w:r w:rsidR="00D50E09" w:rsidRPr="003736F5">
        <w:rPr>
          <w:rFonts w:cs="Times New Roman"/>
        </w:rPr>
        <w:t xml:space="preserve"> </w:t>
      </w:r>
      <w:r w:rsidR="009F21BC" w:rsidRPr="003736F5">
        <w:rPr>
          <w:rFonts w:cs="Times New Roman"/>
        </w:rPr>
        <w:t>“variables found to be positively related in one configuration may be unrelated or even inversely related in another” (Meyer et al., 1993: 1178).</w:t>
      </w:r>
      <w:r w:rsidR="00A60AA4" w:rsidRPr="003736F5">
        <w:rPr>
          <w:rFonts w:cs="Times New Roman"/>
        </w:rPr>
        <w:t xml:space="preserve"> </w:t>
      </w:r>
      <w:r w:rsidR="004A7D45" w:rsidRPr="003736F5">
        <w:rPr>
          <w:rFonts w:cs="Times New Roman"/>
        </w:rPr>
        <w:t>In this way, we</w:t>
      </w:r>
      <w:r w:rsidR="000C7CE5" w:rsidRPr="003736F5">
        <w:rPr>
          <w:rFonts w:cs="Times New Roman"/>
        </w:rPr>
        <w:t xml:space="preserve"> can</w:t>
      </w:r>
      <w:r w:rsidR="004A7D45" w:rsidRPr="003736F5">
        <w:rPr>
          <w:rFonts w:cs="Times New Roman"/>
        </w:rPr>
        <w:t xml:space="preserve"> </w:t>
      </w:r>
      <w:r w:rsidR="00FA0530" w:rsidRPr="003736F5">
        <w:rPr>
          <w:rFonts w:cs="Times New Roman"/>
        </w:rPr>
        <w:t>deviate</w:t>
      </w:r>
      <w:r w:rsidR="004A7D45" w:rsidRPr="003736F5">
        <w:rPr>
          <w:rFonts w:cs="Times New Roman"/>
        </w:rPr>
        <w:t xml:space="preserve"> from the </w:t>
      </w:r>
      <w:r w:rsidR="007263A6" w:rsidRPr="003736F5">
        <w:rPr>
          <w:rFonts w:cs="Times New Roman"/>
        </w:rPr>
        <w:t xml:space="preserve">not-so-useful </w:t>
      </w:r>
      <w:r w:rsidR="004A7D45" w:rsidRPr="003736F5">
        <w:rPr>
          <w:rFonts w:cs="Times New Roman"/>
        </w:rPr>
        <w:t xml:space="preserve">concept of </w:t>
      </w:r>
      <w:r w:rsidR="000C7CE5" w:rsidRPr="003736F5">
        <w:rPr>
          <w:rFonts w:cs="Times New Roman"/>
        </w:rPr>
        <w:t>‘average entrepreneur’</w:t>
      </w:r>
      <w:r w:rsidR="007263A6" w:rsidRPr="003736F5">
        <w:rPr>
          <w:rFonts w:cs="Times New Roman"/>
        </w:rPr>
        <w:t xml:space="preserve">, as </w:t>
      </w:r>
      <w:r w:rsidR="00050F0E" w:rsidRPr="003736F5">
        <w:rPr>
          <w:rFonts w:cs="Times New Roman"/>
        </w:rPr>
        <w:t xml:space="preserve">discussed in </w:t>
      </w:r>
      <w:r w:rsidR="000C7CE5" w:rsidRPr="003736F5">
        <w:rPr>
          <w:rFonts w:cs="Times New Roman"/>
        </w:rPr>
        <w:t>Newbert et al. (2022</w:t>
      </w:r>
      <w:r w:rsidR="005A6A9D" w:rsidRPr="003736F5">
        <w:rPr>
          <w:rFonts w:cs="Times New Roman"/>
        </w:rPr>
        <w:t>:</w:t>
      </w:r>
      <w:r w:rsidR="000C7CE5" w:rsidRPr="003736F5">
        <w:rPr>
          <w:rFonts w:cs="Times New Roman"/>
        </w:rPr>
        <w:t>4</w:t>
      </w:r>
      <w:r w:rsidR="14873FFE" w:rsidRPr="003736F5">
        <w:rPr>
          <w:rFonts w:cs="Times New Roman"/>
        </w:rPr>
        <w:t>) and</w:t>
      </w:r>
      <w:r w:rsidR="007F109C" w:rsidRPr="003736F5">
        <w:rPr>
          <w:rFonts w:cs="Times New Roman"/>
        </w:rPr>
        <w:t xml:space="preserve"> enable </w:t>
      </w:r>
      <w:r w:rsidR="001579E9" w:rsidRPr="003736F5">
        <w:rPr>
          <w:rFonts w:cs="Times New Roman"/>
        </w:rPr>
        <w:t>modelling realities using complex configurations</w:t>
      </w:r>
      <w:r w:rsidR="00050F0E" w:rsidRPr="003736F5">
        <w:rPr>
          <w:rFonts w:cs="Times New Roman"/>
        </w:rPr>
        <w:t xml:space="preserve"> that are necessary to </w:t>
      </w:r>
      <w:r w:rsidR="005A6A9D" w:rsidRPr="003736F5">
        <w:rPr>
          <w:rFonts w:cs="Times New Roman"/>
        </w:rPr>
        <w:t xml:space="preserve">understand the phenomena (Woodside, 2014). </w:t>
      </w:r>
    </w:p>
    <w:p w14:paraId="73FDFA44" w14:textId="60ACB3DD" w:rsidR="00657377" w:rsidRPr="003736F5" w:rsidRDefault="00297F7B" w:rsidP="00B170B8">
      <w:pPr>
        <w:rPr>
          <w:rFonts w:cs="Times New Roman"/>
        </w:rPr>
      </w:pPr>
      <w:r w:rsidRPr="003736F5">
        <w:rPr>
          <w:rFonts w:cs="Times New Roman"/>
        </w:rPr>
        <w:lastRenderedPageBreak/>
        <w:t xml:space="preserve">The concerns of </w:t>
      </w:r>
      <w:r w:rsidR="002E255F" w:rsidRPr="003736F5">
        <w:rPr>
          <w:rFonts w:cs="Times New Roman"/>
        </w:rPr>
        <w:t xml:space="preserve">existing </w:t>
      </w:r>
      <w:bookmarkStart w:id="3" w:name="_Hlk126503921"/>
      <w:r w:rsidR="00396D40" w:rsidRPr="003736F5">
        <w:rPr>
          <w:rFonts w:cs="Times New Roman"/>
        </w:rPr>
        <w:t>equifinality</w:t>
      </w:r>
      <w:bookmarkEnd w:id="3"/>
      <w:r w:rsidR="00396D40" w:rsidRPr="003736F5">
        <w:rPr>
          <w:rFonts w:cs="Times New Roman"/>
        </w:rPr>
        <w:t>, multi-finality and non-linearity</w:t>
      </w:r>
      <w:r w:rsidR="00327A93" w:rsidRPr="003736F5">
        <w:rPr>
          <w:rFonts w:cs="Times New Roman"/>
        </w:rPr>
        <w:t xml:space="preserve"> in </w:t>
      </w:r>
      <w:r w:rsidR="007B1611" w:rsidRPr="003736F5">
        <w:rPr>
          <w:rFonts w:cs="Times New Roman"/>
        </w:rPr>
        <w:t xml:space="preserve">relationships triggered many </w:t>
      </w:r>
      <w:r w:rsidR="00474A83" w:rsidRPr="003736F5">
        <w:rPr>
          <w:rFonts w:cs="Times New Roman"/>
        </w:rPr>
        <w:t>papers in SBEJ</w:t>
      </w:r>
      <w:r w:rsidR="007B1611" w:rsidRPr="003736F5">
        <w:rPr>
          <w:rFonts w:cs="Times New Roman"/>
        </w:rPr>
        <w:t xml:space="preserve"> to adopt the reasoning of configurational approaches</w:t>
      </w:r>
      <w:r w:rsidR="005E7664" w:rsidRPr="003736F5">
        <w:rPr>
          <w:rFonts w:cs="Times New Roman"/>
        </w:rPr>
        <w:t>,</w:t>
      </w:r>
      <w:r w:rsidR="007B1611" w:rsidRPr="003736F5">
        <w:rPr>
          <w:rFonts w:cs="Times New Roman"/>
        </w:rPr>
        <w:t xml:space="preserve"> with </w:t>
      </w:r>
      <w:r w:rsidR="00F95535" w:rsidRPr="003736F5">
        <w:rPr>
          <w:rFonts w:cs="Times New Roman"/>
        </w:rPr>
        <w:t>several</w:t>
      </w:r>
      <w:r w:rsidR="007B1611" w:rsidRPr="003736F5">
        <w:rPr>
          <w:rFonts w:cs="Times New Roman"/>
        </w:rPr>
        <w:t xml:space="preserve"> publications </w:t>
      </w:r>
      <w:r w:rsidR="0087050C" w:rsidRPr="003736F5">
        <w:rPr>
          <w:rFonts w:cs="Times New Roman"/>
        </w:rPr>
        <w:t>embracing</w:t>
      </w:r>
      <w:r w:rsidR="00F95535" w:rsidRPr="003736F5">
        <w:rPr>
          <w:rFonts w:cs="Times New Roman"/>
        </w:rPr>
        <w:t xml:space="preserve"> th</w:t>
      </w:r>
      <w:r w:rsidR="0087050C" w:rsidRPr="003736F5">
        <w:rPr>
          <w:rFonts w:cs="Times New Roman"/>
        </w:rPr>
        <w:t>is</w:t>
      </w:r>
      <w:r w:rsidR="00F95535" w:rsidRPr="003736F5">
        <w:rPr>
          <w:rFonts w:cs="Times New Roman"/>
        </w:rPr>
        <w:t xml:space="preserve"> theory to explain </w:t>
      </w:r>
      <w:r w:rsidR="00965754" w:rsidRPr="003736F5">
        <w:rPr>
          <w:rFonts w:cs="Times New Roman"/>
        </w:rPr>
        <w:t>entrepreneurship related</w:t>
      </w:r>
      <w:r w:rsidR="00987A3B" w:rsidRPr="003736F5">
        <w:rPr>
          <w:rFonts w:cs="Times New Roman"/>
        </w:rPr>
        <w:t xml:space="preserve"> phenomen</w:t>
      </w:r>
      <w:r w:rsidR="00177D89" w:rsidRPr="003736F5">
        <w:rPr>
          <w:rFonts w:cs="Times New Roman"/>
        </w:rPr>
        <w:t>a</w:t>
      </w:r>
      <w:r w:rsidR="00987A3B" w:rsidRPr="003736F5">
        <w:rPr>
          <w:rFonts w:cs="Times New Roman"/>
        </w:rPr>
        <w:t>, including</w:t>
      </w:r>
      <w:r w:rsidR="00822E67" w:rsidRPr="003736F5">
        <w:rPr>
          <w:rFonts w:cs="Times New Roman"/>
        </w:rPr>
        <w:t xml:space="preserve"> gender</w:t>
      </w:r>
      <w:r w:rsidR="00824322" w:rsidRPr="003736F5">
        <w:rPr>
          <w:rFonts w:cs="Times New Roman"/>
        </w:rPr>
        <w:t xml:space="preserve"> (Sperber and Linder, 2019),</w:t>
      </w:r>
      <w:r w:rsidR="00987A3B" w:rsidRPr="003736F5">
        <w:rPr>
          <w:rFonts w:cs="Times New Roman"/>
        </w:rPr>
        <w:t xml:space="preserve"> crowdfunding (Huang et al., 2022),</w:t>
      </w:r>
      <w:r w:rsidR="00177D89" w:rsidRPr="003736F5">
        <w:rPr>
          <w:rFonts w:cs="Times New Roman"/>
        </w:rPr>
        <w:t xml:space="preserve"> attention deficit and hyperactivity disorder (Hatak et al</w:t>
      </w:r>
      <w:r w:rsidR="000925F2" w:rsidRPr="003736F5">
        <w:rPr>
          <w:rFonts w:cs="Times New Roman"/>
        </w:rPr>
        <w:t>.</w:t>
      </w:r>
      <w:r w:rsidR="00177D89" w:rsidRPr="003736F5">
        <w:rPr>
          <w:rFonts w:cs="Times New Roman"/>
        </w:rPr>
        <w:t>, 2020)</w:t>
      </w:r>
      <w:r w:rsidR="00780071" w:rsidRPr="003736F5">
        <w:rPr>
          <w:rFonts w:cs="Times New Roman"/>
        </w:rPr>
        <w:t>,</w:t>
      </w:r>
      <w:r w:rsidR="00C33931" w:rsidRPr="003736F5">
        <w:rPr>
          <w:rFonts w:cs="Times New Roman"/>
        </w:rPr>
        <w:t xml:space="preserve"> ecosystems (</w:t>
      </w:r>
      <w:r w:rsidR="00283DC8" w:rsidRPr="003736F5">
        <w:rPr>
          <w:rFonts w:cs="Times New Roman"/>
        </w:rPr>
        <w:t>Wang et al., 2022</w:t>
      </w:r>
      <w:r w:rsidR="000925F2" w:rsidRPr="003736F5">
        <w:rPr>
          <w:rFonts w:cs="Times New Roman"/>
        </w:rPr>
        <w:t>)</w:t>
      </w:r>
      <w:r w:rsidR="00780071" w:rsidRPr="003736F5">
        <w:rPr>
          <w:rFonts w:cs="Times New Roman"/>
        </w:rPr>
        <w:t xml:space="preserve"> and firm performance (</w:t>
      </w:r>
      <w:r w:rsidR="004934CB" w:rsidRPr="003736F5">
        <w:rPr>
          <w:rFonts w:cs="Times New Roman"/>
        </w:rPr>
        <w:t>Su et al., 2011</w:t>
      </w:r>
      <w:r w:rsidR="00780071" w:rsidRPr="003736F5">
        <w:rPr>
          <w:rFonts w:cs="Times New Roman"/>
        </w:rPr>
        <w:t>)</w:t>
      </w:r>
      <w:r w:rsidR="000925F2" w:rsidRPr="003736F5">
        <w:rPr>
          <w:rFonts w:cs="Times New Roman"/>
        </w:rPr>
        <w:t xml:space="preserve">. </w:t>
      </w:r>
    </w:p>
    <w:p w14:paraId="7B88B861" w14:textId="30993FD7" w:rsidR="004C660A" w:rsidRPr="003736F5" w:rsidRDefault="1CED0E00" w:rsidP="007B0104">
      <w:pPr>
        <w:pStyle w:val="Heading1"/>
        <w:numPr>
          <w:ilvl w:val="0"/>
          <w:numId w:val="10"/>
        </w:numPr>
        <w:jc w:val="left"/>
      </w:pPr>
      <w:r w:rsidRPr="003736F5">
        <w:t>Empirical Methodology</w:t>
      </w:r>
    </w:p>
    <w:p w14:paraId="47164F62" w14:textId="5094722F" w:rsidR="004C660A" w:rsidRPr="003736F5" w:rsidRDefault="005E7664" w:rsidP="00F33A4C">
      <w:pPr>
        <w:pStyle w:val="Heading2"/>
        <w:jc w:val="left"/>
        <w:rPr>
          <w:rFonts w:ascii="Times New Roman" w:hAnsi="Times New Roman"/>
        </w:rPr>
      </w:pPr>
      <w:r w:rsidRPr="003736F5">
        <w:rPr>
          <w:rFonts w:ascii="Times New Roman" w:hAnsi="Times New Roman"/>
        </w:rPr>
        <w:t>4</w:t>
      </w:r>
      <w:r w:rsidR="000F0CFC" w:rsidRPr="003736F5">
        <w:rPr>
          <w:rFonts w:ascii="Times New Roman" w:hAnsi="Times New Roman"/>
        </w:rPr>
        <w:t>.1.</w:t>
      </w:r>
      <w:r w:rsidR="1CED0E00" w:rsidRPr="003736F5">
        <w:rPr>
          <w:rFonts w:ascii="Times New Roman" w:hAnsi="Times New Roman"/>
        </w:rPr>
        <w:t xml:space="preserve"> Data</w:t>
      </w:r>
    </w:p>
    <w:p w14:paraId="3DF03D0A" w14:textId="1B313285" w:rsidR="004C660A" w:rsidRPr="003736F5" w:rsidRDefault="004C660A" w:rsidP="00F33A4C">
      <w:pPr>
        <w:rPr>
          <w:rFonts w:cs="Times New Roman"/>
          <w:color w:val="000000"/>
          <w:szCs w:val="24"/>
        </w:rPr>
      </w:pPr>
      <w:r w:rsidRPr="003736F5">
        <w:rPr>
          <w:rFonts w:cs="Times New Roman"/>
          <w:color w:val="000000"/>
          <w:szCs w:val="24"/>
        </w:rPr>
        <w:t>We base our analysis on the UK ONS Annual Respondents Database X</w:t>
      </w:r>
      <w:r w:rsidR="00B735E6" w:rsidRPr="003736F5">
        <w:rPr>
          <w:rFonts w:cs="Times New Roman"/>
          <w:color w:val="000000"/>
          <w:szCs w:val="24"/>
        </w:rPr>
        <w:t>,</w:t>
      </w:r>
      <w:r w:rsidRPr="003736F5">
        <w:rPr>
          <w:rFonts w:cs="Times New Roman"/>
          <w:color w:val="000000"/>
          <w:szCs w:val="24"/>
        </w:rPr>
        <w:t xml:space="preserve"> first released in July 2016 combined with Business Structure Database and Prices Survey Microdata.</w:t>
      </w:r>
      <w:r w:rsidR="00252703" w:rsidRPr="003736F5">
        <w:rPr>
          <w:rFonts w:cs="Times New Roman"/>
          <w:color w:val="000000"/>
          <w:szCs w:val="24"/>
        </w:rPr>
        <w:t xml:space="preserve"> Descriptive statistics of raw data are available in Appendix </w:t>
      </w:r>
      <w:r w:rsidR="00807F2A" w:rsidRPr="003736F5">
        <w:rPr>
          <w:rFonts w:cs="Times New Roman"/>
          <w:color w:val="000000"/>
          <w:szCs w:val="24"/>
        </w:rPr>
        <w:t>2</w:t>
      </w:r>
      <w:r w:rsidR="00252703" w:rsidRPr="003736F5">
        <w:rPr>
          <w:rFonts w:cs="Times New Roman"/>
          <w:color w:val="000000"/>
          <w:szCs w:val="24"/>
        </w:rPr>
        <w:t>.</w:t>
      </w:r>
    </w:p>
    <w:p w14:paraId="44628BB0" w14:textId="3B90D1DD" w:rsidR="004C660A" w:rsidRPr="003736F5" w:rsidRDefault="004C660A" w:rsidP="00F33A4C">
      <w:pPr>
        <w:rPr>
          <w:rFonts w:cs="Times New Roman"/>
          <w:color w:val="000000"/>
        </w:rPr>
      </w:pPr>
      <w:r w:rsidRPr="003736F5">
        <w:rPr>
          <w:rFonts w:cs="Times New Roman"/>
          <w:color w:val="000000"/>
        </w:rPr>
        <w:t xml:space="preserve">The </w:t>
      </w:r>
      <w:r w:rsidR="00FD0CBF" w:rsidRPr="003736F5">
        <w:rPr>
          <w:rFonts w:cs="Times New Roman"/>
          <w:color w:val="000000"/>
          <w:szCs w:val="24"/>
        </w:rPr>
        <w:t xml:space="preserve">Annual Respondents Database X </w:t>
      </w:r>
      <w:r w:rsidRPr="003736F5">
        <w:rPr>
          <w:rFonts w:cs="Times New Roman"/>
          <w:color w:val="000000"/>
        </w:rPr>
        <w:t>combines two existing surveys, the Annual Business Inquiry (1998-2008) and the subsequent Annual Business Survey (2009-14)</w:t>
      </w:r>
      <w:r w:rsidR="006C198A" w:rsidRPr="003736F5">
        <w:rPr>
          <w:rFonts w:cs="Times New Roman"/>
          <w:color w:val="000000"/>
        </w:rPr>
        <w:t>,</w:t>
      </w:r>
      <w:r w:rsidRPr="003736F5">
        <w:rPr>
          <w:rFonts w:cs="Times New Roman"/>
          <w:color w:val="000000"/>
        </w:rPr>
        <w:t xml:space="preserve"> which firms’ representatives are legally required to complete, producing high response rates. It is a complex stratified sample across size, </w:t>
      </w:r>
      <w:proofErr w:type="gramStart"/>
      <w:r w:rsidRPr="003736F5">
        <w:rPr>
          <w:rFonts w:cs="Times New Roman"/>
          <w:color w:val="000000"/>
        </w:rPr>
        <w:t>sector</w:t>
      </w:r>
      <w:proofErr w:type="gramEnd"/>
      <w:r w:rsidRPr="003736F5">
        <w:rPr>
          <w:rFonts w:cs="Times New Roman"/>
          <w:color w:val="000000"/>
        </w:rPr>
        <w:t xml:space="preserve"> and region. The sample framework is constructed using administrative data on employment and turnover from PAYE</w:t>
      </w:r>
      <w:r w:rsidRPr="003736F5">
        <w:rPr>
          <w:rFonts w:cs="Times New Roman"/>
          <w:color w:val="000000"/>
          <w:vertAlign w:val="superscript"/>
        </w:rPr>
        <w:footnoteReference w:id="6"/>
      </w:r>
      <w:r w:rsidRPr="003736F5">
        <w:rPr>
          <w:rFonts w:cs="Times New Roman"/>
          <w:color w:val="000000"/>
        </w:rPr>
        <w:t xml:space="preserve"> and VAT registered firms. Importantly for our purposes, it captures information at both the enterprise and local unit levels. </w:t>
      </w:r>
      <w:r w:rsidR="002D3700" w:rsidRPr="003736F5">
        <w:rPr>
          <w:rFonts w:cs="Times New Roman"/>
          <w:color w:val="000000"/>
        </w:rPr>
        <w:t xml:space="preserve">We limit the sample to firms that have only one local unit because </w:t>
      </w:r>
      <w:r w:rsidR="002D3700" w:rsidRPr="003736F5">
        <w:rPr>
          <w:rFonts w:cs="Times New Roman"/>
        </w:rPr>
        <w:t>businesses</w:t>
      </w:r>
      <w:r w:rsidR="00FB58FF" w:rsidRPr="003736F5">
        <w:rPr>
          <w:rFonts w:cs="Times New Roman"/>
        </w:rPr>
        <w:t>,</w:t>
      </w:r>
      <w:r w:rsidR="002D3700" w:rsidRPr="003736F5">
        <w:rPr>
          <w:rFonts w:cs="Times New Roman"/>
        </w:rPr>
        <w:t xml:space="preserve"> with some exceptions</w:t>
      </w:r>
      <w:r w:rsidR="00FB58FF" w:rsidRPr="003736F5">
        <w:rPr>
          <w:rFonts w:cs="Times New Roman"/>
        </w:rPr>
        <w:t>,</w:t>
      </w:r>
      <w:r w:rsidR="002D3700" w:rsidRPr="003736F5">
        <w:rPr>
          <w:rFonts w:cs="Times New Roman"/>
        </w:rPr>
        <w:t xml:space="preserve"> </w:t>
      </w:r>
      <w:proofErr w:type="gramStart"/>
      <w:r w:rsidR="002D3700" w:rsidRPr="003736F5">
        <w:rPr>
          <w:rFonts w:cs="Times New Roman"/>
        </w:rPr>
        <w:t>have to</w:t>
      </w:r>
      <w:proofErr w:type="gramEnd"/>
      <w:r w:rsidR="002D3700" w:rsidRPr="003736F5">
        <w:rPr>
          <w:rFonts w:cs="Times New Roman"/>
        </w:rPr>
        <w:t xml:space="preserve"> use only one property to receive SBRR</w:t>
      </w:r>
      <w:r w:rsidR="002D3700" w:rsidRPr="003736F5">
        <w:rPr>
          <w:rFonts w:cs="Times New Roman"/>
          <w:color w:val="000000"/>
        </w:rPr>
        <w:t xml:space="preserve">. </w:t>
      </w:r>
      <w:r w:rsidRPr="003736F5">
        <w:rPr>
          <w:rFonts w:cs="Times New Roman"/>
          <w:color w:val="000000"/>
        </w:rPr>
        <w:t xml:space="preserve">We </w:t>
      </w:r>
      <w:r w:rsidR="002D3700" w:rsidRPr="003736F5">
        <w:rPr>
          <w:rFonts w:cs="Times New Roman"/>
          <w:color w:val="000000"/>
        </w:rPr>
        <w:t>also</w:t>
      </w:r>
      <w:r w:rsidRPr="003736F5">
        <w:rPr>
          <w:rFonts w:cs="Times New Roman"/>
          <w:color w:val="000000"/>
        </w:rPr>
        <w:t xml:space="preserve"> need to calculate firm’s rateable value and SBRR from the survey reported BR (see Appendix </w:t>
      </w:r>
      <w:r w:rsidR="00807F2A" w:rsidRPr="003736F5">
        <w:rPr>
          <w:rFonts w:cs="Times New Roman"/>
          <w:color w:val="000000"/>
        </w:rPr>
        <w:t>1</w:t>
      </w:r>
      <w:r w:rsidRPr="003736F5">
        <w:rPr>
          <w:rFonts w:cs="Times New Roman"/>
          <w:color w:val="000000"/>
        </w:rPr>
        <w:t>).</w:t>
      </w:r>
      <w:r w:rsidR="002D3700" w:rsidRPr="003736F5">
        <w:rPr>
          <w:rFonts w:cs="Times New Roman"/>
          <w:color w:val="000000"/>
        </w:rPr>
        <w:t xml:space="preserve"> </w:t>
      </w:r>
    </w:p>
    <w:p w14:paraId="1395BDBA" w14:textId="6FF75859" w:rsidR="004C660A" w:rsidRPr="003736F5" w:rsidRDefault="004C660A" w:rsidP="00F33A4C">
      <w:pPr>
        <w:rPr>
          <w:rFonts w:cs="Times New Roman"/>
          <w:color w:val="000000"/>
          <w:szCs w:val="24"/>
        </w:rPr>
      </w:pPr>
      <w:r w:rsidRPr="003736F5">
        <w:rPr>
          <w:rFonts w:cs="Times New Roman"/>
          <w:color w:val="000000"/>
        </w:rPr>
        <w:lastRenderedPageBreak/>
        <w:t xml:space="preserve">We combine this data source with the </w:t>
      </w:r>
      <w:r w:rsidR="00296DEA" w:rsidRPr="003736F5">
        <w:rPr>
          <w:rFonts w:cs="Times New Roman"/>
          <w:color w:val="000000"/>
          <w:szCs w:val="24"/>
        </w:rPr>
        <w:t xml:space="preserve">Business Structure Database </w:t>
      </w:r>
      <w:r w:rsidRPr="003736F5">
        <w:rPr>
          <w:rFonts w:cs="Times New Roman"/>
          <w:color w:val="000000"/>
        </w:rPr>
        <w:t xml:space="preserve">to acquire </w:t>
      </w:r>
      <w:r w:rsidR="007D0BCE" w:rsidRPr="003736F5">
        <w:rPr>
          <w:rFonts w:cs="Times New Roman"/>
          <w:color w:val="000000"/>
        </w:rPr>
        <w:t xml:space="preserve">the observations from </w:t>
      </w:r>
      <w:r w:rsidRPr="003736F5">
        <w:rPr>
          <w:rFonts w:cs="Times New Roman"/>
          <w:color w:val="000000"/>
        </w:rPr>
        <w:t xml:space="preserve">smaller firms that were not included in the </w:t>
      </w:r>
      <w:r w:rsidR="00FD0CBF" w:rsidRPr="003736F5">
        <w:rPr>
          <w:rFonts w:cs="Times New Roman"/>
          <w:color w:val="000000"/>
          <w:szCs w:val="24"/>
        </w:rPr>
        <w:t>Annual Respondents Database X</w:t>
      </w:r>
      <w:r w:rsidR="00A75BBF" w:rsidRPr="003736F5">
        <w:rPr>
          <w:rFonts w:cs="Times New Roman"/>
          <w:color w:val="000000"/>
          <w:szCs w:val="24"/>
        </w:rPr>
        <w:t>.</w:t>
      </w:r>
      <w:r w:rsidRPr="003736F5">
        <w:rPr>
          <w:rStyle w:val="FootnoteReference"/>
          <w:rFonts w:cs="Times New Roman"/>
          <w:color w:val="000000"/>
        </w:rPr>
        <w:footnoteReference w:id="7"/>
      </w:r>
      <w:r w:rsidRPr="003736F5">
        <w:rPr>
          <w:rFonts w:cs="Times New Roman"/>
          <w:color w:val="000000"/>
        </w:rPr>
        <w:t xml:space="preserve"> The </w:t>
      </w:r>
      <w:r w:rsidR="00296DEA" w:rsidRPr="003736F5">
        <w:rPr>
          <w:rFonts w:cs="Times New Roman"/>
          <w:color w:val="000000"/>
          <w:szCs w:val="24"/>
        </w:rPr>
        <w:t xml:space="preserve">Business Structure Database </w:t>
      </w:r>
      <w:r w:rsidRPr="003736F5">
        <w:rPr>
          <w:rFonts w:cs="Times New Roman"/>
          <w:color w:val="000000"/>
        </w:rPr>
        <w:t>contains an annual release of a small number of critical variables on all UK registered firms and is complementary to the above business surveys.</w:t>
      </w:r>
    </w:p>
    <w:p w14:paraId="729C336D" w14:textId="3CC6B542" w:rsidR="00A65DB7" w:rsidRPr="003736F5" w:rsidRDefault="004C660A" w:rsidP="4A831E7A">
      <w:pPr>
        <w:rPr>
          <w:rFonts w:cs="Times New Roman"/>
          <w:color w:val="000000"/>
        </w:rPr>
      </w:pPr>
      <w:r w:rsidRPr="003736F5">
        <w:rPr>
          <w:rFonts w:cs="Times New Roman"/>
          <w:color w:val="000000" w:themeColor="text1"/>
        </w:rPr>
        <w:t xml:space="preserve">The </w:t>
      </w:r>
      <w:r w:rsidR="00FD0CBF" w:rsidRPr="003736F5">
        <w:rPr>
          <w:rFonts w:cs="Times New Roman"/>
          <w:color w:val="000000" w:themeColor="text1"/>
        </w:rPr>
        <w:t xml:space="preserve">Annual Respondents Database X </w:t>
      </w:r>
      <w:r w:rsidRPr="003736F5">
        <w:rPr>
          <w:rFonts w:cs="Times New Roman"/>
          <w:color w:val="000000" w:themeColor="text1"/>
        </w:rPr>
        <w:t xml:space="preserve">and </w:t>
      </w:r>
      <w:r w:rsidR="00296DEA" w:rsidRPr="003736F5">
        <w:rPr>
          <w:rFonts w:cs="Times New Roman"/>
          <w:color w:val="000000" w:themeColor="text1"/>
        </w:rPr>
        <w:t xml:space="preserve">Business Structure Database </w:t>
      </w:r>
      <w:r w:rsidRPr="003736F5">
        <w:rPr>
          <w:rFonts w:cs="Times New Roman"/>
          <w:color w:val="000000" w:themeColor="text1"/>
        </w:rPr>
        <w:t>do not directly provide controls for the input price changes</w:t>
      </w:r>
      <w:r w:rsidR="00CD6470" w:rsidRPr="003736F5">
        <w:rPr>
          <w:rFonts w:cs="Times New Roman"/>
          <w:color w:val="000000" w:themeColor="text1"/>
        </w:rPr>
        <w:t xml:space="preserve"> </w:t>
      </w:r>
      <w:r w:rsidR="005C72CD" w:rsidRPr="003736F5">
        <w:rPr>
          <w:rFonts w:cs="Times New Roman"/>
          <w:color w:val="000000" w:themeColor="text1"/>
        </w:rPr>
        <w:t>that</w:t>
      </w:r>
      <w:r w:rsidRPr="003736F5">
        <w:rPr>
          <w:rFonts w:cs="Times New Roman"/>
          <w:color w:val="000000" w:themeColor="text1"/>
        </w:rPr>
        <w:t xml:space="preserve"> we require for </w:t>
      </w:r>
      <w:r w:rsidR="00F1312B" w:rsidRPr="003736F5">
        <w:rPr>
          <w:rFonts w:cs="Times New Roman"/>
          <w:color w:val="000000" w:themeColor="text1"/>
        </w:rPr>
        <w:t xml:space="preserve">the </w:t>
      </w:r>
      <w:r w:rsidRPr="003736F5">
        <w:rPr>
          <w:rFonts w:cs="Times New Roman"/>
          <w:color w:val="000000" w:themeColor="text1"/>
        </w:rPr>
        <w:t xml:space="preserve">estimation of </w:t>
      </w:r>
      <w:r w:rsidR="001C1B91" w:rsidRPr="003736F5">
        <w:rPr>
          <w:rFonts w:cs="Times New Roman"/>
          <w:color w:val="000000" w:themeColor="text1"/>
        </w:rPr>
        <w:t>productivity</w:t>
      </w:r>
      <w:r w:rsidRPr="003736F5">
        <w:rPr>
          <w:rFonts w:cs="Times New Roman"/>
          <w:color w:val="000000" w:themeColor="text1"/>
        </w:rPr>
        <w:t xml:space="preserve">. To control for omitted price bias (as defined by Van Beveren, 2012), we do not use the typical approach of employing the inherently biased general </w:t>
      </w:r>
      <w:r w:rsidR="005A7A24" w:rsidRPr="003736F5">
        <w:rPr>
          <w:rFonts w:cs="Times New Roman"/>
          <w:color w:val="000000" w:themeColor="text1"/>
        </w:rPr>
        <w:t>g</w:t>
      </w:r>
      <w:r w:rsidR="007C089F" w:rsidRPr="003736F5">
        <w:rPr>
          <w:rFonts w:cs="Times New Roman"/>
          <w:color w:val="000000" w:themeColor="text1"/>
        </w:rPr>
        <w:t xml:space="preserve">ross </w:t>
      </w:r>
      <w:r w:rsidR="005A7A24" w:rsidRPr="003736F5">
        <w:rPr>
          <w:rFonts w:cs="Times New Roman"/>
          <w:color w:val="000000" w:themeColor="text1"/>
        </w:rPr>
        <w:t>d</w:t>
      </w:r>
      <w:r w:rsidR="007C089F" w:rsidRPr="003736F5">
        <w:rPr>
          <w:rFonts w:cs="Times New Roman"/>
          <w:color w:val="000000" w:themeColor="text1"/>
        </w:rPr>
        <w:t xml:space="preserve">omestic </w:t>
      </w:r>
      <w:r w:rsidR="005A7A24" w:rsidRPr="003736F5">
        <w:rPr>
          <w:rFonts w:cs="Times New Roman"/>
          <w:color w:val="000000" w:themeColor="text1"/>
        </w:rPr>
        <w:t>p</w:t>
      </w:r>
      <w:r w:rsidR="007C089F" w:rsidRPr="003736F5">
        <w:rPr>
          <w:rFonts w:cs="Times New Roman"/>
          <w:color w:val="000000" w:themeColor="text1"/>
        </w:rPr>
        <w:t>roduct</w:t>
      </w:r>
      <w:r w:rsidRPr="003736F5">
        <w:rPr>
          <w:rFonts w:cs="Times New Roman"/>
          <w:color w:val="000000" w:themeColor="text1"/>
        </w:rPr>
        <w:t xml:space="preserve">, but use the </w:t>
      </w:r>
      <w:r w:rsidR="005258C9" w:rsidRPr="003736F5">
        <w:rPr>
          <w:rFonts w:cs="Times New Roman"/>
          <w:color w:val="000000" w:themeColor="text1"/>
        </w:rPr>
        <w:t xml:space="preserve">Prices Survey Microdata </w:t>
      </w:r>
      <w:r w:rsidRPr="003736F5">
        <w:rPr>
          <w:rFonts w:cs="Times New Roman"/>
          <w:color w:val="000000" w:themeColor="text1"/>
        </w:rPr>
        <w:t xml:space="preserve">data, which contains more </w:t>
      </w:r>
      <w:r w:rsidR="007479DF" w:rsidRPr="003736F5">
        <w:rPr>
          <w:rFonts w:cs="Times New Roman"/>
          <w:color w:val="000000" w:themeColor="text1"/>
        </w:rPr>
        <w:t>accurat</w:t>
      </w:r>
      <w:r w:rsidRPr="003736F5">
        <w:rPr>
          <w:rFonts w:cs="Times New Roman"/>
          <w:color w:val="000000" w:themeColor="text1"/>
        </w:rPr>
        <w:t>e regional and sector level prices. We devalue to 2016 prices.</w:t>
      </w:r>
      <w:r w:rsidR="007F0D52" w:rsidRPr="003736F5">
        <w:rPr>
          <w:rFonts w:cs="Times New Roman"/>
          <w:color w:val="000000" w:themeColor="text1"/>
        </w:rPr>
        <w:t xml:space="preserve"> </w:t>
      </w:r>
    </w:p>
    <w:p w14:paraId="6D6DD8E7" w14:textId="21BA7C67" w:rsidR="004C660A" w:rsidRPr="003736F5" w:rsidRDefault="005E7664" w:rsidP="00F33A4C">
      <w:pPr>
        <w:pStyle w:val="Heading2"/>
        <w:jc w:val="left"/>
        <w:rPr>
          <w:rFonts w:ascii="Times New Roman" w:hAnsi="Times New Roman"/>
        </w:rPr>
      </w:pPr>
      <w:r w:rsidRPr="003736F5">
        <w:rPr>
          <w:rFonts w:ascii="Times New Roman" w:hAnsi="Times New Roman"/>
        </w:rPr>
        <w:t>4.</w:t>
      </w:r>
      <w:r w:rsidR="000F0CFC" w:rsidRPr="003736F5">
        <w:rPr>
          <w:rFonts w:ascii="Times New Roman" w:hAnsi="Times New Roman"/>
        </w:rPr>
        <w:t>2</w:t>
      </w:r>
      <w:r w:rsidR="1CED0E00" w:rsidRPr="003736F5">
        <w:rPr>
          <w:rFonts w:ascii="Times New Roman" w:hAnsi="Times New Roman"/>
        </w:rPr>
        <w:t>. Estimation Strategy</w:t>
      </w:r>
    </w:p>
    <w:p w14:paraId="2A26FCF2" w14:textId="66AAA130" w:rsidR="004C660A" w:rsidRPr="003736F5" w:rsidRDefault="004C660A" w:rsidP="00F33A4C">
      <w:pPr>
        <w:rPr>
          <w:rFonts w:cs="Times New Roman"/>
          <w:color w:val="000000"/>
          <w:szCs w:val="24"/>
        </w:rPr>
      </w:pPr>
      <w:r w:rsidRPr="003736F5">
        <w:rPr>
          <w:rFonts w:cs="Times New Roman"/>
          <w:color w:val="000000"/>
          <w:szCs w:val="24"/>
        </w:rPr>
        <w:t xml:space="preserve">To illustrate whether the non-domestic property tax reliefs have any impact on </w:t>
      </w:r>
      <w:r w:rsidR="001C1B91" w:rsidRPr="003736F5">
        <w:rPr>
          <w:rFonts w:cs="Times New Roman"/>
          <w:color w:val="000000"/>
        </w:rPr>
        <w:t>productivity</w:t>
      </w:r>
      <w:r w:rsidRPr="003736F5">
        <w:rPr>
          <w:rFonts w:cs="Times New Roman"/>
          <w:color w:val="000000"/>
          <w:szCs w:val="24"/>
        </w:rPr>
        <w:t>, we could simply estimate:</w:t>
      </w:r>
    </w:p>
    <w:p w14:paraId="34C2A077" w14:textId="189D66D0" w:rsidR="004C660A" w:rsidRPr="003736F5" w:rsidRDefault="003736F5" w:rsidP="00F33A4C">
      <w:pPr>
        <w:rPr>
          <w:rFonts w:cs="Times New Roman"/>
          <w:color w:val="000000"/>
          <w:szCs w:val="24"/>
        </w:rPr>
      </w:pPr>
      <m:oMath>
        <m:sSub>
          <m:sSubPr>
            <m:ctrlPr>
              <w:rPr>
                <w:rFonts w:ascii="Cambria Math" w:hAnsi="Cambria Math" w:cs="Times New Roman"/>
                <w:i/>
                <w:color w:val="000000"/>
                <w:szCs w:val="24"/>
              </w:rPr>
            </m:ctrlPr>
          </m:sSubPr>
          <m:e>
            <m:r>
              <w:rPr>
                <w:rFonts w:ascii="Cambria Math" w:hAnsi="Cambria Math" w:cs="Times New Roman"/>
                <w:color w:val="000000"/>
                <w:szCs w:val="24"/>
              </w:rPr>
              <m:t>ω</m:t>
            </m:r>
          </m:e>
          <m:sub>
            <m:r>
              <w:rPr>
                <w:rFonts w:ascii="Cambria Math" w:hAnsi="Cambria Math" w:cs="Times New Roman"/>
                <w:color w:val="000000"/>
                <w:szCs w:val="24"/>
              </w:rPr>
              <m:t>it</m:t>
            </m:r>
          </m:sub>
        </m:sSub>
        <m:r>
          <w:rPr>
            <w:rFonts w:ascii="Cambria Math" w:hAnsi="Cambria Math" w:cs="Times New Roman"/>
            <w:color w:val="000000"/>
            <w:szCs w:val="24"/>
          </w:rPr>
          <m:t>=β</m:t>
        </m:r>
        <m:sSub>
          <m:sSubPr>
            <m:ctrlPr>
              <w:rPr>
                <w:rFonts w:ascii="Cambria Math" w:hAnsi="Cambria Math" w:cs="Times New Roman"/>
                <w:i/>
                <w:color w:val="000000"/>
                <w:szCs w:val="24"/>
              </w:rPr>
            </m:ctrlPr>
          </m:sSubPr>
          <m:e>
            <m:r>
              <w:rPr>
                <w:rFonts w:ascii="Cambria Math" w:hAnsi="Cambria Math" w:cs="Times New Roman"/>
                <w:color w:val="000000"/>
                <w:szCs w:val="24"/>
              </w:rPr>
              <m:t>α</m:t>
            </m:r>
          </m:e>
          <m:sub>
            <m:r>
              <w:rPr>
                <w:rFonts w:ascii="Cambria Math" w:hAnsi="Cambria Math" w:cs="Times New Roman"/>
                <w:color w:val="000000"/>
                <w:szCs w:val="24"/>
              </w:rPr>
              <m:t>it</m:t>
            </m:r>
          </m:sub>
        </m:sSub>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e</m:t>
            </m:r>
          </m:e>
          <m:sub>
            <m:r>
              <w:rPr>
                <w:rFonts w:ascii="Cambria Math" w:hAnsi="Cambria Math" w:cs="Times New Roman"/>
                <w:color w:val="000000"/>
                <w:szCs w:val="24"/>
              </w:rPr>
              <m:t>it</m:t>
            </m:r>
          </m:sub>
        </m:sSub>
      </m:oMath>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r>
      <w:r w:rsidR="004C660A" w:rsidRPr="003736F5">
        <w:rPr>
          <w:rFonts w:eastAsia="MS Mincho" w:cs="Times New Roman"/>
          <w:color w:val="000000"/>
          <w:szCs w:val="24"/>
        </w:rPr>
        <w:tab/>
        <w:t>(1)</w:t>
      </w:r>
    </w:p>
    <w:p w14:paraId="2992B2D3" w14:textId="5990151F" w:rsidR="004C660A" w:rsidRPr="003736F5" w:rsidRDefault="004C660A" w:rsidP="76815306">
      <w:pPr>
        <w:rPr>
          <w:rFonts w:eastAsia="MS Mincho" w:cs="Times New Roman"/>
          <w:color w:val="000000"/>
        </w:rPr>
      </w:pPr>
      <w:r w:rsidRPr="003736F5">
        <w:rPr>
          <w:rFonts w:cs="Times New Roman"/>
          <w:color w:val="000000"/>
        </w:rPr>
        <w:t xml:space="preserve">where </w:t>
      </w:r>
      <m:oMath>
        <m:sSub>
          <m:sSubPr>
            <m:ctrlPr>
              <w:rPr>
                <w:rFonts w:ascii="Cambria Math" w:hAnsi="Cambria Math" w:cs="Times New Roman"/>
                <w:i/>
                <w:color w:val="000000"/>
                <w:szCs w:val="24"/>
              </w:rPr>
            </m:ctrlPr>
          </m:sSubPr>
          <m:e>
            <m:r>
              <w:rPr>
                <w:rFonts w:ascii="Cambria Math" w:hAnsi="Cambria Math" w:cs="Times New Roman"/>
                <w:color w:val="000000"/>
                <w:szCs w:val="24"/>
              </w:rPr>
              <m:t>ω</m:t>
            </m:r>
          </m:e>
          <m:sub>
            <m:r>
              <w:rPr>
                <w:rFonts w:ascii="Cambria Math" w:hAnsi="Cambria Math" w:cs="Times New Roman"/>
                <w:color w:val="000000"/>
                <w:szCs w:val="24"/>
              </w:rPr>
              <m:t>it</m:t>
            </m:r>
          </m:sub>
        </m:sSub>
      </m:oMath>
      <w:r w:rsidRPr="003736F5">
        <w:rPr>
          <w:rFonts w:cs="Times New Roman"/>
          <w:color w:val="000000"/>
        </w:rPr>
        <w:t xml:space="preserve"> is </w:t>
      </w:r>
      <w:r w:rsidR="007479DF" w:rsidRPr="003736F5">
        <w:rPr>
          <w:rFonts w:cs="Times New Roman"/>
          <w:color w:val="000000"/>
        </w:rPr>
        <w:t xml:space="preserve">the </w:t>
      </w:r>
      <w:r w:rsidR="001C1B91" w:rsidRPr="003736F5">
        <w:rPr>
          <w:rFonts w:cs="Times New Roman"/>
          <w:color w:val="000000"/>
        </w:rPr>
        <w:t xml:space="preserve">productivity </w:t>
      </w:r>
      <w:r w:rsidRPr="003736F5">
        <w:rPr>
          <w:rFonts w:cs="Times New Roman"/>
          <w:color w:val="000000"/>
        </w:rPr>
        <w:t xml:space="preserve">of establishment </w:t>
      </w:r>
      <m:oMath>
        <m:r>
          <w:rPr>
            <w:rFonts w:ascii="Cambria Math" w:hAnsi="Cambria Math" w:cs="Times New Roman"/>
            <w:color w:val="000000"/>
            <w:szCs w:val="24"/>
          </w:rPr>
          <m:t>i</m:t>
        </m:r>
      </m:oMath>
      <w:r w:rsidRPr="003736F5">
        <w:rPr>
          <w:rFonts w:cs="Times New Roman"/>
          <w:color w:val="000000"/>
        </w:rPr>
        <w:t xml:space="preserve"> at time </w:t>
      </w:r>
      <m:oMath>
        <m:r>
          <w:rPr>
            <w:rFonts w:ascii="Cambria Math" w:hAnsi="Cambria Math" w:cs="Times New Roman"/>
            <w:color w:val="000000"/>
            <w:szCs w:val="24"/>
          </w:rPr>
          <m:t>t</m:t>
        </m:r>
      </m:oMath>
      <w:r w:rsidRPr="003736F5">
        <w:rPr>
          <w:rFonts w:cs="Times New Roman"/>
          <w:color w:val="000000"/>
        </w:rPr>
        <w:t xml:space="preserve"> and error term</w:t>
      </w:r>
      <w:r w:rsidR="008F5256" w:rsidRPr="003736F5">
        <w:rPr>
          <w:rFonts w:cs="Times New Roman"/>
          <w:color w:val="000000"/>
        </w:rPr>
        <w:t xml:space="preserve">, </w:t>
      </w:r>
      <m:oMath>
        <m:sSub>
          <m:sSubPr>
            <m:ctrlPr>
              <w:rPr>
                <w:rFonts w:ascii="Cambria Math" w:hAnsi="Cambria Math" w:cs="Times New Roman"/>
                <w:i/>
                <w:color w:val="000000"/>
                <w:szCs w:val="24"/>
              </w:rPr>
            </m:ctrlPr>
          </m:sSubPr>
          <m:e>
            <m:r>
              <w:rPr>
                <w:rFonts w:ascii="Cambria Math" w:hAnsi="Cambria Math" w:cs="Times New Roman"/>
                <w:color w:val="000000"/>
                <w:szCs w:val="24"/>
              </w:rPr>
              <m:t>e</m:t>
            </m:r>
          </m:e>
          <m:sub>
            <m:r>
              <w:rPr>
                <w:rFonts w:ascii="Cambria Math" w:hAnsi="Cambria Math" w:cs="Times New Roman"/>
                <w:color w:val="000000"/>
                <w:szCs w:val="24"/>
              </w:rPr>
              <m:t>it</m:t>
            </m:r>
          </m:sub>
        </m:sSub>
      </m:oMath>
      <w:r w:rsidR="008F5256" w:rsidRPr="003736F5">
        <w:rPr>
          <w:rFonts w:cs="Times New Roman"/>
          <w:color w:val="000000"/>
        </w:rPr>
        <w:t>,</w:t>
      </w:r>
      <w:r w:rsidR="007479DF" w:rsidRPr="003736F5">
        <w:rPr>
          <w:rFonts w:cs="Times New Roman"/>
          <w:color w:val="000000"/>
        </w:rPr>
        <w:t xml:space="preserve"> </w:t>
      </w:r>
      <w:r w:rsidRPr="003736F5">
        <w:rPr>
          <w:rFonts w:cs="Times New Roman"/>
          <w:color w:val="000000"/>
        </w:rPr>
        <w:t xml:space="preserve">that captures the demand shock </w:t>
      </w:r>
      <m:oMath>
        <m:sSub>
          <m:sSubPr>
            <m:ctrlPr>
              <w:rPr>
                <w:rFonts w:ascii="Cambria Math" w:hAnsi="Cambria Math" w:cs="Times New Roman"/>
                <w:i/>
                <w:color w:val="000000"/>
                <w:szCs w:val="24"/>
              </w:rPr>
            </m:ctrlPr>
          </m:sSubPr>
          <m:e>
            <m:r>
              <w:rPr>
                <w:rFonts w:ascii="Cambria Math" w:hAnsi="Cambria Math" w:cs="Times New Roman"/>
                <w:color w:val="000000"/>
                <w:szCs w:val="24"/>
              </w:rPr>
              <m:t>ρ</m:t>
            </m:r>
          </m:e>
          <m:sub>
            <m:r>
              <w:rPr>
                <w:rFonts w:ascii="Cambria Math" w:hAnsi="Cambria Math" w:cs="Times New Roman"/>
                <w:color w:val="000000"/>
                <w:szCs w:val="24"/>
              </w:rPr>
              <m:t>ij</m:t>
            </m:r>
          </m:sub>
        </m:sSub>
      </m:oMath>
      <w:r w:rsidR="007479DF" w:rsidRPr="003736F5">
        <w:rPr>
          <w:rFonts w:cs="Times New Roman"/>
          <w:color w:val="000000"/>
        </w:rPr>
        <w:t xml:space="preserve"> </w:t>
      </w:r>
      <w:r w:rsidRPr="003736F5">
        <w:rPr>
          <w:rFonts w:cs="Times New Roman"/>
          <w:color w:val="000000"/>
        </w:rPr>
        <w:t xml:space="preserve">in reduced form. The main parameter of interest is </w:t>
      </w:r>
      <m:oMath>
        <m:r>
          <w:rPr>
            <w:rFonts w:ascii="Cambria Math" w:hAnsi="Cambria Math" w:cs="Times New Roman"/>
            <w:color w:val="000000"/>
            <w:szCs w:val="24"/>
          </w:rPr>
          <m:t>β</m:t>
        </m:r>
      </m:oMath>
      <w:r w:rsidR="007479DF" w:rsidRPr="003736F5">
        <w:rPr>
          <w:rFonts w:eastAsia="MS Mincho" w:cs="Times New Roman"/>
          <w:color w:val="000000"/>
        </w:rPr>
        <w:t xml:space="preserve"> </w:t>
      </w:r>
      <w:r w:rsidRPr="003736F5">
        <w:rPr>
          <w:rFonts w:eastAsia="MS Mincho" w:cs="Times New Roman"/>
          <w:color w:val="000000"/>
        </w:rPr>
        <w:t xml:space="preserve">capturing the effect of any relief, </w:t>
      </w:r>
      <m:oMath>
        <m:sSub>
          <m:sSubPr>
            <m:ctrlPr>
              <w:rPr>
                <w:rFonts w:ascii="Cambria Math" w:eastAsia="MS Mincho" w:hAnsi="Cambria Math" w:cs="Times New Roman"/>
                <w:i/>
                <w:color w:val="000000"/>
                <w:szCs w:val="24"/>
              </w:rPr>
            </m:ctrlPr>
          </m:sSubPr>
          <m:e>
            <m:r>
              <w:rPr>
                <w:rFonts w:ascii="Cambria Math" w:eastAsia="MS Mincho" w:hAnsi="Cambria Math" w:cs="Times New Roman"/>
                <w:color w:val="000000"/>
                <w:szCs w:val="24"/>
              </w:rPr>
              <m:t>α</m:t>
            </m:r>
          </m:e>
          <m:sub>
            <m:r>
              <w:rPr>
                <w:rFonts w:ascii="Cambria Math" w:eastAsia="MS Mincho" w:hAnsi="Cambria Math" w:cs="Times New Roman"/>
                <w:color w:val="000000"/>
                <w:szCs w:val="24"/>
              </w:rPr>
              <m:t>it</m:t>
            </m:r>
          </m:sub>
        </m:sSub>
      </m:oMath>
      <w:r w:rsidRPr="003736F5">
        <w:rPr>
          <w:rFonts w:eastAsia="MS Mincho" w:cs="Times New Roman"/>
          <w:color w:val="000000"/>
        </w:rPr>
        <w:t>.</w:t>
      </w:r>
    </w:p>
    <w:p w14:paraId="7BE307F7" w14:textId="0F103BCF" w:rsidR="004C660A" w:rsidRPr="003736F5" w:rsidRDefault="004C660A" w:rsidP="00F33A4C">
      <w:pPr>
        <w:rPr>
          <w:rFonts w:cs="Times New Roman"/>
          <w:color w:val="000000"/>
        </w:rPr>
      </w:pPr>
      <w:r w:rsidRPr="003736F5">
        <w:rPr>
          <w:rFonts w:cs="Times New Roman"/>
          <w:color w:val="000000"/>
        </w:rPr>
        <w:t xml:space="preserve">Standard estimators such as </w:t>
      </w:r>
      <w:r w:rsidR="4B3E9337" w:rsidRPr="003736F5">
        <w:rPr>
          <w:rFonts w:cs="Times New Roman"/>
          <w:color w:val="000000"/>
        </w:rPr>
        <w:t>Ordinary Least Squares</w:t>
      </w:r>
      <w:r w:rsidRPr="003736F5">
        <w:rPr>
          <w:rFonts w:cs="Times New Roman"/>
          <w:color w:val="000000"/>
        </w:rPr>
        <w:t xml:space="preserve"> would not yield a consistent estimate of </w:t>
      </w:r>
      <m:oMath>
        <m:r>
          <w:rPr>
            <w:rFonts w:ascii="Cambria Math" w:hAnsi="Cambria Math" w:cs="Times New Roman"/>
            <w:color w:val="000000"/>
            <w:szCs w:val="24"/>
          </w:rPr>
          <m:t>β</m:t>
        </m:r>
      </m:oMath>
      <w:r w:rsidR="00B21D33" w:rsidRPr="003736F5">
        <w:rPr>
          <w:rFonts w:cs="Times New Roman"/>
          <w:color w:val="000000"/>
        </w:rPr>
        <w:t xml:space="preserve"> </w:t>
      </w:r>
      <w:r w:rsidRPr="003736F5">
        <w:rPr>
          <w:rFonts w:cs="Times New Roman"/>
          <w:color w:val="000000"/>
        </w:rPr>
        <w:t xml:space="preserve">because establishment-level characteristics are unlikely to be </w:t>
      </w:r>
      <w:r w:rsidRPr="003736F5">
        <w:rPr>
          <w:rFonts w:eastAsia="MS Mincho" w:cs="Times New Roman"/>
          <w:color w:val="000000"/>
        </w:rPr>
        <w:t xml:space="preserve">independent of each other or </w:t>
      </w:r>
      <w:r w:rsidRPr="003736F5">
        <w:rPr>
          <w:rFonts w:eastAsia="MS Mincho" w:cs="Times New Roman"/>
          <w:color w:val="000000"/>
        </w:rPr>
        <w:lastRenderedPageBreak/>
        <w:t xml:space="preserve">local </w:t>
      </w:r>
      <w:r w:rsidRPr="003736F5">
        <w:rPr>
          <w:rFonts w:cs="Times New Roman"/>
          <w:color w:val="000000"/>
        </w:rPr>
        <w:t>characteristics. Following</w:t>
      </w:r>
      <w:r w:rsidR="00E857FC" w:rsidRPr="003736F5">
        <w:rPr>
          <w:rFonts w:cs="Times New Roman"/>
          <w:color w:val="000000"/>
        </w:rPr>
        <w:t xml:space="preserve"> </w:t>
      </w:r>
      <w:r w:rsidR="00716387" w:rsidRPr="003736F5">
        <w:rPr>
          <w:rFonts w:cs="Times New Roman"/>
          <w:color w:val="000000"/>
        </w:rPr>
        <w:t>Gemmell et al. (2019)</w:t>
      </w:r>
      <w:r w:rsidRPr="003736F5">
        <w:rPr>
          <w:rFonts w:cs="Times New Roman"/>
          <w:color w:val="000000"/>
        </w:rPr>
        <w:t>, t</w:t>
      </w:r>
      <w:r w:rsidRPr="003736F5">
        <w:rPr>
          <w:rFonts w:eastAsia="MS Mincho" w:cs="Times New Roman"/>
          <w:color w:val="000000"/>
        </w:rPr>
        <w:t>he first step in addressing</w:t>
      </w:r>
      <w:r w:rsidRPr="003736F5">
        <w:rPr>
          <w:rFonts w:cs="Times New Roman"/>
          <w:color w:val="000000"/>
        </w:rPr>
        <w:t xml:space="preserve"> the </w:t>
      </w:r>
      <w:r w:rsidRPr="003736F5">
        <w:rPr>
          <w:rFonts w:eastAsia="MS Mincho" w:cs="Times New Roman"/>
          <w:color w:val="000000"/>
        </w:rPr>
        <w:t>feasible complex relationships is to exploit</w:t>
      </w:r>
      <w:r w:rsidRPr="003736F5">
        <w:rPr>
          <w:rFonts w:cs="Times New Roman"/>
          <w:color w:val="000000"/>
        </w:rPr>
        <w:t xml:space="preserve"> our large representative dataset to recreate the conditions of a quasi-natural experiment</w:t>
      </w:r>
      <w:r w:rsidRPr="003736F5">
        <w:rPr>
          <w:rStyle w:val="FootnoteReference"/>
          <w:rFonts w:cs="Times New Roman"/>
          <w:color w:val="000000"/>
        </w:rPr>
        <w:footnoteReference w:id="8"/>
      </w:r>
      <w:r w:rsidRPr="003736F5">
        <w:rPr>
          <w:rFonts w:cs="Times New Roman"/>
          <w:color w:val="000000"/>
        </w:rPr>
        <w:t xml:space="preserve"> in which firms that receive SBRR are matched to similar single-unit firms which do not. Our large dataset enables us to use a wide range of observable establishment level characteristics, namely:</w:t>
      </w:r>
      <w:r w:rsidR="002315C2" w:rsidRPr="003736F5">
        <w:rPr>
          <w:rFonts w:cs="Times New Roman"/>
          <w:color w:val="000000"/>
        </w:rPr>
        <w:t xml:space="preserve"> </w:t>
      </w:r>
      <w:r w:rsidRPr="003736F5">
        <w:rPr>
          <w:rFonts w:cs="Times New Roman"/>
          <w:color w:val="000000"/>
        </w:rPr>
        <w:t xml:space="preserve">materials, age, investment, rent, output per employee, employment, sector, legal status, turnover, and </w:t>
      </w:r>
      <w:r w:rsidR="001C1B91" w:rsidRPr="003736F5">
        <w:rPr>
          <w:rFonts w:cs="Times New Roman"/>
          <w:color w:val="000000"/>
        </w:rPr>
        <w:t>gross value added</w:t>
      </w:r>
      <w:r w:rsidRPr="003736F5">
        <w:rPr>
          <w:rFonts w:cs="Times New Roman"/>
          <w:color w:val="000000"/>
        </w:rPr>
        <w:t xml:space="preserve">, to produce matches. The dependent variable is a dummy taking a value </w:t>
      </w:r>
      <w:r w:rsidR="003B47A9" w:rsidRPr="003736F5">
        <w:rPr>
          <w:rFonts w:cs="Times New Roman"/>
          <w:color w:val="000000"/>
        </w:rPr>
        <w:t>i</w:t>
      </w:r>
      <w:r w:rsidRPr="003736F5">
        <w:rPr>
          <w:rFonts w:cs="Times New Roman"/>
          <w:color w:val="000000"/>
        </w:rPr>
        <w:t>f one for those firms that received the relief at least twice between 2003-2015 and zero otherwise.</w:t>
      </w:r>
    </w:p>
    <w:p w14:paraId="6571E8E1" w14:textId="1E584A45" w:rsidR="00461A03" w:rsidRPr="003736F5" w:rsidRDefault="004C660A" w:rsidP="001D28E6">
      <w:pPr>
        <w:rPr>
          <w:rFonts w:cs="Times New Roman"/>
          <w:color w:val="000000"/>
          <w:szCs w:val="24"/>
        </w:rPr>
      </w:pPr>
      <w:r w:rsidRPr="003736F5">
        <w:rPr>
          <w:rFonts w:cs="Times New Roman"/>
          <w:color w:val="000000"/>
          <w:szCs w:val="24"/>
        </w:rPr>
        <w:t xml:space="preserve">However, instead of the more popular Propensity Score Matching, </w:t>
      </w:r>
      <w:r w:rsidR="00BF28D5" w:rsidRPr="003736F5">
        <w:rPr>
          <w:rFonts w:cs="Times New Roman"/>
          <w:color w:val="000000"/>
          <w:szCs w:val="24"/>
        </w:rPr>
        <w:t>w</w:t>
      </w:r>
      <w:r w:rsidRPr="003736F5">
        <w:rPr>
          <w:rFonts w:cs="Times New Roman"/>
          <w:color w:val="000000"/>
          <w:szCs w:val="24"/>
        </w:rPr>
        <w:t xml:space="preserve">e match using Coarsened Exact Matching. </w:t>
      </w:r>
      <w:r w:rsidR="009B7999" w:rsidRPr="003736F5">
        <w:rPr>
          <w:rFonts w:cs="Times New Roman"/>
          <w:color w:val="000000"/>
          <w:szCs w:val="24"/>
        </w:rPr>
        <w:t>It</w:t>
      </w:r>
      <w:r w:rsidRPr="003736F5">
        <w:rPr>
          <w:rFonts w:cs="Times New Roman"/>
          <w:color w:val="000000"/>
          <w:szCs w:val="24"/>
        </w:rPr>
        <w:t xml:space="preserve"> uses a more efficient fully blocked randomi</w:t>
      </w:r>
      <w:r w:rsidR="00A100F2" w:rsidRPr="003736F5">
        <w:rPr>
          <w:rFonts w:cs="Times New Roman"/>
          <w:color w:val="000000"/>
          <w:szCs w:val="24"/>
        </w:rPr>
        <w:t>s</w:t>
      </w:r>
      <w:r w:rsidRPr="003736F5">
        <w:rPr>
          <w:rFonts w:cs="Times New Roman"/>
          <w:color w:val="000000"/>
          <w:szCs w:val="24"/>
        </w:rPr>
        <w:t>ed experiment rather than attempting to approximate a completely randomi</w:t>
      </w:r>
      <w:r w:rsidR="00A100F2" w:rsidRPr="003736F5">
        <w:rPr>
          <w:rFonts w:cs="Times New Roman"/>
          <w:color w:val="000000"/>
          <w:szCs w:val="24"/>
        </w:rPr>
        <w:t>s</w:t>
      </w:r>
      <w:r w:rsidRPr="003736F5">
        <w:rPr>
          <w:rFonts w:cs="Times New Roman"/>
          <w:color w:val="000000"/>
          <w:szCs w:val="24"/>
        </w:rPr>
        <w:t xml:space="preserve">ed experiment as applied in </w:t>
      </w:r>
      <w:r w:rsidR="00422864" w:rsidRPr="003736F5">
        <w:rPr>
          <w:rFonts w:cs="Times New Roman"/>
          <w:color w:val="000000"/>
          <w:szCs w:val="24"/>
        </w:rPr>
        <w:t>the Propensity Score Matching</w:t>
      </w:r>
      <w:r w:rsidRPr="003736F5">
        <w:rPr>
          <w:rFonts w:cs="Times New Roman"/>
          <w:color w:val="000000"/>
          <w:szCs w:val="24"/>
        </w:rPr>
        <w:t>, which was found to increase imbalance, model dependence, and bias (</w:t>
      </w:r>
      <w:r w:rsidRPr="003736F5">
        <w:rPr>
          <w:rFonts w:cs="Times New Roman"/>
        </w:rPr>
        <w:t xml:space="preserve">King </w:t>
      </w:r>
      <w:r w:rsidR="00E40D4E" w:rsidRPr="003736F5">
        <w:rPr>
          <w:rFonts w:cs="Times New Roman"/>
        </w:rPr>
        <w:t>and Nielsen</w:t>
      </w:r>
      <w:r w:rsidRPr="003736F5">
        <w:rPr>
          <w:rFonts w:cs="Times New Roman"/>
        </w:rPr>
        <w:t>, 201</w:t>
      </w:r>
      <w:r w:rsidR="00681379" w:rsidRPr="003736F5">
        <w:rPr>
          <w:rFonts w:cs="Times New Roman"/>
        </w:rPr>
        <w:t>9</w:t>
      </w:r>
      <w:r w:rsidRPr="003736F5">
        <w:rPr>
          <w:rFonts w:cs="Times New Roman"/>
          <w:color w:val="000000"/>
          <w:szCs w:val="24"/>
        </w:rPr>
        <w:t>). The</w:t>
      </w:r>
      <w:r w:rsidR="006F7DC4" w:rsidRPr="003736F5">
        <w:rPr>
          <w:rFonts w:cs="Times New Roman"/>
          <w:color w:val="000000"/>
          <w:szCs w:val="24"/>
        </w:rPr>
        <w:t xml:space="preserve"> SBRR</w:t>
      </w:r>
      <w:r w:rsidRPr="003736F5">
        <w:rPr>
          <w:rFonts w:cs="Times New Roman"/>
          <w:color w:val="000000"/>
          <w:szCs w:val="24"/>
        </w:rPr>
        <w:t xml:space="preserve"> </w:t>
      </w:r>
      <w:r w:rsidR="006F7DC4" w:rsidRPr="003736F5">
        <w:rPr>
          <w:rFonts w:cs="Times New Roman"/>
          <w:color w:val="000000"/>
          <w:szCs w:val="24"/>
        </w:rPr>
        <w:t>recipient firms</w:t>
      </w:r>
      <w:r w:rsidRPr="003736F5">
        <w:rPr>
          <w:rFonts w:cs="Times New Roman"/>
          <w:color w:val="000000"/>
          <w:szCs w:val="24"/>
        </w:rPr>
        <w:t xml:space="preserve"> are matched one year prior to the introduction of SBRR</w:t>
      </w:r>
      <w:r w:rsidR="00E36C2D" w:rsidRPr="003736F5">
        <w:rPr>
          <w:rFonts w:cs="Times New Roman"/>
          <w:color w:val="000000"/>
          <w:szCs w:val="24"/>
        </w:rPr>
        <w:t xml:space="preserve"> </w:t>
      </w:r>
      <w:r w:rsidRPr="003736F5">
        <w:rPr>
          <w:rFonts w:cs="Times New Roman"/>
          <w:color w:val="000000"/>
          <w:szCs w:val="24"/>
        </w:rPr>
        <w:t>or</w:t>
      </w:r>
      <w:r w:rsidR="007040F9" w:rsidRPr="003736F5">
        <w:rPr>
          <w:rFonts w:cs="Times New Roman"/>
          <w:color w:val="000000"/>
          <w:szCs w:val="24"/>
        </w:rPr>
        <w:t>,</w:t>
      </w:r>
      <w:r w:rsidRPr="003736F5">
        <w:rPr>
          <w:rFonts w:cs="Times New Roman"/>
          <w:color w:val="000000"/>
          <w:szCs w:val="24"/>
        </w:rPr>
        <w:t xml:space="preserve"> </w:t>
      </w:r>
      <w:r w:rsidR="007D0BCE" w:rsidRPr="003736F5">
        <w:rPr>
          <w:rFonts w:cs="Times New Roman"/>
          <w:color w:val="000000"/>
          <w:szCs w:val="24"/>
        </w:rPr>
        <w:t xml:space="preserve">in the case of </w:t>
      </w:r>
      <w:r w:rsidRPr="003736F5">
        <w:rPr>
          <w:rFonts w:cs="Times New Roman"/>
          <w:color w:val="000000"/>
          <w:szCs w:val="24"/>
        </w:rPr>
        <w:t>young firms</w:t>
      </w:r>
      <w:r w:rsidR="003E5269" w:rsidRPr="003736F5">
        <w:rPr>
          <w:rFonts w:cs="Times New Roman"/>
          <w:color w:val="000000"/>
          <w:szCs w:val="24"/>
        </w:rPr>
        <w:t>,</w:t>
      </w:r>
      <w:r w:rsidRPr="003736F5">
        <w:rPr>
          <w:rFonts w:cs="Times New Roman"/>
          <w:color w:val="000000"/>
          <w:szCs w:val="24"/>
        </w:rPr>
        <w:t xml:space="preserve"> </w:t>
      </w:r>
      <w:r w:rsidR="004C06AD" w:rsidRPr="003736F5">
        <w:rPr>
          <w:rFonts w:cs="Times New Roman"/>
          <w:color w:val="000000"/>
          <w:szCs w:val="24"/>
        </w:rPr>
        <w:t>on</w:t>
      </w:r>
      <w:r w:rsidRPr="003736F5">
        <w:rPr>
          <w:rFonts w:cs="Times New Roman"/>
          <w:color w:val="000000"/>
          <w:szCs w:val="24"/>
        </w:rPr>
        <w:t xml:space="preserve"> their first observable year</w:t>
      </w:r>
      <w:r w:rsidR="00062E5D" w:rsidRPr="003736F5">
        <w:rPr>
          <w:rFonts w:cs="Times New Roman"/>
          <w:color w:val="000000"/>
          <w:szCs w:val="24"/>
        </w:rPr>
        <w:t xml:space="preserve"> to </w:t>
      </w:r>
      <w:r w:rsidR="0095046C" w:rsidRPr="003736F5">
        <w:rPr>
          <w:rFonts w:cs="Times New Roman"/>
          <w:color w:val="000000"/>
          <w:szCs w:val="24"/>
        </w:rPr>
        <w:t xml:space="preserve">corresponding non-recipient </w:t>
      </w:r>
      <w:r w:rsidR="00062E5D" w:rsidRPr="003736F5">
        <w:rPr>
          <w:rFonts w:cs="Times New Roman"/>
          <w:color w:val="000000"/>
          <w:szCs w:val="24"/>
        </w:rPr>
        <w:t>firms</w:t>
      </w:r>
      <w:r w:rsidR="00BB0495" w:rsidRPr="003736F5">
        <w:rPr>
          <w:rFonts w:cs="Times New Roman"/>
          <w:color w:val="000000"/>
          <w:szCs w:val="24"/>
        </w:rPr>
        <w:t xml:space="preserve">. </w:t>
      </w:r>
    </w:p>
    <w:p w14:paraId="4FB57B3A" w14:textId="1CBE2820" w:rsidR="005A2A04" w:rsidRPr="003736F5" w:rsidRDefault="008C2B31" w:rsidP="001D28E6">
      <w:pPr>
        <w:rPr>
          <w:rFonts w:cs="Times New Roman"/>
          <w:color w:val="000000"/>
        </w:rPr>
      </w:pPr>
      <w:r w:rsidRPr="003736F5">
        <w:rPr>
          <w:rFonts w:cs="Times New Roman"/>
          <w:color w:val="000000"/>
        </w:rPr>
        <w:t xml:space="preserve">Separate </w:t>
      </w:r>
      <w:r w:rsidR="003E5269" w:rsidRPr="003736F5">
        <w:rPr>
          <w:rFonts w:cs="Times New Roman"/>
          <w:color w:val="000000"/>
        </w:rPr>
        <w:t>matching</w:t>
      </w:r>
      <w:r w:rsidR="00D539C7" w:rsidRPr="003736F5">
        <w:rPr>
          <w:rFonts w:cs="Times New Roman"/>
          <w:color w:val="000000"/>
        </w:rPr>
        <w:t xml:space="preserve"> is performed for each year </w:t>
      </w:r>
      <w:r w:rsidR="0050548E" w:rsidRPr="003736F5">
        <w:rPr>
          <w:rFonts w:cs="Times New Roman"/>
          <w:color w:val="000000"/>
        </w:rPr>
        <w:t>starting with</w:t>
      </w:r>
      <w:r w:rsidR="00D539C7" w:rsidRPr="003736F5">
        <w:rPr>
          <w:rFonts w:cs="Times New Roman"/>
          <w:color w:val="000000"/>
        </w:rPr>
        <w:t xml:space="preserve"> 2002</w:t>
      </w:r>
      <w:r w:rsidR="00BB0495" w:rsidRPr="003736F5">
        <w:rPr>
          <w:rFonts w:cs="Times New Roman"/>
          <w:color w:val="000000"/>
        </w:rPr>
        <w:t>,</w:t>
      </w:r>
      <w:r w:rsidR="00466F3E" w:rsidRPr="003736F5">
        <w:rPr>
          <w:rFonts w:cs="Times New Roman"/>
          <w:color w:val="000000"/>
        </w:rPr>
        <w:t xml:space="preserve"> with the no</w:t>
      </w:r>
      <w:r w:rsidR="0095046C" w:rsidRPr="003736F5">
        <w:rPr>
          <w:rFonts w:cs="Times New Roman"/>
          <w:color w:val="000000"/>
        </w:rPr>
        <w:t>n-r</w:t>
      </w:r>
      <w:r w:rsidR="00466F3E" w:rsidRPr="003736F5">
        <w:rPr>
          <w:rFonts w:cs="Times New Roman"/>
          <w:color w:val="000000"/>
        </w:rPr>
        <w:t xml:space="preserve">ecipients being excluded from further matching if they matched </w:t>
      </w:r>
      <w:r w:rsidR="002751EF" w:rsidRPr="003736F5">
        <w:rPr>
          <w:rFonts w:cs="Times New Roman"/>
          <w:color w:val="000000"/>
        </w:rPr>
        <w:t>previously. Thus, most of the matching was performed on 2004 data</w:t>
      </w:r>
      <w:r w:rsidR="003A28F6" w:rsidRPr="003736F5">
        <w:rPr>
          <w:rFonts w:cs="Times New Roman"/>
          <w:color w:val="000000"/>
        </w:rPr>
        <w:t>,</w:t>
      </w:r>
      <w:r w:rsidR="002751EF" w:rsidRPr="003736F5">
        <w:rPr>
          <w:rFonts w:cs="Times New Roman"/>
          <w:color w:val="000000"/>
        </w:rPr>
        <w:t xml:space="preserve"> one year prior to </w:t>
      </w:r>
      <w:r w:rsidR="003A28F6" w:rsidRPr="003736F5">
        <w:rPr>
          <w:rFonts w:cs="Times New Roman"/>
          <w:color w:val="000000"/>
        </w:rPr>
        <w:t xml:space="preserve">the </w:t>
      </w:r>
      <w:r w:rsidR="004C06AD" w:rsidRPr="003736F5">
        <w:rPr>
          <w:rFonts w:cs="Times New Roman"/>
          <w:color w:val="000000"/>
        </w:rPr>
        <w:t xml:space="preserve">SBRR introduction in England. </w:t>
      </w:r>
      <w:r w:rsidR="004C660A" w:rsidRPr="003736F5">
        <w:rPr>
          <w:rFonts w:cs="Times New Roman"/>
          <w:color w:val="000000"/>
        </w:rPr>
        <w:t xml:space="preserve">This produced a final dataset for the years 2000 to 2015 of 15,047 observations for 1,092 firms, 546 SBRR recipients matched to 546 firms </w:t>
      </w:r>
      <w:r w:rsidR="007D0BCE" w:rsidRPr="003736F5">
        <w:rPr>
          <w:rFonts w:cs="Times New Roman"/>
          <w:color w:val="000000"/>
        </w:rPr>
        <w:t xml:space="preserve">which had </w:t>
      </w:r>
      <w:r w:rsidR="004C660A" w:rsidRPr="003736F5">
        <w:rPr>
          <w:rFonts w:cs="Times New Roman"/>
          <w:color w:val="000000"/>
        </w:rPr>
        <w:t>never received the relief</w:t>
      </w:r>
      <w:r w:rsidR="007D0BCE" w:rsidRPr="003736F5">
        <w:rPr>
          <w:rFonts w:cs="Times New Roman"/>
          <w:color w:val="000000"/>
        </w:rPr>
        <w:t>,</w:t>
      </w:r>
      <w:r w:rsidR="004C660A" w:rsidRPr="003736F5">
        <w:rPr>
          <w:rFonts w:cs="Times New Roman"/>
          <w:color w:val="000000"/>
        </w:rPr>
        <w:t xml:space="preserve"> </w:t>
      </w:r>
      <w:r w:rsidR="00A021B3" w:rsidRPr="003736F5">
        <w:rPr>
          <w:rFonts w:cs="Times New Roman"/>
          <w:color w:val="000000"/>
        </w:rPr>
        <w:t xml:space="preserve">yet had </w:t>
      </w:r>
      <w:r w:rsidR="004C660A" w:rsidRPr="003736F5">
        <w:rPr>
          <w:rFonts w:cs="Times New Roman"/>
          <w:color w:val="000000"/>
        </w:rPr>
        <w:t>similar characteristics.</w:t>
      </w:r>
      <w:r w:rsidR="00BD0100" w:rsidRPr="003736F5">
        <w:rPr>
          <w:rFonts w:cs="Times New Roman"/>
          <w:color w:val="000000"/>
        </w:rPr>
        <w:t xml:space="preserve"> </w:t>
      </w:r>
      <w:r w:rsidR="001320C1" w:rsidRPr="003736F5">
        <w:rPr>
          <w:rFonts w:cs="Times New Roman"/>
          <w:color w:val="000000"/>
        </w:rPr>
        <w:t>To describe the reduction in imbalance after matching,</w:t>
      </w:r>
      <w:r w:rsidR="0031668A" w:rsidRPr="003736F5">
        <w:rPr>
          <w:rFonts w:cs="Times New Roman"/>
          <w:color w:val="000000"/>
        </w:rPr>
        <w:t xml:space="preserve"> as per</w:t>
      </w:r>
      <w:r w:rsidR="001320C1" w:rsidRPr="003736F5">
        <w:rPr>
          <w:rFonts w:cs="Times New Roman"/>
          <w:color w:val="000000"/>
        </w:rPr>
        <w:t xml:space="preserve"> Iacus et al. (2009)</w:t>
      </w:r>
      <w:r w:rsidR="00E52DDE" w:rsidRPr="003736F5">
        <w:rPr>
          <w:rFonts w:cs="Times New Roman"/>
          <w:color w:val="000000"/>
        </w:rPr>
        <w:t xml:space="preserve"> recommendations</w:t>
      </w:r>
      <w:r w:rsidR="0031668A" w:rsidRPr="003736F5">
        <w:rPr>
          <w:rFonts w:cs="Times New Roman"/>
          <w:color w:val="000000"/>
        </w:rPr>
        <w:t>, we estimate</w:t>
      </w:r>
      <w:r w:rsidR="0024346F" w:rsidRPr="003736F5">
        <w:rPr>
          <w:rFonts w:cs="Times New Roman"/>
          <w:color w:val="000000"/>
        </w:rPr>
        <w:t xml:space="preserve"> the</w:t>
      </w:r>
      <w:r w:rsidR="00A13F55" w:rsidRPr="003736F5">
        <w:rPr>
          <w:rFonts w:cs="Times New Roman"/>
          <w:color w:val="000000"/>
        </w:rPr>
        <w:t xml:space="preserve"> </w:t>
      </w:r>
      <m:oMath>
        <m:sSub>
          <m:sSubPr>
            <m:ctrlPr>
              <w:rPr>
                <w:rFonts w:ascii="Cambria Math" w:hAnsi="Cambria Math" w:cs="Times New Roman"/>
                <w:i/>
                <w:color w:val="000000"/>
              </w:rPr>
            </m:ctrlPr>
          </m:sSubPr>
          <m:e>
            <m:r>
              <m:rPr>
                <m:scr m:val="script"/>
              </m:rPr>
              <w:rPr>
                <w:rFonts w:ascii="Cambria Math" w:hAnsi="Cambria Math" w:cs="Times New Roman"/>
                <w:color w:val="000000"/>
              </w:rPr>
              <m:t>L</m:t>
            </m:r>
          </m:e>
          <m:sub>
            <m:r>
              <w:rPr>
                <w:rFonts w:ascii="Cambria Math" w:hAnsi="Cambria Math" w:cs="Times New Roman"/>
                <w:color w:val="000000"/>
              </w:rPr>
              <m:t>1</m:t>
            </m:r>
          </m:sub>
        </m:sSub>
      </m:oMath>
      <w:r w:rsidR="00571B56" w:rsidRPr="003736F5">
        <w:rPr>
          <w:rFonts w:cs="Times New Roman"/>
          <w:color w:val="000000"/>
        </w:rPr>
        <w:t>s</w:t>
      </w:r>
      <w:r w:rsidR="00A13F55" w:rsidRPr="003736F5">
        <w:rPr>
          <w:rFonts w:cs="Times New Roman"/>
          <w:color w:val="000000"/>
        </w:rPr>
        <w:t xml:space="preserve">tatistic that includes imbalance </w:t>
      </w:r>
      <w:r w:rsidR="001C1B91" w:rsidRPr="003736F5">
        <w:rPr>
          <w:rFonts w:cs="Times New Roman"/>
          <w:color w:val="000000"/>
        </w:rPr>
        <w:t>w</w:t>
      </w:r>
      <w:r w:rsidR="00A13F55" w:rsidRPr="003736F5">
        <w:rPr>
          <w:rFonts w:cs="Times New Roman"/>
          <w:color w:val="000000"/>
        </w:rPr>
        <w:t>ith respect to joint distribution</w:t>
      </w:r>
      <w:r w:rsidR="005A2A04" w:rsidRPr="003736F5">
        <w:rPr>
          <w:rFonts w:cs="Times New Roman"/>
          <w:color w:val="000000"/>
        </w:rPr>
        <w:t xml:space="preserve"> and all interactions</w:t>
      </w:r>
      <w:r w:rsidR="00E52DDE" w:rsidRPr="003736F5">
        <w:rPr>
          <w:rFonts w:cs="Times New Roman"/>
          <w:color w:val="000000"/>
        </w:rPr>
        <w:t xml:space="preserve"> </w:t>
      </w:r>
      <w:r w:rsidR="00ED1CDF" w:rsidRPr="003736F5">
        <w:rPr>
          <w:rFonts w:cs="Times New Roman"/>
          <w:color w:val="000000"/>
        </w:rPr>
        <w:t>betwee</w:t>
      </w:r>
      <w:r w:rsidR="00E52DDE" w:rsidRPr="003736F5">
        <w:rPr>
          <w:rFonts w:cs="Times New Roman"/>
          <w:color w:val="000000"/>
        </w:rPr>
        <w:t>n recipients and non-recipients</w:t>
      </w:r>
      <w:r w:rsidR="005A2A04" w:rsidRPr="003736F5">
        <w:rPr>
          <w:rFonts w:cs="Times New Roman"/>
          <w:color w:val="000000"/>
        </w:rPr>
        <w:t xml:space="preserve">. </w:t>
      </w:r>
      <w:r w:rsidR="00484CB5" w:rsidRPr="003736F5">
        <w:rPr>
          <w:rFonts w:cs="Times New Roman"/>
          <w:color w:val="000000"/>
        </w:rPr>
        <w:t xml:space="preserve">The matching </w:t>
      </w:r>
      <w:r w:rsidR="00484CB5" w:rsidRPr="003736F5">
        <w:rPr>
          <w:rFonts w:cs="Times New Roman"/>
          <w:color w:val="000000"/>
        </w:rPr>
        <w:lastRenderedPageBreak/>
        <w:t xml:space="preserve">produced a substantial reduction in imbalance with </w:t>
      </w:r>
      <m:oMath>
        <m:sSub>
          <m:sSubPr>
            <m:ctrlPr>
              <w:rPr>
                <w:rFonts w:ascii="Cambria Math" w:hAnsi="Cambria Math" w:cs="Times New Roman"/>
                <w:i/>
                <w:color w:val="000000"/>
              </w:rPr>
            </m:ctrlPr>
          </m:sSubPr>
          <m:e>
            <m:r>
              <m:rPr>
                <m:scr m:val="script"/>
              </m:rPr>
              <w:rPr>
                <w:rFonts w:ascii="Cambria Math" w:hAnsi="Cambria Math" w:cs="Times New Roman"/>
                <w:color w:val="000000"/>
              </w:rPr>
              <m:t>L</m:t>
            </m:r>
          </m:e>
          <m:sub>
            <m:r>
              <w:rPr>
                <w:rFonts w:ascii="Cambria Math" w:hAnsi="Cambria Math" w:cs="Times New Roman"/>
                <w:color w:val="000000"/>
              </w:rPr>
              <m:t>1</m:t>
            </m:r>
          </m:sub>
        </m:sSub>
      </m:oMath>
      <w:r w:rsidR="00571B56" w:rsidRPr="003736F5">
        <w:rPr>
          <w:rFonts w:cs="Times New Roman"/>
          <w:color w:val="000000"/>
        </w:rPr>
        <w:t xml:space="preserve"> </w:t>
      </w:r>
      <w:r w:rsidR="00484CB5" w:rsidRPr="003736F5">
        <w:rPr>
          <w:rFonts w:eastAsia="MS Mincho" w:cs="Times New Roman"/>
          <w:color w:val="000000"/>
        </w:rPr>
        <w:t xml:space="preserve">decreasing </w:t>
      </w:r>
      <w:r w:rsidR="00FB0E69" w:rsidRPr="003736F5">
        <w:rPr>
          <w:rFonts w:eastAsia="MS Mincho" w:cs="Times New Roman"/>
          <w:color w:val="000000"/>
        </w:rPr>
        <w:t xml:space="preserve">from </w:t>
      </w:r>
      <w:r w:rsidR="00FB0E69" w:rsidRPr="003736F5">
        <w:rPr>
          <w:rFonts w:cs="Times New Roman"/>
          <w:color w:val="000000"/>
        </w:rPr>
        <w:t>0.776</w:t>
      </w:r>
      <w:r w:rsidR="005A2A04" w:rsidRPr="003736F5">
        <w:rPr>
          <w:rFonts w:cs="Times New Roman"/>
          <w:color w:val="000000"/>
        </w:rPr>
        <w:t xml:space="preserve"> to 0.592 for 200</w:t>
      </w:r>
      <w:r w:rsidR="00E317FA" w:rsidRPr="003736F5">
        <w:rPr>
          <w:rFonts w:cs="Times New Roman"/>
          <w:color w:val="000000"/>
        </w:rPr>
        <w:t>4</w:t>
      </w:r>
      <w:r w:rsidR="008754E4" w:rsidRPr="003736F5">
        <w:rPr>
          <w:rStyle w:val="FootnoteReference"/>
          <w:rFonts w:cs="Times New Roman"/>
          <w:color w:val="000000"/>
        </w:rPr>
        <w:footnoteReference w:id="9"/>
      </w:r>
      <w:r w:rsidR="005A2A04" w:rsidRPr="003736F5">
        <w:rPr>
          <w:rFonts w:cs="Times New Roman"/>
          <w:color w:val="000000"/>
        </w:rPr>
        <w:t>.</w:t>
      </w:r>
      <w:r w:rsidR="00472BBE" w:rsidRPr="003736F5">
        <w:rPr>
          <w:rFonts w:cs="Times New Roman"/>
          <w:color w:val="000000"/>
        </w:rPr>
        <w:t xml:space="preserve"> </w:t>
      </w:r>
    </w:p>
    <w:p w14:paraId="00453A83" w14:textId="76F25AA1" w:rsidR="004C660A" w:rsidRPr="003736F5" w:rsidRDefault="004C660A" w:rsidP="00F33A4C">
      <w:pPr>
        <w:rPr>
          <w:rFonts w:cs="Times New Roman"/>
          <w:color w:val="000000"/>
        </w:rPr>
      </w:pPr>
      <w:r w:rsidRPr="003736F5">
        <w:rPr>
          <w:rFonts w:eastAsia="MS Mincho" w:cs="Times New Roman"/>
          <w:color w:val="000000"/>
        </w:rPr>
        <w:t>We then expand our</w:t>
      </w:r>
      <w:r w:rsidRPr="003736F5">
        <w:rPr>
          <w:rFonts w:cs="Times New Roman"/>
          <w:color w:val="000000"/>
        </w:rPr>
        <w:t xml:space="preserve"> specification </w:t>
      </w:r>
      <w:r w:rsidRPr="003736F5">
        <w:rPr>
          <w:rFonts w:eastAsia="MS Mincho" w:cs="Times New Roman"/>
          <w:color w:val="000000"/>
        </w:rPr>
        <w:t>with variables that provide</w:t>
      </w:r>
      <w:r w:rsidRPr="003736F5">
        <w:rPr>
          <w:rFonts w:cs="Times New Roman"/>
          <w:color w:val="000000"/>
        </w:rPr>
        <w:t xml:space="preserve"> a more realistic setting for</w:t>
      </w:r>
      <w:r w:rsidRPr="003736F5">
        <w:rPr>
          <w:rFonts w:eastAsia="MS Mincho" w:cs="Times New Roman"/>
          <w:color w:val="000000"/>
        </w:rPr>
        <w:t xml:space="preserve"> the analysis of</w:t>
      </w:r>
      <w:r w:rsidRPr="003736F5">
        <w:rPr>
          <w:rFonts w:cs="Times New Roman"/>
          <w:color w:val="000000"/>
        </w:rPr>
        <w:t xml:space="preserve"> heterogeneous establishments. For simplicity, we classify our independent variables as time-varying establishment-specific variables, </w:t>
      </w:r>
      <m:oMath>
        <m:sSub>
          <m:sSubPr>
            <m:ctrlPr>
              <w:rPr>
                <w:rFonts w:ascii="Cambria Math" w:hAnsi="Cambria Math" w:cs="Times New Roman"/>
                <w:i/>
                <w:color w:val="000000"/>
              </w:rPr>
            </m:ctrlPr>
          </m:sSubPr>
          <m:e>
            <m:r>
              <w:rPr>
                <w:rFonts w:ascii="Cambria Math" w:hAnsi="Cambria Math" w:cs="Times New Roman"/>
                <w:color w:val="000000"/>
              </w:rPr>
              <m:t>Z</m:t>
            </m:r>
          </m:e>
          <m:sub>
            <m:r>
              <w:rPr>
                <w:rFonts w:ascii="Cambria Math" w:hAnsi="Cambria Math" w:cs="Times New Roman"/>
                <w:color w:val="000000"/>
              </w:rPr>
              <m:t>it</m:t>
            </m:r>
          </m:sub>
        </m:sSub>
      </m:oMath>
      <w:r w:rsidR="00571B56" w:rsidRPr="003736F5">
        <w:rPr>
          <w:rFonts w:cs="Times New Roman"/>
          <w:color w:val="000000"/>
        </w:rPr>
        <w:t xml:space="preserve">, </w:t>
      </w:r>
      <w:r w:rsidRPr="003736F5">
        <w:rPr>
          <w:rFonts w:eastAsia="MS Mincho" w:cs="Times New Roman"/>
          <w:color w:val="000000"/>
        </w:rPr>
        <w:t>whilst</w:t>
      </w:r>
      <w:r w:rsidRPr="003736F5">
        <w:rPr>
          <w:rFonts w:cs="Times New Roman"/>
          <w:color w:val="000000"/>
        </w:rPr>
        <w:t xml:space="preserve"> establishment-fixed effects</w:t>
      </w:r>
      <w:r w:rsidRPr="003736F5">
        <w:rPr>
          <w:rFonts w:eastAsia="MS Mincho" w:cs="Times New Roman"/>
          <w:color w:val="000000"/>
        </w:rPr>
        <w:t xml:space="preserve"> are captured by the intercepts</w:t>
      </w:r>
      <w:r w:rsidRPr="003736F5">
        <w:rPr>
          <w:rFonts w:cs="Times New Roman"/>
          <w:color w:val="000000"/>
        </w:rPr>
        <w:t xml:space="preserve">, </w:t>
      </w:r>
      <m:oMath>
        <m:sSub>
          <m:sSubPr>
            <m:ctrlPr>
              <w:rPr>
                <w:rFonts w:ascii="Cambria Math" w:hAnsi="Cambria Math" w:cs="Times New Roman"/>
                <w:i/>
                <w:color w:val="000000"/>
              </w:rPr>
            </m:ctrlPr>
          </m:sSubPr>
          <m:e>
            <m:r>
              <w:rPr>
                <w:rFonts w:ascii="Cambria Math" w:hAnsi="Cambria Math" w:cs="Times New Roman"/>
                <w:color w:val="000000"/>
              </w:rPr>
              <m:t>f</m:t>
            </m:r>
          </m:e>
          <m:sub>
            <m:r>
              <w:rPr>
                <w:rFonts w:ascii="Cambria Math" w:hAnsi="Cambria Math" w:cs="Times New Roman"/>
                <w:color w:val="000000"/>
              </w:rPr>
              <m:t>i</m:t>
            </m:r>
          </m:sub>
        </m:sSub>
      </m:oMath>
      <w:r w:rsidRPr="003736F5">
        <w:rPr>
          <w:rFonts w:cs="Times New Roman"/>
          <w:color w:val="000000"/>
        </w:rPr>
        <w:t>.</w:t>
      </w:r>
      <w:r w:rsidR="00571B56" w:rsidRPr="003736F5">
        <w:rPr>
          <w:rFonts w:cs="Times New Roman"/>
          <w:color w:val="000000"/>
        </w:rPr>
        <w:t xml:space="preserve"> </w:t>
      </w:r>
      <w:r w:rsidRPr="003736F5">
        <w:rPr>
          <w:rFonts w:eastAsia="MS Mincho" w:cs="Times New Roman"/>
          <w:color w:val="000000"/>
        </w:rPr>
        <w:t>That is</w:t>
      </w:r>
      <w:r w:rsidR="002B7DDB" w:rsidRPr="003736F5">
        <w:rPr>
          <w:rFonts w:eastAsia="MS Mincho" w:cs="Times New Roman"/>
          <w:color w:val="000000"/>
        </w:rPr>
        <w:t>:</w:t>
      </w:r>
      <w:r w:rsidRPr="003736F5">
        <w:rPr>
          <w:rStyle w:val="FootnoteReference"/>
          <w:rFonts w:cs="Times New Roman"/>
          <w:color w:val="000000"/>
        </w:rPr>
        <w:footnoteReference w:id="10"/>
      </w:r>
    </w:p>
    <w:p w14:paraId="7AE27047" w14:textId="457CE8A2" w:rsidR="004C660A" w:rsidRPr="003736F5" w:rsidRDefault="003736F5" w:rsidP="00F33A4C">
      <w:pPr>
        <w:rPr>
          <w:rFonts w:cs="Times New Roman"/>
          <w:color w:val="000000"/>
        </w:rPr>
      </w:pPr>
      <m:oMath>
        <m:sSub>
          <m:sSubPr>
            <m:ctrlPr>
              <w:rPr>
                <w:rFonts w:ascii="Cambria Math" w:hAnsi="Cambria Math" w:cs="Times New Roman"/>
                <w:i/>
                <w:color w:val="000000"/>
              </w:rPr>
            </m:ctrlPr>
          </m:sSubPr>
          <m:e>
            <m:r>
              <w:rPr>
                <w:rFonts w:ascii="Cambria Math" w:hAnsi="Cambria Math" w:cs="Times New Roman"/>
                <w:color w:val="000000"/>
              </w:rPr>
              <m:t>ω</m:t>
            </m:r>
          </m:e>
          <m:sub>
            <m:r>
              <w:rPr>
                <w:rFonts w:ascii="Cambria Math" w:hAnsi="Cambria Math" w:cs="Times New Roman"/>
                <w:color w:val="000000"/>
              </w:rPr>
              <m:t>it</m:t>
            </m:r>
          </m:sub>
        </m:sSub>
        <m:r>
          <w:rPr>
            <w:rFonts w:ascii="Cambria Math" w:hAnsi="Cambria Math" w:cs="Times New Roman"/>
            <w:color w:val="000000"/>
          </w:rPr>
          <m:t>=h</m:t>
        </m:r>
        <m:d>
          <m:dPr>
            <m:ctrlPr>
              <w:rPr>
                <w:rFonts w:ascii="Cambria Math" w:hAnsi="Cambria Math" w:cs="Times New Roman"/>
                <w:i/>
                <w:color w:val="000000"/>
              </w:rPr>
            </m:ctrlPr>
          </m:dPr>
          <m:e>
            <m:sSub>
              <m:sSubPr>
                <m:ctrlPr>
                  <w:rPr>
                    <w:rFonts w:ascii="Cambria Math" w:hAnsi="Cambria Math" w:cs="Times New Roman"/>
                    <w:i/>
                    <w:color w:val="000000"/>
                  </w:rPr>
                </m:ctrlPr>
              </m:sSubPr>
              <m:e>
                <m:r>
                  <w:rPr>
                    <w:rFonts w:ascii="Cambria Math" w:hAnsi="Cambria Math" w:cs="Times New Roman"/>
                    <w:color w:val="000000"/>
                  </w:rPr>
                  <m:t>α</m:t>
                </m:r>
              </m:e>
              <m:sub>
                <m:r>
                  <w:rPr>
                    <w:rFonts w:ascii="Cambria Math" w:hAnsi="Cambria Math" w:cs="Times New Roman"/>
                    <w:color w:val="000000"/>
                  </w:rPr>
                  <m:t>it</m:t>
                </m:r>
              </m:sub>
            </m:sSub>
            <m:r>
              <w:rPr>
                <w:rFonts w:ascii="Cambria Math" w:hAnsi="Cambria Math" w:cs="Times New Roman"/>
                <w:color w:val="000000"/>
              </w:rPr>
              <m:t>,</m:t>
            </m:r>
            <m:sSub>
              <m:sSubPr>
                <m:ctrlPr>
                  <w:rPr>
                    <w:rFonts w:ascii="Cambria Math" w:hAnsi="Cambria Math" w:cs="Times New Roman"/>
                    <w:i/>
                    <w:color w:val="000000"/>
                  </w:rPr>
                </m:ctrlPr>
              </m:sSubPr>
              <m:e>
                <m:r>
                  <w:rPr>
                    <w:rFonts w:ascii="Cambria Math" w:hAnsi="Cambria Math" w:cs="Times New Roman"/>
                    <w:color w:val="000000"/>
                  </w:rPr>
                  <m:t>Z</m:t>
                </m:r>
              </m:e>
              <m:sub>
                <m:r>
                  <w:rPr>
                    <w:rFonts w:ascii="Cambria Math" w:hAnsi="Cambria Math" w:cs="Times New Roman"/>
                    <w:color w:val="000000"/>
                  </w:rPr>
                  <m:t>it</m:t>
                </m:r>
              </m:sub>
            </m:sSub>
            <m:r>
              <w:rPr>
                <w:rFonts w:ascii="Cambria Math" w:hAnsi="Cambria Math" w:cs="Times New Roman"/>
                <w:color w:val="000000"/>
              </w:rPr>
              <m:t>,</m:t>
            </m:r>
            <m:sSub>
              <m:sSubPr>
                <m:ctrlPr>
                  <w:rPr>
                    <w:rFonts w:ascii="Cambria Math" w:hAnsi="Cambria Math" w:cs="Times New Roman"/>
                    <w:i/>
                    <w:color w:val="000000"/>
                  </w:rPr>
                </m:ctrlPr>
              </m:sSubPr>
              <m:e>
                <m:r>
                  <w:rPr>
                    <w:rFonts w:ascii="Cambria Math" w:hAnsi="Cambria Math" w:cs="Times New Roman"/>
                    <w:color w:val="000000"/>
                  </w:rPr>
                  <m:t>f</m:t>
                </m:r>
              </m:e>
              <m:sub>
                <m:r>
                  <w:rPr>
                    <w:rFonts w:ascii="Cambria Math" w:hAnsi="Cambria Math" w:cs="Times New Roman"/>
                    <w:color w:val="000000"/>
                  </w:rPr>
                  <m:t>i</m:t>
                </m:r>
              </m:sub>
            </m:sSub>
          </m:e>
        </m:d>
        <m:r>
          <w:rPr>
            <w:rFonts w:ascii="Cambria Math" w:hAnsi="Cambria Math" w:cs="Times New Roman"/>
            <w:color w:val="000000"/>
          </w:rPr>
          <m:t>=</m:t>
        </m:r>
        <m:sSubSup>
          <m:sSubSupPr>
            <m:ctrlPr>
              <w:rPr>
                <w:rFonts w:ascii="Cambria Math" w:hAnsi="Cambria Math" w:cs="Times New Roman"/>
                <w:i/>
                <w:color w:val="000000"/>
                <w:szCs w:val="24"/>
              </w:rPr>
            </m:ctrlPr>
          </m:sSubSupPr>
          <m:e>
            <m:r>
              <w:rPr>
                <w:rFonts w:ascii="Cambria Math" w:hAnsi="Cambria Math" w:cs="Times New Roman"/>
                <w:color w:val="000000"/>
                <w:szCs w:val="24"/>
              </w:rPr>
              <m:t>β</m:t>
            </m:r>
          </m:e>
          <m:sub/>
          <m:sup>
            <m:r>
              <w:rPr>
                <w:rFonts w:ascii="Cambria Math" w:hAnsi="Cambria Math" w:cs="Times New Roman"/>
                <w:color w:val="000000"/>
                <w:szCs w:val="24"/>
              </w:rPr>
              <m:t>a</m:t>
            </m:r>
          </m:sup>
        </m:sSubSup>
        <m:sSub>
          <m:sSubPr>
            <m:ctrlPr>
              <w:rPr>
                <w:rFonts w:ascii="Cambria Math" w:hAnsi="Cambria Math" w:cs="Times New Roman"/>
                <w:i/>
                <w:color w:val="000000"/>
              </w:rPr>
            </m:ctrlPr>
          </m:sSubPr>
          <m:e>
            <m:r>
              <w:rPr>
                <w:rFonts w:ascii="Cambria Math" w:hAnsi="Cambria Math" w:cs="Times New Roman"/>
                <w:color w:val="000000"/>
              </w:rPr>
              <m:t>α</m:t>
            </m:r>
          </m:e>
          <m:sub>
            <m:r>
              <w:rPr>
                <w:rFonts w:ascii="Cambria Math" w:hAnsi="Cambria Math" w:cs="Times New Roman"/>
                <w:color w:val="000000"/>
              </w:rPr>
              <m:t>it</m:t>
            </m:r>
          </m:sub>
        </m:sSub>
        <m:r>
          <w:rPr>
            <w:rFonts w:ascii="Cambria Math" w:hAnsi="Cambria Math" w:cs="Times New Roman"/>
            <w:color w:val="000000"/>
          </w:rPr>
          <m:t>+</m:t>
        </m:r>
        <m:sSubSup>
          <m:sSubSupPr>
            <m:ctrlPr>
              <w:rPr>
                <w:rFonts w:ascii="Cambria Math" w:hAnsi="Cambria Math" w:cs="Times New Roman"/>
                <w:i/>
                <w:color w:val="000000"/>
                <w:szCs w:val="24"/>
              </w:rPr>
            </m:ctrlPr>
          </m:sSubSupPr>
          <m:e>
            <m:r>
              <w:rPr>
                <w:rFonts w:ascii="Cambria Math" w:hAnsi="Cambria Math" w:cs="Times New Roman"/>
                <w:color w:val="000000"/>
                <w:szCs w:val="24"/>
              </w:rPr>
              <m:t>β</m:t>
            </m:r>
          </m:e>
          <m:sub/>
          <m:sup>
            <m:r>
              <w:rPr>
                <w:rFonts w:ascii="Cambria Math" w:hAnsi="Cambria Math" w:cs="Times New Roman"/>
                <w:color w:val="000000"/>
                <w:szCs w:val="24"/>
              </w:rPr>
              <m:t>b</m:t>
            </m:r>
          </m:sup>
        </m:sSubSup>
        <m:sSub>
          <m:sSubPr>
            <m:ctrlPr>
              <w:rPr>
                <w:rFonts w:ascii="Cambria Math" w:hAnsi="Cambria Math" w:cs="Times New Roman"/>
                <w:i/>
                <w:color w:val="000000"/>
              </w:rPr>
            </m:ctrlPr>
          </m:sSubPr>
          <m:e>
            <m:r>
              <w:rPr>
                <w:rFonts w:ascii="Cambria Math" w:hAnsi="Cambria Math" w:cs="Times New Roman"/>
                <w:color w:val="000000"/>
              </w:rPr>
              <m:t>Z</m:t>
            </m:r>
          </m:e>
          <m:sub>
            <m:r>
              <w:rPr>
                <w:rFonts w:ascii="Cambria Math" w:hAnsi="Cambria Math" w:cs="Times New Roman"/>
                <w:color w:val="000000"/>
              </w:rPr>
              <m:t>it</m:t>
            </m:r>
          </m:sub>
        </m:sSub>
        <m:r>
          <w:rPr>
            <w:rFonts w:ascii="Cambria Math" w:hAnsi="Cambria Math" w:cs="Times New Roman"/>
            <w:color w:val="000000"/>
          </w:rPr>
          <m:t>+</m:t>
        </m:r>
        <m:sSub>
          <m:sSubPr>
            <m:ctrlPr>
              <w:rPr>
                <w:rFonts w:ascii="Cambria Math" w:hAnsi="Cambria Math" w:cs="Times New Roman"/>
                <w:i/>
                <w:color w:val="000000"/>
              </w:rPr>
            </m:ctrlPr>
          </m:sSubPr>
          <m:e>
            <m:r>
              <w:rPr>
                <w:rFonts w:ascii="Cambria Math" w:hAnsi="Cambria Math" w:cs="Times New Roman"/>
                <w:color w:val="000000"/>
              </w:rPr>
              <m:t>f</m:t>
            </m:r>
          </m:e>
          <m:sub>
            <m:r>
              <w:rPr>
                <w:rFonts w:ascii="Cambria Math" w:hAnsi="Cambria Math" w:cs="Times New Roman"/>
                <w:color w:val="000000"/>
              </w:rPr>
              <m:t>i</m:t>
            </m:r>
          </m:sub>
        </m:sSub>
        <m:r>
          <w:rPr>
            <w:rFonts w:ascii="Cambria Math" w:hAnsi="Cambria Math" w:cs="Times New Roman"/>
            <w:color w:val="000000"/>
          </w:rPr>
          <m:t>+</m:t>
        </m:r>
        <m:sSub>
          <m:sSubPr>
            <m:ctrlPr>
              <w:rPr>
                <w:rFonts w:ascii="Cambria Math" w:hAnsi="Cambria Math" w:cs="Times New Roman"/>
                <w:i/>
                <w:color w:val="000000"/>
              </w:rPr>
            </m:ctrlPr>
          </m:sSubPr>
          <m:e>
            <m:r>
              <w:rPr>
                <w:rFonts w:ascii="Cambria Math" w:hAnsi="Cambria Math" w:cs="Times New Roman"/>
                <w:color w:val="000000"/>
              </w:rPr>
              <m:t>e</m:t>
            </m:r>
          </m:e>
          <m:sub>
            <m:r>
              <w:rPr>
                <w:rFonts w:ascii="Cambria Math" w:hAnsi="Cambria Math" w:cs="Times New Roman"/>
                <w:color w:val="000000"/>
              </w:rPr>
              <m:t>it</m:t>
            </m:r>
          </m:sub>
        </m:sSub>
      </m:oMath>
      <w:r w:rsidR="004C660A" w:rsidRPr="003736F5">
        <w:rPr>
          <w:rFonts w:eastAsia="MS Mincho" w:cs="Times New Roman"/>
          <w:color w:val="000000"/>
        </w:rPr>
        <w:t xml:space="preserve">               </w:t>
      </w:r>
      <w:r w:rsidR="004C660A" w:rsidRPr="003736F5">
        <w:rPr>
          <w:rFonts w:eastAsia="MS Mincho" w:cs="Times New Roman"/>
          <w:color w:val="000000"/>
        </w:rPr>
        <w:tab/>
      </w:r>
      <w:r w:rsidR="004C660A" w:rsidRPr="003736F5">
        <w:rPr>
          <w:rFonts w:eastAsia="MS Mincho" w:cs="Times New Roman"/>
          <w:color w:val="000000"/>
        </w:rPr>
        <w:tab/>
      </w:r>
      <w:r w:rsidR="004C660A" w:rsidRPr="003736F5">
        <w:rPr>
          <w:rFonts w:eastAsia="MS Mincho" w:cs="Times New Roman"/>
          <w:color w:val="000000"/>
        </w:rPr>
        <w:tab/>
        <w:t>(2)</w:t>
      </w:r>
    </w:p>
    <w:p w14:paraId="1006561E" w14:textId="52B9A1A9" w:rsidR="00E1759A" w:rsidRPr="003736F5" w:rsidRDefault="004C660A" w:rsidP="00F33A4C">
      <w:pPr>
        <w:rPr>
          <w:rFonts w:cs="Times New Roman"/>
          <w:color w:val="000000"/>
        </w:rPr>
      </w:pPr>
      <w:r w:rsidRPr="003736F5">
        <w:rPr>
          <w:rFonts w:cs="Times New Roman"/>
          <w:color w:val="000000"/>
        </w:rPr>
        <w:t xml:space="preserve">This </w:t>
      </w:r>
      <w:r w:rsidRPr="003736F5">
        <w:rPr>
          <w:rFonts w:eastAsia="MS Mincho" w:cs="Times New Roman"/>
          <w:color w:val="000000"/>
        </w:rPr>
        <w:t>specification still does</w:t>
      </w:r>
      <w:r w:rsidRPr="003736F5">
        <w:rPr>
          <w:rFonts w:cs="Times New Roman"/>
          <w:color w:val="000000"/>
        </w:rPr>
        <w:t xml:space="preserve"> not </w:t>
      </w:r>
      <w:r w:rsidRPr="003736F5">
        <w:rPr>
          <w:rFonts w:eastAsia="MS Mincho" w:cs="Times New Roman"/>
          <w:color w:val="000000"/>
        </w:rPr>
        <w:t>fully identify</w:t>
      </w:r>
      <w:r w:rsidRPr="003736F5">
        <w:rPr>
          <w:rFonts w:cs="Times New Roman"/>
          <w:color w:val="000000"/>
        </w:rPr>
        <w:t xml:space="preserve"> the complex groupings of firms. </w:t>
      </w:r>
      <w:r w:rsidR="00870C05" w:rsidRPr="003736F5">
        <w:rPr>
          <w:rFonts w:cs="Times New Roman"/>
          <w:color w:val="000000"/>
        </w:rPr>
        <w:t>Building on the</w:t>
      </w:r>
      <w:r w:rsidR="00196C14" w:rsidRPr="003736F5">
        <w:rPr>
          <w:rFonts w:cs="Times New Roman"/>
          <w:color w:val="000000"/>
        </w:rPr>
        <w:t xml:space="preserve"> configurational approaches literature </w:t>
      </w:r>
      <w:r w:rsidR="000A1976" w:rsidRPr="003736F5">
        <w:rPr>
          <w:rFonts w:cs="Times New Roman"/>
          <w:color w:val="000000"/>
        </w:rPr>
        <w:t>(Meyer et al., 1993)</w:t>
      </w:r>
      <w:r w:rsidR="00196C14" w:rsidRPr="003736F5">
        <w:rPr>
          <w:rFonts w:cs="Times New Roman"/>
          <w:color w:val="000000"/>
        </w:rPr>
        <w:t xml:space="preserve">, </w:t>
      </w:r>
      <w:r w:rsidR="00870C05" w:rsidRPr="003736F5">
        <w:rPr>
          <w:rFonts w:cs="Times New Roman"/>
          <w:color w:val="000000"/>
        </w:rPr>
        <w:t xml:space="preserve">we imply that </w:t>
      </w:r>
      <w:proofErr w:type="gramStart"/>
      <w:r w:rsidR="00196C14" w:rsidRPr="003736F5">
        <w:rPr>
          <w:rFonts w:cs="Times New Roman"/>
          <w:color w:val="000000"/>
        </w:rPr>
        <w:t>a</w:t>
      </w:r>
      <w:r w:rsidRPr="003736F5">
        <w:rPr>
          <w:rFonts w:cs="Times New Roman"/>
          <w:color w:val="000000"/>
        </w:rPr>
        <w:t xml:space="preserve"> number of</w:t>
      </w:r>
      <w:proofErr w:type="gramEnd"/>
      <w:r w:rsidRPr="003736F5">
        <w:rPr>
          <w:rFonts w:cs="Times New Roman"/>
          <w:color w:val="000000"/>
        </w:rPr>
        <w:t xml:space="preserve"> variables are unlikely to be additively separable</w:t>
      </w:r>
      <w:r w:rsidRPr="003736F5">
        <w:rPr>
          <w:rFonts w:eastAsia="MS Mincho" w:cs="Times New Roman"/>
          <w:color w:val="000000"/>
        </w:rPr>
        <w:t xml:space="preserve"> and permit us a priori to establish a clear mechanism through</w:t>
      </w:r>
      <w:r w:rsidRPr="003736F5">
        <w:rPr>
          <w:rFonts w:cs="Times New Roman"/>
          <w:color w:val="000000"/>
        </w:rPr>
        <w:t xml:space="preserve"> which the policy </w:t>
      </w:r>
      <w:r w:rsidRPr="003736F5">
        <w:rPr>
          <w:rFonts w:eastAsia="MS Mincho" w:cs="Times New Roman"/>
          <w:color w:val="000000"/>
        </w:rPr>
        <w:t>affects productivity.</w:t>
      </w:r>
      <w:r w:rsidRPr="003736F5">
        <w:rPr>
          <w:rFonts w:cs="Times New Roman"/>
          <w:color w:val="000000"/>
        </w:rPr>
        <w:t xml:space="preserve"> Controlling for all </w:t>
      </w:r>
      <w:r w:rsidRPr="003736F5">
        <w:rPr>
          <w:rFonts w:eastAsia="MS Mincho" w:cs="Times New Roman"/>
          <w:color w:val="000000"/>
        </w:rPr>
        <w:t>feasible</w:t>
      </w:r>
      <w:r w:rsidRPr="003736F5">
        <w:rPr>
          <w:rFonts w:cs="Times New Roman"/>
          <w:color w:val="000000"/>
        </w:rPr>
        <w:t xml:space="preserve"> interactions would produce a complex number of coefficients, possibly even a unique </w:t>
      </w:r>
      <w:r w:rsidR="00A02CB5" w:rsidRPr="003736F5">
        <w:rPr>
          <w:rFonts w:cs="Times New Roman"/>
          <w:color w:val="000000"/>
        </w:rPr>
        <w:t xml:space="preserve">set of </w:t>
      </w:r>
      <w:r w:rsidRPr="003736F5">
        <w:rPr>
          <w:rFonts w:cs="Times New Roman"/>
          <w:color w:val="000000"/>
        </w:rPr>
        <w:t>coefficient</w:t>
      </w:r>
      <w:r w:rsidR="00A02CB5" w:rsidRPr="003736F5">
        <w:rPr>
          <w:rFonts w:cs="Times New Roman"/>
          <w:color w:val="000000"/>
        </w:rPr>
        <w:t>s</w:t>
      </w:r>
      <w:r w:rsidRPr="003736F5">
        <w:rPr>
          <w:rFonts w:cs="Times New Roman"/>
          <w:color w:val="000000"/>
        </w:rPr>
        <w:t xml:space="preserve"> for each firm, </w:t>
      </w:r>
      <m:oMath>
        <m:sSubSup>
          <m:sSubSupPr>
            <m:ctrlPr>
              <w:rPr>
                <w:rFonts w:ascii="Cambria Math" w:hAnsi="Cambria Math" w:cs="Times New Roman"/>
                <w:i/>
                <w:color w:val="000000"/>
                <w:szCs w:val="24"/>
              </w:rPr>
            </m:ctrlPr>
          </m:sSubSupPr>
          <m:e>
            <m:r>
              <w:rPr>
                <w:rFonts w:ascii="Cambria Math" w:hAnsi="Cambria Math" w:cs="Times New Roman"/>
                <w:color w:val="000000"/>
                <w:szCs w:val="24"/>
              </w:rPr>
              <m:t>β</m:t>
            </m:r>
          </m:e>
          <m:sub>
            <m:r>
              <w:rPr>
                <w:rFonts w:ascii="Cambria Math" w:hAnsi="Cambria Math" w:cs="Times New Roman"/>
                <w:color w:val="000000"/>
                <w:szCs w:val="24"/>
              </w:rPr>
              <m:t>it</m:t>
            </m:r>
          </m:sub>
          <m:sup>
            <m:r>
              <w:rPr>
                <w:rFonts w:ascii="Cambria Math" w:hAnsi="Cambria Math" w:cs="Times New Roman"/>
                <w:color w:val="000000"/>
                <w:szCs w:val="24"/>
              </w:rPr>
              <m:t>a</m:t>
            </m:r>
          </m:sup>
        </m:sSubSup>
      </m:oMath>
      <w:r w:rsidRPr="003736F5">
        <w:rPr>
          <w:rFonts w:cs="Times New Roman"/>
          <w:color w:val="000000"/>
        </w:rPr>
        <w:t xml:space="preserve"> and </w:t>
      </w:r>
      <m:oMath>
        <m:sSubSup>
          <m:sSubSupPr>
            <m:ctrlPr>
              <w:rPr>
                <w:rFonts w:ascii="Cambria Math" w:hAnsi="Cambria Math" w:cs="Times New Roman"/>
                <w:i/>
                <w:color w:val="000000"/>
                <w:szCs w:val="24"/>
              </w:rPr>
            </m:ctrlPr>
          </m:sSubSupPr>
          <m:e>
            <m:r>
              <w:rPr>
                <w:rFonts w:ascii="Cambria Math" w:hAnsi="Cambria Math" w:cs="Times New Roman"/>
                <w:color w:val="000000"/>
                <w:szCs w:val="24"/>
              </w:rPr>
              <m:t>β</m:t>
            </m:r>
          </m:e>
          <m:sub>
            <m:r>
              <w:rPr>
                <w:rFonts w:ascii="Cambria Math" w:hAnsi="Cambria Math" w:cs="Times New Roman"/>
                <w:color w:val="000000"/>
                <w:szCs w:val="24"/>
              </w:rPr>
              <m:t>it</m:t>
            </m:r>
          </m:sub>
          <m:sup>
            <m:r>
              <w:rPr>
                <w:rFonts w:ascii="Cambria Math" w:hAnsi="Cambria Math" w:cs="Times New Roman"/>
                <w:color w:val="000000"/>
                <w:szCs w:val="24"/>
              </w:rPr>
              <m:t>b</m:t>
            </m:r>
          </m:sup>
        </m:sSubSup>
      </m:oMath>
      <w:r w:rsidRPr="003736F5">
        <w:rPr>
          <w:rFonts w:eastAsia="MS Mincho" w:cs="Times New Roman"/>
          <w:color w:val="000000"/>
        </w:rPr>
        <w:t>.</w:t>
      </w:r>
      <w:r w:rsidR="009C7FC9" w:rsidRPr="003736F5">
        <w:rPr>
          <w:rFonts w:eastAsia="MS Mincho" w:cs="Times New Roman"/>
          <w:color w:val="000000"/>
        </w:rPr>
        <w:t xml:space="preserve"> </w:t>
      </w:r>
      <w:r w:rsidRPr="003736F5">
        <w:rPr>
          <w:rFonts w:cs="Times New Roman"/>
          <w:color w:val="000000"/>
        </w:rPr>
        <w:t>Such estimates would be difficult to interpret given</w:t>
      </w:r>
      <w:r w:rsidR="00212427" w:rsidRPr="003736F5">
        <w:rPr>
          <w:rFonts w:cs="Times New Roman"/>
          <w:color w:val="000000"/>
        </w:rPr>
        <w:t xml:space="preserve"> that</w:t>
      </w:r>
      <w:r w:rsidRPr="003736F5">
        <w:rPr>
          <w:rFonts w:cs="Times New Roman"/>
          <w:color w:val="000000"/>
        </w:rPr>
        <w:t xml:space="preserve"> we cannot establish a defendable identification strategy. The estimates are </w:t>
      </w:r>
      <w:r w:rsidR="00BC3CCC" w:rsidRPr="003736F5">
        <w:rPr>
          <w:rFonts w:cs="Times New Roman"/>
          <w:color w:val="000000"/>
        </w:rPr>
        <w:t xml:space="preserve">also </w:t>
      </w:r>
      <w:r w:rsidRPr="003736F5">
        <w:rPr>
          <w:rFonts w:cs="Times New Roman"/>
          <w:color w:val="000000"/>
        </w:rPr>
        <w:t xml:space="preserve">likely to be biased, especially for large datasets (Gandomi and Haider, 2015). </w:t>
      </w:r>
    </w:p>
    <w:p w14:paraId="54DAE734" w14:textId="7133E725" w:rsidR="00D53244" w:rsidRPr="003736F5" w:rsidRDefault="76815306" w:rsidP="00D53244">
      <w:pPr>
        <w:rPr>
          <w:rFonts w:eastAsia="MS Mincho" w:cs="Times New Roman"/>
          <w:color w:val="000000"/>
        </w:rPr>
      </w:pPr>
      <w:r w:rsidRPr="003736F5">
        <w:rPr>
          <w:rFonts w:eastAsia="MS Mincho" w:cs="Times New Roman"/>
          <w:color w:val="000000" w:themeColor="text1"/>
        </w:rPr>
        <w:t xml:space="preserve">More standard estimators, such as mixed-effects or difference-in-difference estimators, could provide some insight into uniform relationships. However, these relationships are unlikely to be uniform but interaction-dependent because of inherent mistargeting and the subsequent uneven capitalisation amplified by different decision choices. Our reasoning is supported by </w:t>
      </w:r>
      <w:r w:rsidRPr="003736F5">
        <w:rPr>
          <w:rFonts w:eastAsia="MS Mincho" w:cs="Times New Roman"/>
          <w:color w:val="000000" w:themeColor="text1"/>
        </w:rPr>
        <w:lastRenderedPageBreak/>
        <w:t>the results from the difference-in-difference estimator in Table 1 that finds consistently negative but only somewhat significant results</w:t>
      </w:r>
      <w:r w:rsidR="00141CF8" w:rsidRPr="003736F5">
        <w:rPr>
          <w:rFonts w:eastAsia="MS Mincho" w:cs="Times New Roman"/>
          <w:color w:val="000000" w:themeColor="text1"/>
        </w:rPr>
        <w:t xml:space="preserve">, which we further discuss in </w:t>
      </w:r>
      <w:r w:rsidR="000346FC" w:rsidRPr="003736F5">
        <w:rPr>
          <w:rFonts w:eastAsia="MS Mincho" w:cs="Times New Roman"/>
          <w:color w:val="000000" w:themeColor="text1"/>
        </w:rPr>
        <w:t>sub</w:t>
      </w:r>
      <w:r w:rsidR="00141CF8" w:rsidRPr="003736F5">
        <w:rPr>
          <w:rFonts w:eastAsia="MS Mincho" w:cs="Times New Roman"/>
          <w:color w:val="000000" w:themeColor="text1"/>
        </w:rPr>
        <w:t>section 4.5</w:t>
      </w:r>
      <w:r w:rsidRPr="003736F5">
        <w:rPr>
          <w:rFonts w:eastAsia="MS Mincho" w:cs="Times New Roman"/>
          <w:color w:val="000000" w:themeColor="text1"/>
        </w:rPr>
        <w:t>.</w:t>
      </w:r>
    </w:p>
    <w:p w14:paraId="67C3A4C0" w14:textId="6B526A95" w:rsidR="00454704" w:rsidRPr="003736F5" w:rsidRDefault="76815306" w:rsidP="00A21AD0">
      <w:pPr>
        <w:rPr>
          <w:rFonts w:cs="Times New Roman"/>
        </w:rPr>
      </w:pPr>
      <w:r w:rsidRPr="003736F5">
        <w:rPr>
          <w:rFonts w:eastAsia="MS Mincho" w:cs="Times New Roman"/>
          <w:color w:val="000000" w:themeColor="text1"/>
        </w:rPr>
        <w:t>We, thus, require</w:t>
      </w:r>
      <w:r w:rsidRPr="003736F5">
        <w:rPr>
          <w:rFonts w:cs="Times New Roman"/>
          <w:color w:val="000000" w:themeColor="text1"/>
        </w:rPr>
        <w:t xml:space="preserve"> an </w:t>
      </w:r>
      <w:r w:rsidRPr="003736F5">
        <w:rPr>
          <w:rFonts w:eastAsia="MS Mincho" w:cs="Times New Roman"/>
          <w:color w:val="000000" w:themeColor="text1"/>
        </w:rPr>
        <w:t>estimation strategy capable of identifying complex groupings of firms. Empirical s</w:t>
      </w:r>
      <w:r w:rsidRPr="003736F5">
        <w:rPr>
          <w:rFonts w:cs="Times New Roman"/>
        </w:rPr>
        <w:t xml:space="preserve">tudies based on </w:t>
      </w:r>
      <w:r w:rsidRPr="003736F5">
        <w:rPr>
          <w:rFonts w:cs="Times New Roman"/>
          <w:color w:val="000000" w:themeColor="text1"/>
        </w:rPr>
        <w:t>configurational approaches</w:t>
      </w:r>
      <w:r w:rsidRPr="003736F5">
        <w:rPr>
          <w:rFonts w:cs="Times New Roman"/>
        </w:rPr>
        <w:t xml:space="preserve"> in SBEJ primarily used either standard statistics (Su et al., 2011), limited by assumptions of linearity, or more advanced fuzzy-set Qualitative Comparative Analysis (Hatak et al. 2020, Sperber and Linder, 2019, Wang et al., 2022). This method was found to be prone to subjective bias, require extensive data calibration, and heavily rel</w:t>
      </w:r>
      <w:r w:rsidR="00915916" w:rsidRPr="003736F5">
        <w:rPr>
          <w:rFonts w:cs="Times New Roman"/>
        </w:rPr>
        <w:t>y</w:t>
      </w:r>
      <w:r w:rsidRPr="003736F5">
        <w:rPr>
          <w:rFonts w:cs="Times New Roman"/>
        </w:rPr>
        <w:t xml:space="preserve"> on prior knowledge (Liu et al., 2017). </w:t>
      </w:r>
    </w:p>
    <w:p w14:paraId="410A62F8" w14:textId="63CEC402" w:rsidR="002D6A88" w:rsidRPr="003736F5" w:rsidRDefault="00454704" w:rsidP="00F33A4C">
      <w:pPr>
        <w:rPr>
          <w:rFonts w:eastAsia="MS Mincho" w:cs="Times New Roman"/>
          <w:color w:val="000000"/>
        </w:rPr>
      </w:pPr>
      <w:r w:rsidRPr="003736F5">
        <w:rPr>
          <w:rFonts w:cs="Times New Roman"/>
        </w:rPr>
        <w:t>Instead</w:t>
      </w:r>
      <w:r w:rsidR="001767E0" w:rsidRPr="003736F5">
        <w:rPr>
          <w:rFonts w:cs="Times New Roman"/>
        </w:rPr>
        <w:t>,</w:t>
      </w:r>
      <w:r w:rsidRPr="003736F5">
        <w:rPr>
          <w:rFonts w:cs="Times New Roman"/>
        </w:rPr>
        <w:t xml:space="preserve"> we draw on </w:t>
      </w:r>
      <w:r w:rsidR="00D45CE5" w:rsidRPr="003736F5">
        <w:rPr>
          <w:rFonts w:cs="Times New Roman"/>
        </w:rPr>
        <w:t>decision trees</w:t>
      </w:r>
      <w:r w:rsidRPr="003736F5">
        <w:rPr>
          <w:rFonts w:cs="Times New Roman"/>
        </w:rPr>
        <w:t xml:space="preserve"> that have</w:t>
      </w:r>
      <w:r w:rsidR="00770FA5" w:rsidRPr="003736F5">
        <w:rPr>
          <w:rFonts w:cs="Times New Roman"/>
          <w:color w:val="000000"/>
        </w:rPr>
        <w:t xml:space="preserve"> already been successfully applied in </w:t>
      </w:r>
      <w:r w:rsidR="00E2192F" w:rsidRPr="003736F5">
        <w:rPr>
          <w:rFonts w:cs="Times New Roman"/>
          <w:color w:val="000000"/>
        </w:rPr>
        <w:t xml:space="preserve">the </w:t>
      </w:r>
      <w:r w:rsidR="00770FA5" w:rsidRPr="003736F5">
        <w:rPr>
          <w:rFonts w:cs="Times New Roman"/>
          <w:color w:val="000000"/>
        </w:rPr>
        <w:t>real estate context with Fieldman and Gross (2005) as well as in growth determinants with Tan (2010)</w:t>
      </w:r>
      <w:r w:rsidR="001767E0" w:rsidRPr="003736F5">
        <w:rPr>
          <w:rFonts w:cs="Times New Roman"/>
          <w:color w:val="000000"/>
        </w:rPr>
        <w:t xml:space="preserve"> and</w:t>
      </w:r>
      <w:r w:rsidR="00D45CE5" w:rsidRPr="003736F5">
        <w:rPr>
          <w:rFonts w:cs="Times New Roman"/>
          <w:color w:val="000000"/>
        </w:rPr>
        <w:t xml:space="preserve"> more recently </w:t>
      </w:r>
      <w:r w:rsidR="001767E0" w:rsidRPr="003736F5">
        <w:rPr>
          <w:rFonts w:cs="Times New Roman"/>
          <w:color w:val="000000"/>
        </w:rPr>
        <w:t>in conjunction with configurational approaches (</w:t>
      </w:r>
      <w:r w:rsidR="00261D7D" w:rsidRPr="003736F5">
        <w:rPr>
          <w:rFonts w:cs="Times New Roman"/>
          <w:color w:val="000000"/>
        </w:rPr>
        <w:t>Graham and Bonner, 2022</w:t>
      </w:r>
      <w:r w:rsidR="001767E0" w:rsidRPr="003736F5">
        <w:rPr>
          <w:rFonts w:cs="Times New Roman"/>
          <w:color w:val="000000"/>
        </w:rPr>
        <w:t>)</w:t>
      </w:r>
      <w:r w:rsidR="00E2192F" w:rsidRPr="003736F5">
        <w:rPr>
          <w:rFonts w:cs="Times New Roman"/>
          <w:color w:val="000000"/>
        </w:rPr>
        <w:t>,</w:t>
      </w:r>
      <w:r w:rsidR="00770FA5" w:rsidRPr="003736F5">
        <w:rPr>
          <w:rFonts w:cs="Times New Roman"/>
          <w:color w:val="000000"/>
        </w:rPr>
        <w:t xml:space="preserve"> who also discussed the advantages of these approaches. They stressed their ability to handle large datasets with various data types, missing </w:t>
      </w:r>
      <w:proofErr w:type="gramStart"/>
      <w:r w:rsidR="00770FA5" w:rsidRPr="003736F5">
        <w:rPr>
          <w:rFonts w:cs="Times New Roman"/>
          <w:color w:val="000000"/>
        </w:rPr>
        <w:t>values</w:t>
      </w:r>
      <w:proofErr w:type="gramEnd"/>
      <w:r w:rsidR="00770FA5" w:rsidRPr="003736F5">
        <w:rPr>
          <w:rFonts w:cs="Times New Roman"/>
          <w:color w:val="000000"/>
        </w:rPr>
        <w:t xml:space="preserve"> and outliers as well as their ability to capture interrelationships</w:t>
      </w:r>
      <w:r w:rsidR="00770FA5" w:rsidRPr="003736F5">
        <w:rPr>
          <w:rFonts w:cs="Times New Roman"/>
        </w:rPr>
        <w:t xml:space="preserve"> </w:t>
      </w:r>
      <w:r w:rsidR="00770FA5" w:rsidRPr="003736F5">
        <w:rPr>
          <w:rFonts w:cs="Times New Roman"/>
          <w:color w:val="000000"/>
        </w:rPr>
        <w:t xml:space="preserve">between variables in different parts of the measurement space, which is essential given the varying capitalisation and investment decisions. These approaches are, however, susceptible to overfitting (Cook and Goldman, 1984) and instability (Briand et al., 2009). These issues are addressed in </w:t>
      </w:r>
      <w:r w:rsidR="001E461E" w:rsidRPr="003736F5">
        <w:rPr>
          <w:rFonts w:cs="Times New Roman"/>
          <w:color w:val="000000"/>
        </w:rPr>
        <w:t>subsection 4.6</w:t>
      </w:r>
      <w:r w:rsidR="00770FA5" w:rsidRPr="003736F5">
        <w:rPr>
          <w:rFonts w:cs="Times New Roman"/>
          <w:color w:val="000000"/>
        </w:rPr>
        <w:t>.</w:t>
      </w:r>
      <w:r w:rsidR="00125331" w:rsidRPr="003736F5">
        <w:rPr>
          <w:rFonts w:cs="Times New Roman"/>
        </w:rPr>
        <w:t xml:space="preserve"> </w:t>
      </w:r>
    </w:p>
    <w:p w14:paraId="5F9F99DC" w14:textId="0908211C" w:rsidR="004C660A" w:rsidRPr="003736F5" w:rsidRDefault="005E7664" w:rsidP="00F33A4C">
      <w:pPr>
        <w:pStyle w:val="Heading2"/>
        <w:jc w:val="left"/>
        <w:rPr>
          <w:rFonts w:ascii="Times New Roman" w:hAnsi="Times New Roman"/>
        </w:rPr>
      </w:pPr>
      <w:r w:rsidRPr="003736F5">
        <w:rPr>
          <w:rFonts w:ascii="Times New Roman" w:hAnsi="Times New Roman"/>
        </w:rPr>
        <w:t>4</w:t>
      </w:r>
      <w:r w:rsidR="000F0CFC" w:rsidRPr="003736F5">
        <w:rPr>
          <w:rFonts w:ascii="Times New Roman" w:hAnsi="Times New Roman"/>
        </w:rPr>
        <w:t>.3</w:t>
      </w:r>
      <w:r w:rsidR="004C660A" w:rsidRPr="003736F5">
        <w:rPr>
          <w:rFonts w:ascii="Times New Roman" w:hAnsi="Times New Roman"/>
        </w:rPr>
        <w:t>. Model</w:t>
      </w:r>
    </w:p>
    <w:p w14:paraId="770D522B" w14:textId="4B54776E" w:rsidR="001C1B91" w:rsidRPr="003736F5" w:rsidRDefault="004C660A" w:rsidP="00F33A4C">
      <w:pPr>
        <w:rPr>
          <w:rFonts w:cs="Times New Roman"/>
          <w:color w:val="000000"/>
          <w:szCs w:val="24"/>
        </w:rPr>
      </w:pPr>
      <w:r w:rsidRPr="003736F5">
        <w:rPr>
          <w:rFonts w:cs="Times New Roman"/>
          <w:color w:val="000000"/>
          <w:szCs w:val="24"/>
        </w:rPr>
        <w:t xml:space="preserve">We </w:t>
      </w:r>
      <w:r w:rsidR="004B2D7C" w:rsidRPr="003736F5">
        <w:rPr>
          <w:rFonts w:cs="Times New Roman"/>
          <w:color w:val="000000"/>
          <w:szCs w:val="24"/>
        </w:rPr>
        <w:t xml:space="preserve">adopt a more recent extension </w:t>
      </w:r>
      <w:r w:rsidR="00196C9A" w:rsidRPr="003736F5">
        <w:rPr>
          <w:rFonts w:cs="Times New Roman"/>
          <w:color w:val="000000"/>
          <w:szCs w:val="24"/>
        </w:rPr>
        <w:t>than in</w:t>
      </w:r>
      <w:r w:rsidR="009321FA" w:rsidRPr="003736F5">
        <w:rPr>
          <w:rFonts w:cs="Times New Roman"/>
          <w:color w:val="000000"/>
        </w:rPr>
        <w:t xml:space="preserve"> Tan</w:t>
      </w:r>
      <w:r w:rsidR="00CE4E55" w:rsidRPr="003736F5">
        <w:rPr>
          <w:rFonts w:cs="Times New Roman"/>
          <w:color w:val="000000"/>
        </w:rPr>
        <w:t>’s</w:t>
      </w:r>
      <w:r w:rsidR="009321FA" w:rsidRPr="003736F5">
        <w:rPr>
          <w:rFonts w:cs="Times New Roman"/>
          <w:color w:val="000000"/>
        </w:rPr>
        <w:t xml:space="preserve"> (2010)</w:t>
      </w:r>
      <w:r w:rsidR="004B2D7C" w:rsidRPr="003736F5">
        <w:rPr>
          <w:rFonts w:cs="Times New Roman"/>
          <w:color w:val="000000"/>
        </w:rPr>
        <w:t xml:space="preserve"> </w:t>
      </w:r>
      <w:r w:rsidR="00FC7D5C" w:rsidRPr="003736F5">
        <w:rPr>
          <w:rFonts w:cs="Times New Roman"/>
          <w:color w:val="000000"/>
        </w:rPr>
        <w:t xml:space="preserve">and </w:t>
      </w:r>
      <w:r w:rsidRPr="003736F5">
        <w:rPr>
          <w:rFonts w:cs="Times New Roman"/>
          <w:color w:val="000000"/>
          <w:szCs w:val="24"/>
        </w:rPr>
        <w:t xml:space="preserve">exploit the Random Effects Expectation Maximisation (RE-EM) decision tree approach of Sela and Simonoff (2012) and subsequently, Fu and Simonoff (2015). This technique combines estimates from fixed and random effect trees to discover the complex groupings of firms. The random-effects element accounts for the constant differential firm-level factors, whilst the decision tree allows the </w:t>
      </w:r>
      <w:r w:rsidRPr="003736F5">
        <w:rPr>
          <w:rFonts w:cs="Times New Roman"/>
          <w:color w:val="000000"/>
          <w:szCs w:val="24"/>
        </w:rPr>
        <w:lastRenderedPageBreak/>
        <w:t xml:space="preserve">data to discover the complex groupings of firms and their different levels of productivity without imposing a complex parametric structure. </w:t>
      </w:r>
    </w:p>
    <w:p w14:paraId="08DE7873" w14:textId="01228EA5" w:rsidR="004C660A" w:rsidRPr="003736F5" w:rsidRDefault="001C1B91" w:rsidP="00F33A4C">
      <w:pPr>
        <w:rPr>
          <w:rFonts w:eastAsia="MS Mincho" w:cs="Times New Roman"/>
          <w:color w:val="000000"/>
          <w:szCs w:val="24"/>
        </w:rPr>
      </w:pPr>
      <w:r w:rsidRPr="003736F5">
        <w:rPr>
          <w:rFonts w:cs="Times New Roman"/>
          <w:color w:val="000000"/>
          <w:szCs w:val="24"/>
        </w:rPr>
        <w:t xml:space="preserve">The REEM approach assumes that neither the random effects nor the fixed effects are known and alternates between estimating the regression tree, assuming that the estimates of the random effects are correct, and estimating the random effects, assuming that the estimates from the regression tree are correct. A brief introduction to decision trees is offered in Appendix 4, and a more detailed explanation of the mechanisms of REEM is available in </w:t>
      </w:r>
      <w:r w:rsidR="00CC7EED" w:rsidRPr="003736F5">
        <w:rPr>
          <w:rFonts w:cs="Times New Roman"/>
          <w:color w:val="000000"/>
          <w:szCs w:val="24"/>
        </w:rPr>
        <w:t>Sela</w:t>
      </w:r>
      <w:r w:rsidRPr="003736F5">
        <w:rPr>
          <w:rFonts w:cs="Times New Roman"/>
          <w:color w:val="000000"/>
          <w:szCs w:val="24"/>
        </w:rPr>
        <w:t xml:space="preserve"> and Simonoff (201</w:t>
      </w:r>
      <w:r w:rsidR="00E20CA3" w:rsidRPr="003736F5">
        <w:rPr>
          <w:rFonts w:cs="Times New Roman"/>
          <w:color w:val="000000"/>
          <w:szCs w:val="24"/>
        </w:rPr>
        <w:t>2</w:t>
      </w:r>
      <w:r w:rsidRPr="003736F5">
        <w:rPr>
          <w:rFonts w:cs="Times New Roman"/>
          <w:color w:val="000000"/>
          <w:szCs w:val="24"/>
        </w:rPr>
        <w:t xml:space="preserve">). </w:t>
      </w:r>
    </w:p>
    <w:p w14:paraId="59BF79FD" w14:textId="77777777" w:rsidR="004C660A" w:rsidRPr="003736F5" w:rsidRDefault="004C660A" w:rsidP="00F33A4C">
      <w:pPr>
        <w:rPr>
          <w:rFonts w:cs="Times New Roman"/>
          <w:color w:val="000000"/>
          <w:szCs w:val="24"/>
        </w:rPr>
      </w:pPr>
      <w:bookmarkStart w:id="4" w:name="_Hlk518906806"/>
      <w:bookmarkStart w:id="5" w:name="_Hlk518906672"/>
      <w:r w:rsidRPr="003736F5">
        <w:rPr>
          <w:rFonts w:cs="Times New Roman"/>
          <w:color w:val="000000"/>
          <w:szCs w:val="24"/>
        </w:rPr>
        <w:t>The RE-EM model is:</w:t>
      </w:r>
    </w:p>
    <w:p w14:paraId="21B7D12E" w14:textId="3C9A3959" w:rsidR="004C660A" w:rsidRPr="003736F5" w:rsidRDefault="003736F5" w:rsidP="00F33A4C">
      <w:pPr>
        <w:rPr>
          <w:rFonts w:cs="Times New Roman"/>
          <w:color w:val="000000"/>
          <w:szCs w:val="24"/>
        </w:rPr>
      </w:pPr>
      <m:oMath>
        <m:sSub>
          <m:sSubPr>
            <m:ctrlPr>
              <w:rPr>
                <w:rFonts w:ascii="Cambria Math" w:hAnsi="Cambria Math" w:cs="Times New Roman"/>
                <w:i/>
                <w:color w:val="000000"/>
                <w:szCs w:val="24"/>
              </w:rPr>
            </m:ctrlPr>
          </m:sSubPr>
          <m:e>
            <m:r>
              <w:rPr>
                <w:rFonts w:ascii="Cambria Math" w:hAnsi="Cambria Math" w:cs="Times New Roman"/>
                <w:color w:val="000000"/>
                <w:szCs w:val="24"/>
              </w:rPr>
              <m:t>ω</m:t>
            </m:r>
          </m:e>
          <m:sub>
            <m:r>
              <w:rPr>
                <w:rFonts w:ascii="Cambria Math" w:hAnsi="Cambria Math" w:cs="Times New Roman"/>
                <w:color w:val="000000"/>
                <w:szCs w:val="24"/>
              </w:rPr>
              <m:t>it</m:t>
            </m:r>
          </m:sub>
        </m:sSub>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Z</m:t>
            </m:r>
          </m:e>
          <m:sub>
            <m:r>
              <w:rPr>
                <w:rFonts w:ascii="Cambria Math" w:hAnsi="Cambria Math" w:cs="Times New Roman"/>
                <w:color w:val="000000"/>
                <w:szCs w:val="24"/>
              </w:rPr>
              <m:t>it</m:t>
            </m:r>
          </m:sub>
        </m:sSub>
        <m:sSub>
          <m:sSubPr>
            <m:ctrlPr>
              <w:rPr>
                <w:rFonts w:ascii="Cambria Math" w:hAnsi="Cambria Math" w:cs="Times New Roman"/>
                <w:i/>
                <w:color w:val="000000"/>
                <w:szCs w:val="24"/>
              </w:rPr>
            </m:ctrlPr>
          </m:sSubPr>
          <m:e>
            <m:r>
              <w:rPr>
                <w:rFonts w:ascii="Cambria Math" w:hAnsi="Cambria Math" w:cs="Times New Roman"/>
                <w:color w:val="000000"/>
                <w:szCs w:val="24"/>
              </w:rPr>
              <m:t>b</m:t>
            </m:r>
          </m:e>
          <m:sub>
            <m:r>
              <w:rPr>
                <w:rFonts w:ascii="Cambria Math" w:hAnsi="Cambria Math" w:cs="Times New Roman"/>
                <w:color w:val="000000"/>
                <w:szCs w:val="24"/>
              </w:rPr>
              <m:t>i</m:t>
            </m:r>
          </m:sub>
        </m:sSub>
        <m:r>
          <w:rPr>
            <w:rFonts w:ascii="Cambria Math" w:hAnsi="Cambria Math" w:cs="Times New Roman"/>
            <w:color w:val="000000"/>
            <w:szCs w:val="24"/>
          </w:rPr>
          <m:t>+f</m:t>
        </m:r>
        <m:d>
          <m:dPr>
            <m:ctrlPr>
              <w:rPr>
                <w:rFonts w:ascii="Cambria Math" w:hAnsi="Cambria Math" w:cs="Times New Roman"/>
                <w:i/>
                <w:color w:val="000000"/>
                <w:szCs w:val="24"/>
              </w:rPr>
            </m:ctrlPr>
          </m:dPr>
          <m:e>
            <m:r>
              <w:rPr>
                <w:rFonts w:ascii="Cambria Math" w:hAnsi="Cambria Math" w:cs="Times New Roman"/>
                <w:color w:val="000000"/>
                <w:szCs w:val="24"/>
              </w:rPr>
              <m:t>.</m:t>
            </m:r>
          </m:e>
        </m:d>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ε</m:t>
            </m:r>
          </m:e>
          <m:sub>
            <m:r>
              <w:rPr>
                <w:rFonts w:ascii="Cambria Math" w:hAnsi="Cambria Math" w:cs="Times New Roman"/>
                <w:color w:val="000000"/>
                <w:szCs w:val="24"/>
              </w:rPr>
              <m:t>it</m:t>
            </m:r>
          </m:sub>
        </m:sSub>
        <m:r>
          <w:rPr>
            <w:rFonts w:ascii="Cambria Math" w:hAnsi="Cambria Math" w:cs="Times New Roman"/>
            <w:color w:val="000000"/>
            <w:szCs w:val="24"/>
          </w:rPr>
          <m:t xml:space="preserve">,   i=1,…, I  t=1,…, n </m:t>
        </m:r>
      </m:oMath>
      <w:r w:rsidR="004C660A" w:rsidRPr="003736F5">
        <w:rPr>
          <w:rFonts w:cs="Times New Roman"/>
          <w:i/>
          <w:color w:val="000000"/>
          <w:szCs w:val="24"/>
        </w:rPr>
        <w:tab/>
      </w:r>
      <w:r w:rsidR="004C660A" w:rsidRPr="003736F5">
        <w:rPr>
          <w:rFonts w:cs="Times New Roman"/>
          <w:i/>
          <w:color w:val="000000"/>
          <w:szCs w:val="24"/>
        </w:rPr>
        <w:tab/>
      </w:r>
      <w:r w:rsidR="004C660A" w:rsidRPr="003736F5">
        <w:rPr>
          <w:rFonts w:cs="Times New Roman"/>
          <w:i/>
          <w:color w:val="000000"/>
          <w:szCs w:val="24"/>
        </w:rPr>
        <w:tab/>
      </w:r>
      <w:r w:rsidR="004C660A" w:rsidRPr="003736F5">
        <w:rPr>
          <w:rFonts w:cs="Times New Roman"/>
          <w:i/>
          <w:color w:val="000000"/>
          <w:szCs w:val="24"/>
        </w:rPr>
        <w:tab/>
      </w:r>
      <w:r w:rsidR="004C660A" w:rsidRPr="003736F5">
        <w:rPr>
          <w:rFonts w:cs="Times New Roman"/>
          <w:i/>
          <w:color w:val="000000"/>
          <w:szCs w:val="24"/>
        </w:rPr>
        <w:tab/>
      </w:r>
      <w:r w:rsidR="004C660A" w:rsidRPr="003736F5">
        <w:rPr>
          <w:rFonts w:cs="Times New Roman"/>
          <w:iCs/>
          <w:color w:val="000000"/>
          <w:szCs w:val="24"/>
        </w:rPr>
        <w:t>(</w:t>
      </w:r>
      <w:r w:rsidR="004C660A" w:rsidRPr="003736F5">
        <w:rPr>
          <w:rFonts w:cs="Times New Roman"/>
          <w:color w:val="000000"/>
          <w:szCs w:val="24"/>
        </w:rPr>
        <w:t>3)</w:t>
      </w:r>
    </w:p>
    <w:p w14:paraId="23E08543" w14:textId="0B9A8649" w:rsidR="004C660A" w:rsidRPr="003736F5" w:rsidRDefault="003736F5" w:rsidP="00F33A4C">
      <w:pPr>
        <w:rPr>
          <w:rFonts w:cs="Times New Roman"/>
          <w:color w:val="000000"/>
          <w:szCs w:val="24"/>
        </w:rPr>
      </w:pPr>
      <m:oMathPara>
        <m:oMathParaPr>
          <m:jc m:val="left"/>
        </m:oMathParaPr>
        <m:oMath>
          <m:d>
            <m:dPr>
              <m:ctrlPr>
                <w:rPr>
                  <w:rFonts w:ascii="Cambria Math" w:hAnsi="Cambria Math" w:cs="Times New Roman"/>
                  <w:i/>
                  <w:color w:val="000000"/>
                  <w:szCs w:val="24"/>
                </w:rPr>
              </m:ctrlPr>
            </m:dPr>
            <m:e>
              <m:m>
                <m:mPr>
                  <m:mcs>
                    <m:mc>
                      <m:mcPr>
                        <m:count m:val="1"/>
                        <m:mcJc m:val="center"/>
                      </m:mcPr>
                    </m:mc>
                  </m:mcs>
                  <m:ctrlPr>
                    <w:rPr>
                      <w:rFonts w:ascii="Cambria Math" w:hAnsi="Cambria Math" w:cs="Times New Roman"/>
                      <w:i/>
                      <w:color w:val="000000"/>
                      <w:szCs w:val="24"/>
                    </w:rPr>
                  </m:ctrlPr>
                </m:mPr>
                <m:mr>
                  <m:e>
                    <m:m>
                      <m:mPr>
                        <m:mcs>
                          <m:mc>
                            <m:mcPr>
                              <m:count m:val="1"/>
                              <m:mcJc m:val="center"/>
                            </m:mcPr>
                          </m:mc>
                        </m:mcs>
                        <m:ctrlPr>
                          <w:rPr>
                            <w:rFonts w:ascii="Cambria Math" w:hAnsi="Cambria Math" w:cs="Times New Roman"/>
                            <w:i/>
                            <w:color w:val="000000"/>
                            <w:szCs w:val="24"/>
                          </w:rPr>
                        </m:ctrlPr>
                      </m:mPr>
                      <m:mr>
                        <m:e>
                          <m:sSub>
                            <m:sSubPr>
                              <m:ctrlPr>
                                <w:rPr>
                                  <w:rFonts w:ascii="Cambria Math" w:hAnsi="Cambria Math" w:cs="Times New Roman"/>
                                  <w:i/>
                                  <w:color w:val="000000"/>
                                  <w:szCs w:val="24"/>
                                </w:rPr>
                              </m:ctrlPr>
                            </m:sSubPr>
                            <m:e>
                              <m:r>
                                <w:rPr>
                                  <w:rFonts w:ascii="Cambria Math" w:hAnsi="Cambria Math" w:cs="Times New Roman"/>
                                  <w:color w:val="000000"/>
                                  <w:szCs w:val="24"/>
                                </w:rPr>
                                <m:t>ε</m:t>
                              </m:r>
                            </m:e>
                            <m:sub>
                              <m:r>
                                <w:rPr>
                                  <w:rFonts w:ascii="Cambria Math" w:hAnsi="Cambria Math" w:cs="Times New Roman"/>
                                  <w:color w:val="000000"/>
                                  <w:szCs w:val="24"/>
                                </w:rPr>
                                <m:t>i1</m:t>
                              </m:r>
                            </m:sub>
                          </m:sSub>
                        </m:e>
                      </m:mr>
                      <m:mr>
                        <m:e>
                          <m:r>
                            <w:rPr>
                              <w:rFonts w:ascii="Cambria Math" w:hAnsi="Cambria Math" w:cs="Times New Roman"/>
                              <w:color w:val="000000"/>
                              <w:szCs w:val="24"/>
                            </w:rPr>
                            <m:t>:</m:t>
                          </m:r>
                        </m:e>
                      </m:mr>
                    </m:m>
                  </m:e>
                </m:mr>
                <m:mr>
                  <m:e>
                    <m:r>
                      <w:rPr>
                        <w:rFonts w:ascii="Cambria Math" w:hAnsi="Cambria Math" w:cs="Times New Roman"/>
                        <w:color w:val="000000"/>
                        <w:szCs w:val="24"/>
                      </w:rPr>
                      <m:t>:</m:t>
                    </m:r>
                  </m:e>
                </m:mr>
                <m:mr>
                  <m:e>
                    <m:sSub>
                      <m:sSubPr>
                        <m:ctrlPr>
                          <w:rPr>
                            <w:rFonts w:ascii="Cambria Math" w:hAnsi="Cambria Math" w:cs="Times New Roman"/>
                            <w:i/>
                            <w:color w:val="000000"/>
                            <w:szCs w:val="24"/>
                          </w:rPr>
                        </m:ctrlPr>
                      </m:sSubPr>
                      <m:e>
                        <m:r>
                          <w:rPr>
                            <w:rFonts w:ascii="Cambria Math" w:hAnsi="Cambria Math" w:cs="Times New Roman"/>
                            <w:color w:val="000000"/>
                            <w:szCs w:val="24"/>
                          </w:rPr>
                          <m:t>ε</m:t>
                        </m:r>
                      </m:e>
                      <m:sub>
                        <m:r>
                          <w:rPr>
                            <w:rFonts w:ascii="Cambria Math" w:hAnsi="Cambria Math" w:cs="Times New Roman"/>
                            <w:color w:val="000000"/>
                            <w:szCs w:val="24"/>
                          </w:rPr>
                          <m:t>in</m:t>
                        </m:r>
                      </m:sub>
                    </m:sSub>
                  </m:e>
                </m:mr>
              </m:m>
            </m:e>
          </m:d>
          <m:r>
            <w:rPr>
              <w:rFonts w:ascii="Cambria Math" w:hAnsi="Cambria Math" w:cs="Times New Roman"/>
              <w:color w:val="000000"/>
              <w:szCs w:val="24"/>
            </w:rPr>
            <m:t xml:space="preserve"> ~N</m:t>
          </m:r>
          <m:d>
            <m:dPr>
              <m:ctrlPr>
                <w:rPr>
                  <w:rFonts w:ascii="Cambria Math" w:hAnsi="Cambria Math" w:cs="Times New Roman"/>
                  <w:i/>
                  <w:color w:val="000000"/>
                  <w:szCs w:val="24"/>
                </w:rPr>
              </m:ctrlPr>
            </m:dPr>
            <m:e>
              <m:r>
                <w:rPr>
                  <w:rFonts w:ascii="Cambria Math" w:hAnsi="Cambria Math" w:cs="Times New Roman"/>
                  <w:color w:val="000000"/>
                  <w:szCs w:val="24"/>
                </w:rPr>
                <m:t>0,</m:t>
              </m:r>
              <m:sSub>
                <m:sSubPr>
                  <m:ctrlPr>
                    <w:rPr>
                      <w:rFonts w:ascii="Cambria Math" w:hAnsi="Cambria Math" w:cs="Times New Roman"/>
                      <w:i/>
                      <w:color w:val="000000"/>
                      <w:szCs w:val="24"/>
                    </w:rPr>
                  </m:ctrlPr>
                </m:sSubPr>
                <m:e>
                  <m:r>
                    <w:rPr>
                      <w:rFonts w:ascii="Cambria Math" w:hAnsi="Cambria Math" w:cs="Times New Roman"/>
                      <w:color w:val="000000"/>
                      <w:szCs w:val="24"/>
                    </w:rPr>
                    <m:t>R</m:t>
                  </m:r>
                </m:e>
                <m:sub>
                  <m:r>
                    <w:rPr>
                      <w:rFonts w:ascii="Cambria Math" w:hAnsi="Cambria Math" w:cs="Times New Roman"/>
                      <w:color w:val="000000"/>
                      <w:szCs w:val="24"/>
                    </w:rPr>
                    <m:t>i</m:t>
                  </m:r>
                </m:sub>
              </m:sSub>
            </m:e>
          </m:d>
          <m:r>
            <w:rPr>
              <w:rFonts w:ascii="Cambria Math" w:hAnsi="Cambria Math" w:cs="Times New Roman"/>
              <w:color w:val="000000"/>
              <w:szCs w:val="24"/>
            </w:rPr>
            <m:t>,</m:t>
          </m:r>
        </m:oMath>
      </m:oMathPara>
    </w:p>
    <w:p w14:paraId="776533FA" w14:textId="2BC4BDFF" w:rsidR="004C660A" w:rsidRPr="003736F5" w:rsidRDefault="003736F5" w:rsidP="00F33A4C">
      <w:pPr>
        <w:rPr>
          <w:rFonts w:cs="Times New Roman"/>
          <w:color w:val="000000"/>
          <w:szCs w:val="24"/>
        </w:rPr>
      </w:pPr>
      <m:oMath>
        <m:sSub>
          <m:sSubPr>
            <m:ctrlPr>
              <w:rPr>
                <w:rFonts w:ascii="Cambria Math" w:hAnsi="Cambria Math" w:cs="Times New Roman"/>
                <w:i/>
                <w:color w:val="000000"/>
                <w:szCs w:val="24"/>
              </w:rPr>
            </m:ctrlPr>
          </m:sSubPr>
          <m:e>
            <m:r>
              <w:rPr>
                <w:rFonts w:ascii="Cambria Math" w:hAnsi="Cambria Math" w:cs="Times New Roman"/>
                <w:color w:val="000000"/>
                <w:szCs w:val="24"/>
              </w:rPr>
              <m:t>b</m:t>
            </m:r>
          </m:e>
          <m:sub>
            <m:r>
              <w:rPr>
                <w:rFonts w:ascii="Cambria Math" w:hAnsi="Cambria Math" w:cs="Times New Roman"/>
                <w:color w:val="000000"/>
                <w:szCs w:val="24"/>
              </w:rPr>
              <m:t>i</m:t>
            </m:r>
          </m:sub>
        </m:sSub>
        <m:r>
          <w:rPr>
            <w:rFonts w:ascii="Cambria Math" w:hAnsi="Cambria Math" w:cs="Times New Roman"/>
            <w:color w:val="000000"/>
            <w:szCs w:val="24"/>
          </w:rPr>
          <m:t>~Normal(0,D)</m:t>
        </m:r>
      </m:oMath>
      <w:r w:rsidR="004C660A" w:rsidRPr="003736F5">
        <w:rPr>
          <w:rFonts w:cs="Times New Roman"/>
          <w:color w:val="000000"/>
          <w:szCs w:val="24"/>
        </w:rPr>
        <w:t>,</w:t>
      </w:r>
    </w:p>
    <w:p w14:paraId="0087F975" w14:textId="1BE22F91" w:rsidR="004C660A" w:rsidRPr="003736F5" w:rsidRDefault="001C1B91" w:rsidP="00F33A4C">
      <w:pPr>
        <w:rPr>
          <w:rFonts w:cs="Times New Roman"/>
          <w:color w:val="000000"/>
          <w:szCs w:val="24"/>
        </w:rPr>
      </w:pPr>
      <m:oMathPara>
        <m:oMathParaPr>
          <m:jc m:val="left"/>
        </m:oMathParaPr>
        <m:oMath>
          <m:r>
            <w:rPr>
              <w:rFonts w:ascii="Cambria Math" w:hAnsi="Cambria Math" w:cs="Times New Roman"/>
              <w:color w:val="000000"/>
              <w:szCs w:val="24"/>
            </w:rPr>
            <m:t>f</m:t>
          </m:r>
          <m:d>
            <m:dPr>
              <m:ctrlPr>
                <w:rPr>
                  <w:rFonts w:ascii="Cambria Math" w:hAnsi="Cambria Math" w:cs="Times New Roman"/>
                  <w:i/>
                  <w:color w:val="000000"/>
                  <w:szCs w:val="24"/>
                </w:rPr>
              </m:ctrlPr>
            </m:dPr>
            <m:e>
              <m:r>
                <w:rPr>
                  <w:rFonts w:ascii="Cambria Math" w:hAnsi="Cambria Math" w:cs="Times New Roman"/>
                  <w:color w:val="000000"/>
                  <w:szCs w:val="24"/>
                </w:rPr>
                <m:t>.</m:t>
              </m:r>
            </m:e>
          </m:d>
          <m:r>
            <w:rPr>
              <w:rFonts w:ascii="Cambria Math" w:hAnsi="Cambria Math" w:cs="Times New Roman"/>
              <w:color w:val="000000"/>
              <w:szCs w:val="24"/>
            </w:rPr>
            <m:t>=f</m:t>
          </m:r>
          <m:sSup>
            <m:sSupPr>
              <m:ctrlPr>
                <w:rPr>
                  <w:rFonts w:ascii="Cambria Math" w:hAnsi="Cambria Math" w:cs="Times New Roman"/>
                  <w:i/>
                  <w:color w:val="000000"/>
                  <w:szCs w:val="24"/>
                </w:rPr>
              </m:ctrlPr>
            </m:sSupPr>
            <m:e>
              <m:d>
                <m:dPr>
                  <m:ctrlPr>
                    <w:rPr>
                      <w:rFonts w:ascii="Cambria Math" w:hAnsi="Cambria Math" w:cs="Times New Roman"/>
                      <w:i/>
                      <w:color w:val="000000"/>
                      <w:szCs w:val="24"/>
                    </w:rPr>
                  </m:ctrlPr>
                </m:dPr>
                <m:e>
                  <m:nary>
                    <m:naryPr>
                      <m:chr m:val="∑"/>
                      <m:limLoc m:val="undOvr"/>
                      <m:ctrlPr>
                        <w:rPr>
                          <w:rFonts w:ascii="Cambria Math" w:hAnsi="Cambria Math" w:cs="Times New Roman"/>
                          <w:i/>
                          <w:color w:val="000000"/>
                          <w:szCs w:val="24"/>
                        </w:rPr>
                      </m:ctrlPr>
                    </m:naryPr>
                    <m:sub>
                      <m:r>
                        <w:rPr>
                          <w:rFonts w:ascii="Cambria Math" w:hAnsi="Cambria Math" w:cs="Times New Roman"/>
                          <w:color w:val="000000"/>
                          <w:szCs w:val="24"/>
                        </w:rPr>
                        <m:t>j=0</m:t>
                      </m:r>
                    </m:sub>
                    <m:sup>
                      <m:r>
                        <w:rPr>
                          <w:rFonts w:ascii="Cambria Math" w:hAnsi="Cambria Math" w:cs="Times New Roman"/>
                          <w:color w:val="000000"/>
                          <w:szCs w:val="24"/>
                        </w:rPr>
                        <m:t>4</m:t>
                      </m:r>
                    </m:sup>
                    <m:e>
                      <m:d>
                        <m:dPr>
                          <m:ctrlPr>
                            <w:rPr>
                              <w:rFonts w:ascii="Cambria Math" w:hAnsi="Cambria Math" w:cs="Times New Roman"/>
                              <w:i/>
                              <w:color w:val="000000"/>
                              <w:szCs w:val="24"/>
                            </w:rPr>
                          </m:ctrlPr>
                        </m:dPr>
                        <m:e>
                          <m:sSub>
                            <m:sSubPr>
                              <m:ctrlPr>
                                <w:rPr>
                                  <w:rFonts w:ascii="Cambria Math" w:hAnsi="Cambria Math" w:cs="Times New Roman"/>
                                  <w:i/>
                                  <w:color w:val="000000"/>
                                  <w:szCs w:val="24"/>
                                </w:rPr>
                              </m:ctrlPr>
                            </m:sSubPr>
                            <m:e>
                              <m:r>
                                <w:rPr>
                                  <w:rFonts w:ascii="Cambria Math" w:hAnsi="Cambria Math" w:cs="Times New Roman"/>
                                  <w:color w:val="000000"/>
                                  <w:szCs w:val="24"/>
                                </w:rPr>
                                <m:t>SBRR</m:t>
                              </m:r>
                            </m:e>
                            <m:sub>
                              <m:r>
                                <w:rPr>
                                  <w:rFonts w:ascii="Cambria Math" w:hAnsi="Cambria Math" w:cs="Times New Roman"/>
                                  <w:color w:val="000000"/>
                                  <w:szCs w:val="24"/>
                                </w:rPr>
                                <m:t>t-j</m:t>
                              </m:r>
                            </m:sub>
                          </m:sSub>
                        </m:e>
                      </m:d>
                      <m:r>
                        <w:rPr>
                          <w:rFonts w:ascii="Cambria Math" w:hAnsi="Cambria Math" w:cs="Times New Roman"/>
                          <w:color w:val="000000"/>
                          <w:szCs w:val="24"/>
                        </w:rPr>
                        <m:t xml:space="preserve">, </m:t>
                      </m:r>
                    </m:e>
                  </m:nary>
                  <m:sSub>
                    <m:sSubPr>
                      <m:ctrlPr>
                        <w:rPr>
                          <w:rFonts w:ascii="Cambria Math" w:hAnsi="Cambria Math" w:cs="Times New Roman"/>
                          <w:i/>
                          <w:color w:val="000000"/>
                          <w:szCs w:val="24"/>
                        </w:rPr>
                      </m:ctrlPr>
                    </m:sSubPr>
                    <m:e>
                      <m:r>
                        <w:rPr>
                          <w:rFonts w:ascii="Cambria Math" w:hAnsi="Cambria Math" w:cs="Times New Roman"/>
                          <w:color w:val="000000"/>
                          <w:szCs w:val="24"/>
                        </w:rPr>
                        <m:t>ρ</m:t>
                      </m:r>
                    </m:e>
                    <m:sub>
                      <m:r>
                        <w:rPr>
                          <w:rFonts w:ascii="Cambria Math" w:hAnsi="Cambria Math" w:cs="Times New Roman"/>
                          <w:color w:val="000000"/>
                          <w:szCs w:val="24"/>
                        </w:rPr>
                        <m:t>it</m:t>
                      </m:r>
                    </m:sub>
                  </m:sSub>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a</m:t>
                      </m:r>
                    </m:e>
                    <m:sub>
                      <m:r>
                        <w:rPr>
                          <w:rFonts w:ascii="Cambria Math" w:hAnsi="Cambria Math" w:cs="Times New Roman"/>
                          <w:color w:val="000000"/>
                          <w:szCs w:val="24"/>
                        </w:rPr>
                        <m:t>it</m:t>
                      </m:r>
                    </m:sub>
                  </m:sSub>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r</m:t>
                      </m:r>
                    </m:e>
                    <m:sub>
                      <m:r>
                        <w:rPr>
                          <w:rFonts w:ascii="Cambria Math" w:hAnsi="Cambria Math" w:cs="Times New Roman"/>
                          <w:color w:val="000000"/>
                          <w:szCs w:val="24"/>
                        </w:rPr>
                        <m:t>it</m:t>
                      </m:r>
                    </m:sub>
                  </m:sSub>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s</m:t>
                      </m:r>
                    </m:e>
                    <m:sub>
                      <m:r>
                        <w:rPr>
                          <w:rFonts w:ascii="Cambria Math" w:hAnsi="Cambria Math" w:cs="Times New Roman"/>
                          <w:color w:val="000000"/>
                          <w:szCs w:val="24"/>
                        </w:rPr>
                        <m:t>it</m:t>
                      </m:r>
                    </m:sub>
                  </m:sSub>
                  <m:r>
                    <w:rPr>
                      <w:rFonts w:ascii="Cambria Math" w:hAnsi="Cambria Math" w:cs="Times New Roman"/>
                      <w:color w:val="000000"/>
                      <w:szCs w:val="24"/>
                    </w:rPr>
                    <m:t>, P</m:t>
                  </m:r>
                  <m:sSub>
                    <m:sSubPr>
                      <m:ctrlPr>
                        <w:rPr>
                          <w:rFonts w:ascii="Cambria Math" w:hAnsi="Cambria Math" w:cs="Times New Roman"/>
                          <w:i/>
                          <w:color w:val="000000"/>
                          <w:szCs w:val="24"/>
                        </w:rPr>
                      </m:ctrlPr>
                    </m:sSubPr>
                    <m:e>
                      <m:r>
                        <w:rPr>
                          <w:rFonts w:ascii="Cambria Math" w:hAnsi="Cambria Math" w:cs="Times New Roman"/>
                          <w:color w:val="000000"/>
                          <w:szCs w:val="24"/>
                        </w:rPr>
                        <m:t>S</m:t>
                      </m:r>
                    </m:e>
                    <m:sub>
                      <m:r>
                        <w:rPr>
                          <w:rFonts w:ascii="Cambria Math" w:hAnsi="Cambria Math" w:cs="Times New Roman"/>
                          <w:color w:val="000000"/>
                          <w:szCs w:val="24"/>
                        </w:rPr>
                        <m:t>it</m:t>
                      </m:r>
                    </m:sub>
                  </m:sSub>
                  <m:r>
                    <w:rPr>
                      <w:rFonts w:ascii="Cambria Math" w:hAnsi="Cambria Math" w:cs="Times New Roman"/>
                      <w:color w:val="000000"/>
                      <w:szCs w:val="24"/>
                    </w:rPr>
                    <m:t>, P</m:t>
                  </m:r>
                  <m:sSub>
                    <m:sSubPr>
                      <m:ctrlPr>
                        <w:rPr>
                          <w:rFonts w:ascii="Cambria Math" w:hAnsi="Cambria Math" w:cs="Times New Roman"/>
                          <w:i/>
                          <w:color w:val="000000"/>
                          <w:szCs w:val="24"/>
                        </w:rPr>
                      </m:ctrlPr>
                    </m:sSubPr>
                    <m:e>
                      <m:r>
                        <w:rPr>
                          <w:rFonts w:ascii="Cambria Math" w:hAnsi="Cambria Math" w:cs="Times New Roman"/>
                          <w:color w:val="000000"/>
                          <w:szCs w:val="24"/>
                        </w:rPr>
                        <m:t>D</m:t>
                      </m:r>
                    </m:e>
                    <m:sub>
                      <m:r>
                        <w:rPr>
                          <w:rFonts w:ascii="Cambria Math" w:hAnsi="Cambria Math" w:cs="Times New Roman"/>
                          <w:color w:val="000000"/>
                          <w:szCs w:val="24"/>
                        </w:rPr>
                        <m:t>it</m:t>
                      </m:r>
                    </m:sub>
                  </m:sSub>
                  <m:r>
                    <w:rPr>
                      <w:rFonts w:ascii="Cambria Math" w:hAnsi="Cambria Math" w:cs="Times New Roman"/>
                      <w:color w:val="000000"/>
                      <w:szCs w:val="24"/>
                    </w:rPr>
                    <m:t>, HH</m:t>
                  </m:r>
                  <m:sSub>
                    <m:sSubPr>
                      <m:ctrlPr>
                        <w:rPr>
                          <w:rFonts w:ascii="Cambria Math" w:hAnsi="Cambria Math" w:cs="Times New Roman"/>
                          <w:i/>
                          <w:color w:val="000000"/>
                          <w:szCs w:val="24"/>
                        </w:rPr>
                      </m:ctrlPr>
                    </m:sSubPr>
                    <m:e>
                      <m:r>
                        <w:rPr>
                          <w:rFonts w:ascii="Cambria Math" w:hAnsi="Cambria Math" w:cs="Times New Roman"/>
                          <w:color w:val="000000"/>
                          <w:szCs w:val="24"/>
                        </w:rPr>
                        <m:t>I</m:t>
                      </m:r>
                    </m:e>
                    <m:sub>
                      <m:r>
                        <w:rPr>
                          <w:rFonts w:ascii="Cambria Math" w:hAnsi="Cambria Math" w:cs="Times New Roman"/>
                          <w:color w:val="000000"/>
                          <w:szCs w:val="24"/>
                        </w:rPr>
                        <m:t>it</m:t>
                      </m:r>
                    </m:sub>
                  </m:sSub>
                  <m:r>
                    <w:rPr>
                      <w:rFonts w:ascii="Cambria Math" w:hAnsi="Cambria Math" w:cs="Times New Roman"/>
                      <w:color w:val="000000"/>
                      <w:szCs w:val="24"/>
                    </w:rPr>
                    <m:t>,R&amp;</m:t>
                  </m:r>
                  <m:sSub>
                    <m:sSubPr>
                      <m:ctrlPr>
                        <w:rPr>
                          <w:rFonts w:ascii="Cambria Math" w:hAnsi="Cambria Math" w:cs="Times New Roman"/>
                          <w:i/>
                          <w:color w:val="000000"/>
                          <w:szCs w:val="24"/>
                        </w:rPr>
                      </m:ctrlPr>
                    </m:sSubPr>
                    <m:e>
                      <m:r>
                        <w:rPr>
                          <w:rFonts w:ascii="Cambria Math" w:hAnsi="Cambria Math" w:cs="Times New Roman"/>
                          <w:color w:val="000000"/>
                          <w:szCs w:val="24"/>
                        </w:rPr>
                        <m:t>D</m:t>
                      </m:r>
                    </m:e>
                    <m:sub>
                      <m:r>
                        <w:rPr>
                          <w:rFonts w:ascii="Cambria Math" w:hAnsi="Cambria Math" w:cs="Times New Roman"/>
                          <w:color w:val="000000"/>
                          <w:szCs w:val="24"/>
                        </w:rPr>
                        <m:t>it</m:t>
                      </m:r>
                    </m:sub>
                  </m:sSub>
                  <m:r>
                    <w:rPr>
                      <w:rFonts w:ascii="Cambria Math" w:hAnsi="Cambria Math" w:cs="Times New Roman"/>
                      <w:color w:val="000000"/>
                      <w:szCs w:val="24"/>
                    </w:rPr>
                    <m:t>,HG</m:t>
                  </m:r>
                  <m:sSub>
                    <m:sSubPr>
                      <m:ctrlPr>
                        <w:rPr>
                          <w:rFonts w:ascii="Cambria Math" w:hAnsi="Cambria Math" w:cs="Times New Roman"/>
                          <w:i/>
                          <w:color w:val="000000"/>
                          <w:szCs w:val="24"/>
                        </w:rPr>
                      </m:ctrlPr>
                    </m:sSubPr>
                    <m:e>
                      <m:r>
                        <w:rPr>
                          <w:rFonts w:ascii="Cambria Math" w:hAnsi="Cambria Math" w:cs="Times New Roman"/>
                          <w:color w:val="000000"/>
                          <w:szCs w:val="24"/>
                        </w:rPr>
                        <m:t>F</m:t>
                      </m:r>
                    </m:e>
                    <m:sub>
                      <m:r>
                        <w:rPr>
                          <w:rFonts w:ascii="Cambria Math" w:hAnsi="Cambria Math" w:cs="Times New Roman"/>
                          <w:color w:val="000000"/>
                          <w:szCs w:val="24"/>
                        </w:rPr>
                        <m:t>it</m:t>
                      </m:r>
                    </m:sub>
                  </m:sSub>
                  <m:r>
                    <w:rPr>
                      <w:rFonts w:ascii="Cambria Math" w:hAnsi="Cambria Math" w:cs="Times New Roman"/>
                      <w:color w:val="000000"/>
                      <w:szCs w:val="24"/>
                    </w:rPr>
                    <m:t xml:space="preserve">, </m:t>
                  </m:r>
                  <m:sSub>
                    <m:sSubPr>
                      <m:ctrlPr>
                        <w:rPr>
                          <w:rFonts w:ascii="Cambria Math" w:hAnsi="Cambria Math" w:cs="Times New Roman"/>
                          <w:i/>
                          <w:color w:val="000000"/>
                          <w:szCs w:val="24"/>
                        </w:rPr>
                      </m:ctrlPr>
                    </m:sSubPr>
                    <m:e>
                      <m:r>
                        <w:rPr>
                          <w:rFonts w:ascii="Cambria Math" w:hAnsi="Cambria Math" w:cs="Times New Roman"/>
                          <w:color w:val="000000"/>
                          <w:szCs w:val="24"/>
                        </w:rPr>
                        <m:t>FO</m:t>
                      </m:r>
                    </m:e>
                    <m:sub>
                      <m:r>
                        <w:rPr>
                          <w:rFonts w:ascii="Cambria Math" w:hAnsi="Cambria Math" w:cs="Times New Roman"/>
                          <w:color w:val="000000"/>
                          <w:szCs w:val="24"/>
                        </w:rPr>
                        <m:t>it</m:t>
                      </m:r>
                    </m:sub>
                  </m:sSub>
                  <m:r>
                    <w:rPr>
                      <w:rFonts w:ascii="Cambria Math" w:hAnsi="Cambria Math" w:cs="Times New Roman"/>
                      <w:color w:val="000000"/>
                      <w:szCs w:val="24"/>
                    </w:rPr>
                    <m:t>,</m:t>
                  </m:r>
                  <m:sSub>
                    <m:sSubPr>
                      <m:ctrlPr>
                        <w:rPr>
                          <w:rFonts w:ascii="Cambria Math" w:hAnsi="Cambria Math" w:cs="Times New Roman"/>
                          <w:i/>
                          <w:color w:val="000000"/>
                          <w:szCs w:val="24"/>
                        </w:rPr>
                      </m:ctrlPr>
                    </m:sSubPr>
                    <m:e>
                      <m:r>
                        <w:rPr>
                          <w:rFonts w:ascii="Cambria Math" w:hAnsi="Cambria Math" w:cs="Times New Roman"/>
                          <w:color w:val="000000"/>
                          <w:szCs w:val="24"/>
                        </w:rPr>
                        <m:t>IO</m:t>
                      </m:r>
                    </m:e>
                    <m:sub>
                      <m:r>
                        <w:rPr>
                          <w:rFonts w:ascii="Cambria Math" w:hAnsi="Cambria Math" w:cs="Times New Roman"/>
                          <w:color w:val="000000"/>
                          <w:szCs w:val="24"/>
                        </w:rPr>
                        <m:t>it</m:t>
                      </m:r>
                    </m:sub>
                  </m:sSub>
                </m:e>
              </m:d>
            </m:e>
            <m:sup/>
          </m:sSup>
        </m:oMath>
      </m:oMathPara>
    </w:p>
    <w:p w14:paraId="7B79A5E3" w14:textId="2B87DC29" w:rsidR="004C660A" w:rsidRPr="003736F5" w:rsidRDefault="004C660A" w:rsidP="00F33A4C">
      <w:pPr>
        <w:rPr>
          <w:rFonts w:cs="Times New Roman"/>
          <w:color w:val="000000"/>
          <w:szCs w:val="24"/>
        </w:rPr>
      </w:pPr>
      <w:r w:rsidRPr="003736F5">
        <w:rPr>
          <w:rFonts w:cs="Times New Roman"/>
          <w:color w:val="000000"/>
          <w:szCs w:val="24"/>
        </w:rPr>
        <w:t xml:space="preserve">The dependent variable, </w:t>
      </w:r>
      <m:oMath>
        <m:sSub>
          <m:sSubPr>
            <m:ctrlPr>
              <w:rPr>
                <w:rFonts w:ascii="Cambria Math" w:hAnsi="Cambria Math" w:cs="Times New Roman"/>
                <w:i/>
                <w:color w:val="000000"/>
                <w:szCs w:val="24"/>
              </w:rPr>
            </m:ctrlPr>
          </m:sSubPr>
          <m:e>
            <m:r>
              <w:rPr>
                <w:rFonts w:ascii="Cambria Math" w:hAnsi="Cambria Math" w:cs="Times New Roman"/>
                <w:color w:val="000000"/>
                <w:szCs w:val="24"/>
              </w:rPr>
              <m:t>ω</m:t>
            </m:r>
          </m:e>
          <m:sub>
            <m:r>
              <w:rPr>
                <w:rFonts w:ascii="Cambria Math" w:hAnsi="Cambria Math" w:cs="Times New Roman"/>
                <w:color w:val="000000"/>
                <w:szCs w:val="24"/>
              </w:rPr>
              <m:t>it</m:t>
            </m:r>
          </m:sub>
        </m:sSub>
      </m:oMath>
      <w:r w:rsidRPr="003736F5">
        <w:rPr>
          <w:rFonts w:cs="Times New Roman"/>
          <w:color w:val="000000"/>
          <w:szCs w:val="24"/>
        </w:rPr>
        <w:t xml:space="preserve">, is our bootstrapped estimate of </w:t>
      </w:r>
      <w:r w:rsidR="001C1B91" w:rsidRPr="003736F5">
        <w:rPr>
          <w:rFonts w:cs="Times New Roman"/>
          <w:color w:val="000000"/>
        </w:rPr>
        <w:t>productivity</w:t>
      </w:r>
      <w:r w:rsidRPr="003736F5">
        <w:rPr>
          <w:rFonts w:cs="Times New Roman"/>
          <w:color w:val="000000"/>
          <w:szCs w:val="24"/>
        </w:rPr>
        <w:t xml:space="preserve">, as discussed below for each firm </w:t>
      </w:r>
      <w:r w:rsidRPr="003736F5">
        <w:rPr>
          <w:rFonts w:cs="Times New Roman"/>
          <w:i/>
          <w:color w:val="000000"/>
          <w:szCs w:val="24"/>
        </w:rPr>
        <w:t>i</w:t>
      </w:r>
      <w:r w:rsidRPr="003736F5">
        <w:rPr>
          <w:rFonts w:cs="Times New Roman"/>
          <w:color w:val="000000"/>
          <w:szCs w:val="24"/>
        </w:rPr>
        <w:t xml:space="preserve"> in period </w:t>
      </w:r>
      <w:r w:rsidRPr="003736F5">
        <w:rPr>
          <w:rFonts w:cs="Times New Roman"/>
          <w:i/>
          <w:color w:val="000000"/>
          <w:szCs w:val="24"/>
        </w:rPr>
        <w:t>t</w:t>
      </w:r>
      <w:r w:rsidRPr="003736F5">
        <w:rPr>
          <w:rFonts w:cs="Times New Roman"/>
          <w:color w:val="000000"/>
          <w:szCs w:val="24"/>
        </w:rPr>
        <w:t xml:space="preserve">. </w:t>
      </w:r>
      <m:oMath>
        <m:r>
          <w:rPr>
            <w:rFonts w:ascii="Cambria Math" w:hAnsi="Cambria Math" w:cs="Times New Roman"/>
            <w:color w:val="000000"/>
            <w:szCs w:val="24"/>
          </w:rPr>
          <m:t>Z</m:t>
        </m:r>
      </m:oMath>
      <w:r w:rsidRPr="003736F5">
        <w:rPr>
          <w:rFonts w:cs="Times New Roman"/>
          <w:color w:val="000000"/>
          <w:szCs w:val="24"/>
        </w:rPr>
        <w:t xml:space="preserve"> is a matrix of independent variables which may vary over time and firms and </w:t>
      </w:r>
      <m:oMath>
        <m:sSub>
          <m:sSubPr>
            <m:ctrlPr>
              <w:rPr>
                <w:rFonts w:ascii="Cambria Math" w:hAnsi="Cambria Math" w:cs="Times New Roman"/>
                <w:i/>
                <w:color w:val="000000"/>
                <w:szCs w:val="24"/>
              </w:rPr>
            </m:ctrlPr>
          </m:sSubPr>
          <m:e>
            <m:r>
              <w:rPr>
                <w:rFonts w:ascii="Cambria Math" w:hAnsi="Cambria Math" w:cs="Times New Roman"/>
                <w:color w:val="000000"/>
                <w:szCs w:val="24"/>
              </w:rPr>
              <m:t>b</m:t>
            </m:r>
          </m:e>
          <m:sub>
            <m:r>
              <w:rPr>
                <w:rFonts w:ascii="Cambria Math" w:hAnsi="Cambria Math" w:cs="Times New Roman"/>
                <w:color w:val="000000"/>
                <w:szCs w:val="24"/>
              </w:rPr>
              <m:t>i</m:t>
            </m:r>
          </m:sub>
        </m:sSub>
      </m:oMath>
      <w:r w:rsidRPr="003736F5">
        <w:rPr>
          <w:rFonts w:cs="Times New Roman"/>
          <w:color w:val="000000"/>
          <w:szCs w:val="24"/>
        </w:rPr>
        <w:t xml:space="preserve"> is the vector of random effects. </w:t>
      </w:r>
      <w:r w:rsidRPr="003736F5">
        <w:rPr>
          <w:rFonts w:cs="Times New Roman"/>
          <w:i/>
          <w:color w:val="000000"/>
          <w:szCs w:val="24"/>
        </w:rPr>
        <w:t>f(.)</w:t>
      </w:r>
      <w:r w:rsidRPr="003736F5">
        <w:rPr>
          <w:rFonts w:cs="Times New Roman"/>
          <w:color w:val="000000"/>
          <w:szCs w:val="24"/>
        </w:rPr>
        <w:t xml:space="preserve"> contains the same variables as </w:t>
      </w:r>
      <w:r w:rsidRPr="003736F5">
        <w:rPr>
          <w:rFonts w:cs="Times New Roman"/>
          <w:i/>
          <w:color w:val="000000"/>
          <w:szCs w:val="24"/>
        </w:rPr>
        <w:t>Z</w:t>
      </w:r>
      <w:r w:rsidRPr="003736F5">
        <w:rPr>
          <w:rFonts w:cs="Times New Roman"/>
          <w:color w:val="000000"/>
          <w:szCs w:val="24"/>
        </w:rPr>
        <w:t>, although they can differ, which we use to estimate the fixed effects via the decision tree.</w:t>
      </w:r>
    </w:p>
    <w:p w14:paraId="04DDF200" w14:textId="011D5568" w:rsidR="004C660A" w:rsidRPr="003736F5" w:rsidRDefault="004C660A" w:rsidP="00F33A4C">
      <w:pPr>
        <w:rPr>
          <w:rFonts w:cs="Times New Roman"/>
          <w:color w:val="000000"/>
          <w:szCs w:val="24"/>
        </w:rPr>
      </w:pPr>
      <w:r w:rsidRPr="003736F5">
        <w:rPr>
          <w:rFonts w:eastAsia="MS Mincho" w:cs="Times New Roman"/>
          <w:color w:val="000000"/>
        </w:rPr>
        <w:t>W</w:t>
      </w:r>
      <w:r w:rsidRPr="003736F5">
        <w:rPr>
          <w:rFonts w:cs="Times New Roman"/>
          <w:color w:val="000000"/>
        </w:rPr>
        <w:t>ithin</w:t>
      </w:r>
      <w:r w:rsidRPr="003736F5">
        <w:rPr>
          <w:rFonts w:cs="Times New Roman"/>
          <w:i/>
          <w:iCs/>
          <w:color w:val="000000"/>
        </w:rPr>
        <w:t xml:space="preserve"> f(.), </w:t>
      </w:r>
      <w:r w:rsidRPr="003736F5">
        <w:rPr>
          <w:rFonts w:cs="Times New Roman"/>
          <w:color w:val="000000"/>
        </w:rPr>
        <w:t xml:space="preserve">we define </w:t>
      </w:r>
      <m:oMath>
        <m:sSub>
          <m:sSubPr>
            <m:ctrlPr>
              <w:rPr>
                <w:rFonts w:ascii="Cambria Math" w:hAnsi="Cambria Math" w:cs="Times New Roman"/>
                <w:i/>
                <w:color w:val="000000"/>
                <w:szCs w:val="24"/>
              </w:rPr>
            </m:ctrlPr>
          </m:sSubPr>
          <m:e>
            <m:r>
              <w:rPr>
                <w:rFonts w:ascii="Cambria Math" w:hAnsi="Cambria Math" w:cs="Times New Roman"/>
                <w:color w:val="000000"/>
                <w:szCs w:val="24"/>
              </w:rPr>
              <m:t>α</m:t>
            </m:r>
          </m:e>
          <m:sub>
            <m:r>
              <w:rPr>
                <w:rFonts w:ascii="Cambria Math" w:hAnsi="Cambria Math" w:cs="Times New Roman"/>
                <w:color w:val="000000"/>
                <w:szCs w:val="24"/>
              </w:rPr>
              <m:t>it</m:t>
            </m:r>
          </m:sub>
        </m:sSub>
      </m:oMath>
      <w:r w:rsidRPr="003736F5">
        <w:rPr>
          <w:rFonts w:eastAsia="MS Mincho" w:cs="Times New Roman"/>
          <w:color w:val="000000"/>
        </w:rPr>
        <w:t xml:space="preserve"> as</w:t>
      </w:r>
      <w:r w:rsidRPr="003736F5">
        <w:rPr>
          <w:rFonts w:cs="Times New Roman"/>
          <w:color w:val="000000"/>
        </w:rPr>
        <w:t xml:space="preserve"> </w:t>
      </w:r>
      <m:oMath>
        <m:r>
          <w:rPr>
            <w:rFonts w:ascii="Cambria Math" w:eastAsia="MS Mincho" w:hAnsi="Cambria Math" w:cs="Times New Roman"/>
            <w:color w:val="000000"/>
            <w:szCs w:val="24"/>
          </w:rPr>
          <m:t>g</m:t>
        </m:r>
        <m:d>
          <m:dPr>
            <m:ctrlPr>
              <w:rPr>
                <w:rFonts w:ascii="Cambria Math" w:eastAsia="MS Mincho" w:hAnsi="Cambria Math" w:cs="Times New Roman"/>
                <w:i/>
                <w:color w:val="000000"/>
                <w:szCs w:val="24"/>
              </w:rPr>
            </m:ctrlPr>
          </m:dPr>
          <m:e>
            <m:nary>
              <m:naryPr>
                <m:chr m:val="∑"/>
                <m:limLoc m:val="undOvr"/>
                <m:ctrlPr>
                  <w:rPr>
                    <w:rFonts w:ascii="Cambria Math" w:hAnsi="Cambria Math" w:cs="Times New Roman"/>
                    <w:i/>
                    <w:color w:val="000000"/>
                    <w:szCs w:val="24"/>
                  </w:rPr>
                </m:ctrlPr>
              </m:naryPr>
              <m:sub>
                <m:r>
                  <w:rPr>
                    <w:rFonts w:ascii="Cambria Math" w:hAnsi="Cambria Math" w:cs="Times New Roman"/>
                    <w:color w:val="000000"/>
                    <w:szCs w:val="24"/>
                  </w:rPr>
                  <m:t>j=0</m:t>
                </m:r>
              </m:sub>
              <m:sup>
                <m:r>
                  <w:rPr>
                    <w:rFonts w:ascii="Cambria Math" w:hAnsi="Cambria Math" w:cs="Times New Roman"/>
                    <w:color w:val="000000"/>
                    <w:szCs w:val="24"/>
                  </w:rPr>
                  <m:t>4</m:t>
                </m:r>
              </m:sup>
              <m:e>
                <m:d>
                  <m:dPr>
                    <m:ctrlPr>
                      <w:rPr>
                        <w:rFonts w:ascii="Cambria Math" w:hAnsi="Cambria Math" w:cs="Times New Roman"/>
                        <w:i/>
                        <w:color w:val="000000"/>
                        <w:szCs w:val="24"/>
                      </w:rPr>
                    </m:ctrlPr>
                  </m:dPr>
                  <m:e>
                    <m:sSub>
                      <m:sSubPr>
                        <m:ctrlPr>
                          <w:rPr>
                            <w:rFonts w:ascii="Cambria Math" w:hAnsi="Cambria Math" w:cs="Times New Roman"/>
                            <w:i/>
                            <w:color w:val="000000"/>
                            <w:szCs w:val="24"/>
                          </w:rPr>
                        </m:ctrlPr>
                      </m:sSubPr>
                      <m:e>
                        <m:r>
                          <w:rPr>
                            <w:rFonts w:ascii="Cambria Math" w:hAnsi="Cambria Math" w:cs="Times New Roman"/>
                            <w:color w:val="000000"/>
                            <w:szCs w:val="24"/>
                          </w:rPr>
                          <m:t>SBRR</m:t>
                        </m:r>
                      </m:e>
                      <m:sub>
                        <m:r>
                          <w:rPr>
                            <w:rFonts w:ascii="Cambria Math" w:hAnsi="Cambria Math" w:cs="Times New Roman"/>
                            <w:color w:val="000000"/>
                            <w:szCs w:val="24"/>
                          </w:rPr>
                          <m:t>t-j</m:t>
                        </m:r>
                      </m:sub>
                    </m:sSub>
                  </m:e>
                </m:d>
                <m:r>
                  <w:rPr>
                    <w:rFonts w:ascii="Cambria Math" w:hAnsi="Cambria Math" w:cs="Times New Roman"/>
                    <w:color w:val="000000"/>
                    <w:szCs w:val="24"/>
                  </w:rPr>
                  <m:t xml:space="preserve">, </m:t>
                </m:r>
              </m:e>
            </m:nary>
            <m:sSub>
              <m:sSubPr>
                <m:ctrlPr>
                  <w:rPr>
                    <w:rFonts w:ascii="Cambria Math" w:hAnsi="Cambria Math" w:cs="Times New Roman"/>
                    <w:i/>
                    <w:color w:val="000000"/>
                    <w:szCs w:val="24"/>
                  </w:rPr>
                </m:ctrlPr>
              </m:sSubPr>
              <m:e>
                <m:r>
                  <w:rPr>
                    <w:rFonts w:ascii="Cambria Math" w:hAnsi="Cambria Math" w:cs="Times New Roman"/>
                    <w:color w:val="000000"/>
                    <w:szCs w:val="24"/>
                  </w:rPr>
                  <m:t>ρ</m:t>
                </m:r>
              </m:e>
              <m:sub>
                <m:r>
                  <w:rPr>
                    <w:rFonts w:ascii="Cambria Math" w:hAnsi="Cambria Math" w:cs="Times New Roman"/>
                    <w:color w:val="000000"/>
                    <w:szCs w:val="24"/>
                  </w:rPr>
                  <m:t>it</m:t>
                </m:r>
              </m:sub>
            </m:sSub>
            <m:ctrlPr>
              <w:rPr>
                <w:rFonts w:ascii="Cambria Math" w:hAnsi="Cambria Math" w:cs="Times New Roman"/>
                <w:i/>
                <w:color w:val="000000"/>
                <w:szCs w:val="24"/>
              </w:rPr>
            </m:ctrlPr>
          </m:e>
        </m:d>
      </m:oMath>
      <w:r w:rsidRPr="003736F5">
        <w:rPr>
          <w:rFonts w:eastAsia="MS Mincho" w:cs="Times New Roman"/>
          <w:color w:val="000000"/>
        </w:rPr>
        <w:t xml:space="preserve">, </w:t>
      </w:r>
      <w:proofErr w:type="gramStart"/>
      <w:r w:rsidRPr="003736F5">
        <w:rPr>
          <w:rFonts w:eastAsia="MS Mincho" w:cs="Times New Roman"/>
          <w:color w:val="000000"/>
        </w:rPr>
        <w:t>i.e.</w:t>
      </w:r>
      <w:proofErr w:type="gramEnd"/>
      <w:r w:rsidRPr="003736F5">
        <w:rPr>
          <w:rFonts w:cs="Times New Roman"/>
          <w:color w:val="000000"/>
        </w:rPr>
        <w:t xml:space="preserve"> </w:t>
      </w:r>
      <w:r w:rsidRPr="003736F5">
        <w:rPr>
          <w:rFonts w:cs="Times New Roman"/>
          <w:i/>
          <w:iCs/>
          <w:color w:val="000000"/>
        </w:rPr>
        <w:t>SBRR</w:t>
      </w:r>
      <w:r w:rsidRPr="003736F5">
        <w:rPr>
          <w:rFonts w:cs="Times New Roman"/>
          <w:color w:val="000000"/>
        </w:rPr>
        <w:t xml:space="preserve"> and four lags to capture medium-term effects and account for the periodicity of the reliefs. We complement these </w:t>
      </w:r>
      <w:r w:rsidRPr="003736F5">
        <w:rPr>
          <w:rFonts w:cs="Times New Roman"/>
          <w:color w:val="000000"/>
        </w:rPr>
        <w:lastRenderedPageBreak/>
        <w:t xml:space="preserve">variables with the dummy variable </w:t>
      </w:r>
      <m:oMath>
        <m:r>
          <w:rPr>
            <w:rFonts w:ascii="Cambria Math" w:hAnsi="Cambria Math" w:cs="Times New Roman"/>
            <w:color w:val="000000"/>
            <w:szCs w:val="24"/>
          </w:rPr>
          <m:t>ρ</m:t>
        </m:r>
      </m:oMath>
      <w:r w:rsidRPr="003736F5">
        <w:rPr>
          <w:rFonts w:cs="Times New Roman"/>
          <w:color w:val="000000"/>
        </w:rPr>
        <w:t xml:space="preserve"> to capture the initial</w:t>
      </w:r>
      <w:r w:rsidRPr="003736F5">
        <w:rPr>
          <w:rFonts w:cs="Times New Roman"/>
          <w:color w:val="000000"/>
          <w:vertAlign w:val="superscript"/>
        </w:rPr>
        <w:footnoteReference w:id="11"/>
      </w:r>
      <w:r w:rsidRPr="003736F5">
        <w:rPr>
          <w:rFonts w:cs="Times New Roman"/>
          <w:color w:val="000000"/>
        </w:rPr>
        <w:t xml:space="preserve"> effects of receiving any relief or uplift in relief, irrespective of level. </w:t>
      </w:r>
    </w:p>
    <w:p w14:paraId="5199A4AB" w14:textId="78BC07D5" w:rsidR="004C660A" w:rsidRPr="003736F5" w:rsidRDefault="004C660A" w:rsidP="00F33A4C">
      <w:pPr>
        <w:rPr>
          <w:rFonts w:cs="Times New Roman"/>
          <w:color w:val="000000"/>
          <w:szCs w:val="24"/>
        </w:rPr>
      </w:pPr>
      <w:r w:rsidRPr="003736F5">
        <w:rPr>
          <w:rFonts w:cs="Times New Roman"/>
          <w:color w:val="000000"/>
          <w:szCs w:val="24"/>
        </w:rPr>
        <w:t>We include the broad sectors (</w:t>
      </w:r>
      <w:r w:rsidRPr="003736F5">
        <w:rPr>
          <w:rFonts w:cs="Times New Roman"/>
          <w:i/>
          <w:color w:val="000000"/>
          <w:szCs w:val="24"/>
        </w:rPr>
        <w:t>s</w:t>
      </w:r>
      <w:r w:rsidRPr="003736F5">
        <w:rPr>
          <w:rFonts w:cs="Times New Roman"/>
          <w:color w:val="000000"/>
          <w:szCs w:val="24"/>
        </w:rPr>
        <w:t xml:space="preserve">) of wholesale, catering, construction, production, property, retail and other services and foreign ownership. The Office of National Statistics (ONS, 2017) calculates that UK firms receiving foreign investment have 74% higher productivity than </w:t>
      </w:r>
      <w:r w:rsidR="00BC3CCC" w:rsidRPr="003736F5">
        <w:rPr>
          <w:rFonts w:cs="Times New Roman"/>
          <w:color w:val="000000"/>
          <w:szCs w:val="24"/>
        </w:rPr>
        <w:t xml:space="preserve">those </w:t>
      </w:r>
      <w:r w:rsidRPr="003736F5">
        <w:rPr>
          <w:rFonts w:cs="Times New Roman"/>
          <w:color w:val="000000"/>
          <w:szCs w:val="24"/>
        </w:rPr>
        <w:t>which do not. As such</w:t>
      </w:r>
      <w:r w:rsidR="000A34F6" w:rsidRPr="003736F5">
        <w:rPr>
          <w:rFonts w:cs="Times New Roman"/>
          <w:color w:val="000000"/>
          <w:szCs w:val="24"/>
        </w:rPr>
        <w:t>,</w:t>
      </w:r>
      <w:r w:rsidRPr="003736F5">
        <w:rPr>
          <w:rFonts w:cs="Times New Roman"/>
          <w:color w:val="000000"/>
          <w:szCs w:val="24"/>
        </w:rPr>
        <w:t xml:space="preserve"> we include the dummy variable </w:t>
      </w:r>
      <m:oMath>
        <m:r>
          <w:rPr>
            <w:rFonts w:ascii="Cambria Math" w:hAnsi="Cambria Math" w:cs="Times New Roman"/>
            <w:color w:val="000000"/>
            <w:szCs w:val="24"/>
          </w:rPr>
          <m:t>FO</m:t>
        </m:r>
      </m:oMath>
      <w:r w:rsidRPr="003736F5">
        <w:rPr>
          <w:rFonts w:cs="Times New Roman"/>
          <w:color w:val="000000"/>
          <w:szCs w:val="24"/>
        </w:rPr>
        <w:t xml:space="preserve"> that takes </w:t>
      </w:r>
      <w:r w:rsidR="0045020D" w:rsidRPr="003736F5">
        <w:rPr>
          <w:rFonts w:cs="Times New Roman"/>
          <w:color w:val="000000"/>
          <w:szCs w:val="24"/>
        </w:rPr>
        <w:t xml:space="preserve">a value of </w:t>
      </w:r>
      <w:r w:rsidRPr="003736F5">
        <w:rPr>
          <w:rFonts w:cs="Times New Roman"/>
          <w:color w:val="000000"/>
          <w:szCs w:val="24"/>
        </w:rPr>
        <w:t xml:space="preserve">one for firms with a foreign majority owner to account for any systematic effects. In this era of concerns about complex ownership structures and use of complex taxation schemes, we also use the variable </w:t>
      </w:r>
      <m:oMath>
        <m:r>
          <w:rPr>
            <w:rFonts w:ascii="Cambria Math" w:hAnsi="Cambria Math" w:cs="Times New Roman"/>
            <w:color w:val="000000"/>
            <w:szCs w:val="24"/>
          </w:rPr>
          <m:t>IO</m:t>
        </m:r>
      </m:oMath>
      <w:r w:rsidRPr="003736F5">
        <w:rPr>
          <w:rFonts w:cs="Times New Roman"/>
          <w:color w:val="000000"/>
          <w:szCs w:val="24"/>
        </w:rPr>
        <w:t xml:space="preserve"> to denote a foreign country registration of the firm’s immediate parent firm, as also employed by the ONS. This can be different from </w:t>
      </w:r>
      <m:oMath>
        <m:r>
          <w:rPr>
            <w:rFonts w:ascii="Cambria Math" w:hAnsi="Cambria Math" w:cs="Times New Roman"/>
            <w:color w:val="000000"/>
            <w:szCs w:val="24"/>
          </w:rPr>
          <m:t>FO,</m:t>
        </m:r>
      </m:oMath>
      <w:r w:rsidRPr="003736F5">
        <w:rPr>
          <w:rFonts w:cs="Times New Roman"/>
          <w:color w:val="000000"/>
          <w:szCs w:val="24"/>
        </w:rPr>
        <w:t xml:space="preserve"> which denotes the ultimate country of the owner. </w:t>
      </w:r>
    </w:p>
    <w:p w14:paraId="0E4F1695" w14:textId="77777777" w:rsidR="004C660A" w:rsidRPr="003736F5" w:rsidRDefault="004C660A" w:rsidP="00F33A4C">
      <w:pPr>
        <w:rPr>
          <w:rFonts w:cs="Times New Roman"/>
          <w:color w:val="000000"/>
          <w:szCs w:val="24"/>
        </w:rPr>
      </w:pPr>
      <w:r w:rsidRPr="003736F5">
        <w:rPr>
          <w:rFonts w:cs="Times New Roman"/>
          <w:color w:val="000000"/>
        </w:rPr>
        <w:t>We also control for firm age (</w:t>
      </w:r>
      <w:r w:rsidRPr="003736F5">
        <w:rPr>
          <w:rFonts w:cs="Times New Roman"/>
          <w:i/>
          <w:iCs/>
          <w:color w:val="000000"/>
        </w:rPr>
        <w:t>a</w:t>
      </w:r>
      <w:r w:rsidRPr="003736F5">
        <w:rPr>
          <w:rFonts w:cs="Times New Roman"/>
          <w:color w:val="000000"/>
        </w:rPr>
        <w:t>), whether it is high growth (</w:t>
      </w:r>
      <w:r w:rsidRPr="003736F5">
        <w:rPr>
          <w:rFonts w:cs="Times New Roman"/>
          <w:i/>
          <w:iCs/>
          <w:color w:val="000000"/>
        </w:rPr>
        <w:t>HGF</w:t>
      </w:r>
      <w:r w:rsidRPr="003736F5">
        <w:rPr>
          <w:rFonts w:cs="Times New Roman"/>
          <w:color w:val="000000"/>
        </w:rPr>
        <w:t>) and Research and Development (</w:t>
      </w:r>
      <w:r w:rsidRPr="003736F5">
        <w:rPr>
          <w:rFonts w:cs="Times New Roman"/>
          <w:i/>
          <w:iCs/>
          <w:color w:val="000000"/>
        </w:rPr>
        <w:t>R&amp;D</w:t>
      </w:r>
      <w:r w:rsidRPr="003736F5">
        <w:rPr>
          <w:rFonts w:cs="Times New Roman"/>
          <w:color w:val="000000"/>
        </w:rPr>
        <w:t>) active. Since the pioneering work of Griliches (1979), productivity models</w:t>
      </w:r>
      <w:r w:rsidRPr="003736F5">
        <w:rPr>
          <w:rStyle w:val="FootnoteReference"/>
          <w:rFonts w:cs="Times New Roman"/>
          <w:color w:val="000000"/>
        </w:rPr>
        <w:footnoteReference w:id="12"/>
      </w:r>
      <w:r w:rsidRPr="003736F5">
        <w:rPr>
          <w:rFonts w:cs="Times New Roman"/>
          <w:color w:val="000000"/>
        </w:rPr>
        <w:t xml:space="preserve"> have considered technological spillovers to be a side product of R&amp;D activities, as such we control for whether a firm intends to undertake R&amp;D within the next two years. </w:t>
      </w:r>
    </w:p>
    <w:p w14:paraId="0B21F92C" w14:textId="77777777" w:rsidR="004C660A" w:rsidRPr="003736F5" w:rsidRDefault="004C660A" w:rsidP="00F33A4C">
      <w:pPr>
        <w:rPr>
          <w:rFonts w:cs="Times New Roman"/>
          <w:color w:val="000000"/>
          <w:szCs w:val="24"/>
        </w:rPr>
      </w:pPr>
      <w:r w:rsidRPr="003736F5">
        <w:rPr>
          <w:rFonts w:cs="Times New Roman"/>
          <w:i/>
          <w:color w:val="000000"/>
          <w:szCs w:val="24"/>
        </w:rPr>
        <w:t>HGF</w:t>
      </w:r>
      <w:r w:rsidRPr="003736F5">
        <w:rPr>
          <w:rFonts w:cs="Times New Roman"/>
          <w:color w:val="000000"/>
          <w:szCs w:val="24"/>
        </w:rPr>
        <w:t xml:space="preserve"> is a dummy taking the value of one in the years </w:t>
      </w:r>
      <w:r w:rsidR="00BC3CCC" w:rsidRPr="003736F5">
        <w:rPr>
          <w:rFonts w:cs="Times New Roman"/>
          <w:color w:val="000000"/>
          <w:szCs w:val="24"/>
        </w:rPr>
        <w:t xml:space="preserve">in which </w:t>
      </w:r>
      <w:r w:rsidRPr="003736F5">
        <w:rPr>
          <w:rFonts w:cs="Times New Roman"/>
          <w:color w:val="000000"/>
          <w:szCs w:val="24"/>
        </w:rPr>
        <w:t>a firm meets the Eurostat-OECD (2007) definition, namely average annuali</w:t>
      </w:r>
      <w:r w:rsidR="00A100F2" w:rsidRPr="003736F5">
        <w:rPr>
          <w:rFonts w:cs="Times New Roman"/>
          <w:color w:val="000000"/>
          <w:szCs w:val="24"/>
        </w:rPr>
        <w:t>s</w:t>
      </w:r>
      <w:r w:rsidRPr="003736F5">
        <w:rPr>
          <w:rFonts w:cs="Times New Roman"/>
          <w:color w:val="000000"/>
          <w:szCs w:val="24"/>
        </w:rPr>
        <w:t>ed growth in employment greater than 20% per annum, over a three-year period with initial employment not lower than ten.</w:t>
      </w:r>
    </w:p>
    <w:p w14:paraId="3160B273" w14:textId="707D6963" w:rsidR="004C660A" w:rsidRPr="003736F5" w:rsidRDefault="6D34E8CA" w:rsidP="00F33A4C">
      <w:pPr>
        <w:rPr>
          <w:rFonts w:cs="Times New Roman"/>
          <w:color w:val="000000"/>
        </w:rPr>
      </w:pPr>
      <w:r w:rsidRPr="003736F5">
        <w:rPr>
          <w:rFonts w:cs="Times New Roman"/>
          <w:color w:val="000000"/>
        </w:rPr>
        <w:t xml:space="preserve">Beyond firm level effects, we explore important national, </w:t>
      </w:r>
      <w:proofErr w:type="gramStart"/>
      <w:r w:rsidRPr="003736F5">
        <w:rPr>
          <w:rFonts w:cs="Times New Roman"/>
          <w:color w:val="000000"/>
        </w:rPr>
        <w:t>regional</w:t>
      </w:r>
      <w:proofErr w:type="gramEnd"/>
      <w:r w:rsidRPr="003736F5">
        <w:rPr>
          <w:rFonts w:cs="Times New Roman"/>
          <w:color w:val="000000"/>
        </w:rPr>
        <w:t xml:space="preserve"> and small (two-digit postcode) location and industry specific effects. We include the regions and nations (</w:t>
      </w:r>
      <w:r w:rsidRPr="003736F5">
        <w:rPr>
          <w:rFonts w:cs="Times New Roman"/>
          <w:i/>
          <w:iCs/>
          <w:color w:val="000000"/>
        </w:rPr>
        <w:t>r</w:t>
      </w:r>
      <w:r w:rsidRPr="003736F5">
        <w:rPr>
          <w:rFonts w:cs="Times New Roman"/>
          <w:color w:val="000000"/>
        </w:rPr>
        <w:t xml:space="preserve">) of Wales, Scotland, </w:t>
      </w:r>
      <w:proofErr w:type="gramStart"/>
      <w:r w:rsidRPr="003736F5">
        <w:rPr>
          <w:rFonts w:cs="Times New Roman"/>
          <w:color w:val="000000"/>
        </w:rPr>
        <w:t>North East</w:t>
      </w:r>
      <w:proofErr w:type="gramEnd"/>
      <w:r w:rsidRPr="003736F5">
        <w:rPr>
          <w:rFonts w:cs="Times New Roman"/>
          <w:color w:val="000000"/>
        </w:rPr>
        <w:t xml:space="preserve">, North West, Yorkshire and Humberside, East of England, East </w:t>
      </w:r>
      <w:r w:rsidRPr="003736F5">
        <w:rPr>
          <w:rFonts w:cs="Times New Roman"/>
          <w:color w:val="000000"/>
        </w:rPr>
        <w:lastRenderedPageBreak/>
        <w:t>Midlands, West Midlands, London, South East and South to control for fixed location effects. Given our access to detailed firm-level microdata, we</w:t>
      </w:r>
      <w:r w:rsidR="001C1B91" w:rsidRPr="003736F5">
        <w:rPr>
          <w:rFonts w:cs="Times New Roman"/>
          <w:color w:val="000000"/>
        </w:rPr>
        <w:t xml:space="preserve"> </w:t>
      </w:r>
      <w:r w:rsidRPr="003736F5">
        <w:rPr>
          <w:rFonts w:cs="Times New Roman"/>
          <w:color w:val="000000"/>
        </w:rPr>
        <w:t>include finer spatial</w:t>
      </w:r>
      <w:r w:rsidR="001C1B91" w:rsidRPr="003736F5">
        <w:rPr>
          <w:rFonts w:cs="Times New Roman"/>
          <w:color w:val="000000"/>
        </w:rPr>
        <w:t xml:space="preserve"> and</w:t>
      </w:r>
      <w:r w:rsidRPr="003736F5">
        <w:rPr>
          <w:rFonts w:cs="Times New Roman"/>
          <w:color w:val="000000"/>
        </w:rPr>
        <w:t xml:space="preserve"> time-varying indices for Jacob production diversity (</w:t>
      </w:r>
      <w:r w:rsidRPr="003736F5">
        <w:rPr>
          <w:rFonts w:cs="Times New Roman"/>
          <w:i/>
          <w:iCs/>
          <w:color w:val="000000"/>
        </w:rPr>
        <w:t>PD</w:t>
      </w:r>
      <w:r w:rsidRPr="003736F5">
        <w:rPr>
          <w:rFonts w:cs="Times New Roman"/>
          <w:color w:val="000000"/>
        </w:rPr>
        <w:t>) and Marshall production speciali</w:t>
      </w:r>
      <w:r w:rsidR="00A100F2" w:rsidRPr="003736F5">
        <w:rPr>
          <w:rFonts w:cs="Times New Roman"/>
          <w:color w:val="000000"/>
        </w:rPr>
        <w:t>s</w:t>
      </w:r>
      <w:r w:rsidRPr="003736F5">
        <w:rPr>
          <w:rFonts w:cs="Times New Roman"/>
          <w:color w:val="000000"/>
        </w:rPr>
        <w:t>ation (</w:t>
      </w:r>
      <w:r w:rsidRPr="003736F5">
        <w:rPr>
          <w:rFonts w:cs="Times New Roman"/>
          <w:i/>
          <w:iCs/>
          <w:color w:val="000000"/>
        </w:rPr>
        <w:t>PS),</w:t>
      </w:r>
      <w:r w:rsidRPr="003736F5">
        <w:rPr>
          <w:rFonts w:cs="Times New Roman"/>
          <w:color w:val="000000"/>
        </w:rPr>
        <w:t xml:space="preserve"> within small two-digit postcode areas, relative to national SIC (2003) two-digit industry output. Finally, we control for industry concentration at the national level via a Herfindahl-Hirschman Index (HHI).</w:t>
      </w:r>
    </w:p>
    <w:p w14:paraId="55F20D6B" w14:textId="28C6F383" w:rsidR="007249EE" w:rsidRPr="003736F5" w:rsidRDefault="76815306" w:rsidP="00F33A4C">
      <w:pPr>
        <w:rPr>
          <w:rFonts w:cs="Times New Roman"/>
          <w:color w:val="000000"/>
        </w:rPr>
      </w:pPr>
      <w:r w:rsidRPr="003736F5">
        <w:rPr>
          <w:rFonts w:cs="Times New Roman"/>
          <w:color w:val="000000" w:themeColor="text1"/>
        </w:rPr>
        <w:t>Various specifications of these indexes may influence the results and their interpretation. In terms of PS and PD, we wanted to ensure that the measures complement each other and can coexist in one equation. Thus, we follow the specification of Modrego et al. (2015), who derive PS as region and sector-specific, whilst PD as region-specific, enabling them to coexist (Van der Panne, 2004). In terms of HHI, we followed the commonly applied design (e.g., in Fairlie et al., 2022), which estimates HHI by squaring each firm's market share and then summing the resulting numbers.</w:t>
      </w:r>
    </w:p>
    <w:p w14:paraId="65AAB8B9" w14:textId="225FF2CB" w:rsidR="004C660A" w:rsidRPr="003736F5" w:rsidRDefault="004C660A" w:rsidP="00F33A4C">
      <w:pPr>
        <w:rPr>
          <w:rFonts w:cs="Times New Roman"/>
          <w:color w:val="000000"/>
          <w:szCs w:val="24"/>
        </w:rPr>
      </w:pPr>
      <w:r w:rsidRPr="003736F5">
        <w:rPr>
          <w:rFonts w:cs="Times New Roman"/>
          <w:color w:val="000000"/>
          <w:szCs w:val="24"/>
        </w:rPr>
        <w:t>The PS index captures relative industrial clustering effects. For example, the agglomeration may enable the creation of better labour pools, supplier services or the spillover of incremental process and product innovations. SBRR may interact with these local factors by reducing the assumed financial barriers to adoption or creation of incremental changes. That said, we may also observe increased competition for specific types of premises and a more rapid capitali</w:t>
      </w:r>
      <w:r w:rsidR="00A100F2" w:rsidRPr="003736F5">
        <w:rPr>
          <w:rFonts w:cs="Times New Roman"/>
          <w:color w:val="000000"/>
          <w:szCs w:val="24"/>
        </w:rPr>
        <w:t>s</w:t>
      </w:r>
      <w:r w:rsidRPr="003736F5">
        <w:rPr>
          <w:rFonts w:cs="Times New Roman"/>
          <w:color w:val="000000"/>
          <w:szCs w:val="24"/>
        </w:rPr>
        <w:t xml:space="preserve">ation of any tax reliefs. </w:t>
      </w:r>
    </w:p>
    <w:p w14:paraId="617D6DF7" w14:textId="510B8022" w:rsidR="004C660A" w:rsidRPr="003736F5" w:rsidRDefault="004C660A" w:rsidP="00F33A4C">
      <w:pPr>
        <w:rPr>
          <w:rFonts w:eastAsia="Times New Roman" w:cs="Times New Roman"/>
          <w:color w:val="000000"/>
          <w:szCs w:val="24"/>
          <w:lang w:val="en-US"/>
        </w:rPr>
      </w:pPr>
      <w:r w:rsidRPr="003736F5">
        <w:rPr>
          <w:rFonts w:cs="Times New Roman"/>
          <w:color w:val="000000"/>
          <w:szCs w:val="24"/>
        </w:rPr>
        <w:t>We calculate the PS index in line with</w:t>
      </w:r>
      <w:r w:rsidR="00FD7049" w:rsidRPr="003736F5">
        <w:rPr>
          <w:rFonts w:cs="Times New Roman"/>
        </w:rPr>
        <w:t xml:space="preserve"> </w:t>
      </w:r>
      <w:r w:rsidR="00FD7049" w:rsidRPr="003736F5">
        <w:rPr>
          <w:rFonts w:cs="Times New Roman"/>
          <w:color w:val="000000"/>
          <w:szCs w:val="24"/>
        </w:rPr>
        <w:t>Modrego et al. (2015),</w:t>
      </w:r>
      <w:r w:rsidRPr="003736F5">
        <w:rPr>
          <w:rFonts w:cs="Times New Roman"/>
          <w:color w:val="000000"/>
          <w:szCs w:val="24"/>
        </w:rPr>
        <w:t xml:space="preserve"> Feldman and Audretsch (1999) and Paci and Usai (1999)</w:t>
      </w:r>
      <w:r w:rsidR="009B79B5" w:rsidRPr="003736F5">
        <w:rPr>
          <w:rFonts w:cs="Times New Roman"/>
          <w:color w:val="000000"/>
          <w:szCs w:val="24"/>
        </w:rPr>
        <w:t>.</w:t>
      </w:r>
      <w:r w:rsidR="001C1B91" w:rsidRPr="003736F5">
        <w:rPr>
          <w:rStyle w:val="FootnoteReference"/>
          <w:rFonts w:cs="Times New Roman"/>
          <w:color w:val="000000"/>
          <w:szCs w:val="24"/>
        </w:rPr>
        <w:footnoteReference w:id="13"/>
      </w:r>
      <w:r w:rsidRPr="003736F5">
        <w:rPr>
          <w:rFonts w:cs="Times New Roman"/>
          <w:color w:val="000000"/>
          <w:szCs w:val="24"/>
        </w:rPr>
        <w:t xml:space="preserve"> However, our detailed data enables us to enhance the accuracy of </w:t>
      </w:r>
      <w:r w:rsidRPr="003736F5">
        <w:rPr>
          <w:rFonts w:cs="Times New Roman"/>
          <w:color w:val="000000"/>
          <w:szCs w:val="24"/>
        </w:rPr>
        <w:lastRenderedPageBreak/>
        <w:t xml:space="preserve">the index by using firm turnover rather than employment to create the index. This produces a less noisy control for </w:t>
      </w:r>
      <w:r w:rsidR="001C1B91" w:rsidRPr="003736F5">
        <w:rPr>
          <w:rFonts w:cs="Times New Roman"/>
          <w:color w:val="000000"/>
        </w:rPr>
        <w:t xml:space="preserve">productivity </w:t>
      </w:r>
      <w:r w:rsidRPr="003736F5">
        <w:rPr>
          <w:rFonts w:cs="Times New Roman"/>
          <w:color w:val="000000"/>
          <w:szCs w:val="24"/>
        </w:rPr>
        <w:t xml:space="preserve">than employment and a </w:t>
      </w:r>
      <w:r w:rsidR="00D47136" w:rsidRPr="003736F5">
        <w:rPr>
          <w:rFonts w:cs="Times New Roman"/>
          <w:color w:val="000000"/>
          <w:szCs w:val="24"/>
        </w:rPr>
        <w:t xml:space="preserve">far </w:t>
      </w:r>
      <w:r w:rsidRPr="003736F5">
        <w:rPr>
          <w:rFonts w:cs="Times New Roman"/>
          <w:color w:val="000000"/>
          <w:szCs w:val="24"/>
        </w:rPr>
        <w:t>more accurate perspective on the concentration and value of activity. The index is:</w:t>
      </w:r>
    </w:p>
    <w:p w14:paraId="23F097FD" w14:textId="5D50CF41" w:rsidR="004C660A" w:rsidRPr="003736F5" w:rsidRDefault="003736F5" w:rsidP="00F33A4C">
      <w:pPr>
        <w:rPr>
          <w:rFonts w:cs="Times New Roman"/>
          <w:color w:val="000000"/>
          <w:szCs w:val="24"/>
        </w:rPr>
      </w:pPr>
      <m:oMath>
        <m:sSub>
          <m:sSubPr>
            <m:ctrlPr>
              <w:rPr>
                <w:rFonts w:ascii="Cambria Math" w:hAnsi="Cambria Math" w:cs="Times New Roman"/>
                <w:i/>
                <w:iCs/>
                <w:color w:val="000000"/>
                <w:szCs w:val="24"/>
              </w:rPr>
            </m:ctrlPr>
          </m:sSubPr>
          <m:e>
            <m:r>
              <w:rPr>
                <w:rFonts w:ascii="Cambria Math" w:hAnsi="Cambria Math" w:cs="Times New Roman"/>
                <w:color w:val="000000"/>
                <w:szCs w:val="24"/>
              </w:rPr>
              <m:t>PS</m:t>
            </m:r>
          </m:e>
          <m:sub>
            <m:r>
              <w:rPr>
                <w:rFonts w:ascii="Cambria Math" w:hAnsi="Cambria Math" w:cs="Times New Roman"/>
                <w:color w:val="000000"/>
                <w:szCs w:val="24"/>
              </w:rPr>
              <m:t>i,j</m:t>
            </m:r>
          </m:sub>
        </m:sSub>
        <m:r>
          <w:rPr>
            <w:rFonts w:ascii="Cambria Math" w:hAnsi="Cambria Math" w:cs="Times New Roman"/>
            <w:color w:val="000000"/>
            <w:szCs w:val="24"/>
          </w:rPr>
          <m:t>=</m:t>
        </m:r>
        <m:f>
          <m:fPr>
            <m:ctrlPr>
              <w:rPr>
                <w:rFonts w:ascii="Cambria Math" w:hAnsi="Cambria Math" w:cs="Times New Roman"/>
                <w:i/>
                <w:iCs/>
                <w:color w:val="000000"/>
                <w:szCs w:val="24"/>
              </w:rPr>
            </m:ctrlPr>
          </m:fPr>
          <m:num>
            <m:f>
              <m:fPr>
                <m:type m:val="skw"/>
                <m:ctrlPr>
                  <w:rPr>
                    <w:rFonts w:ascii="Cambria Math" w:hAnsi="Cambria Math" w:cs="Times New Roman"/>
                    <w:i/>
                    <w:iCs/>
                    <w:color w:val="000000"/>
                    <w:szCs w:val="24"/>
                  </w:rPr>
                </m:ctrlPr>
              </m:fPr>
              <m:num>
                <m:sSub>
                  <m:sSubPr>
                    <m:ctrlPr>
                      <w:rPr>
                        <w:rFonts w:ascii="Cambria Math" w:hAnsi="Cambria Math" w:cs="Times New Roman"/>
                        <w:i/>
                        <w:iCs/>
                        <w:color w:val="000000"/>
                        <w:szCs w:val="24"/>
                      </w:rPr>
                    </m:ctrlPr>
                  </m:sSubPr>
                  <m:e>
                    <m:r>
                      <w:rPr>
                        <w:rFonts w:ascii="Cambria Math" w:hAnsi="Cambria Math" w:cs="Times New Roman"/>
                        <w:color w:val="000000"/>
                        <w:szCs w:val="24"/>
                      </w:rPr>
                      <m:t>T</m:t>
                    </m:r>
                  </m:e>
                  <m:sub>
                    <m:r>
                      <w:rPr>
                        <w:rFonts w:ascii="Cambria Math" w:hAnsi="Cambria Math" w:cs="Times New Roman"/>
                        <w:color w:val="000000"/>
                        <w:szCs w:val="24"/>
                      </w:rPr>
                      <m:t>ij</m:t>
                    </m:r>
                  </m:sub>
                </m:sSub>
              </m:num>
              <m:den>
                <m:nary>
                  <m:naryPr>
                    <m:chr m:val="∑"/>
                    <m:limLoc m:val="undOvr"/>
                    <m:supHide m:val="1"/>
                    <m:ctrlPr>
                      <w:rPr>
                        <w:rFonts w:ascii="Cambria Math" w:hAnsi="Cambria Math" w:cs="Times New Roman"/>
                        <w:i/>
                        <w:iCs/>
                        <w:color w:val="000000"/>
                        <w:szCs w:val="24"/>
                      </w:rPr>
                    </m:ctrlPr>
                  </m:naryPr>
                  <m:sub>
                    <m:r>
                      <w:rPr>
                        <w:rFonts w:ascii="Cambria Math" w:hAnsi="Cambria Math" w:cs="Times New Roman"/>
                        <w:color w:val="000000"/>
                        <w:szCs w:val="24"/>
                      </w:rPr>
                      <m:t>i</m:t>
                    </m:r>
                  </m:sub>
                  <m:sup/>
                  <m:e>
                    <m:sSub>
                      <m:sSubPr>
                        <m:ctrlPr>
                          <w:rPr>
                            <w:rFonts w:ascii="Cambria Math" w:hAnsi="Cambria Math" w:cs="Times New Roman"/>
                            <w:i/>
                            <w:iCs/>
                            <w:color w:val="000000"/>
                            <w:szCs w:val="24"/>
                          </w:rPr>
                        </m:ctrlPr>
                      </m:sSubPr>
                      <m:e>
                        <m:r>
                          <w:rPr>
                            <w:rFonts w:ascii="Cambria Math" w:hAnsi="Cambria Math" w:cs="Times New Roman"/>
                            <w:color w:val="000000"/>
                            <w:szCs w:val="24"/>
                          </w:rPr>
                          <m:t>T</m:t>
                        </m:r>
                      </m:e>
                      <m:sub>
                        <m:r>
                          <w:rPr>
                            <w:rFonts w:ascii="Cambria Math" w:hAnsi="Cambria Math" w:cs="Times New Roman"/>
                            <w:color w:val="000000"/>
                            <w:szCs w:val="24"/>
                          </w:rPr>
                          <m:t>ij</m:t>
                        </m:r>
                      </m:sub>
                    </m:sSub>
                  </m:e>
                </m:nary>
              </m:den>
            </m:f>
          </m:num>
          <m:den>
            <m:f>
              <m:fPr>
                <m:type m:val="skw"/>
                <m:ctrlPr>
                  <w:rPr>
                    <w:rFonts w:ascii="Cambria Math" w:hAnsi="Cambria Math" w:cs="Times New Roman"/>
                    <w:i/>
                    <w:iCs/>
                    <w:color w:val="000000"/>
                    <w:szCs w:val="24"/>
                  </w:rPr>
                </m:ctrlPr>
              </m:fPr>
              <m:num>
                <m:nary>
                  <m:naryPr>
                    <m:chr m:val="∑"/>
                    <m:limLoc m:val="subSup"/>
                    <m:supHide m:val="1"/>
                    <m:ctrlPr>
                      <w:rPr>
                        <w:rFonts w:ascii="Cambria Math" w:hAnsi="Cambria Math" w:cs="Times New Roman"/>
                        <w:i/>
                        <w:iCs/>
                        <w:color w:val="000000"/>
                        <w:szCs w:val="24"/>
                      </w:rPr>
                    </m:ctrlPr>
                  </m:naryPr>
                  <m:sub>
                    <m:r>
                      <w:rPr>
                        <w:rFonts w:ascii="Cambria Math" w:hAnsi="Cambria Math" w:cs="Times New Roman"/>
                        <w:color w:val="000000"/>
                        <w:szCs w:val="24"/>
                      </w:rPr>
                      <m:t>j</m:t>
                    </m:r>
                  </m:sub>
                  <m:sup/>
                  <m:e>
                    <m:sSub>
                      <m:sSubPr>
                        <m:ctrlPr>
                          <w:rPr>
                            <w:rFonts w:ascii="Cambria Math" w:hAnsi="Cambria Math" w:cs="Times New Roman"/>
                            <w:i/>
                            <w:iCs/>
                            <w:color w:val="000000"/>
                            <w:szCs w:val="24"/>
                          </w:rPr>
                        </m:ctrlPr>
                      </m:sSubPr>
                      <m:e>
                        <m:r>
                          <w:rPr>
                            <w:rFonts w:ascii="Cambria Math" w:hAnsi="Cambria Math" w:cs="Times New Roman"/>
                            <w:color w:val="000000"/>
                            <w:szCs w:val="24"/>
                          </w:rPr>
                          <m:t>T</m:t>
                        </m:r>
                      </m:e>
                      <m:sub>
                        <m:r>
                          <w:rPr>
                            <w:rFonts w:ascii="Cambria Math" w:hAnsi="Cambria Math" w:cs="Times New Roman"/>
                            <w:color w:val="000000"/>
                            <w:szCs w:val="24"/>
                          </w:rPr>
                          <m:t>ij</m:t>
                        </m:r>
                      </m:sub>
                    </m:sSub>
                  </m:e>
                </m:nary>
              </m:num>
              <m:den>
                <m:nary>
                  <m:naryPr>
                    <m:chr m:val="∑"/>
                    <m:limLoc m:val="undOvr"/>
                    <m:supHide m:val="1"/>
                    <m:ctrlPr>
                      <w:rPr>
                        <w:rFonts w:ascii="Cambria Math" w:hAnsi="Cambria Math" w:cs="Times New Roman"/>
                        <w:i/>
                        <w:iCs/>
                        <w:color w:val="000000"/>
                        <w:szCs w:val="24"/>
                      </w:rPr>
                    </m:ctrlPr>
                  </m:naryPr>
                  <m:sub>
                    <m:r>
                      <w:rPr>
                        <w:rFonts w:ascii="Cambria Math" w:hAnsi="Cambria Math" w:cs="Times New Roman"/>
                        <w:color w:val="000000"/>
                        <w:szCs w:val="24"/>
                      </w:rPr>
                      <m:t>i</m:t>
                    </m:r>
                  </m:sub>
                  <m:sup/>
                  <m:e>
                    <m:nary>
                      <m:naryPr>
                        <m:chr m:val="∑"/>
                        <m:limLoc m:val="undOvr"/>
                        <m:supHide m:val="1"/>
                        <m:ctrlPr>
                          <w:rPr>
                            <w:rFonts w:ascii="Cambria Math" w:hAnsi="Cambria Math" w:cs="Times New Roman"/>
                            <w:i/>
                            <w:iCs/>
                            <w:color w:val="000000"/>
                            <w:szCs w:val="24"/>
                          </w:rPr>
                        </m:ctrlPr>
                      </m:naryPr>
                      <m:sub>
                        <m:r>
                          <w:rPr>
                            <w:rFonts w:ascii="Cambria Math" w:hAnsi="Cambria Math" w:cs="Times New Roman"/>
                            <w:color w:val="000000"/>
                            <w:szCs w:val="24"/>
                          </w:rPr>
                          <m:t>j</m:t>
                        </m:r>
                      </m:sub>
                      <m:sup/>
                      <m:e>
                        <m:sSub>
                          <m:sSubPr>
                            <m:ctrlPr>
                              <w:rPr>
                                <w:rFonts w:ascii="Cambria Math" w:hAnsi="Cambria Math" w:cs="Times New Roman"/>
                                <w:i/>
                                <w:iCs/>
                                <w:color w:val="000000"/>
                                <w:szCs w:val="24"/>
                              </w:rPr>
                            </m:ctrlPr>
                          </m:sSubPr>
                          <m:e>
                            <m:r>
                              <w:rPr>
                                <w:rFonts w:ascii="Cambria Math" w:hAnsi="Cambria Math" w:cs="Times New Roman"/>
                                <w:color w:val="000000"/>
                                <w:szCs w:val="24"/>
                              </w:rPr>
                              <m:t>T</m:t>
                            </m:r>
                          </m:e>
                          <m:sub>
                            <m:r>
                              <w:rPr>
                                <w:rFonts w:ascii="Cambria Math" w:hAnsi="Cambria Math" w:cs="Times New Roman"/>
                                <w:color w:val="000000"/>
                                <w:szCs w:val="24"/>
                              </w:rPr>
                              <m:t>ij</m:t>
                            </m:r>
                          </m:sub>
                        </m:sSub>
                      </m:e>
                    </m:nary>
                  </m:e>
                </m:nary>
              </m:den>
            </m:f>
          </m:den>
        </m:f>
      </m:oMath>
      <w:r w:rsidR="004C660A" w:rsidRPr="003736F5">
        <w:rPr>
          <w:rFonts w:cs="Times New Roman"/>
          <w:color w:val="000000"/>
          <w:szCs w:val="24"/>
        </w:rPr>
        <w:t xml:space="preserve"> ,</w:t>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t>(4)</w:t>
      </w:r>
    </w:p>
    <w:p w14:paraId="60039708" w14:textId="77777777" w:rsidR="004C660A" w:rsidRPr="003736F5" w:rsidRDefault="004C660A" w:rsidP="00F33A4C">
      <w:pPr>
        <w:rPr>
          <w:rFonts w:cs="Times New Roman"/>
          <w:color w:val="000000"/>
        </w:rPr>
      </w:pPr>
      <w:r w:rsidRPr="003736F5">
        <w:rPr>
          <w:rFonts w:cs="Times New Roman"/>
          <w:color w:val="000000"/>
        </w:rPr>
        <w:t>where</w:t>
      </w:r>
      <w:r w:rsidRPr="003736F5">
        <w:rPr>
          <w:rFonts w:cs="Times New Roman"/>
          <w:i/>
          <w:iCs/>
          <w:color w:val="000000"/>
        </w:rPr>
        <w:t xml:space="preserve"> T</w:t>
      </w:r>
      <w:r w:rsidRPr="003736F5">
        <w:rPr>
          <w:rFonts w:cs="Times New Roman"/>
          <w:color w:val="000000"/>
        </w:rPr>
        <w:t xml:space="preserve"> is industry</w:t>
      </w:r>
      <w:r w:rsidRPr="003736F5">
        <w:rPr>
          <w:rFonts w:cs="Times New Roman"/>
          <w:i/>
          <w:iCs/>
          <w:color w:val="000000"/>
        </w:rPr>
        <w:t xml:space="preserve"> i</w:t>
      </w:r>
      <w:r w:rsidRPr="003736F5">
        <w:rPr>
          <w:rFonts w:cs="Times New Roman"/>
          <w:color w:val="000000"/>
        </w:rPr>
        <w:t xml:space="preserve"> turnover in area </w:t>
      </w:r>
      <w:r w:rsidRPr="003736F5">
        <w:rPr>
          <w:rFonts w:cs="Times New Roman"/>
          <w:i/>
          <w:iCs/>
          <w:color w:val="000000"/>
        </w:rPr>
        <w:t>j</w:t>
      </w:r>
      <w:r w:rsidRPr="003736F5">
        <w:rPr>
          <w:rFonts w:cs="Times New Roman"/>
          <w:color w:val="000000"/>
        </w:rPr>
        <w:t>. We calculate the turnover of a given industry (</w:t>
      </w:r>
      <w:r w:rsidRPr="003736F5">
        <w:rPr>
          <w:rFonts w:cs="Times New Roman"/>
          <w:i/>
          <w:iCs/>
          <w:color w:val="000000"/>
        </w:rPr>
        <w:t>i</w:t>
      </w:r>
      <w:r w:rsidRPr="003736F5">
        <w:rPr>
          <w:rFonts w:cs="Times New Roman"/>
          <w:color w:val="000000"/>
        </w:rPr>
        <w:t>) in an area (</w:t>
      </w:r>
      <w:r w:rsidRPr="003736F5">
        <w:rPr>
          <w:rFonts w:cs="Times New Roman"/>
          <w:i/>
          <w:iCs/>
          <w:color w:val="000000"/>
        </w:rPr>
        <w:t>j</w:t>
      </w:r>
      <w:r w:rsidRPr="003736F5">
        <w:rPr>
          <w:rFonts w:cs="Times New Roman"/>
          <w:color w:val="000000"/>
        </w:rPr>
        <w:t xml:space="preserve">) as a proportion of all </w:t>
      </w:r>
      <w:proofErr w:type="gramStart"/>
      <w:r w:rsidRPr="003736F5">
        <w:rPr>
          <w:rFonts w:cs="Times New Roman"/>
          <w:color w:val="000000"/>
        </w:rPr>
        <w:t>turnover</w:t>
      </w:r>
      <w:proofErr w:type="gramEnd"/>
      <w:r w:rsidRPr="003736F5">
        <w:rPr>
          <w:rFonts w:cs="Times New Roman"/>
          <w:color w:val="000000"/>
        </w:rPr>
        <w:t xml:space="preserve"> in that area and then place it in relation to national turnover from the same industry as a proportion of national turnover. </w:t>
      </w:r>
    </w:p>
    <w:p w14:paraId="04C5EABF" w14:textId="13610A44" w:rsidR="004C660A" w:rsidRPr="003736F5" w:rsidRDefault="004C660A" w:rsidP="00F33A4C">
      <w:pPr>
        <w:rPr>
          <w:rFonts w:cs="Times New Roman"/>
          <w:color w:val="000000"/>
          <w:szCs w:val="24"/>
        </w:rPr>
      </w:pPr>
      <w:r w:rsidRPr="003736F5">
        <w:rPr>
          <w:rFonts w:cs="Times New Roman"/>
          <w:color w:val="000000"/>
          <w:szCs w:val="24"/>
        </w:rPr>
        <w:t>We capture any local Jacob (Production) Diversity effects via an index based on the reciprocal of the Gini Coefficient as proposed by Paci and Usai (1999)</w:t>
      </w:r>
      <w:r w:rsidR="001C1B91" w:rsidRPr="003736F5">
        <w:rPr>
          <w:rFonts w:cs="Times New Roman"/>
          <w:color w:val="000000"/>
          <w:szCs w:val="24"/>
        </w:rPr>
        <w:t>:</w:t>
      </w:r>
    </w:p>
    <w:p w14:paraId="37CB56E3" w14:textId="599AC1C6" w:rsidR="004C660A" w:rsidRPr="003736F5" w:rsidRDefault="003736F5" w:rsidP="00F33A4C">
      <w:pPr>
        <w:rPr>
          <w:rFonts w:cs="Times New Roman"/>
          <w:color w:val="000000"/>
          <w:szCs w:val="24"/>
        </w:rPr>
      </w:pPr>
      <m:oMath>
        <m:sSub>
          <m:sSubPr>
            <m:ctrlPr>
              <w:rPr>
                <w:rFonts w:ascii="Cambria Math" w:hAnsi="Cambria Math" w:cs="Times New Roman"/>
                <w:i/>
                <w:iCs/>
                <w:color w:val="000000"/>
                <w:szCs w:val="24"/>
              </w:rPr>
            </m:ctrlPr>
          </m:sSubPr>
          <m:e>
            <m:r>
              <w:rPr>
                <w:rFonts w:ascii="Cambria Math" w:hAnsi="Cambria Math" w:cs="Times New Roman"/>
                <w:color w:val="000000"/>
                <w:szCs w:val="24"/>
              </w:rPr>
              <m:t>PD</m:t>
            </m:r>
          </m:e>
          <m:sub>
            <m:r>
              <w:rPr>
                <w:rFonts w:ascii="Cambria Math" w:hAnsi="Cambria Math" w:cs="Times New Roman"/>
                <w:color w:val="000000"/>
                <w:szCs w:val="24"/>
              </w:rPr>
              <m:t>j</m:t>
            </m:r>
          </m:sub>
        </m:sSub>
        <m:r>
          <w:rPr>
            <w:rFonts w:ascii="Cambria Math" w:hAnsi="Cambria Math" w:cs="Times New Roman"/>
            <w:color w:val="000000"/>
            <w:szCs w:val="24"/>
          </w:rPr>
          <m:t>=</m:t>
        </m:r>
        <m:f>
          <m:fPr>
            <m:ctrlPr>
              <w:rPr>
                <w:rFonts w:ascii="Cambria Math" w:hAnsi="Cambria Math" w:cs="Times New Roman"/>
                <w:i/>
                <w:iCs/>
                <w:color w:val="000000"/>
                <w:szCs w:val="24"/>
              </w:rPr>
            </m:ctrlPr>
          </m:fPr>
          <m:num>
            <m:r>
              <w:rPr>
                <w:rFonts w:ascii="Cambria Math" w:hAnsi="Cambria Math" w:cs="Times New Roman"/>
                <w:color w:val="000000"/>
                <w:szCs w:val="24"/>
              </w:rPr>
              <m:t>2</m:t>
            </m:r>
          </m:num>
          <m:den>
            <m:r>
              <w:rPr>
                <w:rFonts w:ascii="Cambria Math" w:hAnsi="Cambria Math" w:cs="Times New Roman"/>
                <w:color w:val="000000"/>
                <w:szCs w:val="24"/>
              </w:rPr>
              <m:t>(n-1)</m:t>
            </m:r>
            <m:sSub>
              <m:sSubPr>
                <m:ctrlPr>
                  <w:rPr>
                    <w:rFonts w:ascii="Cambria Math" w:hAnsi="Cambria Math" w:cs="Times New Roman"/>
                    <w:i/>
                    <w:iCs/>
                    <w:color w:val="000000"/>
                    <w:szCs w:val="24"/>
                  </w:rPr>
                </m:ctrlPr>
              </m:sSubPr>
              <m:e>
                <m:r>
                  <w:rPr>
                    <w:rFonts w:ascii="Cambria Math" w:hAnsi="Cambria Math" w:cs="Times New Roman"/>
                    <w:color w:val="000000"/>
                    <w:szCs w:val="24"/>
                  </w:rPr>
                  <m:t>Q</m:t>
                </m:r>
              </m:e>
              <m:sub>
                <m:r>
                  <w:rPr>
                    <w:rFonts w:ascii="Cambria Math" w:hAnsi="Cambria Math" w:cs="Times New Roman"/>
                    <w:color w:val="000000"/>
                    <w:szCs w:val="24"/>
                  </w:rPr>
                  <m:t>n</m:t>
                </m:r>
              </m:sub>
            </m:sSub>
          </m:den>
        </m:f>
        <m:nary>
          <m:naryPr>
            <m:chr m:val="∑"/>
            <m:limLoc m:val="undOvr"/>
            <m:ctrlPr>
              <w:rPr>
                <w:rFonts w:ascii="Cambria Math" w:hAnsi="Cambria Math" w:cs="Times New Roman"/>
                <w:i/>
                <w:iCs/>
                <w:color w:val="000000"/>
                <w:szCs w:val="24"/>
              </w:rPr>
            </m:ctrlPr>
          </m:naryPr>
          <m:sub>
            <m:r>
              <w:rPr>
                <w:rFonts w:ascii="Cambria Math" w:hAnsi="Cambria Math" w:cs="Times New Roman"/>
                <w:color w:val="000000"/>
                <w:szCs w:val="24"/>
              </w:rPr>
              <m:t>i=1</m:t>
            </m:r>
          </m:sub>
          <m:sup>
            <m:r>
              <w:rPr>
                <w:rFonts w:ascii="Cambria Math" w:hAnsi="Cambria Math" w:cs="Times New Roman"/>
                <w:color w:val="000000"/>
                <w:szCs w:val="24"/>
              </w:rPr>
              <m:t>n-1</m:t>
            </m:r>
          </m:sup>
          <m:e>
            <m:sSub>
              <m:sSubPr>
                <m:ctrlPr>
                  <w:rPr>
                    <w:rFonts w:ascii="Cambria Math" w:hAnsi="Cambria Math" w:cs="Times New Roman"/>
                    <w:i/>
                    <w:iCs/>
                    <w:color w:val="000000"/>
                    <w:szCs w:val="24"/>
                  </w:rPr>
                </m:ctrlPr>
              </m:sSubPr>
              <m:e>
                <m:r>
                  <w:rPr>
                    <w:rFonts w:ascii="Cambria Math" w:hAnsi="Cambria Math" w:cs="Times New Roman"/>
                    <w:color w:val="000000"/>
                    <w:szCs w:val="24"/>
                  </w:rPr>
                  <m:t>Q</m:t>
                </m:r>
              </m:e>
              <m:sub>
                <m:r>
                  <w:rPr>
                    <w:rFonts w:ascii="Cambria Math" w:hAnsi="Cambria Math" w:cs="Times New Roman"/>
                    <w:color w:val="000000"/>
                    <w:szCs w:val="24"/>
                  </w:rPr>
                  <m:t>i</m:t>
                </m:r>
              </m:sub>
            </m:sSub>
          </m:e>
        </m:nary>
      </m:oMath>
      <w:r w:rsidR="004C660A" w:rsidRPr="003736F5">
        <w:rPr>
          <w:rFonts w:cs="Times New Roman"/>
          <w:color w:val="000000"/>
          <w:szCs w:val="24"/>
        </w:rPr>
        <w:t xml:space="preserve"> ,</w:t>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r>
      <w:r w:rsidR="004C660A" w:rsidRPr="003736F5">
        <w:rPr>
          <w:rFonts w:cs="Times New Roman"/>
          <w:color w:val="000000"/>
          <w:szCs w:val="24"/>
        </w:rPr>
        <w:tab/>
        <w:t>(5)</w:t>
      </w:r>
    </w:p>
    <w:p w14:paraId="0ED11078" w14:textId="7DF06CF6" w:rsidR="004C660A" w:rsidRPr="003736F5" w:rsidRDefault="004C660A" w:rsidP="00F33A4C">
      <w:pPr>
        <w:rPr>
          <w:rFonts w:cs="Times New Roman"/>
          <w:color w:val="000000"/>
        </w:rPr>
      </w:pPr>
      <w:r w:rsidRPr="003736F5">
        <w:rPr>
          <w:rFonts w:cs="Times New Roman"/>
          <w:color w:val="000000"/>
        </w:rPr>
        <w:t xml:space="preserve">where </w:t>
      </w:r>
      <m:oMath>
        <m:r>
          <w:rPr>
            <w:rFonts w:ascii="Cambria Math" w:hAnsi="Cambria Math" w:cs="Times New Roman"/>
            <w:color w:val="000000"/>
            <w:szCs w:val="24"/>
          </w:rPr>
          <m:t>n</m:t>
        </m:r>
      </m:oMath>
      <w:r w:rsidRPr="003736F5">
        <w:rPr>
          <w:rFonts w:cs="Times New Roman"/>
          <w:color w:val="000000"/>
        </w:rPr>
        <w:t xml:space="preserve"> is the number of industries in region </w:t>
      </w:r>
      <w:r w:rsidRPr="003736F5">
        <w:rPr>
          <w:rFonts w:cs="Times New Roman"/>
          <w:i/>
          <w:iCs/>
          <w:color w:val="000000"/>
        </w:rPr>
        <w:t>j</w:t>
      </w:r>
      <w:r w:rsidRPr="003736F5">
        <w:rPr>
          <w:rFonts w:cs="Times New Roman"/>
          <w:color w:val="000000"/>
        </w:rPr>
        <w:t xml:space="preserve">, </w:t>
      </w:r>
      <m:oMath>
        <m:sSub>
          <m:sSubPr>
            <m:ctrlPr>
              <w:rPr>
                <w:rFonts w:ascii="Cambria Math" w:hAnsi="Cambria Math" w:cs="Times New Roman"/>
                <w:i/>
                <w:iCs/>
                <w:color w:val="000000"/>
                <w:szCs w:val="24"/>
              </w:rPr>
            </m:ctrlPr>
          </m:sSubPr>
          <m:e>
            <m:r>
              <w:rPr>
                <w:rFonts w:ascii="Cambria Math" w:hAnsi="Cambria Math" w:cs="Times New Roman"/>
                <w:color w:val="000000"/>
                <w:szCs w:val="24"/>
              </w:rPr>
              <m:t>Q</m:t>
            </m:r>
          </m:e>
          <m:sub>
            <m:r>
              <w:rPr>
                <w:rFonts w:ascii="Cambria Math" w:hAnsi="Cambria Math" w:cs="Times New Roman"/>
                <w:color w:val="000000"/>
                <w:szCs w:val="24"/>
              </w:rPr>
              <m:t>i</m:t>
            </m:r>
          </m:sub>
        </m:sSub>
      </m:oMath>
      <w:r w:rsidRPr="003736F5">
        <w:rPr>
          <w:rFonts w:cs="Times New Roman"/>
          <w:color w:val="000000"/>
        </w:rPr>
        <w:t xml:space="preserve"> is the cumulative turnover up to industry </w:t>
      </w:r>
      <m:oMath>
        <m:r>
          <w:rPr>
            <w:rFonts w:ascii="Cambria Math" w:hAnsi="Cambria Math" w:cs="Times New Roman"/>
            <w:color w:val="000000"/>
            <w:szCs w:val="24"/>
          </w:rPr>
          <m:t>i,</m:t>
        </m:r>
      </m:oMath>
      <w:r w:rsidRPr="003736F5">
        <w:rPr>
          <w:rFonts w:cs="Times New Roman"/>
          <w:color w:val="000000"/>
        </w:rPr>
        <w:t xml:space="preserve"> then ordered by ascending size. The index, bounded by zero and one, increases with variety. Differently to SBRR or PS, PD captures whether location</w:t>
      </w:r>
      <w:r w:rsidR="00D47136" w:rsidRPr="003736F5">
        <w:rPr>
          <w:rFonts w:cs="Times New Roman"/>
          <w:color w:val="000000"/>
        </w:rPr>
        <w:t>,</w:t>
      </w:r>
      <w:r w:rsidRPr="003736F5">
        <w:rPr>
          <w:rFonts w:cs="Times New Roman"/>
          <w:color w:val="000000"/>
        </w:rPr>
        <w:t xml:space="preserve"> rather than the firm or industry</w:t>
      </w:r>
      <w:r w:rsidR="00D47136" w:rsidRPr="003736F5">
        <w:rPr>
          <w:rFonts w:cs="Times New Roman"/>
          <w:color w:val="000000"/>
        </w:rPr>
        <w:t>,</w:t>
      </w:r>
      <w:r w:rsidRPr="003736F5">
        <w:rPr>
          <w:rFonts w:cs="Times New Roman"/>
          <w:color w:val="000000"/>
        </w:rPr>
        <w:t xml:space="preserve"> is at the centre of analysis and drives changes (Florida </w:t>
      </w:r>
      <w:r w:rsidRPr="003736F5">
        <w:rPr>
          <w:rFonts w:cs="Times New Roman"/>
          <w:i/>
          <w:iCs/>
          <w:color w:val="000000"/>
        </w:rPr>
        <w:t>et al.</w:t>
      </w:r>
      <w:r w:rsidRPr="003736F5">
        <w:rPr>
          <w:rFonts w:cs="Times New Roman"/>
          <w:color w:val="000000"/>
        </w:rPr>
        <w:t xml:space="preserve">, 2017). Innovation is aided by access to ideas and procedures that firms can copy or modify from a diverse set of industries or knowledge generating institutions within small areas </w:t>
      </w:r>
      <w:proofErr w:type="gramStart"/>
      <w:r w:rsidRPr="003736F5">
        <w:rPr>
          <w:rFonts w:cs="Times New Roman"/>
          <w:color w:val="000000"/>
        </w:rPr>
        <w:t>or,</w:t>
      </w:r>
      <w:proofErr w:type="gramEnd"/>
      <w:r w:rsidRPr="003736F5">
        <w:rPr>
          <w:rFonts w:cs="Times New Roman"/>
          <w:color w:val="000000"/>
        </w:rPr>
        <w:t xml:space="preserve"> given the positive correlation with urban areas, more diverse and stable demand. That said, at our two-digit postcode level</w:t>
      </w:r>
      <w:r w:rsidR="00FA3417" w:rsidRPr="003736F5">
        <w:rPr>
          <w:rFonts w:cs="Times New Roman"/>
          <w:color w:val="000000"/>
        </w:rPr>
        <w:t>,</w:t>
      </w:r>
      <w:r w:rsidRPr="003736F5">
        <w:rPr>
          <w:rFonts w:cs="Times New Roman"/>
          <w:color w:val="000000"/>
        </w:rPr>
        <w:t xml:space="preserve"> we will observe a </w:t>
      </w:r>
      <w:r w:rsidR="00D47136" w:rsidRPr="003736F5">
        <w:rPr>
          <w:rFonts w:cs="Times New Roman"/>
          <w:color w:val="000000"/>
        </w:rPr>
        <w:t>substantial</w:t>
      </w:r>
      <w:r w:rsidRPr="003736F5">
        <w:rPr>
          <w:rFonts w:cs="Times New Roman"/>
          <w:color w:val="000000"/>
        </w:rPr>
        <w:t xml:space="preserve"> degree of variation even within urban areas. </w:t>
      </w:r>
    </w:p>
    <w:p w14:paraId="05718272" w14:textId="31D0E375" w:rsidR="004C660A" w:rsidRPr="003736F5" w:rsidRDefault="004C660A" w:rsidP="00F33A4C">
      <w:pPr>
        <w:rPr>
          <w:rFonts w:cs="Times New Roman"/>
          <w:color w:val="000000"/>
          <w:szCs w:val="24"/>
        </w:rPr>
      </w:pPr>
      <w:r w:rsidRPr="003736F5">
        <w:rPr>
          <w:rFonts w:cs="Times New Roman"/>
          <w:color w:val="000000"/>
          <w:szCs w:val="24"/>
        </w:rPr>
        <w:t>The error term</w:t>
      </w:r>
      <w:r w:rsidR="00950307" w:rsidRPr="003736F5">
        <w:rPr>
          <w:rFonts w:cs="Times New Roman"/>
          <w:color w:val="000000"/>
          <w:szCs w:val="24"/>
        </w:rPr>
        <w:t>,</w:t>
      </w:r>
      <w:r w:rsidRPr="003736F5">
        <w:rPr>
          <w:rFonts w:cs="Times New Roman"/>
          <w:color w:val="000000"/>
          <w:szCs w:val="24"/>
        </w:rPr>
        <w:t xml:space="preserve"> </w:t>
      </w:r>
      <m:oMath>
        <m:sSub>
          <m:sSubPr>
            <m:ctrlPr>
              <w:rPr>
                <w:rFonts w:ascii="Cambria Math" w:hAnsi="Cambria Math" w:cs="Times New Roman"/>
                <w:i/>
                <w:color w:val="000000"/>
                <w:szCs w:val="24"/>
              </w:rPr>
            </m:ctrlPr>
          </m:sSubPr>
          <m:e>
            <m:r>
              <w:rPr>
                <w:rFonts w:ascii="Cambria Math" w:hAnsi="Cambria Math" w:cs="Times New Roman"/>
                <w:color w:val="000000"/>
                <w:szCs w:val="24"/>
              </w:rPr>
              <m:t>ε</m:t>
            </m:r>
          </m:e>
          <m:sub>
            <m:r>
              <w:rPr>
                <w:rFonts w:ascii="Cambria Math" w:hAnsi="Cambria Math" w:cs="Times New Roman"/>
                <w:color w:val="000000"/>
                <w:szCs w:val="24"/>
              </w:rPr>
              <m:t>it</m:t>
            </m:r>
          </m:sub>
        </m:sSub>
      </m:oMath>
      <w:r w:rsidRPr="003736F5">
        <w:rPr>
          <w:rFonts w:cs="Times New Roman"/>
          <w:color w:val="000000"/>
          <w:szCs w:val="24"/>
        </w:rPr>
        <w:t xml:space="preserve">, is assumed to be uncorrelated with the random effects and independent across observations. </w:t>
      </w:r>
      <m:oMath>
        <m:sSub>
          <m:sSubPr>
            <m:ctrlPr>
              <w:rPr>
                <w:rFonts w:ascii="Cambria Math" w:hAnsi="Cambria Math" w:cs="Times New Roman"/>
                <w:i/>
                <w:color w:val="000000"/>
                <w:szCs w:val="24"/>
              </w:rPr>
            </m:ctrlPr>
          </m:sSubPr>
          <m:e>
            <m:r>
              <w:rPr>
                <w:rFonts w:ascii="Cambria Math" w:hAnsi="Cambria Math" w:cs="Times New Roman"/>
                <w:color w:val="000000"/>
                <w:szCs w:val="24"/>
              </w:rPr>
              <m:t>R</m:t>
            </m:r>
          </m:e>
          <m:sub>
            <m:r>
              <w:rPr>
                <w:rFonts w:ascii="Cambria Math" w:hAnsi="Cambria Math" w:cs="Times New Roman"/>
                <w:color w:val="000000"/>
                <w:szCs w:val="24"/>
              </w:rPr>
              <m:t>i</m:t>
            </m:r>
          </m:sub>
        </m:sSub>
      </m:oMath>
      <w:r w:rsidRPr="003736F5">
        <w:rPr>
          <w:rFonts w:cs="Times New Roman"/>
          <w:color w:val="000000"/>
          <w:szCs w:val="24"/>
        </w:rPr>
        <w:t xml:space="preserve"> is a non-diagonal matrix to account for autocorrelation within firms.</w:t>
      </w:r>
    </w:p>
    <w:p w14:paraId="6EA60164" w14:textId="2AF7159B" w:rsidR="004C660A" w:rsidRPr="003736F5" w:rsidRDefault="005E7664" w:rsidP="001C1B91">
      <w:pPr>
        <w:pStyle w:val="Heading2"/>
        <w:jc w:val="left"/>
        <w:rPr>
          <w:rFonts w:ascii="Times New Roman" w:hAnsi="Times New Roman"/>
        </w:rPr>
      </w:pPr>
      <w:r w:rsidRPr="003736F5">
        <w:rPr>
          <w:rFonts w:ascii="Times New Roman" w:hAnsi="Times New Roman"/>
        </w:rPr>
        <w:lastRenderedPageBreak/>
        <w:t>4</w:t>
      </w:r>
      <w:r w:rsidR="000F0CFC" w:rsidRPr="003736F5">
        <w:rPr>
          <w:rFonts w:ascii="Times New Roman" w:hAnsi="Times New Roman"/>
        </w:rPr>
        <w:t>.4</w:t>
      </w:r>
      <w:r w:rsidR="004C660A" w:rsidRPr="003736F5">
        <w:rPr>
          <w:rFonts w:ascii="Times New Roman" w:hAnsi="Times New Roman"/>
        </w:rPr>
        <w:t>. Dependent Variable: Total Factor Productivity</w:t>
      </w:r>
    </w:p>
    <w:p w14:paraId="62D4022D" w14:textId="2FFFA5A9" w:rsidR="00CF31AA" w:rsidRPr="003736F5" w:rsidRDefault="76815306" w:rsidP="007E56FD">
      <w:pPr>
        <w:rPr>
          <w:rFonts w:cs="Times New Roman"/>
        </w:rPr>
      </w:pPr>
      <w:r w:rsidRPr="003736F5">
        <w:rPr>
          <w:rFonts w:cs="Times New Roman"/>
        </w:rPr>
        <w:t xml:space="preserve">The most apparent first-order effect of SBRR is a reduction in investment in capital. Having said that, for some organisations, this could trigger expenditure in other areas that could be equally effective, including organisational environment, organisational capabilities, types of innovation, external knowledgebase or even commercialisation that were found to be dominant in researching SME productivity, as recently summarised by Owalla et al. (2022). Considering this in connection with the ideas of heterogeneity in organisations from the configuration approaches literature, discussed in section 3, we conclude that the concept of comparing total outputs relative to the total inputs used in </w:t>
      </w:r>
      <w:r w:rsidR="00FC6424" w:rsidRPr="003736F5">
        <w:rPr>
          <w:rFonts w:cs="Times New Roman"/>
        </w:rPr>
        <w:t xml:space="preserve">the </w:t>
      </w:r>
      <w:r w:rsidRPr="003736F5">
        <w:rPr>
          <w:rFonts w:cs="Times New Roman"/>
        </w:rPr>
        <w:t>production of the output in the SBRR context could provide a fuller picture for our exploratory analysis than focusing on one specific outcome. We also depart from the commonly applied single-factor productivity measures, such as labour productivity, because multi-factor productivity measures better capture the changing trends in the working environment (Owalla et al., 2022) and avoid such limitations as the attribution of all increases of efficiency to one factor (Linna et al., 2010).</w:t>
      </w:r>
    </w:p>
    <w:p w14:paraId="71903915" w14:textId="3CB61E92" w:rsidR="004C660A" w:rsidRPr="003736F5" w:rsidRDefault="004C660A" w:rsidP="00F33A4C">
      <w:pPr>
        <w:rPr>
          <w:rFonts w:cs="Times New Roman"/>
          <w:color w:val="000000"/>
        </w:rPr>
      </w:pPr>
      <w:r w:rsidRPr="003736F5">
        <w:rPr>
          <w:rFonts w:cs="Times New Roman"/>
          <w:color w:val="000000"/>
        </w:rPr>
        <w:t>Total Factor Productivity is not directly observ</w:t>
      </w:r>
      <w:r w:rsidR="00D47136" w:rsidRPr="003736F5">
        <w:rPr>
          <w:rFonts w:cs="Times New Roman"/>
          <w:color w:val="000000"/>
        </w:rPr>
        <w:t>ed</w:t>
      </w:r>
      <w:r w:rsidRPr="003736F5">
        <w:rPr>
          <w:rFonts w:cs="Times New Roman"/>
          <w:color w:val="000000"/>
        </w:rPr>
        <w:t xml:space="preserve"> from production functions and consequently needs to be extracted once the weighted sum of inputs </w:t>
      </w:r>
      <w:r w:rsidRPr="003736F5">
        <w:rPr>
          <w:rFonts w:cs="Times New Roman"/>
          <w:noProof/>
          <w:color w:val="000000"/>
        </w:rPr>
        <w:t>has</w:t>
      </w:r>
      <w:r w:rsidRPr="003736F5">
        <w:rPr>
          <w:rFonts w:cs="Times New Roman"/>
          <w:color w:val="000000"/>
        </w:rPr>
        <w:t xml:space="preserve"> </w:t>
      </w:r>
      <w:r w:rsidRPr="003736F5">
        <w:rPr>
          <w:rFonts w:cs="Times New Roman"/>
          <w:noProof/>
          <w:color w:val="000000"/>
        </w:rPr>
        <w:t>been estimated</w:t>
      </w:r>
      <w:r w:rsidRPr="003736F5">
        <w:rPr>
          <w:rFonts w:cs="Times New Roman"/>
          <w:color w:val="000000"/>
        </w:rPr>
        <w:t xml:space="preserve"> with controls for simultaneity and selection biases. We </w:t>
      </w:r>
      <w:r w:rsidR="00620997" w:rsidRPr="003736F5">
        <w:rPr>
          <w:rFonts w:cs="Times New Roman"/>
          <w:color w:val="000000"/>
        </w:rPr>
        <w:t xml:space="preserve">resort </w:t>
      </w:r>
      <w:r w:rsidRPr="003736F5">
        <w:rPr>
          <w:rFonts w:cs="Times New Roman"/>
          <w:color w:val="000000"/>
        </w:rPr>
        <w:t xml:space="preserve">to control function approaches that are built to overcome these biases (Van Beveren, 2012). We employ Wooldridge’s (2009) approach, which builds on the work of Olley and Pakes (1996) and Levinsohn and Petrin (2003). His single-step GMM framework also overcomes more recent criticism directed towards the control function estimators failing to consistently estimate the labour coefficient in the first stage </w:t>
      </w:r>
      <w:r w:rsidRPr="003736F5">
        <w:rPr>
          <w:rFonts w:cs="Times New Roman"/>
          <w:noProof/>
          <w:color w:val="000000"/>
        </w:rPr>
        <w:t>(Ackerberg et al., 2015)</w:t>
      </w:r>
      <w:r w:rsidRPr="003736F5">
        <w:rPr>
          <w:rFonts w:cs="Times New Roman"/>
          <w:color w:val="000000"/>
        </w:rPr>
        <w:t xml:space="preserve">. We thus estimate </w:t>
      </w:r>
      <w:r w:rsidR="001C1B91" w:rsidRPr="003736F5">
        <w:rPr>
          <w:rFonts w:cs="Times New Roman"/>
          <w:color w:val="000000"/>
        </w:rPr>
        <w:t xml:space="preserve">productivity </w:t>
      </w:r>
      <w:r w:rsidRPr="003736F5">
        <w:rPr>
          <w:rFonts w:cs="Times New Roman"/>
          <w:color w:val="000000"/>
        </w:rPr>
        <w:t xml:space="preserve">assuming a Cobb Douglas functional form: </w:t>
      </w:r>
    </w:p>
    <w:p w14:paraId="44EAE03A" w14:textId="371E709F" w:rsidR="004C660A" w:rsidRPr="003736F5" w:rsidRDefault="003736F5" w:rsidP="00F33A4C">
      <w:pPr>
        <w:rPr>
          <w:rFonts w:cs="Times New Roman"/>
          <w:color w:val="000000"/>
        </w:rPr>
      </w:pPr>
      <m:oMath>
        <m:sSub>
          <m:sSubPr>
            <m:ctrlPr>
              <w:rPr>
                <w:rFonts w:ascii="Cambria Math" w:hAnsi="Cambria Math" w:cs="Times New Roman"/>
                <w:i/>
                <w:color w:val="000000"/>
              </w:rPr>
            </m:ctrlPr>
          </m:sSubPr>
          <m:e>
            <m:r>
              <w:rPr>
                <w:rFonts w:ascii="Cambria Math" w:hAnsi="Cambria Math" w:cs="Times New Roman"/>
                <w:color w:val="000000"/>
              </w:rPr>
              <m:t>ω</m:t>
            </m:r>
          </m:e>
          <m:sub>
            <m:r>
              <w:rPr>
                <w:rFonts w:ascii="Cambria Math" w:hAnsi="Cambria Math" w:cs="Times New Roman"/>
                <w:color w:val="000000"/>
              </w:rPr>
              <m:t>it</m:t>
            </m:r>
          </m:sub>
        </m:sSub>
        <m:r>
          <w:rPr>
            <w:rFonts w:ascii="Cambria Math" w:hAnsi="Cambria Math" w:cs="Times New Roman"/>
            <w:color w:val="000000"/>
          </w:rPr>
          <m:t>=</m:t>
        </m:r>
        <m:sSup>
          <m:sSupPr>
            <m:ctrlPr>
              <w:rPr>
                <w:rFonts w:ascii="Cambria Math" w:hAnsi="Cambria Math" w:cs="Times New Roman"/>
                <w:i/>
                <w:color w:val="000000"/>
              </w:rPr>
            </m:ctrlPr>
          </m:sSupPr>
          <m:e>
            <m:r>
              <w:rPr>
                <w:rFonts w:ascii="Cambria Math" w:hAnsi="Cambria Math" w:cs="Times New Roman"/>
                <w:color w:val="000000"/>
              </w:rPr>
              <m:t>e</m:t>
            </m:r>
          </m:e>
          <m:sup>
            <m:sSub>
              <m:sSubPr>
                <m:ctrlPr>
                  <w:rPr>
                    <w:rFonts w:ascii="Cambria Math" w:hAnsi="Cambria Math" w:cs="Times New Roman"/>
                    <w:i/>
                    <w:color w:val="000000"/>
                  </w:rPr>
                </m:ctrlPr>
              </m:sSubPr>
              <m:e>
                <m:r>
                  <w:rPr>
                    <w:rFonts w:ascii="Cambria Math" w:hAnsi="Cambria Math" w:cs="Times New Roman"/>
                    <w:color w:val="000000"/>
                  </w:rPr>
                  <m:t>lnGVA</m:t>
                </m:r>
              </m:e>
              <m:sub>
                <m:r>
                  <w:rPr>
                    <w:rFonts w:ascii="Cambria Math" w:hAnsi="Cambria Math" w:cs="Times New Roman"/>
                    <w:color w:val="000000"/>
                  </w:rPr>
                  <m:t>it</m:t>
                </m:r>
              </m:sub>
            </m:sSub>
            <m:r>
              <w:rPr>
                <w:rFonts w:ascii="Cambria Math" w:hAnsi="Cambria Math" w:cs="Times New Roman"/>
                <w:color w:val="000000"/>
              </w:rPr>
              <m:t>-</m:t>
            </m:r>
            <m:sSub>
              <m:sSubPr>
                <m:ctrlPr>
                  <w:rPr>
                    <w:rFonts w:ascii="Cambria Math" w:hAnsi="Cambria Math" w:cs="Times New Roman"/>
                    <w:i/>
                    <w:color w:val="000000"/>
                  </w:rPr>
                </m:ctrlPr>
              </m:sSubPr>
              <m:e>
                <m:r>
                  <w:rPr>
                    <w:rFonts w:ascii="Cambria Math" w:hAnsi="Cambria Math" w:cs="Times New Roman"/>
                    <w:color w:val="000000"/>
                  </w:rPr>
                  <m:t>β</m:t>
                </m:r>
              </m:e>
              <m:sub>
                <m:r>
                  <w:rPr>
                    <w:rFonts w:ascii="Cambria Math" w:hAnsi="Cambria Math" w:cs="Times New Roman"/>
                    <w:color w:val="000000"/>
                  </w:rPr>
                  <m:t>k</m:t>
                </m:r>
              </m:sub>
            </m:sSub>
            <m:r>
              <w:rPr>
                <w:rFonts w:ascii="Cambria Math" w:hAnsi="Cambria Math" w:cs="Times New Roman"/>
                <w:color w:val="000000"/>
              </w:rPr>
              <m:t>ln</m:t>
            </m:r>
            <m:sSub>
              <m:sSubPr>
                <m:ctrlPr>
                  <w:rPr>
                    <w:rFonts w:ascii="Cambria Math" w:hAnsi="Cambria Math" w:cs="Times New Roman"/>
                    <w:color w:val="000000"/>
                  </w:rPr>
                </m:ctrlPr>
              </m:sSubPr>
              <m:e>
                <m:r>
                  <w:rPr>
                    <w:rFonts w:ascii="Cambria Math" w:hAnsi="Cambria Math" w:cs="Times New Roman"/>
                    <w:color w:val="000000"/>
                  </w:rPr>
                  <m:t>K</m:t>
                </m:r>
              </m:e>
              <m:sub>
                <m:r>
                  <w:rPr>
                    <w:rFonts w:ascii="Cambria Math" w:hAnsi="Cambria Math" w:cs="Times New Roman"/>
                    <w:color w:val="000000"/>
                  </w:rPr>
                  <m:t>it</m:t>
                </m:r>
              </m:sub>
            </m:sSub>
            <m:r>
              <w:rPr>
                <w:rFonts w:ascii="Cambria Math" w:hAnsi="Cambria Math" w:cs="Times New Roman"/>
                <w:color w:val="000000"/>
              </w:rPr>
              <m:t>-</m:t>
            </m:r>
            <m:sSub>
              <m:sSubPr>
                <m:ctrlPr>
                  <w:rPr>
                    <w:rFonts w:ascii="Cambria Math" w:hAnsi="Cambria Math" w:cs="Times New Roman"/>
                    <w:i/>
                    <w:color w:val="000000"/>
                  </w:rPr>
                </m:ctrlPr>
              </m:sSubPr>
              <m:e>
                <m:r>
                  <w:rPr>
                    <w:rFonts w:ascii="Cambria Math" w:hAnsi="Cambria Math" w:cs="Times New Roman"/>
                    <w:color w:val="000000"/>
                  </w:rPr>
                  <m:t>β</m:t>
                </m:r>
              </m:e>
              <m:sub>
                <m:r>
                  <w:rPr>
                    <w:rFonts w:ascii="Cambria Math" w:hAnsi="Cambria Math" w:cs="Times New Roman"/>
                    <w:color w:val="000000"/>
                  </w:rPr>
                  <m:t>l</m:t>
                </m:r>
              </m:sub>
            </m:sSub>
            <m:r>
              <w:rPr>
                <w:rFonts w:ascii="Cambria Math" w:hAnsi="Cambria Math" w:cs="Times New Roman"/>
                <w:color w:val="000000"/>
              </w:rPr>
              <m:t>ln</m:t>
            </m:r>
            <m:sSub>
              <m:sSubPr>
                <m:ctrlPr>
                  <w:rPr>
                    <w:rFonts w:ascii="Cambria Math" w:hAnsi="Cambria Math" w:cs="Times New Roman"/>
                    <w:color w:val="000000"/>
                  </w:rPr>
                </m:ctrlPr>
              </m:sSubPr>
              <m:e>
                <m:r>
                  <w:rPr>
                    <w:rFonts w:ascii="Cambria Math" w:hAnsi="Cambria Math" w:cs="Times New Roman"/>
                    <w:color w:val="000000"/>
                  </w:rPr>
                  <m:t>L</m:t>
                </m:r>
              </m:e>
              <m:sub>
                <m:r>
                  <w:rPr>
                    <w:rFonts w:ascii="Cambria Math" w:hAnsi="Cambria Math" w:cs="Times New Roman"/>
                    <w:color w:val="000000"/>
                  </w:rPr>
                  <m:t>it</m:t>
                </m:r>
              </m:sub>
            </m:sSub>
          </m:sup>
        </m:sSup>
      </m:oMath>
      <w:r w:rsidR="004C660A" w:rsidRPr="003736F5">
        <w:rPr>
          <w:rFonts w:eastAsia="MS Mincho" w:cs="Times New Roman"/>
          <w:color w:val="000000"/>
        </w:rPr>
        <w:t>,</w:t>
      </w:r>
      <w:r w:rsidR="004C660A" w:rsidRPr="003736F5">
        <w:rPr>
          <w:rFonts w:eastAsia="MS Mincho" w:cs="Times New Roman"/>
          <w:color w:val="000000"/>
        </w:rPr>
        <w:tab/>
      </w:r>
      <w:r w:rsidR="004C660A" w:rsidRPr="003736F5">
        <w:rPr>
          <w:rFonts w:eastAsia="MS Mincho" w:cs="Times New Roman"/>
          <w:color w:val="000000"/>
        </w:rPr>
        <w:tab/>
      </w:r>
      <w:r w:rsidR="004C660A" w:rsidRPr="003736F5">
        <w:rPr>
          <w:rFonts w:eastAsia="MS Mincho" w:cs="Times New Roman"/>
          <w:color w:val="000000"/>
        </w:rPr>
        <w:tab/>
      </w:r>
      <w:r w:rsidR="004C660A" w:rsidRPr="003736F5">
        <w:rPr>
          <w:rFonts w:eastAsia="MS Mincho" w:cs="Times New Roman"/>
          <w:color w:val="000000"/>
        </w:rPr>
        <w:tab/>
      </w:r>
      <w:r w:rsidR="004C660A" w:rsidRPr="003736F5">
        <w:rPr>
          <w:rFonts w:eastAsia="MS Mincho" w:cs="Times New Roman"/>
          <w:color w:val="000000"/>
        </w:rPr>
        <w:tab/>
      </w:r>
      <w:r w:rsidR="004C660A" w:rsidRPr="003736F5">
        <w:rPr>
          <w:rFonts w:eastAsia="MS Mincho" w:cs="Times New Roman"/>
          <w:color w:val="000000"/>
        </w:rPr>
        <w:tab/>
      </w:r>
      <w:r w:rsidR="004C660A" w:rsidRPr="003736F5">
        <w:rPr>
          <w:rFonts w:eastAsia="MS Mincho" w:cs="Times New Roman"/>
          <w:color w:val="000000"/>
        </w:rPr>
        <w:tab/>
        <w:t>(6)</w:t>
      </w:r>
    </w:p>
    <w:p w14:paraId="01A8E5D1" w14:textId="1831EF0F" w:rsidR="004C660A" w:rsidRPr="003736F5" w:rsidRDefault="004C660A" w:rsidP="00870A0A">
      <w:pPr>
        <w:rPr>
          <w:rFonts w:cs="Times New Roman"/>
          <w:color w:val="000000"/>
        </w:rPr>
      </w:pPr>
      <w:r w:rsidRPr="003736F5">
        <w:rPr>
          <w:rFonts w:cs="Times New Roman"/>
          <w:color w:val="000000"/>
        </w:rPr>
        <w:lastRenderedPageBreak/>
        <w:t xml:space="preserve">where </w:t>
      </w:r>
      <m:oMath>
        <m:sSub>
          <m:sSubPr>
            <m:ctrlPr>
              <w:rPr>
                <w:rFonts w:ascii="Cambria Math" w:hAnsi="Cambria Math" w:cs="Times New Roman"/>
                <w:i/>
                <w:color w:val="000000"/>
              </w:rPr>
            </m:ctrlPr>
          </m:sSubPr>
          <m:e>
            <m:r>
              <w:rPr>
                <w:rFonts w:ascii="Cambria Math" w:hAnsi="Cambria Math" w:cs="Times New Roman"/>
                <w:color w:val="000000"/>
              </w:rPr>
              <m:t>ω</m:t>
            </m:r>
          </m:e>
          <m:sub>
            <m:r>
              <w:rPr>
                <w:rFonts w:ascii="Cambria Math" w:hAnsi="Cambria Math" w:cs="Times New Roman"/>
                <w:color w:val="000000"/>
              </w:rPr>
              <m:t>it</m:t>
            </m:r>
          </m:sub>
        </m:sSub>
      </m:oMath>
      <w:r w:rsidRPr="003736F5">
        <w:rPr>
          <w:rFonts w:cs="Times New Roman"/>
          <w:color w:val="000000"/>
        </w:rPr>
        <w:t xml:space="preserve"> is </w:t>
      </w:r>
      <w:r w:rsidR="001C1B91" w:rsidRPr="003736F5">
        <w:rPr>
          <w:rFonts w:cs="Times New Roman"/>
          <w:color w:val="000000"/>
        </w:rPr>
        <w:t xml:space="preserve">productivity </w:t>
      </w:r>
      <w:r w:rsidRPr="003736F5">
        <w:rPr>
          <w:rFonts w:cs="Times New Roman"/>
          <w:color w:val="000000"/>
        </w:rPr>
        <w:t xml:space="preserve">of the </w:t>
      </w:r>
      <w:r w:rsidRPr="003736F5">
        <w:rPr>
          <w:rFonts w:cs="Times New Roman"/>
          <w:i/>
          <w:color w:val="000000"/>
        </w:rPr>
        <w:t>ith</w:t>
      </w:r>
      <w:r w:rsidRPr="003736F5">
        <w:rPr>
          <w:rFonts w:cs="Times New Roman"/>
          <w:color w:val="000000"/>
        </w:rPr>
        <w:t xml:space="preserve"> firm in period </w:t>
      </w:r>
      <w:r w:rsidRPr="003736F5">
        <w:rPr>
          <w:rFonts w:cs="Times New Roman"/>
          <w:i/>
          <w:color w:val="000000"/>
        </w:rPr>
        <w:t>t</w:t>
      </w:r>
      <w:r w:rsidRPr="003736F5">
        <w:rPr>
          <w:rFonts w:cs="Times New Roman"/>
          <w:color w:val="000000"/>
        </w:rPr>
        <w:t xml:space="preserve">, </w:t>
      </w:r>
      <m:oMath>
        <m:sSub>
          <m:sSubPr>
            <m:ctrlPr>
              <w:rPr>
                <w:rFonts w:ascii="Cambria Math" w:hAnsi="Cambria Math" w:cs="Times New Roman"/>
                <w:i/>
                <w:color w:val="000000"/>
              </w:rPr>
            </m:ctrlPr>
          </m:sSubPr>
          <m:e>
            <m:r>
              <w:rPr>
                <w:rFonts w:ascii="Cambria Math" w:hAnsi="Cambria Math" w:cs="Times New Roman"/>
                <w:color w:val="000000"/>
              </w:rPr>
              <m:t>lnGVA</m:t>
            </m:r>
          </m:e>
          <m:sub>
            <m:r>
              <w:rPr>
                <w:rFonts w:ascii="Cambria Math" w:hAnsi="Cambria Math" w:cs="Times New Roman"/>
                <w:color w:val="000000"/>
              </w:rPr>
              <m:t>it</m:t>
            </m:r>
          </m:sub>
        </m:sSub>
      </m:oMath>
      <w:r w:rsidRPr="003736F5">
        <w:rPr>
          <w:rFonts w:cs="Times New Roman"/>
          <w:color w:val="000000"/>
        </w:rPr>
        <w:t xml:space="preserve"> is the firm’s logarithmic gross value added </w:t>
      </w:r>
      <w:proofErr w:type="gramStart"/>
      <w:r w:rsidRPr="003736F5">
        <w:rPr>
          <w:rFonts w:cs="Times New Roman"/>
          <w:color w:val="000000"/>
        </w:rPr>
        <w:t>in order to</w:t>
      </w:r>
      <w:proofErr w:type="gramEnd"/>
      <w:r w:rsidRPr="003736F5">
        <w:rPr>
          <w:rFonts w:cs="Times New Roman"/>
          <w:color w:val="000000"/>
        </w:rPr>
        <w:t xml:space="preserve"> simplify the model and eliminate intermediate inputs, </w:t>
      </w:r>
      <m:oMath>
        <m:r>
          <w:rPr>
            <w:rFonts w:ascii="Cambria Math" w:hAnsi="Cambria Math" w:cs="Times New Roman"/>
            <w:color w:val="000000"/>
          </w:rPr>
          <m:t>K</m:t>
        </m:r>
      </m:oMath>
      <w:r w:rsidRPr="003736F5">
        <w:rPr>
          <w:rFonts w:cs="Times New Roman"/>
          <w:color w:val="000000"/>
        </w:rPr>
        <w:t xml:space="preserve"> is logarithmic capital and </w:t>
      </w:r>
      <m:oMath>
        <m:r>
          <w:rPr>
            <w:rFonts w:ascii="Cambria Math" w:hAnsi="Cambria Math" w:cs="Times New Roman"/>
            <w:color w:val="000000"/>
          </w:rPr>
          <m:t>L</m:t>
        </m:r>
      </m:oMath>
      <w:r w:rsidRPr="003736F5">
        <w:rPr>
          <w:rFonts w:cs="Times New Roman"/>
          <w:i/>
          <w:color w:val="000000"/>
        </w:rPr>
        <w:t xml:space="preserve"> </w:t>
      </w:r>
      <w:r w:rsidRPr="003736F5">
        <w:rPr>
          <w:rFonts w:cs="Times New Roman"/>
          <w:color w:val="000000"/>
        </w:rPr>
        <w:t>is logarithmic l</w:t>
      </w:r>
      <w:r w:rsidRPr="003736F5">
        <w:rPr>
          <w:rFonts w:cs="Times New Roman"/>
          <w:noProof/>
          <w:color w:val="000000"/>
        </w:rPr>
        <w:t>abo</w:t>
      </w:r>
      <w:r w:rsidRPr="003736F5">
        <w:rPr>
          <w:rFonts w:cs="Times New Roman"/>
          <w:color w:val="000000"/>
        </w:rPr>
        <w:t>ur.</w:t>
      </w:r>
      <w:r w:rsidR="00700D75" w:rsidRPr="003736F5">
        <w:rPr>
          <w:rFonts w:cs="Times New Roman"/>
          <w:color w:val="000000"/>
        </w:rPr>
        <w:t xml:space="preserve"> To</w:t>
      </w:r>
      <w:r w:rsidRPr="003736F5">
        <w:rPr>
          <w:rFonts w:cs="Times New Roman"/>
          <w:color w:val="000000"/>
        </w:rPr>
        <w:t xml:space="preserve"> </w:t>
      </w:r>
      <w:r w:rsidR="00700D75" w:rsidRPr="003736F5">
        <w:rPr>
          <w:rFonts w:cs="Times New Roman"/>
          <w:color w:val="000000"/>
        </w:rPr>
        <w:t xml:space="preserve">reduce selection bias, </w:t>
      </w:r>
      <w:r w:rsidR="00C626CA" w:rsidRPr="003736F5">
        <w:rPr>
          <w:rFonts w:cs="Times New Roman"/>
          <w:color w:val="000000"/>
        </w:rPr>
        <w:t>w</w:t>
      </w:r>
      <w:r w:rsidRPr="003736F5">
        <w:rPr>
          <w:rFonts w:cs="Times New Roman"/>
          <w:color w:val="000000"/>
        </w:rPr>
        <w:t>e</w:t>
      </w:r>
      <w:r w:rsidR="0017774B" w:rsidRPr="003736F5">
        <w:rPr>
          <w:rFonts w:cs="Times New Roman"/>
          <w:color w:val="000000"/>
        </w:rPr>
        <w:t xml:space="preserve"> averaged </w:t>
      </w:r>
      <w:r w:rsidR="001013DB" w:rsidRPr="003736F5">
        <w:rPr>
          <w:rFonts w:cs="Times New Roman"/>
          <w:color w:val="000000"/>
        </w:rPr>
        <w:t>estimates</w:t>
      </w:r>
      <w:r w:rsidR="0017774B" w:rsidRPr="003736F5">
        <w:rPr>
          <w:rFonts w:cs="Times New Roman"/>
          <w:color w:val="000000"/>
        </w:rPr>
        <w:t xml:space="preserve"> from</w:t>
      </w:r>
      <w:r w:rsidR="005F3241" w:rsidRPr="003736F5">
        <w:rPr>
          <w:rFonts w:cs="Times New Roman"/>
          <w:color w:val="000000"/>
        </w:rPr>
        <w:t xml:space="preserve"> </w:t>
      </w:r>
      <w:r w:rsidR="000963D2" w:rsidRPr="003736F5">
        <w:rPr>
          <w:rFonts w:cs="Times New Roman"/>
          <w:color w:val="000000"/>
        </w:rPr>
        <w:t xml:space="preserve">1000 estimations </w:t>
      </w:r>
      <w:r w:rsidR="0017774B" w:rsidRPr="003736F5">
        <w:rPr>
          <w:rFonts w:cs="Times New Roman"/>
          <w:color w:val="000000"/>
        </w:rPr>
        <w:t xml:space="preserve">with </w:t>
      </w:r>
      <w:r w:rsidR="00F14B75" w:rsidRPr="003736F5">
        <w:rPr>
          <w:rFonts w:cs="Times New Roman"/>
          <w:color w:val="000000"/>
        </w:rPr>
        <w:t xml:space="preserve">missing values replaced by the predictive mean matching with the key variables of </w:t>
      </w:r>
      <w:r w:rsidR="00BB5B03" w:rsidRPr="003736F5">
        <w:rPr>
          <w:rFonts w:cs="Times New Roman"/>
          <w:color w:val="000000"/>
        </w:rPr>
        <w:t xml:space="preserve">unique firm identifier, year, </w:t>
      </w:r>
      <w:r w:rsidR="00F14B75" w:rsidRPr="003736F5">
        <w:rPr>
          <w:rFonts w:cs="Times New Roman"/>
          <w:color w:val="000000"/>
        </w:rPr>
        <w:t xml:space="preserve">turnover, employment, region, </w:t>
      </w:r>
      <w:proofErr w:type="gramStart"/>
      <w:r w:rsidR="00F14B75" w:rsidRPr="003736F5">
        <w:rPr>
          <w:rFonts w:cs="Times New Roman"/>
          <w:color w:val="000000"/>
        </w:rPr>
        <w:t>sector</w:t>
      </w:r>
      <w:proofErr w:type="gramEnd"/>
      <w:r w:rsidR="00F14B75" w:rsidRPr="003736F5">
        <w:rPr>
          <w:rFonts w:cs="Times New Roman"/>
          <w:color w:val="000000"/>
        </w:rPr>
        <w:t xml:space="preserve"> and legal status that have almost no missing data from the </w:t>
      </w:r>
      <w:r w:rsidR="00FD0CBF" w:rsidRPr="003736F5">
        <w:rPr>
          <w:rFonts w:cs="Times New Roman"/>
          <w:color w:val="000000"/>
          <w:szCs w:val="24"/>
        </w:rPr>
        <w:t xml:space="preserve">Annual Respondents Database X </w:t>
      </w:r>
      <w:r w:rsidR="00F14B75" w:rsidRPr="003736F5">
        <w:rPr>
          <w:rFonts w:cs="Times New Roman"/>
          <w:color w:val="000000"/>
        </w:rPr>
        <w:t xml:space="preserve">or </w:t>
      </w:r>
      <w:r w:rsidR="00296DEA" w:rsidRPr="003736F5">
        <w:rPr>
          <w:rFonts w:cs="Times New Roman"/>
          <w:color w:val="000000"/>
          <w:szCs w:val="24"/>
        </w:rPr>
        <w:t>Business Structure Database</w:t>
      </w:r>
      <w:r w:rsidR="00F14B75" w:rsidRPr="003736F5">
        <w:rPr>
          <w:rFonts w:cs="Times New Roman"/>
          <w:color w:val="000000"/>
        </w:rPr>
        <w:t>.</w:t>
      </w:r>
      <w:r w:rsidR="009B13F0" w:rsidRPr="003736F5">
        <w:rPr>
          <w:rFonts w:cs="Times New Roman"/>
          <w:color w:val="000000"/>
        </w:rPr>
        <w:t xml:space="preserve"> For instance, if </w:t>
      </w:r>
      <w:r w:rsidR="00DC3FAE" w:rsidRPr="003736F5">
        <w:rPr>
          <w:rFonts w:cs="Times New Roman"/>
          <w:color w:val="000000"/>
        </w:rPr>
        <w:t>a firm</w:t>
      </w:r>
      <w:r w:rsidR="009B13F0" w:rsidRPr="003736F5">
        <w:rPr>
          <w:rFonts w:cs="Times New Roman"/>
          <w:color w:val="000000"/>
        </w:rPr>
        <w:t xml:space="preserve"> had a</w:t>
      </w:r>
      <w:r w:rsidR="00B377E4" w:rsidRPr="003736F5">
        <w:rPr>
          <w:rFonts w:cs="Times New Roman"/>
          <w:color w:val="000000"/>
        </w:rPr>
        <w:t>ll</w:t>
      </w:r>
      <w:r w:rsidR="00F92A43" w:rsidRPr="003736F5">
        <w:rPr>
          <w:rFonts w:cs="Times New Roman"/>
          <w:color w:val="000000"/>
        </w:rPr>
        <w:t xml:space="preserve"> </w:t>
      </w:r>
      <w:r w:rsidR="00B377E4" w:rsidRPr="003736F5">
        <w:rPr>
          <w:rFonts w:cs="Times New Roman"/>
          <w:color w:val="000000"/>
        </w:rPr>
        <w:t>observations</w:t>
      </w:r>
      <w:r w:rsidR="00DD7122" w:rsidRPr="003736F5">
        <w:rPr>
          <w:rFonts w:cs="Times New Roman"/>
          <w:color w:val="000000"/>
        </w:rPr>
        <w:t xml:space="preserve"> but no </w:t>
      </w:r>
      <w:r w:rsidR="009C5CED" w:rsidRPr="003736F5">
        <w:rPr>
          <w:rFonts w:cs="Times New Roman"/>
          <w:color w:val="000000"/>
        </w:rPr>
        <w:t>data</w:t>
      </w:r>
      <w:r w:rsidR="00670E79" w:rsidRPr="003736F5">
        <w:rPr>
          <w:rFonts w:cs="Times New Roman"/>
          <w:color w:val="000000"/>
        </w:rPr>
        <w:t xml:space="preserve"> for </w:t>
      </w:r>
      <w:r w:rsidR="00DD7122" w:rsidRPr="003736F5">
        <w:rPr>
          <w:rFonts w:cs="Times New Roman"/>
          <w:color w:val="000000"/>
        </w:rPr>
        <w:t>2005, we would</w:t>
      </w:r>
      <w:r w:rsidR="004138F6" w:rsidRPr="003736F5">
        <w:rPr>
          <w:rFonts w:cs="Times New Roman"/>
          <w:color w:val="000000"/>
        </w:rPr>
        <w:t xml:space="preserve"> </w:t>
      </w:r>
      <w:r w:rsidR="00DD7122" w:rsidRPr="003736F5">
        <w:rPr>
          <w:rFonts w:cs="Times New Roman"/>
          <w:color w:val="000000"/>
        </w:rPr>
        <w:t xml:space="preserve">impute the 2005 </w:t>
      </w:r>
      <w:r w:rsidR="009C5CED" w:rsidRPr="003736F5">
        <w:rPr>
          <w:rFonts w:cs="Times New Roman"/>
          <w:color w:val="000000"/>
        </w:rPr>
        <w:t xml:space="preserve">data </w:t>
      </w:r>
      <w:r w:rsidR="005F5DFE" w:rsidRPr="003736F5">
        <w:rPr>
          <w:rFonts w:cs="Times New Roman"/>
          <w:color w:val="000000"/>
        </w:rPr>
        <w:t>1000</w:t>
      </w:r>
      <w:r w:rsidR="0081375F" w:rsidRPr="003736F5">
        <w:rPr>
          <w:rFonts w:cs="Times New Roman"/>
          <w:color w:val="000000"/>
        </w:rPr>
        <w:t xml:space="preserve"> times</w:t>
      </w:r>
      <w:r w:rsidR="006D4BF3" w:rsidRPr="003736F5">
        <w:rPr>
          <w:rFonts w:cs="Times New Roman"/>
          <w:color w:val="000000"/>
        </w:rPr>
        <w:t xml:space="preserve"> </w:t>
      </w:r>
      <w:r w:rsidR="00960735" w:rsidRPr="003736F5">
        <w:rPr>
          <w:rFonts w:cs="Times New Roman"/>
          <w:color w:val="000000"/>
        </w:rPr>
        <w:t>and</w:t>
      </w:r>
      <w:r w:rsidR="00E5066F" w:rsidRPr="003736F5">
        <w:rPr>
          <w:rFonts w:cs="Times New Roman"/>
          <w:color w:val="000000"/>
        </w:rPr>
        <w:t xml:space="preserve"> </w:t>
      </w:r>
      <w:r w:rsidR="00A4178C" w:rsidRPr="003736F5">
        <w:rPr>
          <w:rFonts w:cs="Times New Roman"/>
          <w:color w:val="000000"/>
        </w:rPr>
        <w:t xml:space="preserve">produce 1000 datasets, which then were used to </w:t>
      </w:r>
      <w:r w:rsidR="00960735" w:rsidRPr="003736F5">
        <w:rPr>
          <w:rFonts w:cs="Times New Roman"/>
          <w:color w:val="000000"/>
        </w:rPr>
        <w:t>estimat</w:t>
      </w:r>
      <w:r w:rsidR="00D93609" w:rsidRPr="003736F5">
        <w:rPr>
          <w:rFonts w:cs="Times New Roman"/>
          <w:color w:val="000000"/>
        </w:rPr>
        <w:t>e</w:t>
      </w:r>
      <w:r w:rsidR="00D72B7F" w:rsidRPr="003736F5">
        <w:rPr>
          <w:rFonts w:cs="Times New Roman"/>
          <w:color w:val="000000"/>
        </w:rPr>
        <w:t xml:space="preserve"> </w:t>
      </w:r>
      <w:r w:rsidR="00C22B13" w:rsidRPr="003736F5">
        <w:rPr>
          <w:rFonts w:cs="Times New Roman"/>
          <w:color w:val="000000"/>
        </w:rPr>
        <w:t>1000</w:t>
      </w:r>
      <w:r w:rsidR="00E125E5" w:rsidRPr="003736F5">
        <w:rPr>
          <w:rFonts w:cs="Times New Roman"/>
          <w:color w:val="000000"/>
        </w:rPr>
        <w:t xml:space="preserve"> </w:t>
      </w:r>
      <w:r w:rsidR="0032543C" w:rsidRPr="003736F5">
        <w:rPr>
          <w:rFonts w:cs="Times New Roman"/>
          <w:color w:val="000000"/>
        </w:rPr>
        <w:t>separate</w:t>
      </w:r>
      <w:r w:rsidR="00A5478A" w:rsidRPr="003736F5">
        <w:rPr>
          <w:rFonts w:cs="Times New Roman"/>
          <w:color w:val="000000"/>
        </w:rPr>
        <w:t xml:space="preserve"> </w:t>
      </w:r>
      <w:r w:rsidR="00DB0640" w:rsidRPr="003736F5">
        <w:rPr>
          <w:rFonts w:cs="Times New Roman"/>
          <w:color w:val="000000"/>
        </w:rPr>
        <w:t>models</w:t>
      </w:r>
      <w:r w:rsidR="009C1738" w:rsidRPr="003736F5">
        <w:rPr>
          <w:rFonts w:cs="Times New Roman"/>
          <w:color w:val="000000"/>
        </w:rPr>
        <w:t xml:space="preserve"> defined</w:t>
      </w:r>
      <w:r w:rsidR="00A5478A" w:rsidRPr="003736F5">
        <w:rPr>
          <w:rFonts w:cs="Times New Roman"/>
          <w:color w:val="000000"/>
        </w:rPr>
        <w:t xml:space="preserve"> in</w:t>
      </w:r>
      <w:r w:rsidR="00960735" w:rsidRPr="003736F5">
        <w:rPr>
          <w:rFonts w:cs="Times New Roman"/>
          <w:color w:val="000000"/>
        </w:rPr>
        <w:t xml:space="preserve"> eq</w:t>
      </w:r>
      <w:r w:rsidR="00E125E5" w:rsidRPr="003736F5">
        <w:rPr>
          <w:rFonts w:cs="Times New Roman"/>
          <w:color w:val="000000"/>
        </w:rPr>
        <w:t>uation</w:t>
      </w:r>
      <w:r w:rsidR="00960735" w:rsidRPr="003736F5">
        <w:rPr>
          <w:rFonts w:cs="Times New Roman"/>
          <w:color w:val="000000"/>
        </w:rPr>
        <w:t xml:space="preserve"> (6). </w:t>
      </w:r>
    </w:p>
    <w:p w14:paraId="35FF14C7" w14:textId="20398BEC" w:rsidR="00A02CB5" w:rsidRPr="003736F5" w:rsidRDefault="005E7664" w:rsidP="001C1B91">
      <w:pPr>
        <w:pStyle w:val="Heading2"/>
        <w:rPr>
          <w:rFonts w:ascii="Times New Roman" w:hAnsi="Times New Roman"/>
        </w:rPr>
      </w:pPr>
      <w:r w:rsidRPr="003736F5">
        <w:rPr>
          <w:rFonts w:ascii="Times New Roman" w:hAnsi="Times New Roman"/>
        </w:rPr>
        <w:t>4</w:t>
      </w:r>
      <w:r w:rsidR="00A02CB5" w:rsidRPr="003736F5">
        <w:rPr>
          <w:rFonts w:ascii="Times New Roman" w:hAnsi="Times New Roman"/>
        </w:rPr>
        <w:t xml:space="preserve">.5. </w:t>
      </w:r>
      <w:r w:rsidR="00810221" w:rsidRPr="003736F5">
        <w:rPr>
          <w:rFonts w:ascii="Times New Roman" w:hAnsi="Times New Roman"/>
        </w:rPr>
        <w:t xml:space="preserve">Difference in Difference Estimator </w:t>
      </w:r>
    </w:p>
    <w:p w14:paraId="5EE55735" w14:textId="7A7E345A" w:rsidR="008E4070" w:rsidRPr="003736F5" w:rsidRDefault="76815306" w:rsidP="008E4070">
      <w:pPr>
        <w:rPr>
          <w:rFonts w:cs="Times New Roman"/>
          <w:lang w:val="en-US"/>
        </w:rPr>
      </w:pPr>
      <w:r w:rsidRPr="003736F5">
        <w:rPr>
          <w:rFonts w:cs="Times New Roman"/>
          <w:lang w:val="en-US"/>
        </w:rPr>
        <w:t>To compare the findings to more traditional approaches, we also conduct analysis with a more standard difference in difference estimator that has been widely employed in numerous recent publications in SBEJ (Amamou et al., 2022; Bailey, 2017; Biancalani et al., 2022; Liu et al., 2019; Dosi et al., 2012; Lewis, 2017) that show various specifications and empirical strategies of this approach. There seems to be no consensus on which strategies are preferred, with scholars trading increasingly restrictive assumptions with solutions to various issues, such as heteroscedasticity and autocorrelation.</w:t>
      </w:r>
    </w:p>
    <w:p w14:paraId="1F4F6951" w14:textId="213E832C" w:rsidR="008E4070" w:rsidRPr="003736F5" w:rsidRDefault="76815306" w:rsidP="008E4070">
      <w:pPr>
        <w:rPr>
          <w:rFonts w:cs="Times New Roman"/>
          <w:lang w:val="en-US"/>
        </w:rPr>
      </w:pPr>
      <w:r w:rsidRPr="003736F5">
        <w:rPr>
          <w:rFonts w:cs="Times New Roman"/>
          <w:lang w:val="en-US"/>
        </w:rPr>
        <w:t xml:space="preserve">We primarily follow the empirical strategy adopted in the recent study by Biancalani et al. (2022), who also offer a more detailed explanation of the methodology behind the estimator. Our difference in difference estimator thus departs from the standard specification in that the treatment variable is equal to 1 for firms receiving SBRR and only during years when they </w:t>
      </w:r>
      <w:proofErr w:type="gramStart"/>
      <w:r w:rsidRPr="003736F5">
        <w:rPr>
          <w:rFonts w:cs="Times New Roman"/>
          <w:lang w:val="en-US"/>
        </w:rPr>
        <w:t>actually receive</w:t>
      </w:r>
      <w:proofErr w:type="gramEnd"/>
      <w:r w:rsidRPr="003736F5">
        <w:rPr>
          <w:rFonts w:cs="Times New Roman"/>
          <w:lang w:val="en-US"/>
        </w:rPr>
        <w:t xml:space="preserve"> SBRR and 0 otherwise in models (1) to (4). In addition, we incorporate the extent of SBRR in models (5) to (8). We control for firm and time fixed effects in all specifications and cluster standard errors on sector</w:t>
      </w:r>
      <w:r w:rsidR="00FB46BB" w:rsidRPr="003736F5">
        <w:rPr>
          <w:rFonts w:cs="Times New Roman"/>
          <w:lang w:val="en-US"/>
        </w:rPr>
        <w:t>s</w:t>
      </w:r>
      <w:r w:rsidRPr="003736F5">
        <w:rPr>
          <w:rFonts w:cs="Times New Roman"/>
          <w:lang w:val="en-US"/>
        </w:rPr>
        <w:t xml:space="preserve">. We also include similar controls to those </w:t>
      </w:r>
      <w:r w:rsidRPr="003736F5">
        <w:rPr>
          <w:rFonts w:cs="Times New Roman"/>
          <w:lang w:val="en-US"/>
        </w:rPr>
        <w:lastRenderedPageBreak/>
        <w:t xml:space="preserve">in </w:t>
      </w:r>
      <w:r w:rsidRPr="003736F5">
        <w:rPr>
          <w:rFonts w:cs="Times New Roman"/>
          <w:i/>
          <w:iCs/>
          <w:lang w:val="en-US"/>
        </w:rPr>
        <w:t xml:space="preserve">f(.) </w:t>
      </w:r>
      <w:r w:rsidRPr="003736F5">
        <w:rPr>
          <w:rFonts w:cs="Times New Roman"/>
          <w:lang w:val="en-US"/>
        </w:rPr>
        <w:t xml:space="preserve">in </w:t>
      </w:r>
      <w:r w:rsidRPr="003736F5">
        <w:rPr>
          <w:rFonts w:cs="Times New Roman"/>
          <w:i/>
          <w:iCs/>
          <w:lang w:val="en-US"/>
        </w:rPr>
        <w:t>equation 3</w:t>
      </w:r>
      <w:r w:rsidRPr="003736F5">
        <w:rPr>
          <w:rFonts w:cs="Times New Roman"/>
          <w:lang w:val="en-US"/>
        </w:rPr>
        <w:t xml:space="preserve"> in models (3), (4), (7) and (8). We estimate the treatment effect with the simple fixed effects panel regression in models (1), (3), (5) and (7), which we compare to estimates in models (2), (4), (6) and (8) that use Newey and West’s (1994) automatic bandwidth selection procedure to produce heteroscedastic and autocorrelation consistent estimation of the covariance matrix of the coefficient.</w:t>
      </w:r>
    </w:p>
    <w:p w14:paraId="29A28C0D" w14:textId="0E6A4423" w:rsidR="00B06DFF" w:rsidRPr="003736F5" w:rsidRDefault="00B06DFF" w:rsidP="008E4070">
      <w:pPr>
        <w:rPr>
          <w:rFonts w:cs="Times New Roman"/>
          <w:lang w:val="en-US"/>
        </w:rPr>
      </w:pPr>
      <w:r w:rsidRPr="003736F5">
        <w:rPr>
          <w:rFonts w:cs="Times New Roman"/>
          <w:lang w:val="en-US"/>
        </w:rPr>
        <w:t xml:space="preserve">Insert Table 1 </w:t>
      </w:r>
      <w:r w:rsidR="009175AF" w:rsidRPr="003736F5">
        <w:rPr>
          <w:rFonts w:cs="Times New Roman"/>
          <w:lang w:val="en-US"/>
        </w:rPr>
        <w:t>here.</w:t>
      </w:r>
    </w:p>
    <w:p w14:paraId="3AEA5E03" w14:textId="0807DBF5" w:rsidR="00B06DFF" w:rsidRPr="003736F5" w:rsidRDefault="00510D8F" w:rsidP="008E4070">
      <w:pPr>
        <w:rPr>
          <w:rFonts w:cs="Times New Roman"/>
          <w:lang w:val="en-US"/>
        </w:rPr>
      </w:pPr>
      <w:r w:rsidRPr="003736F5">
        <w:rPr>
          <w:rFonts w:cs="Times New Roman"/>
          <w:lang w:val="en-US"/>
        </w:rPr>
        <w:t xml:space="preserve">The results suggest that SBRR seem to have an adverse effect </w:t>
      </w:r>
      <w:r w:rsidR="00360210" w:rsidRPr="003736F5">
        <w:rPr>
          <w:rFonts w:cs="Times New Roman"/>
          <w:lang w:val="en-US"/>
        </w:rPr>
        <w:t>on</w:t>
      </w:r>
      <w:r w:rsidRPr="003736F5">
        <w:rPr>
          <w:rFonts w:cs="Times New Roman"/>
          <w:lang w:val="en-US"/>
        </w:rPr>
        <w:t xml:space="preserve"> some </w:t>
      </w:r>
      <w:r w:rsidR="00973948" w:rsidRPr="003736F5">
        <w:rPr>
          <w:rFonts w:cs="Times New Roman"/>
          <w:lang w:val="en-US"/>
        </w:rPr>
        <w:t>firms</w:t>
      </w:r>
      <w:r w:rsidR="00360210" w:rsidRPr="003736F5">
        <w:rPr>
          <w:rFonts w:cs="Times New Roman"/>
          <w:lang w:val="en-US"/>
        </w:rPr>
        <w:t xml:space="preserve"> in terms of their productivity</w:t>
      </w:r>
      <w:r w:rsidRPr="003736F5">
        <w:rPr>
          <w:rFonts w:cs="Times New Roman"/>
          <w:lang w:val="en-US"/>
        </w:rPr>
        <w:t xml:space="preserve">, but it does not alleviate a binding constraint for the average </w:t>
      </w:r>
      <w:r w:rsidR="00973948" w:rsidRPr="003736F5">
        <w:rPr>
          <w:rFonts w:cs="Times New Roman"/>
          <w:lang w:val="en-US"/>
        </w:rPr>
        <w:t>company</w:t>
      </w:r>
      <w:r w:rsidRPr="003736F5">
        <w:rPr>
          <w:rFonts w:cs="Times New Roman"/>
          <w:lang w:val="en-US"/>
        </w:rPr>
        <w:t xml:space="preserve">. </w:t>
      </w:r>
      <w:r w:rsidR="00B06DFF" w:rsidRPr="003736F5">
        <w:rPr>
          <w:rFonts w:cs="Times New Roman"/>
          <w:lang w:val="en-US"/>
        </w:rPr>
        <w:t xml:space="preserve">As reported in Table 1, we </w:t>
      </w:r>
      <w:r w:rsidR="00E30B5F" w:rsidRPr="003736F5">
        <w:rPr>
          <w:rFonts w:cs="Times New Roman"/>
          <w:lang w:val="en-US"/>
        </w:rPr>
        <w:t xml:space="preserve">find </w:t>
      </w:r>
      <w:r w:rsidR="00E472CF" w:rsidRPr="003736F5">
        <w:rPr>
          <w:rFonts w:cs="Times New Roman"/>
          <w:lang w:val="en-US"/>
        </w:rPr>
        <w:t>consistently</w:t>
      </w:r>
      <w:r w:rsidR="0086726D" w:rsidRPr="003736F5">
        <w:rPr>
          <w:rFonts w:cs="Times New Roman"/>
          <w:lang w:val="en-US"/>
        </w:rPr>
        <w:t xml:space="preserve"> </w:t>
      </w:r>
      <w:r w:rsidR="00E30B5F" w:rsidRPr="003736F5">
        <w:rPr>
          <w:rFonts w:cs="Times New Roman"/>
          <w:lang w:val="en-US"/>
        </w:rPr>
        <w:t>advers</w:t>
      </w:r>
      <w:r w:rsidR="00E472CF" w:rsidRPr="003736F5">
        <w:rPr>
          <w:rFonts w:cs="Times New Roman"/>
          <w:lang w:val="en-US"/>
        </w:rPr>
        <w:t>e</w:t>
      </w:r>
      <w:r w:rsidR="0086726D" w:rsidRPr="003736F5">
        <w:rPr>
          <w:rFonts w:cs="Times New Roman"/>
          <w:lang w:val="en-US"/>
        </w:rPr>
        <w:t xml:space="preserve"> treatment effect</w:t>
      </w:r>
      <w:r w:rsidR="0023599C" w:rsidRPr="003736F5">
        <w:rPr>
          <w:rFonts w:cs="Times New Roman"/>
          <w:lang w:val="en-US"/>
        </w:rPr>
        <w:t>s</w:t>
      </w:r>
      <w:r w:rsidR="00656E07" w:rsidRPr="003736F5">
        <w:rPr>
          <w:rFonts w:cs="Times New Roman"/>
          <w:lang w:val="en-US"/>
        </w:rPr>
        <w:t xml:space="preserve"> but these </w:t>
      </w:r>
      <w:r w:rsidR="0023599C" w:rsidRPr="003736F5">
        <w:rPr>
          <w:rFonts w:cs="Times New Roman"/>
          <w:lang w:val="en-US"/>
        </w:rPr>
        <w:t xml:space="preserve">effects amongst </w:t>
      </w:r>
      <w:r w:rsidR="00223817" w:rsidRPr="003736F5">
        <w:rPr>
          <w:rFonts w:cs="Times New Roman"/>
          <w:lang w:val="en-US"/>
        </w:rPr>
        <w:t xml:space="preserve">firms seem to </w:t>
      </w:r>
      <w:r w:rsidR="00C2071A" w:rsidRPr="003736F5">
        <w:rPr>
          <w:rFonts w:cs="Times New Roman"/>
          <w:lang w:val="en-US"/>
        </w:rPr>
        <w:t>vary</w:t>
      </w:r>
      <w:r w:rsidR="00573ACE" w:rsidRPr="003736F5">
        <w:rPr>
          <w:rFonts w:cs="Times New Roman"/>
          <w:lang w:val="en-US"/>
        </w:rPr>
        <w:t>,</w:t>
      </w:r>
      <w:r w:rsidR="00223817" w:rsidRPr="003736F5">
        <w:rPr>
          <w:rFonts w:cs="Times New Roman"/>
          <w:lang w:val="en-US"/>
        </w:rPr>
        <w:t xml:space="preserve"> as indicated by the relatively high error estimates </w:t>
      </w:r>
      <w:r w:rsidR="00E472CF" w:rsidRPr="003736F5">
        <w:rPr>
          <w:rFonts w:cs="Times New Roman"/>
          <w:lang w:val="en-US"/>
        </w:rPr>
        <w:t>in models (1) to (4)</w:t>
      </w:r>
      <w:r w:rsidR="00223817" w:rsidRPr="003736F5">
        <w:rPr>
          <w:rFonts w:cs="Times New Roman"/>
          <w:lang w:val="en-US"/>
        </w:rPr>
        <w:t xml:space="preserve"> that resulted in </w:t>
      </w:r>
      <w:r w:rsidR="00573ACE" w:rsidRPr="003736F5">
        <w:rPr>
          <w:rFonts w:cs="Times New Roman"/>
          <w:lang w:val="en-US"/>
        </w:rPr>
        <w:t>insignificant coefficients</w:t>
      </w:r>
      <w:r w:rsidR="00E472CF" w:rsidRPr="003736F5">
        <w:rPr>
          <w:rFonts w:cs="Times New Roman"/>
          <w:lang w:val="en-US"/>
        </w:rPr>
        <w:t>. Once we include the extent</w:t>
      </w:r>
      <w:r w:rsidR="002C2B13" w:rsidRPr="003736F5">
        <w:rPr>
          <w:rFonts w:cs="Times New Roman"/>
          <w:lang w:val="en-US"/>
        </w:rPr>
        <w:t xml:space="preserve"> of SBRR, </w:t>
      </w:r>
      <w:r w:rsidR="00573ACE" w:rsidRPr="003736F5">
        <w:rPr>
          <w:rFonts w:cs="Times New Roman"/>
          <w:lang w:val="en-US"/>
        </w:rPr>
        <w:t xml:space="preserve">the </w:t>
      </w:r>
      <w:r w:rsidR="00A12ECE" w:rsidRPr="003736F5">
        <w:rPr>
          <w:rFonts w:cs="Times New Roman"/>
          <w:lang w:val="en-US"/>
        </w:rPr>
        <w:t xml:space="preserve">negative </w:t>
      </w:r>
      <w:r w:rsidR="00E30B5F" w:rsidRPr="003736F5">
        <w:rPr>
          <w:rFonts w:cs="Times New Roman"/>
          <w:lang w:val="en-US"/>
        </w:rPr>
        <w:t>coefficient</w:t>
      </w:r>
      <w:r w:rsidR="00A67576" w:rsidRPr="003736F5">
        <w:rPr>
          <w:rFonts w:cs="Times New Roman"/>
          <w:lang w:val="en-US"/>
        </w:rPr>
        <w:t>s are greater</w:t>
      </w:r>
      <w:r w:rsidR="006F52E4" w:rsidRPr="003736F5">
        <w:rPr>
          <w:rFonts w:cs="Times New Roman"/>
          <w:lang w:val="en-US"/>
        </w:rPr>
        <w:t>,</w:t>
      </w:r>
      <w:r w:rsidR="00A67576" w:rsidRPr="003736F5">
        <w:rPr>
          <w:rFonts w:cs="Times New Roman"/>
          <w:lang w:val="en-US"/>
        </w:rPr>
        <w:t xml:space="preserve"> and the error terms are relatively smaller, resulting in </w:t>
      </w:r>
      <w:r w:rsidR="00843CA1" w:rsidRPr="003736F5">
        <w:rPr>
          <w:rFonts w:cs="Times New Roman"/>
          <w:lang w:val="en-US"/>
        </w:rPr>
        <w:t xml:space="preserve">a </w:t>
      </w:r>
      <w:r w:rsidR="006F52E4" w:rsidRPr="003736F5">
        <w:rPr>
          <w:rFonts w:cs="Times New Roman"/>
          <w:lang w:val="en-US"/>
        </w:rPr>
        <w:t xml:space="preserve">significant </w:t>
      </w:r>
      <w:r w:rsidR="00843CA1" w:rsidRPr="003736F5">
        <w:rPr>
          <w:rFonts w:cs="Times New Roman"/>
          <w:lang w:val="en-US"/>
        </w:rPr>
        <w:t>relationship</w:t>
      </w:r>
      <w:r w:rsidR="006F52E4" w:rsidRPr="003736F5">
        <w:rPr>
          <w:rFonts w:cs="Times New Roman"/>
          <w:lang w:val="en-US"/>
        </w:rPr>
        <w:t xml:space="preserve"> but </w:t>
      </w:r>
      <w:r w:rsidR="00573ACE" w:rsidRPr="003736F5">
        <w:rPr>
          <w:rFonts w:cs="Times New Roman"/>
          <w:lang w:val="en-US"/>
        </w:rPr>
        <w:t>only</w:t>
      </w:r>
      <w:r w:rsidR="00280A56" w:rsidRPr="003736F5">
        <w:rPr>
          <w:rFonts w:cs="Times New Roman"/>
          <w:lang w:val="en-US"/>
        </w:rPr>
        <w:t xml:space="preserve"> at a 90% significance level</w:t>
      </w:r>
      <w:r w:rsidR="006025C0" w:rsidRPr="003736F5">
        <w:rPr>
          <w:rFonts w:cs="Times New Roman"/>
          <w:lang w:val="en-US"/>
        </w:rPr>
        <w:t xml:space="preserve"> in models (5), (7) and (8)</w:t>
      </w:r>
      <w:r w:rsidR="00F03F35" w:rsidRPr="003736F5">
        <w:rPr>
          <w:rFonts w:cs="Times New Roman"/>
          <w:lang w:val="en-US"/>
        </w:rPr>
        <w:t xml:space="preserve">, indicating </w:t>
      </w:r>
      <w:r w:rsidR="00544FAC" w:rsidRPr="003736F5">
        <w:rPr>
          <w:rFonts w:cs="Times New Roman"/>
          <w:lang w:val="en-US"/>
        </w:rPr>
        <w:t>that</w:t>
      </w:r>
      <w:r w:rsidR="00453AFD" w:rsidRPr="003736F5">
        <w:rPr>
          <w:rFonts w:cs="Times New Roman"/>
          <w:lang w:val="en-US"/>
        </w:rPr>
        <w:t xml:space="preserve"> </w:t>
      </w:r>
      <w:r w:rsidR="00ED102C" w:rsidRPr="003736F5">
        <w:rPr>
          <w:rFonts w:cs="Times New Roman"/>
          <w:lang w:val="en-US"/>
        </w:rPr>
        <w:t xml:space="preserve">the likelihood of </w:t>
      </w:r>
      <w:r w:rsidR="00DB137A" w:rsidRPr="003736F5">
        <w:rPr>
          <w:rFonts w:cs="Times New Roman"/>
          <w:lang w:val="en-US"/>
        </w:rPr>
        <w:t>companies receiving more relief</w:t>
      </w:r>
      <w:r w:rsidR="004D68C4" w:rsidRPr="003736F5">
        <w:rPr>
          <w:rFonts w:cs="Times New Roman"/>
          <w:lang w:val="en-US"/>
        </w:rPr>
        <w:t xml:space="preserve"> </w:t>
      </w:r>
      <w:r w:rsidR="00DB137A" w:rsidRPr="003736F5">
        <w:rPr>
          <w:rFonts w:cs="Times New Roman"/>
          <w:lang w:val="en-US"/>
        </w:rPr>
        <w:t>to have lower productivity</w:t>
      </w:r>
      <w:r w:rsidR="004D68C4" w:rsidRPr="003736F5">
        <w:rPr>
          <w:rFonts w:cs="Times New Roman"/>
          <w:lang w:val="en-US"/>
        </w:rPr>
        <w:t xml:space="preserve"> is greater</w:t>
      </w:r>
      <w:r w:rsidR="00ED102C" w:rsidRPr="003736F5">
        <w:rPr>
          <w:rFonts w:cs="Times New Roman"/>
          <w:lang w:val="en-US"/>
        </w:rPr>
        <w:t xml:space="preserve">. For instance, those with </w:t>
      </w:r>
      <w:r w:rsidR="00453AFD" w:rsidRPr="003736F5">
        <w:rPr>
          <w:rFonts w:cs="Times New Roman"/>
          <w:lang w:val="en-US"/>
        </w:rPr>
        <w:t xml:space="preserve">100% SBRR have </w:t>
      </w:r>
      <w:r w:rsidR="006408C0" w:rsidRPr="003736F5">
        <w:rPr>
          <w:rFonts w:cs="Times New Roman"/>
          <w:lang w:val="en-US"/>
        </w:rPr>
        <w:t>0.6% lower productivity</w:t>
      </w:r>
      <w:r w:rsidR="004D68C4" w:rsidRPr="003736F5">
        <w:rPr>
          <w:rFonts w:cs="Times New Roman"/>
          <w:lang w:val="en-US"/>
        </w:rPr>
        <w:t>,</w:t>
      </w:r>
      <w:r w:rsidR="00ED102C" w:rsidRPr="003736F5">
        <w:rPr>
          <w:rFonts w:cs="Times New Roman"/>
          <w:lang w:val="en-US"/>
        </w:rPr>
        <w:t xml:space="preserve"> </w:t>
      </w:r>
      <w:r w:rsidR="00E411E6" w:rsidRPr="003736F5">
        <w:rPr>
          <w:rFonts w:cs="Times New Roman"/>
          <w:lang w:val="en-US"/>
        </w:rPr>
        <w:t xml:space="preserve">with </w:t>
      </w:r>
      <w:r w:rsidR="00ED102C" w:rsidRPr="003736F5">
        <w:rPr>
          <w:rFonts w:cs="Times New Roman"/>
          <w:lang w:val="en-US"/>
        </w:rPr>
        <w:t>other variables keeping constant</w:t>
      </w:r>
      <w:r w:rsidR="00AF17E9" w:rsidRPr="003736F5">
        <w:rPr>
          <w:rFonts w:cs="Times New Roman"/>
          <w:lang w:val="en-US"/>
        </w:rPr>
        <w:t xml:space="preserve">. </w:t>
      </w:r>
      <w:r w:rsidR="0023028D" w:rsidRPr="003736F5">
        <w:rPr>
          <w:rFonts w:cs="Times New Roman"/>
          <w:lang w:val="en-US"/>
        </w:rPr>
        <w:t>This, thus, support</w:t>
      </w:r>
      <w:r w:rsidR="00AB02D7" w:rsidRPr="003736F5">
        <w:rPr>
          <w:rFonts w:cs="Times New Roman"/>
          <w:lang w:val="en-US"/>
        </w:rPr>
        <w:t>s</w:t>
      </w:r>
      <w:r w:rsidR="0023028D" w:rsidRPr="003736F5">
        <w:rPr>
          <w:rFonts w:cs="Times New Roman"/>
          <w:lang w:val="en-US"/>
        </w:rPr>
        <w:t xml:space="preserve"> </w:t>
      </w:r>
      <w:r w:rsidR="00D1699B" w:rsidRPr="003736F5">
        <w:rPr>
          <w:rFonts w:cs="Times New Roman"/>
          <w:lang w:val="en-US"/>
        </w:rPr>
        <w:t xml:space="preserve">the need to explore </w:t>
      </w:r>
      <w:r w:rsidR="00D80148" w:rsidRPr="003736F5">
        <w:rPr>
          <w:rFonts w:cs="Times New Roman"/>
          <w:lang w:val="en-US"/>
        </w:rPr>
        <w:t>these</w:t>
      </w:r>
      <w:r w:rsidR="00D1699B" w:rsidRPr="003736F5">
        <w:rPr>
          <w:rFonts w:cs="Times New Roman"/>
          <w:lang w:val="en-US"/>
        </w:rPr>
        <w:t xml:space="preserve"> nuanced relationships</w:t>
      </w:r>
      <w:r w:rsidR="00D80148" w:rsidRPr="003736F5">
        <w:rPr>
          <w:rFonts w:cs="Times New Roman"/>
          <w:lang w:val="en-US"/>
        </w:rPr>
        <w:t xml:space="preserve"> further with such tools as REEM trees</w:t>
      </w:r>
      <w:r w:rsidR="00D1699B" w:rsidRPr="003736F5">
        <w:rPr>
          <w:rFonts w:cs="Times New Roman"/>
          <w:lang w:val="en-US"/>
        </w:rPr>
        <w:t xml:space="preserve">. </w:t>
      </w:r>
    </w:p>
    <w:p w14:paraId="1EACA023" w14:textId="2030E780" w:rsidR="00FB799A" w:rsidRPr="003736F5" w:rsidRDefault="005E7664" w:rsidP="00C27771">
      <w:pPr>
        <w:pStyle w:val="Heading2"/>
        <w:rPr>
          <w:rFonts w:ascii="Times New Roman" w:hAnsi="Times New Roman"/>
          <w:lang w:val="en-US"/>
        </w:rPr>
      </w:pPr>
      <w:r w:rsidRPr="003736F5">
        <w:rPr>
          <w:rFonts w:ascii="Times New Roman" w:hAnsi="Times New Roman"/>
        </w:rPr>
        <w:t>4</w:t>
      </w:r>
      <w:r w:rsidR="00FB799A" w:rsidRPr="003736F5">
        <w:rPr>
          <w:rFonts w:ascii="Times New Roman" w:hAnsi="Times New Roman"/>
        </w:rPr>
        <w:t>.6. Model Diagnostics</w:t>
      </w:r>
    </w:p>
    <w:p w14:paraId="3C605751" w14:textId="2BE00CE1" w:rsidR="005B052D" w:rsidRPr="003736F5" w:rsidRDefault="76815306" w:rsidP="76815306">
      <w:pPr>
        <w:rPr>
          <w:rFonts w:cs="Times New Roman"/>
          <w:lang w:val="en-US"/>
        </w:rPr>
      </w:pPr>
      <w:r w:rsidRPr="003736F5">
        <w:rPr>
          <w:rFonts w:cs="Times New Roman"/>
          <w:lang w:val="en-US"/>
        </w:rPr>
        <w:t xml:space="preserve">We also perform further model diagnostics to ensure that our model does not suffer from widely known issues. To overcome the issue of overfitting (Cook and Goldman, 1984), we impose a minimum number of observations in each final node. To test stability, we follow the Philipp et al. (2018) framework and implementation. The REEM trees achieved the highest stability score for this dataset, a median of 0.82. To assess the accuracy, we use 10-fold validation, </w:t>
      </w:r>
      <w:r w:rsidRPr="003736F5">
        <w:rPr>
          <w:rFonts w:cs="Times New Roman"/>
          <w:color w:val="000000" w:themeColor="text1"/>
        </w:rPr>
        <w:t xml:space="preserve">in which we compare the predictive capacity of our trees to other candidate </w:t>
      </w:r>
      <w:r w:rsidRPr="003736F5">
        <w:rPr>
          <w:rFonts w:cs="Times New Roman"/>
          <w:color w:val="000000" w:themeColor="text1"/>
        </w:rPr>
        <w:lastRenderedPageBreak/>
        <w:t>algorithms</w:t>
      </w:r>
      <w:r w:rsidRPr="003736F5">
        <w:rPr>
          <w:rFonts w:cs="Times New Roman"/>
          <w:lang w:val="en-US"/>
        </w:rPr>
        <w:t xml:space="preserve">. </w:t>
      </w:r>
      <w:r w:rsidRPr="003736F5">
        <w:rPr>
          <w:rFonts w:cs="Times New Roman"/>
          <w:color w:val="000000" w:themeColor="text1"/>
        </w:rPr>
        <w:t xml:space="preserve">The </w:t>
      </w:r>
      <w:r w:rsidRPr="003736F5">
        <w:rPr>
          <w:rFonts w:cs="Times New Roman"/>
          <w:lang w:val="en-US"/>
        </w:rPr>
        <w:t xml:space="preserve">REEM tree achieved a relatively high accuracy when compared to alternative methods. </w:t>
      </w:r>
      <w:r w:rsidR="00241FCA" w:rsidRPr="003736F5">
        <w:rPr>
          <w:rFonts w:cs="Times New Roman"/>
          <w:lang w:val="en-US"/>
        </w:rPr>
        <w:t xml:space="preserve">Root Mean Squared Error </w:t>
      </w:r>
      <w:r w:rsidRPr="003736F5">
        <w:rPr>
          <w:rFonts w:cs="Times New Roman"/>
          <w:lang w:val="en-US"/>
        </w:rPr>
        <w:t xml:space="preserve">estimates indicate that the REEM tree achieved the highest accuracy, but that was not the case with </w:t>
      </w:r>
      <w:r w:rsidR="00746C74" w:rsidRPr="003736F5">
        <w:rPr>
          <w:rFonts w:cs="Times New Roman"/>
          <w:lang w:val="en-US"/>
        </w:rPr>
        <w:t>Mean Absolute Error</w:t>
      </w:r>
      <w:r w:rsidRPr="003736F5">
        <w:rPr>
          <w:rFonts w:cs="Times New Roman"/>
          <w:lang w:val="en-US"/>
        </w:rPr>
        <w:t xml:space="preserve">, which accounts for extreme outliers. Based on </w:t>
      </w:r>
      <w:r w:rsidR="00437567" w:rsidRPr="003736F5">
        <w:rPr>
          <w:rFonts w:cs="Times New Roman"/>
          <w:lang w:val="en-US"/>
        </w:rPr>
        <w:t>this estimate</w:t>
      </w:r>
      <w:r w:rsidRPr="003736F5">
        <w:rPr>
          <w:rFonts w:cs="Times New Roman"/>
          <w:lang w:val="en-US"/>
        </w:rPr>
        <w:t>, random forests slightly outperformed REEM tree.</w:t>
      </w:r>
      <w:r w:rsidRPr="003736F5">
        <w:rPr>
          <w:rFonts w:cs="Times New Roman"/>
        </w:rPr>
        <w:t xml:space="preserve"> </w:t>
      </w:r>
      <w:r w:rsidRPr="003736F5">
        <w:rPr>
          <w:rFonts w:cs="Times New Roman"/>
          <w:lang w:val="en-US"/>
        </w:rPr>
        <w:t>More detailed procedures and results are reported in Appendix 3.</w:t>
      </w:r>
    </w:p>
    <w:bookmarkEnd w:id="4"/>
    <w:bookmarkEnd w:id="5"/>
    <w:p w14:paraId="4785471C" w14:textId="77777777" w:rsidR="004C660A" w:rsidRPr="003736F5" w:rsidRDefault="1CED0E00" w:rsidP="007B0104">
      <w:pPr>
        <w:pStyle w:val="Heading1"/>
        <w:numPr>
          <w:ilvl w:val="0"/>
          <w:numId w:val="10"/>
        </w:numPr>
        <w:jc w:val="left"/>
        <w:rPr>
          <w:iCs/>
          <w:szCs w:val="24"/>
        </w:rPr>
      </w:pPr>
      <w:r w:rsidRPr="003736F5">
        <w:t xml:space="preserve">Findings </w:t>
      </w:r>
    </w:p>
    <w:p w14:paraId="5F05E240" w14:textId="3F6079C1" w:rsidR="004C660A" w:rsidRPr="003736F5" w:rsidRDefault="00A30697" w:rsidP="00F33A4C">
      <w:pPr>
        <w:rPr>
          <w:rFonts w:cs="Times New Roman"/>
          <w:color w:val="000000"/>
          <w:szCs w:val="24"/>
        </w:rPr>
      </w:pPr>
      <w:r w:rsidRPr="003736F5">
        <w:rPr>
          <w:rFonts w:cs="Times New Roman"/>
          <w:color w:val="000000"/>
          <w:szCs w:val="24"/>
        </w:rPr>
        <w:t>Without any controls,</w:t>
      </w:r>
      <w:r w:rsidR="002E3C54" w:rsidRPr="003736F5">
        <w:rPr>
          <w:rFonts w:cs="Times New Roman"/>
          <w:color w:val="000000"/>
          <w:szCs w:val="24"/>
        </w:rPr>
        <w:t xml:space="preserve"> recipients </w:t>
      </w:r>
      <w:r w:rsidR="00F47371" w:rsidRPr="003736F5">
        <w:rPr>
          <w:rFonts w:cs="Times New Roman"/>
          <w:color w:val="000000"/>
          <w:szCs w:val="24"/>
        </w:rPr>
        <w:t>of SBRR had</w:t>
      </w:r>
      <w:r w:rsidR="00960299" w:rsidRPr="003736F5">
        <w:rPr>
          <w:rFonts w:cs="Times New Roman"/>
          <w:color w:val="000000"/>
          <w:szCs w:val="24"/>
        </w:rPr>
        <w:t xml:space="preserve"> on average</w:t>
      </w:r>
      <w:r w:rsidR="00F47371" w:rsidRPr="003736F5">
        <w:rPr>
          <w:rFonts w:cs="Times New Roman"/>
          <w:color w:val="000000"/>
          <w:szCs w:val="24"/>
        </w:rPr>
        <w:t xml:space="preserve"> 2.</w:t>
      </w:r>
      <w:r w:rsidR="00302E2A" w:rsidRPr="003736F5">
        <w:rPr>
          <w:rFonts w:cs="Times New Roman"/>
          <w:color w:val="000000"/>
          <w:szCs w:val="24"/>
        </w:rPr>
        <w:t>6</w:t>
      </w:r>
      <w:r w:rsidR="00524AD0" w:rsidRPr="003736F5">
        <w:rPr>
          <w:rFonts w:cs="Times New Roman"/>
          <w:color w:val="000000"/>
          <w:szCs w:val="24"/>
        </w:rPr>
        <w:t xml:space="preserve">% lower </w:t>
      </w:r>
      <w:r w:rsidR="001C1B91" w:rsidRPr="003736F5">
        <w:rPr>
          <w:rFonts w:cs="Times New Roman"/>
          <w:color w:val="000000"/>
        </w:rPr>
        <w:t xml:space="preserve">productivity </w:t>
      </w:r>
      <w:r w:rsidR="00524AD0" w:rsidRPr="003736F5">
        <w:rPr>
          <w:rFonts w:cs="Times New Roman"/>
          <w:color w:val="000000"/>
          <w:szCs w:val="24"/>
        </w:rPr>
        <w:t xml:space="preserve">in the matched sample and </w:t>
      </w:r>
      <w:r w:rsidR="0098384B" w:rsidRPr="003736F5">
        <w:rPr>
          <w:rFonts w:cs="Times New Roman"/>
          <w:color w:val="000000"/>
          <w:szCs w:val="24"/>
        </w:rPr>
        <w:t xml:space="preserve">2.7% lower </w:t>
      </w:r>
      <w:r w:rsidR="001C1B91" w:rsidRPr="003736F5">
        <w:rPr>
          <w:rFonts w:cs="Times New Roman"/>
          <w:color w:val="000000"/>
        </w:rPr>
        <w:t xml:space="preserve">productivity </w:t>
      </w:r>
      <w:r w:rsidR="0098384B" w:rsidRPr="003736F5">
        <w:rPr>
          <w:rFonts w:cs="Times New Roman"/>
          <w:color w:val="000000"/>
          <w:szCs w:val="24"/>
        </w:rPr>
        <w:t xml:space="preserve">in the </w:t>
      </w:r>
      <w:r w:rsidR="008B7DB9" w:rsidRPr="003736F5">
        <w:rPr>
          <w:rFonts w:cs="Times New Roman"/>
          <w:color w:val="000000"/>
          <w:szCs w:val="24"/>
        </w:rPr>
        <w:t>unmatched sample</w:t>
      </w:r>
      <w:r w:rsidR="0098384B" w:rsidRPr="003736F5">
        <w:rPr>
          <w:rFonts w:cs="Times New Roman"/>
          <w:color w:val="000000"/>
          <w:szCs w:val="24"/>
        </w:rPr>
        <w:t>.</w:t>
      </w:r>
      <w:r w:rsidR="008B7DB9" w:rsidRPr="003736F5">
        <w:rPr>
          <w:rFonts w:cs="Times New Roman"/>
          <w:color w:val="000000"/>
          <w:szCs w:val="24"/>
        </w:rPr>
        <w:t xml:space="preserve"> The </w:t>
      </w:r>
      <w:r w:rsidR="00892D69" w:rsidRPr="003736F5">
        <w:rPr>
          <w:rFonts w:cs="Times New Roman"/>
          <w:color w:val="000000"/>
          <w:szCs w:val="24"/>
        </w:rPr>
        <w:t>matching</w:t>
      </w:r>
      <w:r w:rsidR="008B7DB9" w:rsidRPr="003736F5">
        <w:rPr>
          <w:rFonts w:cs="Times New Roman"/>
          <w:color w:val="000000"/>
          <w:szCs w:val="24"/>
        </w:rPr>
        <w:t xml:space="preserve"> also </w:t>
      </w:r>
      <w:r w:rsidR="00E905F7" w:rsidRPr="003736F5">
        <w:rPr>
          <w:rFonts w:cs="Times New Roman"/>
          <w:color w:val="000000"/>
          <w:szCs w:val="24"/>
        </w:rPr>
        <w:t>reduced average productivity by 1</w:t>
      </w:r>
      <w:r w:rsidR="002034C8" w:rsidRPr="003736F5">
        <w:rPr>
          <w:rFonts w:cs="Times New Roman"/>
          <w:color w:val="000000"/>
          <w:szCs w:val="24"/>
        </w:rPr>
        <w:t>4.</w:t>
      </w:r>
      <w:r w:rsidR="00E905F7" w:rsidRPr="003736F5">
        <w:rPr>
          <w:rFonts w:cs="Times New Roman"/>
          <w:color w:val="000000"/>
          <w:szCs w:val="24"/>
        </w:rPr>
        <w:t>5%</w:t>
      </w:r>
      <w:r w:rsidR="00B26657" w:rsidRPr="003736F5">
        <w:rPr>
          <w:rFonts w:cs="Times New Roman"/>
          <w:color w:val="000000"/>
          <w:szCs w:val="24"/>
        </w:rPr>
        <w:t>,</w:t>
      </w:r>
      <w:r w:rsidR="00E905F7" w:rsidRPr="003736F5">
        <w:rPr>
          <w:rFonts w:cs="Times New Roman"/>
          <w:color w:val="000000"/>
          <w:szCs w:val="24"/>
        </w:rPr>
        <w:t xml:space="preserve"> indicating that possibly more productive larger firms were excluded from the analysis after matching. </w:t>
      </w:r>
      <w:r w:rsidR="004C660A" w:rsidRPr="003736F5">
        <w:rPr>
          <w:rFonts w:cs="Times New Roman"/>
          <w:color w:val="000000"/>
          <w:szCs w:val="24"/>
        </w:rPr>
        <w:t xml:space="preserve">In Figure </w:t>
      </w:r>
      <w:r w:rsidR="00151D56" w:rsidRPr="003736F5">
        <w:rPr>
          <w:rFonts w:cs="Times New Roman"/>
          <w:color w:val="000000"/>
          <w:szCs w:val="24"/>
        </w:rPr>
        <w:t>1</w:t>
      </w:r>
      <w:r w:rsidR="004C660A" w:rsidRPr="003736F5">
        <w:rPr>
          <w:rFonts w:cs="Times New Roman"/>
          <w:color w:val="000000"/>
          <w:szCs w:val="24"/>
        </w:rPr>
        <w:t xml:space="preserve">, we </w:t>
      </w:r>
      <w:r w:rsidR="00E905F7" w:rsidRPr="003736F5">
        <w:rPr>
          <w:rFonts w:cs="Times New Roman"/>
          <w:color w:val="000000"/>
          <w:szCs w:val="24"/>
        </w:rPr>
        <w:t xml:space="preserve">further </w:t>
      </w:r>
      <w:r w:rsidR="004C660A" w:rsidRPr="003736F5">
        <w:rPr>
          <w:rFonts w:cs="Times New Roman"/>
          <w:color w:val="000000"/>
          <w:szCs w:val="24"/>
        </w:rPr>
        <w:t xml:space="preserve">provide the firm-level evolution of estimated </w:t>
      </w:r>
      <w:r w:rsidR="001C1B91" w:rsidRPr="003736F5">
        <w:rPr>
          <w:rFonts w:cs="Times New Roman"/>
          <w:color w:val="000000"/>
        </w:rPr>
        <w:t xml:space="preserve">productivity </w:t>
      </w:r>
      <w:r w:rsidR="004C660A" w:rsidRPr="003736F5">
        <w:rPr>
          <w:rFonts w:cs="Times New Roman"/>
          <w:color w:val="000000"/>
          <w:szCs w:val="24"/>
        </w:rPr>
        <w:t xml:space="preserve">during 2005-2015 and link this to receipt and degree of SBRR. We see a dramatic drop and rebound just after the start of the economic crisis in 2008. The average level of </w:t>
      </w:r>
      <w:r w:rsidR="001C1B91" w:rsidRPr="003736F5">
        <w:rPr>
          <w:rFonts w:cs="Times New Roman"/>
          <w:color w:val="000000"/>
        </w:rPr>
        <w:t xml:space="preserve">productivity </w:t>
      </w:r>
      <w:r w:rsidR="004C660A" w:rsidRPr="003736F5">
        <w:rPr>
          <w:rFonts w:cs="Times New Roman"/>
          <w:color w:val="000000"/>
          <w:szCs w:val="24"/>
        </w:rPr>
        <w:t xml:space="preserve">was somewhat similar whether firms did or did not receive SBRR, although those in receipt of SBRR saw a steeper drop in 2008. We also see a weak identification of a negative trend, where the increases in reliefs are followed by the reduction </w:t>
      </w:r>
      <w:r w:rsidR="005442FA" w:rsidRPr="003736F5">
        <w:rPr>
          <w:rFonts w:cs="Times New Roman"/>
          <w:color w:val="000000"/>
          <w:szCs w:val="24"/>
        </w:rPr>
        <w:t>in</w:t>
      </w:r>
      <w:r w:rsidR="004C660A" w:rsidRPr="003736F5">
        <w:rPr>
          <w:rFonts w:cs="Times New Roman"/>
          <w:color w:val="000000"/>
          <w:szCs w:val="24"/>
        </w:rPr>
        <w:t xml:space="preserve"> </w:t>
      </w:r>
      <w:r w:rsidR="001C1B91" w:rsidRPr="003736F5">
        <w:rPr>
          <w:rFonts w:cs="Times New Roman"/>
          <w:color w:val="000000"/>
        </w:rPr>
        <w:t>productivity</w:t>
      </w:r>
      <w:r w:rsidR="00D47136" w:rsidRPr="003736F5">
        <w:rPr>
          <w:rFonts w:cs="Times New Roman"/>
          <w:color w:val="000000"/>
          <w:szCs w:val="24"/>
        </w:rPr>
        <w:t>.</w:t>
      </w:r>
      <w:r w:rsidR="004C660A" w:rsidRPr="003736F5">
        <w:rPr>
          <w:rFonts w:cs="Times New Roman"/>
          <w:color w:val="000000"/>
          <w:szCs w:val="24"/>
        </w:rPr>
        <w:t xml:space="preserve"> </w:t>
      </w:r>
      <w:r w:rsidR="00D47136" w:rsidRPr="003736F5">
        <w:rPr>
          <w:rFonts w:cs="Times New Roman"/>
          <w:color w:val="000000"/>
          <w:szCs w:val="24"/>
        </w:rPr>
        <w:t>T</w:t>
      </w:r>
      <w:r w:rsidR="004C660A" w:rsidRPr="003736F5">
        <w:rPr>
          <w:rFonts w:cs="Times New Roman"/>
          <w:color w:val="000000"/>
          <w:szCs w:val="24"/>
        </w:rPr>
        <w:t xml:space="preserve">his is, however, to a lesser extent post 2008 recession, when reliefs became more generous post 2010. Overall, there is diverse and complex variation around the average levels of productivity among these carefully matched firms. </w:t>
      </w:r>
    </w:p>
    <w:p w14:paraId="7FC597D3" w14:textId="06B61246" w:rsidR="004C660A" w:rsidRPr="003736F5" w:rsidRDefault="004C660A" w:rsidP="00F33A4C">
      <w:pPr>
        <w:rPr>
          <w:rFonts w:cs="Times New Roman"/>
          <w:color w:val="000000"/>
        </w:rPr>
      </w:pPr>
      <w:r w:rsidRPr="003736F5">
        <w:rPr>
          <w:rFonts w:cs="Times New Roman"/>
          <w:color w:val="000000"/>
        </w:rPr>
        <w:t xml:space="preserve">Insert Figure </w:t>
      </w:r>
      <w:r w:rsidR="00151D56" w:rsidRPr="003736F5">
        <w:rPr>
          <w:rFonts w:cs="Times New Roman"/>
          <w:color w:val="000000"/>
        </w:rPr>
        <w:t>1</w:t>
      </w:r>
      <w:r w:rsidRPr="003736F5">
        <w:rPr>
          <w:rFonts w:cs="Times New Roman"/>
          <w:color w:val="000000"/>
        </w:rPr>
        <w:t xml:space="preserve"> </w:t>
      </w:r>
      <w:r w:rsidR="009175AF" w:rsidRPr="003736F5">
        <w:rPr>
          <w:rFonts w:cs="Times New Roman"/>
          <w:color w:val="000000"/>
        </w:rPr>
        <w:t>here.</w:t>
      </w:r>
    </w:p>
    <w:p w14:paraId="5A5E6D0A" w14:textId="1C5AC398" w:rsidR="004C660A" w:rsidRPr="003736F5" w:rsidRDefault="004C660A" w:rsidP="00F33A4C">
      <w:pPr>
        <w:rPr>
          <w:rFonts w:cs="Times New Roman"/>
          <w:color w:val="000000"/>
        </w:rPr>
      </w:pPr>
      <w:r w:rsidRPr="003736F5">
        <w:rPr>
          <w:rFonts w:cs="Times New Roman"/>
          <w:color w:val="000000"/>
        </w:rPr>
        <w:t xml:space="preserve">Insert Figure </w:t>
      </w:r>
      <w:r w:rsidR="00151D56" w:rsidRPr="003736F5">
        <w:rPr>
          <w:rFonts w:cs="Times New Roman"/>
          <w:color w:val="000000"/>
        </w:rPr>
        <w:t>2</w:t>
      </w:r>
      <w:r w:rsidRPr="003736F5">
        <w:rPr>
          <w:rFonts w:cs="Times New Roman"/>
          <w:color w:val="000000"/>
        </w:rPr>
        <w:t xml:space="preserve"> </w:t>
      </w:r>
      <w:r w:rsidR="009175AF" w:rsidRPr="003736F5">
        <w:rPr>
          <w:rFonts w:cs="Times New Roman"/>
          <w:color w:val="000000"/>
        </w:rPr>
        <w:t>here.</w:t>
      </w:r>
    </w:p>
    <w:p w14:paraId="738A0E58" w14:textId="40944C42" w:rsidR="004C660A" w:rsidRPr="003736F5" w:rsidRDefault="004C660A" w:rsidP="00F33A4C">
      <w:pPr>
        <w:rPr>
          <w:rFonts w:cs="Times New Roman"/>
          <w:color w:val="000000"/>
        </w:rPr>
      </w:pPr>
      <w:r w:rsidRPr="003736F5">
        <w:rPr>
          <w:rFonts w:cs="Times New Roman"/>
          <w:color w:val="000000"/>
        </w:rPr>
        <w:t xml:space="preserve">We present the full </w:t>
      </w:r>
      <w:r w:rsidR="001C1B91" w:rsidRPr="003736F5">
        <w:rPr>
          <w:rFonts w:cs="Times New Roman"/>
          <w:color w:val="000000"/>
        </w:rPr>
        <w:t xml:space="preserve">productivity </w:t>
      </w:r>
      <w:r w:rsidRPr="003736F5">
        <w:rPr>
          <w:rFonts w:cs="Times New Roman"/>
          <w:color w:val="000000"/>
        </w:rPr>
        <w:t xml:space="preserve">decision tree estimates in Figure </w:t>
      </w:r>
      <w:r w:rsidR="00151D56" w:rsidRPr="003736F5">
        <w:rPr>
          <w:rFonts w:cs="Times New Roman"/>
          <w:color w:val="000000"/>
        </w:rPr>
        <w:t>2</w:t>
      </w:r>
      <w:r w:rsidRPr="003736F5">
        <w:rPr>
          <w:rFonts w:cs="Times New Roman"/>
          <w:color w:val="000000"/>
        </w:rPr>
        <w:t xml:space="preserve">, but given the number of significant groupings, we explode sections for more detailed analysis. The decision tree algorithm works by allowing the data to define ever more “pure” groups of firms which </w:t>
      </w:r>
      <w:r w:rsidRPr="003736F5">
        <w:rPr>
          <w:rFonts w:cs="Times New Roman"/>
          <w:color w:val="000000"/>
        </w:rPr>
        <w:lastRenderedPageBreak/>
        <w:t xml:space="preserve">explain variation in the dependent variable, in that the firms in the groups (nodes) are increasingly homogeneous. The final nodes give the number of firms in the group and the average level of </w:t>
      </w:r>
      <w:r w:rsidR="001C1B91" w:rsidRPr="003736F5">
        <w:rPr>
          <w:rFonts w:cs="Times New Roman"/>
          <w:color w:val="000000"/>
        </w:rPr>
        <w:t>productivity</w:t>
      </w:r>
      <w:r w:rsidRPr="003736F5">
        <w:rPr>
          <w:rFonts w:cs="Times New Roman"/>
          <w:color w:val="000000"/>
        </w:rPr>
        <w:t xml:space="preserve"> in terms of </w:t>
      </w:r>
      <w:r w:rsidR="001C1B91" w:rsidRPr="003736F5">
        <w:rPr>
          <w:rFonts w:cs="Times New Roman"/>
          <w:color w:val="000000"/>
        </w:rPr>
        <w:t>gross value added</w:t>
      </w:r>
      <w:r w:rsidRPr="003736F5">
        <w:rPr>
          <w:rFonts w:cs="Times New Roman"/>
          <w:color w:val="000000"/>
        </w:rPr>
        <w:t>. The splits are not strictly hierarchical as variables can enter a branch more than once</w:t>
      </w:r>
      <w:r w:rsidR="00D47136" w:rsidRPr="003736F5">
        <w:rPr>
          <w:rFonts w:cs="Times New Roman"/>
          <w:color w:val="000000"/>
        </w:rPr>
        <w:t>,</w:t>
      </w:r>
      <w:r w:rsidRPr="003736F5">
        <w:rPr>
          <w:rFonts w:cs="Times New Roman"/>
          <w:color w:val="000000"/>
        </w:rPr>
        <w:t xml:space="preserve"> but with different sub-values for points at which the data split.</w:t>
      </w:r>
    </w:p>
    <w:p w14:paraId="12552D86" w14:textId="1997EB97" w:rsidR="004C660A" w:rsidRPr="003736F5" w:rsidRDefault="004C660A" w:rsidP="00F33A4C">
      <w:pPr>
        <w:rPr>
          <w:rFonts w:cs="Times New Roman"/>
          <w:color w:val="000000"/>
        </w:rPr>
      </w:pPr>
      <w:r w:rsidRPr="003736F5">
        <w:rPr>
          <w:rFonts w:cs="Times New Roman"/>
          <w:color w:val="000000"/>
        </w:rPr>
        <w:t xml:space="preserve">Insert Figure </w:t>
      </w:r>
      <w:r w:rsidR="00151D56" w:rsidRPr="003736F5">
        <w:rPr>
          <w:rFonts w:cs="Times New Roman"/>
          <w:color w:val="000000"/>
        </w:rPr>
        <w:t>3</w:t>
      </w:r>
      <w:r w:rsidRPr="003736F5">
        <w:rPr>
          <w:rFonts w:cs="Times New Roman"/>
          <w:color w:val="000000"/>
        </w:rPr>
        <w:t xml:space="preserve"> </w:t>
      </w:r>
      <w:r w:rsidR="009175AF" w:rsidRPr="003736F5">
        <w:rPr>
          <w:rFonts w:cs="Times New Roman"/>
          <w:color w:val="000000"/>
        </w:rPr>
        <w:t>here.</w:t>
      </w:r>
    </w:p>
    <w:p w14:paraId="68C0225A" w14:textId="71B628B8" w:rsidR="004C660A" w:rsidRPr="003736F5" w:rsidRDefault="77100633" w:rsidP="003E676D">
      <w:pPr>
        <w:rPr>
          <w:rFonts w:cs="Times New Roman"/>
          <w:color w:val="000000"/>
        </w:rPr>
      </w:pPr>
      <w:r w:rsidRPr="003736F5">
        <w:rPr>
          <w:rFonts w:cs="Times New Roman"/>
          <w:color w:val="000000"/>
        </w:rPr>
        <w:t xml:space="preserve">The principal split is on a two-year lag of SBRR showing 12,502 observations with zero relief (left of the node in Figure </w:t>
      </w:r>
      <w:r w:rsidR="00151D56" w:rsidRPr="003736F5">
        <w:rPr>
          <w:rFonts w:cs="Times New Roman"/>
          <w:color w:val="000000"/>
        </w:rPr>
        <w:t>2</w:t>
      </w:r>
      <w:r w:rsidRPr="003736F5">
        <w:rPr>
          <w:rFonts w:cs="Times New Roman"/>
          <w:color w:val="000000"/>
        </w:rPr>
        <w:t xml:space="preserve">) and 2,540 with some relief (right of the node). In Figure </w:t>
      </w:r>
      <w:r w:rsidR="00151D56" w:rsidRPr="003736F5">
        <w:rPr>
          <w:rFonts w:cs="Times New Roman"/>
          <w:color w:val="000000"/>
        </w:rPr>
        <w:t>3</w:t>
      </w:r>
      <w:r w:rsidRPr="003736F5">
        <w:rPr>
          <w:rFonts w:cs="Times New Roman"/>
          <w:color w:val="000000"/>
        </w:rPr>
        <w:t xml:space="preserve">, we follow the 2,540 observations for firms receiving SBRR. The weighted average </w:t>
      </w:r>
      <w:r w:rsidR="001C1B91" w:rsidRPr="003736F5">
        <w:rPr>
          <w:rFonts w:cs="Times New Roman"/>
          <w:color w:val="000000"/>
        </w:rPr>
        <w:t xml:space="preserve">productivity </w:t>
      </w:r>
      <w:r w:rsidRPr="003736F5">
        <w:rPr>
          <w:rFonts w:cs="Times New Roman"/>
          <w:color w:val="000000"/>
        </w:rPr>
        <w:t xml:space="preserve">of these observations is six per cent lower than the other observations of firms not in receipt of SBRR. The first significant grouping along this branch is by region. In the Southern and Eastern regions of England, </w:t>
      </w:r>
      <w:proofErr w:type="gramStart"/>
      <w:r w:rsidRPr="003736F5">
        <w:rPr>
          <w:rFonts w:cs="Times New Roman"/>
          <w:color w:val="000000"/>
        </w:rPr>
        <w:t>Wales</w:t>
      </w:r>
      <w:proofErr w:type="gramEnd"/>
      <w:r w:rsidRPr="003736F5">
        <w:rPr>
          <w:rFonts w:cs="Times New Roman"/>
          <w:color w:val="000000"/>
        </w:rPr>
        <w:t xml:space="preserve"> and Scotland (others in Figure </w:t>
      </w:r>
      <w:r w:rsidR="00151D56" w:rsidRPr="003736F5">
        <w:rPr>
          <w:rFonts w:cs="Times New Roman"/>
          <w:color w:val="000000"/>
        </w:rPr>
        <w:t>3</w:t>
      </w:r>
      <w:r w:rsidRPr="003736F5">
        <w:rPr>
          <w:rFonts w:cs="Times New Roman"/>
          <w:color w:val="000000"/>
        </w:rPr>
        <w:t xml:space="preserve">), we identify a group of 1,222 observations with five-year lagged SBRR which divide on relief of 38 per cent. Observations for the 940 firms in these regions receiving lower relief have higher </w:t>
      </w:r>
      <w:r w:rsidR="001C1B91" w:rsidRPr="003736F5">
        <w:rPr>
          <w:rFonts w:cs="Times New Roman"/>
          <w:color w:val="000000"/>
        </w:rPr>
        <w:t>productivity</w:t>
      </w:r>
      <w:r w:rsidRPr="003736F5">
        <w:rPr>
          <w:rFonts w:cs="Times New Roman"/>
          <w:color w:val="000000"/>
        </w:rPr>
        <w:t xml:space="preserve">. The weighted </w:t>
      </w:r>
      <w:r w:rsidR="001C1B91" w:rsidRPr="003736F5">
        <w:rPr>
          <w:rFonts w:cs="Times New Roman"/>
          <w:color w:val="000000"/>
        </w:rPr>
        <w:t xml:space="preserve">productivity </w:t>
      </w:r>
      <w:r w:rsidRPr="003736F5">
        <w:rPr>
          <w:rFonts w:cs="Times New Roman"/>
          <w:color w:val="000000"/>
        </w:rPr>
        <w:t xml:space="preserve">for these 1,222 observations is lower than for observations in the Northern, Midlands and London regions of England, by more than three per cent. In fact, for these English regions, the next significant node is also on five-year lagged SBRR, which divides at a similar value of 40 per cent. The pattern of </w:t>
      </w:r>
      <w:r w:rsidR="001C1B91" w:rsidRPr="003736F5">
        <w:rPr>
          <w:rFonts w:cs="Times New Roman"/>
          <w:color w:val="000000"/>
        </w:rPr>
        <w:t xml:space="preserve">productivity </w:t>
      </w:r>
      <w:r w:rsidRPr="003736F5">
        <w:rPr>
          <w:rFonts w:cs="Times New Roman"/>
          <w:color w:val="000000"/>
        </w:rPr>
        <w:t xml:space="preserve">is the same, with lower </w:t>
      </w:r>
      <w:r w:rsidR="001C1B91" w:rsidRPr="003736F5">
        <w:rPr>
          <w:rFonts w:cs="Times New Roman"/>
          <w:color w:val="000000"/>
        </w:rPr>
        <w:t xml:space="preserve">productivity </w:t>
      </w:r>
      <w:r w:rsidRPr="003736F5">
        <w:rPr>
          <w:rFonts w:cs="Times New Roman"/>
          <w:color w:val="000000"/>
        </w:rPr>
        <w:t>for the 248 observations from firms receiving higher levels of relief than the 981 observations with lower or no relief. We conclude from this branch that irrespective of region and sector (excluding catering in some regions),</w:t>
      </w:r>
      <w:r w:rsidR="00EC2C57" w:rsidRPr="003736F5">
        <w:rPr>
          <w:rFonts w:cs="Times New Roman"/>
          <w:color w:val="000000"/>
        </w:rPr>
        <w:t xml:space="preserve"> when significant,</w:t>
      </w:r>
      <w:r w:rsidRPr="003736F5">
        <w:rPr>
          <w:rFonts w:cs="Times New Roman"/>
          <w:color w:val="000000"/>
        </w:rPr>
        <w:t xml:space="preserve"> </w:t>
      </w:r>
      <w:r w:rsidR="008A75D6" w:rsidRPr="003736F5">
        <w:rPr>
          <w:rFonts w:cs="Times New Roman"/>
          <w:color w:val="000000"/>
        </w:rPr>
        <w:t xml:space="preserve">the </w:t>
      </w:r>
      <w:r w:rsidR="003E676D" w:rsidRPr="003736F5">
        <w:rPr>
          <w:rFonts w:cs="Times New Roman"/>
          <w:color w:val="000000"/>
        </w:rPr>
        <w:t xml:space="preserve">greater </w:t>
      </w:r>
      <w:r w:rsidR="008A75D6" w:rsidRPr="003736F5">
        <w:rPr>
          <w:rFonts w:cs="Times New Roman"/>
          <w:color w:val="000000"/>
        </w:rPr>
        <w:t xml:space="preserve">extent of SBRR is broadly associated with lower </w:t>
      </w:r>
      <w:r w:rsidR="001C1B91" w:rsidRPr="003736F5">
        <w:rPr>
          <w:rFonts w:cs="Times New Roman"/>
          <w:color w:val="000000"/>
        </w:rPr>
        <w:t>productivity</w:t>
      </w:r>
      <w:r w:rsidRPr="003736F5">
        <w:rPr>
          <w:rFonts w:cs="Times New Roman"/>
          <w:color w:val="000000"/>
        </w:rPr>
        <w:t>.</w:t>
      </w:r>
    </w:p>
    <w:p w14:paraId="2DF2CB23" w14:textId="365270C1" w:rsidR="004C660A" w:rsidRPr="003736F5" w:rsidRDefault="004C660A" w:rsidP="00F33A4C">
      <w:pPr>
        <w:rPr>
          <w:rFonts w:cs="Times New Roman"/>
          <w:color w:val="000000"/>
        </w:rPr>
      </w:pPr>
      <w:r w:rsidRPr="003736F5">
        <w:rPr>
          <w:rFonts w:cs="Times New Roman"/>
          <w:color w:val="000000"/>
        </w:rPr>
        <w:t xml:space="preserve">Following the observations for firms which did not receive two-year lagged SBRR, we find the specific characteristics of firms </w:t>
      </w:r>
      <w:r w:rsidR="006D1D8B" w:rsidRPr="003736F5">
        <w:rPr>
          <w:rFonts w:cs="Times New Roman"/>
          <w:color w:val="000000"/>
        </w:rPr>
        <w:t xml:space="preserve">based in London differentiate them </w:t>
      </w:r>
      <w:r w:rsidRPr="003736F5">
        <w:rPr>
          <w:rFonts w:cs="Times New Roman"/>
          <w:color w:val="000000"/>
        </w:rPr>
        <w:t xml:space="preserve">from observations in </w:t>
      </w:r>
      <w:r w:rsidRPr="003736F5">
        <w:rPr>
          <w:rFonts w:cs="Times New Roman"/>
          <w:color w:val="000000"/>
        </w:rPr>
        <w:lastRenderedPageBreak/>
        <w:t xml:space="preserve">other regions. We firstly consider the 10,911 observations outside of London which next group on firm age, above and below 32 years of operation. In Figure </w:t>
      </w:r>
      <w:r w:rsidR="00151D56" w:rsidRPr="003736F5">
        <w:rPr>
          <w:rFonts w:cs="Times New Roman"/>
          <w:color w:val="000000"/>
        </w:rPr>
        <w:t>4</w:t>
      </w:r>
      <w:r w:rsidRPr="003736F5">
        <w:rPr>
          <w:rFonts w:cs="Times New Roman"/>
          <w:color w:val="000000"/>
        </w:rPr>
        <w:t xml:space="preserve"> (Group Two in Figure </w:t>
      </w:r>
      <w:r w:rsidR="00004F9F" w:rsidRPr="003736F5">
        <w:rPr>
          <w:rFonts w:cs="Times New Roman"/>
          <w:color w:val="000000"/>
        </w:rPr>
        <w:t>2</w:t>
      </w:r>
      <w:r w:rsidRPr="003736F5">
        <w:rPr>
          <w:rFonts w:cs="Times New Roman"/>
          <w:color w:val="000000"/>
        </w:rPr>
        <w:t xml:space="preserve">), we follow the 9,173 younger observations as these are influenced by SBRR. The 1,738 observations from firms at least 32 years old (Group Three in Figure </w:t>
      </w:r>
      <w:r w:rsidR="00151D56" w:rsidRPr="003736F5">
        <w:rPr>
          <w:rFonts w:cs="Times New Roman"/>
          <w:color w:val="000000"/>
        </w:rPr>
        <w:t>2</w:t>
      </w:r>
      <w:r w:rsidRPr="003736F5">
        <w:rPr>
          <w:rFonts w:cs="Times New Roman"/>
          <w:color w:val="000000"/>
        </w:rPr>
        <w:t xml:space="preserve">) have no grouping on SBRR and ultimately the observations group by sector and then by region. The weighted </w:t>
      </w:r>
      <w:r w:rsidR="001C1B91" w:rsidRPr="003736F5">
        <w:rPr>
          <w:rFonts w:cs="Times New Roman"/>
          <w:color w:val="000000"/>
        </w:rPr>
        <w:t xml:space="preserve">productivity </w:t>
      </w:r>
      <w:r w:rsidRPr="003736F5">
        <w:rPr>
          <w:rFonts w:cs="Times New Roman"/>
          <w:color w:val="000000"/>
        </w:rPr>
        <w:t>of these older observations is approximately five per</w:t>
      </w:r>
      <w:r w:rsidR="006D1D8B" w:rsidRPr="003736F5">
        <w:rPr>
          <w:rFonts w:cs="Times New Roman"/>
          <w:color w:val="000000"/>
        </w:rPr>
        <w:t xml:space="preserve"> </w:t>
      </w:r>
      <w:r w:rsidRPr="003736F5">
        <w:rPr>
          <w:rFonts w:cs="Times New Roman"/>
          <w:color w:val="000000"/>
        </w:rPr>
        <w:t xml:space="preserve">cent lower than for the younger observations, but with significant variation. 2,983 of the younger firm observations (Figure </w:t>
      </w:r>
      <w:r w:rsidR="00151D56" w:rsidRPr="003736F5">
        <w:rPr>
          <w:rFonts w:cs="Times New Roman"/>
          <w:color w:val="000000"/>
        </w:rPr>
        <w:t>4</w:t>
      </w:r>
      <w:r w:rsidRPr="003736F5">
        <w:rPr>
          <w:rFonts w:cs="Times New Roman"/>
          <w:color w:val="000000"/>
        </w:rPr>
        <w:t xml:space="preserve">), quickly come to an end node defined by high levels of local diversity, above 0.84 on the </w:t>
      </w:r>
      <w:r w:rsidR="001C1B91" w:rsidRPr="003736F5">
        <w:rPr>
          <w:rFonts w:cs="Times New Roman"/>
          <w:color w:val="000000"/>
        </w:rPr>
        <w:t>Jacobian production diversity index (</w:t>
      </w:r>
      <w:r w:rsidRPr="003736F5">
        <w:rPr>
          <w:rFonts w:cs="Times New Roman"/>
          <w:color w:val="000000"/>
        </w:rPr>
        <w:t>PD</w:t>
      </w:r>
      <w:r w:rsidR="001C1B91" w:rsidRPr="003736F5">
        <w:rPr>
          <w:rFonts w:cs="Times New Roman"/>
          <w:color w:val="000000"/>
        </w:rPr>
        <w:t>).</w:t>
      </w:r>
      <w:r w:rsidRPr="003736F5">
        <w:rPr>
          <w:rStyle w:val="FootnoteReference"/>
          <w:rFonts w:cs="Times New Roman"/>
          <w:color w:val="000000"/>
        </w:rPr>
        <w:footnoteReference w:id="14"/>
      </w:r>
      <w:r w:rsidRPr="003736F5">
        <w:rPr>
          <w:rFonts w:cs="Times New Roman"/>
          <w:color w:val="000000"/>
        </w:rPr>
        <w:t xml:space="preserve"> The Jacobian production diversity (PD) hypothesis is that greater local diversity enables innovation. Here we find some support for this, as the weighted average </w:t>
      </w:r>
      <w:r w:rsidR="001C1B91" w:rsidRPr="003736F5">
        <w:rPr>
          <w:rFonts w:cs="Times New Roman"/>
          <w:color w:val="000000"/>
        </w:rPr>
        <w:t xml:space="preserve">productivity </w:t>
      </w:r>
      <w:r w:rsidRPr="003736F5">
        <w:rPr>
          <w:rFonts w:cs="Times New Roman"/>
          <w:color w:val="000000"/>
        </w:rPr>
        <w:t>of these observations is approximately 3.6</w:t>
      </w:r>
      <w:r w:rsidR="006D1D8B" w:rsidRPr="003736F5">
        <w:rPr>
          <w:rFonts w:cs="Times New Roman"/>
          <w:color w:val="000000"/>
        </w:rPr>
        <w:t xml:space="preserve"> per cent </w:t>
      </w:r>
      <w:r w:rsidRPr="003736F5">
        <w:rPr>
          <w:rFonts w:cs="Times New Roman"/>
          <w:color w:val="000000"/>
        </w:rPr>
        <w:t xml:space="preserve">higher than the </w:t>
      </w:r>
      <w:r w:rsidR="001C1B91" w:rsidRPr="003736F5">
        <w:rPr>
          <w:rFonts w:cs="Times New Roman"/>
          <w:color w:val="000000"/>
        </w:rPr>
        <w:t xml:space="preserve">productivity </w:t>
      </w:r>
      <w:r w:rsidRPr="003736F5">
        <w:rPr>
          <w:rFonts w:cs="Times New Roman"/>
          <w:color w:val="000000"/>
        </w:rPr>
        <w:t>of others in two-digit postcode areas with a lower level of diversity. In the entire tree, we only find splits on Marshall Specialisation (</w:t>
      </w:r>
      <w:r w:rsidRPr="003736F5">
        <w:rPr>
          <w:rFonts w:cs="Times New Roman"/>
          <w:i/>
          <w:iCs/>
          <w:color w:val="000000"/>
        </w:rPr>
        <w:t>PS</w:t>
      </w:r>
      <w:r w:rsidRPr="003736F5">
        <w:rPr>
          <w:rFonts w:cs="Times New Roman"/>
          <w:color w:val="000000"/>
        </w:rPr>
        <w:t xml:space="preserve">) for areas of London. </w:t>
      </w:r>
    </w:p>
    <w:p w14:paraId="5667BB88" w14:textId="2B0153A3" w:rsidR="004C660A" w:rsidRPr="003736F5" w:rsidRDefault="004C660A" w:rsidP="00F33A4C">
      <w:pPr>
        <w:rPr>
          <w:rFonts w:cs="Times New Roman"/>
          <w:color w:val="000000"/>
        </w:rPr>
      </w:pPr>
      <w:r w:rsidRPr="003736F5">
        <w:rPr>
          <w:rFonts w:cs="Times New Roman"/>
          <w:color w:val="000000"/>
        </w:rPr>
        <w:t xml:space="preserve">Insert Figure </w:t>
      </w:r>
      <w:r w:rsidR="00151D56" w:rsidRPr="003736F5">
        <w:rPr>
          <w:rFonts w:cs="Times New Roman"/>
          <w:color w:val="000000"/>
        </w:rPr>
        <w:t>4</w:t>
      </w:r>
      <w:r w:rsidRPr="003736F5">
        <w:rPr>
          <w:rFonts w:cs="Times New Roman"/>
          <w:color w:val="000000"/>
        </w:rPr>
        <w:t xml:space="preserve"> </w:t>
      </w:r>
      <w:r w:rsidR="009175AF" w:rsidRPr="003736F5">
        <w:rPr>
          <w:rFonts w:cs="Times New Roman"/>
          <w:color w:val="000000"/>
        </w:rPr>
        <w:t>here.</w:t>
      </w:r>
    </w:p>
    <w:p w14:paraId="649224A0" w14:textId="1C3856D1" w:rsidR="004C660A" w:rsidRPr="003736F5" w:rsidRDefault="6D34E8CA" w:rsidP="00F33A4C">
      <w:pPr>
        <w:rPr>
          <w:rFonts w:cs="Times New Roman"/>
          <w:color w:val="000000"/>
        </w:rPr>
      </w:pPr>
      <w:r w:rsidRPr="003736F5">
        <w:rPr>
          <w:rFonts w:cs="Times New Roman"/>
          <w:color w:val="000000"/>
        </w:rPr>
        <w:t xml:space="preserve">Moving down the branch for </w:t>
      </w:r>
      <w:proofErr w:type="gramStart"/>
      <w:r w:rsidRPr="003736F5">
        <w:rPr>
          <w:rFonts w:cs="Times New Roman"/>
          <w:color w:val="000000"/>
        </w:rPr>
        <w:t>the majority of</w:t>
      </w:r>
      <w:proofErr w:type="gramEnd"/>
      <w:r w:rsidRPr="003736F5">
        <w:rPr>
          <w:rFonts w:cs="Times New Roman"/>
          <w:color w:val="000000"/>
        </w:rPr>
        <w:t xml:space="preserve"> firms, those with lower local output diversity (PD) we see, for all sectors except catering, that there is a complex division between long-term and short-term reliefs. </w:t>
      </w:r>
      <w:proofErr w:type="gramStart"/>
      <w:r w:rsidRPr="003736F5">
        <w:rPr>
          <w:rFonts w:cs="Times New Roman"/>
          <w:color w:val="000000"/>
        </w:rPr>
        <w:t>In particular, observations</w:t>
      </w:r>
      <w:proofErr w:type="gramEnd"/>
      <w:r w:rsidRPr="003736F5">
        <w:rPr>
          <w:rFonts w:cs="Times New Roman"/>
          <w:color w:val="000000"/>
        </w:rPr>
        <w:t xml:space="preserve"> with five-year lagged SBBR below 10 per cent and one-year lagged SBBR below 70 per cent are associated with </w:t>
      </w:r>
      <w:r w:rsidR="001C1B91" w:rsidRPr="003736F5">
        <w:rPr>
          <w:rFonts w:cs="Times New Roman"/>
          <w:color w:val="000000"/>
        </w:rPr>
        <w:t xml:space="preserve">productivity </w:t>
      </w:r>
      <w:r w:rsidRPr="003736F5">
        <w:rPr>
          <w:rFonts w:cs="Times New Roman"/>
          <w:color w:val="000000"/>
        </w:rPr>
        <w:t xml:space="preserve">generally higher than those which have five-year lagged relief above 10 per cent. We do see some subsequent small divisions with similar </w:t>
      </w:r>
      <w:r w:rsidR="001C1B91" w:rsidRPr="003736F5">
        <w:rPr>
          <w:rFonts w:cs="Times New Roman"/>
          <w:color w:val="000000"/>
        </w:rPr>
        <w:t>productivity</w:t>
      </w:r>
      <w:r w:rsidRPr="003736F5">
        <w:rPr>
          <w:rFonts w:cs="Times New Roman"/>
          <w:color w:val="000000"/>
        </w:rPr>
        <w:t>. Overall, we</w:t>
      </w:r>
      <w:r w:rsidR="00412C21" w:rsidRPr="003736F5">
        <w:rPr>
          <w:rFonts w:cs="Times New Roman"/>
          <w:color w:val="000000"/>
        </w:rPr>
        <w:t xml:space="preserve"> again</w:t>
      </w:r>
      <w:r w:rsidRPr="003736F5">
        <w:rPr>
          <w:rFonts w:cs="Times New Roman"/>
          <w:color w:val="000000"/>
        </w:rPr>
        <w:t xml:space="preserve"> find the recipients of greater SBRR are those with lower </w:t>
      </w:r>
      <w:r w:rsidR="001C1B91" w:rsidRPr="003736F5">
        <w:rPr>
          <w:rFonts w:cs="Times New Roman"/>
          <w:color w:val="000000"/>
        </w:rPr>
        <w:t>productivity</w:t>
      </w:r>
      <w:r w:rsidRPr="003736F5">
        <w:rPr>
          <w:rFonts w:cs="Times New Roman"/>
          <w:color w:val="000000"/>
        </w:rPr>
        <w:t xml:space="preserve">. </w:t>
      </w:r>
    </w:p>
    <w:p w14:paraId="5593EE42" w14:textId="49832917" w:rsidR="004C660A" w:rsidRPr="003736F5" w:rsidRDefault="1CED0E00" w:rsidP="00F33A4C">
      <w:pPr>
        <w:rPr>
          <w:rFonts w:cs="Times New Roman"/>
          <w:color w:val="000000"/>
        </w:rPr>
      </w:pPr>
      <w:r w:rsidRPr="003736F5">
        <w:rPr>
          <w:rFonts w:cs="Times New Roman"/>
          <w:color w:val="000000"/>
        </w:rPr>
        <w:lastRenderedPageBreak/>
        <w:t xml:space="preserve">Returning to the 1,591 observations in London (Group Four in Figure </w:t>
      </w:r>
      <w:r w:rsidR="00151D56" w:rsidRPr="003736F5">
        <w:rPr>
          <w:rFonts w:cs="Times New Roman"/>
          <w:color w:val="000000"/>
        </w:rPr>
        <w:t>2</w:t>
      </w:r>
      <w:r w:rsidRPr="003736F5">
        <w:rPr>
          <w:rFonts w:cs="Times New Roman"/>
          <w:color w:val="000000"/>
        </w:rPr>
        <w:t xml:space="preserve">) we calculate a weighted average </w:t>
      </w:r>
      <w:r w:rsidR="001C1B91" w:rsidRPr="003736F5">
        <w:rPr>
          <w:rFonts w:cs="Times New Roman"/>
          <w:color w:val="000000"/>
        </w:rPr>
        <w:t xml:space="preserve">productivity </w:t>
      </w:r>
      <w:r w:rsidRPr="003736F5">
        <w:rPr>
          <w:rFonts w:cs="Times New Roman"/>
          <w:color w:val="000000"/>
        </w:rPr>
        <w:t>five per</w:t>
      </w:r>
      <w:r w:rsidR="006D1D8B" w:rsidRPr="003736F5">
        <w:rPr>
          <w:rFonts w:cs="Times New Roman"/>
          <w:color w:val="000000"/>
        </w:rPr>
        <w:t xml:space="preserve"> </w:t>
      </w:r>
      <w:r w:rsidRPr="003736F5">
        <w:rPr>
          <w:rFonts w:cs="Times New Roman"/>
          <w:color w:val="000000"/>
        </w:rPr>
        <w:t xml:space="preserve">cent higher than in the rest of the UK. This seems to be driven by a relatively small number of observations in sectors other than catering, construction, production, property, </w:t>
      </w:r>
      <w:proofErr w:type="gramStart"/>
      <w:r w:rsidRPr="003736F5">
        <w:rPr>
          <w:rFonts w:cs="Times New Roman"/>
          <w:color w:val="000000"/>
        </w:rPr>
        <w:t>retail</w:t>
      </w:r>
      <w:proofErr w:type="gramEnd"/>
      <w:r w:rsidRPr="003736F5">
        <w:rPr>
          <w:rFonts w:cs="Times New Roman"/>
          <w:color w:val="000000"/>
        </w:rPr>
        <w:t xml:space="preserve"> or wholesale. However, we find no association with SBRR.</w:t>
      </w:r>
    </w:p>
    <w:p w14:paraId="2728358A" w14:textId="54B3B7AF" w:rsidR="004C660A" w:rsidRPr="003736F5" w:rsidRDefault="004C660A" w:rsidP="00F33A4C">
      <w:pPr>
        <w:rPr>
          <w:rFonts w:cs="Times New Roman"/>
          <w:color w:val="000000"/>
        </w:rPr>
      </w:pPr>
      <w:r w:rsidRPr="003736F5">
        <w:rPr>
          <w:rFonts w:cs="Times New Roman"/>
          <w:color w:val="000000"/>
        </w:rPr>
        <w:t xml:space="preserve">Overall, our findings show </w:t>
      </w:r>
      <w:r w:rsidR="00B22110" w:rsidRPr="003736F5">
        <w:rPr>
          <w:rFonts w:cs="Times New Roman"/>
          <w:color w:val="000000"/>
        </w:rPr>
        <w:t xml:space="preserve">that </w:t>
      </w:r>
      <w:r w:rsidRPr="003736F5">
        <w:rPr>
          <w:rFonts w:cs="Times New Roman"/>
          <w:color w:val="000000"/>
        </w:rPr>
        <w:t xml:space="preserve">continued receipt of higher reliefs is associated with lower </w:t>
      </w:r>
      <w:r w:rsidR="001C1B91" w:rsidRPr="003736F5">
        <w:rPr>
          <w:rFonts w:cs="Times New Roman"/>
          <w:color w:val="000000"/>
        </w:rPr>
        <w:t>productivity</w:t>
      </w:r>
      <w:r w:rsidRPr="003736F5">
        <w:rPr>
          <w:rFonts w:cs="Times New Roman"/>
          <w:color w:val="000000"/>
        </w:rPr>
        <w:t xml:space="preserve">. Other than SBRR, regional effects consistently explain variations in </w:t>
      </w:r>
      <w:r w:rsidR="001C1B91" w:rsidRPr="003736F5">
        <w:rPr>
          <w:rFonts w:cs="Times New Roman"/>
          <w:color w:val="000000"/>
        </w:rPr>
        <w:t>productivity</w:t>
      </w:r>
      <w:r w:rsidRPr="003736F5">
        <w:rPr>
          <w:rFonts w:cs="Times New Roman"/>
          <w:color w:val="000000"/>
        </w:rPr>
        <w:t xml:space="preserve">, but we cannot say, except for London, that there is a simple dominant geographical pattern. Interestingly, across the tree, we find nearly 4,000 observations in small areas with higher sectoral diversity (at least 0.78) have higher </w:t>
      </w:r>
      <w:r w:rsidR="001C1B91" w:rsidRPr="003736F5">
        <w:rPr>
          <w:rFonts w:cs="Times New Roman"/>
          <w:color w:val="000000"/>
        </w:rPr>
        <w:t xml:space="preserve">productivity </w:t>
      </w:r>
      <w:r w:rsidRPr="003736F5">
        <w:rPr>
          <w:rFonts w:cs="Times New Roman"/>
          <w:color w:val="000000"/>
        </w:rPr>
        <w:t>than those with lower diversity. This suggest</w:t>
      </w:r>
      <w:r w:rsidR="00FA2D42" w:rsidRPr="003736F5">
        <w:rPr>
          <w:rFonts w:cs="Times New Roman"/>
          <w:color w:val="000000"/>
        </w:rPr>
        <w:t>s that</w:t>
      </w:r>
      <w:r w:rsidRPr="003736F5">
        <w:rPr>
          <w:rFonts w:cs="Times New Roman"/>
          <w:color w:val="000000"/>
        </w:rPr>
        <w:t xml:space="preserve"> the underlying institutional factors stimulating diversity </w:t>
      </w:r>
      <w:r w:rsidR="00FA2D42" w:rsidRPr="003736F5">
        <w:rPr>
          <w:rFonts w:cs="Times New Roman"/>
          <w:color w:val="000000"/>
        </w:rPr>
        <w:t>could</w:t>
      </w:r>
      <w:r w:rsidRPr="003736F5">
        <w:rPr>
          <w:rFonts w:cs="Times New Roman"/>
          <w:color w:val="000000"/>
        </w:rPr>
        <w:t xml:space="preserve"> be a more logical policy target than generic tax reductions. </w:t>
      </w:r>
    </w:p>
    <w:p w14:paraId="4C9AC79F" w14:textId="77777777" w:rsidR="004C660A" w:rsidRPr="003736F5" w:rsidRDefault="1CED0E00" w:rsidP="007B0104">
      <w:pPr>
        <w:pStyle w:val="Heading1"/>
        <w:numPr>
          <w:ilvl w:val="0"/>
          <w:numId w:val="10"/>
        </w:numPr>
        <w:jc w:val="left"/>
      </w:pPr>
      <w:r w:rsidRPr="003736F5">
        <w:t>Conclusions</w:t>
      </w:r>
    </w:p>
    <w:p w14:paraId="546C64B6" w14:textId="2C56955B" w:rsidR="00C05476" w:rsidRPr="003736F5" w:rsidRDefault="00530D03" w:rsidP="00C05476">
      <w:pPr>
        <w:rPr>
          <w:rFonts w:cs="Times New Roman"/>
        </w:rPr>
      </w:pPr>
      <w:r w:rsidRPr="003736F5">
        <w:rPr>
          <w:rFonts w:cs="Times New Roman"/>
        </w:rPr>
        <w:t>This paper captured and visualised the significant</w:t>
      </w:r>
      <w:r w:rsidR="007D389B" w:rsidRPr="003736F5">
        <w:rPr>
          <w:rFonts w:cs="Times New Roman"/>
        </w:rPr>
        <w:t xml:space="preserve"> effects of SBRR on productivity and showed </w:t>
      </w:r>
      <w:r w:rsidR="00110452" w:rsidRPr="003736F5">
        <w:rPr>
          <w:rFonts w:cs="Times New Roman"/>
        </w:rPr>
        <w:t>how</w:t>
      </w:r>
      <w:r w:rsidR="007D389B" w:rsidRPr="003736F5">
        <w:rPr>
          <w:rFonts w:cs="Times New Roman"/>
        </w:rPr>
        <w:t xml:space="preserve"> these </w:t>
      </w:r>
      <w:r w:rsidR="00376A28" w:rsidRPr="003736F5">
        <w:rPr>
          <w:rFonts w:eastAsia="Times New Roman" w:cs="Times New Roman"/>
        </w:rPr>
        <w:t xml:space="preserve">interrelate with </w:t>
      </w:r>
      <w:r w:rsidR="00376A28" w:rsidRPr="003736F5">
        <w:rPr>
          <w:rFonts w:cs="Times New Roman"/>
        </w:rPr>
        <w:t xml:space="preserve">firm characteristics and location, </w:t>
      </w:r>
      <w:proofErr w:type="gramStart"/>
      <w:r w:rsidR="00376A28" w:rsidRPr="003736F5">
        <w:rPr>
          <w:rFonts w:cs="Times New Roman"/>
        </w:rPr>
        <w:t>market</w:t>
      </w:r>
      <w:proofErr w:type="gramEnd"/>
      <w:r w:rsidR="00376A28" w:rsidRPr="003736F5">
        <w:rPr>
          <w:rFonts w:cs="Times New Roman"/>
        </w:rPr>
        <w:t xml:space="preserve"> and industry dynamics.</w:t>
      </w:r>
      <w:r w:rsidRPr="003736F5">
        <w:rPr>
          <w:rFonts w:cs="Times New Roman"/>
        </w:rPr>
        <w:t xml:space="preserve"> By doing that, it </w:t>
      </w:r>
      <w:r w:rsidR="00701DAA" w:rsidRPr="003736F5">
        <w:rPr>
          <w:rFonts w:cs="Times New Roman"/>
        </w:rPr>
        <w:t>provided empirical evidence on the effects of mistargeting and capitalisation that w</w:t>
      </w:r>
      <w:r w:rsidR="005D588C" w:rsidRPr="003736F5">
        <w:rPr>
          <w:rFonts w:cs="Times New Roman"/>
        </w:rPr>
        <w:t>ere</w:t>
      </w:r>
      <w:r w:rsidR="00E21FC8" w:rsidRPr="003736F5">
        <w:rPr>
          <w:rFonts w:cs="Times New Roman"/>
        </w:rPr>
        <w:t xml:space="preserve"> previously only</w:t>
      </w:r>
      <w:r w:rsidR="00701DAA" w:rsidRPr="003736F5">
        <w:rPr>
          <w:rFonts w:cs="Times New Roman"/>
        </w:rPr>
        <w:t xml:space="preserve"> </w:t>
      </w:r>
      <w:r w:rsidR="00C24E0B" w:rsidRPr="003736F5">
        <w:rPr>
          <w:rFonts w:cs="Times New Roman"/>
        </w:rPr>
        <w:t xml:space="preserve">theorised </w:t>
      </w:r>
      <w:r w:rsidR="00E95FE6" w:rsidRPr="003736F5">
        <w:rPr>
          <w:rFonts w:cs="Times New Roman"/>
        </w:rPr>
        <w:t>in Matikonis (2020 and 2022)</w:t>
      </w:r>
      <w:r w:rsidR="00C24E0B" w:rsidRPr="003736F5">
        <w:rPr>
          <w:rFonts w:cs="Times New Roman"/>
        </w:rPr>
        <w:t xml:space="preserve">. </w:t>
      </w:r>
      <w:r w:rsidR="000D19D6" w:rsidRPr="003736F5">
        <w:rPr>
          <w:rFonts w:cs="Times New Roman"/>
        </w:rPr>
        <w:t>We discuss the main implications of the results from theoretical, practical, and methodological perspective</w:t>
      </w:r>
      <w:r w:rsidR="00D17CAF" w:rsidRPr="003736F5">
        <w:rPr>
          <w:rFonts w:cs="Times New Roman"/>
        </w:rPr>
        <w:t>s</w:t>
      </w:r>
      <w:r w:rsidR="000D19D6" w:rsidRPr="003736F5">
        <w:rPr>
          <w:rFonts w:cs="Times New Roman"/>
        </w:rPr>
        <w:t>.</w:t>
      </w:r>
    </w:p>
    <w:p w14:paraId="47AA3E7B" w14:textId="4CD950AC" w:rsidR="005C36EA" w:rsidRPr="003736F5" w:rsidRDefault="00060ED4" w:rsidP="00060ED4">
      <w:pPr>
        <w:pStyle w:val="Heading2"/>
        <w:numPr>
          <w:ilvl w:val="1"/>
          <w:numId w:val="10"/>
        </w:numPr>
        <w:rPr>
          <w:rFonts w:ascii="Times New Roman" w:hAnsi="Times New Roman"/>
        </w:rPr>
      </w:pPr>
      <w:r w:rsidRPr="003736F5">
        <w:rPr>
          <w:rFonts w:ascii="Times New Roman" w:hAnsi="Times New Roman"/>
        </w:rPr>
        <w:t xml:space="preserve">Contribution to </w:t>
      </w:r>
      <w:r w:rsidR="00451F4C" w:rsidRPr="003736F5">
        <w:rPr>
          <w:rFonts w:ascii="Times New Roman" w:hAnsi="Times New Roman"/>
        </w:rPr>
        <w:t>K</w:t>
      </w:r>
      <w:r w:rsidRPr="003736F5">
        <w:rPr>
          <w:rFonts w:ascii="Times New Roman" w:hAnsi="Times New Roman"/>
        </w:rPr>
        <w:t>nowledge</w:t>
      </w:r>
    </w:p>
    <w:p w14:paraId="28CF1AC6" w14:textId="2B38DFCE" w:rsidR="00817F8F" w:rsidRPr="003736F5" w:rsidRDefault="00817F8F" w:rsidP="00817F8F">
      <w:pPr>
        <w:rPr>
          <w:rFonts w:cs="Times New Roman"/>
        </w:rPr>
      </w:pPr>
      <w:r w:rsidRPr="003736F5">
        <w:rPr>
          <w:rFonts w:cs="Times New Roman"/>
        </w:rPr>
        <w:t xml:space="preserve">Our paper extends the existing knowledge in SBEJ on how taxation affects small businesses. The consensus is that taxes are detrimental to entrepreneurship (Baliamoune-Lutz and Garello, 2014; Bennett, 2020; Bruce and Mohsin, 2006; Ferede, 2021; Venâncio et al., 2022), </w:t>
      </w:r>
      <w:r w:rsidRPr="003736F5">
        <w:rPr>
          <w:rFonts w:cs="Times New Roman"/>
        </w:rPr>
        <w:lastRenderedPageBreak/>
        <w:t xml:space="preserve">including productivity (Romero-Jordán et al., 2020) and tax incentives have positive effects (Liu et al., 2019; Sterlacchini and Venturini, 2019; </w:t>
      </w:r>
      <w:r w:rsidR="00EA6B41" w:rsidRPr="003736F5">
        <w:rPr>
          <w:rFonts w:cs="Times New Roman"/>
        </w:rPr>
        <w:t>Venancio et al., 2022</w:t>
      </w:r>
      <w:r w:rsidRPr="003736F5">
        <w:rPr>
          <w:rFonts w:cs="Times New Roman"/>
        </w:rPr>
        <w:t>). Our results are contrary to these findings. This difference is likely to result from mistargeting and uneven capitalisation (as discussed in Matikonis 2020 and 2022), from which other</w:t>
      </w:r>
      <w:r w:rsidR="00A25D81" w:rsidRPr="003736F5">
        <w:rPr>
          <w:rFonts w:cs="Times New Roman"/>
        </w:rPr>
        <w:t xml:space="preserve"> tha</w:t>
      </w:r>
      <w:r w:rsidR="00F117C2" w:rsidRPr="003736F5">
        <w:rPr>
          <w:rFonts w:cs="Times New Roman"/>
        </w:rPr>
        <w:t>n</w:t>
      </w:r>
      <w:r w:rsidR="00A25D81" w:rsidRPr="003736F5">
        <w:rPr>
          <w:rFonts w:cs="Times New Roman"/>
        </w:rPr>
        <w:t xml:space="preserve"> property</w:t>
      </w:r>
      <w:r w:rsidRPr="003736F5">
        <w:rPr>
          <w:rFonts w:cs="Times New Roman"/>
        </w:rPr>
        <w:t xml:space="preserve"> tax instruments are less likely to suffer. </w:t>
      </w:r>
    </w:p>
    <w:p w14:paraId="365B7E32" w14:textId="4EA79B0D" w:rsidR="00440E3D" w:rsidRPr="003736F5" w:rsidRDefault="00DE592C" w:rsidP="005C36EA">
      <w:pPr>
        <w:rPr>
          <w:rFonts w:cs="Times New Roman"/>
          <w:color w:val="000000"/>
        </w:rPr>
      </w:pPr>
      <w:r w:rsidRPr="003736F5">
        <w:rPr>
          <w:rFonts w:cs="Times New Roman"/>
        </w:rPr>
        <w:t>W</w:t>
      </w:r>
      <w:r w:rsidR="00440E3D" w:rsidRPr="003736F5">
        <w:rPr>
          <w:rFonts w:cs="Times New Roman"/>
        </w:rPr>
        <w:t xml:space="preserve">e find that these relationships are not uniform but highly dependent </w:t>
      </w:r>
      <w:r w:rsidR="00440E3D" w:rsidRPr="003736F5">
        <w:rPr>
          <w:rFonts w:eastAsia="Times New Roman" w:cs="Times New Roman"/>
        </w:rPr>
        <w:t>on the context</w:t>
      </w:r>
      <w:r w:rsidR="00440E3D" w:rsidRPr="003736F5">
        <w:rPr>
          <w:rFonts w:cs="Times New Roman"/>
        </w:rPr>
        <w:t>, extending Hilber’s (2017) synthesis to non-domestic property</w:t>
      </w:r>
      <w:r w:rsidR="00440E3D" w:rsidRPr="003736F5">
        <w:rPr>
          <w:rFonts w:eastAsia="Times New Roman" w:cs="Times New Roman"/>
        </w:rPr>
        <w:t>. For instance, with regards to</w:t>
      </w:r>
      <w:r w:rsidR="00440E3D" w:rsidRPr="003736F5">
        <w:rPr>
          <w:rFonts w:cs="Times New Roman"/>
          <w:color w:val="000000"/>
        </w:rPr>
        <w:t xml:space="preserve"> regional patterns, London has a higher average weighted productivity, but this is related to only a small number of extreme firms, not SBRR. In the rest of the UK, we find for approximately one quarter of observations that higher productivity is associated with greater small area diversity</w:t>
      </w:r>
      <w:r w:rsidR="001C78D9" w:rsidRPr="003736F5">
        <w:rPr>
          <w:rFonts w:cs="Times New Roman"/>
          <w:color w:val="000000"/>
        </w:rPr>
        <w:t>,</w:t>
      </w:r>
      <w:r w:rsidR="00440E3D" w:rsidRPr="003736F5">
        <w:rPr>
          <w:rStyle w:val="FootnoteReference"/>
          <w:rFonts w:cs="Times New Roman"/>
          <w:color w:val="000000"/>
        </w:rPr>
        <w:footnoteReference w:id="15"/>
      </w:r>
      <w:r w:rsidR="00440E3D" w:rsidRPr="003736F5">
        <w:rPr>
          <w:rFonts w:cs="Times New Roman"/>
          <w:color w:val="000000"/>
        </w:rPr>
        <w:t xml:space="preserve"> particularly for younger firms. This finding is counter to Harris and Moffat (2017), who find agglomeration rather than diversity externalities are associated with higher productivity. This is likely to be because our approach accounts for the complex interaction effects of firm, place, industry and policy</w:t>
      </w:r>
      <w:r w:rsidR="0075219C" w:rsidRPr="003736F5">
        <w:rPr>
          <w:rFonts w:cs="Times New Roman"/>
          <w:color w:val="000000"/>
        </w:rPr>
        <w:t>.</w:t>
      </w:r>
      <w:r w:rsidR="00440E3D" w:rsidRPr="003736F5">
        <w:rPr>
          <w:rStyle w:val="FootnoteReference"/>
          <w:rFonts w:cs="Times New Roman"/>
          <w:color w:val="000000"/>
        </w:rPr>
        <w:footnoteReference w:id="16"/>
      </w:r>
      <w:r w:rsidR="00440E3D" w:rsidRPr="003736F5">
        <w:rPr>
          <w:rFonts w:cs="Times New Roman"/>
          <w:color w:val="000000"/>
        </w:rPr>
        <w:t xml:space="preserve"> Having said that, t</w:t>
      </w:r>
      <w:r w:rsidR="00440E3D" w:rsidRPr="003736F5">
        <w:rPr>
          <w:rFonts w:eastAsia="Times New Roman" w:cs="Times New Roman"/>
          <w:color w:val="000000"/>
        </w:rPr>
        <w:t xml:space="preserve">hese findings on small area production </w:t>
      </w:r>
      <w:r w:rsidR="00440E3D" w:rsidRPr="003736F5">
        <w:rPr>
          <w:rFonts w:cs="Times New Roman"/>
          <w:color w:val="000000"/>
        </w:rPr>
        <w:t>diversity do not suggest the central government should focus on building local diversity across the UK, but rather focus should stay on further devolution, enabling the inclusion of finer-grained local dynamics to produce more successful local growth policies.</w:t>
      </w:r>
    </w:p>
    <w:p w14:paraId="4E812866" w14:textId="2216A8DB" w:rsidR="00E702A0" w:rsidRPr="003736F5" w:rsidRDefault="00B06D74" w:rsidP="00E702A0">
      <w:pPr>
        <w:rPr>
          <w:rFonts w:cs="Times New Roman"/>
        </w:rPr>
      </w:pPr>
      <w:r w:rsidRPr="003736F5">
        <w:rPr>
          <w:rFonts w:cs="Times New Roman"/>
        </w:rPr>
        <w:t xml:space="preserve">Our findings </w:t>
      </w:r>
      <w:r w:rsidR="00C16C79" w:rsidRPr="003736F5">
        <w:rPr>
          <w:rFonts w:cs="Times New Roman"/>
        </w:rPr>
        <w:t>are</w:t>
      </w:r>
      <w:r w:rsidRPr="003736F5">
        <w:rPr>
          <w:rFonts w:cs="Times New Roman"/>
        </w:rPr>
        <w:t xml:space="preserve"> also supplementa</w:t>
      </w:r>
      <w:r w:rsidR="00385186" w:rsidRPr="003736F5">
        <w:rPr>
          <w:rFonts w:cs="Times New Roman"/>
        </w:rPr>
        <w:t>r</w:t>
      </w:r>
      <w:r w:rsidRPr="003736F5">
        <w:rPr>
          <w:rFonts w:cs="Times New Roman"/>
        </w:rPr>
        <w:t xml:space="preserve">y to </w:t>
      </w:r>
      <w:r w:rsidR="00765C73" w:rsidRPr="003736F5">
        <w:rPr>
          <w:rFonts w:cs="Times New Roman"/>
        </w:rPr>
        <w:t>the existing knowledge in SBEJ</w:t>
      </w:r>
      <w:r w:rsidR="00253A7B" w:rsidRPr="003736F5">
        <w:rPr>
          <w:rFonts w:cs="Times New Roman"/>
        </w:rPr>
        <w:t>,</w:t>
      </w:r>
      <w:r w:rsidR="00566855" w:rsidRPr="003736F5">
        <w:rPr>
          <w:rFonts w:cs="Times New Roman"/>
        </w:rPr>
        <w:t xml:space="preserve"> </w:t>
      </w:r>
      <w:r w:rsidR="00253A7B" w:rsidRPr="003736F5">
        <w:rPr>
          <w:rFonts w:cs="Times New Roman"/>
        </w:rPr>
        <w:t>which</w:t>
      </w:r>
      <w:r w:rsidR="00566855" w:rsidRPr="003736F5">
        <w:rPr>
          <w:rFonts w:cs="Times New Roman"/>
        </w:rPr>
        <w:t xml:space="preserve"> could </w:t>
      </w:r>
      <w:r w:rsidR="00253A7B" w:rsidRPr="003736F5">
        <w:rPr>
          <w:rFonts w:cs="Times New Roman"/>
        </w:rPr>
        <w:t>add to</w:t>
      </w:r>
      <w:r w:rsidR="00566855" w:rsidRPr="003736F5">
        <w:rPr>
          <w:rFonts w:cs="Times New Roman"/>
        </w:rPr>
        <w:t xml:space="preserve"> </w:t>
      </w:r>
      <w:r w:rsidR="00251872" w:rsidRPr="003736F5">
        <w:rPr>
          <w:rFonts w:cs="Times New Roman"/>
        </w:rPr>
        <w:t xml:space="preserve">the </w:t>
      </w:r>
      <w:r w:rsidR="00566855" w:rsidRPr="003736F5">
        <w:rPr>
          <w:rFonts w:cs="Times New Roman"/>
        </w:rPr>
        <w:t xml:space="preserve">variety of </w:t>
      </w:r>
      <w:r w:rsidR="004017E5" w:rsidRPr="003736F5">
        <w:rPr>
          <w:rFonts w:cs="Times New Roman"/>
        </w:rPr>
        <w:t>the previous findings</w:t>
      </w:r>
      <w:r w:rsidRPr="003736F5">
        <w:rPr>
          <w:rFonts w:cs="Times New Roman"/>
        </w:rPr>
        <w:t>. For instance,</w:t>
      </w:r>
      <w:r w:rsidR="00385186" w:rsidRPr="003736F5">
        <w:rPr>
          <w:rFonts w:cs="Times New Roman"/>
        </w:rPr>
        <w:t xml:space="preserve"> </w:t>
      </w:r>
      <w:r w:rsidR="00E702A0" w:rsidRPr="003736F5">
        <w:rPr>
          <w:rFonts w:cs="Times New Roman"/>
        </w:rPr>
        <w:t xml:space="preserve">previous studies found that taxation affects firm exits positively and entries negatively, that was shown to be the case also for property taxes (Bennett, 2020). Similar findings were found by those that analysed </w:t>
      </w:r>
      <w:r w:rsidR="00447C9A" w:rsidRPr="003736F5">
        <w:rPr>
          <w:rFonts w:cs="Times New Roman"/>
        </w:rPr>
        <w:t xml:space="preserve">other tax </w:t>
      </w:r>
      <w:r w:rsidR="00447C9A" w:rsidRPr="003736F5">
        <w:rPr>
          <w:rFonts w:cs="Times New Roman"/>
        </w:rPr>
        <w:lastRenderedPageBreak/>
        <w:t>instruments</w:t>
      </w:r>
      <w:r w:rsidR="00E702A0" w:rsidRPr="003736F5">
        <w:rPr>
          <w:rFonts w:cs="Times New Roman"/>
        </w:rPr>
        <w:t xml:space="preserve">, with results pointing to tax incentives increasing the number of entrants (Lu et al., 2019 and </w:t>
      </w:r>
      <w:r w:rsidR="00EA6B41" w:rsidRPr="003736F5">
        <w:rPr>
          <w:rFonts w:cs="Times New Roman"/>
        </w:rPr>
        <w:t>Venancio et al., 2022</w:t>
      </w:r>
      <w:r w:rsidR="00E702A0" w:rsidRPr="003736F5">
        <w:rPr>
          <w:rFonts w:cs="Times New Roman"/>
        </w:rPr>
        <w:t>)</w:t>
      </w:r>
      <w:r w:rsidR="00075E3C" w:rsidRPr="003736F5">
        <w:rPr>
          <w:rFonts w:cs="Times New Roman"/>
        </w:rPr>
        <w:t>.</w:t>
      </w:r>
      <w:r w:rsidR="00E702A0" w:rsidRPr="003736F5">
        <w:rPr>
          <w:rFonts w:cs="Times New Roman"/>
        </w:rPr>
        <w:t xml:space="preserve"> We, thus, suggest that tax incentives </w:t>
      </w:r>
      <w:r w:rsidR="0059686A" w:rsidRPr="003736F5">
        <w:rPr>
          <w:rFonts w:cs="Times New Roman"/>
        </w:rPr>
        <w:t>are likely to</w:t>
      </w:r>
      <w:r w:rsidR="00E702A0" w:rsidRPr="003736F5">
        <w:rPr>
          <w:rFonts w:cs="Times New Roman"/>
        </w:rPr>
        <w:t xml:space="preserve"> positively contribute to firm entries and reduce exits, but </w:t>
      </w:r>
      <w:r w:rsidR="00596E83" w:rsidRPr="003736F5">
        <w:rPr>
          <w:rFonts w:cs="Times New Roman"/>
        </w:rPr>
        <w:t xml:space="preserve">some of </w:t>
      </w:r>
      <w:r w:rsidR="00E702A0" w:rsidRPr="003736F5">
        <w:rPr>
          <w:rFonts w:cs="Times New Roman"/>
        </w:rPr>
        <w:t xml:space="preserve">those new </w:t>
      </w:r>
      <w:r w:rsidR="00D51748" w:rsidRPr="003736F5">
        <w:rPr>
          <w:rFonts w:cs="Times New Roman"/>
        </w:rPr>
        <w:t>entran</w:t>
      </w:r>
      <w:r w:rsidR="0059686A" w:rsidRPr="003736F5">
        <w:rPr>
          <w:rFonts w:cs="Times New Roman"/>
        </w:rPr>
        <w:t>t</w:t>
      </w:r>
      <w:r w:rsidR="00D51748" w:rsidRPr="003736F5">
        <w:rPr>
          <w:rFonts w:cs="Times New Roman"/>
        </w:rPr>
        <w:t>s</w:t>
      </w:r>
      <w:r w:rsidR="00E702A0" w:rsidRPr="003736F5">
        <w:rPr>
          <w:rFonts w:cs="Times New Roman"/>
        </w:rPr>
        <w:t xml:space="preserve"> or sustained firms </w:t>
      </w:r>
      <w:r w:rsidR="00DD6253" w:rsidRPr="003736F5">
        <w:rPr>
          <w:rFonts w:cs="Times New Roman"/>
        </w:rPr>
        <w:t>will</w:t>
      </w:r>
      <w:r w:rsidR="00E702A0" w:rsidRPr="003736F5">
        <w:rPr>
          <w:rFonts w:cs="Times New Roman"/>
        </w:rPr>
        <w:t xml:space="preserve"> </w:t>
      </w:r>
      <w:r w:rsidR="0059686A" w:rsidRPr="003736F5">
        <w:rPr>
          <w:rFonts w:cs="Times New Roman"/>
        </w:rPr>
        <w:t>potentially</w:t>
      </w:r>
      <w:r w:rsidR="00E702A0" w:rsidRPr="003736F5">
        <w:rPr>
          <w:rFonts w:cs="Times New Roman"/>
        </w:rPr>
        <w:t xml:space="preserve"> </w:t>
      </w:r>
      <w:r w:rsidR="00DD6253" w:rsidRPr="003736F5">
        <w:rPr>
          <w:rFonts w:cs="Times New Roman"/>
        </w:rPr>
        <w:t xml:space="preserve">become </w:t>
      </w:r>
      <w:r w:rsidR="00E702A0" w:rsidRPr="003736F5">
        <w:rPr>
          <w:rFonts w:cs="Times New Roman"/>
        </w:rPr>
        <w:t>less productive</w:t>
      </w:r>
      <w:r w:rsidR="00B5276D" w:rsidRPr="003736F5">
        <w:rPr>
          <w:rFonts w:cs="Times New Roman"/>
        </w:rPr>
        <w:t>,</w:t>
      </w:r>
      <w:r w:rsidR="00075E3C" w:rsidRPr="003736F5">
        <w:rPr>
          <w:rFonts w:cs="Times New Roman"/>
        </w:rPr>
        <w:t xml:space="preserve"> </w:t>
      </w:r>
      <w:r w:rsidR="00B5276D" w:rsidRPr="003736F5">
        <w:rPr>
          <w:rFonts w:cs="Times New Roman"/>
        </w:rPr>
        <w:t>but</w:t>
      </w:r>
      <w:r w:rsidR="00075E3C" w:rsidRPr="003736F5">
        <w:rPr>
          <w:rFonts w:cs="Times New Roman"/>
        </w:rPr>
        <w:t xml:space="preserve"> this will depend on </w:t>
      </w:r>
      <w:r w:rsidR="00686819" w:rsidRPr="003736F5">
        <w:rPr>
          <w:rFonts w:cs="Times New Roman"/>
        </w:rPr>
        <w:t xml:space="preserve">firm characteristics and location, </w:t>
      </w:r>
      <w:proofErr w:type="gramStart"/>
      <w:r w:rsidR="00686819" w:rsidRPr="003736F5">
        <w:rPr>
          <w:rFonts w:cs="Times New Roman"/>
        </w:rPr>
        <w:t>market</w:t>
      </w:r>
      <w:proofErr w:type="gramEnd"/>
      <w:r w:rsidR="00686819" w:rsidRPr="003736F5">
        <w:rPr>
          <w:rFonts w:cs="Times New Roman"/>
        </w:rPr>
        <w:t xml:space="preserve"> and industry dynamics</w:t>
      </w:r>
      <w:r w:rsidR="00DD6253" w:rsidRPr="003736F5">
        <w:rPr>
          <w:rFonts w:cs="Times New Roman"/>
        </w:rPr>
        <w:t>.</w:t>
      </w:r>
      <w:r w:rsidR="00E702A0" w:rsidRPr="003736F5">
        <w:rPr>
          <w:rFonts w:cs="Times New Roman"/>
        </w:rPr>
        <w:t xml:space="preserve"> </w:t>
      </w:r>
    </w:p>
    <w:p w14:paraId="31BC5EAC" w14:textId="7307D5F4" w:rsidR="00FA0530" w:rsidRPr="003736F5" w:rsidRDefault="00660CBE" w:rsidP="00FA0530">
      <w:pPr>
        <w:pStyle w:val="Heading2"/>
        <w:numPr>
          <w:ilvl w:val="1"/>
          <w:numId w:val="10"/>
        </w:numPr>
        <w:rPr>
          <w:rFonts w:ascii="Times New Roman" w:hAnsi="Times New Roman"/>
        </w:rPr>
      </w:pPr>
      <w:r w:rsidRPr="003736F5">
        <w:rPr>
          <w:rFonts w:ascii="Times New Roman" w:hAnsi="Times New Roman"/>
        </w:rPr>
        <w:t xml:space="preserve">Methodological </w:t>
      </w:r>
      <w:r w:rsidR="00FF2058" w:rsidRPr="003736F5">
        <w:rPr>
          <w:rFonts w:ascii="Times New Roman" w:hAnsi="Times New Roman"/>
        </w:rPr>
        <w:t>C</w:t>
      </w:r>
      <w:r w:rsidRPr="003736F5">
        <w:rPr>
          <w:rFonts w:ascii="Times New Roman" w:hAnsi="Times New Roman"/>
        </w:rPr>
        <w:t>ontr</w:t>
      </w:r>
      <w:r w:rsidR="00726775" w:rsidRPr="003736F5">
        <w:rPr>
          <w:rFonts w:ascii="Times New Roman" w:hAnsi="Times New Roman"/>
        </w:rPr>
        <w:t>i</w:t>
      </w:r>
      <w:r w:rsidRPr="003736F5">
        <w:rPr>
          <w:rFonts w:ascii="Times New Roman" w:hAnsi="Times New Roman"/>
        </w:rPr>
        <w:t>butions</w:t>
      </w:r>
    </w:p>
    <w:p w14:paraId="23C26404" w14:textId="01EF50CA" w:rsidR="00030DE8" w:rsidRPr="003736F5" w:rsidRDefault="0028634F" w:rsidP="0067610F">
      <w:pPr>
        <w:rPr>
          <w:rFonts w:cs="Times New Roman"/>
        </w:rPr>
      </w:pPr>
      <w:r w:rsidRPr="003736F5">
        <w:rPr>
          <w:rFonts w:cs="Times New Roman"/>
        </w:rPr>
        <w:t>We show how</w:t>
      </w:r>
      <w:r w:rsidR="0085538B" w:rsidRPr="003736F5">
        <w:rPr>
          <w:rFonts w:cs="Times New Roman"/>
        </w:rPr>
        <w:t xml:space="preserve"> </w:t>
      </w:r>
      <w:r w:rsidR="00692B26" w:rsidRPr="003736F5">
        <w:rPr>
          <w:rFonts w:cs="Times New Roman"/>
        </w:rPr>
        <w:t xml:space="preserve">configuration approaches, centring on non-linearity and equifinality, could be modelled </w:t>
      </w:r>
      <w:r w:rsidR="006375CA" w:rsidRPr="003736F5">
        <w:rPr>
          <w:rFonts w:cs="Times New Roman"/>
        </w:rPr>
        <w:t xml:space="preserve">with </w:t>
      </w:r>
      <w:r w:rsidR="00172ACA" w:rsidRPr="003736F5">
        <w:rPr>
          <w:rFonts w:cs="Times New Roman"/>
        </w:rPr>
        <w:t>decision trees</w:t>
      </w:r>
      <w:r w:rsidR="006375CA" w:rsidRPr="003736F5">
        <w:rPr>
          <w:rFonts w:cs="Times New Roman"/>
        </w:rPr>
        <w:t xml:space="preserve">. In this way, we </w:t>
      </w:r>
      <w:r w:rsidR="004113C3" w:rsidRPr="003736F5">
        <w:rPr>
          <w:rFonts w:cs="Times New Roman"/>
        </w:rPr>
        <w:t xml:space="preserve">deviate from the not-so-useful concept of ‘average entrepreneur’, as </w:t>
      </w:r>
      <w:r w:rsidR="004906CB" w:rsidRPr="003736F5">
        <w:rPr>
          <w:rFonts w:cs="Times New Roman"/>
        </w:rPr>
        <w:t>argued by</w:t>
      </w:r>
      <w:r w:rsidR="004113C3" w:rsidRPr="003736F5">
        <w:rPr>
          <w:rFonts w:cs="Times New Roman"/>
        </w:rPr>
        <w:t xml:space="preserve"> Newbert et al. (2022:4)</w:t>
      </w:r>
      <w:r w:rsidR="009B0B6D" w:rsidRPr="003736F5">
        <w:rPr>
          <w:rFonts w:cs="Times New Roman"/>
        </w:rPr>
        <w:t>,</w:t>
      </w:r>
      <w:r w:rsidR="004113C3" w:rsidRPr="003736F5">
        <w:rPr>
          <w:rFonts w:cs="Times New Roman"/>
        </w:rPr>
        <w:t xml:space="preserve"> and </w:t>
      </w:r>
      <w:r w:rsidR="009B0B6D" w:rsidRPr="003736F5">
        <w:rPr>
          <w:rFonts w:cs="Times New Roman"/>
        </w:rPr>
        <w:t>model more realistic</w:t>
      </w:r>
      <w:r w:rsidR="004113C3" w:rsidRPr="003736F5">
        <w:rPr>
          <w:rFonts w:cs="Times New Roman"/>
        </w:rPr>
        <w:t xml:space="preserve"> realities using complex configurations necessary to understand the phenomena (Woodside, 2014</w:t>
      </w:r>
      <w:r w:rsidR="00455720" w:rsidRPr="003736F5">
        <w:rPr>
          <w:rFonts w:cs="Times New Roman"/>
        </w:rPr>
        <w:t>).</w:t>
      </w:r>
      <w:r w:rsidR="009D2E36" w:rsidRPr="003736F5">
        <w:rPr>
          <w:rFonts w:cs="Times New Roman"/>
        </w:rPr>
        <w:t xml:space="preserve"> </w:t>
      </w:r>
      <w:r w:rsidR="00073D5A" w:rsidRPr="003736F5">
        <w:rPr>
          <w:rFonts w:cs="Times New Roman"/>
        </w:rPr>
        <w:t xml:space="preserve">The REEM trees, an extension of the decision trees, </w:t>
      </w:r>
      <w:r w:rsidR="009404F1" w:rsidRPr="003736F5">
        <w:rPr>
          <w:rFonts w:cs="Times New Roman"/>
        </w:rPr>
        <w:t xml:space="preserve">consider </w:t>
      </w:r>
      <w:r w:rsidR="00EC2622" w:rsidRPr="003736F5">
        <w:rPr>
          <w:rFonts w:cs="Times New Roman"/>
        </w:rPr>
        <w:t xml:space="preserve">the </w:t>
      </w:r>
      <w:r w:rsidR="00543455" w:rsidRPr="003736F5">
        <w:rPr>
          <w:rFonts w:cs="Times New Roman"/>
        </w:rPr>
        <w:t xml:space="preserve">relationship between independent and dependent variables </w:t>
      </w:r>
      <w:r w:rsidR="00537F2C" w:rsidRPr="003736F5">
        <w:rPr>
          <w:rFonts w:cs="Times New Roman"/>
        </w:rPr>
        <w:t>to be</w:t>
      </w:r>
      <w:r w:rsidR="00543455" w:rsidRPr="003736F5">
        <w:rPr>
          <w:rFonts w:cs="Times New Roman"/>
        </w:rPr>
        <w:t xml:space="preserve"> not necessarily linear</w:t>
      </w:r>
      <w:r w:rsidR="00537F2C" w:rsidRPr="003736F5">
        <w:rPr>
          <w:rFonts w:cs="Times New Roman"/>
        </w:rPr>
        <w:t>, enabling the capture of more complex relationships, whilst regression-based approaches</w:t>
      </w:r>
      <w:r w:rsidR="009B6EDE" w:rsidRPr="003736F5">
        <w:rPr>
          <w:rFonts w:cs="Times New Roman"/>
        </w:rPr>
        <w:t xml:space="preserve"> fail to do that by</w:t>
      </w:r>
      <w:r w:rsidR="00537F2C" w:rsidRPr="003736F5">
        <w:rPr>
          <w:rFonts w:cs="Times New Roman"/>
        </w:rPr>
        <w:t xml:space="preserve"> </w:t>
      </w:r>
      <w:r w:rsidR="00845439" w:rsidRPr="003736F5">
        <w:rPr>
          <w:rFonts w:cs="Times New Roman"/>
        </w:rPr>
        <w:t>centr</w:t>
      </w:r>
      <w:r w:rsidR="009B6EDE" w:rsidRPr="003736F5">
        <w:rPr>
          <w:rFonts w:cs="Times New Roman"/>
        </w:rPr>
        <w:t>ing</w:t>
      </w:r>
      <w:r w:rsidR="00845439" w:rsidRPr="003736F5">
        <w:rPr>
          <w:rFonts w:cs="Times New Roman"/>
        </w:rPr>
        <w:t xml:space="preserve"> on net effects</w:t>
      </w:r>
      <w:r w:rsidR="00475B4E" w:rsidRPr="003736F5">
        <w:rPr>
          <w:rFonts w:cs="Times New Roman"/>
        </w:rPr>
        <w:t xml:space="preserve"> instead of </w:t>
      </w:r>
      <w:r w:rsidR="00537F2C" w:rsidRPr="003736F5">
        <w:rPr>
          <w:rFonts w:cs="Times New Roman"/>
        </w:rPr>
        <w:t>differences between groups (Douglas et al., 2020).</w:t>
      </w:r>
      <w:r w:rsidR="00475B4E" w:rsidRPr="003736F5">
        <w:rPr>
          <w:rFonts w:cs="Times New Roman"/>
        </w:rPr>
        <w:t xml:space="preserve"> Decision trees also do not suffer from other </w:t>
      </w:r>
      <w:r w:rsidR="008F0872" w:rsidRPr="003736F5">
        <w:rPr>
          <w:rFonts w:cs="Times New Roman"/>
        </w:rPr>
        <w:t xml:space="preserve">common regression-based </w:t>
      </w:r>
      <w:r w:rsidR="00EB34B8" w:rsidRPr="003736F5">
        <w:rPr>
          <w:rFonts w:cs="Times New Roman"/>
        </w:rPr>
        <w:t>assumptions</w:t>
      </w:r>
      <w:r w:rsidR="003A6FDD" w:rsidRPr="003736F5">
        <w:rPr>
          <w:rFonts w:cs="Times New Roman"/>
        </w:rPr>
        <w:t>, such as</w:t>
      </w:r>
      <w:r w:rsidR="00EB34B8" w:rsidRPr="003736F5">
        <w:rPr>
          <w:rFonts w:cs="Times New Roman"/>
        </w:rPr>
        <w:t xml:space="preserve"> </w:t>
      </w:r>
      <w:r w:rsidR="000A72E4" w:rsidRPr="003736F5">
        <w:rPr>
          <w:rFonts w:cs="Times New Roman"/>
        </w:rPr>
        <w:t xml:space="preserve">lack of multicollinearity, </w:t>
      </w:r>
      <w:r w:rsidR="00EB34B8" w:rsidRPr="003736F5">
        <w:rPr>
          <w:rFonts w:cs="Times New Roman"/>
        </w:rPr>
        <w:t>the distribution of errors</w:t>
      </w:r>
      <w:r w:rsidR="000A72E4" w:rsidRPr="003736F5">
        <w:rPr>
          <w:rFonts w:cs="Times New Roman"/>
        </w:rPr>
        <w:t xml:space="preserve"> and</w:t>
      </w:r>
      <w:r w:rsidR="00EB34B8" w:rsidRPr="003736F5">
        <w:rPr>
          <w:rFonts w:cs="Times New Roman"/>
        </w:rPr>
        <w:t xml:space="preserve"> independence of observations</w:t>
      </w:r>
      <w:r w:rsidR="000A72E4" w:rsidRPr="003736F5">
        <w:rPr>
          <w:rFonts w:cs="Times New Roman"/>
        </w:rPr>
        <w:t xml:space="preserve"> </w:t>
      </w:r>
      <w:r w:rsidR="00EB34B8" w:rsidRPr="003736F5">
        <w:rPr>
          <w:rFonts w:cs="Times New Roman"/>
        </w:rPr>
        <w:t>(Douglas et al., 2020).</w:t>
      </w:r>
      <w:r w:rsidR="00A22B7D" w:rsidRPr="003736F5">
        <w:rPr>
          <w:rFonts w:cs="Times New Roman"/>
        </w:rPr>
        <w:t xml:space="preserve"> </w:t>
      </w:r>
    </w:p>
    <w:p w14:paraId="689983CB" w14:textId="1E81EB03" w:rsidR="000A4796" w:rsidRPr="003736F5" w:rsidRDefault="006A7EBC" w:rsidP="003B09BA">
      <w:pPr>
        <w:rPr>
          <w:rFonts w:cs="Times New Roman"/>
          <w:lang w:val="en-US"/>
        </w:rPr>
      </w:pPr>
      <w:r w:rsidRPr="003736F5">
        <w:rPr>
          <w:rFonts w:cs="Times New Roman"/>
        </w:rPr>
        <w:t>Furthermore, t</w:t>
      </w:r>
      <w:r w:rsidR="000D19D6" w:rsidRPr="003736F5">
        <w:rPr>
          <w:rFonts w:cs="Times New Roman"/>
        </w:rPr>
        <w:t>he paper showed how machine learning could be jointly applied with more standard econometric techniques to produce a finer-grained analysis when more standard estimators do not offer valuable insight.</w:t>
      </w:r>
      <w:r w:rsidR="001E6CD1" w:rsidRPr="003736F5">
        <w:rPr>
          <w:rFonts w:cs="Times New Roman"/>
        </w:rPr>
        <w:t xml:space="preserve"> The </w:t>
      </w:r>
      <w:r w:rsidR="009A3890" w:rsidRPr="003736F5">
        <w:rPr>
          <w:rFonts w:cs="Times New Roman"/>
        </w:rPr>
        <w:t xml:space="preserve">more </w:t>
      </w:r>
      <w:r w:rsidR="001E6CD1" w:rsidRPr="003736F5">
        <w:rPr>
          <w:rFonts w:cs="Times New Roman"/>
        </w:rPr>
        <w:t>standard difference in difference estimator</w:t>
      </w:r>
      <w:r w:rsidR="008D2678" w:rsidRPr="003736F5">
        <w:rPr>
          <w:rFonts w:cs="Times New Roman"/>
        </w:rPr>
        <w:t>, reported in subsection 4.5,</w:t>
      </w:r>
      <w:r w:rsidR="001E6CD1" w:rsidRPr="003736F5">
        <w:rPr>
          <w:rFonts w:cs="Times New Roman"/>
        </w:rPr>
        <w:t xml:space="preserve"> </w:t>
      </w:r>
      <w:r w:rsidR="00825548" w:rsidRPr="003736F5">
        <w:rPr>
          <w:rFonts w:cs="Times New Roman"/>
        </w:rPr>
        <w:t>suggested t</w:t>
      </w:r>
      <w:r w:rsidR="003B09BA" w:rsidRPr="003736F5">
        <w:rPr>
          <w:rFonts w:cs="Times New Roman"/>
          <w:lang w:val="en-US"/>
        </w:rPr>
        <w:t xml:space="preserve">hat SBRR </w:t>
      </w:r>
      <w:r w:rsidR="00825548" w:rsidRPr="003736F5">
        <w:rPr>
          <w:rFonts w:cs="Times New Roman"/>
          <w:lang w:val="en-US"/>
        </w:rPr>
        <w:t>has</w:t>
      </w:r>
      <w:r w:rsidR="003B09BA" w:rsidRPr="003736F5">
        <w:rPr>
          <w:rFonts w:cs="Times New Roman"/>
          <w:lang w:val="en-US"/>
        </w:rPr>
        <w:t xml:space="preserve"> an adverse effect on some firms in terms of their productivity, but it </w:t>
      </w:r>
      <w:r w:rsidR="008D2678" w:rsidRPr="003736F5">
        <w:rPr>
          <w:rFonts w:cs="Times New Roman"/>
          <w:lang w:val="en-US"/>
        </w:rPr>
        <w:t>did</w:t>
      </w:r>
      <w:r w:rsidR="003B09BA" w:rsidRPr="003736F5">
        <w:rPr>
          <w:rFonts w:cs="Times New Roman"/>
          <w:lang w:val="en-US"/>
        </w:rPr>
        <w:t xml:space="preserve"> not alleviate a binding constraint for the average company.</w:t>
      </w:r>
      <w:r w:rsidR="00542FB8" w:rsidRPr="003736F5">
        <w:rPr>
          <w:rFonts w:cs="Times New Roman"/>
          <w:lang w:val="en-US"/>
        </w:rPr>
        <w:t xml:space="preserve"> T</w:t>
      </w:r>
      <w:r w:rsidR="000A4796" w:rsidRPr="003736F5">
        <w:rPr>
          <w:rFonts w:cs="Times New Roman"/>
          <w:lang w:val="en-US"/>
        </w:rPr>
        <w:t>he REEM trees</w:t>
      </w:r>
      <w:r w:rsidR="00542FB8" w:rsidRPr="003736F5">
        <w:rPr>
          <w:rFonts w:cs="Times New Roman"/>
          <w:lang w:val="en-US"/>
        </w:rPr>
        <w:t xml:space="preserve"> enabled </w:t>
      </w:r>
      <w:r w:rsidR="000B176B" w:rsidRPr="003736F5">
        <w:rPr>
          <w:rFonts w:cs="Times New Roman"/>
          <w:lang w:val="en-US"/>
        </w:rPr>
        <w:t xml:space="preserve">us </w:t>
      </w:r>
      <w:r w:rsidR="00542FB8" w:rsidRPr="003736F5">
        <w:rPr>
          <w:rFonts w:cs="Times New Roman"/>
          <w:lang w:val="en-US"/>
        </w:rPr>
        <w:t xml:space="preserve">to extend these conclusions </w:t>
      </w:r>
      <w:r w:rsidR="00C12F44" w:rsidRPr="003736F5">
        <w:rPr>
          <w:rFonts w:cs="Times New Roman"/>
          <w:lang w:val="en-US"/>
        </w:rPr>
        <w:t xml:space="preserve">by departing from the average effect to </w:t>
      </w:r>
      <w:r w:rsidR="00273699" w:rsidRPr="003736F5">
        <w:rPr>
          <w:rFonts w:cs="Times New Roman"/>
          <w:lang w:val="en-US"/>
        </w:rPr>
        <w:t xml:space="preserve">uncovering </w:t>
      </w:r>
      <w:r w:rsidR="00357FCE" w:rsidRPr="003736F5">
        <w:rPr>
          <w:rFonts w:cs="Times New Roman"/>
          <w:lang w:val="en-US"/>
        </w:rPr>
        <w:t xml:space="preserve">the exact groupings of firms </w:t>
      </w:r>
      <w:r w:rsidR="00273699" w:rsidRPr="003736F5">
        <w:rPr>
          <w:rFonts w:cs="Times New Roman"/>
          <w:lang w:val="en-US"/>
        </w:rPr>
        <w:t>whose productivity</w:t>
      </w:r>
      <w:r w:rsidR="00357FCE" w:rsidRPr="003736F5">
        <w:rPr>
          <w:rFonts w:cs="Times New Roman"/>
          <w:lang w:val="en-US"/>
        </w:rPr>
        <w:t xml:space="preserve"> </w:t>
      </w:r>
      <w:r w:rsidR="00273699" w:rsidRPr="003736F5">
        <w:rPr>
          <w:rFonts w:cs="Times New Roman"/>
          <w:lang w:val="en-US"/>
        </w:rPr>
        <w:t>was</w:t>
      </w:r>
      <w:r w:rsidR="00357FCE" w:rsidRPr="003736F5">
        <w:rPr>
          <w:rFonts w:cs="Times New Roman"/>
          <w:lang w:val="en-US"/>
        </w:rPr>
        <w:t xml:space="preserve"> impacted by SBRR and </w:t>
      </w:r>
      <w:r w:rsidR="00542FB8" w:rsidRPr="003736F5">
        <w:rPr>
          <w:rFonts w:cs="Times New Roman"/>
          <w:lang w:val="en-US"/>
        </w:rPr>
        <w:lastRenderedPageBreak/>
        <w:t>show</w:t>
      </w:r>
      <w:r w:rsidR="002A6BD0" w:rsidRPr="003736F5">
        <w:rPr>
          <w:rFonts w:cs="Times New Roman"/>
          <w:lang w:val="en-US"/>
        </w:rPr>
        <w:t>ing</w:t>
      </w:r>
      <w:r w:rsidR="00542FB8" w:rsidRPr="003736F5">
        <w:rPr>
          <w:rFonts w:cs="Times New Roman"/>
          <w:lang w:val="en-US"/>
        </w:rPr>
        <w:t xml:space="preserve"> how these interrelate with firm characteristics and location, </w:t>
      </w:r>
      <w:proofErr w:type="gramStart"/>
      <w:r w:rsidR="00542FB8" w:rsidRPr="003736F5">
        <w:rPr>
          <w:rFonts w:cs="Times New Roman"/>
          <w:lang w:val="en-US"/>
        </w:rPr>
        <w:t>market</w:t>
      </w:r>
      <w:proofErr w:type="gramEnd"/>
      <w:r w:rsidR="00542FB8" w:rsidRPr="003736F5">
        <w:rPr>
          <w:rFonts w:cs="Times New Roman"/>
          <w:lang w:val="en-US"/>
        </w:rPr>
        <w:t xml:space="preserve"> and industry dynamics.</w:t>
      </w:r>
    </w:p>
    <w:p w14:paraId="49EF315A" w14:textId="1C192247" w:rsidR="00EB61E2" w:rsidRPr="003736F5" w:rsidRDefault="0026424F" w:rsidP="004B6910">
      <w:pPr>
        <w:pStyle w:val="Heading2"/>
        <w:numPr>
          <w:ilvl w:val="1"/>
          <w:numId w:val="10"/>
        </w:numPr>
        <w:rPr>
          <w:rFonts w:ascii="Times New Roman" w:eastAsia="Calibri" w:hAnsi="Times New Roman"/>
          <w:color w:val="auto"/>
          <w:szCs w:val="22"/>
        </w:rPr>
      </w:pPr>
      <w:r w:rsidRPr="003736F5">
        <w:rPr>
          <w:rFonts w:ascii="Times New Roman" w:hAnsi="Times New Roman"/>
        </w:rPr>
        <w:t xml:space="preserve">Implications for </w:t>
      </w:r>
      <w:r w:rsidR="00AC31E4" w:rsidRPr="003736F5">
        <w:rPr>
          <w:rFonts w:ascii="Times New Roman" w:hAnsi="Times New Roman"/>
        </w:rPr>
        <w:t>P</w:t>
      </w:r>
      <w:r w:rsidRPr="003736F5">
        <w:rPr>
          <w:rFonts w:ascii="Times New Roman" w:hAnsi="Times New Roman"/>
        </w:rPr>
        <w:t xml:space="preserve">olicy and </w:t>
      </w:r>
      <w:r w:rsidR="00AC31E4" w:rsidRPr="003736F5">
        <w:rPr>
          <w:rFonts w:ascii="Times New Roman" w:hAnsi="Times New Roman"/>
        </w:rPr>
        <w:t>P</w:t>
      </w:r>
      <w:r w:rsidRPr="003736F5">
        <w:rPr>
          <w:rFonts w:ascii="Times New Roman" w:hAnsi="Times New Roman"/>
        </w:rPr>
        <w:t>ractice</w:t>
      </w:r>
    </w:p>
    <w:p w14:paraId="18E53A2C" w14:textId="4C933B28" w:rsidR="00E17FA4" w:rsidRPr="003736F5" w:rsidRDefault="76815306" w:rsidP="004E73AA">
      <w:pPr>
        <w:rPr>
          <w:rFonts w:cs="Times New Roman"/>
        </w:rPr>
      </w:pPr>
      <w:r w:rsidRPr="003736F5">
        <w:rPr>
          <w:rFonts w:cs="Times New Roman"/>
        </w:rPr>
        <w:t xml:space="preserve">The study provided evidence that the current centralised policy of commercial property tax reductions does not work as an enable of growth. We need more feasible delivery mechanisms that support small businesses. This has implications, first and foremost, for small business owners and their representatives, such as the National Federation of Self Employed &amp; Small Businesses, that campaign to sustain these ineffective commercial property reductions, </w:t>
      </w:r>
      <w:r w:rsidR="00C23071" w:rsidRPr="003736F5">
        <w:rPr>
          <w:rFonts w:cs="Times New Roman"/>
        </w:rPr>
        <w:t xml:space="preserve">and whose opinion is given and sought </w:t>
      </w:r>
      <w:r w:rsidRPr="003736F5">
        <w:rPr>
          <w:rFonts w:cs="Times New Roman"/>
        </w:rPr>
        <w:t xml:space="preserve">during government consultations, including the relatively recent Fundamental Review of Business Rates (HM Treasury, 2021). </w:t>
      </w:r>
    </w:p>
    <w:p w14:paraId="7D8899A9" w14:textId="3C91FA3A" w:rsidR="002B655C" w:rsidRPr="003736F5" w:rsidRDefault="00123D8E" w:rsidP="000D7358">
      <w:pPr>
        <w:rPr>
          <w:rFonts w:cs="Times New Roman"/>
        </w:rPr>
      </w:pPr>
      <w:r w:rsidRPr="003736F5">
        <w:rPr>
          <w:rFonts w:cs="Times New Roman"/>
        </w:rPr>
        <w:t xml:space="preserve">Instead, we </w:t>
      </w:r>
      <w:r w:rsidR="00412E21" w:rsidRPr="003736F5">
        <w:rPr>
          <w:rFonts w:cs="Times New Roman"/>
        </w:rPr>
        <w:t xml:space="preserve">need to </w:t>
      </w:r>
      <w:r w:rsidR="00CD51A5" w:rsidRPr="003736F5">
        <w:rPr>
          <w:rFonts w:cs="Times New Roman"/>
        </w:rPr>
        <w:t>campaign for</w:t>
      </w:r>
      <w:r w:rsidR="00412E21" w:rsidRPr="003736F5">
        <w:rPr>
          <w:rFonts w:cs="Times New Roman"/>
        </w:rPr>
        <w:t xml:space="preserve"> </w:t>
      </w:r>
      <w:r w:rsidR="000D7358" w:rsidRPr="003736F5">
        <w:rPr>
          <w:rFonts w:cs="Times New Roman"/>
        </w:rPr>
        <w:t xml:space="preserve">a </w:t>
      </w:r>
      <w:r w:rsidR="00412E21" w:rsidRPr="003736F5">
        <w:rPr>
          <w:rFonts w:cs="Times New Roman"/>
        </w:rPr>
        <w:t xml:space="preserve">more </w:t>
      </w:r>
      <w:r w:rsidR="00C57CDD" w:rsidRPr="003736F5">
        <w:rPr>
          <w:rFonts w:cs="Times New Roman"/>
        </w:rPr>
        <w:t>nuanced and targeted policy incorporating firm characteristics and local drivers and constraints</w:t>
      </w:r>
      <w:r w:rsidR="000D7358" w:rsidRPr="003736F5">
        <w:rPr>
          <w:rFonts w:cs="Times New Roman"/>
        </w:rPr>
        <w:t xml:space="preserve">. </w:t>
      </w:r>
      <w:r w:rsidR="000E2F61" w:rsidRPr="003736F5">
        <w:rPr>
          <w:rFonts w:cs="Times New Roman"/>
        </w:rPr>
        <w:t>I</w:t>
      </w:r>
      <w:r w:rsidR="000D7358" w:rsidRPr="003736F5">
        <w:rPr>
          <w:rFonts w:cs="Times New Roman"/>
        </w:rPr>
        <w:t xml:space="preserve">t could </w:t>
      </w:r>
      <w:r w:rsidR="00C57CDD" w:rsidRPr="003736F5">
        <w:rPr>
          <w:rFonts w:cs="Times New Roman"/>
        </w:rPr>
        <w:t>be more fruitful than the current generic policy based on building and land value</w:t>
      </w:r>
      <w:r w:rsidR="000E2F61" w:rsidRPr="003736F5">
        <w:rPr>
          <w:rFonts w:cs="Times New Roman"/>
        </w:rPr>
        <w:t>, as our findings indicate</w:t>
      </w:r>
      <w:r w:rsidR="00C57CDD" w:rsidRPr="003736F5">
        <w:rPr>
          <w:rFonts w:cs="Times New Roman"/>
        </w:rPr>
        <w:t xml:space="preserve">. </w:t>
      </w:r>
      <w:r w:rsidR="00E90003" w:rsidRPr="003736F5">
        <w:rPr>
          <w:rFonts w:cs="Times New Roman"/>
        </w:rPr>
        <w:t>Having said that, t</w:t>
      </w:r>
      <w:r w:rsidR="008C6F72" w:rsidRPr="003736F5">
        <w:rPr>
          <w:rFonts w:cs="Times New Roman"/>
        </w:rPr>
        <w:t xml:space="preserve">he change in </w:t>
      </w:r>
      <w:r w:rsidR="00201088" w:rsidRPr="003736F5">
        <w:rPr>
          <w:rFonts w:cs="Times New Roman"/>
        </w:rPr>
        <w:t xml:space="preserve">the commercial property fiscal regime is </w:t>
      </w:r>
      <w:r w:rsidR="00601A1C" w:rsidRPr="003736F5">
        <w:rPr>
          <w:rFonts w:cs="Times New Roman"/>
        </w:rPr>
        <w:t>multi-layered</w:t>
      </w:r>
      <w:r w:rsidR="00201088" w:rsidRPr="003736F5">
        <w:rPr>
          <w:rFonts w:cs="Times New Roman"/>
        </w:rPr>
        <w:t xml:space="preserve"> and can only </w:t>
      </w:r>
      <w:r w:rsidR="00C57CDD" w:rsidRPr="003736F5">
        <w:rPr>
          <w:rFonts w:cs="Times New Roman"/>
        </w:rPr>
        <w:t xml:space="preserve">be achieved through </w:t>
      </w:r>
      <w:r w:rsidR="00F37EAD" w:rsidRPr="003736F5">
        <w:rPr>
          <w:rFonts w:cs="Times New Roman"/>
        </w:rPr>
        <w:t xml:space="preserve">a </w:t>
      </w:r>
      <w:r w:rsidR="00C57CDD" w:rsidRPr="003736F5">
        <w:rPr>
          <w:rFonts w:cs="Times New Roman"/>
        </w:rPr>
        <w:t xml:space="preserve">truly fundamental review, unlike the </w:t>
      </w:r>
      <w:r w:rsidR="007C42C8" w:rsidRPr="003736F5">
        <w:rPr>
          <w:rFonts w:cs="Times New Roman"/>
        </w:rPr>
        <w:t xml:space="preserve">two </w:t>
      </w:r>
      <w:r w:rsidR="00BE76B3" w:rsidRPr="003736F5">
        <w:rPr>
          <w:rFonts w:cs="Times New Roman"/>
        </w:rPr>
        <w:t xml:space="preserve">business rates reviews </w:t>
      </w:r>
      <w:r w:rsidR="00910388" w:rsidRPr="003736F5">
        <w:rPr>
          <w:rFonts w:cs="Times New Roman"/>
        </w:rPr>
        <w:t xml:space="preserve">concluded </w:t>
      </w:r>
      <w:r w:rsidR="00BE76B3" w:rsidRPr="003736F5">
        <w:rPr>
          <w:rFonts w:cs="Times New Roman"/>
        </w:rPr>
        <w:t>in 2016 and 20</w:t>
      </w:r>
      <w:r w:rsidR="00DC5B7A" w:rsidRPr="003736F5">
        <w:rPr>
          <w:rFonts w:cs="Times New Roman"/>
        </w:rPr>
        <w:t xml:space="preserve">21 </w:t>
      </w:r>
      <w:r w:rsidR="00C57CDD" w:rsidRPr="003736F5">
        <w:rPr>
          <w:rFonts w:cs="Times New Roman"/>
        </w:rPr>
        <w:t xml:space="preserve">that resulted in </w:t>
      </w:r>
      <w:r w:rsidR="004520E8" w:rsidRPr="003736F5">
        <w:rPr>
          <w:rFonts w:cs="Times New Roman"/>
        </w:rPr>
        <w:t xml:space="preserve">superficial improvements with minimal </w:t>
      </w:r>
      <w:r w:rsidR="00747FBC" w:rsidRPr="003736F5">
        <w:rPr>
          <w:rFonts w:cs="Times New Roman"/>
        </w:rPr>
        <w:t>effort to tackle the</w:t>
      </w:r>
      <w:r w:rsidR="004520E8" w:rsidRPr="003736F5">
        <w:rPr>
          <w:rFonts w:cs="Times New Roman"/>
        </w:rPr>
        <w:t xml:space="preserve"> more pressing</w:t>
      </w:r>
      <w:r w:rsidR="00747FBC" w:rsidRPr="003736F5">
        <w:rPr>
          <w:rFonts w:cs="Times New Roman"/>
        </w:rPr>
        <w:t xml:space="preserve"> </w:t>
      </w:r>
      <w:r w:rsidR="002B655C" w:rsidRPr="003736F5">
        <w:rPr>
          <w:rFonts w:cs="Times New Roman"/>
        </w:rPr>
        <w:t xml:space="preserve">issues </w:t>
      </w:r>
      <w:r w:rsidR="00FE12BA" w:rsidRPr="003736F5">
        <w:rPr>
          <w:rFonts w:cs="Times New Roman"/>
        </w:rPr>
        <w:t>concerning</w:t>
      </w:r>
      <w:r w:rsidR="002B655C" w:rsidRPr="003736F5">
        <w:rPr>
          <w:rFonts w:cs="Times New Roman"/>
        </w:rPr>
        <w:t xml:space="preserve"> </w:t>
      </w:r>
      <w:r w:rsidR="00747FBC" w:rsidRPr="003736F5">
        <w:rPr>
          <w:rFonts w:cs="Times New Roman"/>
        </w:rPr>
        <w:t>the increasingly expansive relief package</w:t>
      </w:r>
      <w:r w:rsidR="002B655C" w:rsidRPr="003736F5">
        <w:rPr>
          <w:rFonts w:cs="Times New Roman"/>
        </w:rPr>
        <w:t xml:space="preserve"> (Matikonis, 2022)</w:t>
      </w:r>
      <w:r w:rsidR="006D3D87" w:rsidRPr="003736F5">
        <w:rPr>
          <w:rFonts w:cs="Times New Roman"/>
        </w:rPr>
        <w:t>.</w:t>
      </w:r>
    </w:p>
    <w:p w14:paraId="7ADC490A" w14:textId="36A978CD" w:rsidR="009D648E" w:rsidRPr="003736F5" w:rsidRDefault="76815306" w:rsidP="009D648E">
      <w:pPr>
        <w:rPr>
          <w:rFonts w:cs="Times New Roman"/>
        </w:rPr>
      </w:pPr>
      <w:r w:rsidRPr="003736F5">
        <w:rPr>
          <w:rFonts w:cs="Times New Roman"/>
        </w:rPr>
        <w:t xml:space="preserve">Broader recommendations from these findings are not to generalise or simplify the effectiveness of tax incentives. Although previous findings on tax incentives signal positive effects (Liu et al., 2019; Sterlacchini and Venturini, 2019; Venancio et al., 2022), we show that commercial property tax reductions, which suffer from mistargeting and capitalisation, do not result in growth. This is </w:t>
      </w:r>
      <w:r w:rsidR="00503E7D" w:rsidRPr="003736F5">
        <w:rPr>
          <w:rFonts w:cs="Times New Roman"/>
        </w:rPr>
        <w:t>especially</w:t>
      </w:r>
      <w:r w:rsidRPr="003736F5">
        <w:rPr>
          <w:rFonts w:cs="Times New Roman"/>
        </w:rPr>
        <w:t xml:space="preserve"> relevant for the UK</w:t>
      </w:r>
      <w:r w:rsidR="006E523C" w:rsidRPr="003736F5">
        <w:rPr>
          <w:rFonts w:cs="Times New Roman"/>
        </w:rPr>
        <w:t xml:space="preserve">, which </w:t>
      </w:r>
      <w:r w:rsidR="00503E7D" w:rsidRPr="003736F5">
        <w:rPr>
          <w:rFonts w:cs="Times New Roman"/>
        </w:rPr>
        <w:t xml:space="preserve">recently </w:t>
      </w:r>
      <w:r w:rsidR="006E523C" w:rsidRPr="003736F5">
        <w:rPr>
          <w:rFonts w:cs="Times New Roman"/>
        </w:rPr>
        <w:t xml:space="preserve">experienced the </w:t>
      </w:r>
      <w:r w:rsidR="006E523C" w:rsidRPr="003736F5">
        <w:rPr>
          <w:rFonts w:cs="Times New Roman"/>
        </w:rPr>
        <w:lastRenderedPageBreak/>
        <w:t>d</w:t>
      </w:r>
      <w:r w:rsidR="009D648E" w:rsidRPr="003736F5">
        <w:rPr>
          <w:rFonts w:cs="Times New Roman"/>
        </w:rPr>
        <w:t>ama</w:t>
      </w:r>
      <w:r w:rsidR="006E523C" w:rsidRPr="003736F5">
        <w:rPr>
          <w:rFonts w:cs="Times New Roman"/>
        </w:rPr>
        <w:t xml:space="preserve">ging effects of </w:t>
      </w:r>
      <w:r w:rsidR="009D648E" w:rsidRPr="003736F5">
        <w:rPr>
          <w:rFonts w:cs="Times New Roman"/>
        </w:rPr>
        <w:t xml:space="preserve">introducing </w:t>
      </w:r>
      <w:r w:rsidR="00423C89" w:rsidRPr="003736F5">
        <w:rPr>
          <w:rFonts w:cs="Times New Roman"/>
        </w:rPr>
        <w:t>poorly justified and unfunded</w:t>
      </w:r>
      <w:r w:rsidR="009D648E" w:rsidRPr="003736F5">
        <w:rPr>
          <w:rFonts w:cs="Times New Roman"/>
        </w:rPr>
        <w:t xml:space="preserve"> tax </w:t>
      </w:r>
      <w:r w:rsidR="00980DA0" w:rsidRPr="003736F5">
        <w:rPr>
          <w:rFonts w:cs="Times New Roman"/>
        </w:rPr>
        <w:t>incentives</w:t>
      </w:r>
      <w:r w:rsidR="00063AC1" w:rsidRPr="003736F5">
        <w:rPr>
          <w:rFonts w:cs="Times New Roman"/>
        </w:rPr>
        <w:t xml:space="preserve"> during the brief premiership of Liz Truss</w:t>
      </w:r>
      <w:r w:rsidR="00503E7D" w:rsidRPr="003736F5">
        <w:rPr>
          <w:rFonts w:cs="Times New Roman"/>
        </w:rPr>
        <w:t>.</w:t>
      </w:r>
    </w:p>
    <w:p w14:paraId="5A581FB1" w14:textId="579D4309" w:rsidR="002C05D8" w:rsidRPr="003736F5" w:rsidRDefault="002C05D8" w:rsidP="002C05D8">
      <w:pPr>
        <w:pStyle w:val="Heading2"/>
        <w:numPr>
          <w:ilvl w:val="1"/>
          <w:numId w:val="10"/>
        </w:numPr>
        <w:rPr>
          <w:rFonts w:ascii="Times New Roman" w:hAnsi="Times New Roman"/>
        </w:rPr>
      </w:pPr>
      <w:r w:rsidRPr="003736F5">
        <w:rPr>
          <w:rFonts w:ascii="Times New Roman" w:hAnsi="Times New Roman"/>
        </w:rPr>
        <w:t>Limitations</w:t>
      </w:r>
      <w:r w:rsidR="004C718F" w:rsidRPr="003736F5">
        <w:rPr>
          <w:rFonts w:ascii="Times New Roman" w:hAnsi="Times New Roman"/>
        </w:rPr>
        <w:t xml:space="preserve"> and </w:t>
      </w:r>
      <w:r w:rsidR="000E4E6D" w:rsidRPr="003736F5">
        <w:rPr>
          <w:rFonts w:ascii="Times New Roman" w:hAnsi="Times New Roman"/>
        </w:rPr>
        <w:t>F</w:t>
      </w:r>
      <w:r w:rsidR="004C718F" w:rsidRPr="003736F5">
        <w:rPr>
          <w:rFonts w:ascii="Times New Roman" w:hAnsi="Times New Roman"/>
        </w:rPr>
        <w:t xml:space="preserve">uture </w:t>
      </w:r>
      <w:r w:rsidR="000E4E6D" w:rsidRPr="003736F5">
        <w:rPr>
          <w:rFonts w:ascii="Times New Roman" w:hAnsi="Times New Roman"/>
        </w:rPr>
        <w:t>W</w:t>
      </w:r>
      <w:r w:rsidR="004C718F" w:rsidRPr="003736F5">
        <w:rPr>
          <w:rFonts w:ascii="Times New Roman" w:hAnsi="Times New Roman"/>
        </w:rPr>
        <w:t>ork</w:t>
      </w:r>
    </w:p>
    <w:p w14:paraId="709D298C" w14:textId="78E1622A" w:rsidR="00382A71" w:rsidRPr="003736F5" w:rsidRDefault="76815306" w:rsidP="0085128C">
      <w:pPr>
        <w:rPr>
          <w:rFonts w:cs="Times New Roman"/>
          <w:color w:val="000000"/>
        </w:rPr>
      </w:pPr>
      <w:bookmarkStart w:id="6" w:name="_Hlk520455683"/>
      <w:r w:rsidRPr="003736F5">
        <w:rPr>
          <w:rFonts w:cs="Times New Roman"/>
          <w:color w:val="000000" w:themeColor="text1"/>
        </w:rPr>
        <w:t xml:space="preserve">Although the usage of the secondary data source provided a large sample size and enabled us to look at the longer-term effects, another purpose-made, possibly qualitative study </w:t>
      </w:r>
      <w:r w:rsidR="00BF2122" w:rsidRPr="003736F5">
        <w:rPr>
          <w:rFonts w:cs="Times New Roman"/>
          <w:color w:val="000000" w:themeColor="text1"/>
        </w:rPr>
        <w:t xml:space="preserve">of SBRR </w:t>
      </w:r>
      <w:r w:rsidRPr="003736F5">
        <w:rPr>
          <w:rFonts w:cs="Times New Roman"/>
          <w:color w:val="000000" w:themeColor="text1"/>
        </w:rPr>
        <w:t xml:space="preserve">could include more specific controls and/or specifically focus on uncovering mechanisms explaining why this reduction in productivity is associated with SBRR. Alternative specifications of outcome variable would also be </w:t>
      </w:r>
      <w:r w:rsidR="001B1F96" w:rsidRPr="003736F5">
        <w:rPr>
          <w:rFonts w:cs="Times New Roman"/>
          <w:color w:val="000000" w:themeColor="text1"/>
        </w:rPr>
        <w:t>help</w:t>
      </w:r>
      <w:r w:rsidRPr="003736F5">
        <w:rPr>
          <w:rFonts w:cs="Times New Roman"/>
          <w:color w:val="000000" w:themeColor="text1"/>
        </w:rPr>
        <w:t xml:space="preserve">ful to clarify which </w:t>
      </w:r>
      <w:r w:rsidRPr="003736F5">
        <w:rPr>
          <w:rFonts w:cs="Times New Roman"/>
        </w:rPr>
        <w:t>aspects of productivity are affected by SBRR. Furthermore, o</w:t>
      </w:r>
      <w:r w:rsidRPr="003736F5">
        <w:rPr>
          <w:rFonts w:cs="Times New Roman"/>
          <w:color w:val="000000" w:themeColor="text1"/>
        </w:rPr>
        <w:t xml:space="preserve">nce more recent data is available, further research could also help us understand how retail, </w:t>
      </w:r>
      <w:proofErr w:type="gramStart"/>
      <w:r w:rsidRPr="003736F5">
        <w:rPr>
          <w:rFonts w:cs="Times New Roman"/>
          <w:color w:val="000000" w:themeColor="text1"/>
        </w:rPr>
        <w:t>hospitality</w:t>
      </w:r>
      <w:proofErr w:type="gramEnd"/>
      <w:r w:rsidRPr="003736F5">
        <w:rPr>
          <w:rFonts w:cs="Times New Roman"/>
          <w:color w:val="000000" w:themeColor="text1"/>
        </w:rPr>
        <w:t xml:space="preserve"> and leisure relief, used as a key tool to support businesses during </w:t>
      </w:r>
      <w:r w:rsidR="003E0B21" w:rsidRPr="003736F5">
        <w:rPr>
          <w:rFonts w:cs="Times New Roman"/>
          <w:color w:val="000000" w:themeColor="text1"/>
        </w:rPr>
        <w:t>Covid</w:t>
      </w:r>
      <w:r w:rsidRPr="003736F5">
        <w:rPr>
          <w:rFonts w:cs="Times New Roman"/>
          <w:color w:val="000000" w:themeColor="text1"/>
        </w:rPr>
        <w:t xml:space="preserve">-19, interrelate with SBRR and affect growth. </w:t>
      </w:r>
    </w:p>
    <w:p w14:paraId="635DF690" w14:textId="7A3A48DD" w:rsidR="0024405C" w:rsidRPr="003736F5" w:rsidRDefault="001A1FA5" w:rsidP="009F3707">
      <w:pPr>
        <w:rPr>
          <w:rFonts w:cs="Times New Roman"/>
          <w:color w:val="000000"/>
        </w:rPr>
      </w:pPr>
      <w:r w:rsidRPr="003736F5">
        <w:rPr>
          <w:rFonts w:cs="Times New Roman"/>
          <w:color w:val="000000"/>
        </w:rPr>
        <w:t xml:space="preserve">In terms of methodology, </w:t>
      </w:r>
      <w:r w:rsidR="0024405C" w:rsidRPr="003736F5">
        <w:rPr>
          <w:rFonts w:cs="Times New Roman"/>
          <w:color w:val="000000"/>
        </w:rPr>
        <w:t xml:space="preserve">we </w:t>
      </w:r>
      <w:r w:rsidR="00646BBE" w:rsidRPr="003736F5">
        <w:rPr>
          <w:rFonts w:cs="Times New Roman"/>
          <w:color w:val="000000"/>
        </w:rPr>
        <w:t>extend</w:t>
      </w:r>
      <w:r w:rsidR="0024405C" w:rsidRPr="003736F5">
        <w:rPr>
          <w:rFonts w:cs="Times New Roman"/>
          <w:color w:val="000000"/>
        </w:rPr>
        <w:t xml:space="preserve"> Graham and </w:t>
      </w:r>
      <w:r w:rsidR="00ED5EC3" w:rsidRPr="003736F5">
        <w:rPr>
          <w:rFonts w:cs="Times New Roman"/>
          <w:color w:val="000000"/>
        </w:rPr>
        <w:t>Bonner</w:t>
      </w:r>
      <w:r w:rsidR="00646BBE" w:rsidRPr="003736F5">
        <w:rPr>
          <w:rFonts w:cs="Times New Roman"/>
          <w:color w:val="000000"/>
        </w:rPr>
        <w:t>’s</w:t>
      </w:r>
      <w:r w:rsidR="00ED5EC3" w:rsidRPr="003736F5">
        <w:rPr>
          <w:rFonts w:cs="Times New Roman"/>
          <w:color w:val="000000"/>
        </w:rPr>
        <w:t xml:space="preserve"> (2022) </w:t>
      </w:r>
      <w:r w:rsidR="00646BBE" w:rsidRPr="003736F5">
        <w:rPr>
          <w:rFonts w:cs="Times New Roman"/>
          <w:color w:val="000000"/>
        </w:rPr>
        <w:t>call to</w:t>
      </w:r>
      <w:r w:rsidR="00A4320A" w:rsidRPr="003736F5">
        <w:rPr>
          <w:rFonts w:cs="Times New Roman"/>
          <w:color w:val="000000"/>
        </w:rPr>
        <w:t xml:space="preserve"> small business scholars </w:t>
      </w:r>
      <w:r w:rsidR="00646BBE" w:rsidRPr="003736F5">
        <w:rPr>
          <w:rFonts w:cs="Times New Roman"/>
          <w:color w:val="000000"/>
        </w:rPr>
        <w:t>to</w:t>
      </w:r>
      <w:r w:rsidR="009F3707" w:rsidRPr="003736F5">
        <w:rPr>
          <w:rFonts w:cs="Times New Roman"/>
          <w:color w:val="000000"/>
        </w:rPr>
        <w:t xml:space="preserve"> explore the potential of machine learning. The studies</w:t>
      </w:r>
      <w:r w:rsidR="00AC0F3E" w:rsidRPr="003736F5">
        <w:rPr>
          <w:rFonts w:cs="Times New Roman"/>
          <w:color w:val="000000"/>
        </w:rPr>
        <w:t xml:space="preserve"> with different approaches,</w:t>
      </w:r>
      <w:r w:rsidR="009F3707" w:rsidRPr="003736F5">
        <w:rPr>
          <w:rFonts w:cs="Times New Roman"/>
          <w:color w:val="000000"/>
        </w:rPr>
        <w:t xml:space="preserve"> </w:t>
      </w:r>
      <w:r w:rsidR="001143AA" w:rsidRPr="003736F5">
        <w:rPr>
          <w:rFonts w:cs="Times New Roman"/>
          <w:color w:val="000000"/>
        </w:rPr>
        <w:t>in different contexts and with different datasets</w:t>
      </w:r>
      <w:r w:rsidR="009F3707" w:rsidRPr="003736F5">
        <w:rPr>
          <w:rFonts w:cs="Times New Roman"/>
          <w:color w:val="000000"/>
        </w:rPr>
        <w:t xml:space="preserve"> could aid in generalisability</w:t>
      </w:r>
      <w:r w:rsidR="001143AA" w:rsidRPr="003736F5">
        <w:rPr>
          <w:rFonts w:cs="Times New Roman"/>
          <w:color w:val="000000"/>
        </w:rPr>
        <w:t>.</w:t>
      </w:r>
      <w:r w:rsidR="009F3707" w:rsidRPr="003736F5">
        <w:rPr>
          <w:rFonts w:cs="Times New Roman"/>
          <w:color w:val="000000"/>
        </w:rPr>
        <w:t xml:space="preserve"> </w:t>
      </w:r>
      <w:r w:rsidR="00601DE2" w:rsidRPr="003736F5">
        <w:rPr>
          <w:rFonts w:cs="Times New Roman"/>
          <w:color w:val="000000"/>
        </w:rPr>
        <w:t>There are</w:t>
      </w:r>
      <w:r w:rsidR="00B4149F" w:rsidRPr="003736F5">
        <w:rPr>
          <w:rFonts w:cs="Times New Roman"/>
          <w:color w:val="000000"/>
        </w:rPr>
        <w:t xml:space="preserve"> also</w:t>
      </w:r>
      <w:r w:rsidR="00601DE2" w:rsidRPr="003736F5">
        <w:rPr>
          <w:rFonts w:cs="Times New Roman"/>
          <w:color w:val="000000"/>
        </w:rPr>
        <w:t xml:space="preserve"> many avenues</w:t>
      </w:r>
      <w:r w:rsidR="00B4149F" w:rsidRPr="003736F5">
        <w:rPr>
          <w:rFonts w:cs="Times New Roman"/>
          <w:color w:val="000000"/>
        </w:rPr>
        <w:t xml:space="preserve"> to </w:t>
      </w:r>
      <w:r w:rsidR="00C47B36" w:rsidRPr="003736F5">
        <w:rPr>
          <w:rFonts w:cs="Times New Roman"/>
          <w:color w:val="000000"/>
        </w:rPr>
        <w:t>use</w:t>
      </w:r>
      <w:r w:rsidR="00B4149F" w:rsidRPr="003736F5">
        <w:rPr>
          <w:rFonts w:cs="Times New Roman"/>
          <w:color w:val="000000"/>
        </w:rPr>
        <w:t xml:space="preserve"> more advanced techniques.</w:t>
      </w:r>
      <w:r w:rsidR="00601DE2" w:rsidRPr="003736F5">
        <w:rPr>
          <w:rFonts w:cs="Times New Roman"/>
          <w:color w:val="000000"/>
        </w:rPr>
        <w:t xml:space="preserve"> For instance, future research could apply causal trees, as described by Athey and Imbens (2016), to better capture treatment effects once </w:t>
      </w:r>
      <w:r w:rsidR="008201FD" w:rsidRPr="003736F5">
        <w:rPr>
          <w:rFonts w:cs="Times New Roman"/>
          <w:color w:val="000000"/>
        </w:rPr>
        <w:t xml:space="preserve">the method is </w:t>
      </w:r>
      <w:r w:rsidR="00601DE2" w:rsidRPr="003736F5">
        <w:rPr>
          <w:rFonts w:cs="Times New Roman"/>
          <w:color w:val="000000"/>
        </w:rPr>
        <w:t>fully</w:t>
      </w:r>
      <w:r w:rsidR="003568B2" w:rsidRPr="003736F5">
        <w:rPr>
          <w:rFonts w:cs="Times New Roman"/>
          <w:color w:val="000000"/>
        </w:rPr>
        <w:t xml:space="preserve"> develope</w:t>
      </w:r>
      <w:r w:rsidR="00601DE2" w:rsidRPr="003736F5">
        <w:rPr>
          <w:rFonts w:cs="Times New Roman"/>
          <w:color w:val="000000"/>
        </w:rPr>
        <w:t xml:space="preserve">d. </w:t>
      </w:r>
      <w:r w:rsidR="00C17CA8" w:rsidRPr="003736F5">
        <w:rPr>
          <w:rFonts w:cs="Times New Roman"/>
          <w:color w:val="000000"/>
        </w:rPr>
        <w:t>Further extensions</w:t>
      </w:r>
      <w:r w:rsidR="000B1222" w:rsidRPr="003736F5">
        <w:rPr>
          <w:rFonts w:cs="Times New Roman"/>
          <w:color w:val="000000"/>
        </w:rPr>
        <w:t xml:space="preserve"> </w:t>
      </w:r>
      <w:r w:rsidR="00B4385C" w:rsidRPr="003736F5">
        <w:rPr>
          <w:rFonts w:cs="Times New Roman"/>
          <w:color w:val="000000"/>
        </w:rPr>
        <w:t>for</w:t>
      </w:r>
      <w:r w:rsidR="009F3707" w:rsidRPr="003736F5">
        <w:rPr>
          <w:rFonts w:cs="Times New Roman"/>
          <w:color w:val="000000"/>
        </w:rPr>
        <w:t xml:space="preserve"> multidimensional data, such as the Least Absolute Shrinkage and Selection Operator (Belloni et al., 2014)</w:t>
      </w:r>
      <w:r w:rsidR="00B4385C" w:rsidRPr="003736F5">
        <w:rPr>
          <w:rFonts w:cs="Times New Roman"/>
          <w:color w:val="000000"/>
        </w:rPr>
        <w:t xml:space="preserve">, could also be </w:t>
      </w:r>
      <w:r w:rsidR="00ED21A2" w:rsidRPr="003736F5">
        <w:rPr>
          <w:rFonts w:cs="Times New Roman"/>
          <w:color w:val="000000"/>
        </w:rPr>
        <w:t>a good option</w:t>
      </w:r>
      <w:r w:rsidR="00B4385C" w:rsidRPr="003736F5">
        <w:rPr>
          <w:rFonts w:cs="Times New Roman"/>
          <w:color w:val="000000"/>
        </w:rPr>
        <w:t>.</w:t>
      </w:r>
    </w:p>
    <w:p w14:paraId="4F8FBB58" w14:textId="797A6156" w:rsidR="009D650C" w:rsidRPr="003736F5" w:rsidRDefault="00BF44A5" w:rsidP="001A6A84">
      <w:pPr>
        <w:pStyle w:val="Heading1"/>
      </w:pPr>
      <w:r w:rsidRPr="003736F5">
        <w:rPr>
          <w:rFonts w:eastAsia="Times New Roman"/>
          <w:color w:val="D13438"/>
        </w:rPr>
        <w:br w:type="page"/>
      </w:r>
      <w:bookmarkEnd w:id="6"/>
      <w:r w:rsidR="00871905" w:rsidRPr="003736F5">
        <w:lastRenderedPageBreak/>
        <w:t>References</w:t>
      </w:r>
    </w:p>
    <w:p w14:paraId="1DFB4865" w14:textId="77777777" w:rsidR="0096314B" w:rsidRPr="003736F5" w:rsidRDefault="0096314B" w:rsidP="00B62949">
      <w:pPr>
        <w:spacing w:after="0" w:line="240" w:lineRule="auto"/>
        <w:ind w:left="142" w:hanging="142"/>
        <w:rPr>
          <w:rStyle w:val="Hyperlink"/>
          <w:rFonts w:cs="Times New Roman"/>
          <w:color w:val="0D0D0D"/>
          <w:szCs w:val="24"/>
          <w:u w:val="none"/>
          <w:shd w:val="clear" w:color="auto" w:fill="FFFFFF"/>
        </w:rPr>
      </w:pPr>
      <w:r w:rsidRPr="003736F5">
        <w:rPr>
          <w:rStyle w:val="Hyperlink"/>
          <w:rFonts w:cs="Times New Roman"/>
          <w:color w:val="0D0D0D"/>
          <w:szCs w:val="24"/>
          <w:u w:val="none"/>
          <w:shd w:val="clear" w:color="auto" w:fill="FFFFFF"/>
        </w:rPr>
        <w:t xml:space="preserve">Aghion, P. and Howitt, P. (1992) ‘A Model of Growth Through Creative Destruction’, </w:t>
      </w:r>
      <w:r w:rsidRPr="003736F5">
        <w:rPr>
          <w:rStyle w:val="Hyperlink"/>
          <w:rFonts w:cs="Times New Roman"/>
          <w:i/>
          <w:iCs/>
          <w:color w:val="0D0D0D"/>
          <w:szCs w:val="24"/>
          <w:u w:val="none"/>
          <w:shd w:val="clear" w:color="auto" w:fill="FFFFFF"/>
        </w:rPr>
        <w:t>Econometrica</w:t>
      </w:r>
      <w:r w:rsidRPr="003736F5">
        <w:rPr>
          <w:rStyle w:val="Hyperlink"/>
          <w:rFonts w:cs="Times New Roman"/>
          <w:color w:val="0D0D0D"/>
          <w:szCs w:val="24"/>
          <w:u w:val="none"/>
          <w:shd w:val="clear" w:color="auto" w:fill="FFFFFF"/>
        </w:rPr>
        <w:t xml:space="preserve">, 60(2), 323-351. </w:t>
      </w:r>
    </w:p>
    <w:p w14:paraId="4C150A9B"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Amamou, R., Gereben, Á. and Wolski, M. (2022) ‘Assessing the impact of the EIB’s intermediated lending to SMEs during funding shocks’, </w:t>
      </w:r>
      <w:r w:rsidRPr="003736F5">
        <w:rPr>
          <w:rFonts w:cs="Times New Roman"/>
          <w:i/>
          <w:iCs/>
          <w:noProof/>
          <w:color w:val="0D0D0D"/>
          <w:szCs w:val="24"/>
        </w:rPr>
        <w:t>Small Business Economics</w:t>
      </w:r>
      <w:r w:rsidRPr="003736F5">
        <w:rPr>
          <w:rFonts w:cs="Times New Roman"/>
          <w:noProof/>
          <w:color w:val="0D0D0D"/>
          <w:szCs w:val="24"/>
        </w:rPr>
        <w:t>. doi: 10.1007/s11187-022-00620-x.</w:t>
      </w:r>
    </w:p>
    <w:p w14:paraId="5E44B3D3"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Appelbaum, E. and Katz, E. (1986) Measures of Risk Aversion and Comparative Statics of Industry Equilibrium. </w:t>
      </w:r>
      <w:r w:rsidRPr="003736F5">
        <w:rPr>
          <w:rFonts w:cs="Times New Roman"/>
          <w:i/>
          <w:iCs/>
          <w:noProof/>
          <w:color w:val="0D0D0D"/>
          <w:szCs w:val="24"/>
        </w:rPr>
        <w:t>The American Economic Review</w:t>
      </w:r>
      <w:r w:rsidRPr="003736F5">
        <w:rPr>
          <w:rFonts w:cs="Times New Roman"/>
          <w:noProof/>
          <w:color w:val="0D0D0D"/>
          <w:szCs w:val="24"/>
        </w:rPr>
        <w:t>, </w:t>
      </w:r>
      <w:r w:rsidRPr="003736F5">
        <w:rPr>
          <w:rFonts w:cs="Times New Roman"/>
          <w:i/>
          <w:iCs/>
          <w:noProof/>
          <w:color w:val="0D0D0D"/>
          <w:szCs w:val="24"/>
        </w:rPr>
        <w:t>76</w:t>
      </w:r>
      <w:r w:rsidRPr="003736F5">
        <w:rPr>
          <w:rFonts w:cs="Times New Roman"/>
          <w:noProof/>
          <w:color w:val="0D0D0D"/>
          <w:szCs w:val="24"/>
        </w:rPr>
        <w:t>(3), 524–529.</w:t>
      </w:r>
    </w:p>
    <w:p w14:paraId="0CB3857D"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Athey, S. and Imbens, G. (2016) ‘Recursive partitioning for heterogeneous causal effects’, </w:t>
      </w:r>
      <w:r w:rsidRPr="003736F5">
        <w:rPr>
          <w:rFonts w:cs="Times New Roman"/>
          <w:i/>
          <w:iCs/>
          <w:noProof/>
          <w:color w:val="0D0D0D"/>
          <w:szCs w:val="24"/>
        </w:rPr>
        <w:t>Proceedings of the National Academy of Sciences</w:t>
      </w:r>
      <w:r w:rsidRPr="003736F5">
        <w:rPr>
          <w:rFonts w:cs="Times New Roman"/>
          <w:noProof/>
          <w:color w:val="0D0D0D"/>
          <w:szCs w:val="24"/>
        </w:rPr>
        <w:t>, 113(27), pp. 7353–7360. doi: 10.1073/pnas.1510489113.</w:t>
      </w:r>
    </w:p>
    <w:p w14:paraId="5E14CC19"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Bailey, J. (2017) ‘Health insurance and the supply of entrepreneurs: new evidence from the affordable care act’, </w:t>
      </w:r>
      <w:r w:rsidRPr="003736F5">
        <w:rPr>
          <w:rFonts w:cs="Times New Roman"/>
          <w:i/>
          <w:iCs/>
          <w:noProof/>
          <w:color w:val="0D0D0D"/>
          <w:szCs w:val="24"/>
        </w:rPr>
        <w:t>Small Business Economics</w:t>
      </w:r>
      <w:r w:rsidRPr="003736F5">
        <w:rPr>
          <w:rFonts w:cs="Times New Roman"/>
          <w:noProof/>
          <w:color w:val="0D0D0D"/>
          <w:szCs w:val="24"/>
        </w:rPr>
        <w:t>, 49(3), pp. 627–646. doi: 10.1007/s11187-017-9856-8.</w:t>
      </w:r>
    </w:p>
    <w:p w14:paraId="5EE6C40E" w14:textId="77777777" w:rsidR="0096314B" w:rsidRPr="003736F5" w:rsidRDefault="0096314B" w:rsidP="00B62949">
      <w:pPr>
        <w:widowControl w:val="0"/>
        <w:autoSpaceDE w:val="0"/>
        <w:autoSpaceDN w:val="0"/>
        <w:adjustRightInd w:val="0"/>
        <w:spacing w:after="0" w:line="240" w:lineRule="auto"/>
        <w:ind w:left="480" w:hanging="480"/>
        <w:rPr>
          <w:rFonts w:cs="Times New Roman"/>
          <w:noProof/>
          <w:szCs w:val="24"/>
        </w:rPr>
      </w:pPr>
      <w:r w:rsidRPr="003736F5">
        <w:rPr>
          <w:rFonts w:cs="Times New Roman"/>
          <w:noProof/>
          <w:szCs w:val="24"/>
        </w:rPr>
        <w:t xml:space="preserve">Baliamoune-Lutz, M. and Garello, P. (2014) Tax structure and entrepreneurship. </w:t>
      </w:r>
      <w:r w:rsidRPr="003736F5">
        <w:rPr>
          <w:rFonts w:cs="Times New Roman"/>
          <w:i/>
          <w:iCs/>
          <w:noProof/>
          <w:szCs w:val="24"/>
        </w:rPr>
        <w:t>Small Business Economics</w:t>
      </w:r>
      <w:r w:rsidRPr="003736F5">
        <w:rPr>
          <w:rFonts w:cs="Times New Roman"/>
          <w:noProof/>
          <w:szCs w:val="24"/>
        </w:rPr>
        <w:t xml:space="preserve"> 42(1): 165–190. DOI: 10.1007/s11187-013-9469-9.</w:t>
      </w:r>
    </w:p>
    <w:p w14:paraId="55FC3948"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Belloni, A., Chernozhukov, V. and Hansen, C. (2014) ‘High-Dimensional Methods and Inference on Structural and Treatment Effects’, </w:t>
      </w:r>
      <w:r w:rsidRPr="003736F5">
        <w:rPr>
          <w:rFonts w:cs="Times New Roman"/>
          <w:i/>
          <w:iCs/>
          <w:noProof/>
          <w:color w:val="0D0D0D"/>
          <w:szCs w:val="24"/>
        </w:rPr>
        <w:t>Journal of Economic Perspectives</w:t>
      </w:r>
      <w:r w:rsidRPr="003736F5">
        <w:rPr>
          <w:rFonts w:cs="Times New Roman"/>
          <w:noProof/>
          <w:color w:val="0D0D0D"/>
          <w:szCs w:val="24"/>
        </w:rPr>
        <w:t>, 28(2), pp. 29–50. doi: 10.1257/jep.28.2.29.</w:t>
      </w:r>
    </w:p>
    <w:p w14:paraId="482E6416"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Bennett, D. L. (2021) ‘Local institutional heterogeneity and firm dynamism: Decomposing the metropolitan economic freedom index’, </w:t>
      </w:r>
      <w:r w:rsidRPr="003736F5">
        <w:rPr>
          <w:rFonts w:cs="Times New Roman"/>
          <w:i/>
          <w:iCs/>
          <w:noProof/>
          <w:color w:val="0D0D0D"/>
          <w:szCs w:val="24"/>
        </w:rPr>
        <w:t>Small Business Economics</w:t>
      </w:r>
      <w:r w:rsidRPr="003736F5">
        <w:rPr>
          <w:rFonts w:cs="Times New Roman"/>
          <w:noProof/>
          <w:color w:val="0D0D0D"/>
          <w:szCs w:val="24"/>
        </w:rPr>
        <w:t>, 57(1), pp. 493–511. doi: 10.1007/s11187-020-00322-2.</w:t>
      </w:r>
    </w:p>
    <w:p w14:paraId="36C26D2B"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rPr>
        <w:t xml:space="preserve">Bennett, J. and McGuinness, S. (2009) ‘Assessing the impact of skill shortages on the productivity performance of high-tech firms in Northern Ireland’, </w:t>
      </w:r>
      <w:r w:rsidRPr="003736F5">
        <w:rPr>
          <w:rFonts w:cs="Times New Roman"/>
          <w:i/>
          <w:iCs/>
        </w:rPr>
        <w:t>Applied Economics</w:t>
      </w:r>
      <w:r w:rsidRPr="003736F5">
        <w:rPr>
          <w:rFonts w:cs="Times New Roman"/>
        </w:rPr>
        <w:t>, 41(6), pp. 727–737. doi: 10.1080/00036840601007450.</w:t>
      </w:r>
    </w:p>
    <w:p w14:paraId="5BE2E7E8"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Biancalani, F., Czarnitzki, D. and Riccaboni, M. (2022) ‘The Italian Start Up Act: a microeconometric program evaluation’, </w:t>
      </w:r>
      <w:r w:rsidRPr="003736F5">
        <w:rPr>
          <w:rFonts w:cs="Times New Roman"/>
          <w:i/>
          <w:iCs/>
          <w:noProof/>
          <w:color w:val="0D0D0D"/>
          <w:szCs w:val="24"/>
        </w:rPr>
        <w:t>Small Business Economics</w:t>
      </w:r>
      <w:r w:rsidRPr="003736F5">
        <w:rPr>
          <w:rFonts w:cs="Times New Roman"/>
          <w:noProof/>
          <w:color w:val="0D0D0D"/>
          <w:szCs w:val="24"/>
        </w:rPr>
        <w:t>, 58(3), pp. 1699–1720. doi: 10.1007/s11187-021-00468-7.</w:t>
      </w:r>
    </w:p>
    <w:p w14:paraId="2AE78E97"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Bianco, M., Bontempi, M. E., Golinelli, R., and Parigi, G. (2013) Family firms’ investments, </w:t>
      </w:r>
      <w:proofErr w:type="gramStart"/>
      <w:r w:rsidRPr="003736F5">
        <w:rPr>
          <w:rFonts w:cs="Times New Roman"/>
          <w:color w:val="0D0D0D"/>
          <w:szCs w:val="24"/>
        </w:rPr>
        <w:t>uncertainty</w:t>
      </w:r>
      <w:proofErr w:type="gramEnd"/>
      <w:r w:rsidRPr="003736F5">
        <w:rPr>
          <w:rFonts w:cs="Times New Roman"/>
          <w:color w:val="0D0D0D"/>
          <w:szCs w:val="24"/>
        </w:rPr>
        <w:t xml:space="preserve"> and opacity. </w:t>
      </w:r>
      <w:r w:rsidRPr="003736F5">
        <w:rPr>
          <w:rFonts w:cs="Times New Roman"/>
          <w:i/>
          <w:iCs/>
          <w:color w:val="0D0D0D"/>
          <w:szCs w:val="24"/>
        </w:rPr>
        <w:t>Small Business Economics</w:t>
      </w:r>
      <w:r w:rsidRPr="003736F5">
        <w:rPr>
          <w:rFonts w:cs="Times New Roman"/>
          <w:color w:val="0D0D0D"/>
          <w:szCs w:val="24"/>
        </w:rPr>
        <w:t>, </w:t>
      </w:r>
      <w:r w:rsidRPr="003736F5">
        <w:rPr>
          <w:rFonts w:cs="Times New Roman"/>
          <w:i/>
          <w:iCs/>
          <w:color w:val="0D0D0D"/>
          <w:szCs w:val="24"/>
        </w:rPr>
        <w:t>40</w:t>
      </w:r>
      <w:r w:rsidRPr="003736F5">
        <w:rPr>
          <w:rFonts w:cs="Times New Roman"/>
          <w:color w:val="0D0D0D"/>
          <w:szCs w:val="24"/>
        </w:rPr>
        <w:t>(4), 1035–1058.</w:t>
      </w:r>
    </w:p>
    <w:p w14:paraId="1056127F"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Bloom, N., Floetotto, M., Jaimovich, N., Saporta-Eksten, I., and Terry, S.J. (2018) Really uncertain business cycles. </w:t>
      </w:r>
      <w:r w:rsidRPr="003736F5">
        <w:rPr>
          <w:rFonts w:cs="Times New Roman"/>
          <w:i/>
          <w:iCs/>
          <w:color w:val="0D0D0D"/>
          <w:szCs w:val="24"/>
        </w:rPr>
        <w:t>Econometrica,</w:t>
      </w:r>
      <w:r w:rsidRPr="003736F5">
        <w:rPr>
          <w:rFonts w:cs="Times New Roman"/>
          <w:color w:val="0D0D0D"/>
          <w:szCs w:val="24"/>
        </w:rPr>
        <w:t xml:space="preserve"> 86 (3), 1031–1065. </w:t>
      </w:r>
    </w:p>
    <w:p w14:paraId="51104B3B"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Briand, B., Ducharme, G.R., Parache, V., and Mercat-Rommens, C. (2009) A similarity measure to assess the stability of classification trees. </w:t>
      </w:r>
      <w:r w:rsidRPr="003736F5">
        <w:rPr>
          <w:rFonts w:cs="Times New Roman"/>
          <w:i/>
          <w:iCs/>
          <w:color w:val="0D0D0D"/>
          <w:szCs w:val="24"/>
        </w:rPr>
        <w:t>Comput. Stat. Data Anal.</w:t>
      </w:r>
      <w:r w:rsidRPr="003736F5">
        <w:rPr>
          <w:rFonts w:cs="Times New Roman"/>
          <w:color w:val="0D0D0D"/>
          <w:szCs w:val="24"/>
        </w:rPr>
        <w:t xml:space="preserve"> 53, 1208–1217.</w:t>
      </w:r>
    </w:p>
    <w:p w14:paraId="79230001" w14:textId="77777777" w:rsidR="0096314B" w:rsidRPr="003736F5" w:rsidRDefault="0096314B" w:rsidP="00B62949">
      <w:pPr>
        <w:widowControl w:val="0"/>
        <w:autoSpaceDE w:val="0"/>
        <w:autoSpaceDN w:val="0"/>
        <w:adjustRightInd w:val="0"/>
        <w:spacing w:after="0" w:line="240" w:lineRule="auto"/>
        <w:ind w:left="480" w:hanging="480"/>
        <w:rPr>
          <w:rFonts w:cs="Times New Roman"/>
          <w:noProof/>
          <w:szCs w:val="24"/>
        </w:rPr>
      </w:pPr>
      <w:r w:rsidRPr="003736F5">
        <w:rPr>
          <w:rFonts w:cs="Times New Roman"/>
          <w:noProof/>
          <w:szCs w:val="24"/>
        </w:rPr>
        <w:t xml:space="preserve">Bruce, D. and Mohsin, M. (2006) Tax policy and entrepreneurship: New time series evidence. </w:t>
      </w:r>
      <w:r w:rsidRPr="003736F5">
        <w:rPr>
          <w:rFonts w:cs="Times New Roman"/>
          <w:i/>
          <w:iCs/>
          <w:noProof/>
          <w:szCs w:val="24"/>
        </w:rPr>
        <w:t>Small Business Economics</w:t>
      </w:r>
      <w:r w:rsidRPr="003736F5">
        <w:rPr>
          <w:rFonts w:cs="Times New Roman"/>
          <w:noProof/>
          <w:szCs w:val="24"/>
        </w:rPr>
        <w:t xml:space="preserve"> 26(5), 409–425. DOI: 10.1007/s11187-005-5602-8.</w:t>
      </w:r>
    </w:p>
    <w:p w14:paraId="4EC423F1" w14:textId="2C46F586"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Carruth, A., Dickerson, A., Henley, A. (2000) What do We Know About Investment Under Uncertainty? </w:t>
      </w:r>
      <w:r w:rsidRPr="003736F5">
        <w:rPr>
          <w:rFonts w:cs="Times New Roman"/>
          <w:i/>
          <w:iCs/>
          <w:color w:val="0D0D0D"/>
          <w:szCs w:val="24"/>
        </w:rPr>
        <w:t>Journal of Economic Surveys</w:t>
      </w:r>
      <w:r w:rsidRPr="003736F5">
        <w:rPr>
          <w:rFonts w:cs="Times New Roman"/>
          <w:color w:val="0D0D0D"/>
          <w:szCs w:val="24"/>
        </w:rPr>
        <w:t>, 14, 119-154.</w:t>
      </w:r>
    </w:p>
    <w:p w14:paraId="55A3BEDF"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Cook, E.F. and Goldman, L. (1984) Empiric comparison of multivariate analytic techniques: advantages and disadvantages of recursive partitioning analysis. </w:t>
      </w:r>
      <w:r w:rsidRPr="003736F5">
        <w:rPr>
          <w:rFonts w:cs="Times New Roman"/>
          <w:i/>
          <w:iCs/>
          <w:color w:val="0D0D0D"/>
          <w:szCs w:val="24"/>
        </w:rPr>
        <w:t>Journal of Chronic Diseases,</w:t>
      </w:r>
      <w:r w:rsidRPr="003736F5">
        <w:rPr>
          <w:rFonts w:cs="Times New Roman"/>
          <w:color w:val="0D0D0D"/>
          <w:szCs w:val="24"/>
        </w:rPr>
        <w:t xml:space="preserve"> 37 (9–10), 721–31.</w:t>
      </w:r>
    </w:p>
    <w:p w14:paraId="05DE678D"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Douglas, E. J., Shepherd, D. A. and Prentice, C. (2020) ‘Using fuzzy-set qualitative comparative analysis for a finer-grained understanding of entrepreneurship’, </w:t>
      </w:r>
      <w:r w:rsidRPr="003736F5">
        <w:rPr>
          <w:rFonts w:cs="Times New Roman"/>
          <w:i/>
          <w:iCs/>
          <w:noProof/>
          <w:color w:val="0D0D0D"/>
          <w:szCs w:val="24"/>
        </w:rPr>
        <w:t>Journal of Business Venturing</w:t>
      </w:r>
      <w:r w:rsidRPr="003736F5">
        <w:rPr>
          <w:rFonts w:cs="Times New Roman"/>
          <w:noProof/>
          <w:color w:val="0D0D0D"/>
          <w:szCs w:val="24"/>
        </w:rPr>
        <w:t>, 35(1), p. 105970. doi: 10.1016/j.jbusvent.2019.105970.</w:t>
      </w:r>
    </w:p>
    <w:p w14:paraId="40374D56" w14:textId="77777777" w:rsidR="0096314B" w:rsidRPr="003736F5" w:rsidRDefault="0096314B" w:rsidP="00B62949">
      <w:pPr>
        <w:spacing w:after="0" w:line="240" w:lineRule="auto"/>
        <w:rPr>
          <w:rFonts w:cs="Times New Roman"/>
          <w:szCs w:val="24"/>
        </w:rPr>
      </w:pPr>
      <w:r w:rsidRPr="003736F5">
        <w:rPr>
          <w:rFonts w:cs="Times New Roman"/>
          <w:szCs w:val="24"/>
        </w:rPr>
        <w:t xml:space="preserve">Duranton, G., Gobillon, L., and Overman, H. G. (2011) Assessing the Effects of Local Taxation using Microgeographic Data. </w:t>
      </w:r>
      <w:r w:rsidRPr="003736F5">
        <w:rPr>
          <w:rFonts w:cs="Times New Roman"/>
          <w:i/>
          <w:iCs/>
          <w:szCs w:val="24"/>
        </w:rPr>
        <w:t>Economic Journal</w:t>
      </w:r>
      <w:r w:rsidRPr="003736F5">
        <w:rPr>
          <w:rFonts w:cs="Times New Roman"/>
          <w:szCs w:val="24"/>
        </w:rPr>
        <w:t xml:space="preserve">, </w:t>
      </w:r>
      <w:r w:rsidRPr="003736F5">
        <w:rPr>
          <w:rFonts w:cs="Times New Roman"/>
          <w:i/>
          <w:iCs/>
          <w:szCs w:val="24"/>
        </w:rPr>
        <w:t>121</w:t>
      </w:r>
      <w:r w:rsidRPr="003736F5">
        <w:rPr>
          <w:rFonts w:cs="Times New Roman"/>
          <w:szCs w:val="24"/>
        </w:rPr>
        <w:t xml:space="preserve">(555), 1017–1046. </w:t>
      </w:r>
    </w:p>
    <w:p w14:paraId="249EB02A"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lastRenderedPageBreak/>
        <w:t xml:space="preserve">Eurostat-OECD (2007) </w:t>
      </w:r>
      <w:r w:rsidRPr="003736F5">
        <w:rPr>
          <w:rFonts w:cs="Times New Roman"/>
          <w:noProof/>
          <w:color w:val="0D0D0D"/>
          <w:szCs w:val="24"/>
        </w:rPr>
        <w:t>Eurostat-OECD manual</w:t>
      </w:r>
      <w:r w:rsidRPr="003736F5">
        <w:rPr>
          <w:rFonts w:cs="Times New Roman"/>
          <w:color w:val="0D0D0D"/>
          <w:szCs w:val="24"/>
        </w:rPr>
        <w:t xml:space="preserve"> on business demography statistics. Paris: European Commission.</w:t>
      </w:r>
    </w:p>
    <w:p w14:paraId="76D8FF84"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Feldman, M. P. and Audretsch, D. B. (1999) Innovation in cities: Science-based diversity, specialisation and localised competition. </w:t>
      </w:r>
      <w:r w:rsidRPr="003736F5">
        <w:rPr>
          <w:rFonts w:cs="Times New Roman"/>
          <w:i/>
          <w:iCs/>
          <w:noProof/>
          <w:color w:val="0D0D0D"/>
          <w:szCs w:val="24"/>
        </w:rPr>
        <w:t>European Economic Review</w:t>
      </w:r>
      <w:r w:rsidRPr="003736F5">
        <w:rPr>
          <w:rFonts w:cs="Times New Roman"/>
          <w:noProof/>
          <w:color w:val="0D0D0D"/>
          <w:szCs w:val="24"/>
        </w:rPr>
        <w:t xml:space="preserve">, 43(2), 409–429. </w:t>
      </w:r>
    </w:p>
    <w:p w14:paraId="7DCF56FF" w14:textId="77777777" w:rsidR="0096314B" w:rsidRPr="003736F5" w:rsidRDefault="0096314B" w:rsidP="00B62949">
      <w:pPr>
        <w:widowControl w:val="0"/>
        <w:autoSpaceDE w:val="0"/>
        <w:autoSpaceDN w:val="0"/>
        <w:adjustRightInd w:val="0"/>
        <w:spacing w:after="0" w:line="240" w:lineRule="auto"/>
        <w:ind w:left="480" w:hanging="480"/>
        <w:rPr>
          <w:rFonts w:cs="Times New Roman"/>
          <w:noProof/>
          <w:szCs w:val="24"/>
        </w:rPr>
      </w:pPr>
      <w:r w:rsidRPr="003736F5">
        <w:rPr>
          <w:rFonts w:cs="Times New Roman"/>
          <w:noProof/>
          <w:szCs w:val="24"/>
        </w:rPr>
        <w:t xml:space="preserve">Ferede, E. (2021) Entrepreneurship and personal income tax: evidence from Canadian provinces. </w:t>
      </w:r>
      <w:r w:rsidRPr="003736F5">
        <w:rPr>
          <w:rFonts w:cs="Times New Roman"/>
          <w:i/>
          <w:iCs/>
          <w:noProof/>
          <w:szCs w:val="24"/>
        </w:rPr>
        <w:t>Small Business Economics</w:t>
      </w:r>
      <w:r w:rsidRPr="003736F5">
        <w:rPr>
          <w:rFonts w:cs="Times New Roman"/>
          <w:noProof/>
          <w:szCs w:val="24"/>
        </w:rPr>
        <w:t>, 56, 1765–1781, DOI: 10.1007/s11187-019-00226-w.</w:t>
      </w:r>
    </w:p>
    <w:p w14:paraId="16497225" w14:textId="77777777" w:rsidR="0096314B" w:rsidRPr="003736F5" w:rsidRDefault="0096314B" w:rsidP="00B62949">
      <w:pPr>
        <w:spacing w:after="0" w:line="240" w:lineRule="auto"/>
        <w:rPr>
          <w:rFonts w:cs="Times New Roman"/>
          <w:szCs w:val="24"/>
        </w:rPr>
      </w:pPr>
      <w:r w:rsidRPr="003736F5">
        <w:rPr>
          <w:rFonts w:cs="Times New Roman"/>
          <w:szCs w:val="24"/>
        </w:rPr>
        <w:t>Fraser, W.D. (</w:t>
      </w:r>
      <w:r w:rsidRPr="003736F5">
        <w:rPr>
          <w:rStyle w:val="Emphasis"/>
          <w:rFonts w:cs="Times New Roman"/>
          <w:color w:val="3D3D3D"/>
          <w:szCs w:val="24"/>
          <w:bdr w:val="none" w:sz="0" w:space="0" w:color="auto" w:frame="1"/>
          <w:shd w:val="clear" w:color="auto" w:fill="FFFFFF"/>
        </w:rPr>
        <w:t>1987</w:t>
      </w:r>
      <w:r w:rsidRPr="003736F5">
        <w:rPr>
          <w:rFonts w:cs="Times New Roman"/>
          <w:szCs w:val="24"/>
        </w:rPr>
        <w:t xml:space="preserve">) </w:t>
      </w:r>
      <w:r w:rsidRPr="003736F5">
        <w:rPr>
          <w:rFonts w:cs="Times New Roman"/>
          <w:i/>
          <w:iCs/>
          <w:szCs w:val="24"/>
        </w:rPr>
        <w:t>Principles of Property Investment and Pricing</w:t>
      </w:r>
      <w:r w:rsidRPr="003736F5">
        <w:rPr>
          <w:rFonts w:cs="Times New Roman"/>
          <w:szCs w:val="24"/>
        </w:rPr>
        <w:t>, 2nd ed., London: Macmillan Education.</w:t>
      </w:r>
    </w:p>
    <w:p w14:paraId="1AACB283"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Fu, W. and Simonoff, J. S. (2015) Unbiased regression trees for longitudinal and clustered data. </w:t>
      </w:r>
      <w:r w:rsidRPr="003736F5">
        <w:rPr>
          <w:rFonts w:cs="Times New Roman"/>
          <w:i/>
          <w:iCs/>
          <w:noProof/>
          <w:color w:val="0D0D0D"/>
          <w:szCs w:val="24"/>
        </w:rPr>
        <w:t>Computational Statistics and Data Analysis</w:t>
      </w:r>
      <w:r w:rsidRPr="003736F5">
        <w:rPr>
          <w:rFonts w:cs="Times New Roman"/>
          <w:noProof/>
          <w:color w:val="0D0D0D"/>
          <w:szCs w:val="24"/>
        </w:rPr>
        <w:t>, 88(C), 53–74.</w:t>
      </w:r>
      <w:r w:rsidRPr="003736F5">
        <w:rPr>
          <w:rFonts w:cs="Times New Roman"/>
          <w:color w:val="0D0D0D"/>
          <w:szCs w:val="24"/>
          <w:shd w:val="clear" w:color="auto" w:fill="FFFFFF"/>
        </w:rPr>
        <w:t xml:space="preserve"> </w:t>
      </w:r>
    </w:p>
    <w:p w14:paraId="6E49007D"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Gandomi, A. and Haider, M. (2015) Beyond the hype: </w:t>
      </w:r>
      <w:proofErr w:type="gramStart"/>
      <w:r w:rsidRPr="003736F5">
        <w:rPr>
          <w:rFonts w:cs="Times New Roman"/>
          <w:color w:val="0D0D0D"/>
          <w:szCs w:val="24"/>
        </w:rPr>
        <w:t>Big</w:t>
      </w:r>
      <w:proofErr w:type="gramEnd"/>
      <w:r w:rsidRPr="003736F5">
        <w:rPr>
          <w:rFonts w:cs="Times New Roman"/>
          <w:color w:val="0D0D0D"/>
          <w:szCs w:val="24"/>
        </w:rPr>
        <w:t xml:space="preserve"> data concepts, methods, and analytics. </w:t>
      </w:r>
      <w:r w:rsidRPr="003736F5">
        <w:rPr>
          <w:rFonts w:cs="Times New Roman"/>
          <w:i/>
          <w:iCs/>
          <w:color w:val="0D0D0D"/>
          <w:szCs w:val="24"/>
        </w:rPr>
        <w:t>International Journal of Information Management</w:t>
      </w:r>
      <w:r w:rsidRPr="003736F5">
        <w:rPr>
          <w:rFonts w:cs="Times New Roman"/>
          <w:color w:val="0D0D0D"/>
          <w:szCs w:val="24"/>
        </w:rPr>
        <w:t xml:space="preserve">, 35(2), 137–144. </w:t>
      </w:r>
    </w:p>
    <w:p w14:paraId="01A49E65"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Gemmell, N., Grimes, A. and Skidmore, M. (2019) Do Local Property Taxes Affect New Building Development? Results from a Quasi-Natural Experiment in New Zealand. </w:t>
      </w:r>
      <w:r w:rsidRPr="003736F5">
        <w:rPr>
          <w:rFonts w:cs="Times New Roman"/>
          <w:i/>
          <w:iCs/>
          <w:noProof/>
          <w:color w:val="0D0D0D"/>
          <w:szCs w:val="24"/>
        </w:rPr>
        <w:t>J. Real Estate Finan. Econ.,</w:t>
      </w:r>
      <w:r w:rsidRPr="003736F5">
        <w:rPr>
          <w:rFonts w:cs="Times New Roman"/>
          <w:noProof/>
          <w:color w:val="0D0D0D"/>
          <w:szCs w:val="24"/>
        </w:rPr>
        <w:t xml:space="preserve"> 58, 310–333</w:t>
      </w:r>
      <w:r w:rsidRPr="003736F5">
        <w:rPr>
          <w:rFonts w:cs="Times New Roman"/>
          <w:szCs w:val="24"/>
        </w:rPr>
        <w:t>.</w:t>
      </w:r>
    </w:p>
    <w:p w14:paraId="235D3A39" w14:textId="77777777" w:rsidR="0096314B" w:rsidRPr="003736F5" w:rsidRDefault="0096314B" w:rsidP="00B62949">
      <w:pPr>
        <w:spacing w:after="0" w:line="240" w:lineRule="auto"/>
        <w:ind w:left="142" w:hanging="142"/>
        <w:rPr>
          <w:rFonts w:eastAsia="Times New Roman" w:cs="Times New Roman"/>
          <w:color w:val="0D0D0D"/>
          <w:szCs w:val="24"/>
        </w:rPr>
      </w:pPr>
      <w:bookmarkStart w:id="7" w:name="_Hlk111996751"/>
      <w:r w:rsidRPr="003736F5">
        <w:rPr>
          <w:rFonts w:eastAsia="Times New Roman" w:cs="Times New Roman"/>
          <w:color w:val="0D0D0D"/>
          <w:szCs w:val="24"/>
        </w:rPr>
        <w:t>Gobey, M. and Matikonis, K. (2021) Small Business Property Tax Reductions and Job Growth.</w:t>
      </w:r>
      <w:r w:rsidRPr="003736F5">
        <w:rPr>
          <w:rFonts w:eastAsia="Times New Roman" w:cs="Times New Roman"/>
          <w:i/>
          <w:iCs/>
          <w:color w:val="0D0D0D"/>
          <w:szCs w:val="24"/>
        </w:rPr>
        <w:t xml:space="preserve"> Small Business Economics</w:t>
      </w:r>
      <w:r w:rsidRPr="003736F5">
        <w:rPr>
          <w:rFonts w:eastAsia="Times New Roman" w:cs="Times New Roman"/>
          <w:color w:val="0D0D0D"/>
          <w:szCs w:val="24"/>
        </w:rPr>
        <w:t>, 56, 277-292, https://doi.org/10.1007/s11187-019-00219-9</w:t>
      </w:r>
    </w:p>
    <w:bookmarkEnd w:id="7"/>
    <w:p w14:paraId="4A8F52A8"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Graham, B. and Bonner, K. (2022) ‘One size fits all? Using machine learning to study heterogeneity and dominance in the determinants of early-stage entrepreneurship’, </w:t>
      </w:r>
      <w:r w:rsidRPr="003736F5">
        <w:rPr>
          <w:rFonts w:cs="Times New Roman"/>
          <w:i/>
          <w:iCs/>
          <w:noProof/>
          <w:color w:val="0D0D0D"/>
          <w:szCs w:val="24"/>
        </w:rPr>
        <w:t>Journal of Business Research</w:t>
      </w:r>
      <w:r w:rsidRPr="003736F5">
        <w:rPr>
          <w:rFonts w:cs="Times New Roman"/>
          <w:noProof/>
          <w:color w:val="0D0D0D"/>
          <w:szCs w:val="24"/>
        </w:rPr>
        <w:t>, 152, pp. 42–59. doi: 10.1016/j.jbusres.2022.07.043.</w:t>
      </w:r>
    </w:p>
    <w:p w14:paraId="7762D3FA" w14:textId="77777777" w:rsidR="0096314B" w:rsidRPr="003736F5" w:rsidRDefault="0096314B" w:rsidP="00B62949">
      <w:pPr>
        <w:spacing w:after="0" w:line="240" w:lineRule="auto"/>
        <w:ind w:left="142" w:hanging="142"/>
        <w:rPr>
          <w:rStyle w:val="Hyperlink"/>
          <w:rFonts w:cs="Times New Roman"/>
          <w:color w:val="0D0D0D"/>
          <w:szCs w:val="24"/>
          <w:u w:val="none"/>
          <w:shd w:val="clear" w:color="auto" w:fill="FFFFFF"/>
        </w:rPr>
      </w:pPr>
      <w:r w:rsidRPr="003736F5">
        <w:rPr>
          <w:rStyle w:val="Hyperlink"/>
          <w:rFonts w:cs="Times New Roman"/>
          <w:color w:val="0D0D0D"/>
          <w:szCs w:val="24"/>
          <w:u w:val="none"/>
          <w:shd w:val="clear" w:color="auto" w:fill="FFFFFF"/>
        </w:rPr>
        <w:t xml:space="preserve">Grossman, G. M. and Helpman, E. (1991) Trade, knowledge spillovers, and growth. </w:t>
      </w:r>
      <w:r w:rsidRPr="003736F5">
        <w:rPr>
          <w:rStyle w:val="Hyperlink"/>
          <w:rFonts w:cs="Times New Roman"/>
          <w:i/>
          <w:iCs/>
          <w:color w:val="0D0D0D"/>
          <w:szCs w:val="24"/>
          <w:u w:val="none"/>
          <w:shd w:val="clear" w:color="auto" w:fill="FFFFFF"/>
        </w:rPr>
        <w:t>European Economic Review</w:t>
      </w:r>
      <w:r w:rsidRPr="003736F5">
        <w:rPr>
          <w:rStyle w:val="Hyperlink"/>
          <w:rFonts w:cs="Times New Roman"/>
          <w:color w:val="0D0D0D"/>
          <w:szCs w:val="24"/>
          <w:u w:val="none"/>
          <w:shd w:val="clear" w:color="auto" w:fill="FFFFFF"/>
        </w:rPr>
        <w:t xml:space="preserve">, 35(2–3), 517–526. </w:t>
      </w:r>
    </w:p>
    <w:p w14:paraId="256B175B"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Guceri I. and Albinowski M., (2021) Investment responses to tax policy under uncertainty. </w:t>
      </w:r>
      <w:r w:rsidRPr="003736F5">
        <w:rPr>
          <w:rFonts w:cs="Times New Roman"/>
          <w:i/>
          <w:iCs/>
          <w:color w:val="0D0D0D"/>
          <w:szCs w:val="24"/>
        </w:rPr>
        <w:t>Journal of Financial Economics</w:t>
      </w:r>
      <w:r w:rsidRPr="003736F5">
        <w:rPr>
          <w:rFonts w:cs="Times New Roman"/>
          <w:color w:val="0D0D0D"/>
          <w:szCs w:val="24"/>
        </w:rPr>
        <w:t xml:space="preserve">, 141(3), 1147-1170. </w:t>
      </w:r>
    </w:p>
    <w:p w14:paraId="186BC984"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Harris, R. and Moffat, J. (2017) The sources of the Scotland–Rest of the UK productivity gap: implications for policy. </w:t>
      </w:r>
      <w:r w:rsidRPr="003736F5">
        <w:rPr>
          <w:rFonts w:cs="Times New Roman"/>
          <w:i/>
          <w:iCs/>
          <w:noProof/>
          <w:color w:val="0D0D0D"/>
          <w:szCs w:val="24"/>
        </w:rPr>
        <w:t>Regional Studies</w:t>
      </w:r>
      <w:r w:rsidRPr="003736F5">
        <w:rPr>
          <w:rFonts w:cs="Times New Roman"/>
          <w:noProof/>
          <w:color w:val="0D0D0D"/>
          <w:szCs w:val="24"/>
        </w:rPr>
        <w:t>, 51(9), 1297-1311.</w:t>
      </w:r>
    </w:p>
    <w:p w14:paraId="7A1E7D0E"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Hatak, I. </w:t>
      </w:r>
      <w:r w:rsidRPr="003736F5">
        <w:rPr>
          <w:rFonts w:cs="Times New Roman"/>
          <w:i/>
          <w:iCs/>
          <w:noProof/>
          <w:color w:val="0D0D0D"/>
          <w:szCs w:val="24"/>
        </w:rPr>
        <w:t>et al.</w:t>
      </w:r>
      <w:r w:rsidRPr="003736F5">
        <w:rPr>
          <w:rFonts w:cs="Times New Roman"/>
          <w:noProof/>
          <w:color w:val="0D0D0D"/>
          <w:szCs w:val="24"/>
        </w:rPr>
        <w:t xml:space="preserve"> (2021) ‘ADHD symptoms, entrepreneurial passion, and entrepreneurial performance’, </w:t>
      </w:r>
      <w:r w:rsidRPr="003736F5">
        <w:rPr>
          <w:rFonts w:cs="Times New Roman"/>
          <w:i/>
          <w:iCs/>
          <w:noProof/>
          <w:color w:val="0D0D0D"/>
          <w:szCs w:val="24"/>
        </w:rPr>
        <w:t>Small Business Economics</w:t>
      </w:r>
      <w:r w:rsidRPr="003736F5">
        <w:rPr>
          <w:rFonts w:cs="Times New Roman"/>
          <w:noProof/>
          <w:color w:val="0D0D0D"/>
          <w:szCs w:val="24"/>
        </w:rPr>
        <w:t>, 57(4), pp. 1693–1713. doi: 10.1007/s11187-020-00397-x.</w:t>
      </w:r>
    </w:p>
    <w:p w14:paraId="7EB07373" w14:textId="77777777" w:rsidR="0096314B" w:rsidRPr="003736F5" w:rsidRDefault="0096314B" w:rsidP="00B62949">
      <w:pPr>
        <w:spacing w:after="0" w:line="240" w:lineRule="auto"/>
        <w:rPr>
          <w:rFonts w:cs="Times New Roman"/>
          <w:szCs w:val="24"/>
        </w:rPr>
      </w:pPr>
      <w:r w:rsidRPr="003736F5">
        <w:rPr>
          <w:rFonts w:cs="Times New Roman"/>
          <w:szCs w:val="24"/>
        </w:rPr>
        <w:t xml:space="preserve">Hilber, C.A.L. (2017) The Economic Implications of House Price Capitalisation: A Synthesis. </w:t>
      </w:r>
      <w:r w:rsidRPr="003736F5">
        <w:rPr>
          <w:rFonts w:cs="Times New Roman"/>
          <w:i/>
          <w:iCs/>
          <w:szCs w:val="24"/>
        </w:rPr>
        <w:t>Real Estate Economics</w:t>
      </w:r>
      <w:r w:rsidRPr="003736F5">
        <w:rPr>
          <w:rFonts w:cs="Times New Roman"/>
          <w:szCs w:val="24"/>
        </w:rPr>
        <w:t xml:space="preserve">, 45(2), 301-339. </w:t>
      </w:r>
    </w:p>
    <w:p w14:paraId="5249FC3C" w14:textId="77777777" w:rsidR="0096314B" w:rsidRPr="003736F5" w:rsidRDefault="0096314B" w:rsidP="00B62949">
      <w:pPr>
        <w:spacing w:after="0" w:line="240" w:lineRule="auto"/>
        <w:ind w:left="142" w:hanging="142"/>
        <w:rPr>
          <w:rFonts w:cs="Times New Roman"/>
          <w:szCs w:val="24"/>
        </w:rPr>
      </w:pPr>
      <w:r w:rsidRPr="003736F5">
        <w:rPr>
          <w:rFonts w:cs="Times New Roman"/>
          <w:szCs w:val="24"/>
        </w:rPr>
        <w:t>HM Treasury (2016) Business rates review: Summary of responses. HM Treasury, London (Available from https://www.gov.uk/government/uploads/system/uploads/attachment_data/file/510497/PU1925_Business_rates_review.pdf.)</w:t>
      </w:r>
    </w:p>
    <w:p w14:paraId="7B5E7491" w14:textId="77777777" w:rsidR="0096314B" w:rsidRPr="003736F5" w:rsidRDefault="0096314B" w:rsidP="00B62949">
      <w:pPr>
        <w:spacing w:after="0" w:line="240" w:lineRule="auto"/>
        <w:ind w:left="142" w:hanging="142"/>
        <w:rPr>
          <w:rFonts w:cs="Times New Roman"/>
          <w:szCs w:val="24"/>
        </w:rPr>
      </w:pPr>
      <w:r w:rsidRPr="003736F5">
        <w:rPr>
          <w:rFonts w:cs="Times New Roman"/>
          <w:szCs w:val="24"/>
        </w:rPr>
        <w:t>HM Treasury (2016b) The Budget 2016. HM Treasury, London (Available from https://assets.publishing.service.gov.uk/government/uploads/system/uploads/attachment_data/file/508193/HMT_Budget_2016_Web_Accessible.pdf)</w:t>
      </w:r>
    </w:p>
    <w:p w14:paraId="71AAD8A8" w14:textId="77777777" w:rsidR="0096314B" w:rsidRPr="003736F5" w:rsidRDefault="0096314B" w:rsidP="00B62949">
      <w:pPr>
        <w:spacing w:after="0" w:line="240" w:lineRule="auto"/>
        <w:ind w:left="142" w:hanging="142"/>
        <w:rPr>
          <w:rFonts w:cs="Times New Roman"/>
          <w:szCs w:val="24"/>
        </w:rPr>
      </w:pPr>
      <w:r w:rsidRPr="003736F5">
        <w:rPr>
          <w:rFonts w:cs="Times New Roman"/>
          <w:szCs w:val="24"/>
        </w:rPr>
        <w:t>HM Treasury (2017) Autumn Budget 2017. HM Treasury, London (Available from https://assets.publishing.service.gov.uk/government/uploads/system/uploads/attachment_data/file/661480/autumn_budget_2017_web.pdf)</w:t>
      </w:r>
    </w:p>
    <w:p w14:paraId="42469A25" w14:textId="77777777" w:rsidR="0096314B" w:rsidRPr="003736F5" w:rsidRDefault="0096314B" w:rsidP="00727894">
      <w:pPr>
        <w:spacing w:after="0" w:line="240" w:lineRule="auto"/>
        <w:rPr>
          <w:rFonts w:cs="Times New Roman"/>
          <w:szCs w:val="24"/>
        </w:rPr>
      </w:pPr>
      <w:r w:rsidRPr="003736F5">
        <w:rPr>
          <w:rFonts w:cs="Times New Roman"/>
          <w:szCs w:val="24"/>
        </w:rPr>
        <w:t xml:space="preserve">HM Treasury. (2020) </w:t>
      </w:r>
      <w:r w:rsidRPr="003736F5">
        <w:rPr>
          <w:rFonts w:cs="Times New Roman"/>
          <w:i/>
          <w:iCs/>
          <w:szCs w:val="24"/>
        </w:rPr>
        <w:t>Budget 2020</w:t>
      </w:r>
      <w:r w:rsidRPr="003736F5">
        <w:rPr>
          <w:rFonts w:cs="Times New Roman"/>
          <w:szCs w:val="24"/>
        </w:rPr>
        <w:t xml:space="preserve">. HM Treasury, London (Available from https://www.gov.uk/government/publications/budget-2020-documents) </w:t>
      </w:r>
    </w:p>
    <w:p w14:paraId="299453B0" w14:textId="77777777" w:rsidR="0096314B" w:rsidRPr="003736F5" w:rsidRDefault="0096314B" w:rsidP="00812C41">
      <w:pPr>
        <w:spacing w:after="0" w:line="240" w:lineRule="auto"/>
        <w:rPr>
          <w:rFonts w:cs="Times New Roman"/>
          <w:szCs w:val="24"/>
        </w:rPr>
      </w:pPr>
      <w:r w:rsidRPr="003736F5">
        <w:rPr>
          <w:rFonts w:cs="Times New Roman"/>
          <w:szCs w:val="24"/>
        </w:rPr>
        <w:t xml:space="preserve">HM Treasury. (2021) </w:t>
      </w:r>
      <w:r w:rsidRPr="003736F5">
        <w:rPr>
          <w:rFonts w:cs="Times New Roman"/>
          <w:i/>
          <w:iCs/>
          <w:szCs w:val="24"/>
        </w:rPr>
        <w:t>Business Rates Review: Final Report</w:t>
      </w:r>
      <w:r w:rsidRPr="003736F5">
        <w:rPr>
          <w:rFonts w:cs="Times New Roman"/>
          <w:szCs w:val="24"/>
        </w:rPr>
        <w:t>. HM Treasury, London (Available from https://www.gov.uk/government/consultations/hm-treasury-fundamental-review-of-business-rates-call-for-evidence)</w:t>
      </w:r>
    </w:p>
    <w:p w14:paraId="3A5B3D09" w14:textId="77777777" w:rsidR="0096314B" w:rsidRPr="003736F5" w:rsidRDefault="0096314B" w:rsidP="00B62949">
      <w:pPr>
        <w:spacing w:after="0" w:line="240" w:lineRule="auto"/>
        <w:ind w:left="142" w:hanging="142"/>
        <w:rPr>
          <w:rFonts w:cs="Times New Roman"/>
          <w:noProof/>
          <w:color w:val="0D0D0D"/>
          <w:szCs w:val="24"/>
        </w:rPr>
      </w:pPr>
      <w:bookmarkStart w:id="8" w:name="_Hlk103686960"/>
      <w:r w:rsidRPr="003736F5">
        <w:rPr>
          <w:rFonts w:cs="Times New Roman"/>
          <w:noProof/>
          <w:color w:val="0D0D0D"/>
          <w:szCs w:val="24"/>
        </w:rPr>
        <w:t>Holtz-Eakin</w:t>
      </w:r>
      <w:bookmarkEnd w:id="8"/>
      <w:r w:rsidRPr="003736F5">
        <w:rPr>
          <w:rFonts w:cs="Times New Roman"/>
          <w:noProof/>
          <w:color w:val="0D0D0D"/>
          <w:szCs w:val="24"/>
        </w:rPr>
        <w:t xml:space="preserve">, D. (2000) Public policy toward entrepreneurship. </w:t>
      </w:r>
      <w:r w:rsidRPr="003736F5">
        <w:rPr>
          <w:rFonts w:cs="Times New Roman"/>
          <w:i/>
          <w:iCs/>
          <w:noProof/>
          <w:color w:val="0D0D0D"/>
          <w:szCs w:val="24"/>
        </w:rPr>
        <w:t>Small Business Economics</w:t>
      </w:r>
      <w:r w:rsidRPr="003736F5">
        <w:rPr>
          <w:rFonts w:cs="Times New Roman"/>
          <w:noProof/>
          <w:color w:val="0D0D0D"/>
          <w:szCs w:val="24"/>
        </w:rPr>
        <w:t>, 15, 283–291.</w:t>
      </w:r>
    </w:p>
    <w:p w14:paraId="594161A7" w14:textId="77777777" w:rsidR="0096314B" w:rsidRPr="003736F5" w:rsidRDefault="0096314B" w:rsidP="00B62949">
      <w:pPr>
        <w:spacing w:after="0" w:line="240" w:lineRule="auto"/>
        <w:ind w:left="142" w:hanging="142"/>
        <w:rPr>
          <w:rFonts w:eastAsia="Times New Roman" w:cs="Times New Roman"/>
          <w:szCs w:val="24"/>
        </w:rPr>
      </w:pPr>
      <w:r w:rsidRPr="003736F5">
        <w:rPr>
          <w:rFonts w:cs="Times New Roman"/>
          <w:szCs w:val="24"/>
        </w:rPr>
        <w:lastRenderedPageBreak/>
        <w:t xml:space="preserve">Hothorn, T., Hornik, K., and Zeileis, A. (2006) Unbiased recursive partitioning: A conditional inference framework. </w:t>
      </w:r>
      <w:r w:rsidRPr="003736F5">
        <w:rPr>
          <w:rFonts w:cs="Times New Roman"/>
          <w:i/>
          <w:iCs/>
          <w:szCs w:val="24"/>
        </w:rPr>
        <w:t>Journal of Computational and Graphical Statistics</w:t>
      </w:r>
      <w:r w:rsidRPr="003736F5">
        <w:rPr>
          <w:rFonts w:cs="Times New Roman"/>
          <w:szCs w:val="24"/>
        </w:rPr>
        <w:t xml:space="preserve">, </w:t>
      </w:r>
      <w:r w:rsidRPr="003736F5">
        <w:rPr>
          <w:rFonts w:cs="Times New Roman"/>
          <w:i/>
          <w:iCs/>
          <w:szCs w:val="24"/>
        </w:rPr>
        <w:t>15</w:t>
      </w:r>
      <w:r w:rsidRPr="003736F5">
        <w:rPr>
          <w:rFonts w:cs="Times New Roman"/>
          <w:szCs w:val="24"/>
        </w:rPr>
        <w:t>(3), 651–674. https://doi.org/10.1198/106186006X133933</w:t>
      </w:r>
    </w:p>
    <w:p w14:paraId="3C4C2646"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Huang, S. </w:t>
      </w:r>
      <w:r w:rsidRPr="003736F5">
        <w:rPr>
          <w:rFonts w:cs="Times New Roman"/>
          <w:i/>
          <w:iCs/>
          <w:noProof/>
          <w:color w:val="0D0D0D"/>
          <w:szCs w:val="24"/>
        </w:rPr>
        <w:t>et al.</w:t>
      </w:r>
      <w:r w:rsidRPr="003736F5">
        <w:rPr>
          <w:rFonts w:cs="Times New Roman"/>
          <w:noProof/>
          <w:color w:val="0D0D0D"/>
          <w:szCs w:val="24"/>
        </w:rPr>
        <w:t xml:space="preserve"> (2022) ‘Signalling entrepreneurs’ credibility and project quality for crowdfunding success: cases from the Kickstarter and Indiegogo environments’, </w:t>
      </w:r>
      <w:r w:rsidRPr="003736F5">
        <w:rPr>
          <w:rFonts w:cs="Times New Roman"/>
          <w:i/>
          <w:iCs/>
          <w:noProof/>
          <w:color w:val="0D0D0D"/>
          <w:szCs w:val="24"/>
        </w:rPr>
        <w:t>Small Business Economics</w:t>
      </w:r>
      <w:r w:rsidRPr="003736F5">
        <w:rPr>
          <w:rFonts w:cs="Times New Roman"/>
          <w:noProof/>
          <w:color w:val="0D0D0D"/>
          <w:szCs w:val="24"/>
        </w:rPr>
        <w:t>, 58(4), pp. 1801–1821. doi: 10.1007/s11187-021-00477-6.</w:t>
      </w:r>
    </w:p>
    <w:p w14:paraId="506526C4" w14:textId="77777777" w:rsidR="0096314B" w:rsidRPr="003736F5" w:rsidRDefault="0096314B" w:rsidP="00B62949">
      <w:pPr>
        <w:spacing w:after="0" w:line="240" w:lineRule="auto"/>
        <w:ind w:left="142" w:hanging="142"/>
        <w:rPr>
          <w:rFonts w:eastAsia="Times New Roman" w:cs="Times New Roman"/>
          <w:szCs w:val="24"/>
          <w:lang w:eastAsia="en-GB"/>
        </w:rPr>
      </w:pPr>
      <w:r w:rsidRPr="003736F5">
        <w:rPr>
          <w:rFonts w:eastAsia="Times New Roman" w:cs="Times New Roman"/>
          <w:szCs w:val="24"/>
          <w:lang w:eastAsia="en-GB"/>
        </w:rPr>
        <w:t xml:space="preserve">Iacus, S. M., King, G., &amp; Porro, G. (2009) </w:t>
      </w:r>
      <w:proofErr w:type="gramStart"/>
      <w:r w:rsidRPr="003736F5">
        <w:rPr>
          <w:rFonts w:eastAsia="Times New Roman" w:cs="Times New Roman"/>
          <w:szCs w:val="24"/>
          <w:lang w:eastAsia="en-GB"/>
        </w:rPr>
        <w:t>cem :</w:t>
      </w:r>
      <w:proofErr w:type="gramEnd"/>
      <w:r w:rsidRPr="003736F5">
        <w:rPr>
          <w:rFonts w:eastAsia="Times New Roman" w:cs="Times New Roman"/>
          <w:szCs w:val="24"/>
          <w:lang w:eastAsia="en-GB"/>
        </w:rPr>
        <w:t xml:space="preserve"> Software for Coarsened Exact Matching. </w:t>
      </w:r>
      <w:r w:rsidRPr="003736F5">
        <w:rPr>
          <w:rFonts w:eastAsia="Times New Roman" w:cs="Times New Roman"/>
          <w:i/>
          <w:iCs/>
          <w:szCs w:val="24"/>
          <w:lang w:eastAsia="en-GB"/>
        </w:rPr>
        <w:t>Journal of Statistical SoftwareSoftware</w:t>
      </w:r>
      <w:r w:rsidRPr="003736F5">
        <w:rPr>
          <w:rFonts w:eastAsia="Times New Roman" w:cs="Times New Roman"/>
          <w:szCs w:val="24"/>
          <w:lang w:eastAsia="en-GB"/>
        </w:rPr>
        <w:t xml:space="preserve">, </w:t>
      </w:r>
      <w:r w:rsidRPr="003736F5">
        <w:rPr>
          <w:rFonts w:eastAsia="Times New Roman" w:cs="Times New Roman"/>
          <w:i/>
          <w:iCs/>
          <w:szCs w:val="24"/>
          <w:lang w:eastAsia="en-GB"/>
        </w:rPr>
        <w:t>30</w:t>
      </w:r>
      <w:r w:rsidRPr="003736F5">
        <w:rPr>
          <w:rFonts w:eastAsia="Times New Roman" w:cs="Times New Roman"/>
          <w:szCs w:val="24"/>
          <w:lang w:eastAsia="en-GB"/>
        </w:rPr>
        <w:t>(9), 1–27.</w:t>
      </w:r>
    </w:p>
    <w:p w14:paraId="538D1727" w14:textId="77777777" w:rsidR="0096314B" w:rsidRPr="003736F5" w:rsidRDefault="0096314B" w:rsidP="00B62949">
      <w:pPr>
        <w:spacing w:after="0" w:line="240" w:lineRule="auto"/>
        <w:ind w:left="142" w:hanging="142"/>
        <w:rPr>
          <w:rFonts w:cs="Times New Roman"/>
          <w:noProof/>
          <w:color w:val="000000"/>
          <w:szCs w:val="24"/>
        </w:rPr>
      </w:pPr>
      <w:r w:rsidRPr="003736F5">
        <w:rPr>
          <w:rFonts w:cs="Times New Roman"/>
          <w:szCs w:val="24"/>
        </w:rPr>
        <w:t xml:space="preserve">James, G., Witten, D., Hastie, T. and Tibshirani, R. (2013) </w:t>
      </w:r>
      <w:r w:rsidRPr="003736F5">
        <w:rPr>
          <w:rFonts w:cs="Times New Roman"/>
          <w:i/>
          <w:iCs/>
          <w:szCs w:val="24"/>
        </w:rPr>
        <w:t>An introduction to statistical learning with applications in R</w:t>
      </w:r>
      <w:r w:rsidRPr="003736F5">
        <w:rPr>
          <w:rFonts w:cs="Times New Roman"/>
          <w:szCs w:val="24"/>
        </w:rPr>
        <w:t>. New York, NY: Springer.</w:t>
      </w:r>
    </w:p>
    <w:p w14:paraId="66BE06DC"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King, G. and Nielsen, R. (2019) Why Propensity Scores Should Not Be Used for Matching. </w:t>
      </w:r>
      <w:r w:rsidRPr="003736F5">
        <w:rPr>
          <w:rFonts w:cs="Times New Roman"/>
          <w:i/>
          <w:iCs/>
          <w:color w:val="0D0D0D"/>
          <w:szCs w:val="24"/>
        </w:rPr>
        <w:t>Political Analysis</w:t>
      </w:r>
      <w:r w:rsidRPr="003736F5">
        <w:rPr>
          <w:rFonts w:cs="Times New Roman"/>
          <w:color w:val="0D0D0D"/>
          <w:szCs w:val="24"/>
        </w:rPr>
        <w:t>, 27(4), 435-454.</w:t>
      </w:r>
    </w:p>
    <w:p w14:paraId="231A2201" w14:textId="77777777" w:rsidR="0096314B" w:rsidRPr="003736F5" w:rsidRDefault="0096314B" w:rsidP="00B62949">
      <w:pPr>
        <w:spacing w:after="0" w:line="240" w:lineRule="auto"/>
        <w:ind w:left="142" w:hanging="142"/>
        <w:rPr>
          <w:rStyle w:val="Hyperlink"/>
          <w:rFonts w:cs="Times New Roman"/>
          <w:color w:val="0D0D0D"/>
          <w:szCs w:val="24"/>
          <w:u w:val="none"/>
          <w:shd w:val="clear" w:color="auto" w:fill="FFFFFF"/>
        </w:rPr>
      </w:pPr>
      <w:r w:rsidRPr="003736F5">
        <w:rPr>
          <w:rStyle w:val="Hyperlink"/>
          <w:rFonts w:cs="Times New Roman"/>
          <w:color w:val="0D0D0D"/>
          <w:szCs w:val="24"/>
          <w:u w:val="none"/>
          <w:shd w:val="clear" w:color="auto" w:fill="FFFFFF"/>
        </w:rPr>
        <w:t xml:space="preserve">Laird, N. M. and Ware, J. H. (1982) Random effects models for longitudinal data. </w:t>
      </w:r>
      <w:r w:rsidRPr="003736F5">
        <w:rPr>
          <w:rStyle w:val="Hyperlink"/>
          <w:rFonts w:cs="Times New Roman"/>
          <w:i/>
          <w:color w:val="0D0D0D"/>
          <w:szCs w:val="24"/>
          <w:u w:val="none"/>
          <w:shd w:val="clear" w:color="auto" w:fill="FFFFFF"/>
        </w:rPr>
        <w:t>Biometrics</w:t>
      </w:r>
      <w:r w:rsidRPr="003736F5">
        <w:rPr>
          <w:rStyle w:val="Hyperlink"/>
          <w:rFonts w:cs="Times New Roman"/>
          <w:color w:val="0D0D0D"/>
          <w:szCs w:val="24"/>
          <w:u w:val="none"/>
          <w:shd w:val="clear" w:color="auto" w:fill="FFFFFF"/>
        </w:rPr>
        <w:t>, 38, 963-974.</w:t>
      </w:r>
    </w:p>
    <w:p w14:paraId="3C975269"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Levinsohn, J. and Petrin, A. (2003) Estimating production functions using inputs to control for unobservables. </w:t>
      </w:r>
      <w:r w:rsidRPr="003736F5">
        <w:rPr>
          <w:rFonts w:cs="Times New Roman"/>
          <w:i/>
          <w:iCs/>
          <w:color w:val="0D0D0D"/>
          <w:szCs w:val="24"/>
        </w:rPr>
        <w:t>Review of Economic Studies</w:t>
      </w:r>
      <w:r w:rsidRPr="003736F5">
        <w:rPr>
          <w:rFonts w:cs="Times New Roman"/>
          <w:color w:val="0D0D0D"/>
          <w:szCs w:val="24"/>
        </w:rPr>
        <w:t xml:space="preserve">, 70(2), 317–341. </w:t>
      </w:r>
    </w:p>
    <w:p w14:paraId="14415C04"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Lewis, G. H. (2017) ‘Effects of federal socioeconomic contracting preferences’, </w:t>
      </w:r>
      <w:r w:rsidRPr="003736F5">
        <w:rPr>
          <w:rFonts w:cs="Times New Roman"/>
          <w:i/>
          <w:iCs/>
          <w:noProof/>
          <w:color w:val="0D0D0D"/>
          <w:szCs w:val="24"/>
        </w:rPr>
        <w:t>Small Business Economics</w:t>
      </w:r>
      <w:r w:rsidRPr="003736F5">
        <w:rPr>
          <w:rFonts w:cs="Times New Roman"/>
          <w:noProof/>
          <w:color w:val="0D0D0D"/>
          <w:szCs w:val="24"/>
        </w:rPr>
        <w:t>, 49(4), pp. 763–783. doi: 10.1007/s11187-017-9860-z.</w:t>
      </w:r>
    </w:p>
    <w:p w14:paraId="2A73BF13"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Linna, P., Pekkola, S., Ukko, J. and Melkas, H. (2010) ‘Defining and measuring productivity in the public sector: managerial perceptions", </w:t>
      </w:r>
      <w:r w:rsidRPr="003736F5">
        <w:rPr>
          <w:rFonts w:cs="Times New Roman"/>
          <w:i/>
          <w:iCs/>
          <w:noProof/>
          <w:color w:val="0D0D0D"/>
          <w:szCs w:val="24"/>
        </w:rPr>
        <w:t>International Journal of Public Sector Management</w:t>
      </w:r>
      <w:r w:rsidRPr="003736F5">
        <w:rPr>
          <w:rFonts w:cs="Times New Roman"/>
          <w:noProof/>
          <w:color w:val="0D0D0D"/>
          <w:szCs w:val="24"/>
        </w:rPr>
        <w:t>, 23(5), 479-499. Doi: https://doi.org/10.1108/09513551011058493</w:t>
      </w:r>
    </w:p>
    <w:p w14:paraId="35760987" w14:textId="77777777" w:rsidR="0096314B" w:rsidRPr="003736F5" w:rsidRDefault="0096314B" w:rsidP="00B62949">
      <w:pPr>
        <w:widowControl w:val="0"/>
        <w:autoSpaceDE w:val="0"/>
        <w:autoSpaceDN w:val="0"/>
        <w:adjustRightInd w:val="0"/>
        <w:spacing w:after="0" w:line="240" w:lineRule="auto"/>
        <w:ind w:left="480" w:hanging="480"/>
        <w:rPr>
          <w:rFonts w:cs="Times New Roman"/>
          <w:noProof/>
          <w:szCs w:val="24"/>
        </w:rPr>
      </w:pPr>
      <w:r w:rsidRPr="003736F5">
        <w:rPr>
          <w:rFonts w:cs="Times New Roman"/>
          <w:noProof/>
          <w:szCs w:val="24"/>
        </w:rPr>
        <w:t xml:space="preserve">Liu Z., Wu, H. and Wu, J. (2019) Location-based tax incentives and entrepreneurial activities: evidence from Western Regional Development Strategy in China. </w:t>
      </w:r>
      <w:r w:rsidRPr="003736F5">
        <w:rPr>
          <w:rFonts w:cs="Times New Roman"/>
          <w:i/>
          <w:iCs/>
          <w:noProof/>
          <w:szCs w:val="24"/>
        </w:rPr>
        <w:t>Small Business Economics</w:t>
      </w:r>
      <w:r w:rsidRPr="003736F5">
        <w:rPr>
          <w:rFonts w:cs="Times New Roman"/>
          <w:noProof/>
          <w:szCs w:val="24"/>
        </w:rPr>
        <w:t xml:space="preserve"> 52(3), 729–742. DOI: 10.1007/s11187-017-9982-3.</w:t>
      </w:r>
    </w:p>
    <w:p w14:paraId="0C5860C7" w14:textId="77777777" w:rsidR="0096314B" w:rsidRPr="003736F5" w:rsidRDefault="0096314B" w:rsidP="00B62949">
      <w:pPr>
        <w:spacing w:after="0" w:line="240" w:lineRule="auto"/>
        <w:ind w:left="142" w:hanging="142"/>
        <w:rPr>
          <w:rStyle w:val="Hyperlink"/>
          <w:rFonts w:cs="Times New Roman"/>
          <w:color w:val="0D0D0D"/>
          <w:szCs w:val="24"/>
          <w:u w:val="none"/>
          <w:shd w:val="clear" w:color="auto" w:fill="FFFFFF"/>
        </w:rPr>
      </w:pPr>
      <w:r w:rsidRPr="003736F5">
        <w:rPr>
          <w:rFonts w:cs="Times New Roman"/>
          <w:color w:val="0D0D0D"/>
          <w:szCs w:val="24"/>
        </w:rPr>
        <w:t xml:space="preserve">Matikonis, K. (2020) Unintended Recipients of Rising UK Non-domestic Property Tax Reliefs, </w:t>
      </w:r>
      <w:r w:rsidRPr="003736F5">
        <w:rPr>
          <w:rFonts w:cs="Times New Roman"/>
          <w:i/>
          <w:iCs/>
          <w:color w:val="0D0D0D"/>
          <w:szCs w:val="24"/>
        </w:rPr>
        <w:t>British Tax Review</w:t>
      </w:r>
      <w:r w:rsidRPr="003736F5">
        <w:rPr>
          <w:rFonts w:cs="Times New Roman"/>
          <w:color w:val="0D0D0D"/>
          <w:szCs w:val="24"/>
        </w:rPr>
        <w:t>. 2020(2), 143-150.</w:t>
      </w:r>
    </w:p>
    <w:p w14:paraId="358578E0"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Matikonis, K. (2022) Fundamental Review of Business Rates: Proposed and anticipated changes, including online sales tax. </w:t>
      </w:r>
      <w:r w:rsidRPr="003736F5">
        <w:rPr>
          <w:rFonts w:cs="Times New Roman"/>
          <w:i/>
          <w:iCs/>
          <w:noProof/>
          <w:color w:val="0D0D0D"/>
          <w:szCs w:val="24"/>
        </w:rPr>
        <w:t>British Tax Review</w:t>
      </w:r>
      <w:r w:rsidRPr="003736F5">
        <w:rPr>
          <w:rFonts w:cs="Times New Roman"/>
          <w:noProof/>
          <w:color w:val="0D0D0D"/>
          <w:szCs w:val="24"/>
        </w:rPr>
        <w:t>, 2022(2), 115-125.</w:t>
      </w:r>
    </w:p>
    <w:p w14:paraId="5C7B0742"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Meyer, A., Tsui, A. and Hinings, C. (1993) ‘Configurational Approaches to Organizational Analysis’, </w:t>
      </w:r>
      <w:r w:rsidRPr="003736F5">
        <w:rPr>
          <w:rFonts w:cs="Times New Roman"/>
          <w:i/>
          <w:iCs/>
          <w:noProof/>
          <w:color w:val="0D0D0D"/>
          <w:szCs w:val="24"/>
        </w:rPr>
        <w:t>Academy of Management Journal</w:t>
      </w:r>
      <w:r w:rsidRPr="003736F5">
        <w:rPr>
          <w:rFonts w:cs="Times New Roman"/>
          <w:noProof/>
          <w:color w:val="0D0D0D"/>
          <w:szCs w:val="24"/>
        </w:rPr>
        <w:t xml:space="preserve">, 36(6), pp. 1175–1195. doi: 10.2307/256809. </w:t>
      </w:r>
    </w:p>
    <w:p w14:paraId="76D25FAA"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Modrego, F. </w:t>
      </w:r>
      <w:r w:rsidRPr="003736F5">
        <w:rPr>
          <w:rFonts w:cs="Times New Roman"/>
          <w:i/>
          <w:iCs/>
          <w:noProof/>
          <w:color w:val="0D0D0D"/>
          <w:szCs w:val="24"/>
        </w:rPr>
        <w:t>et al.</w:t>
      </w:r>
      <w:r w:rsidRPr="003736F5">
        <w:rPr>
          <w:rFonts w:cs="Times New Roman"/>
          <w:noProof/>
          <w:color w:val="0D0D0D"/>
          <w:szCs w:val="24"/>
        </w:rPr>
        <w:t xml:space="preserve"> (2015) ‘Regional entrepreneurship and innovation in Chile: a knowledge matching approach’, </w:t>
      </w:r>
      <w:r w:rsidRPr="003736F5">
        <w:rPr>
          <w:rFonts w:cs="Times New Roman"/>
          <w:i/>
          <w:iCs/>
          <w:noProof/>
          <w:color w:val="0D0D0D"/>
          <w:szCs w:val="24"/>
        </w:rPr>
        <w:t>Small Business Economics</w:t>
      </w:r>
      <w:r w:rsidRPr="003736F5">
        <w:rPr>
          <w:rFonts w:cs="Times New Roman"/>
          <w:noProof/>
          <w:color w:val="0D0D0D"/>
          <w:szCs w:val="24"/>
        </w:rPr>
        <w:t>, 44(3), pp. 685–703. doi: 10.1007/s11187-014-9612-2.</w:t>
      </w:r>
    </w:p>
    <w:p w14:paraId="7FAD0426"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Newbert, S. L., Kher, R. and Yang, S. (2022) ‘Now that’s interesting and important! Moving beyond averages to increase the inferential value of empirical findings in entrepreneurship research’, </w:t>
      </w:r>
      <w:r w:rsidRPr="003736F5">
        <w:rPr>
          <w:rFonts w:cs="Times New Roman"/>
          <w:i/>
          <w:iCs/>
          <w:noProof/>
          <w:color w:val="0D0D0D"/>
          <w:szCs w:val="24"/>
        </w:rPr>
        <w:t>Journal of Business Venturing</w:t>
      </w:r>
      <w:r w:rsidRPr="003736F5">
        <w:rPr>
          <w:rFonts w:cs="Times New Roman"/>
          <w:noProof/>
          <w:color w:val="0D0D0D"/>
          <w:szCs w:val="24"/>
        </w:rPr>
        <w:t>, 37(2), p. 106185. doi: 10.1016/j.jbusvent.2021.106185.</w:t>
      </w:r>
    </w:p>
    <w:p w14:paraId="2B852EB3"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Newey, W. K. and West, K. D. (1994) ‘Automatic Lag Selection in Covariance Matrix Estimation’, </w:t>
      </w:r>
      <w:r w:rsidRPr="003736F5">
        <w:rPr>
          <w:rFonts w:cs="Times New Roman"/>
          <w:i/>
          <w:iCs/>
          <w:noProof/>
          <w:color w:val="0D0D0D"/>
          <w:szCs w:val="24"/>
        </w:rPr>
        <w:t>The Review of Economic Studies</w:t>
      </w:r>
      <w:r w:rsidRPr="003736F5">
        <w:rPr>
          <w:rFonts w:cs="Times New Roman"/>
          <w:noProof/>
          <w:color w:val="0D0D0D"/>
          <w:szCs w:val="24"/>
        </w:rPr>
        <w:t>, 61(4), pp. 631–653. doi: 10.2307/2297912.</w:t>
      </w:r>
    </w:p>
    <w:p w14:paraId="2F5D5D79"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O’Connor, A. and Audretsch, D. (2022) ‘Regional entrepreneurial ecosystems: learning from forest ecosystems’, </w:t>
      </w:r>
      <w:r w:rsidRPr="003736F5">
        <w:rPr>
          <w:rFonts w:cs="Times New Roman"/>
          <w:i/>
          <w:iCs/>
          <w:noProof/>
          <w:color w:val="0D0D0D"/>
          <w:szCs w:val="24"/>
        </w:rPr>
        <w:t>Small Business Economics</w:t>
      </w:r>
      <w:r w:rsidRPr="003736F5">
        <w:rPr>
          <w:rFonts w:cs="Times New Roman"/>
          <w:noProof/>
          <w:color w:val="0D0D0D"/>
          <w:szCs w:val="24"/>
        </w:rPr>
        <w:t>, (0123456789). doi: 10.1007/s11187-022-00623-8.</w:t>
      </w:r>
    </w:p>
    <w:p w14:paraId="2BD7B9A2"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OECD (2020) GDP per hour worked (indicator). (Available from https://doi.org/10.1787/1439e590-en)</w:t>
      </w:r>
    </w:p>
    <w:p w14:paraId="0DF94B0E"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noProof/>
          <w:color w:val="0D0D0D"/>
          <w:szCs w:val="24"/>
        </w:rPr>
        <w:t>Office</w:t>
      </w:r>
      <w:r w:rsidRPr="003736F5">
        <w:rPr>
          <w:rFonts w:cs="Times New Roman"/>
          <w:color w:val="0D0D0D"/>
          <w:szCs w:val="24"/>
        </w:rPr>
        <w:t xml:space="preserve"> for National Statistics (2017a) Annual Respondents Database X, 1998-2014. Secure Access. [data collection]. 4</w:t>
      </w:r>
      <w:r w:rsidRPr="003736F5">
        <w:rPr>
          <w:rFonts w:cs="Times New Roman"/>
          <w:color w:val="0D0D0D"/>
          <w:szCs w:val="24"/>
          <w:vertAlign w:val="superscript"/>
        </w:rPr>
        <w:t>th</w:t>
      </w:r>
      <w:r w:rsidRPr="003736F5">
        <w:rPr>
          <w:rFonts w:cs="Times New Roman"/>
          <w:color w:val="0D0D0D"/>
          <w:szCs w:val="24"/>
        </w:rPr>
        <w:t xml:space="preserve"> Edition. UK Data Service. </w:t>
      </w:r>
    </w:p>
    <w:p w14:paraId="2FC10B57" w14:textId="77777777" w:rsidR="0096314B" w:rsidRPr="003736F5" w:rsidRDefault="0096314B" w:rsidP="00B62949">
      <w:pPr>
        <w:spacing w:after="0" w:line="240" w:lineRule="auto"/>
        <w:rPr>
          <w:rFonts w:cs="Times New Roman"/>
          <w:color w:val="0D0D0D"/>
          <w:szCs w:val="24"/>
        </w:rPr>
      </w:pPr>
      <w:r w:rsidRPr="003736F5">
        <w:rPr>
          <w:rFonts w:cs="Times New Roman"/>
          <w:noProof/>
          <w:color w:val="0D0D0D"/>
          <w:szCs w:val="24"/>
        </w:rPr>
        <w:t>Office</w:t>
      </w:r>
      <w:r w:rsidRPr="003736F5">
        <w:rPr>
          <w:rFonts w:cs="Times New Roman"/>
          <w:color w:val="0D0D0D"/>
          <w:szCs w:val="24"/>
        </w:rPr>
        <w:t xml:space="preserve"> for National Statistics (2017b) Business Structure Database, 1997-2016. Secure Access. [data collection]. 6</w:t>
      </w:r>
      <w:r w:rsidRPr="003736F5">
        <w:rPr>
          <w:rFonts w:cs="Times New Roman"/>
          <w:color w:val="0D0D0D"/>
          <w:szCs w:val="24"/>
          <w:vertAlign w:val="superscript"/>
        </w:rPr>
        <w:t>th</w:t>
      </w:r>
      <w:r w:rsidRPr="003736F5">
        <w:rPr>
          <w:rFonts w:cs="Times New Roman"/>
          <w:color w:val="0D0D0D"/>
          <w:szCs w:val="24"/>
        </w:rPr>
        <w:t xml:space="preserve"> Edition. UK Data Service.</w:t>
      </w:r>
    </w:p>
    <w:p w14:paraId="1BDCC560" w14:textId="77777777" w:rsidR="0096314B" w:rsidRPr="003736F5" w:rsidRDefault="0096314B" w:rsidP="00B62949">
      <w:pPr>
        <w:spacing w:after="0" w:line="240" w:lineRule="auto"/>
        <w:rPr>
          <w:rFonts w:cs="Times New Roman"/>
          <w:color w:val="0D0D0D"/>
          <w:szCs w:val="24"/>
        </w:rPr>
      </w:pPr>
      <w:r w:rsidRPr="003736F5">
        <w:rPr>
          <w:rFonts w:cs="Times New Roman"/>
          <w:noProof/>
          <w:color w:val="0D0D0D"/>
          <w:szCs w:val="24"/>
        </w:rPr>
        <w:t>Office</w:t>
      </w:r>
      <w:r w:rsidRPr="003736F5">
        <w:rPr>
          <w:rFonts w:cs="Times New Roman"/>
          <w:color w:val="0D0D0D"/>
          <w:szCs w:val="24"/>
        </w:rPr>
        <w:t xml:space="preserve"> for National Statistics (2017c) ‘Prices Survey Microdata, 1996-2016.’ Secure Access. [data collection]. 8</w:t>
      </w:r>
      <w:r w:rsidRPr="003736F5">
        <w:rPr>
          <w:rFonts w:cs="Times New Roman"/>
          <w:color w:val="0D0D0D"/>
          <w:szCs w:val="24"/>
          <w:vertAlign w:val="superscript"/>
        </w:rPr>
        <w:t>th</w:t>
      </w:r>
      <w:r w:rsidRPr="003736F5">
        <w:rPr>
          <w:rFonts w:cs="Times New Roman"/>
          <w:color w:val="0D0D0D"/>
          <w:szCs w:val="24"/>
        </w:rPr>
        <w:t xml:space="preserve"> Edition. UK Data Service.</w:t>
      </w:r>
    </w:p>
    <w:p w14:paraId="7F8CB343" w14:textId="77777777" w:rsidR="0096314B" w:rsidRPr="003736F5" w:rsidRDefault="0096314B" w:rsidP="00B62949">
      <w:pPr>
        <w:spacing w:after="0" w:line="240" w:lineRule="auto"/>
        <w:rPr>
          <w:rFonts w:cs="Times New Roman"/>
          <w:noProof/>
          <w:color w:val="0D0D0D"/>
          <w:szCs w:val="24"/>
        </w:rPr>
      </w:pPr>
      <w:r w:rsidRPr="003736F5">
        <w:rPr>
          <w:rFonts w:cs="Times New Roman"/>
          <w:noProof/>
          <w:color w:val="0D0D0D"/>
          <w:szCs w:val="24"/>
        </w:rPr>
        <w:lastRenderedPageBreak/>
        <w:t>Office for National Statistics (n.d.) ARDx Capital Stock User Guide, UK Data Service (Available from https://doc.ukdataservice.ac.uk/doc/7989/mrdoc/pdf/7989_ardx_capital_stock_userguide.pdf)</w:t>
      </w:r>
    </w:p>
    <w:p w14:paraId="53C604CE" w14:textId="77777777" w:rsidR="0096314B" w:rsidRPr="003736F5" w:rsidRDefault="0096314B" w:rsidP="00B62949">
      <w:pPr>
        <w:spacing w:after="0" w:line="240" w:lineRule="auto"/>
        <w:rPr>
          <w:rFonts w:cs="Times New Roman"/>
          <w:color w:val="0D0D0D"/>
          <w:szCs w:val="24"/>
          <w:lang w:val="en"/>
        </w:rPr>
      </w:pPr>
      <w:r w:rsidRPr="003736F5">
        <w:rPr>
          <w:rFonts w:cs="Times New Roman"/>
          <w:noProof/>
          <w:color w:val="0D0D0D"/>
          <w:szCs w:val="24"/>
        </w:rPr>
        <w:t>Office</w:t>
      </w:r>
      <w:r w:rsidRPr="003736F5">
        <w:rPr>
          <w:rFonts w:cs="Times New Roman"/>
          <w:color w:val="0D0D0D"/>
          <w:szCs w:val="24"/>
        </w:rPr>
        <w:t xml:space="preserve"> of National Statistics (2017)</w:t>
      </w:r>
      <w:r w:rsidRPr="003736F5">
        <w:rPr>
          <w:rFonts w:cs="Times New Roman"/>
          <w:color w:val="0D0D0D"/>
          <w:szCs w:val="24"/>
          <w:lang w:val="en"/>
        </w:rPr>
        <w:t xml:space="preserve"> Foreign direct investment and labour productivity, a micro-data perspective: 2012 to 2015. (Available from </w:t>
      </w:r>
      <w:hyperlink r:id="rId8">
        <w:r w:rsidRPr="003736F5">
          <w:rPr>
            <w:rStyle w:val="Hyperlink"/>
            <w:rFonts w:cs="Times New Roman"/>
            <w:color w:val="0D0D0D"/>
            <w:szCs w:val="24"/>
            <w:u w:val="none"/>
            <w:lang w:val="en"/>
          </w:rPr>
          <w:t>https://www.ons.gov.uk/economy/economicoutputandproductivity/productivitymeasures/articles/foreigndirectinvestmentandlabourproductivityamicrodataperspective/2012to2015</w:t>
        </w:r>
      </w:hyperlink>
      <w:r w:rsidRPr="003736F5">
        <w:rPr>
          <w:rStyle w:val="Hyperlink"/>
          <w:rFonts w:cs="Times New Roman"/>
          <w:color w:val="0D0D0D"/>
          <w:szCs w:val="24"/>
          <w:u w:val="none"/>
          <w:lang w:val="en"/>
        </w:rPr>
        <w:t>)</w:t>
      </w:r>
    </w:p>
    <w:p w14:paraId="6EB3293A" w14:textId="77777777" w:rsidR="0096314B" w:rsidRPr="003736F5" w:rsidRDefault="0096314B" w:rsidP="00B62949">
      <w:pPr>
        <w:spacing w:after="0" w:line="240" w:lineRule="auto"/>
        <w:ind w:left="142" w:hanging="142"/>
        <w:rPr>
          <w:rFonts w:cs="Times New Roman"/>
          <w:color w:val="0D0D0D"/>
          <w:szCs w:val="24"/>
        </w:rPr>
      </w:pPr>
      <w:r w:rsidRPr="003736F5">
        <w:rPr>
          <w:rFonts w:cs="Times New Roman"/>
          <w:color w:val="0D0D0D"/>
          <w:szCs w:val="24"/>
        </w:rPr>
        <w:t xml:space="preserve">Olley, G. S. and Pakes, A. (1996) </w:t>
      </w:r>
      <w:r w:rsidRPr="003736F5">
        <w:rPr>
          <w:rFonts w:cs="Times New Roman"/>
          <w:noProof/>
          <w:color w:val="0D0D0D"/>
          <w:szCs w:val="24"/>
        </w:rPr>
        <w:t>The Dynamics</w:t>
      </w:r>
      <w:r w:rsidRPr="003736F5">
        <w:rPr>
          <w:rFonts w:cs="Times New Roman"/>
          <w:color w:val="0D0D0D"/>
          <w:szCs w:val="24"/>
        </w:rPr>
        <w:t xml:space="preserve"> of Productivity in the Telecommunications Equipment Industry. </w:t>
      </w:r>
      <w:r w:rsidRPr="003736F5">
        <w:rPr>
          <w:rFonts w:cs="Times New Roman"/>
          <w:i/>
          <w:iCs/>
          <w:color w:val="0D0D0D"/>
          <w:szCs w:val="24"/>
        </w:rPr>
        <w:t>Econometrica</w:t>
      </w:r>
      <w:r w:rsidRPr="003736F5">
        <w:rPr>
          <w:rFonts w:cs="Times New Roman"/>
          <w:color w:val="0D0D0D"/>
          <w:szCs w:val="24"/>
        </w:rPr>
        <w:t xml:space="preserve">, 64(6), </w:t>
      </w:r>
      <w:r w:rsidRPr="003736F5">
        <w:rPr>
          <w:rFonts w:cs="Times New Roman"/>
          <w:caps/>
          <w:noProof/>
          <w:color w:val="0D0D0D"/>
          <w:szCs w:val="24"/>
        </w:rPr>
        <w:t>1263-1297</w:t>
      </w:r>
      <w:r w:rsidRPr="003736F5">
        <w:rPr>
          <w:rFonts w:cs="Times New Roman"/>
          <w:color w:val="0D0D0D"/>
          <w:szCs w:val="24"/>
        </w:rPr>
        <w:t xml:space="preserve">. </w:t>
      </w:r>
    </w:p>
    <w:p w14:paraId="6A418077"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rPr>
        <w:t xml:space="preserve">Owalla, B. </w:t>
      </w:r>
      <w:r w:rsidRPr="003736F5">
        <w:rPr>
          <w:rFonts w:cs="Times New Roman"/>
          <w:i/>
          <w:iCs/>
        </w:rPr>
        <w:t>et al.</w:t>
      </w:r>
      <w:r w:rsidRPr="003736F5">
        <w:rPr>
          <w:rFonts w:cs="Times New Roman"/>
        </w:rPr>
        <w:t xml:space="preserve"> (2022) ‘Mapping SME productivity research: a systematic review of empirical evidence and future research agenda’, </w:t>
      </w:r>
      <w:r w:rsidRPr="003736F5">
        <w:rPr>
          <w:rFonts w:cs="Times New Roman"/>
          <w:i/>
          <w:iCs/>
        </w:rPr>
        <w:t>Small Business Economics</w:t>
      </w:r>
      <w:r w:rsidRPr="003736F5">
        <w:rPr>
          <w:rFonts w:cs="Times New Roman"/>
        </w:rPr>
        <w:t>, 58(3), pp. 1285–1307. doi: 10.1007/s11187-021-00450-3.</w:t>
      </w:r>
    </w:p>
    <w:p w14:paraId="6DEA52BC" w14:textId="77777777" w:rsidR="0096314B" w:rsidRPr="003736F5" w:rsidRDefault="0096314B" w:rsidP="00B62949">
      <w:pPr>
        <w:widowControl w:val="0"/>
        <w:autoSpaceDE w:val="0"/>
        <w:autoSpaceDN w:val="0"/>
        <w:adjustRightInd w:val="0"/>
        <w:spacing w:after="0" w:line="240" w:lineRule="auto"/>
        <w:rPr>
          <w:rFonts w:cs="Times New Roman"/>
          <w:noProof/>
          <w:color w:val="0D0D0D"/>
          <w:szCs w:val="24"/>
        </w:rPr>
      </w:pPr>
      <w:r w:rsidRPr="003736F5">
        <w:rPr>
          <w:rFonts w:cs="Times New Roman"/>
          <w:noProof/>
          <w:color w:val="0D0D0D"/>
          <w:szCs w:val="24"/>
        </w:rPr>
        <w:t xml:space="preserve">Paci, R. and Usai, S. (1999) Externalities, knowledge spillovers and the spatial distribution of innovation. </w:t>
      </w:r>
      <w:r w:rsidRPr="003736F5">
        <w:rPr>
          <w:rFonts w:cs="Times New Roman"/>
          <w:i/>
          <w:iCs/>
          <w:noProof/>
          <w:color w:val="0D0D0D"/>
          <w:szCs w:val="24"/>
        </w:rPr>
        <w:t>GeoJournal</w:t>
      </w:r>
      <w:r w:rsidRPr="003736F5">
        <w:rPr>
          <w:rFonts w:cs="Times New Roman"/>
          <w:noProof/>
          <w:color w:val="0D0D0D"/>
          <w:szCs w:val="24"/>
        </w:rPr>
        <w:t xml:space="preserve">, 49(4), 381–390. </w:t>
      </w:r>
    </w:p>
    <w:p w14:paraId="5174D9A7" w14:textId="77777777" w:rsidR="0096314B" w:rsidRPr="003736F5" w:rsidRDefault="0096314B" w:rsidP="00B62949">
      <w:pPr>
        <w:spacing w:after="0" w:line="240" w:lineRule="auto"/>
        <w:rPr>
          <w:rFonts w:cs="Times New Roman"/>
          <w:szCs w:val="24"/>
        </w:rPr>
      </w:pPr>
      <w:r w:rsidRPr="003736F5">
        <w:rPr>
          <w:rFonts w:cs="Times New Roman"/>
          <w:szCs w:val="24"/>
        </w:rPr>
        <w:t xml:space="preserve">Philipp, M., Rusch, T., Hornik, K., and Strobl, C. (2018) Measuring the Stability of Results </w:t>
      </w:r>
      <w:proofErr w:type="gramStart"/>
      <w:r w:rsidRPr="003736F5">
        <w:rPr>
          <w:rFonts w:cs="Times New Roman"/>
          <w:szCs w:val="24"/>
        </w:rPr>
        <w:t>From</w:t>
      </w:r>
      <w:proofErr w:type="gramEnd"/>
      <w:r w:rsidRPr="003736F5">
        <w:rPr>
          <w:rFonts w:cs="Times New Roman"/>
          <w:szCs w:val="24"/>
        </w:rPr>
        <w:t xml:space="preserve"> Supervised Statistical Learning. </w:t>
      </w:r>
      <w:r w:rsidRPr="003736F5">
        <w:rPr>
          <w:rFonts w:cs="Times New Roman"/>
          <w:i/>
          <w:iCs/>
          <w:szCs w:val="24"/>
        </w:rPr>
        <w:t>Journal of Computational and Graphical Statistics</w:t>
      </w:r>
      <w:r w:rsidRPr="003736F5">
        <w:rPr>
          <w:rFonts w:cs="Times New Roman"/>
          <w:szCs w:val="24"/>
        </w:rPr>
        <w:t xml:space="preserve">, </w:t>
      </w:r>
      <w:r w:rsidRPr="003736F5">
        <w:rPr>
          <w:rFonts w:cs="Times New Roman"/>
          <w:i/>
          <w:iCs/>
          <w:szCs w:val="24"/>
        </w:rPr>
        <w:t>27</w:t>
      </w:r>
      <w:r w:rsidRPr="003736F5">
        <w:rPr>
          <w:rFonts w:cs="Times New Roman"/>
          <w:szCs w:val="24"/>
        </w:rPr>
        <w:t xml:space="preserve">(4), 685–700. </w:t>
      </w:r>
    </w:p>
    <w:p w14:paraId="0ACEB01E" w14:textId="77777777" w:rsidR="0096314B" w:rsidRPr="003736F5" w:rsidRDefault="0096314B" w:rsidP="00B62949">
      <w:pPr>
        <w:spacing w:after="0" w:line="240" w:lineRule="auto"/>
        <w:ind w:left="142" w:hanging="142"/>
        <w:rPr>
          <w:rFonts w:cs="Times New Roman"/>
          <w:color w:val="0D0D0D"/>
          <w:szCs w:val="24"/>
          <w:shd w:val="clear" w:color="auto" w:fill="FFFFFF"/>
        </w:rPr>
      </w:pPr>
      <w:r w:rsidRPr="003736F5">
        <w:rPr>
          <w:rFonts w:cs="Times New Roman"/>
          <w:color w:val="0D0D0D"/>
          <w:szCs w:val="24"/>
          <w:shd w:val="clear" w:color="auto" w:fill="FFFFFF"/>
        </w:rPr>
        <w:t>Piva, M., and Vivarelli, M. (2007) Is demand-pulled innovation equally important in different groups of firms? </w:t>
      </w:r>
      <w:r w:rsidRPr="003736F5">
        <w:rPr>
          <w:rFonts w:cs="Times New Roman"/>
          <w:i/>
          <w:iCs/>
          <w:color w:val="0D0D0D"/>
          <w:szCs w:val="24"/>
          <w:shd w:val="clear" w:color="auto" w:fill="FFFFFF"/>
        </w:rPr>
        <w:t>Cambridge Journal of Economics</w:t>
      </w:r>
      <w:r w:rsidRPr="003736F5">
        <w:rPr>
          <w:rFonts w:cs="Times New Roman"/>
          <w:color w:val="0D0D0D"/>
          <w:szCs w:val="24"/>
          <w:shd w:val="clear" w:color="auto" w:fill="FFFFFF"/>
        </w:rPr>
        <w:t>, </w:t>
      </w:r>
      <w:r w:rsidRPr="003736F5">
        <w:rPr>
          <w:rFonts w:cs="Times New Roman"/>
          <w:i/>
          <w:iCs/>
          <w:color w:val="0D0D0D"/>
          <w:szCs w:val="24"/>
          <w:shd w:val="clear" w:color="auto" w:fill="FFFFFF"/>
        </w:rPr>
        <w:t>31</w:t>
      </w:r>
      <w:r w:rsidRPr="003736F5">
        <w:rPr>
          <w:rFonts w:cs="Times New Roman"/>
          <w:color w:val="0D0D0D"/>
          <w:szCs w:val="24"/>
          <w:shd w:val="clear" w:color="auto" w:fill="FFFFFF"/>
        </w:rPr>
        <w:t>(5), 691–710.</w:t>
      </w:r>
    </w:p>
    <w:p w14:paraId="36471736" w14:textId="77777777" w:rsidR="0096314B" w:rsidRPr="003736F5" w:rsidRDefault="0096314B" w:rsidP="00B62949">
      <w:pPr>
        <w:spacing w:after="0" w:line="240" w:lineRule="auto"/>
        <w:rPr>
          <w:rFonts w:cs="Times New Roman"/>
          <w:szCs w:val="24"/>
        </w:rPr>
      </w:pPr>
      <w:r w:rsidRPr="003736F5">
        <w:rPr>
          <w:rFonts w:cs="Times New Roman"/>
          <w:szCs w:val="24"/>
        </w:rPr>
        <w:t xml:space="preserve">Rabinowicz, A., and Rosset, S. (2020) Cross-Validation for Correlated Data. </w:t>
      </w:r>
      <w:r w:rsidRPr="003736F5">
        <w:rPr>
          <w:rFonts w:cs="Times New Roman"/>
          <w:i/>
          <w:iCs/>
          <w:szCs w:val="24"/>
        </w:rPr>
        <w:t>Journal of the American Statistical Association</w:t>
      </w:r>
      <w:r w:rsidRPr="003736F5">
        <w:rPr>
          <w:rFonts w:cs="Times New Roman"/>
          <w:szCs w:val="24"/>
        </w:rPr>
        <w:t>, DOI: 10.1080/01621459.2020.1801451</w:t>
      </w:r>
    </w:p>
    <w:p w14:paraId="605241D1" w14:textId="77777777" w:rsidR="0096314B" w:rsidRPr="003736F5" w:rsidRDefault="0096314B" w:rsidP="00B62949">
      <w:pPr>
        <w:spacing w:after="0" w:line="240" w:lineRule="auto"/>
        <w:ind w:left="142" w:hanging="142"/>
        <w:rPr>
          <w:rStyle w:val="Hyperlink"/>
          <w:rFonts w:cs="Times New Roman"/>
          <w:color w:val="0D0D0D"/>
          <w:szCs w:val="24"/>
          <w:u w:val="none"/>
          <w:shd w:val="clear" w:color="auto" w:fill="FFFFFF"/>
        </w:rPr>
      </w:pPr>
      <w:r w:rsidRPr="003736F5">
        <w:rPr>
          <w:rStyle w:val="Hyperlink"/>
          <w:rFonts w:cs="Times New Roman"/>
          <w:color w:val="0D0D0D"/>
          <w:szCs w:val="24"/>
          <w:u w:val="none"/>
          <w:shd w:val="clear" w:color="auto" w:fill="FFFFFF"/>
        </w:rPr>
        <w:t xml:space="preserve">Romer, P. M. (1990) Endogenous Technological Change. </w:t>
      </w:r>
      <w:r w:rsidRPr="003736F5">
        <w:rPr>
          <w:rStyle w:val="Hyperlink"/>
          <w:rFonts w:cs="Times New Roman"/>
          <w:i/>
          <w:iCs/>
          <w:color w:val="0D0D0D"/>
          <w:szCs w:val="24"/>
          <w:u w:val="none"/>
          <w:shd w:val="clear" w:color="auto" w:fill="FFFFFF"/>
        </w:rPr>
        <w:t>Journal of Political Economy</w:t>
      </w:r>
      <w:r w:rsidRPr="003736F5">
        <w:rPr>
          <w:rStyle w:val="Hyperlink"/>
          <w:rFonts w:cs="Times New Roman"/>
          <w:color w:val="0D0D0D"/>
          <w:szCs w:val="24"/>
          <w:u w:val="none"/>
          <w:shd w:val="clear" w:color="auto" w:fill="FFFFFF"/>
        </w:rPr>
        <w:t>, 98(5), S71–S102.</w:t>
      </w:r>
    </w:p>
    <w:p w14:paraId="4EB3C88A" w14:textId="77777777" w:rsidR="0096314B" w:rsidRPr="003736F5" w:rsidRDefault="0096314B" w:rsidP="00B62949">
      <w:pPr>
        <w:widowControl w:val="0"/>
        <w:autoSpaceDE w:val="0"/>
        <w:autoSpaceDN w:val="0"/>
        <w:adjustRightInd w:val="0"/>
        <w:spacing w:after="0" w:line="240" w:lineRule="auto"/>
        <w:ind w:left="480" w:hanging="480"/>
        <w:rPr>
          <w:rFonts w:cs="Times New Roman"/>
          <w:noProof/>
          <w:szCs w:val="24"/>
        </w:rPr>
      </w:pPr>
      <w:r w:rsidRPr="003736F5">
        <w:rPr>
          <w:rFonts w:cs="Times New Roman"/>
          <w:noProof/>
          <w:szCs w:val="24"/>
        </w:rPr>
        <w:t xml:space="preserve">Romero-Jordán, D., Sanz-Labrador, I. and Sanz-Sanz, J.F. (2020) Is the corporation tax a barrier to productivity growth? </w:t>
      </w:r>
      <w:r w:rsidRPr="003736F5">
        <w:rPr>
          <w:rFonts w:cs="Times New Roman"/>
          <w:i/>
          <w:iCs/>
          <w:noProof/>
          <w:szCs w:val="24"/>
        </w:rPr>
        <w:t>Small Business Economics</w:t>
      </w:r>
      <w:r w:rsidRPr="003736F5">
        <w:rPr>
          <w:rFonts w:cs="Times New Roman"/>
          <w:noProof/>
          <w:szCs w:val="24"/>
        </w:rPr>
        <w:t xml:space="preserve"> 55(1), 23–38. DOI: 10.1007/s11187-019-00136-x.</w:t>
      </w:r>
    </w:p>
    <w:p w14:paraId="62213943" w14:textId="77777777" w:rsidR="0096314B" w:rsidRPr="003736F5" w:rsidRDefault="0096314B" w:rsidP="00B62949">
      <w:pPr>
        <w:spacing w:after="0" w:line="240" w:lineRule="auto"/>
        <w:rPr>
          <w:rStyle w:val="Hyperlink"/>
          <w:rFonts w:cs="Times New Roman"/>
          <w:noProof/>
          <w:color w:val="0D0D0D"/>
          <w:szCs w:val="24"/>
          <w:u w:val="none"/>
        </w:rPr>
      </w:pPr>
      <w:r w:rsidRPr="003736F5">
        <w:rPr>
          <w:rFonts w:cs="Times New Roman"/>
          <w:noProof/>
          <w:color w:val="0D0D0D"/>
          <w:szCs w:val="24"/>
        </w:rPr>
        <w:t xml:space="preserve">Sela, R. J. and Simonoff, J. S. (2012) RE-EM trees: A data mining approach for longitudinal and clustered data. </w:t>
      </w:r>
      <w:r w:rsidRPr="003736F5">
        <w:rPr>
          <w:rFonts w:cs="Times New Roman"/>
          <w:i/>
          <w:iCs/>
          <w:noProof/>
          <w:color w:val="0D0D0D"/>
          <w:szCs w:val="24"/>
        </w:rPr>
        <w:t>Machine Learning</w:t>
      </w:r>
      <w:r w:rsidRPr="003736F5">
        <w:rPr>
          <w:rFonts w:cs="Times New Roman"/>
          <w:noProof/>
          <w:color w:val="0D0D0D"/>
          <w:szCs w:val="24"/>
        </w:rPr>
        <w:t>, 86(2), 169–207.</w:t>
      </w:r>
      <w:r w:rsidRPr="003736F5">
        <w:rPr>
          <w:rStyle w:val="Hyperlink"/>
          <w:rFonts w:cs="Times New Roman"/>
          <w:noProof/>
          <w:color w:val="0D0D0D"/>
          <w:szCs w:val="24"/>
          <w:u w:val="none"/>
        </w:rPr>
        <w:t xml:space="preserve"> </w:t>
      </w:r>
    </w:p>
    <w:p w14:paraId="2F9EA518" w14:textId="77777777" w:rsidR="0096314B" w:rsidRPr="003736F5" w:rsidRDefault="0096314B" w:rsidP="00B62949">
      <w:pPr>
        <w:spacing w:after="0" w:line="240" w:lineRule="auto"/>
        <w:rPr>
          <w:rFonts w:cs="Times New Roman"/>
          <w:bCs/>
          <w:color w:val="000000"/>
          <w:szCs w:val="24"/>
          <w:shd w:val="clear" w:color="auto" w:fill="FFFFFF"/>
        </w:rPr>
      </w:pPr>
      <w:r w:rsidRPr="003736F5">
        <w:rPr>
          <w:rFonts w:cs="Times New Roman"/>
          <w:bCs/>
          <w:color w:val="000000"/>
          <w:szCs w:val="24"/>
          <w:shd w:val="clear" w:color="auto" w:fill="FFFFFF"/>
        </w:rPr>
        <w:t xml:space="preserve">Shane, S. (2009) Why encouraging more people to become entrepreneurs is bad public policy. </w:t>
      </w:r>
      <w:r w:rsidRPr="003736F5">
        <w:rPr>
          <w:rFonts w:cs="Times New Roman"/>
          <w:bCs/>
          <w:i/>
          <w:iCs/>
          <w:color w:val="000000"/>
          <w:szCs w:val="24"/>
          <w:shd w:val="clear" w:color="auto" w:fill="FFFFFF"/>
        </w:rPr>
        <w:t>Small Business Economics</w:t>
      </w:r>
      <w:r w:rsidRPr="003736F5">
        <w:rPr>
          <w:rFonts w:cs="Times New Roman"/>
          <w:bCs/>
          <w:color w:val="000000"/>
          <w:szCs w:val="24"/>
          <w:shd w:val="clear" w:color="auto" w:fill="FFFFFF"/>
        </w:rPr>
        <w:t xml:space="preserve">, 33, 141-149. </w:t>
      </w:r>
    </w:p>
    <w:p w14:paraId="743056D1"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Sperber, S. and Linder, C. (2019) ‘Gender-specifics in start-up strategies and the role of the entrepreneurial ecosystem’, </w:t>
      </w:r>
      <w:r w:rsidRPr="003736F5">
        <w:rPr>
          <w:rFonts w:cs="Times New Roman"/>
          <w:i/>
          <w:iCs/>
          <w:noProof/>
          <w:color w:val="0D0D0D"/>
          <w:szCs w:val="24"/>
        </w:rPr>
        <w:t>Small Business Economics</w:t>
      </w:r>
      <w:r w:rsidRPr="003736F5">
        <w:rPr>
          <w:rFonts w:cs="Times New Roman"/>
          <w:noProof/>
          <w:color w:val="0D0D0D"/>
          <w:szCs w:val="24"/>
        </w:rPr>
        <w:t>, 53(2), pp. 533–546. doi: 10.1007/s11187-018-9999-2.</w:t>
      </w:r>
    </w:p>
    <w:p w14:paraId="7D7F8C9A" w14:textId="77777777" w:rsidR="0096314B" w:rsidRPr="003736F5" w:rsidRDefault="0096314B" w:rsidP="00B62949">
      <w:pPr>
        <w:widowControl w:val="0"/>
        <w:autoSpaceDE w:val="0"/>
        <w:autoSpaceDN w:val="0"/>
        <w:adjustRightInd w:val="0"/>
        <w:spacing w:after="0" w:line="240" w:lineRule="auto"/>
        <w:ind w:left="480" w:hanging="480"/>
        <w:rPr>
          <w:rFonts w:cs="Times New Roman"/>
          <w:noProof/>
          <w:szCs w:val="24"/>
        </w:rPr>
      </w:pPr>
      <w:r w:rsidRPr="003736F5">
        <w:rPr>
          <w:rFonts w:cs="Times New Roman"/>
          <w:noProof/>
          <w:szCs w:val="24"/>
        </w:rPr>
        <w:t xml:space="preserve">Sterlacchini, A. and Venturini, F. (2019) R&amp;D tax incentives in EU countries: does the impact vary with firm size? </w:t>
      </w:r>
      <w:r w:rsidRPr="003736F5">
        <w:rPr>
          <w:rFonts w:cs="Times New Roman"/>
          <w:i/>
          <w:iCs/>
          <w:noProof/>
          <w:szCs w:val="24"/>
        </w:rPr>
        <w:t>Small Business Economics</w:t>
      </w:r>
      <w:r w:rsidRPr="003736F5">
        <w:rPr>
          <w:rFonts w:cs="Times New Roman"/>
          <w:noProof/>
          <w:szCs w:val="24"/>
        </w:rPr>
        <w:t xml:space="preserve"> 53(3), 687–708. DOI: 10.1007/s11187-018-0074-9.</w:t>
      </w:r>
    </w:p>
    <w:p w14:paraId="2141F9BE"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Su, Z. </w:t>
      </w:r>
      <w:r w:rsidRPr="003736F5">
        <w:rPr>
          <w:rFonts w:cs="Times New Roman"/>
          <w:i/>
          <w:iCs/>
          <w:noProof/>
          <w:color w:val="0D0D0D"/>
          <w:szCs w:val="24"/>
        </w:rPr>
        <w:t>et al.</w:t>
      </w:r>
      <w:r w:rsidRPr="003736F5">
        <w:rPr>
          <w:rFonts w:cs="Times New Roman"/>
          <w:noProof/>
          <w:color w:val="0D0D0D"/>
          <w:szCs w:val="24"/>
        </w:rPr>
        <w:t xml:space="preserve"> (2011) ‘Entrepreneurial strategy making, resources, and firm performance: evidence from China’, </w:t>
      </w:r>
      <w:r w:rsidRPr="003736F5">
        <w:rPr>
          <w:rFonts w:cs="Times New Roman"/>
          <w:i/>
          <w:iCs/>
          <w:noProof/>
          <w:color w:val="0D0D0D"/>
          <w:szCs w:val="24"/>
        </w:rPr>
        <w:t>Small Business Economics</w:t>
      </w:r>
      <w:r w:rsidRPr="003736F5">
        <w:rPr>
          <w:rFonts w:cs="Times New Roman"/>
          <w:noProof/>
          <w:color w:val="0D0D0D"/>
          <w:szCs w:val="24"/>
        </w:rPr>
        <w:t>, 36(2), pp. 235–247. doi: 10.1007/s11187-009-9211-9.</w:t>
      </w:r>
    </w:p>
    <w:p w14:paraId="7B16A2FF" w14:textId="77777777" w:rsidR="0096314B" w:rsidRPr="003736F5" w:rsidRDefault="0096314B" w:rsidP="00B62949">
      <w:pPr>
        <w:spacing w:after="0" w:line="240" w:lineRule="auto"/>
        <w:rPr>
          <w:rStyle w:val="Hyperlink"/>
          <w:rFonts w:cs="Times New Roman"/>
          <w:bCs/>
          <w:color w:val="000000"/>
          <w:szCs w:val="24"/>
          <w:u w:val="none"/>
          <w:shd w:val="clear" w:color="auto" w:fill="FFFFFF"/>
        </w:rPr>
      </w:pPr>
      <w:r w:rsidRPr="003736F5">
        <w:rPr>
          <w:rStyle w:val="Hyperlink"/>
          <w:rFonts w:cs="Times New Roman"/>
          <w:bCs/>
          <w:color w:val="000000"/>
          <w:szCs w:val="24"/>
          <w:u w:val="none"/>
          <w:shd w:val="clear" w:color="auto" w:fill="FFFFFF"/>
        </w:rPr>
        <w:t xml:space="preserve">Tan, C.M. (2010) No one true path: uncovering the interplay between geography, institutions, and fractionalisation in economic development. </w:t>
      </w:r>
      <w:r w:rsidRPr="003736F5">
        <w:rPr>
          <w:rStyle w:val="Hyperlink"/>
          <w:rFonts w:cs="Times New Roman"/>
          <w:bCs/>
          <w:i/>
          <w:iCs/>
          <w:color w:val="000000"/>
          <w:szCs w:val="24"/>
          <w:u w:val="none"/>
          <w:shd w:val="clear" w:color="auto" w:fill="FFFFFF"/>
        </w:rPr>
        <w:t>Journal of Applied Econometrics,</w:t>
      </w:r>
      <w:r w:rsidRPr="003736F5">
        <w:rPr>
          <w:rStyle w:val="Hyperlink"/>
          <w:rFonts w:cs="Times New Roman"/>
          <w:bCs/>
          <w:color w:val="000000"/>
          <w:szCs w:val="24"/>
          <w:u w:val="none"/>
          <w:shd w:val="clear" w:color="auto" w:fill="FFFFFF"/>
        </w:rPr>
        <w:t xml:space="preserve"> 25, 1100-1127.</w:t>
      </w:r>
    </w:p>
    <w:p w14:paraId="2E77FA96"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Van Beveren, I. (2012) Total factor productivity estimation: A practical review. </w:t>
      </w:r>
      <w:r w:rsidRPr="003736F5">
        <w:rPr>
          <w:rFonts w:cs="Times New Roman"/>
          <w:i/>
          <w:iCs/>
          <w:noProof/>
          <w:color w:val="0D0D0D"/>
          <w:szCs w:val="24"/>
        </w:rPr>
        <w:t>Journal of Economic Surveys</w:t>
      </w:r>
      <w:r w:rsidRPr="003736F5">
        <w:rPr>
          <w:rFonts w:cs="Times New Roman"/>
          <w:noProof/>
          <w:color w:val="0D0D0D"/>
          <w:szCs w:val="24"/>
        </w:rPr>
        <w:t xml:space="preserve">, 26(1), 98–128. </w:t>
      </w:r>
      <w:r w:rsidRPr="003736F5">
        <w:rPr>
          <w:rFonts w:cs="Times New Roman"/>
          <w:noProof/>
          <w:szCs w:val="24"/>
        </w:rPr>
        <w:t>https://doi.org/10.1111/j.1467-6419.2010.00631.x</w:t>
      </w:r>
    </w:p>
    <w:p w14:paraId="4BD52056"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Van der Panne, G. (2004) ‘Agglomeration externalities: Marshall versus Jacobs’, </w:t>
      </w:r>
      <w:r w:rsidRPr="003736F5">
        <w:rPr>
          <w:rFonts w:cs="Times New Roman"/>
          <w:i/>
          <w:iCs/>
          <w:noProof/>
          <w:color w:val="0D0D0D"/>
          <w:szCs w:val="24"/>
        </w:rPr>
        <w:t>Journal of Evolutionary Economics</w:t>
      </w:r>
      <w:r w:rsidRPr="003736F5">
        <w:rPr>
          <w:rFonts w:cs="Times New Roman"/>
          <w:noProof/>
          <w:color w:val="0D0D0D"/>
          <w:szCs w:val="24"/>
        </w:rPr>
        <w:t>, 14(5), pp. 593–604. doi: 10.1007/s00191-004-0232-x.</w:t>
      </w:r>
    </w:p>
    <w:p w14:paraId="4A4666E6"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Venâncio, A., Barros, V. and Raposo, C. (2022) ‘Corporate taxes and high-quality entrepreneurship’, </w:t>
      </w:r>
      <w:r w:rsidRPr="003736F5">
        <w:rPr>
          <w:rFonts w:cs="Times New Roman"/>
          <w:i/>
          <w:iCs/>
          <w:noProof/>
          <w:color w:val="0D0D0D"/>
          <w:szCs w:val="24"/>
        </w:rPr>
        <w:t>Small Business Economics</w:t>
      </w:r>
      <w:r w:rsidRPr="003736F5">
        <w:rPr>
          <w:rFonts w:cs="Times New Roman"/>
          <w:noProof/>
          <w:color w:val="0D0D0D"/>
          <w:szCs w:val="24"/>
        </w:rPr>
        <w:t>, 58(1), pp. 353–382. doi: 10.1007/s11187-020-00413-0.</w:t>
      </w:r>
    </w:p>
    <w:p w14:paraId="09E64F5D"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lastRenderedPageBreak/>
        <w:t xml:space="preserve">Wang, H. </w:t>
      </w:r>
      <w:r w:rsidRPr="003736F5">
        <w:rPr>
          <w:rFonts w:cs="Times New Roman"/>
          <w:i/>
          <w:iCs/>
          <w:noProof/>
          <w:color w:val="0D0D0D"/>
          <w:szCs w:val="24"/>
        </w:rPr>
        <w:t>et al.</w:t>
      </w:r>
      <w:r w:rsidRPr="003736F5">
        <w:rPr>
          <w:rFonts w:cs="Times New Roman"/>
          <w:noProof/>
          <w:color w:val="0D0D0D"/>
          <w:szCs w:val="24"/>
        </w:rPr>
        <w:t xml:space="preserve"> (2022) ‘Effective policy mixes in entrepreneurial ecosystems: a configurational analysis in China’, </w:t>
      </w:r>
      <w:r w:rsidRPr="003736F5">
        <w:rPr>
          <w:rFonts w:cs="Times New Roman"/>
          <w:i/>
          <w:iCs/>
          <w:noProof/>
          <w:color w:val="0D0D0D"/>
          <w:szCs w:val="24"/>
        </w:rPr>
        <w:t>Small Business Economics</w:t>
      </w:r>
      <w:r w:rsidRPr="003736F5">
        <w:rPr>
          <w:rFonts w:cs="Times New Roman"/>
          <w:noProof/>
          <w:color w:val="0D0D0D"/>
          <w:szCs w:val="24"/>
        </w:rPr>
        <w:t>, (0123456789). doi: 10.1007/s11187-022-00658-x.</w:t>
      </w:r>
    </w:p>
    <w:p w14:paraId="637F530A" w14:textId="77777777" w:rsidR="0096314B" w:rsidRPr="003736F5" w:rsidRDefault="0096314B" w:rsidP="00B62949">
      <w:pPr>
        <w:spacing w:after="0" w:line="240" w:lineRule="auto"/>
        <w:ind w:left="142" w:hanging="142"/>
        <w:rPr>
          <w:rFonts w:cs="Times New Roman"/>
          <w:noProof/>
          <w:color w:val="0D0D0D"/>
          <w:szCs w:val="24"/>
        </w:rPr>
      </w:pPr>
      <w:r w:rsidRPr="003736F5">
        <w:rPr>
          <w:rFonts w:cs="Times New Roman"/>
          <w:noProof/>
          <w:color w:val="0D0D0D"/>
          <w:szCs w:val="24"/>
        </w:rPr>
        <w:t xml:space="preserve">Woodside, A. G. (2014) ‘Embrace•perform•model: Complexity theory, contrarian case analysis, and multiple realities’, </w:t>
      </w:r>
      <w:r w:rsidRPr="003736F5">
        <w:rPr>
          <w:rFonts w:cs="Times New Roman"/>
          <w:i/>
          <w:iCs/>
          <w:noProof/>
          <w:color w:val="0D0D0D"/>
          <w:szCs w:val="24"/>
        </w:rPr>
        <w:t>Journal of Business Research</w:t>
      </w:r>
      <w:r w:rsidRPr="003736F5">
        <w:rPr>
          <w:rFonts w:cs="Times New Roman"/>
          <w:noProof/>
          <w:color w:val="0D0D0D"/>
          <w:szCs w:val="24"/>
        </w:rPr>
        <w:t>, 67(12), pp. 2495–2503. doi: 10.1016/j.jbusres.2014.07.006.</w:t>
      </w:r>
    </w:p>
    <w:p w14:paraId="26A17F93" w14:textId="77777777" w:rsidR="0096314B" w:rsidRPr="003736F5" w:rsidRDefault="0096314B" w:rsidP="00B62949">
      <w:pPr>
        <w:spacing w:after="0" w:line="240" w:lineRule="auto"/>
        <w:ind w:left="142" w:hanging="142"/>
        <w:rPr>
          <w:rFonts w:cs="Times New Roman"/>
          <w:noProof/>
          <w:color w:val="0D0D0D"/>
          <w:szCs w:val="24"/>
        </w:rPr>
      </w:pPr>
      <w:r w:rsidRPr="003736F5">
        <w:rPr>
          <w:rStyle w:val="Hyperlink"/>
          <w:rFonts w:cs="Times New Roman"/>
          <w:color w:val="0D0D0D"/>
          <w:szCs w:val="24"/>
          <w:u w:val="none"/>
          <w:shd w:val="clear" w:color="auto" w:fill="FFFFFF"/>
        </w:rPr>
        <w:t xml:space="preserve">Wooldridge, J. M. (2009) On estimating firm-level production functions using proxy variables to control for unobservables. </w:t>
      </w:r>
      <w:r w:rsidRPr="003736F5">
        <w:rPr>
          <w:rStyle w:val="Hyperlink"/>
          <w:rFonts w:cs="Times New Roman"/>
          <w:i/>
          <w:color w:val="0D0D0D"/>
          <w:szCs w:val="24"/>
          <w:u w:val="none"/>
          <w:shd w:val="clear" w:color="auto" w:fill="FFFFFF"/>
        </w:rPr>
        <w:t>Economics Letters</w:t>
      </w:r>
      <w:r w:rsidRPr="003736F5">
        <w:rPr>
          <w:rStyle w:val="Hyperlink"/>
          <w:rFonts w:cs="Times New Roman"/>
          <w:color w:val="0D0D0D"/>
          <w:szCs w:val="24"/>
          <w:u w:val="none"/>
          <w:shd w:val="clear" w:color="auto" w:fill="FFFFFF"/>
        </w:rPr>
        <w:t>, 104(3), 112-114.</w:t>
      </w:r>
      <w:r w:rsidRPr="003736F5">
        <w:rPr>
          <w:rFonts w:cs="Times New Roman"/>
          <w:noProof/>
          <w:color w:val="0D0D0D"/>
          <w:szCs w:val="24"/>
        </w:rPr>
        <w:t xml:space="preserve"> </w:t>
      </w:r>
      <w:bookmarkStart w:id="9" w:name="_Hlk111996254"/>
    </w:p>
    <w:bookmarkEnd w:id="9"/>
    <w:p w14:paraId="68C3CBE2" w14:textId="77777777" w:rsidR="004A2D58" w:rsidRPr="003736F5" w:rsidRDefault="004A2D58">
      <w:pPr>
        <w:spacing w:after="0" w:line="240" w:lineRule="auto"/>
        <w:rPr>
          <w:rFonts w:cs="Times New Roman"/>
          <w:noProof/>
          <w:color w:val="0D0D0D"/>
          <w:szCs w:val="24"/>
        </w:rPr>
      </w:pPr>
      <w:r w:rsidRPr="003736F5">
        <w:rPr>
          <w:rFonts w:cs="Times New Roman"/>
          <w:noProof/>
          <w:color w:val="0D0D0D"/>
          <w:szCs w:val="24"/>
        </w:rPr>
        <w:br w:type="page"/>
      </w:r>
    </w:p>
    <w:p w14:paraId="3A71796A" w14:textId="685C639B" w:rsidR="004A2D58" w:rsidRPr="003736F5" w:rsidRDefault="004A2D58" w:rsidP="004A2D58">
      <w:pPr>
        <w:rPr>
          <w:rFonts w:cs="Times New Roman"/>
          <w:b/>
          <w:bCs/>
          <w:lang w:val="en-US"/>
        </w:rPr>
      </w:pPr>
      <w:r w:rsidRPr="003736F5">
        <w:rPr>
          <w:rFonts w:cs="Times New Roman"/>
          <w:b/>
          <w:bCs/>
          <w:lang w:val="en-US"/>
        </w:rPr>
        <w:lastRenderedPageBreak/>
        <w:t xml:space="preserve">Table 1: Estimates of </w:t>
      </w:r>
      <w:r w:rsidR="00A15E23" w:rsidRPr="003736F5">
        <w:rPr>
          <w:rFonts w:cs="Times New Roman"/>
          <w:b/>
          <w:bCs/>
          <w:lang w:val="en-US"/>
        </w:rPr>
        <w:t>T</w:t>
      </w:r>
      <w:r w:rsidRPr="003736F5">
        <w:rPr>
          <w:rFonts w:cs="Times New Roman"/>
          <w:b/>
          <w:bCs/>
          <w:lang w:val="en-US"/>
        </w:rPr>
        <w:t xml:space="preserve">reatment </w:t>
      </w:r>
      <w:r w:rsidR="00A15E23" w:rsidRPr="003736F5">
        <w:rPr>
          <w:rFonts w:cs="Times New Roman"/>
          <w:b/>
          <w:bCs/>
          <w:lang w:val="en-US"/>
        </w:rPr>
        <w:t>E</w:t>
      </w:r>
      <w:r w:rsidRPr="003736F5">
        <w:rPr>
          <w:rFonts w:cs="Times New Roman"/>
          <w:b/>
          <w:bCs/>
          <w:lang w:val="en-US"/>
        </w:rPr>
        <w:t xml:space="preserve">ffect </w:t>
      </w:r>
      <w:r w:rsidR="00A15E23" w:rsidRPr="003736F5">
        <w:rPr>
          <w:rFonts w:cs="Times New Roman"/>
          <w:b/>
          <w:bCs/>
          <w:lang w:val="en-US"/>
        </w:rPr>
        <w:t>with</w:t>
      </w:r>
      <w:r w:rsidRPr="003736F5">
        <w:rPr>
          <w:rFonts w:cs="Times New Roman"/>
          <w:b/>
          <w:bCs/>
          <w:lang w:val="en-US"/>
        </w:rPr>
        <w:t xml:space="preserve"> the </w:t>
      </w:r>
      <w:r w:rsidR="00A15E23" w:rsidRPr="003736F5">
        <w:rPr>
          <w:rFonts w:cs="Times New Roman"/>
          <w:b/>
          <w:bCs/>
          <w:lang w:val="en-US"/>
        </w:rPr>
        <w:t>D</w:t>
      </w:r>
      <w:r w:rsidRPr="003736F5">
        <w:rPr>
          <w:rFonts w:cs="Times New Roman"/>
          <w:b/>
          <w:bCs/>
          <w:lang w:val="en-US"/>
        </w:rPr>
        <w:t xml:space="preserve">ifference in </w:t>
      </w:r>
      <w:r w:rsidR="00A15E23" w:rsidRPr="003736F5">
        <w:rPr>
          <w:rFonts w:cs="Times New Roman"/>
          <w:b/>
          <w:bCs/>
          <w:lang w:val="en-US"/>
        </w:rPr>
        <w:t>D</w:t>
      </w:r>
      <w:r w:rsidRPr="003736F5">
        <w:rPr>
          <w:rFonts w:cs="Times New Roman"/>
          <w:b/>
          <w:bCs/>
          <w:lang w:val="en-US"/>
        </w:rPr>
        <w:t xml:space="preserve">ifference </w:t>
      </w:r>
      <w:r w:rsidR="00A15E23" w:rsidRPr="003736F5">
        <w:rPr>
          <w:rFonts w:cs="Times New Roman"/>
          <w:b/>
          <w:bCs/>
          <w:lang w:val="en-US"/>
        </w:rPr>
        <w:t>R</w:t>
      </w:r>
      <w:r w:rsidRPr="003736F5">
        <w:rPr>
          <w:rFonts w:cs="Times New Roman"/>
          <w:b/>
          <w:bCs/>
          <w:lang w:val="en-US"/>
        </w:rPr>
        <w:t xml:space="preserve">egressions. </w:t>
      </w:r>
    </w:p>
    <w:tbl>
      <w:tblPr>
        <w:tblStyle w:val="TableGrid"/>
        <w:tblW w:w="9104" w:type="dxa"/>
        <w:tblLook w:val="04A0" w:firstRow="1" w:lastRow="0" w:firstColumn="1" w:lastColumn="0" w:noHBand="0" w:noVBand="1"/>
      </w:tblPr>
      <w:tblGrid>
        <w:gridCol w:w="1936"/>
        <w:gridCol w:w="916"/>
        <w:gridCol w:w="916"/>
        <w:gridCol w:w="916"/>
        <w:gridCol w:w="916"/>
        <w:gridCol w:w="1036"/>
        <w:gridCol w:w="916"/>
        <w:gridCol w:w="1036"/>
        <w:gridCol w:w="1036"/>
      </w:tblGrid>
      <w:tr w:rsidR="004A2D58" w:rsidRPr="003736F5" w14:paraId="7CCA4FE2" w14:textId="77777777" w:rsidTr="00DE7B20">
        <w:trPr>
          <w:trHeight w:val="197"/>
        </w:trPr>
        <w:tc>
          <w:tcPr>
            <w:tcW w:w="1936" w:type="dxa"/>
            <w:noWrap/>
            <w:hideMark/>
          </w:tcPr>
          <w:p w14:paraId="2E4BA8F5" w14:textId="77777777" w:rsidR="004A2D58" w:rsidRPr="003736F5" w:rsidRDefault="004A2D58" w:rsidP="00DE7B20">
            <w:pPr>
              <w:spacing w:after="0" w:line="240" w:lineRule="auto"/>
              <w:rPr>
                <w:rFonts w:ascii="Times New Roman" w:eastAsia="Times New Roman" w:hAnsi="Times New Roman" w:cs="Times New Roman"/>
                <w:b/>
                <w:szCs w:val="24"/>
                <w:lang w:val="en-US"/>
              </w:rPr>
            </w:pPr>
            <w:r w:rsidRPr="003736F5">
              <w:rPr>
                <w:rFonts w:ascii="Times New Roman" w:eastAsia="Times New Roman" w:hAnsi="Times New Roman" w:cs="Times New Roman"/>
                <w:b/>
                <w:szCs w:val="24"/>
                <w:lang w:val="en-US"/>
              </w:rPr>
              <w:t>Variable</w:t>
            </w:r>
          </w:p>
        </w:tc>
        <w:tc>
          <w:tcPr>
            <w:tcW w:w="857" w:type="dxa"/>
            <w:noWrap/>
            <w:hideMark/>
          </w:tcPr>
          <w:p w14:paraId="279D837D"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(1)</w:t>
            </w:r>
          </w:p>
        </w:tc>
        <w:tc>
          <w:tcPr>
            <w:tcW w:w="857" w:type="dxa"/>
            <w:noWrap/>
            <w:hideMark/>
          </w:tcPr>
          <w:p w14:paraId="60CA2CFF"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(2)</w:t>
            </w:r>
          </w:p>
        </w:tc>
        <w:tc>
          <w:tcPr>
            <w:tcW w:w="857" w:type="dxa"/>
            <w:noWrap/>
            <w:hideMark/>
          </w:tcPr>
          <w:p w14:paraId="472D23A1"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(3)</w:t>
            </w:r>
          </w:p>
        </w:tc>
        <w:tc>
          <w:tcPr>
            <w:tcW w:w="857" w:type="dxa"/>
            <w:noWrap/>
            <w:hideMark/>
          </w:tcPr>
          <w:p w14:paraId="29BCAE08"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(4)</w:t>
            </w:r>
          </w:p>
        </w:tc>
        <w:tc>
          <w:tcPr>
            <w:tcW w:w="961" w:type="dxa"/>
            <w:noWrap/>
            <w:hideMark/>
          </w:tcPr>
          <w:p w14:paraId="466D3AE1"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(5)</w:t>
            </w:r>
          </w:p>
        </w:tc>
        <w:tc>
          <w:tcPr>
            <w:tcW w:w="857" w:type="dxa"/>
            <w:noWrap/>
            <w:hideMark/>
          </w:tcPr>
          <w:p w14:paraId="677898A3"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(6)</w:t>
            </w:r>
          </w:p>
        </w:tc>
        <w:tc>
          <w:tcPr>
            <w:tcW w:w="961" w:type="dxa"/>
            <w:noWrap/>
            <w:hideMark/>
          </w:tcPr>
          <w:p w14:paraId="18848952"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(7)</w:t>
            </w:r>
          </w:p>
        </w:tc>
        <w:tc>
          <w:tcPr>
            <w:tcW w:w="961" w:type="dxa"/>
            <w:noWrap/>
            <w:hideMark/>
          </w:tcPr>
          <w:p w14:paraId="2F94DC0B" w14:textId="77777777" w:rsidR="004A2D58" w:rsidRPr="003736F5" w:rsidRDefault="004A2D58" w:rsidP="00301190">
            <w:pPr>
              <w:spacing w:after="0" w:line="240" w:lineRule="auto"/>
              <w:jc w:val="center"/>
              <w:rPr>
                <w:rFonts w:ascii="Times New Roman" w:eastAsia="Times New Roman" w:hAnsi="Times New Roman" w:cs="Times New Roman"/>
                <w:b/>
                <w:color w:val="000000"/>
                <w:lang w:val="en-US"/>
              </w:rPr>
            </w:pPr>
            <w:r w:rsidRPr="003736F5">
              <w:rPr>
                <w:rFonts w:ascii="Times New Roman" w:eastAsia="Times New Roman" w:hAnsi="Times New Roman" w:cs="Times New Roman"/>
                <w:b/>
                <w:color w:val="000000"/>
                <w:lang w:val="en-US"/>
              </w:rPr>
              <w:t>(8)</w:t>
            </w:r>
          </w:p>
        </w:tc>
      </w:tr>
      <w:tr w:rsidR="004A2D58" w:rsidRPr="003736F5" w14:paraId="76B18B09" w14:textId="77777777" w:rsidTr="00DE7B20">
        <w:trPr>
          <w:trHeight w:val="367"/>
        </w:trPr>
        <w:tc>
          <w:tcPr>
            <w:tcW w:w="1936" w:type="dxa"/>
            <w:noWrap/>
            <w:hideMark/>
          </w:tcPr>
          <w:p w14:paraId="786792A6" w14:textId="77777777"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Treatment &amp; time</w:t>
            </w:r>
          </w:p>
        </w:tc>
        <w:tc>
          <w:tcPr>
            <w:tcW w:w="857" w:type="dxa"/>
            <w:hideMark/>
          </w:tcPr>
          <w:p w14:paraId="3871ECC1"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-0.001 (0.002)</w:t>
            </w:r>
          </w:p>
        </w:tc>
        <w:tc>
          <w:tcPr>
            <w:tcW w:w="857" w:type="dxa"/>
            <w:hideMark/>
          </w:tcPr>
          <w:p w14:paraId="05948B19"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-0.001 (0.002)</w:t>
            </w:r>
          </w:p>
        </w:tc>
        <w:tc>
          <w:tcPr>
            <w:tcW w:w="857" w:type="dxa"/>
            <w:hideMark/>
          </w:tcPr>
          <w:p w14:paraId="2EA8EF89"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-0.001 (0.002)</w:t>
            </w:r>
          </w:p>
        </w:tc>
        <w:tc>
          <w:tcPr>
            <w:tcW w:w="857" w:type="dxa"/>
            <w:hideMark/>
          </w:tcPr>
          <w:p w14:paraId="21FA301D"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-0.001 (0.002)</w:t>
            </w:r>
          </w:p>
        </w:tc>
        <w:tc>
          <w:tcPr>
            <w:tcW w:w="961" w:type="dxa"/>
            <w:noWrap/>
            <w:hideMark/>
          </w:tcPr>
          <w:p w14:paraId="16149E1B"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p>
        </w:tc>
        <w:tc>
          <w:tcPr>
            <w:tcW w:w="857" w:type="dxa"/>
            <w:noWrap/>
            <w:hideMark/>
          </w:tcPr>
          <w:p w14:paraId="300235EB" w14:textId="77777777" w:rsidR="004A2D58" w:rsidRPr="003736F5" w:rsidRDefault="004A2D58" w:rsidP="00301190">
            <w:pPr>
              <w:spacing w:after="0" w:line="240" w:lineRule="auto"/>
              <w:jc w:val="center"/>
              <w:rPr>
                <w:rFonts w:ascii="Times New Roman" w:eastAsia="Times New Roman" w:hAnsi="Times New Roman" w:cs="Times New Roman"/>
                <w:sz w:val="20"/>
                <w:szCs w:val="20"/>
                <w:lang w:val="en-US"/>
              </w:rPr>
            </w:pPr>
          </w:p>
        </w:tc>
        <w:tc>
          <w:tcPr>
            <w:tcW w:w="961" w:type="dxa"/>
            <w:noWrap/>
            <w:hideMark/>
          </w:tcPr>
          <w:p w14:paraId="5FDB567B" w14:textId="77777777" w:rsidR="004A2D58" w:rsidRPr="003736F5" w:rsidRDefault="004A2D58" w:rsidP="00301190">
            <w:pPr>
              <w:spacing w:after="0" w:line="240" w:lineRule="auto"/>
              <w:jc w:val="center"/>
              <w:rPr>
                <w:rFonts w:ascii="Times New Roman" w:eastAsia="Times New Roman" w:hAnsi="Times New Roman" w:cs="Times New Roman"/>
                <w:sz w:val="20"/>
                <w:szCs w:val="20"/>
                <w:lang w:val="en-US"/>
              </w:rPr>
            </w:pPr>
          </w:p>
        </w:tc>
        <w:tc>
          <w:tcPr>
            <w:tcW w:w="961" w:type="dxa"/>
            <w:noWrap/>
            <w:hideMark/>
          </w:tcPr>
          <w:p w14:paraId="7C918BEA" w14:textId="77777777" w:rsidR="004A2D58" w:rsidRPr="003736F5" w:rsidRDefault="004A2D58" w:rsidP="00301190">
            <w:pPr>
              <w:spacing w:after="0" w:line="240" w:lineRule="auto"/>
              <w:jc w:val="center"/>
              <w:rPr>
                <w:rFonts w:ascii="Times New Roman" w:eastAsia="Times New Roman" w:hAnsi="Times New Roman" w:cs="Times New Roman"/>
                <w:sz w:val="20"/>
                <w:szCs w:val="20"/>
                <w:lang w:val="en-US"/>
              </w:rPr>
            </w:pPr>
          </w:p>
        </w:tc>
      </w:tr>
      <w:tr w:rsidR="004A2D58" w:rsidRPr="003736F5" w14:paraId="23F48484" w14:textId="77777777" w:rsidTr="00DE7B20">
        <w:trPr>
          <w:trHeight w:val="594"/>
        </w:trPr>
        <w:tc>
          <w:tcPr>
            <w:tcW w:w="1936" w:type="dxa"/>
            <w:noWrap/>
            <w:hideMark/>
          </w:tcPr>
          <w:p w14:paraId="142FE25E" w14:textId="0D714C89"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 xml:space="preserve">Extent, </w:t>
            </w:r>
            <w:proofErr w:type="gramStart"/>
            <w:r w:rsidR="006004E3" w:rsidRPr="003736F5">
              <w:rPr>
                <w:rFonts w:ascii="Times New Roman" w:eastAsia="Times New Roman" w:hAnsi="Times New Roman" w:cs="Times New Roman"/>
                <w:color w:val="000000"/>
                <w:lang w:val="en-US"/>
              </w:rPr>
              <w:t>treatment</w:t>
            </w:r>
            <w:proofErr w:type="gramEnd"/>
            <w:r w:rsidR="006004E3" w:rsidRPr="003736F5">
              <w:rPr>
                <w:rFonts w:ascii="Times New Roman" w:eastAsia="Times New Roman" w:hAnsi="Times New Roman" w:cs="Times New Roman"/>
                <w:color w:val="000000"/>
                <w:lang w:val="en-US"/>
              </w:rPr>
              <w:t xml:space="preserve"> and</w:t>
            </w:r>
            <w:r w:rsidRPr="003736F5">
              <w:rPr>
                <w:rFonts w:ascii="Times New Roman" w:eastAsia="Times New Roman" w:hAnsi="Times New Roman" w:cs="Times New Roman"/>
                <w:color w:val="000000"/>
                <w:lang w:val="en-US"/>
              </w:rPr>
              <w:t xml:space="preserve"> time</w:t>
            </w:r>
          </w:p>
        </w:tc>
        <w:tc>
          <w:tcPr>
            <w:tcW w:w="857" w:type="dxa"/>
            <w:noWrap/>
            <w:hideMark/>
          </w:tcPr>
          <w:p w14:paraId="0C0BDAA3"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p>
        </w:tc>
        <w:tc>
          <w:tcPr>
            <w:tcW w:w="857" w:type="dxa"/>
            <w:noWrap/>
            <w:hideMark/>
          </w:tcPr>
          <w:p w14:paraId="3DCF5251" w14:textId="77777777" w:rsidR="004A2D58" w:rsidRPr="003736F5" w:rsidRDefault="004A2D58" w:rsidP="00301190">
            <w:pPr>
              <w:spacing w:after="0" w:line="240" w:lineRule="auto"/>
              <w:jc w:val="center"/>
              <w:rPr>
                <w:rFonts w:ascii="Times New Roman" w:eastAsia="Times New Roman" w:hAnsi="Times New Roman" w:cs="Times New Roman"/>
                <w:sz w:val="20"/>
                <w:szCs w:val="20"/>
                <w:lang w:val="en-US"/>
              </w:rPr>
            </w:pPr>
          </w:p>
        </w:tc>
        <w:tc>
          <w:tcPr>
            <w:tcW w:w="857" w:type="dxa"/>
            <w:noWrap/>
            <w:hideMark/>
          </w:tcPr>
          <w:p w14:paraId="5595C29E" w14:textId="77777777" w:rsidR="004A2D58" w:rsidRPr="003736F5" w:rsidRDefault="004A2D58" w:rsidP="00301190">
            <w:pPr>
              <w:spacing w:after="0" w:line="240" w:lineRule="auto"/>
              <w:jc w:val="center"/>
              <w:rPr>
                <w:rFonts w:ascii="Times New Roman" w:eastAsia="Times New Roman" w:hAnsi="Times New Roman" w:cs="Times New Roman"/>
                <w:sz w:val="20"/>
                <w:szCs w:val="20"/>
                <w:lang w:val="en-US"/>
              </w:rPr>
            </w:pPr>
          </w:p>
        </w:tc>
        <w:tc>
          <w:tcPr>
            <w:tcW w:w="857" w:type="dxa"/>
            <w:noWrap/>
            <w:hideMark/>
          </w:tcPr>
          <w:p w14:paraId="6D581564" w14:textId="77777777" w:rsidR="004A2D58" w:rsidRPr="003736F5" w:rsidRDefault="004A2D58" w:rsidP="00301190">
            <w:pPr>
              <w:spacing w:after="0" w:line="240" w:lineRule="auto"/>
              <w:jc w:val="center"/>
              <w:rPr>
                <w:rFonts w:ascii="Times New Roman" w:eastAsia="Times New Roman" w:hAnsi="Times New Roman" w:cs="Times New Roman"/>
                <w:sz w:val="20"/>
                <w:szCs w:val="20"/>
                <w:lang w:val="en-US"/>
              </w:rPr>
            </w:pPr>
          </w:p>
        </w:tc>
        <w:tc>
          <w:tcPr>
            <w:tcW w:w="961" w:type="dxa"/>
            <w:hideMark/>
          </w:tcPr>
          <w:p w14:paraId="6739900B"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-0.006 (</w:t>
            </w:r>
            <w:proofErr w:type="gramStart"/>
            <w:r w:rsidRPr="003736F5">
              <w:rPr>
                <w:rFonts w:ascii="Times New Roman" w:eastAsia="Times New Roman" w:hAnsi="Times New Roman" w:cs="Times New Roman"/>
                <w:color w:val="000000"/>
                <w:lang w:val="en-US"/>
              </w:rPr>
              <w:t>0.003)*</w:t>
            </w:r>
            <w:proofErr w:type="gramEnd"/>
          </w:p>
        </w:tc>
        <w:tc>
          <w:tcPr>
            <w:tcW w:w="857" w:type="dxa"/>
            <w:hideMark/>
          </w:tcPr>
          <w:p w14:paraId="2657D36F"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-0.006 (0.004)</w:t>
            </w:r>
          </w:p>
        </w:tc>
        <w:tc>
          <w:tcPr>
            <w:tcW w:w="961" w:type="dxa"/>
            <w:hideMark/>
          </w:tcPr>
          <w:p w14:paraId="12571036"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-0.006 (</w:t>
            </w:r>
            <w:proofErr w:type="gramStart"/>
            <w:r w:rsidRPr="003736F5">
              <w:rPr>
                <w:rFonts w:ascii="Times New Roman" w:eastAsia="Times New Roman" w:hAnsi="Times New Roman" w:cs="Times New Roman"/>
                <w:color w:val="000000"/>
                <w:lang w:val="en-US"/>
              </w:rPr>
              <w:t>0.003)*</w:t>
            </w:r>
            <w:proofErr w:type="gramEnd"/>
          </w:p>
        </w:tc>
        <w:tc>
          <w:tcPr>
            <w:tcW w:w="961" w:type="dxa"/>
            <w:hideMark/>
          </w:tcPr>
          <w:p w14:paraId="311594A6"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-0.006 (</w:t>
            </w:r>
            <w:proofErr w:type="gramStart"/>
            <w:r w:rsidRPr="003736F5">
              <w:rPr>
                <w:rFonts w:ascii="Times New Roman" w:eastAsia="Times New Roman" w:hAnsi="Times New Roman" w:cs="Times New Roman"/>
                <w:color w:val="000000"/>
                <w:lang w:val="en-US"/>
              </w:rPr>
              <w:t>0.004)*</w:t>
            </w:r>
            <w:proofErr w:type="gramEnd"/>
          </w:p>
        </w:tc>
      </w:tr>
      <w:tr w:rsidR="004A2D58" w:rsidRPr="003736F5" w14:paraId="22CC0E62" w14:textId="77777777" w:rsidTr="00DE7B20">
        <w:trPr>
          <w:trHeight w:val="197"/>
        </w:trPr>
        <w:tc>
          <w:tcPr>
            <w:tcW w:w="1936" w:type="dxa"/>
            <w:noWrap/>
            <w:hideMark/>
          </w:tcPr>
          <w:p w14:paraId="768C781E" w14:textId="77777777"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Controls</w:t>
            </w:r>
          </w:p>
        </w:tc>
        <w:tc>
          <w:tcPr>
            <w:tcW w:w="857" w:type="dxa"/>
            <w:noWrap/>
            <w:hideMark/>
          </w:tcPr>
          <w:p w14:paraId="05E911A3"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857" w:type="dxa"/>
            <w:noWrap/>
            <w:hideMark/>
          </w:tcPr>
          <w:p w14:paraId="59563BB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857" w:type="dxa"/>
            <w:noWrap/>
            <w:hideMark/>
          </w:tcPr>
          <w:p w14:paraId="5C3D7002"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3BFEF417"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3EE6D76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857" w:type="dxa"/>
            <w:noWrap/>
            <w:hideMark/>
          </w:tcPr>
          <w:p w14:paraId="38E20AA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961" w:type="dxa"/>
            <w:noWrap/>
            <w:hideMark/>
          </w:tcPr>
          <w:p w14:paraId="52BF2452"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09E14977"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r>
      <w:tr w:rsidR="004A2D58" w:rsidRPr="003736F5" w14:paraId="123F6E12" w14:textId="77777777" w:rsidTr="00DE7B20">
        <w:trPr>
          <w:trHeight w:val="197"/>
        </w:trPr>
        <w:tc>
          <w:tcPr>
            <w:tcW w:w="1936" w:type="dxa"/>
            <w:noWrap/>
            <w:hideMark/>
          </w:tcPr>
          <w:p w14:paraId="09508944" w14:textId="77777777"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Firm-fixed effects</w:t>
            </w:r>
          </w:p>
        </w:tc>
        <w:tc>
          <w:tcPr>
            <w:tcW w:w="857" w:type="dxa"/>
            <w:noWrap/>
            <w:hideMark/>
          </w:tcPr>
          <w:p w14:paraId="71AEAA00"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54BCB9F6"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6736E4DC"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3FF6CB9A"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79ED9A33"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2B418CC4"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0CC206F6"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0A91B0FC"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r>
      <w:tr w:rsidR="004A2D58" w:rsidRPr="003736F5" w14:paraId="68972BDD" w14:textId="77777777" w:rsidTr="00DE7B20">
        <w:trPr>
          <w:trHeight w:val="197"/>
        </w:trPr>
        <w:tc>
          <w:tcPr>
            <w:tcW w:w="1936" w:type="dxa"/>
            <w:noWrap/>
            <w:hideMark/>
          </w:tcPr>
          <w:p w14:paraId="266E56B2" w14:textId="77777777"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Year dummies</w:t>
            </w:r>
          </w:p>
        </w:tc>
        <w:tc>
          <w:tcPr>
            <w:tcW w:w="857" w:type="dxa"/>
            <w:noWrap/>
            <w:hideMark/>
          </w:tcPr>
          <w:p w14:paraId="7200C04E"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21DE61C8"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6B59E96E"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735D0E81"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54025A48"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794E59E3"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4DDB629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7461D78D"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r>
      <w:tr w:rsidR="004A2D58" w:rsidRPr="003736F5" w14:paraId="0D224D24" w14:textId="77777777" w:rsidTr="00DE7B20">
        <w:trPr>
          <w:trHeight w:val="197"/>
        </w:trPr>
        <w:tc>
          <w:tcPr>
            <w:tcW w:w="1936" w:type="dxa"/>
            <w:noWrap/>
            <w:hideMark/>
          </w:tcPr>
          <w:p w14:paraId="0A7AB001" w14:textId="77777777"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Sector cluster</w:t>
            </w:r>
          </w:p>
        </w:tc>
        <w:tc>
          <w:tcPr>
            <w:tcW w:w="857" w:type="dxa"/>
            <w:noWrap/>
            <w:hideMark/>
          </w:tcPr>
          <w:p w14:paraId="1FBECD5D"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75D928B2"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26FB328C"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0DCEDE5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54342291"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6F1EFDA6"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12F5B581"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7740D46D"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r>
      <w:tr w:rsidR="004A2D58" w:rsidRPr="003736F5" w14:paraId="34A0E7AE" w14:textId="77777777" w:rsidTr="00DE7B20">
        <w:trPr>
          <w:trHeight w:val="197"/>
        </w:trPr>
        <w:tc>
          <w:tcPr>
            <w:tcW w:w="1936" w:type="dxa"/>
            <w:noWrap/>
            <w:hideMark/>
          </w:tcPr>
          <w:p w14:paraId="77F61526" w14:textId="77777777" w:rsidR="004A2D58" w:rsidRPr="003736F5" w:rsidRDefault="004A2D58" w:rsidP="00DE7B20">
            <w:pPr>
              <w:spacing w:after="0" w:line="240" w:lineRule="auto"/>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SE correction</w:t>
            </w:r>
          </w:p>
        </w:tc>
        <w:tc>
          <w:tcPr>
            <w:tcW w:w="857" w:type="dxa"/>
            <w:noWrap/>
            <w:hideMark/>
          </w:tcPr>
          <w:p w14:paraId="3696400D"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857" w:type="dxa"/>
            <w:noWrap/>
            <w:hideMark/>
          </w:tcPr>
          <w:p w14:paraId="3D24064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857" w:type="dxa"/>
            <w:noWrap/>
            <w:hideMark/>
          </w:tcPr>
          <w:p w14:paraId="2A114CD9"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857" w:type="dxa"/>
            <w:noWrap/>
            <w:hideMark/>
          </w:tcPr>
          <w:p w14:paraId="74BDFB1E"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3757A962"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857" w:type="dxa"/>
            <w:noWrap/>
            <w:hideMark/>
          </w:tcPr>
          <w:p w14:paraId="3909D544"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c>
          <w:tcPr>
            <w:tcW w:w="961" w:type="dxa"/>
            <w:noWrap/>
            <w:hideMark/>
          </w:tcPr>
          <w:p w14:paraId="4947622D"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No</w:t>
            </w:r>
          </w:p>
        </w:tc>
        <w:tc>
          <w:tcPr>
            <w:tcW w:w="961" w:type="dxa"/>
            <w:noWrap/>
            <w:hideMark/>
          </w:tcPr>
          <w:p w14:paraId="528E3555" w14:textId="77777777" w:rsidR="004A2D58" w:rsidRPr="003736F5" w:rsidRDefault="004A2D58" w:rsidP="00301190">
            <w:pPr>
              <w:spacing w:after="0" w:line="240" w:lineRule="auto"/>
              <w:jc w:val="center"/>
              <w:rPr>
                <w:rFonts w:ascii="Times New Roman" w:eastAsia="Times New Roman" w:hAnsi="Times New Roman" w:cs="Times New Roman"/>
                <w:color w:val="000000"/>
                <w:lang w:val="en-US"/>
              </w:rPr>
            </w:pPr>
            <w:r w:rsidRPr="003736F5">
              <w:rPr>
                <w:rFonts w:ascii="Times New Roman" w:eastAsia="Times New Roman" w:hAnsi="Times New Roman" w:cs="Times New Roman"/>
                <w:color w:val="000000"/>
                <w:lang w:val="en-US"/>
              </w:rPr>
              <w:t>Yes</w:t>
            </w:r>
          </w:p>
        </w:tc>
      </w:tr>
    </w:tbl>
    <w:p w14:paraId="1BE4C3F9" w14:textId="77777777" w:rsidR="004A2D58" w:rsidRPr="003736F5" w:rsidRDefault="004A2D58" w:rsidP="004A2D58">
      <w:pPr>
        <w:rPr>
          <w:rFonts w:cs="Times New Roman"/>
        </w:rPr>
      </w:pPr>
      <w:r w:rsidRPr="003736F5">
        <w:rPr>
          <w:rFonts w:cs="Times New Roman"/>
          <w:lang w:val="en-US"/>
        </w:rPr>
        <w:t>Notes: * refers to a 90% significance level.</w:t>
      </w:r>
    </w:p>
    <w:p w14:paraId="619B4B79" w14:textId="1CF7C817" w:rsidR="001E2C11" w:rsidRPr="003736F5" w:rsidRDefault="0085128C" w:rsidP="00F33A4C">
      <w:pPr>
        <w:spacing w:after="0"/>
        <w:ind w:left="142" w:hanging="142"/>
        <w:rPr>
          <w:rFonts w:cs="Times New Roman"/>
          <w:noProof/>
          <w:color w:val="0D0D0D"/>
          <w:szCs w:val="24"/>
        </w:rPr>
      </w:pPr>
      <w:r w:rsidRPr="003736F5">
        <w:rPr>
          <w:rFonts w:cs="Times New Roman"/>
          <w:noProof/>
          <w:color w:val="0D0D0D"/>
          <w:szCs w:val="24"/>
        </w:rPr>
        <w:br w:type="page"/>
      </w:r>
    </w:p>
    <w:tbl>
      <w:tblPr>
        <w:tblW w:w="9249" w:type="dxa"/>
        <w:jc w:val="center"/>
        <w:tblLook w:val="04A0" w:firstRow="1" w:lastRow="0" w:firstColumn="1" w:lastColumn="0" w:noHBand="0" w:noVBand="1"/>
      </w:tblPr>
      <w:tblGrid>
        <w:gridCol w:w="10159"/>
      </w:tblGrid>
      <w:tr w:rsidR="005A0245" w:rsidRPr="003736F5" w14:paraId="4D9C6E8A" w14:textId="77777777" w:rsidTr="00BC5C25">
        <w:trPr>
          <w:trHeight w:val="270"/>
          <w:tblHeader/>
          <w:jc w:val="center"/>
        </w:trPr>
        <w:tc>
          <w:tcPr>
            <w:tcW w:w="9249" w:type="dxa"/>
            <w:tcBorders>
              <w:bottom w:val="single" w:sz="4" w:space="0" w:color="auto"/>
            </w:tcBorders>
            <w:shd w:val="clear" w:color="auto" w:fill="auto"/>
          </w:tcPr>
          <w:p w14:paraId="1DAB3EFF" w14:textId="17D51345" w:rsidR="006A70BC" w:rsidRPr="003736F5" w:rsidRDefault="006A70BC" w:rsidP="00F33A4C">
            <w:pPr>
              <w:rPr>
                <w:rFonts w:cs="Times New Roman"/>
                <w:b/>
                <w:color w:val="000000"/>
              </w:rPr>
            </w:pPr>
            <w:bookmarkStart w:id="10" w:name="_Hlk525742046"/>
            <w:r w:rsidRPr="003736F5">
              <w:rPr>
                <w:rFonts w:cs="Times New Roman"/>
                <w:b/>
                <w:color w:val="000000"/>
              </w:rPr>
              <w:lastRenderedPageBreak/>
              <w:t xml:space="preserve">Figure </w:t>
            </w:r>
            <w:r w:rsidR="00151D56" w:rsidRPr="003736F5">
              <w:rPr>
                <w:rFonts w:cs="Times New Roman"/>
                <w:b/>
                <w:color w:val="000000"/>
              </w:rPr>
              <w:t>1</w:t>
            </w:r>
            <w:r w:rsidRPr="003736F5">
              <w:rPr>
                <w:rFonts w:cs="Times New Roman"/>
                <w:b/>
                <w:color w:val="000000"/>
              </w:rPr>
              <w:t xml:space="preserve">: Estimated </w:t>
            </w:r>
            <w:r w:rsidR="001C1B91" w:rsidRPr="003736F5">
              <w:rPr>
                <w:rFonts w:cs="Times New Roman"/>
                <w:b/>
                <w:color w:val="000000"/>
              </w:rPr>
              <w:t>Productivity</w:t>
            </w:r>
            <w:r w:rsidRPr="003736F5">
              <w:rPr>
                <w:rFonts w:cs="Times New Roman"/>
                <w:b/>
                <w:color w:val="000000"/>
              </w:rPr>
              <w:t xml:space="preserve"> 2005-2015 by SBRR (printed in colour)</w:t>
            </w:r>
          </w:p>
        </w:tc>
      </w:tr>
      <w:tr w:rsidR="005A0245" w:rsidRPr="003736F5" w14:paraId="6F4A4CF0" w14:textId="77777777" w:rsidTr="00BC5C25">
        <w:trPr>
          <w:trHeight w:val="57"/>
          <w:tblHeader/>
          <w:jc w:val="center"/>
        </w:trPr>
        <w:tc>
          <w:tcPr>
            <w:tcW w:w="9249" w:type="dxa"/>
            <w:tcBorders>
              <w:top w:val="single" w:sz="4" w:space="0" w:color="auto"/>
              <w:bottom w:val="single" w:sz="4" w:space="0" w:color="auto"/>
            </w:tcBorders>
            <w:shd w:val="clear" w:color="auto" w:fill="auto"/>
          </w:tcPr>
          <w:p w14:paraId="05497CED" w14:textId="4491A21B" w:rsidR="006A70BC" w:rsidRPr="003736F5" w:rsidRDefault="001C1B91" w:rsidP="00F33A4C">
            <w:pPr>
              <w:rPr>
                <w:rFonts w:cs="Times New Roman"/>
                <w:color w:val="000000"/>
                <w:szCs w:val="24"/>
              </w:rPr>
            </w:pPr>
            <w:r w:rsidRPr="003736F5">
              <w:rPr>
                <w:rFonts w:cs="Times New Roman"/>
                <w:noProof/>
              </w:rPr>
              <w:drawing>
                <wp:inline distT="0" distB="0" distL="0" distR="0" wp14:anchorId="495AC0F7" wp14:editId="3862E255">
                  <wp:extent cx="6313805" cy="4288790"/>
                  <wp:effectExtent l="0" t="0" r="0" b="0"/>
                  <wp:docPr id="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13805" cy="4288790"/>
                          </a:xfrm>
                          <a:prstGeom prst="rect">
                            <a:avLst/>
                          </a:prstGeom>
                          <a:noFill/>
                          <a:ln>
                            <a:noFill/>
                          </a:ln>
                        </pic:spPr>
                      </pic:pic>
                    </a:graphicData>
                  </a:graphic>
                </wp:inline>
              </w:drawing>
            </w:r>
          </w:p>
        </w:tc>
      </w:tr>
      <w:tr w:rsidR="006A70BC" w:rsidRPr="003736F5" w14:paraId="39DA6EB0" w14:textId="77777777" w:rsidTr="00BC5C25">
        <w:trPr>
          <w:trHeight w:val="270"/>
          <w:tblHeader/>
          <w:jc w:val="center"/>
        </w:trPr>
        <w:tc>
          <w:tcPr>
            <w:tcW w:w="9249" w:type="dxa"/>
            <w:tcBorders>
              <w:top w:val="single" w:sz="4" w:space="0" w:color="auto"/>
            </w:tcBorders>
            <w:shd w:val="clear" w:color="auto" w:fill="auto"/>
          </w:tcPr>
          <w:p w14:paraId="10767FE9" w14:textId="49FCD55C" w:rsidR="006A70BC" w:rsidRPr="003736F5" w:rsidRDefault="001C1B91" w:rsidP="00BC5C25">
            <w:pPr>
              <w:spacing w:line="240" w:lineRule="auto"/>
              <w:rPr>
                <w:rStyle w:val="Hyperlink"/>
                <w:rFonts w:cs="Times New Roman"/>
                <w:color w:val="000000"/>
                <w:szCs w:val="24"/>
                <w:u w:val="none"/>
                <w:shd w:val="clear" w:color="auto" w:fill="FFFFFF"/>
              </w:rPr>
            </w:pPr>
            <w:r w:rsidRPr="003736F5">
              <w:rPr>
                <w:rStyle w:val="Hyperlink"/>
                <w:rFonts w:cs="Times New Roman"/>
                <w:color w:val="000000"/>
                <w:u w:val="none"/>
                <w:shd w:val="clear" w:color="auto" w:fill="FFFFFF"/>
              </w:rPr>
              <w:t xml:space="preserve">Productivity </w:t>
            </w:r>
            <w:r w:rsidR="006A70BC" w:rsidRPr="003736F5">
              <w:rPr>
                <w:rStyle w:val="Hyperlink"/>
                <w:rFonts w:cs="Times New Roman"/>
                <w:color w:val="000000"/>
                <w:u w:val="none"/>
                <w:shd w:val="clear" w:color="auto" w:fill="FFFFFF"/>
              </w:rPr>
              <w:t>estimates as described in the method section. The white lines correspond to the annual averages of all firms. The white dotted line is the average SBRR recipients. The white dashed line is the average for non-recipients. The other lines are shaded by the proportionate level of SBRR. Where dark blue is 0</w:t>
            </w:r>
            <w:r w:rsidR="00623786" w:rsidRPr="003736F5">
              <w:rPr>
                <w:rStyle w:val="Hyperlink"/>
                <w:rFonts w:cs="Times New Roman"/>
                <w:color w:val="000000"/>
                <w:u w:val="none"/>
                <w:shd w:val="clear" w:color="auto" w:fill="FFFFFF"/>
              </w:rPr>
              <w:t xml:space="preserve"> per cent</w:t>
            </w:r>
            <w:r w:rsidR="006A70BC" w:rsidRPr="003736F5">
              <w:rPr>
                <w:rStyle w:val="Hyperlink"/>
                <w:rFonts w:cs="Times New Roman"/>
                <w:color w:val="000000"/>
                <w:u w:val="none"/>
                <w:shd w:val="clear" w:color="auto" w:fill="FFFFFF"/>
              </w:rPr>
              <w:t xml:space="preserve"> and light blue is 100</w:t>
            </w:r>
            <w:r w:rsidR="00623786" w:rsidRPr="003736F5">
              <w:rPr>
                <w:rStyle w:val="Hyperlink"/>
                <w:rFonts w:cs="Times New Roman"/>
                <w:color w:val="000000"/>
                <w:u w:val="none"/>
                <w:shd w:val="clear" w:color="auto" w:fill="FFFFFF"/>
              </w:rPr>
              <w:t xml:space="preserve"> per cent,</w:t>
            </w:r>
            <w:r w:rsidR="006A70BC" w:rsidRPr="003736F5">
              <w:rPr>
                <w:rStyle w:val="Hyperlink"/>
                <w:rFonts w:cs="Times New Roman"/>
                <w:color w:val="000000"/>
                <w:u w:val="none"/>
                <w:shd w:val="clear" w:color="auto" w:fill="FFFFFF"/>
              </w:rPr>
              <w:t xml:space="preserve"> </w:t>
            </w:r>
          </w:p>
          <w:p w14:paraId="2D15D6B3" w14:textId="58E11F85" w:rsidR="006A70BC" w:rsidRPr="003736F5" w:rsidRDefault="006A70BC" w:rsidP="00F33A4C">
            <w:pPr>
              <w:rPr>
                <w:rFonts w:cs="Times New Roman"/>
                <w:color w:val="000000"/>
              </w:rPr>
            </w:pPr>
            <w:r w:rsidRPr="003736F5">
              <w:rPr>
                <w:rStyle w:val="Hyperlink"/>
                <w:rFonts w:cs="Times New Roman"/>
                <w:color w:val="000000"/>
                <w:u w:val="none"/>
                <w:shd w:val="clear" w:color="auto" w:fill="FFFFFF"/>
              </w:rPr>
              <w:t>Source: ONS Data</w:t>
            </w:r>
            <w:r w:rsidR="006F6248" w:rsidRPr="003736F5">
              <w:rPr>
                <w:rStyle w:val="Hyperlink"/>
                <w:rFonts w:cs="Times New Roman"/>
                <w:color w:val="000000"/>
                <w:u w:val="none"/>
                <w:shd w:val="clear" w:color="auto" w:fill="FFFFFF"/>
              </w:rPr>
              <w:t xml:space="preserve"> </w:t>
            </w:r>
            <w:r w:rsidR="006F6248" w:rsidRPr="003736F5">
              <w:rPr>
                <w:rStyle w:val="Hyperlink"/>
                <w:rFonts w:cs="Times New Roman"/>
                <w:color w:val="000000"/>
                <w:shd w:val="clear" w:color="auto" w:fill="FFFFFF"/>
              </w:rPr>
              <w:t>(matched sample)</w:t>
            </w:r>
            <w:r w:rsidRPr="003736F5">
              <w:rPr>
                <w:rStyle w:val="Hyperlink"/>
                <w:rFonts w:cs="Times New Roman"/>
                <w:color w:val="000000"/>
                <w:u w:val="none"/>
                <w:shd w:val="clear" w:color="auto" w:fill="FFFFFF"/>
              </w:rPr>
              <w:t>, Author’s calculations.</w:t>
            </w:r>
          </w:p>
        </w:tc>
      </w:tr>
      <w:bookmarkEnd w:id="10"/>
    </w:tbl>
    <w:p w14:paraId="0BD531BA" w14:textId="77777777" w:rsidR="006A70BC" w:rsidRPr="003736F5" w:rsidRDefault="006A70BC" w:rsidP="00F33A4C">
      <w:pPr>
        <w:rPr>
          <w:rFonts w:cs="Times New Roman"/>
          <w:color w:val="000000"/>
        </w:rPr>
      </w:pPr>
    </w:p>
    <w:p w14:paraId="0CE1739B" w14:textId="77777777" w:rsidR="006A70BC" w:rsidRPr="003736F5" w:rsidRDefault="006A70BC" w:rsidP="00F33A4C">
      <w:pPr>
        <w:rPr>
          <w:rFonts w:cs="Times New Roman"/>
          <w:color w:val="000000"/>
        </w:rPr>
        <w:sectPr w:rsidR="006A70BC" w:rsidRPr="003736F5" w:rsidSect="00AE5017">
          <w:headerReference w:type="default" r:id="rId10"/>
          <w:footerReference w:type="default" r:id="rId11"/>
          <w:headerReference w:type="first" r:id="rId12"/>
          <w:footerReference w:type="first" r:id="rId13"/>
          <w:pgSz w:w="11906" w:h="16838"/>
          <w:pgMar w:top="1440" w:right="1440" w:bottom="1440" w:left="1440" w:header="708" w:footer="708" w:gutter="0"/>
          <w:pgNumType w:start="0"/>
          <w:cols w:space="708"/>
          <w:titlePg/>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58"/>
      </w:tblGrid>
      <w:tr w:rsidR="005A0245" w:rsidRPr="003736F5" w14:paraId="296FC7C3" w14:textId="77777777" w:rsidTr="00BC5C25">
        <w:trPr>
          <w:trHeight w:val="20"/>
          <w:jc w:val="center"/>
        </w:trPr>
        <w:tc>
          <w:tcPr>
            <w:tcW w:w="5000" w:type="pct"/>
            <w:tcBorders>
              <w:top w:val="nil"/>
              <w:left w:val="nil"/>
              <w:bottom w:val="nil"/>
              <w:right w:val="nil"/>
            </w:tcBorders>
            <w:shd w:val="clear" w:color="auto" w:fill="auto"/>
          </w:tcPr>
          <w:p w14:paraId="401CBC47" w14:textId="2B038665" w:rsidR="006A70BC" w:rsidRPr="003736F5" w:rsidRDefault="006A70BC" w:rsidP="00F33A4C">
            <w:pPr>
              <w:rPr>
                <w:rFonts w:cs="Times New Roman"/>
                <w:noProof/>
                <w:color w:val="000000"/>
              </w:rPr>
            </w:pPr>
            <w:r w:rsidRPr="003736F5">
              <w:rPr>
                <w:rFonts w:cs="Times New Roman"/>
                <w:b/>
                <w:color w:val="000000"/>
              </w:rPr>
              <w:lastRenderedPageBreak/>
              <w:t xml:space="preserve">Figure </w:t>
            </w:r>
            <w:r w:rsidR="00151D56" w:rsidRPr="003736F5">
              <w:rPr>
                <w:rFonts w:cs="Times New Roman"/>
                <w:b/>
                <w:color w:val="000000"/>
              </w:rPr>
              <w:t>2</w:t>
            </w:r>
            <w:r w:rsidRPr="003736F5">
              <w:rPr>
                <w:rFonts w:cs="Times New Roman"/>
                <w:b/>
                <w:color w:val="000000"/>
              </w:rPr>
              <w:t xml:space="preserve">: </w:t>
            </w:r>
            <w:r w:rsidR="001C1B91" w:rsidRPr="003736F5">
              <w:rPr>
                <w:rFonts w:cs="Times New Roman"/>
                <w:b/>
                <w:color w:val="000000"/>
              </w:rPr>
              <w:t xml:space="preserve">Productivity </w:t>
            </w:r>
            <w:r w:rsidRPr="003736F5">
              <w:rPr>
                <w:rFonts w:cs="Times New Roman"/>
                <w:b/>
                <w:color w:val="000000"/>
              </w:rPr>
              <w:t>Tree Groupings</w:t>
            </w:r>
          </w:p>
        </w:tc>
      </w:tr>
      <w:tr w:rsidR="005A0245" w:rsidRPr="003736F5" w14:paraId="3B741FCE" w14:textId="77777777" w:rsidTr="00BC5C25">
        <w:trPr>
          <w:trHeight w:val="20"/>
          <w:jc w:val="center"/>
        </w:trPr>
        <w:tc>
          <w:tcPr>
            <w:tcW w:w="5000" w:type="pct"/>
            <w:tcBorders>
              <w:top w:val="nil"/>
              <w:left w:val="nil"/>
              <w:bottom w:val="nil"/>
              <w:right w:val="nil"/>
            </w:tcBorders>
            <w:shd w:val="clear" w:color="auto" w:fill="auto"/>
          </w:tcPr>
          <w:p w14:paraId="404F40C2" w14:textId="5761736C" w:rsidR="006A70BC" w:rsidRPr="003736F5" w:rsidRDefault="001C1B91" w:rsidP="00F33A4C">
            <w:pPr>
              <w:rPr>
                <w:rFonts w:cs="Times New Roman"/>
                <w:b/>
                <w:color w:val="000000"/>
                <w:szCs w:val="24"/>
              </w:rPr>
            </w:pPr>
            <w:r w:rsidRPr="003736F5">
              <w:rPr>
                <w:rFonts w:cs="Times New Roman"/>
                <w:noProof/>
              </w:rPr>
              <w:drawing>
                <wp:inline distT="0" distB="0" distL="0" distR="0" wp14:anchorId="39A99567" wp14:editId="161C5123">
                  <wp:extent cx="8697595" cy="3320415"/>
                  <wp:effectExtent l="0" t="0" r="0" b="0"/>
                  <wp:docPr id="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97595" cy="3320415"/>
                          </a:xfrm>
                          <a:prstGeom prst="rect">
                            <a:avLst/>
                          </a:prstGeom>
                          <a:noFill/>
                          <a:ln>
                            <a:noFill/>
                          </a:ln>
                        </pic:spPr>
                      </pic:pic>
                    </a:graphicData>
                  </a:graphic>
                </wp:inline>
              </w:drawing>
            </w:r>
          </w:p>
        </w:tc>
      </w:tr>
      <w:tr w:rsidR="005A0245" w:rsidRPr="003736F5" w14:paraId="5FBA5505" w14:textId="77777777" w:rsidTr="00BC5C25">
        <w:trPr>
          <w:trHeight w:val="1202"/>
          <w:jc w:val="center"/>
        </w:trPr>
        <w:tc>
          <w:tcPr>
            <w:tcW w:w="5000" w:type="pct"/>
            <w:tcBorders>
              <w:top w:val="single" w:sz="4" w:space="0" w:color="auto"/>
              <w:left w:val="nil"/>
              <w:bottom w:val="nil"/>
              <w:right w:val="nil"/>
            </w:tcBorders>
            <w:shd w:val="clear" w:color="auto" w:fill="auto"/>
          </w:tcPr>
          <w:p w14:paraId="70F4E6B1" w14:textId="77777777" w:rsidR="006A70BC" w:rsidRPr="003736F5" w:rsidRDefault="006A70BC" w:rsidP="00BC5C25">
            <w:pPr>
              <w:spacing w:line="240" w:lineRule="auto"/>
              <w:rPr>
                <w:rFonts w:cs="Times New Roman"/>
                <w:color w:val="000000"/>
                <w:szCs w:val="24"/>
              </w:rPr>
            </w:pPr>
            <w:bookmarkStart w:id="11" w:name="_Hlk103694562"/>
            <w:r w:rsidRPr="003736F5">
              <w:rPr>
                <w:rFonts w:cs="Times New Roman"/>
                <w:color w:val="000000"/>
                <w:szCs w:val="24"/>
              </w:rPr>
              <w:t>The decision tree algorithm identified four broad groups of firms which have increasingly homogeneous variation in the total factor productivity</w:t>
            </w:r>
            <w:bookmarkEnd w:id="11"/>
            <w:r w:rsidRPr="003736F5">
              <w:rPr>
                <w:rFonts w:cs="Times New Roman"/>
                <w:color w:val="000000"/>
                <w:szCs w:val="24"/>
              </w:rPr>
              <w:t xml:space="preserve">. The first grouping is on </w:t>
            </w:r>
            <w:r w:rsidRPr="003736F5">
              <w:rPr>
                <w:rFonts w:cs="Times New Roman"/>
                <w:i/>
                <w:color w:val="000000"/>
                <w:szCs w:val="24"/>
              </w:rPr>
              <w:t>SBBR (Lag 2),</w:t>
            </w:r>
            <w:r w:rsidRPr="003736F5">
              <w:rPr>
                <w:rFonts w:cs="Times New Roman"/>
                <w:color w:val="000000"/>
                <w:szCs w:val="24"/>
              </w:rPr>
              <w:t xml:space="preserve"> indicated by the enlarged node. Those to the left receive no SBRR lagged by </w:t>
            </w:r>
            <w:r w:rsidR="00623786" w:rsidRPr="003736F5">
              <w:rPr>
                <w:rFonts w:cs="Times New Roman"/>
                <w:color w:val="000000"/>
                <w:szCs w:val="24"/>
              </w:rPr>
              <w:t>two</w:t>
            </w:r>
            <w:r w:rsidRPr="003736F5">
              <w:rPr>
                <w:rFonts w:cs="Times New Roman"/>
                <w:color w:val="000000"/>
                <w:szCs w:val="24"/>
              </w:rPr>
              <w:t xml:space="preserve"> years and those to the right receive SBRR lagged by two years. The next grouping is on </w:t>
            </w:r>
            <w:r w:rsidRPr="003736F5">
              <w:rPr>
                <w:rFonts w:cs="Times New Roman"/>
                <w:i/>
                <w:color w:val="000000"/>
                <w:szCs w:val="24"/>
              </w:rPr>
              <w:t>region</w:t>
            </w:r>
            <w:r w:rsidRPr="003736F5">
              <w:rPr>
                <w:rFonts w:cs="Times New Roman"/>
                <w:color w:val="000000"/>
                <w:szCs w:val="24"/>
              </w:rPr>
              <w:t xml:space="preserve">, to the left London and to the right </w:t>
            </w:r>
            <w:r w:rsidR="00623786" w:rsidRPr="003736F5">
              <w:rPr>
                <w:rFonts w:cs="Times New Roman"/>
                <w:color w:val="000000"/>
                <w:szCs w:val="24"/>
              </w:rPr>
              <w:t xml:space="preserve">all other regions considered in this study. </w:t>
            </w:r>
            <w:r w:rsidRPr="003736F5">
              <w:rPr>
                <w:rFonts w:cs="Times New Roman"/>
                <w:color w:val="000000"/>
                <w:szCs w:val="24"/>
              </w:rPr>
              <w:t xml:space="preserve">We then also have a grouping on firm </w:t>
            </w:r>
            <w:r w:rsidRPr="003736F5">
              <w:rPr>
                <w:rFonts w:cs="Times New Roman"/>
                <w:i/>
                <w:color w:val="000000"/>
                <w:szCs w:val="24"/>
              </w:rPr>
              <w:t>age</w:t>
            </w:r>
            <w:r w:rsidRPr="003736F5">
              <w:rPr>
                <w:rFonts w:cs="Times New Roman"/>
                <w:color w:val="000000"/>
                <w:szCs w:val="24"/>
              </w:rPr>
              <w:t xml:space="preserve">. </w:t>
            </w:r>
          </w:p>
          <w:p w14:paraId="7E4311BA" w14:textId="037AD6B5" w:rsidR="002D7CB8" w:rsidRPr="003736F5" w:rsidRDefault="006A70BC" w:rsidP="00BC5C25">
            <w:pPr>
              <w:spacing w:after="0" w:line="240" w:lineRule="auto"/>
              <w:rPr>
                <w:rFonts w:cs="Times New Roman"/>
                <w:color w:val="000000"/>
              </w:rPr>
            </w:pPr>
            <w:r w:rsidRPr="003736F5">
              <w:rPr>
                <w:rFonts w:cs="Times New Roman"/>
                <w:color w:val="000000"/>
              </w:rPr>
              <w:t xml:space="preserve">From the blocks of sub-branches, we create groups for exploded presentation and detailed discussion. Group 1 is exploded in Figure </w:t>
            </w:r>
            <w:r w:rsidR="00D731B8" w:rsidRPr="003736F5">
              <w:rPr>
                <w:rFonts w:cs="Times New Roman"/>
                <w:color w:val="000000"/>
              </w:rPr>
              <w:t>3</w:t>
            </w:r>
            <w:r w:rsidRPr="003736F5">
              <w:rPr>
                <w:rFonts w:cs="Times New Roman"/>
                <w:color w:val="000000"/>
              </w:rPr>
              <w:t xml:space="preserve"> and Group Two is exploded in Figure </w:t>
            </w:r>
            <w:r w:rsidR="00D731B8" w:rsidRPr="003736F5">
              <w:rPr>
                <w:rFonts w:cs="Times New Roman"/>
                <w:color w:val="000000"/>
              </w:rPr>
              <w:t>4</w:t>
            </w:r>
            <w:r w:rsidRPr="003736F5">
              <w:rPr>
                <w:rFonts w:cs="Times New Roman"/>
                <w:color w:val="000000"/>
              </w:rPr>
              <w:t xml:space="preserve">. The other groups are in Appendix </w:t>
            </w:r>
            <w:r w:rsidR="001C1B91" w:rsidRPr="003736F5">
              <w:rPr>
                <w:rFonts w:cs="Times New Roman"/>
                <w:color w:val="000000"/>
              </w:rPr>
              <w:t>5</w:t>
            </w:r>
            <w:r w:rsidRPr="003736F5">
              <w:rPr>
                <w:rFonts w:cs="Times New Roman"/>
                <w:color w:val="000000"/>
              </w:rPr>
              <w:t>.</w:t>
            </w:r>
          </w:p>
          <w:p w14:paraId="6E0C0F78" w14:textId="77777777" w:rsidR="006A70BC" w:rsidRPr="003736F5" w:rsidRDefault="006A70BC" w:rsidP="00BC5C25">
            <w:pPr>
              <w:spacing w:after="0"/>
              <w:rPr>
                <w:rFonts w:cs="Times New Roman"/>
                <w:color w:val="000000"/>
                <w:szCs w:val="24"/>
              </w:rPr>
            </w:pPr>
            <w:r w:rsidRPr="003736F5">
              <w:rPr>
                <w:rFonts w:cs="Times New Roman"/>
                <w:color w:val="000000"/>
                <w:szCs w:val="24"/>
              </w:rPr>
              <w:t>Source: ONS Data, Author’s Calculations.</w:t>
            </w:r>
          </w:p>
        </w:tc>
      </w:tr>
    </w:tbl>
    <w:p w14:paraId="0A5C8659" w14:textId="77777777" w:rsidR="006A70BC" w:rsidRPr="003736F5" w:rsidRDefault="006A70BC" w:rsidP="00F33A4C">
      <w:pPr>
        <w:rPr>
          <w:rFonts w:cs="Times New Roman"/>
          <w:color w:val="000000"/>
        </w:rPr>
        <w:sectPr w:rsidR="006A70BC" w:rsidRPr="003736F5" w:rsidSect="00350B64">
          <w:headerReference w:type="default" r:id="rId15"/>
          <w:footerReference w:type="default" r:id="rId16"/>
          <w:headerReference w:type="first" r:id="rId17"/>
          <w:footerReference w:type="first" r:id="rId18"/>
          <w:pgSz w:w="16838" w:h="11906" w:orient="landscape"/>
          <w:pgMar w:top="1440" w:right="1440" w:bottom="1440" w:left="1440" w:header="708" w:footer="708" w:gutter="0"/>
          <w:cols w:space="708"/>
          <w:docGrid w:linePitch="360"/>
        </w:sectPr>
      </w:pPr>
    </w:p>
    <w:tbl>
      <w:tblPr>
        <w:tblW w:w="0" w:type="auto"/>
        <w:jc w:val="center"/>
        <w:tblLook w:val="04A0" w:firstRow="1" w:lastRow="0" w:firstColumn="1" w:lastColumn="0" w:noHBand="0" w:noVBand="1"/>
      </w:tblPr>
      <w:tblGrid>
        <w:gridCol w:w="8459"/>
      </w:tblGrid>
      <w:tr w:rsidR="005A0245" w:rsidRPr="003736F5" w14:paraId="3D3F69B9" w14:textId="77777777" w:rsidTr="00BC5C25">
        <w:trPr>
          <w:cantSplit/>
          <w:jc w:val="center"/>
        </w:trPr>
        <w:tc>
          <w:tcPr>
            <w:tcW w:w="9016" w:type="dxa"/>
            <w:tcBorders>
              <w:bottom w:val="single" w:sz="4" w:space="0" w:color="auto"/>
            </w:tcBorders>
            <w:shd w:val="clear" w:color="auto" w:fill="auto"/>
          </w:tcPr>
          <w:p w14:paraId="1A9ABC88" w14:textId="1C7F0126" w:rsidR="006A70BC" w:rsidRPr="003736F5" w:rsidRDefault="006A70BC" w:rsidP="00F33A4C">
            <w:pPr>
              <w:rPr>
                <w:rFonts w:cs="Times New Roman"/>
                <w:b/>
                <w:color w:val="000000"/>
                <w:szCs w:val="24"/>
              </w:rPr>
            </w:pPr>
            <w:r w:rsidRPr="003736F5">
              <w:rPr>
                <w:rFonts w:cs="Times New Roman"/>
                <w:b/>
                <w:color w:val="000000"/>
                <w:szCs w:val="24"/>
              </w:rPr>
              <w:lastRenderedPageBreak/>
              <w:t xml:space="preserve">Figure </w:t>
            </w:r>
            <w:r w:rsidR="00151D56" w:rsidRPr="003736F5">
              <w:rPr>
                <w:rFonts w:cs="Times New Roman"/>
                <w:b/>
                <w:color w:val="000000"/>
                <w:szCs w:val="24"/>
              </w:rPr>
              <w:t>3</w:t>
            </w:r>
            <w:r w:rsidRPr="003736F5">
              <w:rPr>
                <w:rFonts w:cs="Times New Roman"/>
                <w:b/>
                <w:color w:val="000000"/>
                <w:szCs w:val="24"/>
              </w:rPr>
              <w:t xml:space="preserve">: </w:t>
            </w:r>
            <w:r w:rsidR="001C1B91" w:rsidRPr="003736F5">
              <w:rPr>
                <w:rFonts w:cs="Times New Roman"/>
                <w:b/>
                <w:color w:val="000000"/>
                <w:szCs w:val="24"/>
              </w:rPr>
              <w:t>Productivity</w:t>
            </w:r>
            <w:r w:rsidRPr="003736F5">
              <w:rPr>
                <w:rFonts w:cs="Times New Roman"/>
                <w:b/>
                <w:color w:val="000000"/>
                <w:szCs w:val="24"/>
              </w:rPr>
              <w:t xml:space="preserve"> Tree Extract Following Firms Receiving Two Year Lagged SBBR</w:t>
            </w:r>
            <w:r w:rsidR="00EE082F" w:rsidRPr="003736F5">
              <w:rPr>
                <w:rFonts w:cs="Times New Roman"/>
                <w:b/>
                <w:color w:val="000000"/>
                <w:szCs w:val="24"/>
              </w:rPr>
              <w:t xml:space="preserve"> </w:t>
            </w:r>
          </w:p>
        </w:tc>
      </w:tr>
      <w:tr w:rsidR="005A0245" w:rsidRPr="003736F5" w14:paraId="3E31476B" w14:textId="77777777" w:rsidTr="00BC5C25">
        <w:trPr>
          <w:cantSplit/>
          <w:trHeight w:val="964"/>
          <w:jc w:val="center"/>
        </w:trPr>
        <w:tc>
          <w:tcPr>
            <w:tcW w:w="9016" w:type="dxa"/>
            <w:tcBorders>
              <w:top w:val="single" w:sz="4" w:space="0" w:color="auto"/>
              <w:bottom w:val="single" w:sz="4" w:space="0" w:color="auto"/>
            </w:tcBorders>
            <w:shd w:val="clear" w:color="auto" w:fill="auto"/>
          </w:tcPr>
          <w:p w14:paraId="44C7C083" w14:textId="22C108E6" w:rsidR="006A70BC" w:rsidRPr="003736F5" w:rsidRDefault="001C1B91" w:rsidP="00F33A4C">
            <w:pPr>
              <w:rPr>
                <w:rFonts w:cs="Times New Roman"/>
                <w:color w:val="000000"/>
                <w:szCs w:val="24"/>
              </w:rPr>
            </w:pPr>
            <w:r w:rsidRPr="003736F5">
              <w:rPr>
                <w:rFonts w:cs="Times New Roman"/>
                <w:noProof/>
              </w:rPr>
              <w:drawing>
                <wp:inline distT="0" distB="0" distL="0" distR="0" wp14:anchorId="39D569CF" wp14:editId="4E04A1D3">
                  <wp:extent cx="3461385" cy="3744595"/>
                  <wp:effectExtent l="0" t="0" r="0" b="0"/>
                  <wp:docPr id="9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61385" cy="3744595"/>
                          </a:xfrm>
                          <a:prstGeom prst="rect">
                            <a:avLst/>
                          </a:prstGeom>
                          <a:noFill/>
                          <a:ln>
                            <a:noFill/>
                          </a:ln>
                        </pic:spPr>
                      </pic:pic>
                    </a:graphicData>
                  </a:graphic>
                </wp:inline>
              </w:drawing>
            </w:r>
          </w:p>
        </w:tc>
      </w:tr>
      <w:tr w:rsidR="006A70BC" w:rsidRPr="003736F5" w14:paraId="4EB5B08B" w14:textId="77777777" w:rsidTr="00BC5C25">
        <w:trPr>
          <w:cantSplit/>
          <w:jc w:val="center"/>
        </w:trPr>
        <w:tc>
          <w:tcPr>
            <w:tcW w:w="9016" w:type="dxa"/>
            <w:tcBorders>
              <w:top w:val="single" w:sz="4" w:space="0" w:color="auto"/>
            </w:tcBorders>
            <w:shd w:val="clear" w:color="auto" w:fill="auto"/>
          </w:tcPr>
          <w:p w14:paraId="038DA7F2" w14:textId="22C15627" w:rsidR="006A70BC" w:rsidRPr="003736F5" w:rsidRDefault="001C1B91" w:rsidP="00BC5C25">
            <w:pPr>
              <w:spacing w:line="240" w:lineRule="auto"/>
              <w:rPr>
                <w:rFonts w:cs="Times New Roman"/>
                <w:color w:val="000000"/>
              </w:rPr>
            </w:pPr>
            <w:r w:rsidRPr="003736F5">
              <w:rPr>
                <w:rFonts w:cs="Times New Roman"/>
                <w:color w:val="000000"/>
              </w:rPr>
              <w:t xml:space="preserve">Productivity </w:t>
            </w:r>
            <w:r w:rsidR="006A70BC" w:rsidRPr="003736F5">
              <w:rPr>
                <w:rFonts w:cs="Times New Roman"/>
                <w:color w:val="000000"/>
              </w:rPr>
              <w:t xml:space="preserve">Tree. Extract of Group </w:t>
            </w:r>
            <w:r w:rsidR="006004E3" w:rsidRPr="003736F5">
              <w:rPr>
                <w:rFonts w:cs="Times New Roman"/>
                <w:color w:val="000000"/>
              </w:rPr>
              <w:t>One.</w:t>
            </w:r>
            <w:r w:rsidR="006A70BC" w:rsidRPr="003736F5">
              <w:rPr>
                <w:rFonts w:cs="Times New Roman"/>
                <w:color w:val="000000"/>
              </w:rPr>
              <w:t xml:space="preserve"> It follows firms receiving two </w:t>
            </w:r>
            <w:proofErr w:type="gramStart"/>
            <w:r w:rsidR="006A70BC" w:rsidRPr="003736F5">
              <w:rPr>
                <w:rFonts w:cs="Times New Roman"/>
                <w:color w:val="000000"/>
              </w:rPr>
              <w:t>year</w:t>
            </w:r>
            <w:proofErr w:type="gramEnd"/>
            <w:r w:rsidR="006A70BC" w:rsidRPr="003736F5">
              <w:rPr>
                <w:rFonts w:cs="Times New Roman"/>
                <w:color w:val="000000"/>
              </w:rPr>
              <w:t xml:space="preserve"> lagged SBBR. </w:t>
            </w:r>
          </w:p>
          <w:p w14:paraId="6C709ABF" w14:textId="3441E8A9" w:rsidR="006A70BC" w:rsidRPr="003736F5" w:rsidRDefault="006A70BC" w:rsidP="00BC5C25">
            <w:pPr>
              <w:spacing w:line="240" w:lineRule="auto"/>
              <w:rPr>
                <w:rFonts w:cs="Times New Roman"/>
                <w:color w:val="000000"/>
                <w:szCs w:val="24"/>
              </w:rPr>
            </w:pPr>
            <w:r w:rsidRPr="003736F5">
              <w:rPr>
                <w:rFonts w:cs="Times New Roman"/>
                <w:color w:val="000000"/>
                <w:szCs w:val="24"/>
              </w:rPr>
              <w:t xml:space="preserve">Figures in the final nodes are the </w:t>
            </w:r>
            <w:r w:rsidR="001C1B91" w:rsidRPr="003736F5">
              <w:rPr>
                <w:rFonts w:cs="Times New Roman"/>
                <w:color w:val="000000"/>
                <w:szCs w:val="24"/>
              </w:rPr>
              <w:t>productivity</w:t>
            </w:r>
            <w:r w:rsidRPr="003736F5">
              <w:rPr>
                <w:rFonts w:cs="Times New Roman"/>
                <w:color w:val="000000"/>
                <w:szCs w:val="24"/>
              </w:rPr>
              <w:t xml:space="preserve">, in terms of </w:t>
            </w:r>
            <w:r w:rsidR="001C1B91" w:rsidRPr="003736F5">
              <w:rPr>
                <w:rFonts w:cs="Times New Roman"/>
                <w:color w:val="000000"/>
                <w:szCs w:val="24"/>
              </w:rPr>
              <w:t xml:space="preserve">gross value added </w:t>
            </w:r>
            <w:r w:rsidRPr="003736F5">
              <w:rPr>
                <w:rFonts w:cs="Times New Roman"/>
                <w:color w:val="000000"/>
                <w:szCs w:val="24"/>
              </w:rPr>
              <w:t xml:space="preserve">and n is </w:t>
            </w:r>
            <w:proofErr w:type="gramStart"/>
            <w:r w:rsidRPr="003736F5">
              <w:rPr>
                <w:rFonts w:cs="Times New Roman"/>
                <w:color w:val="000000"/>
                <w:szCs w:val="24"/>
              </w:rPr>
              <w:t>a number of</w:t>
            </w:r>
            <w:proofErr w:type="gramEnd"/>
            <w:r w:rsidRPr="003736F5">
              <w:rPr>
                <w:rFonts w:cs="Times New Roman"/>
                <w:color w:val="000000"/>
                <w:szCs w:val="24"/>
              </w:rPr>
              <w:t xml:space="preserve"> firm observations. </w:t>
            </w:r>
          </w:p>
          <w:p w14:paraId="36ED7531" w14:textId="77777777" w:rsidR="006A70BC" w:rsidRPr="003736F5" w:rsidRDefault="006A70BC" w:rsidP="00F33A4C">
            <w:pPr>
              <w:rPr>
                <w:rFonts w:cs="Times New Roman"/>
                <w:i/>
                <w:color w:val="000000"/>
                <w:szCs w:val="24"/>
              </w:rPr>
            </w:pPr>
            <w:r w:rsidRPr="003736F5">
              <w:rPr>
                <w:rFonts w:cs="Times New Roman"/>
                <w:color w:val="000000"/>
                <w:szCs w:val="24"/>
              </w:rPr>
              <w:t>Source: ONS Data, Author’s Calculations</w:t>
            </w:r>
            <w:r w:rsidRPr="003736F5">
              <w:rPr>
                <w:rFonts w:cs="Times New Roman"/>
                <w:i/>
                <w:color w:val="000000"/>
                <w:szCs w:val="24"/>
              </w:rPr>
              <w:t>.</w:t>
            </w:r>
          </w:p>
        </w:tc>
      </w:tr>
    </w:tbl>
    <w:p w14:paraId="2B4292DF" w14:textId="77777777" w:rsidR="006A70BC" w:rsidRPr="003736F5" w:rsidRDefault="006A70BC" w:rsidP="00F33A4C">
      <w:pPr>
        <w:rPr>
          <w:rFonts w:cs="Times New Roman"/>
          <w:color w:val="000000"/>
        </w:rPr>
      </w:pPr>
    </w:p>
    <w:p w14:paraId="34094EB4" w14:textId="77777777" w:rsidR="006A70BC" w:rsidRPr="003736F5" w:rsidRDefault="006A70BC" w:rsidP="00F33A4C">
      <w:pPr>
        <w:rPr>
          <w:rFonts w:cs="Times New Roman"/>
          <w:color w:val="000000"/>
        </w:rPr>
      </w:pPr>
      <w:r w:rsidRPr="003736F5">
        <w:rPr>
          <w:rFonts w:cs="Times New Roman"/>
          <w:color w:val="000000"/>
        </w:rPr>
        <w:br w:type="page"/>
      </w:r>
    </w:p>
    <w:tbl>
      <w:tblPr>
        <w:tblW w:w="0" w:type="auto"/>
        <w:jc w:val="center"/>
        <w:tblLook w:val="04A0" w:firstRow="1" w:lastRow="0" w:firstColumn="1" w:lastColumn="0" w:noHBand="0" w:noVBand="1"/>
      </w:tblPr>
      <w:tblGrid>
        <w:gridCol w:w="8459"/>
      </w:tblGrid>
      <w:tr w:rsidR="005A0245" w:rsidRPr="003736F5" w14:paraId="4A739442" w14:textId="77777777" w:rsidTr="00BC5C25">
        <w:trPr>
          <w:trHeight w:val="445"/>
          <w:tblHeader/>
          <w:jc w:val="center"/>
        </w:trPr>
        <w:tc>
          <w:tcPr>
            <w:tcW w:w="8327" w:type="dxa"/>
            <w:tcBorders>
              <w:bottom w:val="single" w:sz="4" w:space="0" w:color="auto"/>
            </w:tcBorders>
            <w:shd w:val="clear" w:color="auto" w:fill="auto"/>
          </w:tcPr>
          <w:p w14:paraId="641D1320" w14:textId="5F71FA65" w:rsidR="006A70BC" w:rsidRPr="003736F5" w:rsidRDefault="006A70BC" w:rsidP="00F33A4C">
            <w:pPr>
              <w:rPr>
                <w:rFonts w:cs="Times New Roman"/>
                <w:color w:val="000000"/>
                <w:szCs w:val="24"/>
              </w:rPr>
            </w:pPr>
            <w:r w:rsidRPr="003736F5">
              <w:rPr>
                <w:rFonts w:cs="Times New Roman"/>
                <w:b/>
                <w:color w:val="000000"/>
                <w:szCs w:val="24"/>
              </w:rPr>
              <w:lastRenderedPageBreak/>
              <w:t xml:space="preserve">Figure </w:t>
            </w:r>
            <w:r w:rsidR="00151D56" w:rsidRPr="003736F5">
              <w:rPr>
                <w:rFonts w:cs="Times New Roman"/>
                <w:b/>
                <w:color w:val="000000"/>
                <w:szCs w:val="24"/>
              </w:rPr>
              <w:t>4</w:t>
            </w:r>
            <w:r w:rsidRPr="003736F5">
              <w:rPr>
                <w:rFonts w:cs="Times New Roman"/>
                <w:b/>
                <w:color w:val="000000"/>
                <w:szCs w:val="24"/>
              </w:rPr>
              <w:t xml:space="preserve">: </w:t>
            </w:r>
            <w:r w:rsidR="001C1B91" w:rsidRPr="003736F5">
              <w:rPr>
                <w:rFonts w:cs="Times New Roman"/>
                <w:b/>
                <w:color w:val="000000"/>
                <w:szCs w:val="24"/>
              </w:rPr>
              <w:t xml:space="preserve">Productivity </w:t>
            </w:r>
            <w:r w:rsidRPr="003736F5">
              <w:rPr>
                <w:rFonts w:cs="Times New Roman"/>
                <w:b/>
                <w:color w:val="000000"/>
                <w:szCs w:val="24"/>
              </w:rPr>
              <w:t>Tree Extract of Younger Firms Not Receiving Two Year Lagged SBBR, Outside of London (Group Two)</w:t>
            </w:r>
          </w:p>
        </w:tc>
      </w:tr>
      <w:tr w:rsidR="005A0245" w:rsidRPr="003736F5" w14:paraId="05A5B5F1" w14:textId="77777777" w:rsidTr="00BC5C25">
        <w:trPr>
          <w:trHeight w:val="6906"/>
          <w:tblHeader/>
          <w:jc w:val="center"/>
        </w:trPr>
        <w:tc>
          <w:tcPr>
            <w:tcW w:w="8327" w:type="dxa"/>
            <w:tcBorders>
              <w:top w:val="single" w:sz="4" w:space="0" w:color="auto"/>
              <w:bottom w:val="single" w:sz="4" w:space="0" w:color="auto"/>
            </w:tcBorders>
            <w:shd w:val="clear" w:color="auto" w:fill="auto"/>
          </w:tcPr>
          <w:p w14:paraId="4F0B7574" w14:textId="07D9B8F9" w:rsidR="006A70BC" w:rsidRPr="003736F5" w:rsidRDefault="001C1B91" w:rsidP="00BC5C25">
            <w:pPr>
              <w:spacing w:after="60"/>
              <w:rPr>
                <w:rFonts w:cs="Times New Roman"/>
                <w:i/>
                <w:color w:val="000000"/>
                <w:szCs w:val="24"/>
              </w:rPr>
            </w:pPr>
            <w:r w:rsidRPr="003736F5">
              <w:rPr>
                <w:rFonts w:cs="Times New Roman"/>
                <w:noProof/>
              </w:rPr>
              <w:drawing>
                <wp:inline distT="0" distB="0" distL="0" distR="0" wp14:anchorId="4B48F86D" wp14:editId="00EFBAB1">
                  <wp:extent cx="5366385" cy="4191000"/>
                  <wp:effectExtent l="0" t="0" r="0" b="0"/>
                  <wp:docPr id="93" name="Picture 4" descr="C:\Users\55107518\AppData\Local\Microsoft\Windows\Temporary Internet Files\Content.Outlook\MPB120LP\fig3(1907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55107518\AppData\Local\Microsoft\Windows\Temporary Internet Files\Content.Outlook\MPB120LP\fig3(1907201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66385" cy="4191000"/>
                          </a:xfrm>
                          <a:prstGeom prst="rect">
                            <a:avLst/>
                          </a:prstGeom>
                          <a:noFill/>
                          <a:ln>
                            <a:noFill/>
                          </a:ln>
                        </pic:spPr>
                      </pic:pic>
                    </a:graphicData>
                  </a:graphic>
                </wp:inline>
              </w:drawing>
            </w:r>
          </w:p>
        </w:tc>
      </w:tr>
      <w:tr w:rsidR="006A70BC" w:rsidRPr="003736F5" w14:paraId="217D7FEF" w14:textId="77777777" w:rsidTr="00BC5C25">
        <w:trPr>
          <w:trHeight w:val="1417"/>
          <w:tblHeader/>
          <w:jc w:val="center"/>
        </w:trPr>
        <w:tc>
          <w:tcPr>
            <w:tcW w:w="8327" w:type="dxa"/>
            <w:tcBorders>
              <w:top w:val="single" w:sz="4" w:space="0" w:color="auto"/>
            </w:tcBorders>
            <w:shd w:val="clear" w:color="auto" w:fill="auto"/>
          </w:tcPr>
          <w:p w14:paraId="41418703" w14:textId="0E470F8E" w:rsidR="006A70BC" w:rsidRPr="003736F5" w:rsidRDefault="001C1B91" w:rsidP="00BC5C25">
            <w:pPr>
              <w:spacing w:line="240" w:lineRule="auto"/>
              <w:rPr>
                <w:rStyle w:val="Hyperlink"/>
                <w:rFonts w:cs="Times New Roman"/>
                <w:color w:val="000000"/>
                <w:szCs w:val="24"/>
                <w:u w:val="none"/>
                <w:shd w:val="clear" w:color="auto" w:fill="FFFFFF"/>
              </w:rPr>
            </w:pPr>
            <w:r w:rsidRPr="003736F5">
              <w:rPr>
                <w:rStyle w:val="Hyperlink"/>
                <w:rFonts w:cs="Times New Roman"/>
                <w:color w:val="000000"/>
                <w:szCs w:val="24"/>
                <w:u w:val="none"/>
                <w:shd w:val="clear" w:color="auto" w:fill="FFFFFF"/>
              </w:rPr>
              <w:t xml:space="preserve">Productivity </w:t>
            </w:r>
            <w:r w:rsidR="006A70BC" w:rsidRPr="003736F5">
              <w:rPr>
                <w:rStyle w:val="Hyperlink"/>
                <w:rFonts w:cs="Times New Roman"/>
                <w:color w:val="000000"/>
                <w:szCs w:val="24"/>
                <w:u w:val="none"/>
                <w:shd w:val="clear" w:color="auto" w:fill="FFFFFF"/>
              </w:rPr>
              <w:t>Tree. Extract of Group One. I</w:t>
            </w:r>
            <w:r w:rsidR="006A70BC" w:rsidRPr="003736F5">
              <w:rPr>
                <w:rStyle w:val="Hyperlink"/>
                <w:rFonts w:cs="Times New Roman"/>
                <w:color w:val="000000"/>
                <w:u w:val="none"/>
                <w:shd w:val="clear" w:color="auto" w:fill="FFFFFF"/>
              </w:rPr>
              <w:t>t follows f</w:t>
            </w:r>
            <w:r w:rsidR="006A70BC" w:rsidRPr="003736F5">
              <w:rPr>
                <w:rStyle w:val="Hyperlink"/>
                <w:rFonts w:cs="Times New Roman"/>
                <w:color w:val="000000"/>
                <w:szCs w:val="24"/>
                <w:u w:val="none"/>
                <w:shd w:val="clear" w:color="auto" w:fill="FFFFFF"/>
              </w:rPr>
              <w:t>irms that did not recei</w:t>
            </w:r>
            <w:r w:rsidR="006A70BC" w:rsidRPr="003736F5">
              <w:rPr>
                <w:rStyle w:val="Hyperlink"/>
                <w:rFonts w:cs="Times New Roman"/>
                <w:color w:val="000000"/>
                <w:u w:val="none"/>
                <w:shd w:val="clear" w:color="auto" w:fill="FFFFFF"/>
              </w:rPr>
              <w:t>ve</w:t>
            </w:r>
            <w:r w:rsidR="006A70BC" w:rsidRPr="003736F5">
              <w:rPr>
                <w:rStyle w:val="Hyperlink"/>
                <w:rFonts w:cs="Times New Roman"/>
                <w:color w:val="000000"/>
                <w:szCs w:val="24"/>
                <w:u w:val="none"/>
                <w:shd w:val="clear" w:color="auto" w:fill="FFFFFF"/>
              </w:rPr>
              <w:t xml:space="preserve"> two </w:t>
            </w:r>
            <w:proofErr w:type="gramStart"/>
            <w:r w:rsidR="006A70BC" w:rsidRPr="003736F5">
              <w:rPr>
                <w:rStyle w:val="Hyperlink"/>
                <w:rFonts w:cs="Times New Roman"/>
                <w:color w:val="000000"/>
                <w:szCs w:val="24"/>
                <w:u w:val="none"/>
                <w:shd w:val="clear" w:color="auto" w:fill="FFFFFF"/>
              </w:rPr>
              <w:t>year</w:t>
            </w:r>
            <w:proofErr w:type="gramEnd"/>
            <w:r w:rsidR="006A70BC" w:rsidRPr="003736F5">
              <w:rPr>
                <w:rStyle w:val="Hyperlink"/>
                <w:rFonts w:cs="Times New Roman"/>
                <w:color w:val="000000"/>
                <w:szCs w:val="24"/>
                <w:u w:val="none"/>
                <w:shd w:val="clear" w:color="auto" w:fill="FFFFFF"/>
              </w:rPr>
              <w:t xml:space="preserve"> lagged SBBR and were outside of London. Figures in the final nodes are </w:t>
            </w:r>
            <w:r w:rsidRPr="003736F5">
              <w:rPr>
                <w:rStyle w:val="Hyperlink"/>
                <w:rFonts w:cs="Times New Roman"/>
                <w:color w:val="000000"/>
                <w:szCs w:val="24"/>
                <w:u w:val="none"/>
                <w:shd w:val="clear" w:color="auto" w:fill="FFFFFF"/>
              </w:rPr>
              <w:t>productivity</w:t>
            </w:r>
            <w:r w:rsidR="006A70BC" w:rsidRPr="003736F5">
              <w:rPr>
                <w:rStyle w:val="Hyperlink"/>
                <w:rFonts w:cs="Times New Roman"/>
                <w:color w:val="000000"/>
                <w:szCs w:val="24"/>
                <w:u w:val="none"/>
                <w:shd w:val="clear" w:color="auto" w:fill="FFFFFF"/>
              </w:rPr>
              <w:t xml:space="preserve">, in terms of </w:t>
            </w:r>
            <w:r w:rsidRPr="003736F5">
              <w:rPr>
                <w:rStyle w:val="Hyperlink"/>
                <w:rFonts w:cs="Times New Roman"/>
                <w:color w:val="000000"/>
                <w:szCs w:val="24"/>
                <w:u w:val="none"/>
                <w:shd w:val="clear" w:color="auto" w:fill="FFFFFF"/>
              </w:rPr>
              <w:t>gross value added</w:t>
            </w:r>
            <w:r w:rsidR="006A70BC" w:rsidRPr="003736F5">
              <w:rPr>
                <w:rStyle w:val="Hyperlink"/>
                <w:rFonts w:cs="Times New Roman"/>
                <w:color w:val="000000"/>
                <w:szCs w:val="24"/>
                <w:u w:val="none"/>
                <w:shd w:val="clear" w:color="auto" w:fill="FFFFFF"/>
              </w:rPr>
              <w:t>, and n, number of observations.</w:t>
            </w:r>
          </w:p>
          <w:p w14:paraId="09E55B3B" w14:textId="40AF9DB3" w:rsidR="006A70BC" w:rsidRPr="003736F5" w:rsidRDefault="006A70BC" w:rsidP="00BC5C25">
            <w:pPr>
              <w:spacing w:line="240" w:lineRule="auto"/>
              <w:rPr>
                <w:rStyle w:val="Hyperlink"/>
                <w:rFonts w:cs="Times New Roman"/>
                <w:color w:val="000000"/>
                <w:szCs w:val="24"/>
                <w:u w:val="none"/>
                <w:shd w:val="clear" w:color="auto" w:fill="FFFFFF"/>
              </w:rPr>
            </w:pPr>
            <w:r w:rsidRPr="003736F5">
              <w:rPr>
                <w:rStyle w:val="Hyperlink"/>
                <w:rFonts w:cs="Times New Roman"/>
                <w:color w:val="000000"/>
                <w:szCs w:val="24"/>
                <w:u w:val="none"/>
                <w:shd w:val="clear" w:color="auto" w:fill="FFFFFF"/>
              </w:rPr>
              <w:t xml:space="preserve">Note this is a truncated branch, not showing subsequent subgroup 2B for the regions West Midlands, East of England and </w:t>
            </w:r>
            <w:proofErr w:type="gramStart"/>
            <w:r w:rsidRPr="003736F5">
              <w:rPr>
                <w:rStyle w:val="Hyperlink"/>
                <w:rFonts w:cs="Times New Roman"/>
                <w:color w:val="000000"/>
                <w:szCs w:val="24"/>
                <w:u w:val="none"/>
                <w:shd w:val="clear" w:color="auto" w:fill="FFFFFF"/>
              </w:rPr>
              <w:t>South East</w:t>
            </w:r>
            <w:proofErr w:type="gramEnd"/>
            <w:r w:rsidRPr="003736F5">
              <w:rPr>
                <w:rStyle w:val="Hyperlink"/>
                <w:rFonts w:cs="Times New Roman"/>
                <w:color w:val="000000"/>
                <w:szCs w:val="24"/>
                <w:u w:val="none"/>
                <w:shd w:val="clear" w:color="auto" w:fill="FFFFFF"/>
              </w:rPr>
              <w:t xml:space="preserve"> England. This group does not subsequently group on SBRR.</w:t>
            </w:r>
            <w:r w:rsidR="00EE082F" w:rsidRPr="003736F5">
              <w:rPr>
                <w:rStyle w:val="Hyperlink"/>
                <w:rFonts w:cs="Times New Roman"/>
                <w:color w:val="000000"/>
                <w:szCs w:val="24"/>
                <w:u w:val="none"/>
                <w:shd w:val="clear" w:color="auto" w:fill="FFFFFF"/>
              </w:rPr>
              <w:t xml:space="preserve"> </w:t>
            </w:r>
            <w:r w:rsidR="003D4206" w:rsidRPr="003736F5">
              <w:rPr>
                <w:rStyle w:val="Hyperlink"/>
                <w:rFonts w:cs="Times New Roman"/>
                <w:color w:val="000000"/>
                <w:szCs w:val="24"/>
                <w:u w:val="none"/>
                <w:shd w:val="clear" w:color="auto" w:fill="FFFFFF"/>
              </w:rPr>
              <w:t>T</w:t>
            </w:r>
            <w:r w:rsidRPr="003736F5">
              <w:rPr>
                <w:rStyle w:val="Hyperlink"/>
                <w:rFonts w:cs="Times New Roman"/>
                <w:color w:val="000000"/>
                <w:szCs w:val="24"/>
                <w:u w:val="none"/>
                <w:shd w:val="clear" w:color="auto" w:fill="FFFFFF"/>
              </w:rPr>
              <w:t xml:space="preserve">he final starred (*) node is a weighted average for the 2,206 observations in Group 2B. </w:t>
            </w:r>
          </w:p>
          <w:p w14:paraId="3EE99171" w14:textId="77777777" w:rsidR="006A70BC" w:rsidRPr="003736F5" w:rsidRDefault="006A70BC" w:rsidP="00BC5C25">
            <w:pPr>
              <w:spacing w:line="240" w:lineRule="auto"/>
              <w:rPr>
                <w:rFonts w:cs="Times New Roman"/>
                <w:i/>
                <w:noProof/>
                <w:color w:val="000000"/>
                <w:szCs w:val="24"/>
                <w:lang w:eastAsia="en-GB"/>
              </w:rPr>
            </w:pPr>
            <w:r w:rsidRPr="003736F5">
              <w:rPr>
                <w:rStyle w:val="Hyperlink"/>
                <w:rFonts w:cs="Times New Roman"/>
                <w:color w:val="000000"/>
                <w:szCs w:val="24"/>
                <w:u w:val="none"/>
                <w:shd w:val="clear" w:color="auto" w:fill="FFFFFF"/>
              </w:rPr>
              <w:t>Source: ONS Data, Author’s Calculations</w:t>
            </w:r>
          </w:p>
        </w:tc>
      </w:tr>
    </w:tbl>
    <w:p w14:paraId="66A1AC2B" w14:textId="77777777" w:rsidR="00016355" w:rsidRPr="003736F5" w:rsidRDefault="00016355" w:rsidP="00F33A4C">
      <w:pPr>
        <w:spacing w:after="0"/>
        <w:rPr>
          <w:rFonts w:cs="Times New Roman"/>
          <w:color w:val="000000"/>
          <w:szCs w:val="24"/>
        </w:rPr>
      </w:pPr>
    </w:p>
    <w:p w14:paraId="1698A43A" w14:textId="5AE08618" w:rsidR="00675F86" w:rsidRPr="003736F5" w:rsidRDefault="00016355" w:rsidP="009A4589">
      <w:pPr>
        <w:pStyle w:val="Heading1"/>
      </w:pPr>
      <w:r w:rsidRPr="003736F5">
        <w:rPr>
          <w:szCs w:val="24"/>
        </w:rPr>
        <w:br w:type="page"/>
      </w:r>
      <w:r w:rsidR="00675F86" w:rsidRPr="003736F5">
        <w:lastRenderedPageBreak/>
        <w:t>Electronic Supplementary Material</w:t>
      </w:r>
    </w:p>
    <w:p w14:paraId="78E10548" w14:textId="021A3E2F" w:rsidR="00016355" w:rsidRPr="003736F5" w:rsidRDefault="00016355" w:rsidP="00F33A4C">
      <w:pPr>
        <w:pStyle w:val="H2"/>
        <w:rPr>
          <w:rFonts w:cs="Times New Roman"/>
          <w:b/>
          <w:color w:val="auto"/>
          <w:sz w:val="24"/>
        </w:rPr>
      </w:pPr>
      <w:r w:rsidRPr="003736F5">
        <w:rPr>
          <w:rFonts w:cs="Times New Roman"/>
          <w:b/>
          <w:color w:val="auto"/>
          <w:sz w:val="24"/>
        </w:rPr>
        <w:t xml:space="preserve">Appendix </w:t>
      </w:r>
      <w:r w:rsidR="005B4AF4" w:rsidRPr="003736F5">
        <w:rPr>
          <w:rFonts w:cs="Times New Roman"/>
          <w:b/>
          <w:color w:val="auto"/>
          <w:sz w:val="24"/>
        </w:rPr>
        <w:t>1</w:t>
      </w:r>
      <w:r w:rsidRPr="003736F5">
        <w:rPr>
          <w:rFonts w:cs="Times New Roman"/>
          <w:b/>
          <w:color w:val="auto"/>
          <w:sz w:val="24"/>
        </w:rPr>
        <w:t>: Deriving SBRR</w:t>
      </w:r>
    </w:p>
    <w:p w14:paraId="6B948E8B" w14:textId="77777777" w:rsidR="00016355" w:rsidRPr="003736F5" w:rsidRDefault="00016355" w:rsidP="00F33A4C">
      <w:pPr>
        <w:pStyle w:val="H3"/>
        <w:rPr>
          <w:rFonts w:cs="Times New Roman"/>
          <w:i/>
          <w:color w:val="auto"/>
          <w:sz w:val="24"/>
        </w:rPr>
      </w:pPr>
      <w:bookmarkStart w:id="12" w:name="_Toc487243435"/>
      <w:r w:rsidRPr="003736F5">
        <w:rPr>
          <w:rFonts w:cs="Times New Roman"/>
          <w:i/>
          <w:color w:val="auto"/>
          <w:sz w:val="24"/>
        </w:rPr>
        <w:t>SBRR in England</w:t>
      </w:r>
      <w:bookmarkEnd w:id="12"/>
    </w:p>
    <w:p w14:paraId="3D2D6035" w14:textId="406C353C" w:rsidR="00016355" w:rsidRPr="003736F5" w:rsidRDefault="00016355" w:rsidP="00F33A4C">
      <w:pPr>
        <w:rPr>
          <w:rFonts w:cs="Times New Roman"/>
        </w:rPr>
      </w:pPr>
      <w:r w:rsidRPr="003736F5">
        <w:rPr>
          <w:rFonts w:cs="Times New Roman"/>
        </w:rPr>
        <w:t xml:space="preserve">SBRR </w:t>
      </w:r>
      <w:r w:rsidRPr="003736F5">
        <w:rPr>
          <w:rFonts w:cs="Times New Roman"/>
          <w:noProof/>
        </w:rPr>
        <w:t>was derived in accordance with</w:t>
      </w:r>
      <w:r w:rsidRPr="003736F5">
        <w:rPr>
          <w:rFonts w:cs="Times New Roman"/>
        </w:rPr>
        <w:t xml:space="preserve"> government publications because the </w:t>
      </w:r>
      <w:r w:rsidR="00FD0CBF" w:rsidRPr="003736F5">
        <w:rPr>
          <w:rFonts w:cs="Times New Roman"/>
          <w:color w:val="000000"/>
          <w:szCs w:val="24"/>
        </w:rPr>
        <w:t xml:space="preserve">Annual Respondents Database X </w:t>
      </w:r>
      <w:r w:rsidRPr="003736F5">
        <w:rPr>
          <w:rFonts w:cs="Times New Roman"/>
        </w:rPr>
        <w:t xml:space="preserve">only collects the BR each firm pays. As such, we calculate any SBRR received by calculating the firms underlying Rateable Value (RV). </w:t>
      </w:r>
    </w:p>
    <w:p w14:paraId="10D0B8E2" w14:textId="0835F22A" w:rsidR="00016355" w:rsidRPr="003736F5" w:rsidRDefault="001C1B91" w:rsidP="00F33A4C">
      <w:pPr>
        <w:pStyle w:val="EN"/>
        <w:rPr>
          <w:rFonts w:cs="Times New Roman"/>
        </w:rPr>
      </w:pPr>
      <m:oMath>
        <m:r>
          <w:rPr>
            <w:rFonts w:ascii="Cambria Math" w:hAnsi="Cambria Math" w:cs="Times New Roman"/>
          </w:rPr>
          <m:t>BR=RV×m×</m:t>
        </m:r>
        <m:d>
          <m:dPr>
            <m:ctrlPr>
              <w:rPr>
                <w:rFonts w:ascii="Cambria Math" w:hAnsi="Cambria Math" w:cs="Times New Roman"/>
                <w:i/>
              </w:rPr>
            </m:ctrlPr>
          </m:dPr>
          <m:e>
            <m:r>
              <w:rPr>
                <w:rFonts w:ascii="Cambria Math" w:hAnsi="Cambria Math" w:cs="Times New Roman"/>
              </w:rPr>
              <m:t>1-SBRR</m:t>
            </m:r>
          </m:e>
        </m:d>
      </m:oMath>
      <w:r w:rsidR="00016355" w:rsidRPr="003736F5">
        <w:rPr>
          <w:rFonts w:eastAsia="MS Mincho" w:cs="Times New Roman"/>
        </w:rPr>
        <w:t>,</w:t>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t>(7)</w:t>
      </w:r>
    </w:p>
    <w:p w14:paraId="32517199" w14:textId="29B1631D" w:rsidR="00016355" w:rsidRPr="003736F5" w:rsidRDefault="00016355" w:rsidP="00F33A4C">
      <w:pPr>
        <w:rPr>
          <w:rFonts w:cs="Times New Roman"/>
        </w:rPr>
      </w:pPr>
      <w:r w:rsidRPr="003736F5">
        <w:rPr>
          <w:rFonts w:cs="Times New Roman"/>
          <w:noProof/>
        </w:rPr>
        <w:t>where</w:t>
      </w:r>
      <w:r w:rsidRPr="003736F5">
        <w:rPr>
          <w:rFonts w:cs="Times New Roman"/>
        </w:rPr>
        <w:t xml:space="preserve"> BR is business rates paid, RV is rateable value and m is the annual </w:t>
      </w:r>
      <w:r w:rsidR="008C0B89" w:rsidRPr="003736F5">
        <w:rPr>
          <w:rFonts w:cs="Times New Roman"/>
        </w:rPr>
        <w:t>multiplier.</w:t>
      </w:r>
    </w:p>
    <w:p w14:paraId="797FB699" w14:textId="77777777" w:rsidR="00016355" w:rsidRPr="003736F5" w:rsidRDefault="00016355" w:rsidP="00F33A4C">
      <w:pPr>
        <w:rPr>
          <w:rFonts w:cs="Times New Roman"/>
        </w:rPr>
      </w:pPr>
      <w:r w:rsidRPr="003736F5">
        <w:rPr>
          <w:rFonts w:cs="Times New Roman"/>
        </w:rPr>
        <w:t xml:space="preserve">Defining </w:t>
      </w:r>
      <w:r w:rsidRPr="003736F5">
        <w:rPr>
          <w:rFonts w:cs="Times New Roman"/>
          <w:i/>
        </w:rPr>
        <w:t xml:space="preserve">1- SBRR </w:t>
      </w:r>
      <w:proofErr w:type="gramStart"/>
      <w:r w:rsidRPr="003736F5">
        <w:rPr>
          <w:rFonts w:cs="Times New Roman"/>
        </w:rPr>
        <w:t>as;</w:t>
      </w:r>
      <w:proofErr w:type="gramEnd"/>
    </w:p>
    <w:p w14:paraId="338CF861" w14:textId="6A2E7255" w:rsidR="00016355" w:rsidRPr="003736F5" w:rsidRDefault="001C1B91" w:rsidP="00F33A4C">
      <w:pPr>
        <w:pStyle w:val="EN"/>
        <w:rPr>
          <w:rFonts w:cs="Times New Roman"/>
        </w:rPr>
      </w:pPr>
      <m:oMath>
        <m:r>
          <w:rPr>
            <w:rFonts w:ascii="Cambria Math" w:hAnsi="Cambria Math" w:cs="Times New Roman"/>
          </w:rPr>
          <m:t>1- SBRR=</m:t>
        </m:r>
        <m:d>
          <m:dPr>
            <m:ctrlPr>
              <w:rPr>
                <w:rFonts w:ascii="Cambria Math" w:hAnsi="Cambria Math" w:cs="Times New Roman"/>
                <w:i/>
              </w:rPr>
            </m:ctrlPr>
          </m:dPr>
          <m:e>
            <m:r>
              <w:rPr>
                <w:rFonts w:ascii="Cambria Math" w:hAnsi="Cambria Math" w:cs="Times New Roman"/>
              </w:rPr>
              <m:t>1-</m:t>
            </m:r>
            <m:sSub>
              <m:sSubPr>
                <m:ctrlPr>
                  <w:rPr>
                    <w:rFonts w:ascii="Cambria Math" w:hAnsi="Cambria Math" w:cs="Times New Roman"/>
                    <w:i/>
                  </w:rPr>
                </m:ctrlPr>
              </m:sSubPr>
              <m:e>
                <m:d>
                  <m:dPr>
                    <m:ctrlPr>
                      <w:rPr>
                        <w:rFonts w:ascii="Cambria Math" w:hAnsi="Cambria Math" w:cs="Times New Roman"/>
                        <w:i/>
                      </w:rPr>
                    </m:ctrlPr>
                  </m:dPr>
                  <m:e>
                    <m:r>
                      <m:rPr>
                        <m:sty m:val="p"/>
                      </m:rPr>
                      <w:rPr>
                        <w:rFonts w:ascii="Cambria Math" w:hAnsi="Cambria Math" w:cs="Times New Roman"/>
                      </w:rPr>
                      <m:t>max</m:t>
                    </m:r>
                    <m:r>
                      <w:rPr>
                        <w:rFonts w:ascii="Cambria Math" w:hAnsi="Cambria Math" w:cs="Times New Roman"/>
                      </w:rPr>
                      <m:t xml:space="preserve">- </m:t>
                    </m:r>
                    <m:f>
                      <m:fPr>
                        <m:ctrlPr>
                          <w:rPr>
                            <w:rFonts w:ascii="Cambria Math" w:hAnsi="Cambria Math" w:cs="Times New Roman"/>
                            <w:i/>
                          </w:rPr>
                        </m:ctrlPr>
                      </m:fPr>
                      <m:num>
                        <m:r>
                          <w:rPr>
                            <w:rFonts w:ascii="Cambria Math" w:hAnsi="Cambria Math" w:cs="Times New Roman"/>
                          </w:rPr>
                          <m:t>RV-int</m:t>
                        </m:r>
                      </m:num>
                      <m:den>
                        <m:f>
                          <m:fPr>
                            <m:ctrlPr>
                              <w:rPr>
                                <w:rFonts w:ascii="Cambria Math" w:hAnsi="Cambria Math" w:cs="Times New Roman"/>
                                <w:i/>
                              </w:rPr>
                            </m:ctrlPr>
                          </m:fPr>
                          <m:num>
                            <m:r>
                              <w:rPr>
                                <w:rFonts w:ascii="Cambria Math" w:hAnsi="Cambria Math" w:cs="Times New Roman"/>
                              </w:rPr>
                              <m:t>int</m:t>
                            </m:r>
                          </m:num>
                          <m:den>
                            <m:r>
                              <w:rPr>
                                <w:rFonts w:ascii="Cambria Math" w:hAnsi="Cambria Math" w:cs="Times New Roman"/>
                              </w:rPr>
                              <m:t>max</m:t>
                            </m:r>
                          </m:den>
                        </m:f>
                      </m:den>
                    </m:f>
                  </m:e>
                </m:d>
              </m:e>
              <m:sub/>
            </m:sSub>
          </m:e>
        </m:d>
        <m:r>
          <w:rPr>
            <w:rFonts w:ascii="Cambria Math" w:hAnsi="Cambria Math" w:cs="Times New Roman"/>
          </w:rPr>
          <m:t>=1-2×max+</m:t>
        </m:r>
        <m:f>
          <m:fPr>
            <m:ctrlPr>
              <w:rPr>
                <w:rFonts w:ascii="Cambria Math" w:hAnsi="Cambria Math" w:cs="Times New Roman"/>
                <w:i/>
              </w:rPr>
            </m:ctrlPr>
          </m:fPr>
          <m:num>
            <m:r>
              <w:rPr>
                <w:rFonts w:ascii="Cambria Math" w:hAnsi="Cambria Math" w:cs="Times New Roman"/>
              </w:rPr>
              <m:t>RV×max</m:t>
            </m:r>
          </m:num>
          <m:den>
            <m:r>
              <w:rPr>
                <w:rFonts w:ascii="Cambria Math" w:hAnsi="Cambria Math" w:cs="Times New Roman"/>
              </w:rPr>
              <m:t>int</m:t>
            </m:r>
          </m:den>
        </m:f>
      </m:oMath>
      <w:r w:rsidR="00016355" w:rsidRPr="003736F5">
        <w:rPr>
          <w:rFonts w:eastAsia="MS Mincho" w:cs="Times New Roman"/>
        </w:rPr>
        <w:t>,</w:t>
      </w:r>
      <w:r w:rsidR="00016355" w:rsidRPr="003736F5">
        <w:rPr>
          <w:rFonts w:eastAsia="MS Mincho" w:cs="Times New Roman"/>
        </w:rPr>
        <w:tab/>
      </w:r>
      <w:r w:rsidR="00016355" w:rsidRPr="003736F5">
        <w:rPr>
          <w:rFonts w:eastAsia="MS Mincho" w:cs="Times New Roman"/>
        </w:rPr>
        <w:tab/>
        <w:t>(8)</w:t>
      </w:r>
    </w:p>
    <w:p w14:paraId="42217130" w14:textId="77777777" w:rsidR="00016355" w:rsidRPr="003736F5" w:rsidRDefault="00016355" w:rsidP="00F33A4C">
      <w:pPr>
        <w:rPr>
          <w:rFonts w:cs="Times New Roman"/>
          <w:iCs/>
        </w:rPr>
      </w:pPr>
      <w:r w:rsidRPr="003736F5">
        <w:rPr>
          <w:rFonts w:cs="Times New Roman"/>
          <w:iCs/>
          <w:noProof/>
        </w:rPr>
        <w:t>where</w:t>
      </w:r>
      <w:r w:rsidRPr="003736F5">
        <w:rPr>
          <w:rFonts w:cs="Times New Roman"/>
          <w:iCs/>
        </w:rPr>
        <w:t xml:space="preserve"> </w:t>
      </w:r>
      <w:r w:rsidRPr="003736F5">
        <w:rPr>
          <w:rFonts w:cs="Times New Roman"/>
          <w:i/>
          <w:iCs/>
        </w:rPr>
        <w:t>max</w:t>
      </w:r>
      <w:r w:rsidRPr="003736F5">
        <w:rPr>
          <w:rFonts w:cs="Times New Roman"/>
          <w:iCs/>
        </w:rPr>
        <w:t xml:space="preserve"> is a maximal relief </w:t>
      </w:r>
      <w:r w:rsidRPr="003736F5">
        <w:rPr>
          <w:rFonts w:cs="Times New Roman"/>
          <w:iCs/>
          <w:noProof/>
        </w:rPr>
        <w:t xml:space="preserve">available (50% or 100% depending on the period) </w:t>
      </w:r>
      <w:r w:rsidRPr="003736F5">
        <w:rPr>
          <w:rFonts w:cs="Times New Roman"/>
          <w:iCs/>
        </w:rPr>
        <w:t xml:space="preserve">and </w:t>
      </w:r>
      <w:r w:rsidRPr="003736F5">
        <w:rPr>
          <w:rFonts w:cs="Times New Roman"/>
          <w:i/>
          <w:iCs/>
          <w:noProof/>
        </w:rPr>
        <w:t>int</w:t>
      </w:r>
      <w:r w:rsidRPr="003736F5">
        <w:rPr>
          <w:rFonts w:cs="Times New Roman"/>
          <w:iCs/>
        </w:rPr>
        <w:t xml:space="preserve"> is the range </w:t>
      </w:r>
      <w:r w:rsidRPr="003736F5">
        <w:rPr>
          <w:rFonts w:cs="Times New Roman"/>
          <w:iCs/>
          <w:noProof/>
        </w:rPr>
        <w:t>over</w:t>
      </w:r>
      <w:r w:rsidRPr="003736F5">
        <w:rPr>
          <w:rFonts w:cs="Times New Roman"/>
          <w:iCs/>
        </w:rPr>
        <w:t xml:space="preserve"> which the relief is paid (either £5,000 or £6,000).</w:t>
      </w:r>
    </w:p>
    <w:p w14:paraId="18001103" w14:textId="77777777" w:rsidR="00016355" w:rsidRPr="003736F5" w:rsidRDefault="00016355" w:rsidP="00F33A4C">
      <w:pPr>
        <w:rPr>
          <w:rFonts w:cs="Times New Roman"/>
        </w:rPr>
      </w:pPr>
      <w:r w:rsidRPr="003736F5">
        <w:rPr>
          <w:rFonts w:cs="Times New Roman"/>
        </w:rPr>
        <w:t>Combining both equations to extract the RV, we get:</w:t>
      </w:r>
    </w:p>
    <w:p w14:paraId="55995A02" w14:textId="7712323F" w:rsidR="00016355" w:rsidRPr="003736F5" w:rsidRDefault="003736F5" w:rsidP="00F33A4C">
      <w:pPr>
        <w:pStyle w:val="EN"/>
        <w:rPr>
          <w:rFonts w:cs="Times New Roman"/>
        </w:rPr>
      </w:pPr>
      <m:oMath>
        <m:sSup>
          <m:sSupPr>
            <m:ctrlPr>
              <w:rPr>
                <w:rFonts w:ascii="Cambria Math" w:hAnsi="Cambria Math" w:cs="Times New Roman"/>
                <w:i/>
              </w:rPr>
            </m:ctrlPr>
          </m:sSupPr>
          <m:e>
            <m:r>
              <w:rPr>
                <w:rFonts w:ascii="Cambria Math" w:hAnsi="Cambria Math" w:cs="Times New Roman"/>
              </w:rPr>
              <m:t>RV</m:t>
            </m:r>
          </m:e>
          <m:sup>
            <m:r>
              <w:rPr>
                <w:rFonts w:ascii="Cambria Math" w:hAnsi="Cambria Math" w:cs="Times New Roman"/>
              </w:rPr>
              <m:t>2</m:t>
            </m:r>
          </m:sup>
        </m:sSup>
        <m:r>
          <w:rPr>
            <w:rFonts w:ascii="Cambria Math" w:hAnsi="Cambria Math" w:cs="Times New Roman"/>
          </w:rPr>
          <m:t>+RV×</m:t>
        </m:r>
        <m:f>
          <m:fPr>
            <m:ctrlPr>
              <w:rPr>
                <w:rFonts w:ascii="Cambria Math" w:hAnsi="Cambria Math" w:cs="Times New Roman"/>
                <w:i/>
              </w:rPr>
            </m:ctrlPr>
          </m:fPr>
          <m:num>
            <m:r>
              <w:rPr>
                <w:rFonts w:ascii="Cambria Math" w:hAnsi="Cambria Math" w:cs="Times New Roman"/>
              </w:rPr>
              <m:t>int(1-2×</m:t>
            </m:r>
            <m:r>
              <m:rPr>
                <m:sty m:val="p"/>
              </m:rPr>
              <w:rPr>
                <w:rFonts w:ascii="Cambria Math" w:hAnsi="Cambria Math" w:cs="Times New Roman"/>
              </w:rPr>
              <m:t>max</m:t>
            </m:r>
            <m:r>
              <w:rPr>
                <w:rFonts w:ascii="Cambria Math" w:hAnsi="Cambria Math" w:cs="Times New Roman"/>
              </w:rPr>
              <m:t>)</m:t>
            </m:r>
          </m:num>
          <m:den>
            <m:r>
              <w:rPr>
                <w:rFonts w:ascii="Cambria Math" w:hAnsi="Cambria Math" w:cs="Times New Roman"/>
              </w:rPr>
              <m:t>max</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max×m</m:t>
            </m:r>
          </m:den>
        </m:f>
        <m:r>
          <w:rPr>
            <w:rFonts w:ascii="Cambria Math" w:hAnsi="Cambria Math" w:cs="Times New Roman"/>
          </w:rPr>
          <m:t>=0</m:t>
        </m:r>
      </m:oMath>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t>(9)</w:t>
      </w:r>
    </w:p>
    <w:p w14:paraId="771EE839" w14:textId="77777777" w:rsidR="00016355" w:rsidRPr="003736F5" w:rsidRDefault="00016355" w:rsidP="00F33A4C">
      <w:pPr>
        <w:rPr>
          <w:rFonts w:cs="Times New Roman"/>
        </w:rPr>
      </w:pPr>
      <w:r w:rsidRPr="003736F5">
        <w:rPr>
          <w:rFonts w:cs="Times New Roman"/>
          <w:noProof/>
        </w:rPr>
        <w:t xml:space="preserve">Given that maximal relief during 2005-2010 in England is equal to 0.5 </w:t>
      </w:r>
      <w:r w:rsidRPr="003736F5">
        <w:rPr>
          <w:rFonts w:cs="Times New Roman"/>
          <w:i/>
          <w:noProof/>
        </w:rPr>
        <w:t>(giving 1-2×max=0)</w:t>
      </w:r>
      <w:r w:rsidRPr="003736F5">
        <w:rPr>
          <w:rFonts w:cs="Times New Roman"/>
          <w:noProof/>
        </w:rPr>
        <w:t>, the equation becomes relatively straightforward to estimate:</w:t>
      </w:r>
    </w:p>
    <w:p w14:paraId="77BFC951" w14:textId="46C3330B" w:rsidR="00016355" w:rsidRPr="003736F5" w:rsidRDefault="001C1B91" w:rsidP="00F33A4C">
      <w:pPr>
        <w:pStyle w:val="EN"/>
        <w:rPr>
          <w:rFonts w:cs="Times New Roman"/>
        </w:rPr>
      </w:pPr>
      <m:oMath>
        <m:r>
          <w:rPr>
            <w:rFonts w:ascii="Cambria Math" w:hAnsi="Cambria Math" w:cs="Times New Roman"/>
          </w:rPr>
          <m:t xml:space="preserve">RV= </m:t>
        </m:r>
        <m:rad>
          <m:radPr>
            <m:degHide m:val="1"/>
            <m:ctrlPr>
              <w:rPr>
                <w:rFonts w:ascii="Cambria Math" w:hAnsi="Cambria Math" w:cs="Times New Roman"/>
                <w:i/>
              </w:rPr>
            </m:ctrlPr>
          </m:radPr>
          <m:deg/>
          <m:e>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0.5×m</m:t>
                </m:r>
              </m:den>
            </m:f>
          </m:e>
        </m:rad>
      </m:oMath>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t>(10)</w:t>
      </w:r>
    </w:p>
    <w:p w14:paraId="139B16F3" w14:textId="77777777" w:rsidR="00016355" w:rsidRPr="003736F5" w:rsidRDefault="00016355" w:rsidP="00F33A4C">
      <w:pPr>
        <w:rPr>
          <w:rFonts w:cs="Times New Roman"/>
        </w:rPr>
      </w:pPr>
      <w:r w:rsidRPr="003736F5">
        <w:rPr>
          <w:rFonts w:cs="Times New Roman"/>
        </w:rPr>
        <w:lastRenderedPageBreak/>
        <w:t>By combining the equations (11) and (13), we can now solve for SBRR in England between 2005 and 2010 from observable parameters:</w:t>
      </w:r>
    </w:p>
    <w:p w14:paraId="3FCC18C2" w14:textId="60B4F1A5" w:rsidR="00016355" w:rsidRPr="003736F5" w:rsidRDefault="001C1B91" w:rsidP="00F33A4C">
      <w:pPr>
        <w:pStyle w:val="EN"/>
        <w:rPr>
          <w:rFonts w:cs="Times New Roman"/>
        </w:rPr>
      </w:pPr>
      <m:oMath>
        <m:r>
          <w:rPr>
            <w:rFonts w:ascii="Cambria Math" w:hAnsi="Cambria Math" w:cs="Times New Roman"/>
          </w:rPr>
          <m:t>SBRR=1-</m:t>
        </m:r>
        <m:f>
          <m:fPr>
            <m:ctrlPr>
              <w:rPr>
                <w:rFonts w:ascii="Cambria Math" w:hAnsi="Cambria Math" w:cs="Times New Roman"/>
                <w:i/>
              </w:rPr>
            </m:ctrlPr>
          </m:fPr>
          <m:num>
            <m:r>
              <w:rPr>
                <w:rFonts w:ascii="Cambria Math" w:hAnsi="Cambria Math" w:cs="Times New Roman"/>
              </w:rPr>
              <m:t>BR</m:t>
            </m:r>
          </m:num>
          <m:den>
            <m:r>
              <w:rPr>
                <w:rFonts w:ascii="Cambria Math" w:hAnsi="Cambria Math" w:cs="Times New Roman"/>
              </w:rPr>
              <m:t>m×</m:t>
            </m:r>
            <m:rad>
              <m:radPr>
                <m:degHide m:val="1"/>
                <m:ctrlPr>
                  <w:rPr>
                    <w:rFonts w:ascii="Cambria Math" w:hAnsi="Cambria Math" w:cs="Times New Roman"/>
                    <w:i/>
                  </w:rPr>
                </m:ctrlPr>
              </m:radPr>
              <m:deg/>
              <m:e>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max×m</m:t>
                    </m:r>
                  </m:den>
                </m:f>
              </m:e>
            </m:rad>
          </m:den>
        </m:f>
      </m:oMath>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t>(11)</w:t>
      </w:r>
    </w:p>
    <w:p w14:paraId="13DE91F6" w14:textId="77777777" w:rsidR="00016355" w:rsidRPr="003736F5" w:rsidRDefault="00016355" w:rsidP="00F33A4C">
      <w:pPr>
        <w:rPr>
          <w:rFonts w:cs="Times New Roman"/>
        </w:rPr>
      </w:pPr>
      <w:r w:rsidRPr="003736F5">
        <w:rPr>
          <w:rFonts w:cs="Times New Roman"/>
        </w:rPr>
        <w:t xml:space="preserve">From 2010 the maximum relief was increased up to 1, so we now </w:t>
      </w:r>
      <w:proofErr w:type="gramStart"/>
      <w:r w:rsidRPr="003736F5">
        <w:rPr>
          <w:rFonts w:cs="Times New Roman"/>
        </w:rPr>
        <w:t>have to</w:t>
      </w:r>
      <w:proofErr w:type="gramEnd"/>
      <w:r w:rsidRPr="003736F5">
        <w:rPr>
          <w:rFonts w:cs="Times New Roman"/>
        </w:rPr>
        <w:t xml:space="preserve"> express another quadratic equation for this period:</w:t>
      </w:r>
    </w:p>
    <w:p w14:paraId="5C9248C8" w14:textId="340325C9" w:rsidR="00016355" w:rsidRPr="003736F5" w:rsidRDefault="00016355" w:rsidP="00F33A4C">
      <w:pPr>
        <w:pStyle w:val="EN"/>
        <w:rPr>
          <w:rFonts w:cs="Times New Roman"/>
        </w:rPr>
      </w:pPr>
      <w:r w:rsidRPr="003736F5">
        <w:rPr>
          <w:rFonts w:cs="Times New Roman"/>
        </w:rPr>
        <w:t xml:space="preserve"> </w:t>
      </w:r>
      <w:r w:rsidRPr="003736F5">
        <w:rPr>
          <w:rFonts w:cs="Times New Roman"/>
        </w:rPr>
        <w:br/>
      </w:r>
      <m:oMath>
        <m:r>
          <w:rPr>
            <w:rFonts w:ascii="Cambria Math" w:hAnsi="Cambria Math" w:cs="Times New Roman"/>
          </w:rPr>
          <m:t>0=</m:t>
        </m:r>
        <m:sSup>
          <m:sSupPr>
            <m:ctrlPr>
              <w:rPr>
                <w:rFonts w:ascii="Cambria Math" w:hAnsi="Cambria Math" w:cs="Times New Roman"/>
                <w:i/>
              </w:rPr>
            </m:ctrlPr>
          </m:sSupPr>
          <m:e>
            <m:r>
              <w:rPr>
                <w:rFonts w:ascii="Cambria Math" w:hAnsi="Cambria Math" w:cs="Times New Roman"/>
              </w:rPr>
              <m:t>RV</m:t>
            </m:r>
          </m:e>
          <m:sup>
            <m:r>
              <w:rPr>
                <w:rFonts w:ascii="Cambria Math" w:hAnsi="Cambria Math" w:cs="Times New Roman"/>
              </w:rPr>
              <m:t>2</m:t>
            </m:r>
          </m:sup>
        </m:sSup>
        <m:r>
          <w:rPr>
            <w:rFonts w:ascii="Cambria Math" w:hAnsi="Cambria Math" w:cs="Times New Roman"/>
          </w:rPr>
          <m:t>+RV×</m:t>
        </m:r>
        <m:f>
          <m:fPr>
            <m:ctrlPr>
              <w:rPr>
                <w:rFonts w:ascii="Cambria Math" w:hAnsi="Cambria Math" w:cs="Times New Roman"/>
                <w:i/>
              </w:rPr>
            </m:ctrlPr>
          </m:fPr>
          <m:num>
            <m:r>
              <w:rPr>
                <w:rFonts w:ascii="Cambria Math" w:hAnsi="Cambria Math" w:cs="Times New Roman"/>
              </w:rPr>
              <m:t>int</m:t>
            </m:r>
            <m:d>
              <m:dPr>
                <m:ctrlPr>
                  <w:rPr>
                    <w:rFonts w:ascii="Cambria Math" w:hAnsi="Cambria Math" w:cs="Times New Roman"/>
                    <w:i/>
                  </w:rPr>
                </m:ctrlPr>
              </m:dPr>
              <m:e>
                <m:r>
                  <w:rPr>
                    <w:rFonts w:ascii="Cambria Math" w:hAnsi="Cambria Math" w:cs="Times New Roman"/>
                  </w:rPr>
                  <m:t>1-2×</m:t>
                </m:r>
                <m:r>
                  <m:rPr>
                    <m:sty m:val="p"/>
                  </m:rPr>
                  <w:rPr>
                    <w:rFonts w:ascii="Cambria Math" w:hAnsi="Cambria Math" w:cs="Times New Roman"/>
                  </w:rPr>
                  <m:t>max</m:t>
                </m:r>
              </m:e>
            </m:d>
          </m:num>
          <m:den>
            <m:r>
              <w:rPr>
                <w:rFonts w:ascii="Cambria Math" w:hAnsi="Cambria Math" w:cs="Times New Roman"/>
              </w:rPr>
              <m:t>max</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max×m</m:t>
            </m:r>
          </m:den>
        </m:f>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RV</m:t>
            </m:r>
          </m:e>
          <m:sup>
            <m:r>
              <w:rPr>
                <w:rFonts w:ascii="Cambria Math" w:hAnsi="Cambria Math" w:cs="Times New Roman"/>
              </w:rPr>
              <m:t>2</m:t>
            </m:r>
          </m:sup>
        </m:sSup>
        <m:r>
          <w:rPr>
            <w:rFonts w:ascii="Cambria Math" w:hAnsi="Cambria Math" w:cs="Times New Roman"/>
          </w:rPr>
          <m:t>-RV×int-</m:t>
        </m:r>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m</m:t>
            </m:r>
          </m:den>
        </m:f>
      </m:oMath>
      <w:r w:rsidRPr="003736F5">
        <w:rPr>
          <w:rFonts w:eastAsia="MS Mincho" w:cs="Times New Roman"/>
        </w:rPr>
        <w:t xml:space="preserve"> </w:t>
      </w:r>
      <w:r w:rsidRPr="003736F5">
        <w:rPr>
          <w:rFonts w:eastAsia="MS Mincho" w:cs="Times New Roman"/>
        </w:rPr>
        <w:tab/>
      </w:r>
      <w:r w:rsidRPr="003736F5">
        <w:rPr>
          <w:rFonts w:eastAsia="MS Mincho" w:cs="Times New Roman"/>
        </w:rPr>
        <w:tab/>
        <w:t>(12)</w:t>
      </w:r>
    </w:p>
    <w:p w14:paraId="72FF0642" w14:textId="77777777" w:rsidR="00016355" w:rsidRPr="003736F5" w:rsidRDefault="00016355" w:rsidP="00F33A4C">
      <w:pPr>
        <w:rPr>
          <w:rFonts w:cs="Times New Roman"/>
        </w:rPr>
      </w:pPr>
      <w:r w:rsidRPr="003736F5">
        <w:rPr>
          <w:rFonts w:cs="Times New Roman"/>
        </w:rPr>
        <w:t>Combining the positive solution with the initial BR equation and solving for SBRR as a function of observable parameters, we get</w:t>
      </w:r>
    </w:p>
    <w:p w14:paraId="3C9FF781" w14:textId="459029B2" w:rsidR="00016355" w:rsidRPr="003736F5" w:rsidRDefault="001C1B91" w:rsidP="00F33A4C">
      <w:pPr>
        <w:pStyle w:val="EN"/>
        <w:rPr>
          <w:rFonts w:cs="Times New Roman"/>
        </w:rPr>
      </w:pPr>
      <m:oMath>
        <m:r>
          <w:rPr>
            <w:rFonts w:ascii="Cambria Math" w:hAnsi="Cambria Math" w:cs="Times New Roman"/>
          </w:rPr>
          <m:t xml:space="preserve">RV= </m:t>
        </m:r>
        <m:f>
          <m:fPr>
            <m:ctrlPr>
              <w:rPr>
                <w:rFonts w:ascii="Cambria Math" w:hAnsi="Cambria Math" w:cs="Times New Roman"/>
                <w:i/>
              </w:rPr>
            </m:ctrlPr>
          </m:fPr>
          <m:num>
            <m:r>
              <w:rPr>
                <w:rFonts w:ascii="Cambria Math" w:hAnsi="Cambria Math" w:cs="Times New Roman"/>
              </w:rPr>
              <m:t xml:space="preserve">int ∓ </m:t>
            </m:r>
            <m:rad>
              <m:radPr>
                <m:degHide m:val="1"/>
                <m:ctrlPr>
                  <w:rPr>
                    <w:rFonts w:ascii="Cambria Math" w:hAnsi="Cambria Math" w:cs="Times New Roman"/>
                    <w:i/>
                  </w:rPr>
                </m:ctrlPr>
              </m:radPr>
              <m:deg/>
              <m:e>
                <m:sSup>
                  <m:sSupPr>
                    <m:ctrlPr>
                      <w:rPr>
                        <w:rFonts w:ascii="Cambria Math" w:hAnsi="Cambria Math" w:cs="Times New Roman"/>
                        <w:i/>
                      </w:rPr>
                    </m:ctrlPr>
                  </m:sSupPr>
                  <m:e>
                    <m:r>
                      <w:rPr>
                        <w:rFonts w:ascii="Cambria Math" w:hAnsi="Cambria Math" w:cs="Times New Roman"/>
                      </w:rPr>
                      <m:t>int</m:t>
                    </m:r>
                  </m:e>
                  <m:sup>
                    <m:r>
                      <w:rPr>
                        <w:rFonts w:ascii="Cambria Math" w:hAnsi="Cambria Math" w:cs="Times New Roman"/>
                      </w:rPr>
                      <m:t>2</m:t>
                    </m:r>
                  </m:sup>
                </m:sSup>
                <m:r>
                  <w:rPr>
                    <w:rFonts w:ascii="Cambria Math" w:hAnsi="Cambria Math" w:cs="Times New Roman"/>
                  </w:rPr>
                  <m:t>+4×</m:t>
                </m:r>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m</m:t>
                    </m:r>
                  </m:den>
                </m:f>
              </m:e>
            </m:rad>
          </m:num>
          <m:den>
            <m:r>
              <w:rPr>
                <w:rFonts w:ascii="Cambria Math" w:hAnsi="Cambria Math" w:cs="Times New Roman"/>
              </w:rPr>
              <m:t>2</m:t>
            </m:r>
          </m:den>
        </m:f>
      </m:oMath>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t>(13)</w:t>
      </w:r>
    </w:p>
    <w:p w14:paraId="5FE6EE7F" w14:textId="01B5049A" w:rsidR="00016355" w:rsidRPr="003736F5" w:rsidRDefault="001C1B91" w:rsidP="00F33A4C">
      <w:pPr>
        <w:pStyle w:val="EN"/>
        <w:rPr>
          <w:rFonts w:cs="Times New Roman"/>
        </w:rPr>
      </w:pPr>
      <m:oMath>
        <m:r>
          <w:rPr>
            <w:rFonts w:ascii="Cambria Math" w:hAnsi="Cambria Math" w:cs="Times New Roman"/>
          </w:rPr>
          <m:t>SBRR=1-</m:t>
        </m:r>
        <m:f>
          <m:fPr>
            <m:ctrlPr>
              <w:rPr>
                <w:rFonts w:ascii="Cambria Math" w:hAnsi="Cambria Math" w:cs="Times New Roman"/>
                <w:i/>
              </w:rPr>
            </m:ctrlPr>
          </m:fPr>
          <m:num>
            <m:r>
              <w:rPr>
                <w:rFonts w:ascii="Cambria Math" w:hAnsi="Cambria Math" w:cs="Times New Roman"/>
              </w:rPr>
              <m:t>2×BR</m:t>
            </m:r>
          </m:num>
          <m:den>
            <m:r>
              <w:rPr>
                <w:rFonts w:ascii="Cambria Math" w:hAnsi="Cambria Math" w:cs="Times New Roman"/>
              </w:rPr>
              <m:t>m×</m:t>
            </m:r>
            <m:d>
              <m:dPr>
                <m:ctrlPr>
                  <w:rPr>
                    <w:rFonts w:ascii="Cambria Math" w:hAnsi="Cambria Math" w:cs="Times New Roman"/>
                    <w:i/>
                  </w:rPr>
                </m:ctrlPr>
              </m:dPr>
              <m:e>
                <m:r>
                  <w:rPr>
                    <w:rFonts w:ascii="Cambria Math" w:hAnsi="Cambria Math" w:cs="Times New Roman"/>
                  </w:rPr>
                  <m:t xml:space="preserve">int+ </m:t>
                </m:r>
                <m:rad>
                  <m:radPr>
                    <m:degHide m:val="1"/>
                    <m:ctrlPr>
                      <w:rPr>
                        <w:rFonts w:ascii="Cambria Math" w:hAnsi="Cambria Math" w:cs="Times New Roman"/>
                        <w:i/>
                      </w:rPr>
                    </m:ctrlPr>
                  </m:radPr>
                  <m:deg/>
                  <m:e>
                    <m:sSup>
                      <m:sSupPr>
                        <m:ctrlPr>
                          <w:rPr>
                            <w:rFonts w:ascii="Cambria Math" w:hAnsi="Cambria Math" w:cs="Times New Roman"/>
                            <w:i/>
                          </w:rPr>
                        </m:ctrlPr>
                      </m:sSupPr>
                      <m:e>
                        <m:r>
                          <w:rPr>
                            <w:rFonts w:ascii="Cambria Math" w:hAnsi="Cambria Math" w:cs="Times New Roman"/>
                          </w:rPr>
                          <m:t>int</m:t>
                        </m:r>
                      </m:e>
                      <m:sup>
                        <m:r>
                          <w:rPr>
                            <w:rFonts w:ascii="Cambria Math" w:hAnsi="Cambria Math" w:cs="Times New Roman"/>
                          </w:rPr>
                          <m:t>2</m:t>
                        </m:r>
                      </m:sup>
                    </m:sSup>
                    <m:r>
                      <w:rPr>
                        <w:rFonts w:ascii="Cambria Math" w:hAnsi="Cambria Math" w:cs="Times New Roman"/>
                      </w:rPr>
                      <m:t>+4×</m:t>
                    </m:r>
                    <m:f>
                      <m:fPr>
                        <m:ctrlPr>
                          <w:rPr>
                            <w:rFonts w:ascii="Cambria Math" w:hAnsi="Cambria Math" w:cs="Times New Roman"/>
                            <w:i/>
                          </w:rPr>
                        </m:ctrlPr>
                      </m:fPr>
                      <m:num>
                        <m:r>
                          <w:rPr>
                            <w:rFonts w:ascii="Cambria Math" w:hAnsi="Cambria Math" w:cs="Times New Roman"/>
                          </w:rPr>
                          <m:t>BR×int</m:t>
                        </m:r>
                      </m:num>
                      <m:den>
                        <m:r>
                          <w:rPr>
                            <w:rFonts w:ascii="Cambria Math" w:hAnsi="Cambria Math" w:cs="Times New Roman"/>
                          </w:rPr>
                          <m:t>m</m:t>
                        </m:r>
                      </m:den>
                    </m:f>
                  </m:e>
                </m:rad>
              </m:e>
            </m:d>
          </m:den>
        </m:f>
      </m:oMath>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r>
      <w:r w:rsidR="00016355" w:rsidRPr="003736F5">
        <w:rPr>
          <w:rFonts w:eastAsia="MS Mincho" w:cs="Times New Roman"/>
        </w:rPr>
        <w:tab/>
        <w:t>(14)</w:t>
      </w:r>
    </w:p>
    <w:p w14:paraId="395867C9" w14:textId="77777777" w:rsidR="00016355" w:rsidRPr="003736F5" w:rsidRDefault="00016355" w:rsidP="00F33A4C">
      <w:pPr>
        <w:rPr>
          <w:rFonts w:cs="Times New Roman"/>
          <w:i/>
        </w:rPr>
      </w:pPr>
      <w:bookmarkStart w:id="13" w:name="_Toc487243436"/>
    </w:p>
    <w:p w14:paraId="0F926835" w14:textId="77777777" w:rsidR="00016355" w:rsidRPr="003736F5" w:rsidRDefault="00016355" w:rsidP="00F33A4C">
      <w:pPr>
        <w:pStyle w:val="H3"/>
        <w:rPr>
          <w:rFonts w:cs="Times New Roman"/>
          <w:i/>
          <w:color w:val="auto"/>
          <w:sz w:val="24"/>
        </w:rPr>
      </w:pPr>
      <w:r w:rsidRPr="003736F5">
        <w:rPr>
          <w:rFonts w:cs="Times New Roman"/>
          <w:i/>
          <w:color w:val="auto"/>
          <w:sz w:val="24"/>
        </w:rPr>
        <w:t>SBRR in Scotland and Wales</w:t>
      </w:r>
      <w:bookmarkEnd w:id="13"/>
    </w:p>
    <w:p w14:paraId="7EB47917" w14:textId="1789CF0B" w:rsidR="00016355" w:rsidRPr="003736F5" w:rsidRDefault="00016355" w:rsidP="00F33A4C">
      <w:pPr>
        <w:rPr>
          <w:rFonts w:cs="Times New Roman"/>
        </w:rPr>
      </w:pPr>
      <w:r w:rsidRPr="003736F5">
        <w:rPr>
          <w:rFonts w:cs="Times New Roman"/>
        </w:rPr>
        <w:t>The SBRR for other years and</w:t>
      </w:r>
      <w:r w:rsidRPr="003736F5">
        <w:rPr>
          <w:rFonts w:cs="Times New Roman"/>
          <w:noProof/>
        </w:rPr>
        <w:t xml:space="preserve"> nations</w:t>
      </w:r>
      <w:r w:rsidRPr="003736F5">
        <w:rPr>
          <w:rFonts w:cs="Times New Roman"/>
        </w:rPr>
        <w:t xml:space="preserve"> of the UK are </w:t>
      </w:r>
      <w:r w:rsidRPr="003736F5">
        <w:rPr>
          <w:rFonts w:cs="Times New Roman"/>
          <w:noProof/>
        </w:rPr>
        <w:t>easier</w:t>
      </w:r>
      <w:r w:rsidRPr="003736F5">
        <w:rPr>
          <w:rFonts w:cs="Times New Roman"/>
        </w:rPr>
        <w:t xml:space="preserve"> to estimate because reliefs </w:t>
      </w:r>
      <w:r w:rsidRPr="003736F5">
        <w:rPr>
          <w:rFonts w:cs="Times New Roman"/>
          <w:noProof/>
        </w:rPr>
        <w:t>were fixed</w:t>
      </w:r>
      <w:r w:rsidRPr="003736F5">
        <w:rPr>
          <w:rFonts w:cs="Times New Roman"/>
        </w:rPr>
        <w:t xml:space="preserve"> for groups of rateable values. In Wales up to 2010 (after which it aligned with England</w:t>
      </w:r>
      <w:proofErr w:type="gramStart"/>
      <w:r w:rsidRPr="003736F5">
        <w:rPr>
          <w:rFonts w:cs="Times New Roman"/>
        </w:rPr>
        <w:t>),</w:t>
      </w:r>
      <w:proofErr w:type="gramEnd"/>
      <w:r w:rsidRPr="003736F5">
        <w:rPr>
          <w:rFonts w:cs="Times New Roman"/>
        </w:rPr>
        <w:t xml:space="preserve"> the reliefs were retrieved </w:t>
      </w:r>
      <w:r w:rsidRPr="003736F5">
        <w:rPr>
          <w:rFonts w:cs="Times New Roman"/>
          <w:noProof/>
        </w:rPr>
        <w:t>in a straight forward manner</w:t>
      </w:r>
      <w:r w:rsidRPr="003736F5">
        <w:rPr>
          <w:rFonts w:cs="Times New Roman"/>
        </w:rPr>
        <w:t xml:space="preserve"> as illustrated in </w:t>
      </w:r>
      <w:r w:rsidRPr="003736F5">
        <w:rPr>
          <w:rFonts w:cs="Times New Roman"/>
          <w:noProof/>
        </w:rPr>
        <w:t>Table</w:t>
      </w:r>
      <w:r w:rsidRPr="003736F5">
        <w:rPr>
          <w:rFonts w:cs="Times New Roman"/>
        </w:rPr>
        <w:t xml:space="preserve"> </w:t>
      </w:r>
      <w:r w:rsidR="006E197F" w:rsidRPr="003736F5">
        <w:rPr>
          <w:rFonts w:cs="Times New Roman"/>
        </w:rPr>
        <w:t>2</w:t>
      </w:r>
      <w:r w:rsidRPr="003736F5">
        <w:rPr>
          <w:rFonts w:cs="Times New Roman"/>
        </w:rPr>
        <w:t xml:space="preserve">. </w:t>
      </w:r>
      <w:proofErr w:type="gramStart"/>
      <w:r w:rsidRPr="003736F5">
        <w:rPr>
          <w:rFonts w:cs="Times New Roman"/>
          <w:noProof/>
        </w:rPr>
        <w:t>Whilst</w:t>
      </w:r>
      <w:r w:rsidRPr="003736F5">
        <w:rPr>
          <w:rFonts w:cs="Times New Roman"/>
        </w:rPr>
        <w:t>,</w:t>
      </w:r>
      <w:proofErr w:type="gramEnd"/>
      <w:r w:rsidRPr="003736F5">
        <w:rPr>
          <w:rFonts w:cs="Times New Roman"/>
        </w:rPr>
        <w:t xml:space="preserve"> </w:t>
      </w:r>
      <w:r w:rsidRPr="003736F5" w:rsidDel="006D765A">
        <w:rPr>
          <w:rFonts w:cs="Times New Roman"/>
        </w:rPr>
        <w:t>S</w:t>
      </w:r>
      <w:r w:rsidRPr="003736F5">
        <w:rPr>
          <w:rFonts w:cs="Times New Roman"/>
        </w:rPr>
        <w:t xml:space="preserve">cottish reliefs were much higher than in the rest of </w:t>
      </w:r>
      <w:r w:rsidRPr="003736F5">
        <w:rPr>
          <w:rFonts w:cs="Times New Roman"/>
          <w:noProof/>
        </w:rPr>
        <w:t>UK</w:t>
      </w:r>
      <w:r w:rsidRPr="003736F5">
        <w:rPr>
          <w:rFonts w:cs="Times New Roman"/>
        </w:rPr>
        <w:t xml:space="preserve"> and </w:t>
      </w:r>
      <w:r w:rsidRPr="003736F5">
        <w:rPr>
          <w:rFonts w:cs="Times New Roman"/>
          <w:noProof/>
        </w:rPr>
        <w:t>were introduced</w:t>
      </w:r>
      <w:r w:rsidRPr="003736F5">
        <w:rPr>
          <w:rFonts w:cs="Times New Roman"/>
        </w:rPr>
        <w:t xml:space="preserve"> in 2003 as provided in </w:t>
      </w:r>
      <w:r w:rsidRPr="003736F5">
        <w:rPr>
          <w:rFonts w:cs="Times New Roman"/>
          <w:noProof/>
        </w:rPr>
        <w:t>Table</w:t>
      </w:r>
      <w:r w:rsidRPr="003736F5">
        <w:rPr>
          <w:rFonts w:cs="Times New Roman"/>
        </w:rPr>
        <w:t xml:space="preserve"> </w:t>
      </w:r>
      <w:r w:rsidR="006E197F" w:rsidRPr="003736F5">
        <w:rPr>
          <w:rFonts w:cs="Times New Roman"/>
        </w:rPr>
        <w:t>3</w:t>
      </w:r>
      <w:r w:rsidRPr="003736F5">
        <w:rPr>
          <w:rFonts w:cs="Times New Roman"/>
        </w:rPr>
        <w:t>.</w:t>
      </w:r>
    </w:p>
    <w:tbl>
      <w:tblPr>
        <w:tblW w:w="0" w:type="auto"/>
        <w:tblLook w:val="04A0" w:firstRow="1" w:lastRow="0" w:firstColumn="1" w:lastColumn="0" w:noHBand="0" w:noVBand="1"/>
      </w:tblPr>
      <w:tblGrid>
        <w:gridCol w:w="7854"/>
        <w:gridCol w:w="605"/>
      </w:tblGrid>
      <w:tr w:rsidR="00016355" w:rsidRPr="003736F5" w14:paraId="5A346A03" w14:textId="77777777" w:rsidTr="0032036D">
        <w:trPr>
          <w:gridAfter w:val="1"/>
          <w:wAfter w:w="605" w:type="dxa"/>
          <w:trHeight w:val="20"/>
        </w:trPr>
        <w:tc>
          <w:tcPr>
            <w:tcW w:w="7854" w:type="dxa"/>
            <w:shd w:val="clear" w:color="auto" w:fill="auto"/>
          </w:tcPr>
          <w:p w14:paraId="46F904A8" w14:textId="3EE75DB6" w:rsidR="00016355" w:rsidRPr="003736F5" w:rsidRDefault="00016355" w:rsidP="00BC5C25">
            <w:pPr>
              <w:pStyle w:val="CPB"/>
              <w:spacing w:before="0" w:after="0"/>
              <w:rPr>
                <w:rFonts w:cs="Times New Roman"/>
                <w:b/>
                <w:color w:val="auto"/>
                <w:sz w:val="24"/>
              </w:rPr>
            </w:pPr>
            <w:bookmarkStart w:id="14" w:name="_Ref470206610"/>
            <w:r w:rsidRPr="003736F5">
              <w:rPr>
                <w:rFonts w:cs="Times New Roman"/>
                <w:b/>
                <w:color w:val="auto"/>
                <w:sz w:val="24"/>
              </w:rPr>
              <w:lastRenderedPageBreak/>
              <w:t xml:space="preserve">Table </w:t>
            </w:r>
            <w:bookmarkEnd w:id="14"/>
            <w:r w:rsidR="006E197F" w:rsidRPr="003736F5">
              <w:rPr>
                <w:rFonts w:cs="Times New Roman"/>
                <w:b/>
                <w:color w:val="auto"/>
                <w:sz w:val="24"/>
              </w:rPr>
              <w:t>2</w:t>
            </w:r>
            <w:r w:rsidRPr="003736F5">
              <w:rPr>
                <w:rFonts w:cs="Times New Roman"/>
                <w:b/>
                <w:color w:val="auto"/>
                <w:sz w:val="24"/>
              </w:rPr>
              <w:t>: SBRR in Wales before 2010</w:t>
            </w:r>
          </w:p>
        </w:tc>
      </w:tr>
      <w:tr w:rsidR="00016355" w:rsidRPr="003736F5" w14:paraId="240A6B94" w14:textId="77777777" w:rsidTr="0032036D">
        <w:trPr>
          <w:trHeight w:val="20"/>
        </w:trPr>
        <w:tc>
          <w:tcPr>
            <w:tcW w:w="8459" w:type="dxa"/>
            <w:gridSpan w:val="2"/>
            <w:shd w:val="clear" w:color="auto" w:fill="auto"/>
          </w:tcPr>
          <w:tbl>
            <w:tblPr>
              <w:tblpPr w:leftFromText="180" w:rightFromText="180" w:vertAnchor="text" w:horzAnchor="margin" w:tblpY="-2609"/>
              <w:tblOverlap w:val="never"/>
              <w:tblW w:w="0" w:type="auto"/>
              <w:tblLook w:val="04A0" w:firstRow="1" w:lastRow="0" w:firstColumn="1" w:lastColumn="0" w:noHBand="0" w:noVBand="1"/>
            </w:tblPr>
            <w:tblGrid>
              <w:gridCol w:w="2268"/>
              <w:gridCol w:w="1854"/>
              <w:gridCol w:w="2167"/>
            </w:tblGrid>
            <w:tr w:rsidR="00C116FA" w:rsidRPr="003736F5" w14:paraId="6CEC5C55" w14:textId="77777777" w:rsidTr="00BC5C25">
              <w:trPr>
                <w:trHeight w:val="383"/>
              </w:trPr>
              <w:tc>
                <w:tcPr>
                  <w:tcW w:w="2268" w:type="dxa"/>
                  <w:tcBorders>
                    <w:bottom w:val="single" w:sz="4" w:space="0" w:color="7F7F7F"/>
                  </w:tcBorders>
                  <w:shd w:val="clear" w:color="auto" w:fill="auto"/>
                  <w:vAlign w:val="center"/>
                </w:tcPr>
                <w:p w14:paraId="27D3CBC9" w14:textId="77777777" w:rsidR="00016355" w:rsidRPr="003736F5" w:rsidRDefault="00016355" w:rsidP="00BC5C25">
                  <w:pPr>
                    <w:spacing w:line="240" w:lineRule="auto"/>
                    <w:rPr>
                      <w:rFonts w:cs="Times New Roman"/>
                      <w:b/>
                      <w:bCs/>
                    </w:rPr>
                  </w:pPr>
                  <w:r w:rsidRPr="003736F5">
                    <w:rPr>
                      <w:rFonts w:cs="Times New Roman"/>
                      <w:b/>
                      <w:bCs/>
                    </w:rPr>
                    <w:t>Ratable Value (RV)</w:t>
                  </w:r>
                </w:p>
              </w:tc>
              <w:tc>
                <w:tcPr>
                  <w:tcW w:w="4021" w:type="dxa"/>
                  <w:gridSpan w:val="2"/>
                  <w:tcBorders>
                    <w:bottom w:val="single" w:sz="4" w:space="0" w:color="7F7F7F"/>
                  </w:tcBorders>
                  <w:shd w:val="clear" w:color="auto" w:fill="auto"/>
                  <w:vAlign w:val="center"/>
                </w:tcPr>
                <w:p w14:paraId="033D9792" w14:textId="77777777" w:rsidR="00016355" w:rsidRPr="003736F5" w:rsidRDefault="00016355" w:rsidP="00BC5C25">
                  <w:pPr>
                    <w:spacing w:line="240" w:lineRule="auto"/>
                    <w:jc w:val="center"/>
                    <w:rPr>
                      <w:rFonts w:cs="Times New Roman"/>
                      <w:b/>
                      <w:bCs/>
                    </w:rPr>
                  </w:pPr>
                  <w:r w:rsidRPr="003736F5">
                    <w:rPr>
                      <w:rFonts w:cs="Times New Roman"/>
                      <w:b/>
                      <w:bCs/>
                    </w:rPr>
                    <w:t>Year</w:t>
                  </w:r>
                </w:p>
              </w:tc>
            </w:tr>
            <w:tr w:rsidR="00C116FA" w:rsidRPr="003736F5" w14:paraId="4C997D53" w14:textId="77777777" w:rsidTr="00BC5C25">
              <w:trPr>
                <w:trHeight w:val="383"/>
              </w:trPr>
              <w:tc>
                <w:tcPr>
                  <w:tcW w:w="2268" w:type="dxa"/>
                  <w:tcBorders>
                    <w:top w:val="single" w:sz="4" w:space="0" w:color="7F7F7F"/>
                    <w:bottom w:val="single" w:sz="4" w:space="0" w:color="auto"/>
                  </w:tcBorders>
                  <w:shd w:val="clear" w:color="auto" w:fill="auto"/>
                  <w:vAlign w:val="center"/>
                </w:tcPr>
                <w:p w14:paraId="429F0DBC" w14:textId="77777777" w:rsidR="00016355" w:rsidRPr="003736F5" w:rsidRDefault="00016355" w:rsidP="00BC5C25">
                  <w:pPr>
                    <w:spacing w:line="240" w:lineRule="auto"/>
                    <w:rPr>
                      <w:rFonts w:cs="Times New Roman"/>
                      <w:b/>
                      <w:bCs/>
                      <w:i/>
                    </w:rPr>
                  </w:pPr>
                </w:p>
              </w:tc>
              <w:tc>
                <w:tcPr>
                  <w:tcW w:w="1854" w:type="dxa"/>
                  <w:tcBorders>
                    <w:top w:val="single" w:sz="4" w:space="0" w:color="7F7F7F"/>
                    <w:bottom w:val="single" w:sz="4" w:space="0" w:color="auto"/>
                  </w:tcBorders>
                  <w:shd w:val="clear" w:color="auto" w:fill="auto"/>
                  <w:vAlign w:val="center"/>
                </w:tcPr>
                <w:p w14:paraId="6ADEC295" w14:textId="77777777" w:rsidR="00016355" w:rsidRPr="003736F5" w:rsidRDefault="00016355" w:rsidP="00BC5C25">
                  <w:pPr>
                    <w:spacing w:line="240" w:lineRule="auto"/>
                    <w:jc w:val="center"/>
                    <w:rPr>
                      <w:rFonts w:cs="Times New Roman"/>
                      <w:b/>
                    </w:rPr>
                  </w:pPr>
                  <w:r w:rsidRPr="003736F5">
                    <w:rPr>
                      <w:rFonts w:cs="Times New Roman"/>
                      <w:b/>
                    </w:rPr>
                    <w:t>2007</w:t>
                  </w:r>
                </w:p>
              </w:tc>
              <w:tc>
                <w:tcPr>
                  <w:tcW w:w="2167" w:type="dxa"/>
                  <w:tcBorders>
                    <w:top w:val="single" w:sz="4" w:space="0" w:color="7F7F7F"/>
                    <w:bottom w:val="single" w:sz="4" w:space="0" w:color="auto"/>
                  </w:tcBorders>
                  <w:shd w:val="clear" w:color="auto" w:fill="auto"/>
                  <w:vAlign w:val="center"/>
                </w:tcPr>
                <w:p w14:paraId="7EDBAD6F" w14:textId="77777777" w:rsidR="00016355" w:rsidRPr="003736F5" w:rsidRDefault="00016355" w:rsidP="00BC5C25">
                  <w:pPr>
                    <w:spacing w:line="240" w:lineRule="auto"/>
                    <w:jc w:val="center"/>
                    <w:rPr>
                      <w:rFonts w:cs="Times New Roman"/>
                      <w:b/>
                    </w:rPr>
                  </w:pPr>
                  <w:r w:rsidRPr="003736F5">
                    <w:rPr>
                      <w:rFonts w:cs="Times New Roman"/>
                      <w:b/>
                    </w:rPr>
                    <w:t>2008-2009</w:t>
                  </w:r>
                </w:p>
              </w:tc>
            </w:tr>
            <w:tr w:rsidR="00C116FA" w:rsidRPr="003736F5" w14:paraId="6915FA0B" w14:textId="77777777" w:rsidTr="00BC5C25">
              <w:trPr>
                <w:trHeight w:val="326"/>
              </w:trPr>
              <w:tc>
                <w:tcPr>
                  <w:tcW w:w="2268" w:type="dxa"/>
                  <w:tcBorders>
                    <w:top w:val="single" w:sz="4" w:space="0" w:color="auto"/>
                  </w:tcBorders>
                  <w:shd w:val="clear" w:color="auto" w:fill="auto"/>
                  <w:vAlign w:val="center"/>
                </w:tcPr>
                <w:p w14:paraId="3769B8B0" w14:textId="77777777" w:rsidR="00016355" w:rsidRPr="003736F5" w:rsidRDefault="00016355" w:rsidP="00BC5C25">
                  <w:pPr>
                    <w:spacing w:line="240" w:lineRule="auto"/>
                    <w:jc w:val="center"/>
                    <w:rPr>
                      <w:rFonts w:cs="Times New Roman"/>
                      <w:b/>
                      <w:bCs/>
                      <w:i/>
                    </w:rPr>
                  </w:pPr>
                  <w:r w:rsidRPr="003736F5">
                    <w:rPr>
                      <w:rFonts w:cs="Times New Roman"/>
                      <w:b/>
                      <w:bCs/>
                      <w:i/>
                    </w:rPr>
                    <w:t>RV≤2,000</w:t>
                  </w:r>
                </w:p>
              </w:tc>
              <w:tc>
                <w:tcPr>
                  <w:tcW w:w="1854" w:type="dxa"/>
                  <w:tcBorders>
                    <w:top w:val="single" w:sz="4" w:space="0" w:color="auto"/>
                  </w:tcBorders>
                  <w:shd w:val="clear" w:color="auto" w:fill="D9D9D9"/>
                  <w:vAlign w:val="center"/>
                </w:tcPr>
                <w:p w14:paraId="6DDF021D" w14:textId="77777777" w:rsidR="00016355" w:rsidRPr="003736F5" w:rsidRDefault="00016355" w:rsidP="00BC5C25">
                  <w:pPr>
                    <w:spacing w:line="240" w:lineRule="auto"/>
                    <w:jc w:val="center"/>
                    <w:rPr>
                      <w:rFonts w:cs="Times New Roman"/>
                    </w:rPr>
                  </w:pPr>
                  <w:r w:rsidRPr="003736F5">
                    <w:rPr>
                      <w:rFonts w:cs="Times New Roman"/>
                    </w:rPr>
                    <w:t>0.5</w:t>
                  </w:r>
                </w:p>
              </w:tc>
              <w:tc>
                <w:tcPr>
                  <w:tcW w:w="2167" w:type="dxa"/>
                  <w:tcBorders>
                    <w:top w:val="single" w:sz="4" w:space="0" w:color="auto"/>
                  </w:tcBorders>
                  <w:shd w:val="clear" w:color="auto" w:fill="D9D9D9"/>
                  <w:vAlign w:val="center"/>
                </w:tcPr>
                <w:p w14:paraId="1F610BFF" w14:textId="77777777" w:rsidR="00016355" w:rsidRPr="003736F5" w:rsidRDefault="00016355" w:rsidP="00BC5C25">
                  <w:pPr>
                    <w:spacing w:line="240" w:lineRule="auto"/>
                    <w:jc w:val="center"/>
                    <w:rPr>
                      <w:rFonts w:cs="Times New Roman"/>
                    </w:rPr>
                  </w:pPr>
                  <w:r w:rsidRPr="003736F5">
                    <w:rPr>
                      <w:rFonts w:cs="Times New Roman"/>
                    </w:rPr>
                    <w:t>0.5</w:t>
                  </w:r>
                </w:p>
              </w:tc>
            </w:tr>
            <w:tr w:rsidR="00C116FA" w:rsidRPr="003736F5" w14:paraId="00206BC5" w14:textId="77777777" w:rsidTr="00BC5C25">
              <w:trPr>
                <w:trHeight w:val="326"/>
              </w:trPr>
              <w:tc>
                <w:tcPr>
                  <w:tcW w:w="2268" w:type="dxa"/>
                  <w:tcBorders>
                    <w:top w:val="single" w:sz="4" w:space="0" w:color="7F7F7F"/>
                    <w:bottom w:val="single" w:sz="4" w:space="0" w:color="7F7F7F"/>
                  </w:tcBorders>
                  <w:shd w:val="clear" w:color="auto" w:fill="auto"/>
                  <w:vAlign w:val="center"/>
                </w:tcPr>
                <w:p w14:paraId="0B2671FC" w14:textId="77777777" w:rsidR="00016355" w:rsidRPr="003736F5" w:rsidRDefault="00016355" w:rsidP="00BC5C25">
                  <w:pPr>
                    <w:spacing w:line="240" w:lineRule="auto"/>
                    <w:jc w:val="center"/>
                    <w:rPr>
                      <w:rFonts w:cs="Times New Roman"/>
                      <w:b/>
                      <w:bCs/>
                      <w:i/>
                    </w:rPr>
                  </w:pPr>
                  <w:r w:rsidRPr="003736F5">
                    <w:rPr>
                      <w:rFonts w:cs="Times New Roman"/>
                      <w:b/>
                      <w:bCs/>
                      <w:i/>
                    </w:rPr>
                    <w:t>RV≤5,000</w:t>
                  </w:r>
                </w:p>
              </w:tc>
              <w:tc>
                <w:tcPr>
                  <w:tcW w:w="1854" w:type="dxa"/>
                  <w:tcBorders>
                    <w:top w:val="single" w:sz="4" w:space="0" w:color="7F7F7F"/>
                    <w:bottom w:val="single" w:sz="4" w:space="0" w:color="7F7F7F"/>
                  </w:tcBorders>
                  <w:shd w:val="clear" w:color="auto" w:fill="FFFFFF"/>
                  <w:vAlign w:val="center"/>
                </w:tcPr>
                <w:p w14:paraId="5CEF78EF" w14:textId="77777777" w:rsidR="00016355" w:rsidRPr="003736F5" w:rsidRDefault="00016355" w:rsidP="00BC5C25">
                  <w:pPr>
                    <w:spacing w:line="240" w:lineRule="auto"/>
                    <w:jc w:val="center"/>
                    <w:rPr>
                      <w:rFonts w:cs="Times New Roman"/>
                    </w:rPr>
                  </w:pPr>
                  <w:r w:rsidRPr="003736F5">
                    <w:rPr>
                      <w:rFonts w:cs="Times New Roman"/>
                    </w:rPr>
                    <w:t>0.25</w:t>
                  </w:r>
                </w:p>
              </w:tc>
              <w:tc>
                <w:tcPr>
                  <w:tcW w:w="2167" w:type="dxa"/>
                  <w:vMerge w:val="restart"/>
                  <w:tcBorders>
                    <w:top w:val="single" w:sz="4" w:space="0" w:color="7F7F7F"/>
                    <w:bottom w:val="single" w:sz="4" w:space="0" w:color="7F7F7F"/>
                  </w:tcBorders>
                  <w:shd w:val="clear" w:color="auto" w:fill="FFFFFF"/>
                  <w:vAlign w:val="center"/>
                </w:tcPr>
                <w:p w14:paraId="69FF3EFD" w14:textId="77777777" w:rsidR="00016355" w:rsidRPr="003736F5" w:rsidRDefault="00016355" w:rsidP="00BC5C25">
                  <w:pPr>
                    <w:spacing w:line="240" w:lineRule="auto"/>
                    <w:jc w:val="center"/>
                    <w:rPr>
                      <w:rFonts w:cs="Times New Roman"/>
                    </w:rPr>
                  </w:pPr>
                  <w:r w:rsidRPr="003736F5">
                    <w:rPr>
                      <w:rFonts w:cs="Times New Roman"/>
                    </w:rPr>
                    <w:t>0.25</w:t>
                  </w:r>
                </w:p>
              </w:tc>
            </w:tr>
            <w:tr w:rsidR="00C116FA" w:rsidRPr="003736F5" w14:paraId="13C57D04" w14:textId="77777777" w:rsidTr="00BC5C25">
              <w:trPr>
                <w:trHeight w:val="68"/>
              </w:trPr>
              <w:tc>
                <w:tcPr>
                  <w:tcW w:w="2268" w:type="dxa"/>
                  <w:shd w:val="clear" w:color="auto" w:fill="auto"/>
                  <w:vAlign w:val="center"/>
                </w:tcPr>
                <w:p w14:paraId="76D321B4" w14:textId="77777777" w:rsidR="00016355" w:rsidRPr="003736F5" w:rsidRDefault="00016355" w:rsidP="00BC5C25">
                  <w:pPr>
                    <w:spacing w:line="240" w:lineRule="auto"/>
                    <w:jc w:val="center"/>
                    <w:rPr>
                      <w:rFonts w:cs="Times New Roman"/>
                      <w:b/>
                      <w:bCs/>
                      <w:i/>
                    </w:rPr>
                  </w:pPr>
                  <w:r w:rsidRPr="003736F5">
                    <w:rPr>
                      <w:rFonts w:cs="Times New Roman"/>
                      <w:b/>
                      <w:bCs/>
                      <w:i/>
                    </w:rPr>
                    <w:t>RV≤6,500</w:t>
                  </w:r>
                </w:p>
              </w:tc>
              <w:tc>
                <w:tcPr>
                  <w:tcW w:w="1854" w:type="dxa"/>
                  <w:vMerge w:val="restart"/>
                  <w:tcBorders>
                    <w:bottom w:val="single" w:sz="4" w:space="0" w:color="auto"/>
                  </w:tcBorders>
                  <w:shd w:val="clear" w:color="auto" w:fill="D9D9D9"/>
                  <w:vAlign w:val="center"/>
                </w:tcPr>
                <w:p w14:paraId="1CC0FEFD" w14:textId="77777777" w:rsidR="00016355" w:rsidRPr="003736F5" w:rsidRDefault="00016355" w:rsidP="00BC5C25">
                  <w:pPr>
                    <w:spacing w:line="240" w:lineRule="auto"/>
                    <w:jc w:val="center"/>
                    <w:rPr>
                      <w:rFonts w:cs="Times New Roman"/>
                    </w:rPr>
                  </w:pPr>
                  <w:r w:rsidRPr="003736F5">
                    <w:rPr>
                      <w:rFonts w:cs="Times New Roman"/>
                    </w:rPr>
                    <w:t>0</w:t>
                  </w:r>
                </w:p>
              </w:tc>
              <w:tc>
                <w:tcPr>
                  <w:tcW w:w="2167" w:type="dxa"/>
                  <w:vMerge/>
                  <w:shd w:val="clear" w:color="auto" w:fill="D9D9D9"/>
                  <w:vAlign w:val="center"/>
                </w:tcPr>
                <w:p w14:paraId="3302F6DE" w14:textId="77777777" w:rsidR="00016355" w:rsidRPr="003736F5" w:rsidRDefault="00016355" w:rsidP="00BC5C25">
                  <w:pPr>
                    <w:spacing w:line="240" w:lineRule="auto"/>
                    <w:jc w:val="center"/>
                    <w:rPr>
                      <w:rFonts w:cs="Times New Roman"/>
                    </w:rPr>
                  </w:pPr>
                </w:p>
              </w:tc>
            </w:tr>
            <w:tr w:rsidR="00C116FA" w:rsidRPr="003736F5" w14:paraId="6E2B1F67" w14:textId="77777777" w:rsidTr="00BC5C25">
              <w:trPr>
                <w:trHeight w:val="326"/>
              </w:trPr>
              <w:tc>
                <w:tcPr>
                  <w:tcW w:w="2268" w:type="dxa"/>
                  <w:tcBorders>
                    <w:top w:val="single" w:sz="4" w:space="0" w:color="7F7F7F"/>
                    <w:bottom w:val="single" w:sz="4" w:space="0" w:color="auto"/>
                  </w:tcBorders>
                  <w:shd w:val="clear" w:color="auto" w:fill="auto"/>
                  <w:vAlign w:val="center"/>
                </w:tcPr>
                <w:p w14:paraId="1A59B82E" w14:textId="77777777" w:rsidR="00016355" w:rsidRPr="003736F5" w:rsidRDefault="00016355" w:rsidP="00BC5C25">
                  <w:pPr>
                    <w:spacing w:line="240" w:lineRule="auto"/>
                    <w:jc w:val="center"/>
                    <w:rPr>
                      <w:rFonts w:cs="Times New Roman"/>
                      <w:b/>
                      <w:bCs/>
                      <w:i/>
                    </w:rPr>
                  </w:pPr>
                  <w:r w:rsidRPr="003736F5">
                    <w:rPr>
                      <w:rFonts w:cs="Times New Roman"/>
                      <w:b/>
                      <w:bCs/>
                      <w:i/>
                    </w:rPr>
                    <w:t>RV&gt;5,000</w:t>
                  </w:r>
                </w:p>
              </w:tc>
              <w:tc>
                <w:tcPr>
                  <w:tcW w:w="1854" w:type="dxa"/>
                  <w:vMerge/>
                  <w:tcBorders>
                    <w:top w:val="single" w:sz="4" w:space="0" w:color="auto"/>
                    <w:bottom w:val="single" w:sz="4" w:space="0" w:color="auto"/>
                  </w:tcBorders>
                  <w:shd w:val="clear" w:color="auto" w:fill="D9D9D9"/>
                  <w:vAlign w:val="center"/>
                </w:tcPr>
                <w:p w14:paraId="7EFB7940" w14:textId="77777777" w:rsidR="00016355" w:rsidRPr="003736F5" w:rsidRDefault="00016355" w:rsidP="00BC5C25">
                  <w:pPr>
                    <w:spacing w:line="240" w:lineRule="auto"/>
                    <w:jc w:val="center"/>
                    <w:rPr>
                      <w:rFonts w:cs="Times New Roman"/>
                    </w:rPr>
                  </w:pPr>
                </w:p>
              </w:tc>
              <w:tc>
                <w:tcPr>
                  <w:tcW w:w="2167" w:type="dxa"/>
                  <w:tcBorders>
                    <w:top w:val="single" w:sz="4" w:space="0" w:color="7F7F7F"/>
                    <w:bottom w:val="single" w:sz="4" w:space="0" w:color="auto"/>
                  </w:tcBorders>
                  <w:shd w:val="clear" w:color="auto" w:fill="D9D9D9"/>
                  <w:vAlign w:val="center"/>
                </w:tcPr>
                <w:p w14:paraId="10678377" w14:textId="77777777" w:rsidR="00016355" w:rsidRPr="003736F5" w:rsidRDefault="00016355" w:rsidP="00BC5C25">
                  <w:pPr>
                    <w:keepNext/>
                    <w:spacing w:line="240" w:lineRule="auto"/>
                    <w:jc w:val="center"/>
                    <w:rPr>
                      <w:rFonts w:cs="Times New Roman"/>
                    </w:rPr>
                  </w:pPr>
                  <w:r w:rsidRPr="003736F5">
                    <w:rPr>
                      <w:rFonts w:cs="Times New Roman"/>
                    </w:rPr>
                    <w:t>0</w:t>
                  </w:r>
                </w:p>
              </w:tc>
            </w:tr>
          </w:tbl>
          <w:p w14:paraId="0760B4F2" w14:textId="77777777" w:rsidR="00016355" w:rsidRPr="003736F5" w:rsidRDefault="00016355" w:rsidP="00F33A4C">
            <w:pPr>
              <w:rPr>
                <w:rFonts w:cs="Times New Roman"/>
              </w:rPr>
            </w:pPr>
          </w:p>
        </w:tc>
      </w:tr>
      <w:tr w:rsidR="00016355" w:rsidRPr="003736F5" w14:paraId="4DC3DF0A" w14:textId="77777777" w:rsidTr="0032036D">
        <w:trPr>
          <w:trHeight w:val="20"/>
        </w:trPr>
        <w:tc>
          <w:tcPr>
            <w:tcW w:w="8459" w:type="dxa"/>
            <w:gridSpan w:val="2"/>
            <w:shd w:val="clear" w:color="auto" w:fill="auto"/>
          </w:tcPr>
          <w:p w14:paraId="3ECDC111" w14:textId="466E04CB" w:rsidR="00016355" w:rsidRPr="003736F5" w:rsidRDefault="00016355" w:rsidP="00BC5C25">
            <w:pPr>
              <w:pStyle w:val="CP"/>
              <w:spacing w:before="0" w:after="0"/>
              <w:rPr>
                <w:rFonts w:cs="Times New Roman"/>
                <w:i/>
                <w:color w:val="auto"/>
              </w:rPr>
            </w:pPr>
            <w:r w:rsidRPr="003736F5">
              <w:rPr>
                <w:rFonts w:cs="Times New Roman"/>
                <w:i/>
                <w:color w:val="auto"/>
              </w:rPr>
              <w:t xml:space="preserve">Values are in </w:t>
            </w:r>
            <w:r w:rsidRPr="003736F5">
              <w:rPr>
                <w:rFonts w:cs="Times New Roman"/>
                <w:i/>
                <w:noProof/>
                <w:color w:val="auto"/>
              </w:rPr>
              <w:t>numeric</w:t>
            </w:r>
            <w:r w:rsidRPr="003736F5">
              <w:rPr>
                <w:rFonts w:cs="Times New Roman"/>
                <w:i/>
                <w:color w:val="auto"/>
              </w:rPr>
              <w:t xml:space="preserve"> expression, </w:t>
            </w:r>
            <w:r w:rsidR="00731E78" w:rsidRPr="003736F5">
              <w:rPr>
                <w:rFonts w:cs="Times New Roman"/>
                <w:i/>
                <w:color w:val="auto"/>
              </w:rPr>
              <w:t>e.g.,</w:t>
            </w:r>
            <w:r w:rsidRPr="003736F5">
              <w:rPr>
                <w:rFonts w:cs="Times New Roman"/>
                <w:i/>
                <w:color w:val="auto"/>
              </w:rPr>
              <w:t xml:space="preserve"> 0.5 corresponds to 50%. </w:t>
            </w:r>
          </w:p>
          <w:p w14:paraId="76747AC5" w14:textId="77777777" w:rsidR="00016355" w:rsidRPr="003736F5" w:rsidRDefault="00016355" w:rsidP="00BC5C25">
            <w:pPr>
              <w:pStyle w:val="CP"/>
              <w:spacing w:before="0" w:after="0"/>
              <w:rPr>
                <w:rFonts w:cs="Times New Roman"/>
                <w:i/>
                <w:color w:val="auto"/>
              </w:rPr>
            </w:pPr>
            <w:r w:rsidRPr="003736F5">
              <w:rPr>
                <w:rFonts w:cs="Times New Roman"/>
                <w:i/>
                <w:color w:val="auto"/>
              </w:rPr>
              <w:t>Source: Non-Domestic Rating (Small Business Relief) (Wales) Orders.</w:t>
            </w:r>
          </w:p>
          <w:p w14:paraId="6D96D059" w14:textId="77777777" w:rsidR="00BE50BE" w:rsidRPr="003736F5" w:rsidRDefault="00BE50BE" w:rsidP="00BC5C25">
            <w:pPr>
              <w:pStyle w:val="CP"/>
              <w:spacing w:before="0" w:after="0"/>
              <w:rPr>
                <w:rFonts w:cs="Times New Roman"/>
                <w:color w:val="auto"/>
              </w:rPr>
            </w:pPr>
          </w:p>
        </w:tc>
      </w:tr>
    </w:tbl>
    <w:p w14:paraId="6E507472" w14:textId="77777777" w:rsidR="00B5197C" w:rsidRPr="003736F5" w:rsidRDefault="00B5197C">
      <w:pPr>
        <w:rPr>
          <w:rFonts w:cs="Times New Roman"/>
        </w:rPr>
      </w:pPr>
      <w:r w:rsidRPr="003736F5">
        <w:rPr>
          <w:rFonts w:cs="Times New Roman"/>
        </w:rPr>
        <w:br w:type="page"/>
      </w:r>
    </w:p>
    <w:tbl>
      <w:tblPr>
        <w:tblW w:w="0" w:type="auto"/>
        <w:tblBorders>
          <w:bottom w:val="single" w:sz="4" w:space="0" w:color="auto"/>
        </w:tblBorders>
        <w:tblLook w:val="04A0" w:firstRow="1" w:lastRow="0" w:firstColumn="1" w:lastColumn="0" w:noHBand="0" w:noVBand="1"/>
      </w:tblPr>
      <w:tblGrid>
        <w:gridCol w:w="8459"/>
      </w:tblGrid>
      <w:tr w:rsidR="00016355" w:rsidRPr="003736F5" w14:paraId="7A7DDA09" w14:textId="77777777" w:rsidTr="00B5197C">
        <w:trPr>
          <w:cantSplit/>
          <w:tblHeader/>
        </w:trPr>
        <w:tc>
          <w:tcPr>
            <w:tcW w:w="8675" w:type="dxa"/>
            <w:tcBorders>
              <w:bottom w:val="nil"/>
            </w:tcBorders>
            <w:shd w:val="clear" w:color="auto" w:fill="auto"/>
          </w:tcPr>
          <w:p w14:paraId="1F90363F" w14:textId="00F2703C" w:rsidR="00016355" w:rsidRPr="003736F5" w:rsidRDefault="00016355" w:rsidP="00BC5C25">
            <w:pPr>
              <w:pStyle w:val="CPB"/>
              <w:spacing w:before="0" w:after="0"/>
              <w:rPr>
                <w:rFonts w:cs="Times New Roman"/>
                <w:color w:val="auto"/>
                <w:sz w:val="24"/>
                <w:szCs w:val="24"/>
              </w:rPr>
            </w:pPr>
            <w:r w:rsidRPr="003736F5">
              <w:rPr>
                <w:rFonts w:cs="Times New Roman"/>
                <w:b/>
                <w:color w:val="auto"/>
                <w:sz w:val="24"/>
              </w:rPr>
              <w:lastRenderedPageBreak/>
              <w:t xml:space="preserve">Table </w:t>
            </w:r>
            <w:r w:rsidR="006E197F" w:rsidRPr="003736F5">
              <w:rPr>
                <w:rFonts w:cs="Times New Roman"/>
                <w:b/>
                <w:color w:val="auto"/>
                <w:sz w:val="24"/>
              </w:rPr>
              <w:t>3</w:t>
            </w:r>
            <w:r w:rsidRPr="003736F5">
              <w:rPr>
                <w:rFonts w:cs="Times New Roman"/>
                <w:b/>
                <w:color w:val="auto"/>
                <w:sz w:val="24"/>
              </w:rPr>
              <w:t>: SBRR in Scotland</w:t>
            </w:r>
            <w:r w:rsidRPr="003736F5">
              <w:rPr>
                <w:rFonts w:cs="Times New Roman"/>
                <w:color w:val="auto"/>
                <w:sz w:val="24"/>
                <w:szCs w:val="24"/>
              </w:rPr>
              <w:t xml:space="preserve">. </w:t>
            </w:r>
          </w:p>
        </w:tc>
      </w:tr>
      <w:tr w:rsidR="00016355" w:rsidRPr="003736F5" w14:paraId="6415AF23" w14:textId="77777777" w:rsidTr="00B5197C">
        <w:trPr>
          <w:cantSplit/>
          <w:tblHeader/>
        </w:trPr>
        <w:tc>
          <w:tcPr>
            <w:tcW w:w="8675" w:type="dxa"/>
            <w:tcBorders>
              <w:top w:val="nil"/>
              <w:bottom w:val="single" w:sz="4" w:space="0" w:color="auto"/>
            </w:tcBorders>
            <w:shd w:val="clear" w:color="auto" w:fill="auto"/>
          </w:tcPr>
          <w:tbl>
            <w:tblPr>
              <w:tblW w:w="8748" w:type="dxa"/>
              <w:jc w:val="center"/>
              <w:tblBorders>
                <w:top w:val="single" w:sz="4" w:space="0" w:color="7F7F7F"/>
                <w:bottom w:val="single" w:sz="4" w:space="0" w:color="7F7F7F"/>
              </w:tblBorders>
              <w:tblLook w:val="04A0" w:firstRow="1" w:lastRow="0" w:firstColumn="1" w:lastColumn="0" w:noHBand="0" w:noVBand="1"/>
            </w:tblPr>
            <w:tblGrid>
              <w:gridCol w:w="2470"/>
              <w:gridCol w:w="1382"/>
              <w:gridCol w:w="1536"/>
              <w:gridCol w:w="1001"/>
              <w:gridCol w:w="996"/>
              <w:gridCol w:w="124"/>
              <w:gridCol w:w="1239"/>
            </w:tblGrid>
            <w:tr w:rsidR="00C116FA" w:rsidRPr="003736F5" w14:paraId="1B5A6F3C" w14:textId="77777777" w:rsidTr="00BC5C25">
              <w:trPr>
                <w:trHeight w:val="327"/>
                <w:jc w:val="center"/>
              </w:trPr>
              <w:tc>
                <w:tcPr>
                  <w:tcW w:w="1412" w:type="pct"/>
                  <w:tcBorders>
                    <w:top w:val="nil"/>
                    <w:bottom w:val="single" w:sz="4" w:space="0" w:color="7F7F7F"/>
                  </w:tcBorders>
                  <w:shd w:val="clear" w:color="auto" w:fill="auto"/>
                  <w:vAlign w:val="center"/>
                </w:tcPr>
                <w:p w14:paraId="49229297" w14:textId="77777777" w:rsidR="00016355" w:rsidRPr="003736F5" w:rsidRDefault="00016355" w:rsidP="002D7CB8">
                  <w:pPr>
                    <w:pStyle w:val="NoSpacing"/>
                    <w:rPr>
                      <w:rFonts w:cs="Times New Roman"/>
                      <w:szCs w:val="24"/>
                    </w:rPr>
                  </w:pPr>
                  <w:r w:rsidRPr="003736F5">
                    <w:rPr>
                      <w:rFonts w:cs="Times New Roman"/>
                      <w:szCs w:val="24"/>
                    </w:rPr>
                    <w:t>Ratable Value (RV)</w:t>
                  </w:r>
                </w:p>
              </w:tc>
              <w:tc>
                <w:tcPr>
                  <w:tcW w:w="3588" w:type="pct"/>
                  <w:gridSpan w:val="6"/>
                  <w:tcBorders>
                    <w:top w:val="nil"/>
                    <w:bottom w:val="nil"/>
                  </w:tcBorders>
                  <w:shd w:val="clear" w:color="auto" w:fill="auto"/>
                  <w:vAlign w:val="center"/>
                </w:tcPr>
                <w:p w14:paraId="4E5E867E" w14:textId="77777777" w:rsidR="00016355" w:rsidRPr="003736F5" w:rsidRDefault="00016355" w:rsidP="00BC5C25">
                  <w:pPr>
                    <w:pStyle w:val="NoSpacing"/>
                    <w:jc w:val="center"/>
                    <w:rPr>
                      <w:rFonts w:cs="Times New Roman"/>
                      <w:szCs w:val="24"/>
                    </w:rPr>
                  </w:pPr>
                  <w:r w:rsidRPr="003736F5">
                    <w:rPr>
                      <w:rFonts w:cs="Times New Roman"/>
                      <w:szCs w:val="24"/>
                    </w:rPr>
                    <w:t>Year</w:t>
                  </w:r>
                </w:p>
              </w:tc>
            </w:tr>
            <w:tr w:rsidR="00C116FA" w:rsidRPr="003736F5" w14:paraId="7009FF0E" w14:textId="77777777" w:rsidTr="00BC5C25">
              <w:trPr>
                <w:trHeight w:val="327"/>
                <w:jc w:val="center"/>
              </w:trPr>
              <w:tc>
                <w:tcPr>
                  <w:tcW w:w="1412" w:type="pct"/>
                  <w:tcBorders>
                    <w:top w:val="single" w:sz="4" w:space="0" w:color="7F7F7F"/>
                    <w:bottom w:val="single" w:sz="4" w:space="0" w:color="7F7F7F"/>
                  </w:tcBorders>
                  <w:shd w:val="clear" w:color="auto" w:fill="auto"/>
                  <w:vAlign w:val="center"/>
                </w:tcPr>
                <w:p w14:paraId="776A1401" w14:textId="77777777" w:rsidR="00016355" w:rsidRPr="003736F5" w:rsidRDefault="00016355" w:rsidP="002D7CB8">
                  <w:pPr>
                    <w:pStyle w:val="NoSpacing"/>
                    <w:rPr>
                      <w:rFonts w:cs="Times New Roman"/>
                      <w:bCs/>
                    </w:rPr>
                  </w:pPr>
                </w:p>
              </w:tc>
              <w:tc>
                <w:tcPr>
                  <w:tcW w:w="790" w:type="pct"/>
                  <w:tcBorders>
                    <w:top w:val="nil"/>
                    <w:bottom w:val="single" w:sz="4" w:space="0" w:color="7F7F7F"/>
                  </w:tcBorders>
                  <w:shd w:val="clear" w:color="auto" w:fill="auto"/>
                  <w:vAlign w:val="center"/>
                </w:tcPr>
                <w:p w14:paraId="3B8E67F2" w14:textId="77777777" w:rsidR="00016355" w:rsidRPr="003736F5" w:rsidRDefault="00016355" w:rsidP="002D7CB8">
                  <w:pPr>
                    <w:pStyle w:val="NoSpacing"/>
                    <w:rPr>
                      <w:rFonts w:cs="Times New Roman"/>
                    </w:rPr>
                  </w:pPr>
                  <w:r w:rsidRPr="003736F5">
                    <w:rPr>
                      <w:rFonts w:cs="Times New Roman"/>
                    </w:rPr>
                    <w:t>2003 -2004</w:t>
                  </w:r>
                </w:p>
              </w:tc>
              <w:tc>
                <w:tcPr>
                  <w:tcW w:w="878" w:type="pct"/>
                  <w:tcBorders>
                    <w:top w:val="nil"/>
                    <w:bottom w:val="single" w:sz="4" w:space="0" w:color="7F7F7F"/>
                  </w:tcBorders>
                  <w:shd w:val="clear" w:color="auto" w:fill="auto"/>
                  <w:vAlign w:val="center"/>
                </w:tcPr>
                <w:p w14:paraId="613672DF" w14:textId="77777777" w:rsidR="00016355" w:rsidRPr="003736F5" w:rsidRDefault="00016355" w:rsidP="002D7CB8">
                  <w:pPr>
                    <w:pStyle w:val="NoSpacing"/>
                    <w:rPr>
                      <w:rFonts w:cs="Times New Roman"/>
                    </w:rPr>
                  </w:pPr>
                  <w:r w:rsidRPr="003736F5">
                    <w:rPr>
                      <w:rFonts w:cs="Times New Roman"/>
                    </w:rPr>
                    <w:t>2005 - 2007</w:t>
                  </w:r>
                </w:p>
              </w:tc>
              <w:tc>
                <w:tcPr>
                  <w:tcW w:w="572" w:type="pct"/>
                  <w:tcBorders>
                    <w:top w:val="nil"/>
                    <w:bottom w:val="single" w:sz="4" w:space="0" w:color="7F7F7F"/>
                  </w:tcBorders>
                  <w:shd w:val="clear" w:color="auto" w:fill="auto"/>
                  <w:vAlign w:val="center"/>
                </w:tcPr>
                <w:p w14:paraId="00E1CB8D" w14:textId="77777777" w:rsidR="00016355" w:rsidRPr="003736F5" w:rsidRDefault="00016355" w:rsidP="002D7CB8">
                  <w:pPr>
                    <w:pStyle w:val="NoSpacing"/>
                    <w:rPr>
                      <w:rFonts w:cs="Times New Roman"/>
                    </w:rPr>
                  </w:pPr>
                  <w:r w:rsidRPr="003736F5">
                    <w:rPr>
                      <w:rFonts w:cs="Times New Roman"/>
                    </w:rPr>
                    <w:t>2008</w:t>
                  </w:r>
                </w:p>
              </w:tc>
              <w:tc>
                <w:tcPr>
                  <w:tcW w:w="569" w:type="pct"/>
                  <w:tcBorders>
                    <w:top w:val="nil"/>
                    <w:bottom w:val="single" w:sz="4" w:space="0" w:color="7F7F7F"/>
                  </w:tcBorders>
                  <w:shd w:val="clear" w:color="auto" w:fill="auto"/>
                  <w:vAlign w:val="center"/>
                </w:tcPr>
                <w:p w14:paraId="714AA155" w14:textId="77777777" w:rsidR="00016355" w:rsidRPr="003736F5" w:rsidRDefault="00016355" w:rsidP="002D7CB8">
                  <w:pPr>
                    <w:pStyle w:val="NoSpacing"/>
                    <w:rPr>
                      <w:rFonts w:cs="Times New Roman"/>
                    </w:rPr>
                  </w:pPr>
                  <w:r w:rsidRPr="003736F5">
                    <w:rPr>
                      <w:rFonts w:cs="Times New Roman"/>
                    </w:rPr>
                    <w:t>2009</w:t>
                  </w:r>
                </w:p>
              </w:tc>
              <w:tc>
                <w:tcPr>
                  <w:tcW w:w="778" w:type="pct"/>
                  <w:gridSpan w:val="2"/>
                  <w:tcBorders>
                    <w:top w:val="nil"/>
                    <w:bottom w:val="single" w:sz="4" w:space="0" w:color="7F7F7F"/>
                  </w:tcBorders>
                  <w:shd w:val="clear" w:color="auto" w:fill="auto"/>
                  <w:vAlign w:val="center"/>
                </w:tcPr>
                <w:p w14:paraId="571C3429" w14:textId="77777777" w:rsidR="00016355" w:rsidRPr="003736F5" w:rsidRDefault="00016355" w:rsidP="002D7CB8">
                  <w:pPr>
                    <w:pStyle w:val="NoSpacing"/>
                    <w:rPr>
                      <w:rFonts w:cs="Times New Roman"/>
                    </w:rPr>
                  </w:pPr>
                  <w:r w:rsidRPr="003736F5">
                    <w:rPr>
                      <w:rFonts w:cs="Times New Roman"/>
                    </w:rPr>
                    <w:t>2010 -2014</w:t>
                  </w:r>
                </w:p>
              </w:tc>
            </w:tr>
            <w:tr w:rsidR="00C116FA" w:rsidRPr="003736F5" w14:paraId="66DD1FC2" w14:textId="77777777" w:rsidTr="00BC5C25">
              <w:trPr>
                <w:trHeight w:val="233"/>
                <w:jc w:val="center"/>
              </w:trPr>
              <w:tc>
                <w:tcPr>
                  <w:tcW w:w="1412" w:type="pct"/>
                  <w:tcBorders>
                    <w:bottom w:val="nil"/>
                  </w:tcBorders>
                  <w:shd w:val="clear" w:color="auto" w:fill="auto"/>
                  <w:vAlign w:val="center"/>
                </w:tcPr>
                <w:p w14:paraId="4A8AA715" w14:textId="77777777" w:rsidR="00016355" w:rsidRPr="003736F5" w:rsidRDefault="00016355" w:rsidP="002D7CB8">
                  <w:pPr>
                    <w:pStyle w:val="NoSpacing"/>
                    <w:rPr>
                      <w:rFonts w:cs="Times New Roman"/>
                      <w:bCs/>
                      <w:i/>
                    </w:rPr>
                  </w:pPr>
                  <w:r w:rsidRPr="003736F5">
                    <w:rPr>
                      <w:rFonts w:cs="Times New Roman"/>
                      <w:bCs/>
                      <w:i/>
                    </w:rPr>
                    <w:t>0≤RV≤3,000</w:t>
                  </w:r>
                </w:p>
              </w:tc>
              <w:tc>
                <w:tcPr>
                  <w:tcW w:w="790" w:type="pct"/>
                  <w:tcBorders>
                    <w:bottom w:val="nil"/>
                  </w:tcBorders>
                  <w:shd w:val="clear" w:color="auto" w:fill="FFFFFF"/>
                  <w:vAlign w:val="center"/>
                </w:tcPr>
                <w:p w14:paraId="4438B927" w14:textId="77777777" w:rsidR="00016355" w:rsidRPr="003736F5" w:rsidRDefault="00016355" w:rsidP="002D7CB8">
                  <w:pPr>
                    <w:pStyle w:val="NoSpacing"/>
                    <w:rPr>
                      <w:rFonts w:cs="Times New Roman"/>
                    </w:rPr>
                  </w:pPr>
                  <w:r w:rsidRPr="003736F5">
                    <w:rPr>
                      <w:rFonts w:cs="Times New Roman"/>
                    </w:rPr>
                    <w:t>0.5</w:t>
                  </w:r>
                </w:p>
              </w:tc>
              <w:tc>
                <w:tcPr>
                  <w:tcW w:w="878" w:type="pct"/>
                  <w:vMerge w:val="restart"/>
                  <w:tcBorders>
                    <w:bottom w:val="nil"/>
                  </w:tcBorders>
                  <w:shd w:val="clear" w:color="auto" w:fill="FFFFFF"/>
                  <w:vAlign w:val="center"/>
                </w:tcPr>
                <w:p w14:paraId="4F23F5EB" w14:textId="77777777" w:rsidR="00016355" w:rsidRPr="003736F5" w:rsidRDefault="00016355" w:rsidP="002D7CB8">
                  <w:pPr>
                    <w:pStyle w:val="NoSpacing"/>
                    <w:rPr>
                      <w:rFonts w:cs="Times New Roman"/>
                    </w:rPr>
                  </w:pPr>
                  <w:r w:rsidRPr="003736F5">
                    <w:rPr>
                      <w:rFonts w:cs="Times New Roman"/>
                    </w:rPr>
                    <w:t>0.5</w:t>
                  </w:r>
                </w:p>
              </w:tc>
              <w:tc>
                <w:tcPr>
                  <w:tcW w:w="572" w:type="pct"/>
                  <w:vMerge w:val="restart"/>
                  <w:shd w:val="clear" w:color="auto" w:fill="F2F2F2"/>
                  <w:vAlign w:val="center"/>
                </w:tcPr>
                <w:p w14:paraId="319E0FAA" w14:textId="77777777" w:rsidR="00016355" w:rsidRPr="003736F5" w:rsidRDefault="00016355" w:rsidP="002D7CB8">
                  <w:pPr>
                    <w:pStyle w:val="NoSpacing"/>
                    <w:rPr>
                      <w:rFonts w:cs="Times New Roman"/>
                    </w:rPr>
                  </w:pPr>
                  <w:r w:rsidRPr="003736F5">
                    <w:rPr>
                      <w:rFonts w:cs="Times New Roman"/>
                    </w:rPr>
                    <w:t>0.8</w:t>
                  </w:r>
                </w:p>
              </w:tc>
              <w:tc>
                <w:tcPr>
                  <w:tcW w:w="640" w:type="pct"/>
                  <w:gridSpan w:val="2"/>
                  <w:vMerge w:val="restart"/>
                  <w:shd w:val="clear" w:color="auto" w:fill="F2F2F2"/>
                  <w:vAlign w:val="center"/>
                </w:tcPr>
                <w:p w14:paraId="17CBB7B0" w14:textId="77777777" w:rsidR="00016355" w:rsidRPr="003736F5" w:rsidRDefault="00016355" w:rsidP="002D7CB8">
                  <w:pPr>
                    <w:pStyle w:val="NoSpacing"/>
                    <w:rPr>
                      <w:rFonts w:cs="Times New Roman"/>
                    </w:rPr>
                  </w:pPr>
                  <w:r w:rsidRPr="003736F5">
                    <w:rPr>
                      <w:rFonts w:cs="Times New Roman"/>
                    </w:rPr>
                    <w:t>1</w:t>
                  </w:r>
                </w:p>
              </w:tc>
              <w:tc>
                <w:tcPr>
                  <w:tcW w:w="708" w:type="pct"/>
                  <w:vMerge w:val="restart"/>
                  <w:tcBorders>
                    <w:bottom w:val="nil"/>
                  </w:tcBorders>
                  <w:shd w:val="clear" w:color="auto" w:fill="F2F2F2"/>
                  <w:vAlign w:val="center"/>
                </w:tcPr>
                <w:p w14:paraId="7D52A6FC" w14:textId="77777777" w:rsidR="00016355" w:rsidRPr="003736F5" w:rsidRDefault="00016355" w:rsidP="002D7CB8">
                  <w:pPr>
                    <w:pStyle w:val="NoSpacing"/>
                    <w:rPr>
                      <w:rFonts w:cs="Times New Roman"/>
                    </w:rPr>
                  </w:pPr>
                  <w:r w:rsidRPr="003736F5">
                    <w:rPr>
                      <w:rFonts w:cs="Times New Roman"/>
                    </w:rPr>
                    <w:t>1</w:t>
                  </w:r>
                </w:p>
              </w:tc>
            </w:tr>
            <w:tr w:rsidR="00C116FA" w:rsidRPr="003736F5" w14:paraId="6D29CA16" w14:textId="77777777" w:rsidTr="00BC5C25">
              <w:trPr>
                <w:trHeight w:val="233"/>
                <w:jc w:val="center"/>
              </w:trPr>
              <w:tc>
                <w:tcPr>
                  <w:tcW w:w="1412" w:type="pct"/>
                  <w:tcBorders>
                    <w:top w:val="nil"/>
                    <w:bottom w:val="nil"/>
                  </w:tcBorders>
                  <w:shd w:val="clear" w:color="auto" w:fill="auto"/>
                  <w:vAlign w:val="center"/>
                </w:tcPr>
                <w:p w14:paraId="4C184C63" w14:textId="77777777" w:rsidR="00016355" w:rsidRPr="003736F5" w:rsidRDefault="00016355" w:rsidP="002D7CB8">
                  <w:pPr>
                    <w:pStyle w:val="NoSpacing"/>
                    <w:rPr>
                      <w:rFonts w:cs="Times New Roman"/>
                      <w:bCs/>
                      <w:i/>
                    </w:rPr>
                  </w:pPr>
                  <w:r w:rsidRPr="003736F5">
                    <w:rPr>
                      <w:rFonts w:cs="Times New Roman"/>
                      <w:bCs/>
                      <w:i/>
                    </w:rPr>
                    <w:t>3,000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≤3,500</w:t>
                  </w:r>
                </w:p>
              </w:tc>
              <w:tc>
                <w:tcPr>
                  <w:tcW w:w="790" w:type="pct"/>
                  <w:vMerge w:val="restart"/>
                  <w:tcBorders>
                    <w:top w:val="nil"/>
                    <w:bottom w:val="nil"/>
                  </w:tcBorders>
                  <w:shd w:val="clear" w:color="auto" w:fill="D9D9D9"/>
                  <w:vAlign w:val="center"/>
                </w:tcPr>
                <w:p w14:paraId="5B3755EB" w14:textId="77777777" w:rsidR="00016355" w:rsidRPr="003736F5" w:rsidRDefault="00016355" w:rsidP="002D7CB8">
                  <w:pPr>
                    <w:pStyle w:val="NoSpacing"/>
                    <w:rPr>
                      <w:rFonts w:cs="Times New Roman"/>
                    </w:rPr>
                  </w:pPr>
                  <w:r w:rsidRPr="003736F5">
                    <w:rPr>
                      <w:rFonts w:cs="Times New Roman"/>
                    </w:rPr>
                    <w:t>0.4</w:t>
                  </w:r>
                </w:p>
              </w:tc>
              <w:tc>
                <w:tcPr>
                  <w:tcW w:w="878" w:type="pct"/>
                  <w:vMerge/>
                  <w:tcBorders>
                    <w:top w:val="nil"/>
                    <w:bottom w:val="nil"/>
                  </w:tcBorders>
                  <w:shd w:val="clear" w:color="auto" w:fill="D9D9D9"/>
                  <w:vAlign w:val="center"/>
                </w:tcPr>
                <w:p w14:paraId="74E7FE0C" w14:textId="77777777" w:rsidR="00016355" w:rsidRPr="003736F5" w:rsidRDefault="00016355" w:rsidP="002D7CB8">
                  <w:pPr>
                    <w:pStyle w:val="NoSpacing"/>
                    <w:rPr>
                      <w:rFonts w:cs="Times New Roman"/>
                    </w:rPr>
                  </w:pPr>
                </w:p>
              </w:tc>
              <w:tc>
                <w:tcPr>
                  <w:tcW w:w="572" w:type="pct"/>
                  <w:vMerge/>
                  <w:tcBorders>
                    <w:top w:val="single" w:sz="4" w:space="0" w:color="7F7F7F"/>
                    <w:bottom w:val="single" w:sz="4" w:space="0" w:color="7F7F7F"/>
                  </w:tcBorders>
                  <w:shd w:val="clear" w:color="auto" w:fill="auto"/>
                  <w:vAlign w:val="center"/>
                </w:tcPr>
                <w:p w14:paraId="0309FEDC" w14:textId="77777777" w:rsidR="00016355" w:rsidRPr="003736F5" w:rsidRDefault="00016355" w:rsidP="002D7CB8">
                  <w:pPr>
                    <w:pStyle w:val="NoSpacing"/>
                    <w:rPr>
                      <w:rFonts w:cs="Times New Roman"/>
                    </w:rPr>
                  </w:pPr>
                </w:p>
              </w:tc>
              <w:tc>
                <w:tcPr>
                  <w:tcW w:w="640" w:type="pct"/>
                  <w:gridSpan w:val="2"/>
                  <w:vMerge/>
                  <w:tcBorders>
                    <w:top w:val="single" w:sz="4" w:space="0" w:color="7F7F7F"/>
                    <w:bottom w:val="single" w:sz="4" w:space="0" w:color="7F7F7F"/>
                  </w:tcBorders>
                  <w:shd w:val="clear" w:color="auto" w:fill="auto"/>
                  <w:vAlign w:val="center"/>
                </w:tcPr>
                <w:p w14:paraId="3182F200"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078AA6B3" w14:textId="77777777" w:rsidR="00016355" w:rsidRPr="003736F5" w:rsidRDefault="00016355" w:rsidP="002D7CB8">
                  <w:pPr>
                    <w:pStyle w:val="NoSpacing"/>
                    <w:rPr>
                      <w:rFonts w:cs="Times New Roman"/>
                    </w:rPr>
                  </w:pPr>
                </w:p>
              </w:tc>
            </w:tr>
            <w:tr w:rsidR="00C116FA" w:rsidRPr="003736F5" w14:paraId="2DF6A0F4" w14:textId="77777777" w:rsidTr="00BC5C25">
              <w:trPr>
                <w:trHeight w:val="233"/>
                <w:jc w:val="center"/>
              </w:trPr>
              <w:tc>
                <w:tcPr>
                  <w:tcW w:w="1412" w:type="pct"/>
                  <w:tcBorders>
                    <w:top w:val="nil"/>
                    <w:bottom w:val="nil"/>
                  </w:tcBorders>
                  <w:shd w:val="clear" w:color="auto" w:fill="auto"/>
                  <w:vAlign w:val="center"/>
                </w:tcPr>
                <w:p w14:paraId="773A9C82" w14:textId="77777777" w:rsidR="00016355" w:rsidRPr="003736F5" w:rsidRDefault="00016355" w:rsidP="002D7CB8">
                  <w:pPr>
                    <w:pStyle w:val="NoSpacing"/>
                    <w:rPr>
                      <w:rFonts w:cs="Times New Roman"/>
                      <w:bCs/>
                      <w:i/>
                    </w:rPr>
                  </w:pPr>
                  <w:r w:rsidRPr="003736F5">
                    <w:rPr>
                      <w:rFonts w:cs="Times New Roman"/>
                      <w:bCs/>
                      <w:i/>
                    </w:rPr>
                    <w:t>3,500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≤4,000</w:t>
                  </w:r>
                </w:p>
              </w:tc>
              <w:tc>
                <w:tcPr>
                  <w:tcW w:w="790" w:type="pct"/>
                  <w:vMerge/>
                  <w:tcBorders>
                    <w:top w:val="nil"/>
                    <w:bottom w:val="nil"/>
                  </w:tcBorders>
                  <w:shd w:val="clear" w:color="auto" w:fill="D9D9D9"/>
                  <w:vAlign w:val="center"/>
                </w:tcPr>
                <w:p w14:paraId="1E93246F" w14:textId="77777777" w:rsidR="00016355" w:rsidRPr="003736F5" w:rsidRDefault="00016355" w:rsidP="002D7CB8">
                  <w:pPr>
                    <w:pStyle w:val="NoSpacing"/>
                    <w:rPr>
                      <w:rFonts w:cs="Times New Roman"/>
                    </w:rPr>
                  </w:pPr>
                </w:p>
              </w:tc>
              <w:tc>
                <w:tcPr>
                  <w:tcW w:w="878" w:type="pct"/>
                  <w:vMerge w:val="restart"/>
                  <w:tcBorders>
                    <w:top w:val="nil"/>
                    <w:bottom w:val="nil"/>
                  </w:tcBorders>
                  <w:shd w:val="clear" w:color="auto" w:fill="D9D9D9"/>
                  <w:vAlign w:val="center"/>
                </w:tcPr>
                <w:p w14:paraId="0DE97DE2" w14:textId="77777777" w:rsidR="00016355" w:rsidRPr="003736F5" w:rsidRDefault="00016355" w:rsidP="002D7CB8">
                  <w:pPr>
                    <w:pStyle w:val="NoSpacing"/>
                    <w:rPr>
                      <w:rFonts w:cs="Times New Roman"/>
                    </w:rPr>
                  </w:pPr>
                  <w:r w:rsidRPr="003736F5">
                    <w:rPr>
                      <w:rFonts w:cs="Times New Roman"/>
                    </w:rPr>
                    <w:t>0.4</w:t>
                  </w:r>
                </w:p>
              </w:tc>
              <w:tc>
                <w:tcPr>
                  <w:tcW w:w="572" w:type="pct"/>
                  <w:vMerge/>
                  <w:shd w:val="clear" w:color="auto" w:fill="auto"/>
                  <w:vAlign w:val="center"/>
                </w:tcPr>
                <w:p w14:paraId="518F0C7C" w14:textId="77777777" w:rsidR="00016355" w:rsidRPr="003736F5" w:rsidRDefault="00016355" w:rsidP="002D7CB8">
                  <w:pPr>
                    <w:pStyle w:val="NoSpacing"/>
                    <w:rPr>
                      <w:rFonts w:cs="Times New Roman"/>
                    </w:rPr>
                  </w:pPr>
                </w:p>
              </w:tc>
              <w:tc>
                <w:tcPr>
                  <w:tcW w:w="640" w:type="pct"/>
                  <w:gridSpan w:val="2"/>
                  <w:vMerge/>
                  <w:shd w:val="clear" w:color="auto" w:fill="auto"/>
                  <w:vAlign w:val="center"/>
                </w:tcPr>
                <w:p w14:paraId="77DED287"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3A3F6AF2" w14:textId="77777777" w:rsidR="00016355" w:rsidRPr="003736F5" w:rsidRDefault="00016355" w:rsidP="002D7CB8">
                  <w:pPr>
                    <w:pStyle w:val="NoSpacing"/>
                    <w:rPr>
                      <w:rFonts w:cs="Times New Roman"/>
                    </w:rPr>
                  </w:pPr>
                </w:p>
              </w:tc>
            </w:tr>
            <w:tr w:rsidR="00C116FA" w:rsidRPr="003736F5" w14:paraId="34F2A602" w14:textId="77777777" w:rsidTr="00BC5C25">
              <w:trPr>
                <w:trHeight w:val="233"/>
                <w:jc w:val="center"/>
              </w:trPr>
              <w:tc>
                <w:tcPr>
                  <w:tcW w:w="1412" w:type="pct"/>
                  <w:tcBorders>
                    <w:top w:val="nil"/>
                    <w:bottom w:val="nil"/>
                  </w:tcBorders>
                  <w:shd w:val="clear" w:color="auto" w:fill="auto"/>
                  <w:vAlign w:val="center"/>
                </w:tcPr>
                <w:p w14:paraId="69897EB7" w14:textId="77777777" w:rsidR="00016355" w:rsidRPr="003736F5" w:rsidRDefault="00016355" w:rsidP="002D7CB8">
                  <w:pPr>
                    <w:pStyle w:val="NoSpacing"/>
                    <w:rPr>
                      <w:rFonts w:cs="Times New Roman"/>
                      <w:bCs/>
                      <w:i/>
                    </w:rPr>
                  </w:pPr>
                  <w:r w:rsidRPr="003736F5">
                    <w:rPr>
                      <w:rFonts w:cs="Times New Roman"/>
                      <w:bCs/>
                      <w:i/>
                    </w:rPr>
                    <w:t>4,000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≤4,500</w:t>
                  </w:r>
                </w:p>
              </w:tc>
              <w:tc>
                <w:tcPr>
                  <w:tcW w:w="790" w:type="pct"/>
                  <w:vMerge w:val="restart"/>
                  <w:tcBorders>
                    <w:top w:val="nil"/>
                    <w:bottom w:val="nil"/>
                  </w:tcBorders>
                  <w:shd w:val="clear" w:color="auto" w:fill="FFFFFF"/>
                  <w:vAlign w:val="center"/>
                </w:tcPr>
                <w:p w14:paraId="5ACF16A9" w14:textId="77777777" w:rsidR="00016355" w:rsidRPr="003736F5" w:rsidRDefault="00016355" w:rsidP="002D7CB8">
                  <w:pPr>
                    <w:pStyle w:val="NoSpacing"/>
                    <w:rPr>
                      <w:rFonts w:cs="Times New Roman"/>
                    </w:rPr>
                  </w:pPr>
                  <w:r w:rsidRPr="003736F5">
                    <w:rPr>
                      <w:rFonts w:cs="Times New Roman"/>
                    </w:rPr>
                    <w:t>0.3</w:t>
                  </w:r>
                </w:p>
              </w:tc>
              <w:tc>
                <w:tcPr>
                  <w:tcW w:w="878" w:type="pct"/>
                  <w:vMerge/>
                  <w:tcBorders>
                    <w:top w:val="nil"/>
                    <w:bottom w:val="nil"/>
                  </w:tcBorders>
                  <w:shd w:val="clear" w:color="auto" w:fill="FFFFFF"/>
                  <w:vAlign w:val="center"/>
                </w:tcPr>
                <w:p w14:paraId="55A5259D" w14:textId="77777777" w:rsidR="00016355" w:rsidRPr="003736F5" w:rsidRDefault="00016355" w:rsidP="002D7CB8">
                  <w:pPr>
                    <w:pStyle w:val="NoSpacing"/>
                    <w:rPr>
                      <w:rFonts w:cs="Times New Roman"/>
                    </w:rPr>
                  </w:pPr>
                </w:p>
              </w:tc>
              <w:tc>
                <w:tcPr>
                  <w:tcW w:w="572" w:type="pct"/>
                  <w:vMerge/>
                  <w:tcBorders>
                    <w:top w:val="single" w:sz="4" w:space="0" w:color="7F7F7F"/>
                    <w:bottom w:val="single" w:sz="4" w:space="0" w:color="7F7F7F"/>
                  </w:tcBorders>
                  <w:shd w:val="clear" w:color="auto" w:fill="auto"/>
                  <w:vAlign w:val="center"/>
                </w:tcPr>
                <w:p w14:paraId="3BA0D82B" w14:textId="77777777" w:rsidR="00016355" w:rsidRPr="003736F5" w:rsidRDefault="00016355" w:rsidP="002D7CB8">
                  <w:pPr>
                    <w:pStyle w:val="NoSpacing"/>
                    <w:rPr>
                      <w:rFonts w:cs="Times New Roman"/>
                    </w:rPr>
                  </w:pPr>
                </w:p>
              </w:tc>
              <w:tc>
                <w:tcPr>
                  <w:tcW w:w="640" w:type="pct"/>
                  <w:gridSpan w:val="2"/>
                  <w:vMerge/>
                  <w:tcBorders>
                    <w:top w:val="single" w:sz="4" w:space="0" w:color="7F7F7F"/>
                    <w:bottom w:val="single" w:sz="4" w:space="0" w:color="7F7F7F"/>
                  </w:tcBorders>
                  <w:shd w:val="clear" w:color="auto" w:fill="auto"/>
                  <w:vAlign w:val="center"/>
                </w:tcPr>
                <w:p w14:paraId="2491C52F"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07467491" w14:textId="77777777" w:rsidR="00016355" w:rsidRPr="003736F5" w:rsidRDefault="00016355" w:rsidP="002D7CB8">
                  <w:pPr>
                    <w:pStyle w:val="NoSpacing"/>
                    <w:rPr>
                      <w:rFonts w:cs="Times New Roman"/>
                    </w:rPr>
                  </w:pPr>
                </w:p>
              </w:tc>
            </w:tr>
            <w:tr w:rsidR="00C116FA" w:rsidRPr="003736F5" w14:paraId="15F6846F" w14:textId="77777777" w:rsidTr="00BC5C25">
              <w:trPr>
                <w:trHeight w:val="233"/>
                <w:jc w:val="center"/>
              </w:trPr>
              <w:tc>
                <w:tcPr>
                  <w:tcW w:w="1412" w:type="pct"/>
                  <w:tcBorders>
                    <w:top w:val="nil"/>
                    <w:bottom w:val="nil"/>
                  </w:tcBorders>
                  <w:shd w:val="clear" w:color="auto" w:fill="auto"/>
                  <w:vAlign w:val="center"/>
                </w:tcPr>
                <w:p w14:paraId="5BD77191" w14:textId="77777777" w:rsidR="00016355" w:rsidRPr="003736F5" w:rsidRDefault="00016355" w:rsidP="002D7CB8">
                  <w:pPr>
                    <w:pStyle w:val="NoSpacing"/>
                    <w:rPr>
                      <w:rFonts w:cs="Times New Roman"/>
                      <w:bCs/>
                      <w:i/>
                    </w:rPr>
                  </w:pPr>
                  <w:r w:rsidRPr="003736F5">
                    <w:rPr>
                      <w:rFonts w:cs="Times New Roman"/>
                      <w:bCs/>
                      <w:i/>
                    </w:rPr>
                    <w:t>4,500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≤5,000</w:t>
                  </w:r>
                </w:p>
              </w:tc>
              <w:tc>
                <w:tcPr>
                  <w:tcW w:w="790" w:type="pct"/>
                  <w:vMerge/>
                  <w:tcBorders>
                    <w:top w:val="nil"/>
                    <w:bottom w:val="nil"/>
                  </w:tcBorders>
                  <w:shd w:val="clear" w:color="auto" w:fill="FFFFFF"/>
                  <w:vAlign w:val="center"/>
                </w:tcPr>
                <w:p w14:paraId="732CB585" w14:textId="77777777" w:rsidR="00016355" w:rsidRPr="003736F5" w:rsidRDefault="00016355" w:rsidP="002D7CB8">
                  <w:pPr>
                    <w:pStyle w:val="NoSpacing"/>
                    <w:rPr>
                      <w:rFonts w:cs="Times New Roman"/>
                    </w:rPr>
                  </w:pPr>
                </w:p>
              </w:tc>
              <w:tc>
                <w:tcPr>
                  <w:tcW w:w="878" w:type="pct"/>
                  <w:vMerge w:val="restart"/>
                  <w:tcBorders>
                    <w:top w:val="nil"/>
                    <w:bottom w:val="nil"/>
                  </w:tcBorders>
                  <w:shd w:val="clear" w:color="auto" w:fill="FFFFFF"/>
                  <w:vAlign w:val="center"/>
                </w:tcPr>
                <w:p w14:paraId="153C9419" w14:textId="77777777" w:rsidR="00016355" w:rsidRPr="003736F5" w:rsidRDefault="00016355" w:rsidP="002D7CB8">
                  <w:pPr>
                    <w:pStyle w:val="NoSpacing"/>
                    <w:rPr>
                      <w:rFonts w:cs="Times New Roman"/>
                    </w:rPr>
                  </w:pPr>
                  <w:r w:rsidRPr="003736F5">
                    <w:rPr>
                      <w:rFonts w:cs="Times New Roman"/>
                    </w:rPr>
                    <w:t>0.3</w:t>
                  </w:r>
                </w:p>
              </w:tc>
              <w:tc>
                <w:tcPr>
                  <w:tcW w:w="572" w:type="pct"/>
                  <w:vMerge/>
                  <w:shd w:val="clear" w:color="auto" w:fill="auto"/>
                  <w:vAlign w:val="center"/>
                </w:tcPr>
                <w:p w14:paraId="500A4265" w14:textId="77777777" w:rsidR="00016355" w:rsidRPr="003736F5" w:rsidRDefault="00016355" w:rsidP="002D7CB8">
                  <w:pPr>
                    <w:pStyle w:val="NoSpacing"/>
                    <w:rPr>
                      <w:rFonts w:cs="Times New Roman"/>
                    </w:rPr>
                  </w:pPr>
                </w:p>
              </w:tc>
              <w:tc>
                <w:tcPr>
                  <w:tcW w:w="640" w:type="pct"/>
                  <w:gridSpan w:val="2"/>
                  <w:vMerge/>
                  <w:shd w:val="clear" w:color="auto" w:fill="auto"/>
                  <w:vAlign w:val="center"/>
                </w:tcPr>
                <w:p w14:paraId="34A20930"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474750E0" w14:textId="77777777" w:rsidR="00016355" w:rsidRPr="003736F5" w:rsidRDefault="00016355" w:rsidP="002D7CB8">
                  <w:pPr>
                    <w:pStyle w:val="NoSpacing"/>
                    <w:rPr>
                      <w:rFonts w:cs="Times New Roman"/>
                    </w:rPr>
                  </w:pPr>
                </w:p>
              </w:tc>
            </w:tr>
            <w:tr w:rsidR="00C116FA" w:rsidRPr="003736F5" w14:paraId="32365776" w14:textId="77777777" w:rsidTr="00BC5C25">
              <w:trPr>
                <w:trHeight w:val="243"/>
                <w:jc w:val="center"/>
              </w:trPr>
              <w:tc>
                <w:tcPr>
                  <w:tcW w:w="1412" w:type="pct"/>
                  <w:tcBorders>
                    <w:top w:val="nil"/>
                    <w:bottom w:val="nil"/>
                  </w:tcBorders>
                  <w:shd w:val="clear" w:color="auto" w:fill="auto"/>
                  <w:vAlign w:val="center"/>
                </w:tcPr>
                <w:p w14:paraId="2D434EBF" w14:textId="77777777" w:rsidR="00016355" w:rsidRPr="003736F5" w:rsidRDefault="00016355" w:rsidP="002D7CB8">
                  <w:pPr>
                    <w:pStyle w:val="NoSpacing"/>
                    <w:rPr>
                      <w:rFonts w:cs="Times New Roman"/>
                      <w:bCs/>
                      <w:i/>
                    </w:rPr>
                  </w:pPr>
                  <w:r w:rsidRPr="003736F5">
                    <w:rPr>
                      <w:rFonts w:cs="Times New Roman"/>
                      <w:bCs/>
                      <w:i/>
                    </w:rPr>
                    <w:t>5,000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≤5,750</w:t>
                  </w:r>
                </w:p>
              </w:tc>
              <w:tc>
                <w:tcPr>
                  <w:tcW w:w="790" w:type="pct"/>
                  <w:vMerge w:val="restart"/>
                  <w:tcBorders>
                    <w:top w:val="nil"/>
                    <w:bottom w:val="nil"/>
                  </w:tcBorders>
                  <w:shd w:val="clear" w:color="auto" w:fill="D9D9D9"/>
                  <w:vAlign w:val="center"/>
                </w:tcPr>
                <w:p w14:paraId="0A30C69D" w14:textId="77777777" w:rsidR="00016355" w:rsidRPr="003736F5" w:rsidRDefault="00016355" w:rsidP="002D7CB8">
                  <w:pPr>
                    <w:pStyle w:val="NoSpacing"/>
                    <w:rPr>
                      <w:rFonts w:cs="Times New Roman"/>
                    </w:rPr>
                  </w:pPr>
                  <w:r w:rsidRPr="003736F5">
                    <w:rPr>
                      <w:rFonts w:cs="Times New Roman"/>
                    </w:rPr>
                    <w:t>0.2</w:t>
                  </w:r>
                </w:p>
              </w:tc>
              <w:tc>
                <w:tcPr>
                  <w:tcW w:w="878" w:type="pct"/>
                  <w:vMerge/>
                  <w:tcBorders>
                    <w:top w:val="nil"/>
                    <w:bottom w:val="nil"/>
                  </w:tcBorders>
                  <w:shd w:val="clear" w:color="auto" w:fill="D9D9D9"/>
                  <w:vAlign w:val="center"/>
                </w:tcPr>
                <w:p w14:paraId="0C40249E" w14:textId="77777777" w:rsidR="00016355" w:rsidRPr="003736F5" w:rsidRDefault="00016355" w:rsidP="002D7CB8">
                  <w:pPr>
                    <w:pStyle w:val="NoSpacing"/>
                    <w:rPr>
                      <w:rFonts w:cs="Times New Roman"/>
                    </w:rPr>
                  </w:pPr>
                </w:p>
              </w:tc>
              <w:tc>
                <w:tcPr>
                  <w:tcW w:w="572" w:type="pct"/>
                  <w:vMerge/>
                  <w:tcBorders>
                    <w:top w:val="single" w:sz="4" w:space="0" w:color="7F7F7F"/>
                    <w:bottom w:val="single" w:sz="4" w:space="0" w:color="7F7F7F"/>
                  </w:tcBorders>
                  <w:shd w:val="clear" w:color="auto" w:fill="auto"/>
                  <w:vAlign w:val="center"/>
                </w:tcPr>
                <w:p w14:paraId="13C981FD" w14:textId="77777777" w:rsidR="00016355" w:rsidRPr="003736F5" w:rsidRDefault="00016355" w:rsidP="002D7CB8">
                  <w:pPr>
                    <w:pStyle w:val="NoSpacing"/>
                    <w:rPr>
                      <w:rFonts w:cs="Times New Roman"/>
                    </w:rPr>
                  </w:pPr>
                </w:p>
              </w:tc>
              <w:tc>
                <w:tcPr>
                  <w:tcW w:w="640" w:type="pct"/>
                  <w:gridSpan w:val="2"/>
                  <w:vMerge/>
                  <w:tcBorders>
                    <w:top w:val="single" w:sz="4" w:space="0" w:color="7F7F7F"/>
                    <w:bottom w:val="single" w:sz="4" w:space="0" w:color="7F7F7F"/>
                  </w:tcBorders>
                  <w:shd w:val="clear" w:color="auto" w:fill="auto"/>
                  <w:vAlign w:val="center"/>
                </w:tcPr>
                <w:p w14:paraId="348C906A"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0F8D139E" w14:textId="77777777" w:rsidR="00016355" w:rsidRPr="003736F5" w:rsidRDefault="00016355" w:rsidP="002D7CB8">
                  <w:pPr>
                    <w:pStyle w:val="NoSpacing"/>
                    <w:rPr>
                      <w:rFonts w:cs="Times New Roman"/>
                    </w:rPr>
                  </w:pPr>
                </w:p>
              </w:tc>
            </w:tr>
            <w:tr w:rsidR="00C116FA" w:rsidRPr="003736F5" w14:paraId="054EB2CA" w14:textId="77777777" w:rsidTr="00BC5C25">
              <w:trPr>
                <w:trHeight w:val="233"/>
                <w:jc w:val="center"/>
              </w:trPr>
              <w:tc>
                <w:tcPr>
                  <w:tcW w:w="1412" w:type="pct"/>
                  <w:tcBorders>
                    <w:top w:val="nil"/>
                    <w:bottom w:val="nil"/>
                  </w:tcBorders>
                  <w:shd w:val="clear" w:color="auto" w:fill="auto"/>
                  <w:vAlign w:val="center"/>
                </w:tcPr>
                <w:p w14:paraId="69C61325" w14:textId="77777777" w:rsidR="00016355" w:rsidRPr="003736F5" w:rsidRDefault="00016355" w:rsidP="002D7CB8">
                  <w:pPr>
                    <w:pStyle w:val="NoSpacing"/>
                    <w:rPr>
                      <w:rFonts w:cs="Times New Roman"/>
                      <w:bCs/>
                      <w:i/>
                    </w:rPr>
                  </w:pPr>
                  <w:r w:rsidRPr="003736F5">
                    <w:rPr>
                      <w:rFonts w:cs="Times New Roman"/>
                      <w:bCs/>
                      <w:i/>
                    </w:rPr>
                    <w:t>5,750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≤6,000</w:t>
                  </w:r>
                </w:p>
              </w:tc>
              <w:tc>
                <w:tcPr>
                  <w:tcW w:w="790" w:type="pct"/>
                  <w:vMerge/>
                  <w:tcBorders>
                    <w:top w:val="nil"/>
                    <w:bottom w:val="nil"/>
                  </w:tcBorders>
                  <w:shd w:val="clear" w:color="auto" w:fill="D9D9D9"/>
                  <w:vAlign w:val="center"/>
                </w:tcPr>
                <w:p w14:paraId="6ED96501" w14:textId="77777777" w:rsidR="00016355" w:rsidRPr="003736F5" w:rsidRDefault="00016355" w:rsidP="002D7CB8">
                  <w:pPr>
                    <w:pStyle w:val="NoSpacing"/>
                    <w:rPr>
                      <w:rFonts w:cs="Times New Roman"/>
                    </w:rPr>
                  </w:pPr>
                </w:p>
              </w:tc>
              <w:tc>
                <w:tcPr>
                  <w:tcW w:w="878" w:type="pct"/>
                  <w:vMerge w:val="restart"/>
                  <w:tcBorders>
                    <w:top w:val="nil"/>
                    <w:bottom w:val="nil"/>
                  </w:tcBorders>
                  <w:shd w:val="clear" w:color="auto" w:fill="D9D9D9"/>
                  <w:vAlign w:val="center"/>
                </w:tcPr>
                <w:p w14:paraId="2504CD27" w14:textId="77777777" w:rsidR="00016355" w:rsidRPr="003736F5" w:rsidRDefault="00016355" w:rsidP="002D7CB8">
                  <w:pPr>
                    <w:pStyle w:val="NoSpacing"/>
                    <w:rPr>
                      <w:rFonts w:cs="Times New Roman"/>
                    </w:rPr>
                  </w:pPr>
                  <w:r w:rsidRPr="003736F5">
                    <w:rPr>
                      <w:rFonts w:cs="Times New Roman"/>
                    </w:rPr>
                    <w:t>0.2</w:t>
                  </w:r>
                </w:p>
              </w:tc>
              <w:tc>
                <w:tcPr>
                  <w:tcW w:w="572" w:type="pct"/>
                  <w:vMerge/>
                  <w:shd w:val="clear" w:color="auto" w:fill="auto"/>
                  <w:vAlign w:val="center"/>
                </w:tcPr>
                <w:p w14:paraId="443F1953" w14:textId="77777777" w:rsidR="00016355" w:rsidRPr="003736F5" w:rsidRDefault="00016355" w:rsidP="002D7CB8">
                  <w:pPr>
                    <w:pStyle w:val="NoSpacing"/>
                    <w:rPr>
                      <w:rFonts w:cs="Times New Roman"/>
                    </w:rPr>
                  </w:pPr>
                </w:p>
              </w:tc>
              <w:tc>
                <w:tcPr>
                  <w:tcW w:w="640" w:type="pct"/>
                  <w:gridSpan w:val="2"/>
                  <w:vMerge/>
                  <w:shd w:val="clear" w:color="auto" w:fill="auto"/>
                  <w:vAlign w:val="center"/>
                </w:tcPr>
                <w:p w14:paraId="43BB5BEB"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05C22D40" w14:textId="77777777" w:rsidR="00016355" w:rsidRPr="003736F5" w:rsidRDefault="00016355" w:rsidP="002D7CB8">
                  <w:pPr>
                    <w:pStyle w:val="NoSpacing"/>
                    <w:rPr>
                      <w:rFonts w:cs="Times New Roman"/>
                    </w:rPr>
                  </w:pPr>
                </w:p>
              </w:tc>
            </w:tr>
            <w:tr w:rsidR="00C116FA" w:rsidRPr="003736F5" w14:paraId="27851769" w14:textId="77777777" w:rsidTr="00BC5C25">
              <w:trPr>
                <w:trHeight w:val="233"/>
                <w:jc w:val="center"/>
              </w:trPr>
              <w:tc>
                <w:tcPr>
                  <w:tcW w:w="1412" w:type="pct"/>
                  <w:tcBorders>
                    <w:top w:val="nil"/>
                    <w:bottom w:val="nil"/>
                  </w:tcBorders>
                  <w:shd w:val="clear" w:color="auto" w:fill="auto"/>
                  <w:vAlign w:val="center"/>
                </w:tcPr>
                <w:p w14:paraId="372DAE40" w14:textId="77777777" w:rsidR="00016355" w:rsidRPr="003736F5" w:rsidRDefault="00016355" w:rsidP="002D7CB8">
                  <w:pPr>
                    <w:pStyle w:val="NoSpacing"/>
                    <w:rPr>
                      <w:rFonts w:cs="Times New Roman"/>
                      <w:bCs/>
                      <w:i/>
                    </w:rPr>
                  </w:pPr>
                  <w:r w:rsidRPr="003736F5">
                    <w:rPr>
                      <w:rFonts w:cs="Times New Roman"/>
                      <w:bCs/>
                      <w:i/>
                    </w:rPr>
                    <w:t>6,000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≤7,000</w:t>
                  </w:r>
                </w:p>
              </w:tc>
              <w:tc>
                <w:tcPr>
                  <w:tcW w:w="790" w:type="pct"/>
                  <w:tcBorders>
                    <w:top w:val="nil"/>
                    <w:bottom w:val="nil"/>
                  </w:tcBorders>
                  <w:shd w:val="clear" w:color="auto" w:fill="FFFFFF"/>
                  <w:vAlign w:val="center"/>
                </w:tcPr>
                <w:p w14:paraId="6E828FEF" w14:textId="77777777" w:rsidR="00016355" w:rsidRPr="003736F5" w:rsidRDefault="00016355" w:rsidP="002D7CB8">
                  <w:pPr>
                    <w:pStyle w:val="NoSpacing"/>
                    <w:rPr>
                      <w:rFonts w:cs="Times New Roman"/>
                    </w:rPr>
                  </w:pPr>
                  <w:r w:rsidRPr="003736F5">
                    <w:rPr>
                      <w:rFonts w:cs="Times New Roman"/>
                    </w:rPr>
                    <w:t>0.1</w:t>
                  </w:r>
                </w:p>
              </w:tc>
              <w:tc>
                <w:tcPr>
                  <w:tcW w:w="878" w:type="pct"/>
                  <w:vMerge/>
                  <w:tcBorders>
                    <w:top w:val="nil"/>
                    <w:bottom w:val="nil"/>
                  </w:tcBorders>
                  <w:shd w:val="clear" w:color="auto" w:fill="auto"/>
                  <w:vAlign w:val="center"/>
                </w:tcPr>
                <w:p w14:paraId="21D8B6FE" w14:textId="77777777" w:rsidR="00016355" w:rsidRPr="003736F5" w:rsidRDefault="00016355" w:rsidP="002D7CB8">
                  <w:pPr>
                    <w:pStyle w:val="NoSpacing"/>
                    <w:rPr>
                      <w:rFonts w:cs="Times New Roman"/>
                    </w:rPr>
                  </w:pPr>
                </w:p>
              </w:tc>
              <w:tc>
                <w:tcPr>
                  <w:tcW w:w="572" w:type="pct"/>
                  <w:vMerge/>
                  <w:tcBorders>
                    <w:top w:val="single" w:sz="4" w:space="0" w:color="7F7F7F"/>
                    <w:bottom w:val="single" w:sz="4" w:space="0" w:color="7F7F7F"/>
                  </w:tcBorders>
                  <w:shd w:val="clear" w:color="auto" w:fill="auto"/>
                  <w:vAlign w:val="center"/>
                </w:tcPr>
                <w:p w14:paraId="11F0E8CC" w14:textId="77777777" w:rsidR="00016355" w:rsidRPr="003736F5" w:rsidRDefault="00016355" w:rsidP="002D7CB8">
                  <w:pPr>
                    <w:pStyle w:val="NoSpacing"/>
                    <w:rPr>
                      <w:rFonts w:cs="Times New Roman"/>
                    </w:rPr>
                  </w:pPr>
                </w:p>
              </w:tc>
              <w:tc>
                <w:tcPr>
                  <w:tcW w:w="640" w:type="pct"/>
                  <w:gridSpan w:val="2"/>
                  <w:vMerge/>
                  <w:tcBorders>
                    <w:top w:val="single" w:sz="4" w:space="0" w:color="7F7F7F"/>
                    <w:bottom w:val="single" w:sz="4" w:space="0" w:color="7F7F7F"/>
                  </w:tcBorders>
                  <w:shd w:val="clear" w:color="auto" w:fill="auto"/>
                  <w:vAlign w:val="center"/>
                </w:tcPr>
                <w:p w14:paraId="621F8843"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6EBB6E58" w14:textId="77777777" w:rsidR="00016355" w:rsidRPr="003736F5" w:rsidRDefault="00016355" w:rsidP="002D7CB8">
                  <w:pPr>
                    <w:pStyle w:val="NoSpacing"/>
                    <w:rPr>
                      <w:rFonts w:cs="Times New Roman"/>
                    </w:rPr>
                  </w:pPr>
                </w:p>
              </w:tc>
            </w:tr>
            <w:tr w:rsidR="00C116FA" w:rsidRPr="003736F5" w14:paraId="03BD517A" w14:textId="77777777" w:rsidTr="00BC5C25">
              <w:trPr>
                <w:trHeight w:val="233"/>
                <w:jc w:val="center"/>
              </w:trPr>
              <w:tc>
                <w:tcPr>
                  <w:tcW w:w="1412" w:type="pct"/>
                  <w:tcBorders>
                    <w:top w:val="nil"/>
                    <w:bottom w:val="nil"/>
                  </w:tcBorders>
                  <w:shd w:val="clear" w:color="auto" w:fill="auto"/>
                  <w:vAlign w:val="center"/>
                </w:tcPr>
                <w:p w14:paraId="37DFF149" w14:textId="77777777" w:rsidR="00016355" w:rsidRPr="003736F5" w:rsidRDefault="00016355" w:rsidP="002D7CB8">
                  <w:pPr>
                    <w:pStyle w:val="NoSpacing"/>
                    <w:rPr>
                      <w:rFonts w:cs="Times New Roman"/>
                      <w:bCs/>
                      <w:i/>
                    </w:rPr>
                  </w:pPr>
                  <w:r w:rsidRPr="003736F5">
                    <w:rPr>
                      <w:rFonts w:cs="Times New Roman"/>
                      <w:bCs/>
                      <w:i/>
                    </w:rPr>
                    <w:t>7,000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≤8,000</w:t>
                  </w:r>
                </w:p>
              </w:tc>
              <w:tc>
                <w:tcPr>
                  <w:tcW w:w="790" w:type="pct"/>
                  <w:vMerge w:val="restart"/>
                  <w:tcBorders>
                    <w:top w:val="nil"/>
                    <w:bottom w:val="nil"/>
                  </w:tcBorders>
                  <w:shd w:val="clear" w:color="auto" w:fill="D9D9D9"/>
                  <w:vAlign w:val="center"/>
                </w:tcPr>
                <w:p w14:paraId="253844B4" w14:textId="77777777" w:rsidR="00016355" w:rsidRPr="003736F5" w:rsidRDefault="00016355" w:rsidP="002D7CB8">
                  <w:pPr>
                    <w:pStyle w:val="NoSpacing"/>
                    <w:rPr>
                      <w:rFonts w:cs="Times New Roman"/>
                    </w:rPr>
                  </w:pPr>
                  <w:r w:rsidRPr="003736F5">
                    <w:rPr>
                      <w:rFonts w:cs="Times New Roman"/>
                    </w:rPr>
                    <w:t>0.05</w:t>
                  </w:r>
                </w:p>
              </w:tc>
              <w:tc>
                <w:tcPr>
                  <w:tcW w:w="878" w:type="pct"/>
                  <w:tcBorders>
                    <w:top w:val="nil"/>
                    <w:bottom w:val="nil"/>
                  </w:tcBorders>
                  <w:shd w:val="clear" w:color="auto" w:fill="FFFFFF"/>
                  <w:vAlign w:val="center"/>
                </w:tcPr>
                <w:p w14:paraId="7AB0764B" w14:textId="77777777" w:rsidR="00016355" w:rsidRPr="003736F5" w:rsidRDefault="00016355" w:rsidP="002D7CB8">
                  <w:pPr>
                    <w:pStyle w:val="NoSpacing"/>
                    <w:rPr>
                      <w:rFonts w:cs="Times New Roman"/>
                    </w:rPr>
                  </w:pPr>
                  <w:r w:rsidRPr="003736F5">
                    <w:rPr>
                      <w:rFonts w:cs="Times New Roman"/>
                    </w:rPr>
                    <w:t>0.1</w:t>
                  </w:r>
                </w:p>
              </w:tc>
              <w:tc>
                <w:tcPr>
                  <w:tcW w:w="572" w:type="pct"/>
                  <w:vMerge/>
                  <w:tcBorders>
                    <w:bottom w:val="nil"/>
                  </w:tcBorders>
                  <w:shd w:val="clear" w:color="auto" w:fill="auto"/>
                  <w:vAlign w:val="center"/>
                </w:tcPr>
                <w:p w14:paraId="5EB71155" w14:textId="77777777" w:rsidR="00016355" w:rsidRPr="003736F5" w:rsidRDefault="00016355" w:rsidP="002D7CB8">
                  <w:pPr>
                    <w:pStyle w:val="NoSpacing"/>
                    <w:rPr>
                      <w:rFonts w:cs="Times New Roman"/>
                    </w:rPr>
                  </w:pPr>
                </w:p>
              </w:tc>
              <w:tc>
                <w:tcPr>
                  <w:tcW w:w="640" w:type="pct"/>
                  <w:gridSpan w:val="2"/>
                  <w:vMerge/>
                  <w:tcBorders>
                    <w:bottom w:val="nil"/>
                  </w:tcBorders>
                  <w:shd w:val="clear" w:color="auto" w:fill="auto"/>
                  <w:vAlign w:val="center"/>
                </w:tcPr>
                <w:p w14:paraId="3020CDE9" w14:textId="77777777" w:rsidR="00016355" w:rsidRPr="003736F5" w:rsidRDefault="00016355" w:rsidP="002D7CB8">
                  <w:pPr>
                    <w:pStyle w:val="NoSpacing"/>
                    <w:rPr>
                      <w:rFonts w:cs="Times New Roman"/>
                    </w:rPr>
                  </w:pPr>
                </w:p>
              </w:tc>
              <w:tc>
                <w:tcPr>
                  <w:tcW w:w="708" w:type="pct"/>
                  <w:vMerge/>
                  <w:tcBorders>
                    <w:top w:val="single" w:sz="4" w:space="0" w:color="auto"/>
                    <w:bottom w:val="nil"/>
                  </w:tcBorders>
                  <w:shd w:val="clear" w:color="auto" w:fill="auto"/>
                  <w:vAlign w:val="center"/>
                </w:tcPr>
                <w:p w14:paraId="758829ED" w14:textId="77777777" w:rsidR="00016355" w:rsidRPr="003736F5" w:rsidRDefault="00016355" w:rsidP="002D7CB8">
                  <w:pPr>
                    <w:pStyle w:val="NoSpacing"/>
                    <w:rPr>
                      <w:rFonts w:cs="Times New Roman"/>
                    </w:rPr>
                  </w:pPr>
                </w:p>
              </w:tc>
            </w:tr>
            <w:tr w:rsidR="00C116FA" w:rsidRPr="003736F5" w14:paraId="55148654" w14:textId="77777777" w:rsidTr="00BC5C25">
              <w:trPr>
                <w:trHeight w:val="233"/>
                <w:jc w:val="center"/>
              </w:trPr>
              <w:tc>
                <w:tcPr>
                  <w:tcW w:w="1412" w:type="pct"/>
                  <w:tcBorders>
                    <w:top w:val="nil"/>
                    <w:bottom w:val="nil"/>
                  </w:tcBorders>
                  <w:shd w:val="clear" w:color="auto" w:fill="auto"/>
                  <w:vAlign w:val="center"/>
                </w:tcPr>
                <w:p w14:paraId="10EB69D9" w14:textId="77777777" w:rsidR="00016355" w:rsidRPr="003736F5" w:rsidRDefault="00016355" w:rsidP="002D7CB8">
                  <w:pPr>
                    <w:pStyle w:val="NoSpacing"/>
                    <w:rPr>
                      <w:rFonts w:cs="Times New Roman"/>
                      <w:bCs/>
                      <w:i/>
                    </w:rPr>
                  </w:pPr>
                  <w:r w:rsidRPr="003736F5">
                    <w:rPr>
                      <w:rFonts w:cs="Times New Roman"/>
                      <w:bCs/>
                      <w:i/>
                    </w:rPr>
                    <w:t>8,000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≤10,000</w:t>
                  </w:r>
                </w:p>
              </w:tc>
              <w:tc>
                <w:tcPr>
                  <w:tcW w:w="790" w:type="pct"/>
                  <w:vMerge/>
                  <w:tcBorders>
                    <w:top w:val="nil"/>
                    <w:bottom w:val="nil"/>
                  </w:tcBorders>
                  <w:shd w:val="clear" w:color="auto" w:fill="D9D9D9"/>
                  <w:vAlign w:val="center"/>
                </w:tcPr>
                <w:p w14:paraId="324869F9" w14:textId="77777777" w:rsidR="00016355" w:rsidRPr="003736F5" w:rsidRDefault="00016355" w:rsidP="002D7CB8">
                  <w:pPr>
                    <w:pStyle w:val="NoSpacing"/>
                    <w:rPr>
                      <w:rFonts w:cs="Times New Roman"/>
                    </w:rPr>
                  </w:pPr>
                </w:p>
              </w:tc>
              <w:tc>
                <w:tcPr>
                  <w:tcW w:w="878" w:type="pct"/>
                  <w:vMerge w:val="restart"/>
                  <w:tcBorders>
                    <w:top w:val="nil"/>
                    <w:bottom w:val="nil"/>
                  </w:tcBorders>
                  <w:shd w:val="clear" w:color="auto" w:fill="D9D9D9"/>
                  <w:vAlign w:val="center"/>
                </w:tcPr>
                <w:p w14:paraId="1F163B84" w14:textId="77777777" w:rsidR="00016355" w:rsidRPr="003736F5" w:rsidRDefault="00016355" w:rsidP="002D7CB8">
                  <w:pPr>
                    <w:pStyle w:val="NoSpacing"/>
                    <w:rPr>
                      <w:rFonts w:cs="Times New Roman"/>
                    </w:rPr>
                  </w:pPr>
                  <w:r w:rsidRPr="003736F5">
                    <w:rPr>
                      <w:rFonts w:cs="Times New Roman"/>
                    </w:rPr>
                    <w:t>0.05</w:t>
                  </w:r>
                </w:p>
              </w:tc>
              <w:tc>
                <w:tcPr>
                  <w:tcW w:w="572" w:type="pct"/>
                  <w:tcBorders>
                    <w:top w:val="nil"/>
                    <w:bottom w:val="nil"/>
                  </w:tcBorders>
                  <w:shd w:val="clear" w:color="auto" w:fill="FFFFFF"/>
                  <w:vAlign w:val="center"/>
                </w:tcPr>
                <w:p w14:paraId="32F60A6D" w14:textId="77777777" w:rsidR="00016355" w:rsidRPr="003736F5" w:rsidRDefault="00016355" w:rsidP="002D7CB8">
                  <w:pPr>
                    <w:pStyle w:val="NoSpacing"/>
                    <w:rPr>
                      <w:rFonts w:cs="Times New Roman"/>
                    </w:rPr>
                  </w:pPr>
                  <w:r w:rsidRPr="003736F5">
                    <w:rPr>
                      <w:rFonts w:cs="Times New Roman"/>
                    </w:rPr>
                    <w:t>0.4</w:t>
                  </w:r>
                </w:p>
              </w:tc>
              <w:tc>
                <w:tcPr>
                  <w:tcW w:w="640" w:type="pct"/>
                  <w:gridSpan w:val="2"/>
                  <w:tcBorders>
                    <w:top w:val="nil"/>
                    <w:bottom w:val="nil"/>
                  </w:tcBorders>
                  <w:shd w:val="clear" w:color="auto" w:fill="FFFFFF"/>
                  <w:vAlign w:val="center"/>
                </w:tcPr>
                <w:p w14:paraId="23FAB86A" w14:textId="77777777" w:rsidR="00016355" w:rsidRPr="003736F5" w:rsidRDefault="00016355" w:rsidP="002D7CB8">
                  <w:pPr>
                    <w:pStyle w:val="NoSpacing"/>
                    <w:rPr>
                      <w:rFonts w:cs="Times New Roman"/>
                    </w:rPr>
                  </w:pPr>
                  <w:r w:rsidRPr="003736F5">
                    <w:rPr>
                      <w:rFonts w:cs="Times New Roman"/>
                    </w:rPr>
                    <w:t>0.5</w:t>
                  </w:r>
                </w:p>
              </w:tc>
              <w:tc>
                <w:tcPr>
                  <w:tcW w:w="708" w:type="pct"/>
                  <w:vMerge/>
                  <w:tcBorders>
                    <w:top w:val="single" w:sz="4" w:space="0" w:color="auto"/>
                    <w:bottom w:val="nil"/>
                  </w:tcBorders>
                  <w:shd w:val="clear" w:color="auto" w:fill="auto"/>
                  <w:vAlign w:val="center"/>
                </w:tcPr>
                <w:p w14:paraId="6481728D" w14:textId="77777777" w:rsidR="00016355" w:rsidRPr="003736F5" w:rsidRDefault="00016355" w:rsidP="002D7CB8">
                  <w:pPr>
                    <w:pStyle w:val="NoSpacing"/>
                    <w:rPr>
                      <w:rFonts w:cs="Times New Roman"/>
                    </w:rPr>
                  </w:pPr>
                </w:p>
              </w:tc>
            </w:tr>
            <w:tr w:rsidR="00C116FA" w:rsidRPr="003736F5" w14:paraId="67021164" w14:textId="77777777" w:rsidTr="00BC5C25">
              <w:trPr>
                <w:trHeight w:val="233"/>
                <w:jc w:val="center"/>
              </w:trPr>
              <w:tc>
                <w:tcPr>
                  <w:tcW w:w="1412" w:type="pct"/>
                  <w:tcBorders>
                    <w:top w:val="nil"/>
                    <w:bottom w:val="nil"/>
                  </w:tcBorders>
                  <w:shd w:val="clear" w:color="auto" w:fill="auto"/>
                  <w:vAlign w:val="center"/>
                </w:tcPr>
                <w:p w14:paraId="0F722F11" w14:textId="77777777" w:rsidR="00016355" w:rsidRPr="003736F5" w:rsidRDefault="00016355" w:rsidP="002D7CB8">
                  <w:pPr>
                    <w:pStyle w:val="NoSpacing"/>
                    <w:rPr>
                      <w:rFonts w:cs="Times New Roman"/>
                      <w:bCs/>
                      <w:i/>
                    </w:rPr>
                  </w:pPr>
                  <w:r w:rsidRPr="003736F5">
                    <w:rPr>
                      <w:rFonts w:cs="Times New Roman"/>
                      <w:bCs/>
                      <w:i/>
                    </w:rPr>
                    <w:t>10,00</w:t>
                  </w:r>
                  <w:proofErr w:type="gramStart"/>
                  <w:r w:rsidRPr="003736F5">
                    <w:rPr>
                      <w:rFonts w:cs="Times New Roman"/>
                      <w:bCs/>
                      <w:i/>
                    </w:rPr>
                    <w:t>&lt;</w:t>
                  </w:r>
                  <w:r w:rsidRPr="003736F5">
                    <w:rPr>
                      <w:rFonts w:cs="Times New Roman"/>
                      <w:i/>
                      <w:szCs w:val="24"/>
                    </w:rPr>
                    <w:t xml:space="preserve">  </w:t>
                  </w:r>
                  <w:r w:rsidRPr="003736F5">
                    <w:rPr>
                      <w:rFonts w:cs="Times New Roman"/>
                      <w:bCs/>
                      <w:i/>
                    </w:rPr>
                    <w:t>RV</w:t>
                  </w:r>
                  <w:proofErr w:type="gramEnd"/>
                  <w:r w:rsidRPr="003736F5">
                    <w:rPr>
                      <w:rFonts w:cs="Times New Roman"/>
                      <w:i/>
                      <w:szCs w:val="24"/>
                    </w:rPr>
                    <w:t xml:space="preserve"> </w:t>
                  </w:r>
                  <w:r w:rsidRPr="003736F5">
                    <w:rPr>
                      <w:rFonts w:cs="Times New Roman"/>
                      <w:bCs/>
                      <w:i/>
                    </w:rPr>
                    <w:t>≤11,500</w:t>
                  </w:r>
                </w:p>
              </w:tc>
              <w:tc>
                <w:tcPr>
                  <w:tcW w:w="790" w:type="pct"/>
                  <w:tcBorders>
                    <w:top w:val="nil"/>
                    <w:bottom w:val="nil"/>
                  </w:tcBorders>
                  <w:shd w:val="clear" w:color="auto" w:fill="FFFFFF"/>
                  <w:vAlign w:val="center"/>
                </w:tcPr>
                <w:p w14:paraId="2A845DE4" w14:textId="77777777" w:rsidR="00016355" w:rsidRPr="003736F5" w:rsidRDefault="00016355" w:rsidP="002D7CB8">
                  <w:pPr>
                    <w:pStyle w:val="NoSpacing"/>
                    <w:rPr>
                      <w:rFonts w:cs="Times New Roman"/>
                    </w:rPr>
                  </w:pPr>
                </w:p>
              </w:tc>
              <w:tc>
                <w:tcPr>
                  <w:tcW w:w="878" w:type="pct"/>
                  <w:vMerge/>
                  <w:tcBorders>
                    <w:top w:val="nil"/>
                    <w:bottom w:val="nil"/>
                  </w:tcBorders>
                  <w:shd w:val="clear" w:color="auto" w:fill="D9D9D9"/>
                  <w:vAlign w:val="center"/>
                </w:tcPr>
                <w:p w14:paraId="3312CEF1" w14:textId="77777777" w:rsidR="00016355" w:rsidRPr="003736F5" w:rsidRDefault="00016355" w:rsidP="002D7CB8">
                  <w:pPr>
                    <w:pStyle w:val="NoSpacing"/>
                    <w:rPr>
                      <w:rFonts w:cs="Times New Roman"/>
                    </w:rPr>
                  </w:pPr>
                </w:p>
              </w:tc>
              <w:tc>
                <w:tcPr>
                  <w:tcW w:w="572" w:type="pct"/>
                  <w:tcBorders>
                    <w:top w:val="nil"/>
                    <w:bottom w:val="nil"/>
                  </w:tcBorders>
                  <w:shd w:val="clear" w:color="auto" w:fill="FFFFFF"/>
                  <w:vAlign w:val="center"/>
                </w:tcPr>
                <w:p w14:paraId="7399C897" w14:textId="77777777" w:rsidR="00016355" w:rsidRPr="003736F5" w:rsidRDefault="00016355" w:rsidP="002D7CB8">
                  <w:pPr>
                    <w:pStyle w:val="NoSpacing"/>
                    <w:rPr>
                      <w:rFonts w:cs="Times New Roman"/>
                    </w:rPr>
                  </w:pPr>
                </w:p>
              </w:tc>
              <w:tc>
                <w:tcPr>
                  <w:tcW w:w="640" w:type="pct"/>
                  <w:gridSpan w:val="2"/>
                  <w:tcBorders>
                    <w:top w:val="nil"/>
                    <w:bottom w:val="nil"/>
                  </w:tcBorders>
                  <w:shd w:val="clear" w:color="auto" w:fill="FFFFFF"/>
                  <w:vAlign w:val="center"/>
                </w:tcPr>
                <w:p w14:paraId="6DB14F46" w14:textId="77777777" w:rsidR="00016355" w:rsidRPr="003736F5" w:rsidRDefault="00016355" w:rsidP="002D7CB8">
                  <w:pPr>
                    <w:pStyle w:val="NoSpacing"/>
                    <w:rPr>
                      <w:rFonts w:cs="Times New Roman"/>
                    </w:rPr>
                  </w:pPr>
                </w:p>
              </w:tc>
              <w:tc>
                <w:tcPr>
                  <w:tcW w:w="708" w:type="pct"/>
                  <w:tcBorders>
                    <w:top w:val="nil"/>
                    <w:bottom w:val="nil"/>
                  </w:tcBorders>
                  <w:shd w:val="clear" w:color="auto" w:fill="auto"/>
                  <w:vAlign w:val="center"/>
                </w:tcPr>
                <w:p w14:paraId="463B2B89" w14:textId="77777777" w:rsidR="00016355" w:rsidRPr="003736F5" w:rsidRDefault="00016355" w:rsidP="002D7CB8">
                  <w:pPr>
                    <w:pStyle w:val="NoSpacing"/>
                    <w:rPr>
                      <w:rFonts w:cs="Times New Roman"/>
                    </w:rPr>
                  </w:pPr>
                </w:p>
              </w:tc>
            </w:tr>
            <w:tr w:rsidR="00C116FA" w:rsidRPr="003736F5" w14:paraId="6301ACFA" w14:textId="77777777" w:rsidTr="00BC5C25">
              <w:trPr>
                <w:trHeight w:val="233"/>
                <w:jc w:val="center"/>
              </w:trPr>
              <w:tc>
                <w:tcPr>
                  <w:tcW w:w="1412" w:type="pct"/>
                  <w:tcBorders>
                    <w:top w:val="nil"/>
                    <w:bottom w:val="nil"/>
                  </w:tcBorders>
                  <w:shd w:val="clear" w:color="auto" w:fill="auto"/>
                  <w:vAlign w:val="center"/>
                </w:tcPr>
                <w:p w14:paraId="55621560" w14:textId="77777777" w:rsidR="00016355" w:rsidRPr="003736F5" w:rsidRDefault="00016355" w:rsidP="002D7CB8">
                  <w:pPr>
                    <w:pStyle w:val="NoSpacing"/>
                    <w:rPr>
                      <w:rFonts w:cs="Times New Roman"/>
                      <w:bCs/>
                      <w:i/>
                    </w:rPr>
                  </w:pPr>
                  <w:r w:rsidRPr="003736F5">
                    <w:rPr>
                      <w:rFonts w:cs="Times New Roman"/>
                      <w:bCs/>
                      <w:i/>
                    </w:rPr>
                    <w:t>10,000&lt;</w:t>
                  </w:r>
                  <w:r w:rsidRPr="003736F5">
                    <w:rPr>
                      <w:rFonts w:cs="Times New Roman"/>
                      <w:i/>
                      <w:szCs w:val="24"/>
                    </w:rPr>
                    <w:t xml:space="preserve"> </w:t>
                  </w:r>
                  <w:r w:rsidRPr="003736F5">
                    <w:rPr>
                      <w:rFonts w:cs="Times New Roman"/>
                      <w:bCs/>
                      <w:i/>
                    </w:rPr>
                    <w:t>RV</w:t>
                  </w:r>
                  <w:r w:rsidRPr="003736F5">
                    <w:rPr>
                      <w:rFonts w:cs="Times New Roman"/>
                      <w:i/>
                      <w:szCs w:val="24"/>
                    </w:rPr>
                    <w:t xml:space="preserve"> </w:t>
                  </w:r>
                  <w:r w:rsidRPr="003736F5">
                    <w:rPr>
                      <w:rFonts w:cs="Times New Roman"/>
                      <w:bCs/>
                      <w:i/>
                    </w:rPr>
                    <w:t>≤12,000</w:t>
                  </w:r>
                </w:p>
              </w:tc>
              <w:tc>
                <w:tcPr>
                  <w:tcW w:w="790" w:type="pct"/>
                  <w:vMerge w:val="restart"/>
                  <w:tcBorders>
                    <w:top w:val="nil"/>
                    <w:bottom w:val="nil"/>
                  </w:tcBorders>
                  <w:shd w:val="clear" w:color="auto" w:fill="F2F2F2"/>
                  <w:vAlign w:val="center"/>
                </w:tcPr>
                <w:p w14:paraId="2EDADADE" w14:textId="77777777" w:rsidR="00016355" w:rsidRPr="003736F5" w:rsidRDefault="00016355" w:rsidP="002D7CB8">
                  <w:pPr>
                    <w:pStyle w:val="NoSpacing"/>
                    <w:rPr>
                      <w:rFonts w:cs="Times New Roman"/>
                    </w:rPr>
                  </w:pPr>
                  <w:r w:rsidRPr="003736F5">
                    <w:rPr>
                      <w:rFonts w:cs="Times New Roman"/>
                    </w:rPr>
                    <w:t>0</w:t>
                  </w:r>
                </w:p>
              </w:tc>
              <w:tc>
                <w:tcPr>
                  <w:tcW w:w="878" w:type="pct"/>
                  <w:vMerge w:val="restart"/>
                  <w:tcBorders>
                    <w:top w:val="nil"/>
                    <w:bottom w:val="nil"/>
                  </w:tcBorders>
                  <w:shd w:val="clear" w:color="auto" w:fill="F2F2F2"/>
                  <w:vAlign w:val="center"/>
                </w:tcPr>
                <w:p w14:paraId="1D0B4C12" w14:textId="77777777" w:rsidR="00016355" w:rsidRPr="003736F5" w:rsidRDefault="00016355" w:rsidP="002D7CB8">
                  <w:pPr>
                    <w:pStyle w:val="NoSpacing"/>
                    <w:rPr>
                      <w:rFonts w:cs="Times New Roman"/>
                    </w:rPr>
                  </w:pPr>
                  <w:r w:rsidRPr="003736F5">
                    <w:rPr>
                      <w:rFonts w:cs="Times New Roman"/>
                      <w:szCs w:val="24"/>
                    </w:rPr>
                    <w:t>0</w:t>
                  </w:r>
                </w:p>
              </w:tc>
              <w:tc>
                <w:tcPr>
                  <w:tcW w:w="572" w:type="pct"/>
                  <w:vMerge w:val="restart"/>
                  <w:tcBorders>
                    <w:top w:val="nil"/>
                    <w:bottom w:val="nil"/>
                  </w:tcBorders>
                  <w:shd w:val="clear" w:color="auto" w:fill="D9D9D9"/>
                  <w:vAlign w:val="center"/>
                </w:tcPr>
                <w:p w14:paraId="557204B6" w14:textId="77777777" w:rsidR="00016355" w:rsidRPr="003736F5" w:rsidRDefault="00016355" w:rsidP="002D7CB8">
                  <w:pPr>
                    <w:pStyle w:val="NoSpacing"/>
                    <w:rPr>
                      <w:rFonts w:cs="Times New Roman"/>
                    </w:rPr>
                  </w:pPr>
                  <w:r w:rsidRPr="003736F5">
                    <w:rPr>
                      <w:rFonts w:cs="Times New Roman"/>
                    </w:rPr>
                    <w:t>0.2</w:t>
                  </w:r>
                </w:p>
              </w:tc>
              <w:tc>
                <w:tcPr>
                  <w:tcW w:w="640" w:type="pct"/>
                  <w:gridSpan w:val="2"/>
                  <w:vMerge w:val="restart"/>
                  <w:tcBorders>
                    <w:top w:val="nil"/>
                    <w:bottom w:val="nil"/>
                  </w:tcBorders>
                  <w:shd w:val="clear" w:color="auto" w:fill="D9D9D9"/>
                  <w:vAlign w:val="center"/>
                </w:tcPr>
                <w:p w14:paraId="122BA079" w14:textId="77777777" w:rsidR="00016355" w:rsidRPr="003736F5" w:rsidRDefault="00016355" w:rsidP="002D7CB8">
                  <w:pPr>
                    <w:pStyle w:val="NoSpacing"/>
                    <w:rPr>
                      <w:rFonts w:cs="Times New Roman"/>
                    </w:rPr>
                  </w:pPr>
                  <w:r w:rsidRPr="003736F5">
                    <w:rPr>
                      <w:rFonts w:cs="Times New Roman"/>
                    </w:rPr>
                    <w:t>0.25</w:t>
                  </w:r>
                </w:p>
              </w:tc>
              <w:tc>
                <w:tcPr>
                  <w:tcW w:w="708" w:type="pct"/>
                  <w:tcBorders>
                    <w:top w:val="nil"/>
                    <w:bottom w:val="nil"/>
                  </w:tcBorders>
                  <w:shd w:val="clear" w:color="auto" w:fill="D9D9D9"/>
                  <w:vAlign w:val="center"/>
                </w:tcPr>
                <w:p w14:paraId="2EB7FA14" w14:textId="77777777" w:rsidR="00016355" w:rsidRPr="003736F5" w:rsidRDefault="00016355" w:rsidP="002D7CB8">
                  <w:pPr>
                    <w:pStyle w:val="NoSpacing"/>
                    <w:rPr>
                      <w:rFonts w:cs="Times New Roman"/>
                    </w:rPr>
                  </w:pPr>
                  <w:r w:rsidRPr="003736F5">
                    <w:rPr>
                      <w:rFonts w:cs="Times New Roman"/>
                    </w:rPr>
                    <w:t>0.5</w:t>
                  </w:r>
                </w:p>
              </w:tc>
            </w:tr>
            <w:tr w:rsidR="00C116FA" w:rsidRPr="003736F5" w14:paraId="31E86ED9" w14:textId="77777777" w:rsidTr="00BC5C25">
              <w:trPr>
                <w:trHeight w:val="233"/>
                <w:jc w:val="center"/>
              </w:trPr>
              <w:tc>
                <w:tcPr>
                  <w:tcW w:w="1412" w:type="pct"/>
                  <w:tcBorders>
                    <w:top w:val="nil"/>
                    <w:bottom w:val="nil"/>
                  </w:tcBorders>
                  <w:shd w:val="clear" w:color="auto" w:fill="auto"/>
                  <w:vAlign w:val="center"/>
                </w:tcPr>
                <w:p w14:paraId="5255D93F" w14:textId="77777777" w:rsidR="00016355" w:rsidRPr="003736F5" w:rsidRDefault="00016355" w:rsidP="002D7CB8">
                  <w:pPr>
                    <w:pStyle w:val="NoSpacing"/>
                    <w:rPr>
                      <w:rFonts w:cs="Times New Roman"/>
                      <w:bCs/>
                      <w:i/>
                    </w:rPr>
                  </w:pPr>
                  <w:r w:rsidRPr="003736F5">
                    <w:rPr>
                      <w:rFonts w:cs="Times New Roman"/>
                      <w:bCs/>
                      <w:i/>
                    </w:rPr>
                    <w:t>12,000&lt;</w:t>
                  </w:r>
                  <w:r w:rsidRPr="003736F5">
                    <w:rPr>
                      <w:rFonts w:cs="Times New Roman"/>
                      <w:i/>
                      <w:szCs w:val="24"/>
                    </w:rPr>
                    <w:t xml:space="preserve"> </w:t>
                  </w:r>
                  <w:r w:rsidRPr="003736F5">
                    <w:rPr>
                      <w:rFonts w:cs="Times New Roman"/>
                      <w:bCs/>
                      <w:i/>
                    </w:rPr>
                    <w:t>RV</w:t>
                  </w:r>
                  <w:r w:rsidRPr="003736F5">
                    <w:rPr>
                      <w:rFonts w:cs="Times New Roman"/>
                      <w:i/>
                      <w:szCs w:val="24"/>
                    </w:rPr>
                    <w:t xml:space="preserve"> </w:t>
                  </w:r>
                  <w:r w:rsidRPr="003736F5">
                    <w:rPr>
                      <w:rFonts w:cs="Times New Roman"/>
                      <w:bCs/>
                      <w:i/>
                    </w:rPr>
                    <w:t>≤15,000</w:t>
                  </w:r>
                </w:p>
              </w:tc>
              <w:tc>
                <w:tcPr>
                  <w:tcW w:w="790" w:type="pct"/>
                  <w:vMerge/>
                  <w:tcBorders>
                    <w:top w:val="nil"/>
                    <w:bottom w:val="nil"/>
                  </w:tcBorders>
                  <w:shd w:val="clear" w:color="auto" w:fill="F2F2F2"/>
                  <w:vAlign w:val="center"/>
                </w:tcPr>
                <w:p w14:paraId="427C2B57" w14:textId="77777777" w:rsidR="00016355" w:rsidRPr="003736F5" w:rsidRDefault="00016355" w:rsidP="002D7CB8">
                  <w:pPr>
                    <w:pStyle w:val="NoSpacing"/>
                    <w:rPr>
                      <w:rFonts w:cs="Times New Roman"/>
                    </w:rPr>
                  </w:pPr>
                </w:p>
              </w:tc>
              <w:tc>
                <w:tcPr>
                  <w:tcW w:w="878" w:type="pct"/>
                  <w:vMerge/>
                  <w:tcBorders>
                    <w:top w:val="nil"/>
                    <w:bottom w:val="nil"/>
                  </w:tcBorders>
                  <w:shd w:val="clear" w:color="auto" w:fill="F2F2F2"/>
                  <w:vAlign w:val="center"/>
                </w:tcPr>
                <w:p w14:paraId="30978033" w14:textId="77777777" w:rsidR="00016355" w:rsidRPr="003736F5" w:rsidRDefault="00016355" w:rsidP="002D7CB8">
                  <w:pPr>
                    <w:pStyle w:val="NoSpacing"/>
                    <w:rPr>
                      <w:rFonts w:cs="Times New Roman"/>
                    </w:rPr>
                  </w:pPr>
                </w:p>
              </w:tc>
              <w:tc>
                <w:tcPr>
                  <w:tcW w:w="572" w:type="pct"/>
                  <w:vMerge/>
                  <w:tcBorders>
                    <w:top w:val="nil"/>
                    <w:bottom w:val="nil"/>
                  </w:tcBorders>
                  <w:shd w:val="clear" w:color="auto" w:fill="D9D9D9"/>
                  <w:vAlign w:val="center"/>
                </w:tcPr>
                <w:p w14:paraId="3F1DE4F7" w14:textId="77777777" w:rsidR="00016355" w:rsidRPr="003736F5" w:rsidRDefault="00016355" w:rsidP="002D7CB8">
                  <w:pPr>
                    <w:pStyle w:val="NoSpacing"/>
                    <w:rPr>
                      <w:rFonts w:cs="Times New Roman"/>
                    </w:rPr>
                  </w:pPr>
                </w:p>
              </w:tc>
              <w:tc>
                <w:tcPr>
                  <w:tcW w:w="640" w:type="pct"/>
                  <w:gridSpan w:val="2"/>
                  <w:vMerge/>
                  <w:tcBorders>
                    <w:top w:val="nil"/>
                    <w:bottom w:val="nil"/>
                  </w:tcBorders>
                  <w:shd w:val="clear" w:color="auto" w:fill="D9D9D9"/>
                  <w:vAlign w:val="center"/>
                </w:tcPr>
                <w:p w14:paraId="78E5B9A9" w14:textId="77777777" w:rsidR="00016355" w:rsidRPr="003736F5" w:rsidRDefault="00016355" w:rsidP="002D7CB8">
                  <w:pPr>
                    <w:pStyle w:val="NoSpacing"/>
                    <w:rPr>
                      <w:rFonts w:cs="Times New Roman"/>
                    </w:rPr>
                  </w:pPr>
                </w:p>
              </w:tc>
              <w:tc>
                <w:tcPr>
                  <w:tcW w:w="708" w:type="pct"/>
                  <w:vMerge w:val="restart"/>
                  <w:tcBorders>
                    <w:top w:val="nil"/>
                    <w:bottom w:val="nil"/>
                  </w:tcBorders>
                  <w:shd w:val="clear" w:color="auto" w:fill="D9D9D9"/>
                  <w:vAlign w:val="center"/>
                </w:tcPr>
                <w:p w14:paraId="201071BF" w14:textId="77777777" w:rsidR="00016355" w:rsidRPr="003736F5" w:rsidRDefault="00016355" w:rsidP="002D7CB8">
                  <w:pPr>
                    <w:pStyle w:val="NoSpacing"/>
                    <w:rPr>
                      <w:rFonts w:cs="Times New Roman"/>
                    </w:rPr>
                  </w:pPr>
                  <w:r w:rsidRPr="003736F5">
                    <w:rPr>
                      <w:rFonts w:cs="Times New Roman"/>
                    </w:rPr>
                    <w:t>0.25</w:t>
                  </w:r>
                </w:p>
              </w:tc>
            </w:tr>
            <w:tr w:rsidR="00C116FA" w:rsidRPr="003736F5" w14:paraId="6B6F13B7" w14:textId="77777777" w:rsidTr="00BC5C25">
              <w:trPr>
                <w:trHeight w:val="233"/>
                <w:jc w:val="center"/>
              </w:trPr>
              <w:tc>
                <w:tcPr>
                  <w:tcW w:w="1412" w:type="pct"/>
                  <w:tcBorders>
                    <w:top w:val="nil"/>
                    <w:bottom w:val="nil"/>
                  </w:tcBorders>
                  <w:shd w:val="clear" w:color="auto" w:fill="auto"/>
                  <w:vAlign w:val="center"/>
                </w:tcPr>
                <w:p w14:paraId="3CF15918" w14:textId="77777777" w:rsidR="00016355" w:rsidRPr="003736F5" w:rsidRDefault="00016355" w:rsidP="002D7CB8">
                  <w:pPr>
                    <w:pStyle w:val="NoSpacing"/>
                    <w:rPr>
                      <w:rFonts w:cs="Times New Roman"/>
                      <w:bCs/>
                      <w:i/>
                    </w:rPr>
                  </w:pPr>
                  <w:r w:rsidRPr="003736F5">
                    <w:rPr>
                      <w:rFonts w:cs="Times New Roman"/>
                      <w:bCs/>
                      <w:i/>
                    </w:rPr>
                    <w:t>15,000&lt;</w:t>
                  </w:r>
                  <w:r w:rsidRPr="003736F5">
                    <w:rPr>
                      <w:rFonts w:cs="Times New Roman"/>
                      <w:i/>
                      <w:szCs w:val="24"/>
                    </w:rPr>
                    <w:t xml:space="preserve"> </w:t>
                  </w:r>
                  <w:r w:rsidRPr="003736F5">
                    <w:rPr>
                      <w:rFonts w:cs="Times New Roman"/>
                      <w:bCs/>
                      <w:i/>
                    </w:rPr>
                    <w:t>RV</w:t>
                  </w:r>
                  <w:r w:rsidRPr="003736F5">
                    <w:rPr>
                      <w:rFonts w:cs="Times New Roman"/>
                      <w:i/>
                      <w:szCs w:val="24"/>
                    </w:rPr>
                    <w:t xml:space="preserve"> </w:t>
                  </w:r>
                  <w:r w:rsidRPr="003736F5">
                    <w:rPr>
                      <w:rFonts w:cs="Times New Roman"/>
                      <w:bCs/>
                      <w:i/>
                    </w:rPr>
                    <w:t>≤18,000</w:t>
                  </w:r>
                </w:p>
              </w:tc>
              <w:tc>
                <w:tcPr>
                  <w:tcW w:w="790" w:type="pct"/>
                  <w:vMerge/>
                  <w:tcBorders>
                    <w:top w:val="nil"/>
                    <w:bottom w:val="nil"/>
                  </w:tcBorders>
                  <w:shd w:val="clear" w:color="auto" w:fill="F2F2F2"/>
                  <w:vAlign w:val="center"/>
                </w:tcPr>
                <w:p w14:paraId="11F3B487" w14:textId="77777777" w:rsidR="00016355" w:rsidRPr="003736F5" w:rsidRDefault="00016355" w:rsidP="002D7CB8">
                  <w:pPr>
                    <w:pStyle w:val="NoSpacing"/>
                    <w:rPr>
                      <w:rFonts w:cs="Times New Roman"/>
                    </w:rPr>
                  </w:pPr>
                </w:p>
              </w:tc>
              <w:tc>
                <w:tcPr>
                  <w:tcW w:w="878" w:type="pct"/>
                  <w:vMerge/>
                  <w:tcBorders>
                    <w:top w:val="nil"/>
                    <w:bottom w:val="nil"/>
                  </w:tcBorders>
                  <w:shd w:val="clear" w:color="auto" w:fill="F2F2F2"/>
                  <w:vAlign w:val="center"/>
                </w:tcPr>
                <w:p w14:paraId="4D616B78" w14:textId="77777777" w:rsidR="00016355" w:rsidRPr="003736F5" w:rsidRDefault="00016355" w:rsidP="002D7CB8">
                  <w:pPr>
                    <w:pStyle w:val="NoSpacing"/>
                    <w:rPr>
                      <w:rFonts w:cs="Times New Roman"/>
                    </w:rPr>
                  </w:pPr>
                </w:p>
              </w:tc>
              <w:tc>
                <w:tcPr>
                  <w:tcW w:w="1212" w:type="pct"/>
                  <w:gridSpan w:val="3"/>
                  <w:vMerge w:val="restart"/>
                  <w:tcBorders>
                    <w:top w:val="nil"/>
                    <w:bottom w:val="nil"/>
                  </w:tcBorders>
                  <w:shd w:val="clear" w:color="auto" w:fill="F2F2F2"/>
                  <w:vAlign w:val="center"/>
                </w:tcPr>
                <w:p w14:paraId="2D64BEED" w14:textId="77777777" w:rsidR="00016355" w:rsidRPr="003736F5" w:rsidRDefault="00016355" w:rsidP="002D7CB8">
                  <w:pPr>
                    <w:pStyle w:val="NoSpacing"/>
                    <w:rPr>
                      <w:rFonts w:cs="Times New Roman"/>
                    </w:rPr>
                  </w:pPr>
                  <w:r w:rsidRPr="003736F5">
                    <w:rPr>
                      <w:rFonts w:cs="Times New Roman"/>
                    </w:rPr>
                    <w:t>0</w:t>
                  </w:r>
                </w:p>
              </w:tc>
              <w:tc>
                <w:tcPr>
                  <w:tcW w:w="708" w:type="pct"/>
                  <w:vMerge/>
                  <w:tcBorders>
                    <w:top w:val="nil"/>
                    <w:bottom w:val="nil"/>
                  </w:tcBorders>
                  <w:shd w:val="clear" w:color="auto" w:fill="F2F2F2"/>
                  <w:vAlign w:val="center"/>
                </w:tcPr>
                <w:p w14:paraId="0CFD45E5" w14:textId="77777777" w:rsidR="00016355" w:rsidRPr="003736F5" w:rsidRDefault="00016355" w:rsidP="002D7CB8">
                  <w:pPr>
                    <w:pStyle w:val="NoSpacing"/>
                    <w:rPr>
                      <w:rFonts w:cs="Times New Roman"/>
                    </w:rPr>
                  </w:pPr>
                </w:p>
              </w:tc>
            </w:tr>
            <w:tr w:rsidR="00C116FA" w:rsidRPr="003736F5" w14:paraId="72BA5E37" w14:textId="77777777" w:rsidTr="00BC5C25">
              <w:trPr>
                <w:trHeight w:val="233"/>
                <w:jc w:val="center"/>
              </w:trPr>
              <w:tc>
                <w:tcPr>
                  <w:tcW w:w="1412" w:type="pct"/>
                  <w:tcBorders>
                    <w:top w:val="nil"/>
                    <w:bottom w:val="nil"/>
                  </w:tcBorders>
                  <w:shd w:val="clear" w:color="auto" w:fill="auto"/>
                  <w:vAlign w:val="center"/>
                </w:tcPr>
                <w:p w14:paraId="1F545628" w14:textId="77777777" w:rsidR="00016355" w:rsidRPr="003736F5" w:rsidRDefault="00016355" w:rsidP="002D7CB8">
                  <w:pPr>
                    <w:pStyle w:val="NoSpacing"/>
                    <w:rPr>
                      <w:rFonts w:cs="Times New Roman"/>
                      <w:bCs/>
                      <w:i/>
                    </w:rPr>
                  </w:pPr>
                  <w:r w:rsidRPr="003736F5">
                    <w:rPr>
                      <w:rFonts w:cs="Times New Roman"/>
                      <w:bCs/>
                      <w:i/>
                    </w:rPr>
                    <w:t>18,000&lt;</w:t>
                  </w:r>
                  <w:r w:rsidRPr="003736F5">
                    <w:rPr>
                      <w:rFonts w:cs="Times New Roman"/>
                      <w:i/>
                      <w:szCs w:val="24"/>
                    </w:rPr>
                    <w:t xml:space="preserve"> </w:t>
                  </w:r>
                  <w:r w:rsidRPr="003736F5">
                    <w:rPr>
                      <w:rFonts w:cs="Times New Roman"/>
                      <w:bCs/>
                      <w:i/>
                    </w:rPr>
                    <w:t>RV</w:t>
                  </w:r>
                </w:p>
              </w:tc>
              <w:tc>
                <w:tcPr>
                  <w:tcW w:w="790" w:type="pct"/>
                  <w:vMerge/>
                  <w:tcBorders>
                    <w:top w:val="nil"/>
                    <w:bottom w:val="nil"/>
                  </w:tcBorders>
                  <w:shd w:val="clear" w:color="auto" w:fill="F2F2F2"/>
                  <w:vAlign w:val="center"/>
                </w:tcPr>
                <w:p w14:paraId="017A0DFC" w14:textId="77777777" w:rsidR="00016355" w:rsidRPr="003736F5" w:rsidRDefault="00016355" w:rsidP="002D7CB8">
                  <w:pPr>
                    <w:pStyle w:val="NoSpacing"/>
                    <w:rPr>
                      <w:rFonts w:cs="Times New Roman"/>
                    </w:rPr>
                  </w:pPr>
                </w:p>
              </w:tc>
              <w:tc>
                <w:tcPr>
                  <w:tcW w:w="878" w:type="pct"/>
                  <w:vMerge/>
                  <w:tcBorders>
                    <w:top w:val="nil"/>
                    <w:bottom w:val="nil"/>
                  </w:tcBorders>
                  <w:shd w:val="clear" w:color="auto" w:fill="F2F2F2"/>
                  <w:vAlign w:val="center"/>
                </w:tcPr>
                <w:p w14:paraId="42771AAB" w14:textId="77777777" w:rsidR="00016355" w:rsidRPr="003736F5" w:rsidRDefault="00016355" w:rsidP="002D7CB8">
                  <w:pPr>
                    <w:pStyle w:val="NoSpacing"/>
                    <w:rPr>
                      <w:rFonts w:cs="Times New Roman"/>
                    </w:rPr>
                  </w:pPr>
                </w:p>
              </w:tc>
              <w:tc>
                <w:tcPr>
                  <w:tcW w:w="1212" w:type="pct"/>
                  <w:gridSpan w:val="3"/>
                  <w:vMerge/>
                  <w:tcBorders>
                    <w:top w:val="nil"/>
                    <w:bottom w:val="nil"/>
                  </w:tcBorders>
                  <w:shd w:val="clear" w:color="auto" w:fill="F2F2F2"/>
                  <w:vAlign w:val="center"/>
                </w:tcPr>
                <w:p w14:paraId="6E46ECB5" w14:textId="77777777" w:rsidR="00016355" w:rsidRPr="003736F5" w:rsidRDefault="00016355" w:rsidP="002D7CB8">
                  <w:pPr>
                    <w:pStyle w:val="NoSpacing"/>
                    <w:rPr>
                      <w:rFonts w:cs="Times New Roman"/>
                    </w:rPr>
                  </w:pPr>
                </w:p>
              </w:tc>
              <w:tc>
                <w:tcPr>
                  <w:tcW w:w="708" w:type="pct"/>
                  <w:tcBorders>
                    <w:top w:val="nil"/>
                    <w:bottom w:val="nil"/>
                  </w:tcBorders>
                  <w:shd w:val="clear" w:color="auto" w:fill="F2F2F2"/>
                  <w:vAlign w:val="center"/>
                </w:tcPr>
                <w:p w14:paraId="31F3D836" w14:textId="77777777" w:rsidR="00016355" w:rsidRPr="003736F5" w:rsidRDefault="00016355" w:rsidP="002D7CB8">
                  <w:pPr>
                    <w:pStyle w:val="NoSpacing"/>
                    <w:rPr>
                      <w:rFonts w:cs="Times New Roman"/>
                    </w:rPr>
                  </w:pPr>
                  <w:r w:rsidRPr="003736F5">
                    <w:rPr>
                      <w:rFonts w:cs="Times New Roman"/>
                    </w:rPr>
                    <w:t>0</w:t>
                  </w:r>
                </w:p>
              </w:tc>
            </w:tr>
          </w:tbl>
          <w:p w14:paraId="72BD5292" w14:textId="77777777" w:rsidR="00016355" w:rsidRPr="003736F5" w:rsidRDefault="00016355" w:rsidP="00F33A4C">
            <w:pPr>
              <w:rPr>
                <w:rFonts w:cs="Times New Roman"/>
                <w:szCs w:val="24"/>
              </w:rPr>
            </w:pPr>
          </w:p>
        </w:tc>
      </w:tr>
      <w:tr w:rsidR="00016355" w:rsidRPr="003736F5" w14:paraId="5E42B83E" w14:textId="77777777" w:rsidTr="00B5197C">
        <w:trPr>
          <w:cantSplit/>
          <w:tblHeader/>
        </w:trPr>
        <w:tc>
          <w:tcPr>
            <w:tcW w:w="8675" w:type="dxa"/>
            <w:tcBorders>
              <w:top w:val="single" w:sz="4" w:space="0" w:color="auto"/>
              <w:bottom w:val="nil"/>
            </w:tcBorders>
            <w:shd w:val="clear" w:color="auto" w:fill="auto"/>
          </w:tcPr>
          <w:p w14:paraId="2EECB48C" w14:textId="40E9328D" w:rsidR="00016355" w:rsidRPr="003736F5" w:rsidRDefault="00016355" w:rsidP="00BC5C25">
            <w:pPr>
              <w:spacing w:line="240" w:lineRule="auto"/>
              <w:rPr>
                <w:rFonts w:cs="Times New Roman"/>
              </w:rPr>
            </w:pPr>
            <w:r w:rsidRPr="003736F5">
              <w:rPr>
                <w:rFonts w:cs="Times New Roman"/>
              </w:rPr>
              <w:t xml:space="preserve">Values are in </w:t>
            </w:r>
            <w:r w:rsidR="007E169B" w:rsidRPr="003736F5">
              <w:rPr>
                <w:rFonts w:cs="Times New Roman"/>
              </w:rPr>
              <w:t xml:space="preserve">a </w:t>
            </w:r>
            <w:r w:rsidRPr="003736F5">
              <w:rPr>
                <w:rFonts w:cs="Times New Roman"/>
              </w:rPr>
              <w:t xml:space="preserve">numeric expression, </w:t>
            </w:r>
            <w:r w:rsidR="00731E78" w:rsidRPr="003736F5">
              <w:rPr>
                <w:rFonts w:cs="Times New Roman"/>
              </w:rPr>
              <w:t>e.g.,</w:t>
            </w:r>
            <w:r w:rsidRPr="003736F5">
              <w:rPr>
                <w:rFonts w:cs="Times New Roman"/>
              </w:rPr>
              <w:t xml:space="preserve"> 0.5 corresponds to 50%. </w:t>
            </w:r>
          </w:p>
          <w:p w14:paraId="49D728BD" w14:textId="77777777" w:rsidR="00016355" w:rsidRPr="003736F5" w:rsidRDefault="00016355" w:rsidP="00BC5C25">
            <w:pPr>
              <w:spacing w:line="240" w:lineRule="auto"/>
              <w:rPr>
                <w:rFonts w:eastAsia="MS Mincho" w:cs="Times New Roman"/>
                <w:szCs w:val="24"/>
              </w:rPr>
            </w:pPr>
            <w:r w:rsidRPr="003736F5">
              <w:rPr>
                <w:rFonts w:cs="Times New Roman"/>
              </w:rPr>
              <w:t>Source: Non-Domestic Rate (Scotland) Orders.</w:t>
            </w:r>
          </w:p>
        </w:tc>
      </w:tr>
    </w:tbl>
    <w:p w14:paraId="40A31DB5" w14:textId="77777777" w:rsidR="00252703" w:rsidRPr="003736F5" w:rsidRDefault="00252703" w:rsidP="00252703">
      <w:pPr>
        <w:spacing w:line="240" w:lineRule="auto"/>
        <w:rPr>
          <w:rFonts w:cs="Times New Roman"/>
          <w:b/>
          <w:bCs/>
        </w:rPr>
      </w:pPr>
    </w:p>
    <w:p w14:paraId="4CB773E8" w14:textId="77777777" w:rsidR="003B73A8" w:rsidRPr="003736F5" w:rsidRDefault="00252703" w:rsidP="002D179F">
      <w:pPr>
        <w:spacing w:after="0" w:line="240" w:lineRule="auto"/>
        <w:rPr>
          <w:rFonts w:cs="Times New Roman"/>
        </w:rPr>
      </w:pPr>
      <w:r w:rsidRPr="003736F5">
        <w:rPr>
          <w:rFonts w:cs="Times New Roman"/>
          <w:b/>
          <w:bCs/>
        </w:rPr>
        <w:br w:type="page"/>
      </w:r>
    </w:p>
    <w:p w14:paraId="34E66C3D" w14:textId="77777777" w:rsidR="006C53C3" w:rsidRPr="003736F5" w:rsidRDefault="005B4AF4" w:rsidP="005B4AF4">
      <w:pPr>
        <w:pStyle w:val="H2"/>
        <w:rPr>
          <w:rFonts w:cs="Times New Roman"/>
          <w:b/>
          <w:color w:val="000000"/>
          <w:sz w:val="24"/>
        </w:rPr>
      </w:pPr>
      <w:r w:rsidRPr="003736F5">
        <w:rPr>
          <w:rFonts w:cs="Times New Roman"/>
          <w:b/>
          <w:color w:val="000000"/>
          <w:sz w:val="24"/>
        </w:rPr>
        <w:lastRenderedPageBreak/>
        <w:t xml:space="preserve">Appendix </w:t>
      </w:r>
      <w:r w:rsidR="00D506EB" w:rsidRPr="003736F5">
        <w:rPr>
          <w:rFonts w:cs="Times New Roman"/>
          <w:b/>
          <w:color w:val="000000"/>
          <w:sz w:val="24"/>
        </w:rPr>
        <w:t>2</w:t>
      </w:r>
    </w:p>
    <w:p w14:paraId="06D33BA7" w14:textId="766DBEE9" w:rsidR="005B4AF4" w:rsidRPr="003736F5" w:rsidRDefault="006C53C3" w:rsidP="005B4AF4">
      <w:pPr>
        <w:pStyle w:val="H2"/>
        <w:rPr>
          <w:rFonts w:cs="Times New Roman"/>
          <w:b/>
          <w:i/>
          <w:iCs/>
          <w:noProof/>
          <w:color w:val="000000"/>
          <w:sz w:val="24"/>
          <w:szCs w:val="24"/>
        </w:rPr>
      </w:pPr>
      <w:r w:rsidRPr="003736F5">
        <w:rPr>
          <w:rFonts w:cs="Times New Roman"/>
          <w:b/>
          <w:color w:val="000000"/>
          <w:sz w:val="24"/>
        </w:rPr>
        <w:t xml:space="preserve">Table </w:t>
      </w:r>
      <w:r w:rsidR="006E197F" w:rsidRPr="003736F5">
        <w:rPr>
          <w:rFonts w:cs="Times New Roman"/>
          <w:b/>
          <w:color w:val="000000"/>
          <w:sz w:val="24"/>
        </w:rPr>
        <w:t>4</w:t>
      </w:r>
      <w:r w:rsidR="00004F9F" w:rsidRPr="003736F5">
        <w:rPr>
          <w:rFonts w:cs="Times New Roman"/>
          <w:b/>
          <w:color w:val="000000"/>
          <w:sz w:val="24"/>
        </w:rPr>
        <w:t>:</w:t>
      </w:r>
      <w:r w:rsidR="005B4AF4" w:rsidRPr="003736F5">
        <w:rPr>
          <w:rFonts w:cs="Times New Roman"/>
          <w:b/>
          <w:color w:val="000000"/>
          <w:sz w:val="24"/>
        </w:rPr>
        <w:t xml:space="preserve"> </w:t>
      </w:r>
      <w:r w:rsidR="005B4AF4" w:rsidRPr="003736F5">
        <w:rPr>
          <w:rFonts w:cs="Times New Roman"/>
          <w:b/>
          <w:color w:val="000000"/>
          <w:sz w:val="24"/>
          <w:szCs w:val="24"/>
        </w:rPr>
        <w:t>Descriptive statistics of</w:t>
      </w:r>
      <w:r w:rsidR="00F14826" w:rsidRPr="003736F5">
        <w:rPr>
          <w:rFonts w:cs="Times New Roman"/>
          <w:b/>
          <w:color w:val="000000"/>
          <w:sz w:val="24"/>
          <w:szCs w:val="24"/>
        </w:rPr>
        <w:t xml:space="preserve"> main variables </w:t>
      </w:r>
      <w:r w:rsidR="00055CAF" w:rsidRPr="003736F5">
        <w:rPr>
          <w:rFonts w:cs="Times New Roman"/>
          <w:b/>
          <w:color w:val="000000"/>
          <w:sz w:val="24"/>
          <w:szCs w:val="24"/>
        </w:rPr>
        <w:t>(</w:t>
      </w:r>
      <w:r w:rsidR="005B4AF4" w:rsidRPr="003736F5">
        <w:rPr>
          <w:rFonts w:cs="Times New Roman"/>
          <w:b/>
          <w:color w:val="000000"/>
          <w:sz w:val="24"/>
          <w:szCs w:val="24"/>
        </w:rPr>
        <w:t>raw data</w:t>
      </w:r>
      <w:r w:rsidR="00055CAF" w:rsidRPr="003736F5">
        <w:rPr>
          <w:rFonts w:cs="Times New Roman"/>
          <w:b/>
          <w:color w:val="000000"/>
          <w:sz w:val="24"/>
          <w:szCs w:val="24"/>
        </w:rPr>
        <w:t>)</w:t>
      </w:r>
    </w:p>
    <w:tbl>
      <w:tblPr>
        <w:tblW w:w="5167" w:type="pct"/>
        <w:tblLayout w:type="fixed"/>
        <w:tblLook w:val="06A0" w:firstRow="1" w:lastRow="0" w:firstColumn="1" w:lastColumn="0" w:noHBand="1" w:noVBand="1"/>
      </w:tblPr>
      <w:tblGrid>
        <w:gridCol w:w="2132"/>
        <w:gridCol w:w="1256"/>
        <w:gridCol w:w="1129"/>
        <w:gridCol w:w="1124"/>
        <w:gridCol w:w="1126"/>
        <w:gridCol w:w="914"/>
        <w:gridCol w:w="147"/>
        <w:gridCol w:w="914"/>
      </w:tblGrid>
      <w:tr w:rsidR="005B4AF4" w:rsidRPr="003736F5" w14:paraId="7DEC0D18" w14:textId="77777777" w:rsidTr="00AC01D7">
        <w:trPr>
          <w:trHeight w:val="19"/>
        </w:trPr>
        <w:tc>
          <w:tcPr>
            <w:tcW w:w="1219" w:type="pct"/>
            <w:tcBorders>
              <w:bottom w:val="single" w:sz="4" w:space="0" w:color="7F7F7F"/>
              <w:right w:val="nil"/>
            </w:tcBorders>
            <w:shd w:val="clear" w:color="auto" w:fill="FFFFFF"/>
            <w:noWrap/>
            <w:hideMark/>
          </w:tcPr>
          <w:p w14:paraId="70A420D3" w14:textId="77777777" w:rsidR="005B4AF4" w:rsidRPr="003736F5" w:rsidRDefault="005B4AF4" w:rsidP="007C3D87">
            <w:pPr>
              <w:pStyle w:val="NoSpacing"/>
              <w:jc w:val="right"/>
              <w:rPr>
                <w:rFonts w:cs="Times New Roman"/>
                <w:iCs/>
                <w:szCs w:val="24"/>
              </w:rPr>
            </w:pPr>
            <w:bookmarkStart w:id="15" w:name="_Hlk519587953"/>
            <w:r w:rsidRPr="003736F5">
              <w:rPr>
                <w:rFonts w:cs="Times New Roman"/>
                <w:iCs/>
                <w:szCs w:val="24"/>
              </w:rPr>
              <w:t>Variable</w:t>
            </w:r>
          </w:p>
        </w:tc>
        <w:tc>
          <w:tcPr>
            <w:tcW w:w="718" w:type="pct"/>
            <w:tcBorders>
              <w:bottom w:val="single" w:sz="4" w:space="0" w:color="7F7F7F"/>
            </w:tcBorders>
            <w:shd w:val="clear" w:color="auto" w:fill="FFFFFF"/>
            <w:noWrap/>
            <w:hideMark/>
          </w:tcPr>
          <w:p w14:paraId="638C3077" w14:textId="77777777" w:rsidR="005B4AF4" w:rsidRPr="003736F5" w:rsidRDefault="005B4AF4" w:rsidP="007C3D87">
            <w:pPr>
              <w:pStyle w:val="NoSpacing"/>
              <w:rPr>
                <w:rFonts w:cs="Times New Roman"/>
                <w:iCs/>
                <w:szCs w:val="24"/>
              </w:rPr>
            </w:pPr>
            <w:r w:rsidRPr="003736F5">
              <w:rPr>
                <w:rFonts w:cs="Times New Roman"/>
                <w:iCs/>
                <w:szCs w:val="24"/>
              </w:rPr>
              <w:t>N</w:t>
            </w:r>
          </w:p>
        </w:tc>
        <w:tc>
          <w:tcPr>
            <w:tcW w:w="646" w:type="pct"/>
            <w:tcBorders>
              <w:bottom w:val="single" w:sz="4" w:space="0" w:color="7F7F7F"/>
            </w:tcBorders>
            <w:shd w:val="clear" w:color="auto" w:fill="FFFFFF"/>
            <w:noWrap/>
            <w:hideMark/>
          </w:tcPr>
          <w:p w14:paraId="142C4224" w14:textId="77777777" w:rsidR="005B4AF4" w:rsidRPr="003736F5" w:rsidRDefault="005B4AF4" w:rsidP="007C3D87">
            <w:pPr>
              <w:pStyle w:val="NoSpacing"/>
              <w:rPr>
                <w:rFonts w:cs="Times New Roman"/>
                <w:iCs/>
                <w:szCs w:val="24"/>
              </w:rPr>
            </w:pPr>
            <w:r w:rsidRPr="003736F5">
              <w:rPr>
                <w:rFonts w:cs="Times New Roman"/>
                <w:iCs/>
                <w:szCs w:val="24"/>
              </w:rPr>
              <w:t>Mean</w:t>
            </w:r>
          </w:p>
        </w:tc>
        <w:tc>
          <w:tcPr>
            <w:tcW w:w="643" w:type="pct"/>
            <w:tcBorders>
              <w:bottom w:val="single" w:sz="4" w:space="0" w:color="7F7F7F"/>
            </w:tcBorders>
            <w:shd w:val="clear" w:color="auto" w:fill="FFFFFF"/>
            <w:noWrap/>
            <w:hideMark/>
          </w:tcPr>
          <w:p w14:paraId="00F20AB1" w14:textId="77777777" w:rsidR="005B4AF4" w:rsidRPr="003736F5" w:rsidRDefault="005B4AF4" w:rsidP="007C3D87">
            <w:pPr>
              <w:pStyle w:val="NoSpacing"/>
              <w:rPr>
                <w:rFonts w:cs="Times New Roman"/>
                <w:iCs/>
                <w:szCs w:val="24"/>
              </w:rPr>
            </w:pPr>
            <w:r w:rsidRPr="003736F5">
              <w:rPr>
                <w:rFonts w:cs="Times New Roman"/>
                <w:iCs/>
                <w:szCs w:val="24"/>
              </w:rPr>
              <w:t>St. Dev.</w:t>
            </w:r>
          </w:p>
        </w:tc>
        <w:tc>
          <w:tcPr>
            <w:tcW w:w="644" w:type="pct"/>
            <w:tcBorders>
              <w:bottom w:val="single" w:sz="4" w:space="0" w:color="7F7F7F"/>
            </w:tcBorders>
            <w:shd w:val="clear" w:color="auto" w:fill="FFFFFF"/>
            <w:noWrap/>
            <w:hideMark/>
          </w:tcPr>
          <w:p w14:paraId="6090D0D6" w14:textId="77777777" w:rsidR="005B4AF4" w:rsidRPr="003736F5" w:rsidRDefault="005B4AF4" w:rsidP="007C3D87">
            <w:pPr>
              <w:pStyle w:val="NoSpacing"/>
              <w:rPr>
                <w:rFonts w:cs="Times New Roman"/>
                <w:iCs/>
                <w:szCs w:val="24"/>
              </w:rPr>
            </w:pPr>
            <w:proofErr w:type="gramStart"/>
            <w:r w:rsidRPr="003736F5">
              <w:rPr>
                <w:rFonts w:cs="Times New Roman"/>
                <w:iCs/>
                <w:szCs w:val="24"/>
              </w:rPr>
              <w:t>Pctl(</w:t>
            </w:r>
            <w:proofErr w:type="gramEnd"/>
            <w:r w:rsidRPr="003736F5">
              <w:rPr>
                <w:rFonts w:cs="Times New Roman"/>
                <w:iCs/>
                <w:szCs w:val="24"/>
              </w:rPr>
              <w:t>25)</w:t>
            </w:r>
          </w:p>
        </w:tc>
        <w:tc>
          <w:tcPr>
            <w:tcW w:w="523" w:type="pct"/>
            <w:tcBorders>
              <w:bottom w:val="single" w:sz="4" w:space="0" w:color="7F7F7F"/>
            </w:tcBorders>
            <w:shd w:val="clear" w:color="auto" w:fill="FFFFFF"/>
            <w:noWrap/>
            <w:hideMark/>
          </w:tcPr>
          <w:p w14:paraId="2EA885D9" w14:textId="77777777" w:rsidR="005B4AF4" w:rsidRPr="003736F5" w:rsidRDefault="005B4AF4" w:rsidP="007C3D87">
            <w:pPr>
              <w:pStyle w:val="NoSpacing"/>
              <w:rPr>
                <w:rFonts w:cs="Times New Roman"/>
                <w:iCs/>
                <w:szCs w:val="24"/>
              </w:rPr>
            </w:pPr>
            <w:r w:rsidRPr="003736F5">
              <w:rPr>
                <w:rFonts w:cs="Times New Roman"/>
                <w:iCs/>
                <w:szCs w:val="24"/>
              </w:rPr>
              <w:t>Median</w:t>
            </w:r>
          </w:p>
        </w:tc>
        <w:tc>
          <w:tcPr>
            <w:tcW w:w="607" w:type="pct"/>
            <w:gridSpan w:val="2"/>
            <w:tcBorders>
              <w:bottom w:val="single" w:sz="4" w:space="0" w:color="7F7F7F"/>
            </w:tcBorders>
            <w:shd w:val="clear" w:color="auto" w:fill="FFFFFF"/>
            <w:noWrap/>
            <w:hideMark/>
          </w:tcPr>
          <w:p w14:paraId="1223AE8D" w14:textId="77777777" w:rsidR="005B4AF4" w:rsidRPr="003736F5" w:rsidRDefault="005B4AF4" w:rsidP="007C3D87">
            <w:pPr>
              <w:pStyle w:val="NoSpacing"/>
              <w:rPr>
                <w:rFonts w:cs="Times New Roman"/>
                <w:iCs/>
                <w:szCs w:val="24"/>
              </w:rPr>
            </w:pPr>
            <w:proofErr w:type="gramStart"/>
            <w:r w:rsidRPr="003736F5">
              <w:rPr>
                <w:rFonts w:cs="Times New Roman"/>
                <w:iCs/>
                <w:szCs w:val="24"/>
              </w:rPr>
              <w:t>Pctl(</w:t>
            </w:r>
            <w:proofErr w:type="gramEnd"/>
            <w:r w:rsidRPr="003736F5">
              <w:rPr>
                <w:rFonts w:cs="Times New Roman"/>
                <w:iCs/>
                <w:szCs w:val="24"/>
              </w:rPr>
              <w:t>75)</w:t>
            </w:r>
          </w:p>
        </w:tc>
      </w:tr>
      <w:tr w:rsidR="005B4AF4" w:rsidRPr="003736F5" w14:paraId="2F85C0D7" w14:textId="77777777" w:rsidTr="00AC01D7">
        <w:trPr>
          <w:trHeight w:val="19"/>
        </w:trPr>
        <w:tc>
          <w:tcPr>
            <w:tcW w:w="1219" w:type="pct"/>
            <w:tcBorders>
              <w:right w:val="single" w:sz="4" w:space="0" w:color="7F7F7F"/>
            </w:tcBorders>
            <w:shd w:val="clear" w:color="auto" w:fill="FFFFFF"/>
            <w:noWrap/>
            <w:hideMark/>
          </w:tcPr>
          <w:p w14:paraId="63BF428F" w14:textId="6D408E8A" w:rsidR="005B4AF4" w:rsidRPr="003736F5" w:rsidRDefault="001C1B91" w:rsidP="007C3D87">
            <w:pPr>
              <w:pStyle w:val="NoSpacing"/>
              <w:jc w:val="right"/>
              <w:rPr>
                <w:rFonts w:cs="Times New Roman"/>
                <w:iCs/>
                <w:szCs w:val="24"/>
              </w:rPr>
            </w:pPr>
            <w:r w:rsidRPr="003736F5">
              <w:rPr>
                <w:rFonts w:cs="Times New Roman"/>
                <w:iCs/>
                <w:szCs w:val="24"/>
              </w:rPr>
              <w:t>Industry concentration (</w:t>
            </w:r>
            <w:r w:rsidR="00906F39" w:rsidRPr="003736F5">
              <w:rPr>
                <w:rFonts w:cs="Times New Roman"/>
                <w:iCs/>
                <w:szCs w:val="24"/>
              </w:rPr>
              <w:t>HHI</w:t>
            </w:r>
            <w:r w:rsidRPr="003736F5">
              <w:rPr>
                <w:rFonts w:cs="Times New Roman"/>
                <w:iCs/>
                <w:szCs w:val="24"/>
              </w:rPr>
              <w:t>)</w:t>
            </w:r>
          </w:p>
        </w:tc>
        <w:tc>
          <w:tcPr>
            <w:tcW w:w="718" w:type="pct"/>
            <w:shd w:val="clear" w:color="auto" w:fill="auto"/>
            <w:noWrap/>
            <w:hideMark/>
          </w:tcPr>
          <w:p w14:paraId="3B695712" w14:textId="77777777" w:rsidR="005B4AF4" w:rsidRPr="003736F5" w:rsidRDefault="005B4AF4" w:rsidP="007C3D87">
            <w:pPr>
              <w:pStyle w:val="NoSpacing"/>
              <w:rPr>
                <w:rFonts w:cs="Times New Roman"/>
                <w:szCs w:val="24"/>
              </w:rPr>
            </w:pPr>
            <w:r w:rsidRPr="003736F5">
              <w:rPr>
                <w:rFonts w:cs="Times New Roman"/>
                <w:szCs w:val="24"/>
              </w:rPr>
              <w:t>6230916</w:t>
            </w:r>
          </w:p>
        </w:tc>
        <w:tc>
          <w:tcPr>
            <w:tcW w:w="646" w:type="pct"/>
            <w:shd w:val="clear" w:color="auto" w:fill="auto"/>
            <w:noWrap/>
            <w:hideMark/>
          </w:tcPr>
          <w:p w14:paraId="533E0F53" w14:textId="77777777" w:rsidR="005B4AF4" w:rsidRPr="003736F5" w:rsidRDefault="005B4AF4" w:rsidP="007C3D87">
            <w:pPr>
              <w:pStyle w:val="NoSpacing"/>
              <w:rPr>
                <w:rFonts w:cs="Times New Roman"/>
                <w:szCs w:val="24"/>
              </w:rPr>
            </w:pPr>
            <w:r w:rsidRPr="003736F5">
              <w:rPr>
                <w:rFonts w:cs="Times New Roman"/>
                <w:szCs w:val="24"/>
              </w:rPr>
              <w:t>0.012</w:t>
            </w:r>
          </w:p>
        </w:tc>
        <w:tc>
          <w:tcPr>
            <w:tcW w:w="643" w:type="pct"/>
            <w:shd w:val="clear" w:color="auto" w:fill="auto"/>
            <w:noWrap/>
            <w:hideMark/>
          </w:tcPr>
          <w:p w14:paraId="0EDECF6D" w14:textId="77777777" w:rsidR="005B4AF4" w:rsidRPr="003736F5" w:rsidRDefault="005B4AF4" w:rsidP="007C3D87">
            <w:pPr>
              <w:pStyle w:val="NoSpacing"/>
              <w:rPr>
                <w:rFonts w:cs="Times New Roman"/>
                <w:szCs w:val="24"/>
              </w:rPr>
            </w:pPr>
            <w:r w:rsidRPr="003736F5">
              <w:rPr>
                <w:rFonts w:cs="Times New Roman"/>
                <w:szCs w:val="24"/>
              </w:rPr>
              <w:t>0.03</w:t>
            </w:r>
          </w:p>
        </w:tc>
        <w:tc>
          <w:tcPr>
            <w:tcW w:w="644" w:type="pct"/>
            <w:shd w:val="clear" w:color="auto" w:fill="auto"/>
            <w:noWrap/>
            <w:hideMark/>
          </w:tcPr>
          <w:p w14:paraId="14C84E22" w14:textId="77777777" w:rsidR="005B4AF4" w:rsidRPr="003736F5" w:rsidRDefault="005B4AF4" w:rsidP="007C3D87">
            <w:pPr>
              <w:pStyle w:val="NoSpacing"/>
              <w:rPr>
                <w:rFonts w:cs="Times New Roman"/>
                <w:szCs w:val="24"/>
              </w:rPr>
            </w:pPr>
            <w:r w:rsidRPr="003736F5">
              <w:rPr>
                <w:rFonts w:cs="Times New Roman"/>
                <w:szCs w:val="24"/>
              </w:rPr>
              <w:t>0.002</w:t>
            </w:r>
          </w:p>
        </w:tc>
        <w:tc>
          <w:tcPr>
            <w:tcW w:w="607" w:type="pct"/>
            <w:gridSpan w:val="2"/>
            <w:shd w:val="clear" w:color="auto" w:fill="auto"/>
            <w:noWrap/>
            <w:hideMark/>
          </w:tcPr>
          <w:p w14:paraId="636A3768" w14:textId="77777777" w:rsidR="005B4AF4" w:rsidRPr="003736F5" w:rsidRDefault="005B4AF4" w:rsidP="007C3D87">
            <w:pPr>
              <w:pStyle w:val="NoSpacing"/>
              <w:rPr>
                <w:rFonts w:cs="Times New Roman"/>
                <w:szCs w:val="24"/>
              </w:rPr>
            </w:pPr>
            <w:r w:rsidRPr="003736F5">
              <w:rPr>
                <w:rFonts w:cs="Times New Roman"/>
                <w:szCs w:val="24"/>
              </w:rPr>
              <w:t>0.005</w:t>
            </w:r>
          </w:p>
        </w:tc>
        <w:tc>
          <w:tcPr>
            <w:tcW w:w="523" w:type="pct"/>
            <w:shd w:val="clear" w:color="auto" w:fill="auto"/>
            <w:noWrap/>
            <w:hideMark/>
          </w:tcPr>
          <w:p w14:paraId="7CDC6E70" w14:textId="77777777" w:rsidR="005B4AF4" w:rsidRPr="003736F5" w:rsidRDefault="005B4AF4" w:rsidP="007C3D87">
            <w:pPr>
              <w:pStyle w:val="NoSpacing"/>
              <w:rPr>
                <w:rFonts w:cs="Times New Roman"/>
                <w:szCs w:val="24"/>
              </w:rPr>
            </w:pPr>
            <w:r w:rsidRPr="003736F5">
              <w:rPr>
                <w:rFonts w:cs="Times New Roman"/>
                <w:szCs w:val="24"/>
              </w:rPr>
              <w:t>0.014</w:t>
            </w:r>
          </w:p>
        </w:tc>
      </w:tr>
      <w:tr w:rsidR="005B4AF4" w:rsidRPr="003736F5" w14:paraId="6E9C0CD9" w14:textId="77777777" w:rsidTr="00AC01D7">
        <w:trPr>
          <w:trHeight w:val="19"/>
        </w:trPr>
        <w:tc>
          <w:tcPr>
            <w:tcW w:w="1219" w:type="pct"/>
            <w:tcBorders>
              <w:right w:val="single" w:sz="4" w:space="0" w:color="7F7F7F"/>
            </w:tcBorders>
            <w:shd w:val="clear" w:color="auto" w:fill="FFFFFF"/>
            <w:noWrap/>
            <w:hideMark/>
          </w:tcPr>
          <w:p w14:paraId="3943BF37" w14:textId="560D4A5A" w:rsidR="005B4AF4" w:rsidRPr="003736F5" w:rsidRDefault="001C1B91" w:rsidP="007C3D87">
            <w:pPr>
              <w:pStyle w:val="NoSpacing"/>
              <w:jc w:val="right"/>
              <w:rPr>
                <w:rFonts w:cs="Times New Roman"/>
                <w:iCs/>
                <w:szCs w:val="24"/>
              </w:rPr>
            </w:pPr>
            <w:r w:rsidRPr="003736F5">
              <w:rPr>
                <w:rFonts w:cs="Times New Roman"/>
                <w:iCs/>
                <w:szCs w:val="24"/>
              </w:rPr>
              <w:t>The Jacobian production diversity (</w:t>
            </w:r>
            <w:r w:rsidR="00FF4C2C" w:rsidRPr="003736F5">
              <w:rPr>
                <w:rFonts w:cs="Times New Roman"/>
                <w:iCs/>
                <w:szCs w:val="24"/>
              </w:rPr>
              <w:t>PD</w:t>
            </w:r>
            <w:r w:rsidRPr="003736F5">
              <w:rPr>
                <w:rFonts w:cs="Times New Roman"/>
                <w:iCs/>
                <w:szCs w:val="24"/>
              </w:rPr>
              <w:t>)</w:t>
            </w:r>
          </w:p>
        </w:tc>
        <w:tc>
          <w:tcPr>
            <w:tcW w:w="718" w:type="pct"/>
            <w:shd w:val="clear" w:color="auto" w:fill="auto"/>
            <w:noWrap/>
            <w:hideMark/>
          </w:tcPr>
          <w:p w14:paraId="770B62EA" w14:textId="77777777" w:rsidR="005B4AF4" w:rsidRPr="003736F5" w:rsidRDefault="005B4AF4" w:rsidP="007C3D87">
            <w:pPr>
              <w:pStyle w:val="NoSpacing"/>
              <w:rPr>
                <w:rFonts w:cs="Times New Roman"/>
                <w:szCs w:val="24"/>
              </w:rPr>
            </w:pPr>
            <w:r w:rsidRPr="003736F5">
              <w:rPr>
                <w:rFonts w:cs="Times New Roman"/>
                <w:szCs w:val="24"/>
              </w:rPr>
              <w:t>6230916</w:t>
            </w:r>
          </w:p>
        </w:tc>
        <w:tc>
          <w:tcPr>
            <w:tcW w:w="646" w:type="pct"/>
            <w:shd w:val="clear" w:color="auto" w:fill="auto"/>
            <w:noWrap/>
            <w:hideMark/>
          </w:tcPr>
          <w:p w14:paraId="0ADEA538" w14:textId="77777777" w:rsidR="005B4AF4" w:rsidRPr="003736F5" w:rsidRDefault="005B4AF4" w:rsidP="007C3D87">
            <w:pPr>
              <w:pStyle w:val="NoSpacing"/>
              <w:rPr>
                <w:rFonts w:cs="Times New Roman"/>
                <w:szCs w:val="24"/>
              </w:rPr>
            </w:pPr>
            <w:r w:rsidRPr="003736F5">
              <w:rPr>
                <w:rFonts w:cs="Times New Roman"/>
                <w:szCs w:val="24"/>
              </w:rPr>
              <w:t>0.787</w:t>
            </w:r>
          </w:p>
        </w:tc>
        <w:tc>
          <w:tcPr>
            <w:tcW w:w="643" w:type="pct"/>
            <w:shd w:val="clear" w:color="auto" w:fill="auto"/>
            <w:noWrap/>
            <w:hideMark/>
          </w:tcPr>
          <w:p w14:paraId="1A7512B6" w14:textId="77777777" w:rsidR="005B4AF4" w:rsidRPr="003736F5" w:rsidRDefault="005B4AF4" w:rsidP="007C3D87">
            <w:pPr>
              <w:pStyle w:val="NoSpacing"/>
              <w:rPr>
                <w:rFonts w:cs="Times New Roman"/>
                <w:szCs w:val="24"/>
              </w:rPr>
            </w:pPr>
            <w:r w:rsidRPr="003736F5">
              <w:rPr>
                <w:rFonts w:cs="Times New Roman"/>
                <w:szCs w:val="24"/>
              </w:rPr>
              <w:t>0.074</w:t>
            </w:r>
          </w:p>
        </w:tc>
        <w:tc>
          <w:tcPr>
            <w:tcW w:w="644" w:type="pct"/>
            <w:shd w:val="clear" w:color="auto" w:fill="auto"/>
            <w:noWrap/>
            <w:hideMark/>
          </w:tcPr>
          <w:p w14:paraId="185BA0E5" w14:textId="77777777" w:rsidR="005B4AF4" w:rsidRPr="003736F5" w:rsidRDefault="005B4AF4" w:rsidP="007C3D87">
            <w:pPr>
              <w:pStyle w:val="NoSpacing"/>
              <w:rPr>
                <w:rFonts w:cs="Times New Roman"/>
                <w:szCs w:val="24"/>
              </w:rPr>
            </w:pPr>
            <w:r w:rsidRPr="003736F5">
              <w:rPr>
                <w:rFonts w:cs="Times New Roman"/>
                <w:szCs w:val="24"/>
              </w:rPr>
              <w:t>0.75</w:t>
            </w:r>
          </w:p>
        </w:tc>
        <w:tc>
          <w:tcPr>
            <w:tcW w:w="607" w:type="pct"/>
            <w:gridSpan w:val="2"/>
            <w:shd w:val="clear" w:color="auto" w:fill="auto"/>
            <w:noWrap/>
            <w:hideMark/>
          </w:tcPr>
          <w:p w14:paraId="0E381D54" w14:textId="77777777" w:rsidR="005B4AF4" w:rsidRPr="003736F5" w:rsidRDefault="005B4AF4" w:rsidP="007C3D87">
            <w:pPr>
              <w:pStyle w:val="NoSpacing"/>
              <w:rPr>
                <w:rFonts w:cs="Times New Roman"/>
                <w:szCs w:val="24"/>
              </w:rPr>
            </w:pPr>
            <w:r w:rsidRPr="003736F5">
              <w:rPr>
                <w:rFonts w:cs="Times New Roman"/>
                <w:szCs w:val="24"/>
              </w:rPr>
              <w:t>0.797</w:t>
            </w:r>
          </w:p>
        </w:tc>
        <w:tc>
          <w:tcPr>
            <w:tcW w:w="523" w:type="pct"/>
            <w:shd w:val="clear" w:color="auto" w:fill="auto"/>
            <w:noWrap/>
            <w:hideMark/>
          </w:tcPr>
          <w:p w14:paraId="19C9D278" w14:textId="77777777" w:rsidR="005B4AF4" w:rsidRPr="003736F5" w:rsidRDefault="005B4AF4" w:rsidP="007C3D87">
            <w:pPr>
              <w:pStyle w:val="NoSpacing"/>
              <w:rPr>
                <w:rFonts w:cs="Times New Roman"/>
                <w:szCs w:val="24"/>
              </w:rPr>
            </w:pPr>
            <w:r w:rsidRPr="003736F5">
              <w:rPr>
                <w:rFonts w:cs="Times New Roman"/>
                <w:szCs w:val="24"/>
              </w:rPr>
              <w:t>0.838</w:t>
            </w:r>
          </w:p>
        </w:tc>
      </w:tr>
      <w:tr w:rsidR="005B4AF4" w:rsidRPr="003736F5" w14:paraId="3BE856AA" w14:textId="77777777" w:rsidTr="00AC01D7">
        <w:trPr>
          <w:trHeight w:val="19"/>
        </w:trPr>
        <w:tc>
          <w:tcPr>
            <w:tcW w:w="1219" w:type="pct"/>
            <w:tcBorders>
              <w:right w:val="single" w:sz="4" w:space="0" w:color="7F7F7F"/>
            </w:tcBorders>
            <w:shd w:val="clear" w:color="auto" w:fill="FFFFFF"/>
            <w:noWrap/>
            <w:hideMark/>
          </w:tcPr>
          <w:p w14:paraId="73A5D711" w14:textId="77777777" w:rsidR="005B4AF4" w:rsidRPr="003736F5" w:rsidRDefault="005B4AF4" w:rsidP="007C3D87">
            <w:pPr>
              <w:pStyle w:val="NoSpacing"/>
              <w:jc w:val="right"/>
              <w:rPr>
                <w:rFonts w:cs="Times New Roman"/>
                <w:iCs/>
                <w:szCs w:val="24"/>
              </w:rPr>
            </w:pPr>
            <w:r w:rsidRPr="003736F5">
              <w:rPr>
                <w:rFonts w:cs="Times New Roman"/>
                <w:iCs/>
                <w:szCs w:val="24"/>
              </w:rPr>
              <w:t>PS</w:t>
            </w:r>
          </w:p>
        </w:tc>
        <w:tc>
          <w:tcPr>
            <w:tcW w:w="718" w:type="pct"/>
            <w:shd w:val="clear" w:color="auto" w:fill="auto"/>
            <w:noWrap/>
            <w:hideMark/>
          </w:tcPr>
          <w:p w14:paraId="3C38994B" w14:textId="77777777" w:rsidR="005B4AF4" w:rsidRPr="003736F5" w:rsidRDefault="005B4AF4" w:rsidP="007C3D87">
            <w:pPr>
              <w:pStyle w:val="NoSpacing"/>
              <w:rPr>
                <w:rFonts w:cs="Times New Roman"/>
                <w:szCs w:val="24"/>
              </w:rPr>
            </w:pPr>
            <w:r w:rsidRPr="003736F5">
              <w:rPr>
                <w:rFonts w:cs="Times New Roman"/>
                <w:szCs w:val="24"/>
              </w:rPr>
              <w:t>6229677</w:t>
            </w:r>
          </w:p>
        </w:tc>
        <w:tc>
          <w:tcPr>
            <w:tcW w:w="646" w:type="pct"/>
            <w:shd w:val="clear" w:color="auto" w:fill="auto"/>
            <w:noWrap/>
            <w:hideMark/>
          </w:tcPr>
          <w:p w14:paraId="625D9E4C" w14:textId="77777777" w:rsidR="005B4AF4" w:rsidRPr="003736F5" w:rsidRDefault="005B4AF4" w:rsidP="007C3D87">
            <w:pPr>
              <w:pStyle w:val="NoSpacing"/>
              <w:rPr>
                <w:rFonts w:cs="Times New Roman"/>
                <w:szCs w:val="24"/>
              </w:rPr>
            </w:pPr>
            <w:r w:rsidRPr="003736F5">
              <w:rPr>
                <w:rFonts w:cs="Times New Roman"/>
                <w:szCs w:val="24"/>
              </w:rPr>
              <w:t>1.482</w:t>
            </w:r>
          </w:p>
        </w:tc>
        <w:tc>
          <w:tcPr>
            <w:tcW w:w="643" w:type="pct"/>
            <w:shd w:val="clear" w:color="auto" w:fill="auto"/>
            <w:noWrap/>
            <w:hideMark/>
          </w:tcPr>
          <w:p w14:paraId="3C8EB176" w14:textId="77777777" w:rsidR="005B4AF4" w:rsidRPr="003736F5" w:rsidRDefault="005B4AF4" w:rsidP="007C3D87">
            <w:pPr>
              <w:pStyle w:val="NoSpacing"/>
              <w:rPr>
                <w:rFonts w:cs="Times New Roman"/>
                <w:szCs w:val="24"/>
              </w:rPr>
            </w:pPr>
            <w:r w:rsidRPr="003736F5">
              <w:rPr>
                <w:rFonts w:cs="Times New Roman"/>
                <w:szCs w:val="24"/>
              </w:rPr>
              <w:t>1.794</w:t>
            </w:r>
          </w:p>
        </w:tc>
        <w:tc>
          <w:tcPr>
            <w:tcW w:w="644" w:type="pct"/>
            <w:shd w:val="clear" w:color="auto" w:fill="auto"/>
            <w:noWrap/>
            <w:hideMark/>
          </w:tcPr>
          <w:p w14:paraId="493ACC44" w14:textId="77777777" w:rsidR="005B4AF4" w:rsidRPr="003736F5" w:rsidRDefault="005B4AF4" w:rsidP="007C3D87">
            <w:pPr>
              <w:pStyle w:val="NoSpacing"/>
              <w:rPr>
                <w:rFonts w:cs="Times New Roman"/>
                <w:szCs w:val="24"/>
              </w:rPr>
            </w:pPr>
            <w:r w:rsidRPr="003736F5">
              <w:rPr>
                <w:rFonts w:cs="Times New Roman"/>
                <w:szCs w:val="24"/>
              </w:rPr>
              <w:t>0.722</w:t>
            </w:r>
          </w:p>
        </w:tc>
        <w:tc>
          <w:tcPr>
            <w:tcW w:w="607" w:type="pct"/>
            <w:gridSpan w:val="2"/>
            <w:shd w:val="clear" w:color="auto" w:fill="auto"/>
            <w:noWrap/>
            <w:hideMark/>
          </w:tcPr>
          <w:p w14:paraId="6FBB22B8" w14:textId="77777777" w:rsidR="005B4AF4" w:rsidRPr="003736F5" w:rsidRDefault="005B4AF4" w:rsidP="007C3D87">
            <w:pPr>
              <w:pStyle w:val="NoSpacing"/>
              <w:rPr>
                <w:rFonts w:cs="Times New Roman"/>
                <w:szCs w:val="24"/>
              </w:rPr>
            </w:pPr>
            <w:r w:rsidRPr="003736F5">
              <w:rPr>
                <w:rFonts w:cs="Times New Roman"/>
                <w:szCs w:val="24"/>
              </w:rPr>
              <w:t>1.149</w:t>
            </w:r>
          </w:p>
        </w:tc>
        <w:tc>
          <w:tcPr>
            <w:tcW w:w="523" w:type="pct"/>
            <w:shd w:val="clear" w:color="auto" w:fill="auto"/>
            <w:noWrap/>
            <w:hideMark/>
          </w:tcPr>
          <w:p w14:paraId="792FDAC3" w14:textId="77777777" w:rsidR="005B4AF4" w:rsidRPr="003736F5" w:rsidRDefault="005B4AF4" w:rsidP="007C3D87">
            <w:pPr>
              <w:pStyle w:val="NoSpacing"/>
              <w:rPr>
                <w:rFonts w:cs="Times New Roman"/>
                <w:szCs w:val="24"/>
              </w:rPr>
            </w:pPr>
            <w:r w:rsidRPr="003736F5">
              <w:rPr>
                <w:rFonts w:cs="Times New Roman"/>
                <w:szCs w:val="24"/>
              </w:rPr>
              <w:t>1.725</w:t>
            </w:r>
          </w:p>
        </w:tc>
      </w:tr>
      <w:tr w:rsidR="005B4AF4" w:rsidRPr="003736F5" w14:paraId="17FC4C26" w14:textId="77777777" w:rsidTr="00AC01D7">
        <w:trPr>
          <w:trHeight w:val="19"/>
        </w:trPr>
        <w:tc>
          <w:tcPr>
            <w:tcW w:w="1219" w:type="pct"/>
            <w:tcBorders>
              <w:right w:val="single" w:sz="4" w:space="0" w:color="7F7F7F"/>
            </w:tcBorders>
            <w:shd w:val="clear" w:color="auto" w:fill="FFFFFF"/>
            <w:noWrap/>
            <w:hideMark/>
          </w:tcPr>
          <w:p w14:paraId="5B5179EB" w14:textId="77777777" w:rsidR="005B4AF4" w:rsidRPr="003736F5" w:rsidRDefault="005B4AF4" w:rsidP="007C3D87">
            <w:pPr>
              <w:pStyle w:val="NoSpacing"/>
              <w:jc w:val="right"/>
              <w:rPr>
                <w:rFonts w:cs="Times New Roman"/>
                <w:iCs/>
                <w:szCs w:val="24"/>
              </w:rPr>
            </w:pPr>
            <w:r w:rsidRPr="003736F5">
              <w:rPr>
                <w:rFonts w:cs="Times New Roman"/>
                <w:iCs/>
                <w:szCs w:val="24"/>
              </w:rPr>
              <w:t>Employment</w:t>
            </w:r>
          </w:p>
        </w:tc>
        <w:tc>
          <w:tcPr>
            <w:tcW w:w="718" w:type="pct"/>
            <w:shd w:val="clear" w:color="auto" w:fill="auto"/>
            <w:noWrap/>
            <w:hideMark/>
          </w:tcPr>
          <w:p w14:paraId="5FBF151F" w14:textId="77777777" w:rsidR="005B4AF4" w:rsidRPr="003736F5" w:rsidRDefault="005B4AF4" w:rsidP="007C3D87">
            <w:pPr>
              <w:pStyle w:val="NoSpacing"/>
              <w:rPr>
                <w:rFonts w:cs="Times New Roman"/>
                <w:szCs w:val="24"/>
              </w:rPr>
            </w:pPr>
            <w:r w:rsidRPr="003736F5">
              <w:rPr>
                <w:rFonts w:cs="Times New Roman"/>
                <w:szCs w:val="24"/>
              </w:rPr>
              <w:t>6225925</w:t>
            </w:r>
          </w:p>
        </w:tc>
        <w:tc>
          <w:tcPr>
            <w:tcW w:w="646" w:type="pct"/>
            <w:shd w:val="clear" w:color="auto" w:fill="auto"/>
            <w:noWrap/>
            <w:hideMark/>
          </w:tcPr>
          <w:p w14:paraId="409A1D8E" w14:textId="77777777" w:rsidR="005B4AF4" w:rsidRPr="003736F5" w:rsidRDefault="005B4AF4" w:rsidP="007C3D87">
            <w:pPr>
              <w:pStyle w:val="NoSpacing"/>
              <w:rPr>
                <w:rFonts w:cs="Times New Roman"/>
                <w:szCs w:val="24"/>
              </w:rPr>
            </w:pPr>
            <w:r w:rsidRPr="003736F5">
              <w:rPr>
                <w:rFonts w:cs="Times New Roman"/>
                <w:szCs w:val="24"/>
              </w:rPr>
              <w:t>14.154</w:t>
            </w:r>
          </w:p>
        </w:tc>
        <w:tc>
          <w:tcPr>
            <w:tcW w:w="643" w:type="pct"/>
            <w:shd w:val="clear" w:color="auto" w:fill="auto"/>
            <w:noWrap/>
            <w:hideMark/>
          </w:tcPr>
          <w:p w14:paraId="736C9B83" w14:textId="77777777" w:rsidR="005B4AF4" w:rsidRPr="003736F5" w:rsidRDefault="005B4AF4" w:rsidP="007C3D87">
            <w:pPr>
              <w:pStyle w:val="NoSpacing"/>
              <w:rPr>
                <w:rFonts w:cs="Times New Roman"/>
                <w:szCs w:val="24"/>
              </w:rPr>
            </w:pPr>
            <w:r w:rsidRPr="003736F5">
              <w:rPr>
                <w:rFonts w:cs="Times New Roman"/>
                <w:szCs w:val="24"/>
              </w:rPr>
              <w:t>149.276</w:t>
            </w:r>
          </w:p>
        </w:tc>
        <w:tc>
          <w:tcPr>
            <w:tcW w:w="644" w:type="pct"/>
            <w:shd w:val="clear" w:color="auto" w:fill="auto"/>
            <w:noWrap/>
            <w:hideMark/>
          </w:tcPr>
          <w:p w14:paraId="2896E302" w14:textId="77777777" w:rsidR="005B4AF4" w:rsidRPr="003736F5" w:rsidRDefault="005B4AF4" w:rsidP="007C3D87">
            <w:pPr>
              <w:pStyle w:val="NoSpacing"/>
              <w:rPr>
                <w:rFonts w:cs="Times New Roman"/>
                <w:szCs w:val="24"/>
              </w:rPr>
            </w:pPr>
            <w:r w:rsidRPr="003736F5">
              <w:rPr>
                <w:rFonts w:cs="Times New Roman"/>
                <w:szCs w:val="24"/>
              </w:rPr>
              <w:t>1</w:t>
            </w:r>
          </w:p>
        </w:tc>
        <w:tc>
          <w:tcPr>
            <w:tcW w:w="607" w:type="pct"/>
            <w:gridSpan w:val="2"/>
            <w:shd w:val="clear" w:color="auto" w:fill="auto"/>
            <w:noWrap/>
            <w:hideMark/>
          </w:tcPr>
          <w:p w14:paraId="3F8F854A" w14:textId="77777777" w:rsidR="005B4AF4" w:rsidRPr="003736F5" w:rsidRDefault="005B4AF4" w:rsidP="007C3D87">
            <w:pPr>
              <w:pStyle w:val="NoSpacing"/>
              <w:rPr>
                <w:rFonts w:cs="Times New Roman"/>
                <w:szCs w:val="24"/>
              </w:rPr>
            </w:pPr>
            <w:r w:rsidRPr="003736F5">
              <w:rPr>
                <w:rFonts w:cs="Times New Roman"/>
                <w:szCs w:val="24"/>
              </w:rPr>
              <w:t>3</w:t>
            </w:r>
          </w:p>
        </w:tc>
        <w:tc>
          <w:tcPr>
            <w:tcW w:w="523" w:type="pct"/>
            <w:shd w:val="clear" w:color="auto" w:fill="auto"/>
            <w:noWrap/>
            <w:hideMark/>
          </w:tcPr>
          <w:p w14:paraId="7FF93F3F" w14:textId="77777777" w:rsidR="005B4AF4" w:rsidRPr="003736F5" w:rsidRDefault="005B4AF4" w:rsidP="007C3D87">
            <w:pPr>
              <w:pStyle w:val="NoSpacing"/>
              <w:rPr>
                <w:rFonts w:cs="Times New Roman"/>
                <w:szCs w:val="24"/>
              </w:rPr>
            </w:pPr>
            <w:r w:rsidRPr="003736F5">
              <w:rPr>
                <w:rFonts w:cs="Times New Roman"/>
                <w:szCs w:val="24"/>
              </w:rPr>
              <w:t>10</w:t>
            </w:r>
          </w:p>
        </w:tc>
      </w:tr>
      <w:tr w:rsidR="005B4AF4" w:rsidRPr="003736F5" w14:paraId="2AE76C9D" w14:textId="77777777" w:rsidTr="00AC01D7">
        <w:trPr>
          <w:trHeight w:val="19"/>
        </w:trPr>
        <w:tc>
          <w:tcPr>
            <w:tcW w:w="1219" w:type="pct"/>
            <w:tcBorders>
              <w:right w:val="single" w:sz="4" w:space="0" w:color="7F7F7F"/>
            </w:tcBorders>
            <w:shd w:val="clear" w:color="auto" w:fill="FFFFFF"/>
            <w:noWrap/>
            <w:hideMark/>
          </w:tcPr>
          <w:p w14:paraId="450215D0" w14:textId="699CA02A" w:rsidR="005B4AF4" w:rsidRPr="003736F5" w:rsidRDefault="005B4AF4" w:rsidP="007C3D87">
            <w:pPr>
              <w:pStyle w:val="NoSpacing"/>
              <w:jc w:val="right"/>
              <w:rPr>
                <w:rFonts w:cs="Times New Roman"/>
                <w:iCs/>
                <w:szCs w:val="24"/>
              </w:rPr>
            </w:pPr>
            <w:r w:rsidRPr="003736F5">
              <w:rPr>
                <w:rFonts w:cs="Times New Roman"/>
                <w:iCs/>
                <w:szCs w:val="24"/>
              </w:rPr>
              <w:t>Turnover</w:t>
            </w:r>
            <w:r w:rsidR="00AD238E" w:rsidRPr="003736F5">
              <w:rPr>
                <w:rFonts w:cs="Times New Roman"/>
                <w:iCs/>
                <w:szCs w:val="24"/>
              </w:rPr>
              <w:t xml:space="preserve"> (‘000 £)</w:t>
            </w:r>
          </w:p>
        </w:tc>
        <w:tc>
          <w:tcPr>
            <w:tcW w:w="718" w:type="pct"/>
            <w:shd w:val="clear" w:color="auto" w:fill="auto"/>
            <w:noWrap/>
            <w:hideMark/>
          </w:tcPr>
          <w:p w14:paraId="7C0B9564" w14:textId="77777777" w:rsidR="005B4AF4" w:rsidRPr="003736F5" w:rsidRDefault="005B4AF4" w:rsidP="007C3D87">
            <w:pPr>
              <w:pStyle w:val="NoSpacing"/>
              <w:rPr>
                <w:rFonts w:cs="Times New Roman"/>
                <w:szCs w:val="24"/>
              </w:rPr>
            </w:pPr>
            <w:r w:rsidRPr="003736F5">
              <w:rPr>
                <w:rFonts w:cs="Times New Roman"/>
                <w:szCs w:val="24"/>
              </w:rPr>
              <w:t>6225925</w:t>
            </w:r>
          </w:p>
        </w:tc>
        <w:tc>
          <w:tcPr>
            <w:tcW w:w="646" w:type="pct"/>
            <w:shd w:val="clear" w:color="auto" w:fill="auto"/>
            <w:noWrap/>
            <w:hideMark/>
          </w:tcPr>
          <w:p w14:paraId="636F0C72" w14:textId="77777777" w:rsidR="005B4AF4" w:rsidRPr="003736F5" w:rsidRDefault="005B4AF4" w:rsidP="007C3D87">
            <w:pPr>
              <w:pStyle w:val="NoSpacing"/>
              <w:rPr>
                <w:rFonts w:cs="Times New Roman"/>
                <w:szCs w:val="24"/>
              </w:rPr>
            </w:pPr>
            <w:r w:rsidRPr="003736F5">
              <w:rPr>
                <w:rFonts w:cs="Times New Roman"/>
                <w:szCs w:val="24"/>
              </w:rPr>
              <w:t>2624.307</w:t>
            </w:r>
          </w:p>
        </w:tc>
        <w:tc>
          <w:tcPr>
            <w:tcW w:w="643" w:type="pct"/>
            <w:shd w:val="clear" w:color="auto" w:fill="auto"/>
            <w:noWrap/>
            <w:hideMark/>
          </w:tcPr>
          <w:p w14:paraId="363D59A4" w14:textId="77777777" w:rsidR="005B4AF4" w:rsidRPr="003736F5" w:rsidRDefault="005B4AF4" w:rsidP="007C3D87">
            <w:pPr>
              <w:pStyle w:val="NoSpacing"/>
              <w:rPr>
                <w:rFonts w:cs="Times New Roman"/>
                <w:szCs w:val="24"/>
              </w:rPr>
            </w:pPr>
            <w:r w:rsidRPr="003736F5">
              <w:rPr>
                <w:rFonts w:cs="Times New Roman"/>
                <w:szCs w:val="24"/>
              </w:rPr>
              <w:t>174971.5</w:t>
            </w:r>
          </w:p>
        </w:tc>
        <w:tc>
          <w:tcPr>
            <w:tcW w:w="644" w:type="pct"/>
            <w:shd w:val="clear" w:color="auto" w:fill="auto"/>
            <w:noWrap/>
            <w:hideMark/>
          </w:tcPr>
          <w:p w14:paraId="6AA4B574" w14:textId="77777777" w:rsidR="005B4AF4" w:rsidRPr="003736F5" w:rsidRDefault="005B4AF4" w:rsidP="007C3D87">
            <w:pPr>
              <w:pStyle w:val="NoSpacing"/>
              <w:rPr>
                <w:rFonts w:cs="Times New Roman"/>
                <w:szCs w:val="24"/>
              </w:rPr>
            </w:pPr>
            <w:r w:rsidRPr="003736F5">
              <w:rPr>
                <w:rFonts w:cs="Times New Roman"/>
                <w:szCs w:val="24"/>
              </w:rPr>
              <w:t>72</w:t>
            </w:r>
          </w:p>
        </w:tc>
        <w:tc>
          <w:tcPr>
            <w:tcW w:w="607" w:type="pct"/>
            <w:gridSpan w:val="2"/>
            <w:shd w:val="clear" w:color="auto" w:fill="auto"/>
            <w:noWrap/>
            <w:hideMark/>
          </w:tcPr>
          <w:p w14:paraId="4BD20AEA" w14:textId="77777777" w:rsidR="005B4AF4" w:rsidRPr="003736F5" w:rsidRDefault="005B4AF4" w:rsidP="007C3D87">
            <w:pPr>
              <w:pStyle w:val="NoSpacing"/>
              <w:rPr>
                <w:rFonts w:cs="Times New Roman"/>
                <w:szCs w:val="24"/>
              </w:rPr>
            </w:pPr>
            <w:r w:rsidRPr="003736F5">
              <w:rPr>
                <w:rFonts w:cs="Times New Roman"/>
                <w:szCs w:val="24"/>
              </w:rPr>
              <w:t>187</w:t>
            </w:r>
          </w:p>
        </w:tc>
        <w:tc>
          <w:tcPr>
            <w:tcW w:w="523" w:type="pct"/>
            <w:shd w:val="clear" w:color="auto" w:fill="auto"/>
            <w:noWrap/>
            <w:hideMark/>
          </w:tcPr>
          <w:p w14:paraId="2E444F8A" w14:textId="77777777" w:rsidR="005B4AF4" w:rsidRPr="003736F5" w:rsidRDefault="005B4AF4" w:rsidP="007C3D87">
            <w:pPr>
              <w:pStyle w:val="NoSpacing"/>
              <w:rPr>
                <w:rFonts w:cs="Times New Roman"/>
                <w:szCs w:val="24"/>
              </w:rPr>
            </w:pPr>
            <w:r w:rsidRPr="003736F5">
              <w:rPr>
                <w:rFonts w:cs="Times New Roman"/>
                <w:szCs w:val="24"/>
              </w:rPr>
              <w:t>708</w:t>
            </w:r>
          </w:p>
          <w:p w14:paraId="53F9A2CD" w14:textId="79C5A47D" w:rsidR="002E60C4" w:rsidRPr="003736F5" w:rsidRDefault="002E60C4" w:rsidP="007C3D87">
            <w:pPr>
              <w:pStyle w:val="NoSpacing"/>
              <w:rPr>
                <w:rFonts w:cs="Times New Roman"/>
                <w:szCs w:val="24"/>
              </w:rPr>
            </w:pPr>
          </w:p>
        </w:tc>
      </w:tr>
      <w:tr w:rsidR="00F14826" w:rsidRPr="003736F5" w14:paraId="14FB7456" w14:textId="77777777" w:rsidTr="00AC01D7">
        <w:trPr>
          <w:trHeight w:val="19"/>
        </w:trPr>
        <w:tc>
          <w:tcPr>
            <w:tcW w:w="1219" w:type="pct"/>
            <w:tcBorders>
              <w:right w:val="single" w:sz="4" w:space="0" w:color="7F7F7F"/>
            </w:tcBorders>
            <w:shd w:val="clear" w:color="auto" w:fill="FFFFFF"/>
            <w:noWrap/>
          </w:tcPr>
          <w:p w14:paraId="007E2DAD" w14:textId="2A93067C" w:rsidR="00F14826" w:rsidRPr="003736F5" w:rsidRDefault="00F14826" w:rsidP="00F14826">
            <w:pPr>
              <w:pStyle w:val="NoSpacing"/>
              <w:jc w:val="right"/>
              <w:rPr>
                <w:rFonts w:cs="Times New Roman"/>
                <w:iCs/>
                <w:szCs w:val="24"/>
              </w:rPr>
            </w:pPr>
            <w:r w:rsidRPr="003736F5">
              <w:rPr>
                <w:rFonts w:cs="Times New Roman"/>
                <w:iCs/>
                <w:szCs w:val="24"/>
              </w:rPr>
              <w:t>Business rate expense (‘000 £)</w:t>
            </w:r>
          </w:p>
        </w:tc>
        <w:tc>
          <w:tcPr>
            <w:tcW w:w="718" w:type="pct"/>
            <w:shd w:val="clear" w:color="auto" w:fill="auto"/>
            <w:noWrap/>
          </w:tcPr>
          <w:p w14:paraId="03AAFE59" w14:textId="656C9BFC" w:rsidR="00F14826" w:rsidRPr="003736F5" w:rsidRDefault="00F14826" w:rsidP="00F14826">
            <w:pPr>
              <w:pStyle w:val="NoSpacing"/>
              <w:rPr>
                <w:rFonts w:cs="Times New Roman"/>
                <w:szCs w:val="24"/>
              </w:rPr>
            </w:pPr>
            <w:r w:rsidRPr="003736F5">
              <w:rPr>
                <w:rFonts w:cs="Times New Roman"/>
                <w:szCs w:val="24"/>
              </w:rPr>
              <w:t>574887</w:t>
            </w:r>
          </w:p>
        </w:tc>
        <w:tc>
          <w:tcPr>
            <w:tcW w:w="646" w:type="pct"/>
            <w:shd w:val="clear" w:color="auto" w:fill="auto"/>
            <w:noWrap/>
          </w:tcPr>
          <w:p w14:paraId="51EC4E29" w14:textId="12A903B1" w:rsidR="00F14826" w:rsidRPr="003736F5" w:rsidRDefault="00F14826" w:rsidP="00F14826">
            <w:pPr>
              <w:pStyle w:val="NoSpacing"/>
              <w:rPr>
                <w:rFonts w:cs="Times New Roman"/>
                <w:szCs w:val="24"/>
              </w:rPr>
            </w:pPr>
            <w:r w:rsidRPr="003736F5">
              <w:rPr>
                <w:rFonts w:cs="Times New Roman"/>
                <w:szCs w:val="24"/>
              </w:rPr>
              <w:t>35.709</w:t>
            </w:r>
          </w:p>
        </w:tc>
        <w:tc>
          <w:tcPr>
            <w:tcW w:w="643" w:type="pct"/>
            <w:shd w:val="clear" w:color="auto" w:fill="auto"/>
            <w:noWrap/>
          </w:tcPr>
          <w:p w14:paraId="717F5836" w14:textId="78FF5B6A" w:rsidR="00F14826" w:rsidRPr="003736F5" w:rsidRDefault="00F14826" w:rsidP="00F14826">
            <w:pPr>
              <w:pStyle w:val="NoSpacing"/>
              <w:rPr>
                <w:rFonts w:cs="Times New Roman"/>
                <w:szCs w:val="24"/>
              </w:rPr>
            </w:pPr>
            <w:r w:rsidRPr="003736F5">
              <w:rPr>
                <w:rFonts w:cs="Times New Roman"/>
                <w:szCs w:val="24"/>
              </w:rPr>
              <w:t>575.047</w:t>
            </w:r>
          </w:p>
        </w:tc>
        <w:tc>
          <w:tcPr>
            <w:tcW w:w="644" w:type="pct"/>
            <w:shd w:val="clear" w:color="auto" w:fill="auto"/>
            <w:noWrap/>
          </w:tcPr>
          <w:p w14:paraId="3D67FDFD" w14:textId="7762E199" w:rsidR="00F14826" w:rsidRPr="003736F5" w:rsidRDefault="00F14826" w:rsidP="00F14826">
            <w:pPr>
              <w:pStyle w:val="NoSpacing"/>
              <w:rPr>
                <w:rFonts w:cs="Times New Roman"/>
                <w:szCs w:val="24"/>
              </w:rPr>
            </w:pPr>
            <w:r w:rsidRPr="003736F5">
              <w:rPr>
                <w:rFonts w:cs="Times New Roman"/>
                <w:szCs w:val="24"/>
              </w:rPr>
              <w:t>0</w:t>
            </w:r>
          </w:p>
        </w:tc>
        <w:tc>
          <w:tcPr>
            <w:tcW w:w="607" w:type="pct"/>
            <w:gridSpan w:val="2"/>
            <w:shd w:val="clear" w:color="auto" w:fill="auto"/>
            <w:noWrap/>
          </w:tcPr>
          <w:p w14:paraId="59879BD0" w14:textId="2775A099" w:rsidR="00F14826" w:rsidRPr="003736F5" w:rsidRDefault="00F14826" w:rsidP="00F14826">
            <w:pPr>
              <w:pStyle w:val="NoSpacing"/>
              <w:rPr>
                <w:rFonts w:cs="Times New Roman"/>
                <w:szCs w:val="24"/>
              </w:rPr>
            </w:pPr>
            <w:r w:rsidRPr="003736F5">
              <w:rPr>
                <w:rFonts w:cs="Times New Roman"/>
                <w:szCs w:val="24"/>
              </w:rPr>
              <w:t>1.771</w:t>
            </w:r>
          </w:p>
        </w:tc>
        <w:tc>
          <w:tcPr>
            <w:tcW w:w="523" w:type="pct"/>
            <w:shd w:val="clear" w:color="auto" w:fill="auto"/>
            <w:noWrap/>
          </w:tcPr>
          <w:p w14:paraId="427170A6" w14:textId="669EC45A" w:rsidR="00F14826" w:rsidRPr="003736F5" w:rsidRDefault="00F14826" w:rsidP="00F14826">
            <w:pPr>
              <w:pStyle w:val="NoSpacing"/>
              <w:rPr>
                <w:rFonts w:cs="Times New Roman"/>
                <w:szCs w:val="24"/>
              </w:rPr>
            </w:pPr>
            <w:r w:rsidRPr="003736F5">
              <w:rPr>
                <w:rFonts w:cs="Times New Roman"/>
                <w:szCs w:val="24"/>
              </w:rPr>
              <w:t>12.86</w:t>
            </w:r>
          </w:p>
        </w:tc>
      </w:tr>
      <w:tr w:rsidR="00F14826" w:rsidRPr="003736F5" w14:paraId="225FE033" w14:textId="77777777" w:rsidTr="00AC01D7">
        <w:trPr>
          <w:trHeight w:val="19"/>
        </w:trPr>
        <w:tc>
          <w:tcPr>
            <w:tcW w:w="1219" w:type="pct"/>
            <w:tcBorders>
              <w:right w:val="single" w:sz="4" w:space="0" w:color="7F7F7F"/>
            </w:tcBorders>
            <w:shd w:val="clear" w:color="auto" w:fill="FFFFFF"/>
            <w:noWrap/>
          </w:tcPr>
          <w:p w14:paraId="19675699" w14:textId="73DFA86E" w:rsidR="00F14826" w:rsidRPr="003736F5" w:rsidRDefault="00F14826" w:rsidP="00F14826">
            <w:pPr>
              <w:pStyle w:val="NoSpacing"/>
              <w:jc w:val="right"/>
              <w:rPr>
                <w:rFonts w:cs="Times New Roman"/>
                <w:iCs/>
                <w:szCs w:val="24"/>
              </w:rPr>
            </w:pPr>
            <w:r w:rsidRPr="003736F5">
              <w:rPr>
                <w:rFonts w:cs="Times New Roman"/>
                <w:iCs/>
                <w:szCs w:val="24"/>
              </w:rPr>
              <w:t>Gross value added (‘000 £)</w:t>
            </w:r>
          </w:p>
        </w:tc>
        <w:tc>
          <w:tcPr>
            <w:tcW w:w="718" w:type="pct"/>
            <w:shd w:val="clear" w:color="auto" w:fill="auto"/>
            <w:noWrap/>
          </w:tcPr>
          <w:p w14:paraId="2C71F90F" w14:textId="664D67D7" w:rsidR="00F14826" w:rsidRPr="003736F5" w:rsidRDefault="00F14826" w:rsidP="00F14826">
            <w:pPr>
              <w:pStyle w:val="NoSpacing"/>
              <w:rPr>
                <w:rFonts w:cs="Times New Roman"/>
                <w:szCs w:val="24"/>
              </w:rPr>
            </w:pPr>
            <w:r w:rsidRPr="003736F5">
              <w:rPr>
                <w:rFonts w:cs="Times New Roman"/>
                <w:szCs w:val="24"/>
              </w:rPr>
              <w:t>528763</w:t>
            </w:r>
          </w:p>
        </w:tc>
        <w:tc>
          <w:tcPr>
            <w:tcW w:w="646" w:type="pct"/>
            <w:shd w:val="clear" w:color="auto" w:fill="auto"/>
            <w:noWrap/>
          </w:tcPr>
          <w:p w14:paraId="2B6C873F" w14:textId="429581E4" w:rsidR="00F14826" w:rsidRPr="003736F5" w:rsidRDefault="00F14826" w:rsidP="00F14826">
            <w:pPr>
              <w:pStyle w:val="NoSpacing"/>
              <w:rPr>
                <w:rFonts w:cs="Times New Roman"/>
                <w:szCs w:val="24"/>
              </w:rPr>
            </w:pPr>
            <w:r w:rsidRPr="003736F5">
              <w:rPr>
                <w:rFonts w:cs="Times New Roman"/>
                <w:szCs w:val="24"/>
              </w:rPr>
              <w:t>2282.482</w:t>
            </w:r>
          </w:p>
        </w:tc>
        <w:tc>
          <w:tcPr>
            <w:tcW w:w="643" w:type="pct"/>
            <w:shd w:val="clear" w:color="auto" w:fill="auto"/>
            <w:noWrap/>
          </w:tcPr>
          <w:p w14:paraId="7D8D4AB5" w14:textId="7CA4D90C" w:rsidR="00F14826" w:rsidRPr="003736F5" w:rsidRDefault="00F14826" w:rsidP="00F14826">
            <w:pPr>
              <w:pStyle w:val="NoSpacing"/>
              <w:rPr>
                <w:rFonts w:cs="Times New Roman"/>
                <w:szCs w:val="24"/>
              </w:rPr>
            </w:pPr>
            <w:r w:rsidRPr="003736F5">
              <w:rPr>
                <w:rFonts w:cs="Times New Roman"/>
                <w:szCs w:val="24"/>
              </w:rPr>
              <w:t>134916.8</w:t>
            </w:r>
          </w:p>
        </w:tc>
        <w:tc>
          <w:tcPr>
            <w:tcW w:w="644" w:type="pct"/>
            <w:shd w:val="clear" w:color="auto" w:fill="auto"/>
            <w:noWrap/>
          </w:tcPr>
          <w:p w14:paraId="30780541" w14:textId="5B279DAA" w:rsidR="00F14826" w:rsidRPr="003736F5" w:rsidRDefault="00F14826" w:rsidP="00F14826">
            <w:pPr>
              <w:pStyle w:val="NoSpacing"/>
              <w:rPr>
                <w:rFonts w:cs="Times New Roman"/>
                <w:szCs w:val="24"/>
              </w:rPr>
            </w:pPr>
            <w:r w:rsidRPr="003736F5">
              <w:rPr>
                <w:rFonts w:cs="Times New Roman"/>
                <w:szCs w:val="24"/>
              </w:rPr>
              <w:t>34</w:t>
            </w:r>
          </w:p>
        </w:tc>
        <w:tc>
          <w:tcPr>
            <w:tcW w:w="607" w:type="pct"/>
            <w:gridSpan w:val="2"/>
            <w:shd w:val="clear" w:color="auto" w:fill="auto"/>
            <w:noWrap/>
          </w:tcPr>
          <w:p w14:paraId="076E6010" w14:textId="19D869C9" w:rsidR="00F14826" w:rsidRPr="003736F5" w:rsidRDefault="00F14826" w:rsidP="00F14826">
            <w:pPr>
              <w:pStyle w:val="NoSpacing"/>
              <w:rPr>
                <w:rFonts w:cs="Times New Roman"/>
                <w:szCs w:val="24"/>
              </w:rPr>
            </w:pPr>
            <w:r w:rsidRPr="003736F5">
              <w:rPr>
                <w:rFonts w:cs="Times New Roman"/>
                <w:szCs w:val="24"/>
              </w:rPr>
              <w:t>157</w:t>
            </w:r>
          </w:p>
        </w:tc>
        <w:tc>
          <w:tcPr>
            <w:tcW w:w="523" w:type="pct"/>
            <w:shd w:val="clear" w:color="auto" w:fill="auto"/>
            <w:noWrap/>
          </w:tcPr>
          <w:p w14:paraId="30680A4C" w14:textId="1E5F147F" w:rsidR="00F14826" w:rsidRPr="003736F5" w:rsidRDefault="00F14826" w:rsidP="00F14826">
            <w:pPr>
              <w:pStyle w:val="NoSpacing"/>
              <w:rPr>
                <w:rFonts w:cs="Times New Roman"/>
                <w:szCs w:val="24"/>
              </w:rPr>
            </w:pPr>
            <w:r w:rsidRPr="003736F5">
              <w:rPr>
                <w:rFonts w:cs="Times New Roman"/>
                <w:szCs w:val="24"/>
              </w:rPr>
              <w:t>909</w:t>
            </w:r>
          </w:p>
        </w:tc>
      </w:tr>
      <w:tr w:rsidR="005B4AF4" w:rsidRPr="003736F5" w14:paraId="5EE817ED" w14:textId="77777777" w:rsidTr="00AC01D7">
        <w:trPr>
          <w:trHeight w:val="19"/>
        </w:trPr>
        <w:tc>
          <w:tcPr>
            <w:tcW w:w="1219" w:type="pct"/>
            <w:tcBorders>
              <w:right w:val="single" w:sz="4" w:space="0" w:color="7F7F7F"/>
            </w:tcBorders>
            <w:shd w:val="clear" w:color="auto" w:fill="FFFFFF"/>
            <w:noWrap/>
            <w:hideMark/>
          </w:tcPr>
          <w:p w14:paraId="4C4CE9B7" w14:textId="77777777" w:rsidR="005B4AF4" w:rsidRPr="003736F5" w:rsidRDefault="005B4AF4" w:rsidP="007C3D87">
            <w:pPr>
              <w:pStyle w:val="NoSpacing"/>
              <w:jc w:val="right"/>
              <w:rPr>
                <w:rFonts w:cs="Times New Roman"/>
                <w:iCs/>
                <w:szCs w:val="24"/>
              </w:rPr>
            </w:pPr>
            <w:r w:rsidRPr="003736F5">
              <w:rPr>
                <w:rFonts w:cs="Times New Roman"/>
                <w:iCs/>
                <w:szCs w:val="24"/>
              </w:rPr>
              <w:t>Status</w:t>
            </w:r>
          </w:p>
        </w:tc>
        <w:tc>
          <w:tcPr>
            <w:tcW w:w="718" w:type="pct"/>
            <w:shd w:val="clear" w:color="auto" w:fill="auto"/>
            <w:noWrap/>
            <w:hideMark/>
          </w:tcPr>
          <w:p w14:paraId="3DAEEB8B" w14:textId="77777777" w:rsidR="005B4AF4" w:rsidRPr="003736F5" w:rsidRDefault="005B4AF4" w:rsidP="007C3D87">
            <w:pPr>
              <w:pStyle w:val="NoSpacing"/>
              <w:rPr>
                <w:rFonts w:cs="Times New Roman"/>
                <w:szCs w:val="24"/>
              </w:rPr>
            </w:pPr>
            <w:r w:rsidRPr="003736F5">
              <w:rPr>
                <w:rFonts w:cs="Times New Roman"/>
                <w:szCs w:val="24"/>
              </w:rPr>
              <w:t>6225887</w:t>
            </w:r>
          </w:p>
        </w:tc>
        <w:tc>
          <w:tcPr>
            <w:tcW w:w="3062" w:type="pct"/>
            <w:gridSpan w:val="6"/>
            <w:shd w:val="clear" w:color="auto" w:fill="auto"/>
          </w:tcPr>
          <w:p w14:paraId="7A8F1A12" w14:textId="77777777" w:rsidR="005B4AF4" w:rsidRPr="003736F5" w:rsidRDefault="005B4AF4" w:rsidP="007C3D87">
            <w:pPr>
              <w:pStyle w:val="NoSpacing"/>
              <w:rPr>
                <w:rFonts w:cs="Times New Roman"/>
                <w:szCs w:val="24"/>
              </w:rPr>
            </w:pPr>
          </w:p>
        </w:tc>
      </w:tr>
      <w:tr w:rsidR="005B4AF4" w:rsidRPr="003736F5" w14:paraId="5BF2E3B7" w14:textId="77777777" w:rsidTr="00AC01D7">
        <w:trPr>
          <w:trHeight w:val="19"/>
        </w:trPr>
        <w:tc>
          <w:tcPr>
            <w:tcW w:w="1219" w:type="pct"/>
            <w:tcBorders>
              <w:right w:val="single" w:sz="4" w:space="0" w:color="7F7F7F"/>
            </w:tcBorders>
            <w:shd w:val="clear" w:color="auto" w:fill="FFFFFF"/>
            <w:noWrap/>
            <w:hideMark/>
          </w:tcPr>
          <w:p w14:paraId="08EAD4D0" w14:textId="77777777" w:rsidR="005B4AF4" w:rsidRPr="003736F5" w:rsidRDefault="005B4AF4" w:rsidP="007C3D87">
            <w:pPr>
              <w:pStyle w:val="NoSpacing"/>
              <w:jc w:val="right"/>
              <w:rPr>
                <w:rFonts w:cs="Times New Roman"/>
                <w:iCs/>
                <w:szCs w:val="24"/>
              </w:rPr>
            </w:pPr>
            <w:r w:rsidRPr="003736F5">
              <w:rPr>
                <w:rFonts w:cs="Times New Roman"/>
                <w:iCs/>
                <w:szCs w:val="24"/>
              </w:rPr>
              <w:t>Sector</w:t>
            </w:r>
          </w:p>
        </w:tc>
        <w:tc>
          <w:tcPr>
            <w:tcW w:w="718" w:type="pct"/>
            <w:shd w:val="clear" w:color="auto" w:fill="auto"/>
            <w:noWrap/>
            <w:hideMark/>
          </w:tcPr>
          <w:p w14:paraId="33F2F0C0" w14:textId="77777777" w:rsidR="005B4AF4" w:rsidRPr="003736F5" w:rsidRDefault="005B4AF4" w:rsidP="007C3D87">
            <w:pPr>
              <w:pStyle w:val="NoSpacing"/>
              <w:rPr>
                <w:rFonts w:cs="Times New Roman"/>
                <w:szCs w:val="24"/>
              </w:rPr>
            </w:pPr>
            <w:r w:rsidRPr="003736F5">
              <w:rPr>
                <w:rFonts w:cs="Times New Roman"/>
                <w:szCs w:val="24"/>
              </w:rPr>
              <w:t>6230916</w:t>
            </w:r>
          </w:p>
        </w:tc>
        <w:tc>
          <w:tcPr>
            <w:tcW w:w="3062" w:type="pct"/>
            <w:gridSpan w:val="6"/>
            <w:shd w:val="clear" w:color="auto" w:fill="auto"/>
          </w:tcPr>
          <w:p w14:paraId="0A0AD0A4" w14:textId="77777777" w:rsidR="005B4AF4" w:rsidRPr="003736F5" w:rsidRDefault="005B4AF4" w:rsidP="007C3D87">
            <w:pPr>
              <w:pStyle w:val="NoSpacing"/>
              <w:rPr>
                <w:rFonts w:cs="Times New Roman"/>
                <w:szCs w:val="24"/>
              </w:rPr>
            </w:pPr>
          </w:p>
        </w:tc>
      </w:tr>
      <w:tr w:rsidR="005B4AF4" w:rsidRPr="003736F5" w14:paraId="7F0AB07C" w14:textId="77777777" w:rsidTr="00AC01D7">
        <w:trPr>
          <w:trHeight w:val="19"/>
        </w:trPr>
        <w:tc>
          <w:tcPr>
            <w:tcW w:w="1219" w:type="pct"/>
            <w:tcBorders>
              <w:right w:val="single" w:sz="4" w:space="0" w:color="7F7F7F"/>
            </w:tcBorders>
            <w:shd w:val="clear" w:color="auto" w:fill="FFFFFF"/>
            <w:noWrap/>
            <w:hideMark/>
          </w:tcPr>
          <w:p w14:paraId="1016CFE8" w14:textId="77777777" w:rsidR="005B4AF4" w:rsidRPr="003736F5" w:rsidRDefault="005B4AF4" w:rsidP="007C3D87">
            <w:pPr>
              <w:pStyle w:val="NoSpacing"/>
              <w:jc w:val="right"/>
              <w:rPr>
                <w:rFonts w:cs="Times New Roman"/>
                <w:iCs/>
                <w:szCs w:val="24"/>
              </w:rPr>
            </w:pPr>
            <w:r w:rsidRPr="003736F5">
              <w:rPr>
                <w:rFonts w:cs="Times New Roman"/>
                <w:iCs/>
                <w:szCs w:val="24"/>
              </w:rPr>
              <w:t>Region</w:t>
            </w:r>
          </w:p>
        </w:tc>
        <w:tc>
          <w:tcPr>
            <w:tcW w:w="718" w:type="pct"/>
            <w:shd w:val="clear" w:color="auto" w:fill="auto"/>
            <w:noWrap/>
            <w:hideMark/>
          </w:tcPr>
          <w:p w14:paraId="5632A463" w14:textId="77777777" w:rsidR="005B4AF4" w:rsidRPr="003736F5" w:rsidRDefault="005B4AF4" w:rsidP="007C3D87">
            <w:pPr>
              <w:pStyle w:val="NoSpacing"/>
              <w:rPr>
                <w:rFonts w:cs="Times New Roman"/>
                <w:szCs w:val="24"/>
              </w:rPr>
            </w:pPr>
            <w:r w:rsidRPr="003736F5">
              <w:rPr>
                <w:rFonts w:cs="Times New Roman"/>
                <w:szCs w:val="24"/>
              </w:rPr>
              <w:t>6230916</w:t>
            </w:r>
          </w:p>
        </w:tc>
        <w:tc>
          <w:tcPr>
            <w:tcW w:w="3062" w:type="pct"/>
            <w:gridSpan w:val="6"/>
            <w:shd w:val="clear" w:color="auto" w:fill="auto"/>
          </w:tcPr>
          <w:p w14:paraId="6FD95123" w14:textId="77777777" w:rsidR="005B4AF4" w:rsidRPr="003736F5" w:rsidRDefault="005B4AF4" w:rsidP="007C3D87">
            <w:pPr>
              <w:pStyle w:val="NoSpacing"/>
              <w:rPr>
                <w:rFonts w:cs="Times New Roman"/>
                <w:szCs w:val="24"/>
              </w:rPr>
            </w:pPr>
          </w:p>
        </w:tc>
      </w:tr>
      <w:tr w:rsidR="00A105FF" w:rsidRPr="003736F5" w14:paraId="5C1796C9" w14:textId="77777777" w:rsidTr="00AC01D7">
        <w:trPr>
          <w:trHeight w:val="19"/>
        </w:trPr>
        <w:tc>
          <w:tcPr>
            <w:tcW w:w="1219" w:type="pct"/>
            <w:tcBorders>
              <w:right w:val="single" w:sz="4" w:space="0" w:color="7F7F7F"/>
            </w:tcBorders>
            <w:shd w:val="clear" w:color="auto" w:fill="FFFFFF"/>
            <w:noWrap/>
          </w:tcPr>
          <w:p w14:paraId="482480C8" w14:textId="5D37584D" w:rsidR="00A105FF" w:rsidRPr="003736F5" w:rsidRDefault="00A105FF" w:rsidP="007C3D87">
            <w:pPr>
              <w:pStyle w:val="NoSpacing"/>
              <w:jc w:val="right"/>
              <w:rPr>
                <w:rFonts w:cs="Times New Roman"/>
                <w:iCs/>
                <w:szCs w:val="24"/>
              </w:rPr>
            </w:pPr>
            <w:r w:rsidRPr="003736F5">
              <w:rPr>
                <w:rFonts w:cs="Times New Roman"/>
                <w:iCs/>
                <w:szCs w:val="24"/>
              </w:rPr>
              <w:t xml:space="preserve">Immediate </w:t>
            </w:r>
          </w:p>
        </w:tc>
        <w:tc>
          <w:tcPr>
            <w:tcW w:w="718" w:type="pct"/>
            <w:shd w:val="clear" w:color="auto" w:fill="auto"/>
            <w:noWrap/>
          </w:tcPr>
          <w:p w14:paraId="3B6D4815" w14:textId="467EC04D" w:rsidR="00A105FF" w:rsidRPr="003736F5" w:rsidRDefault="00A105FF" w:rsidP="007C3D87">
            <w:pPr>
              <w:pStyle w:val="NoSpacing"/>
              <w:rPr>
                <w:rFonts w:cs="Times New Roman"/>
                <w:szCs w:val="24"/>
              </w:rPr>
            </w:pPr>
            <w:r w:rsidRPr="003736F5">
              <w:rPr>
                <w:rFonts w:cs="Times New Roman"/>
                <w:szCs w:val="24"/>
              </w:rPr>
              <w:t>6230916</w:t>
            </w:r>
          </w:p>
        </w:tc>
        <w:tc>
          <w:tcPr>
            <w:tcW w:w="3062" w:type="pct"/>
            <w:gridSpan w:val="6"/>
            <w:shd w:val="clear" w:color="auto" w:fill="auto"/>
          </w:tcPr>
          <w:p w14:paraId="6A7315C8" w14:textId="77777777" w:rsidR="00A105FF" w:rsidRPr="003736F5" w:rsidRDefault="00A105FF" w:rsidP="007C3D87">
            <w:pPr>
              <w:pStyle w:val="NoSpacing"/>
              <w:rPr>
                <w:rFonts w:cs="Times New Roman"/>
                <w:szCs w:val="24"/>
              </w:rPr>
            </w:pPr>
          </w:p>
        </w:tc>
      </w:tr>
      <w:tr w:rsidR="008117E1" w:rsidRPr="003736F5" w14:paraId="5591C651" w14:textId="77777777" w:rsidTr="00AC01D7">
        <w:trPr>
          <w:trHeight w:val="19"/>
        </w:trPr>
        <w:tc>
          <w:tcPr>
            <w:tcW w:w="1219" w:type="pct"/>
            <w:tcBorders>
              <w:right w:val="single" w:sz="4" w:space="0" w:color="7F7F7F"/>
            </w:tcBorders>
            <w:shd w:val="clear" w:color="auto" w:fill="FFFFFF"/>
            <w:noWrap/>
          </w:tcPr>
          <w:p w14:paraId="03DF79C9" w14:textId="2F43754A" w:rsidR="008117E1" w:rsidRPr="003736F5" w:rsidRDefault="008117E1" w:rsidP="007C3D87">
            <w:pPr>
              <w:pStyle w:val="NoSpacing"/>
              <w:jc w:val="right"/>
              <w:rPr>
                <w:rFonts w:cs="Times New Roman"/>
                <w:iCs/>
                <w:szCs w:val="24"/>
              </w:rPr>
            </w:pPr>
            <w:r w:rsidRPr="003736F5">
              <w:rPr>
                <w:rFonts w:cs="Times New Roman"/>
                <w:iCs/>
                <w:szCs w:val="24"/>
              </w:rPr>
              <w:t>Ultimate foreign ownership</w:t>
            </w:r>
          </w:p>
        </w:tc>
        <w:tc>
          <w:tcPr>
            <w:tcW w:w="718" w:type="pct"/>
            <w:shd w:val="clear" w:color="auto" w:fill="auto"/>
            <w:noWrap/>
          </w:tcPr>
          <w:p w14:paraId="2F4FD821" w14:textId="30030B9B" w:rsidR="008117E1" w:rsidRPr="003736F5" w:rsidRDefault="008117E1" w:rsidP="007C3D87">
            <w:pPr>
              <w:pStyle w:val="NoSpacing"/>
              <w:rPr>
                <w:rFonts w:cs="Times New Roman"/>
                <w:szCs w:val="24"/>
              </w:rPr>
            </w:pPr>
            <w:r w:rsidRPr="003736F5">
              <w:rPr>
                <w:rFonts w:cs="Times New Roman"/>
                <w:szCs w:val="24"/>
              </w:rPr>
              <w:t>6230916</w:t>
            </w:r>
          </w:p>
        </w:tc>
        <w:tc>
          <w:tcPr>
            <w:tcW w:w="3062" w:type="pct"/>
            <w:gridSpan w:val="6"/>
            <w:shd w:val="clear" w:color="auto" w:fill="auto"/>
          </w:tcPr>
          <w:p w14:paraId="2523481A" w14:textId="77777777" w:rsidR="008117E1" w:rsidRPr="003736F5" w:rsidRDefault="008117E1" w:rsidP="007C3D87">
            <w:pPr>
              <w:pStyle w:val="NoSpacing"/>
              <w:rPr>
                <w:rFonts w:cs="Times New Roman"/>
                <w:szCs w:val="24"/>
              </w:rPr>
            </w:pPr>
          </w:p>
        </w:tc>
      </w:tr>
      <w:tr w:rsidR="00A105FF" w:rsidRPr="003736F5" w14:paraId="58244ECF" w14:textId="77777777" w:rsidTr="00AC01D7">
        <w:trPr>
          <w:trHeight w:val="19"/>
        </w:trPr>
        <w:tc>
          <w:tcPr>
            <w:tcW w:w="1219" w:type="pct"/>
            <w:tcBorders>
              <w:right w:val="single" w:sz="4" w:space="0" w:color="7F7F7F"/>
            </w:tcBorders>
            <w:shd w:val="clear" w:color="auto" w:fill="FFFFFF"/>
            <w:noWrap/>
          </w:tcPr>
          <w:p w14:paraId="083DF142" w14:textId="2CD20710" w:rsidR="00A105FF" w:rsidRPr="003736F5" w:rsidRDefault="008117E1" w:rsidP="007C3D87">
            <w:pPr>
              <w:pStyle w:val="NoSpacing"/>
              <w:jc w:val="right"/>
              <w:rPr>
                <w:rFonts w:cs="Times New Roman"/>
                <w:iCs/>
                <w:szCs w:val="24"/>
              </w:rPr>
            </w:pPr>
            <w:r w:rsidRPr="003736F5">
              <w:rPr>
                <w:rFonts w:cs="Times New Roman"/>
                <w:iCs/>
                <w:szCs w:val="24"/>
              </w:rPr>
              <w:t>Immediate</w:t>
            </w:r>
            <w:r w:rsidR="00A105FF" w:rsidRPr="003736F5">
              <w:rPr>
                <w:rFonts w:cs="Times New Roman"/>
                <w:iCs/>
                <w:szCs w:val="24"/>
              </w:rPr>
              <w:t xml:space="preserve"> foreign ownership</w:t>
            </w:r>
          </w:p>
        </w:tc>
        <w:tc>
          <w:tcPr>
            <w:tcW w:w="718" w:type="pct"/>
            <w:shd w:val="clear" w:color="auto" w:fill="auto"/>
            <w:noWrap/>
          </w:tcPr>
          <w:p w14:paraId="4B5D1E62" w14:textId="1D590C4A" w:rsidR="00A105FF" w:rsidRPr="003736F5" w:rsidRDefault="008117E1" w:rsidP="007C3D87">
            <w:pPr>
              <w:pStyle w:val="NoSpacing"/>
              <w:rPr>
                <w:rFonts w:cs="Times New Roman"/>
                <w:szCs w:val="24"/>
              </w:rPr>
            </w:pPr>
            <w:r w:rsidRPr="003736F5">
              <w:rPr>
                <w:rFonts w:cs="Times New Roman"/>
                <w:szCs w:val="24"/>
              </w:rPr>
              <w:t>6230916</w:t>
            </w:r>
          </w:p>
        </w:tc>
        <w:tc>
          <w:tcPr>
            <w:tcW w:w="3062" w:type="pct"/>
            <w:gridSpan w:val="6"/>
            <w:shd w:val="clear" w:color="auto" w:fill="auto"/>
          </w:tcPr>
          <w:p w14:paraId="4E63724A" w14:textId="77777777" w:rsidR="00A105FF" w:rsidRPr="003736F5" w:rsidRDefault="00A105FF" w:rsidP="007C3D87">
            <w:pPr>
              <w:pStyle w:val="NoSpacing"/>
              <w:rPr>
                <w:rFonts w:cs="Times New Roman"/>
                <w:szCs w:val="24"/>
              </w:rPr>
            </w:pPr>
          </w:p>
        </w:tc>
      </w:tr>
      <w:tr w:rsidR="005B4AF4" w:rsidRPr="003736F5" w14:paraId="043FEA4D" w14:textId="77777777" w:rsidTr="00AC01D7">
        <w:trPr>
          <w:trHeight w:val="19"/>
        </w:trPr>
        <w:tc>
          <w:tcPr>
            <w:tcW w:w="1219" w:type="pct"/>
            <w:tcBorders>
              <w:right w:val="single" w:sz="4" w:space="0" w:color="7F7F7F"/>
            </w:tcBorders>
            <w:shd w:val="clear" w:color="auto" w:fill="FFFFFF"/>
            <w:noWrap/>
          </w:tcPr>
          <w:p w14:paraId="5F92B67C" w14:textId="77777777" w:rsidR="005B4AF4" w:rsidRPr="003736F5" w:rsidRDefault="005B4AF4" w:rsidP="007C3D87">
            <w:pPr>
              <w:pStyle w:val="NoSpacing"/>
              <w:jc w:val="right"/>
              <w:rPr>
                <w:rFonts w:cs="Times New Roman"/>
                <w:iCs/>
                <w:szCs w:val="24"/>
              </w:rPr>
            </w:pPr>
          </w:p>
        </w:tc>
        <w:tc>
          <w:tcPr>
            <w:tcW w:w="718" w:type="pct"/>
            <w:shd w:val="clear" w:color="auto" w:fill="auto"/>
            <w:noWrap/>
          </w:tcPr>
          <w:p w14:paraId="1A6FA41E" w14:textId="77777777" w:rsidR="005B4AF4" w:rsidRPr="003736F5" w:rsidRDefault="005B4AF4" w:rsidP="007C3D87">
            <w:pPr>
              <w:pStyle w:val="NoSpacing"/>
              <w:rPr>
                <w:rFonts w:cs="Times New Roman"/>
                <w:szCs w:val="24"/>
              </w:rPr>
            </w:pPr>
          </w:p>
        </w:tc>
        <w:tc>
          <w:tcPr>
            <w:tcW w:w="646" w:type="pct"/>
            <w:shd w:val="clear" w:color="auto" w:fill="auto"/>
            <w:noWrap/>
          </w:tcPr>
          <w:p w14:paraId="47F7CA0C" w14:textId="77777777" w:rsidR="005B4AF4" w:rsidRPr="003736F5" w:rsidRDefault="005B4AF4" w:rsidP="007C3D87">
            <w:pPr>
              <w:pStyle w:val="NoSpacing"/>
              <w:rPr>
                <w:rFonts w:cs="Times New Roman"/>
                <w:szCs w:val="24"/>
              </w:rPr>
            </w:pPr>
          </w:p>
        </w:tc>
        <w:tc>
          <w:tcPr>
            <w:tcW w:w="643" w:type="pct"/>
            <w:shd w:val="clear" w:color="auto" w:fill="auto"/>
            <w:noWrap/>
          </w:tcPr>
          <w:p w14:paraId="080EFC37" w14:textId="77777777" w:rsidR="005B4AF4" w:rsidRPr="003736F5" w:rsidRDefault="005B4AF4" w:rsidP="007C3D87">
            <w:pPr>
              <w:pStyle w:val="NoSpacing"/>
              <w:rPr>
                <w:rFonts w:cs="Times New Roman"/>
                <w:szCs w:val="24"/>
              </w:rPr>
            </w:pPr>
          </w:p>
        </w:tc>
        <w:tc>
          <w:tcPr>
            <w:tcW w:w="644" w:type="pct"/>
            <w:shd w:val="clear" w:color="auto" w:fill="auto"/>
            <w:noWrap/>
          </w:tcPr>
          <w:p w14:paraId="41EE72E4" w14:textId="77777777" w:rsidR="005B4AF4" w:rsidRPr="003736F5" w:rsidRDefault="005B4AF4" w:rsidP="007C3D87">
            <w:pPr>
              <w:pStyle w:val="NoSpacing"/>
              <w:rPr>
                <w:rFonts w:cs="Times New Roman"/>
                <w:szCs w:val="24"/>
              </w:rPr>
            </w:pPr>
          </w:p>
        </w:tc>
        <w:tc>
          <w:tcPr>
            <w:tcW w:w="607" w:type="pct"/>
            <w:gridSpan w:val="2"/>
            <w:shd w:val="clear" w:color="auto" w:fill="auto"/>
            <w:noWrap/>
          </w:tcPr>
          <w:p w14:paraId="73BA7568" w14:textId="77777777" w:rsidR="005B4AF4" w:rsidRPr="003736F5" w:rsidRDefault="005B4AF4" w:rsidP="007C3D87">
            <w:pPr>
              <w:pStyle w:val="NoSpacing"/>
              <w:rPr>
                <w:rFonts w:cs="Times New Roman"/>
                <w:szCs w:val="24"/>
              </w:rPr>
            </w:pPr>
          </w:p>
        </w:tc>
        <w:tc>
          <w:tcPr>
            <w:tcW w:w="523" w:type="pct"/>
            <w:shd w:val="clear" w:color="auto" w:fill="auto"/>
            <w:noWrap/>
          </w:tcPr>
          <w:p w14:paraId="53371C27" w14:textId="77777777" w:rsidR="005B4AF4" w:rsidRPr="003736F5" w:rsidRDefault="005B4AF4" w:rsidP="007C3D87">
            <w:pPr>
              <w:pStyle w:val="NoSpacing"/>
              <w:rPr>
                <w:rFonts w:cs="Times New Roman"/>
                <w:szCs w:val="24"/>
              </w:rPr>
            </w:pPr>
          </w:p>
        </w:tc>
      </w:tr>
      <w:tr w:rsidR="005B4AF4" w:rsidRPr="003736F5" w14:paraId="016782E6" w14:textId="77777777" w:rsidTr="006037C0">
        <w:trPr>
          <w:trHeight w:val="19"/>
        </w:trPr>
        <w:tc>
          <w:tcPr>
            <w:tcW w:w="5000" w:type="pct"/>
            <w:gridSpan w:val="8"/>
            <w:shd w:val="clear" w:color="auto" w:fill="FFFFFF"/>
            <w:noWrap/>
          </w:tcPr>
          <w:p w14:paraId="230C2F31" w14:textId="5EABF50E" w:rsidR="005B4AF4" w:rsidRPr="003736F5" w:rsidRDefault="00892F8D" w:rsidP="00644DE4">
            <w:pPr>
              <w:pStyle w:val="Caption"/>
              <w:rPr>
                <w:rFonts w:cs="Times New Roman"/>
                <w:szCs w:val="24"/>
              </w:rPr>
            </w:pPr>
            <w:bookmarkStart w:id="16" w:name="_Toc520106778"/>
            <w:bookmarkStart w:id="17" w:name="_Toc520107810"/>
            <w:bookmarkStart w:id="18" w:name="_Toc524791121"/>
            <w:bookmarkStart w:id="19" w:name="_Toc525407053"/>
            <w:r w:rsidRPr="003736F5">
              <w:rPr>
                <w:rFonts w:cs="Times New Roman"/>
                <w:szCs w:val="24"/>
              </w:rPr>
              <w:t xml:space="preserve">Source: ONS Data, Author’s Calculations. </w:t>
            </w:r>
            <w:r w:rsidR="005B4AF4" w:rsidRPr="003736F5">
              <w:rPr>
                <w:rFonts w:cs="Times New Roman"/>
                <w:szCs w:val="24"/>
              </w:rPr>
              <w:t xml:space="preserve">For </w:t>
            </w:r>
            <w:r w:rsidR="00644DE4" w:rsidRPr="003736F5">
              <w:rPr>
                <w:rFonts w:cs="Times New Roman"/>
                <w:szCs w:val="24"/>
              </w:rPr>
              <w:t xml:space="preserve">all variables count (N) is reported and for </w:t>
            </w:r>
            <w:r w:rsidR="005B4AF4" w:rsidRPr="003736F5">
              <w:rPr>
                <w:rFonts w:cs="Times New Roman"/>
                <w:szCs w:val="24"/>
              </w:rPr>
              <w:t>continues variables</w:t>
            </w:r>
            <w:r w:rsidR="00644DE4" w:rsidRPr="003736F5">
              <w:rPr>
                <w:rFonts w:cs="Times New Roman"/>
                <w:szCs w:val="24"/>
              </w:rPr>
              <w:t xml:space="preserve"> this is supplemented by </w:t>
            </w:r>
            <w:r w:rsidR="005B4AF4" w:rsidRPr="003736F5">
              <w:rPr>
                <w:rFonts w:cs="Times New Roman"/>
                <w:szCs w:val="24"/>
              </w:rPr>
              <w:t>mean, median, standard deviation (SD), 25</w:t>
            </w:r>
            <w:r w:rsidR="005B4AF4" w:rsidRPr="003736F5">
              <w:rPr>
                <w:rFonts w:cs="Times New Roman"/>
                <w:szCs w:val="24"/>
                <w:vertAlign w:val="superscript"/>
              </w:rPr>
              <w:t>th</w:t>
            </w:r>
            <w:r w:rsidR="005B4AF4" w:rsidRPr="003736F5">
              <w:rPr>
                <w:rFonts w:cs="Times New Roman"/>
                <w:szCs w:val="24"/>
              </w:rPr>
              <w:t xml:space="preserve"> and 75</w:t>
            </w:r>
            <w:r w:rsidR="005B4AF4" w:rsidRPr="003736F5">
              <w:rPr>
                <w:rFonts w:cs="Times New Roman"/>
                <w:szCs w:val="24"/>
                <w:vertAlign w:val="superscript"/>
              </w:rPr>
              <w:t>th</w:t>
            </w:r>
            <w:r w:rsidR="005B4AF4" w:rsidRPr="003736F5">
              <w:rPr>
                <w:rFonts w:cs="Times New Roman"/>
                <w:noProof/>
                <w:szCs w:val="24"/>
              </w:rPr>
              <w:t xml:space="preserve"> percentiles</w:t>
            </w:r>
            <w:r w:rsidR="005B4AF4" w:rsidRPr="003736F5">
              <w:rPr>
                <w:rFonts w:cs="Times New Roman"/>
                <w:szCs w:val="24"/>
              </w:rPr>
              <w:t>.</w:t>
            </w:r>
            <w:bookmarkEnd w:id="16"/>
            <w:bookmarkEnd w:id="17"/>
            <w:bookmarkEnd w:id="18"/>
            <w:bookmarkEnd w:id="19"/>
          </w:p>
          <w:p w14:paraId="257B2C84" w14:textId="77777777" w:rsidR="003B471F" w:rsidRPr="003736F5" w:rsidRDefault="003B471F" w:rsidP="003B471F">
            <w:pPr>
              <w:rPr>
                <w:rFonts w:cs="Times New Roman"/>
              </w:rPr>
            </w:pPr>
            <w:r w:rsidRPr="003736F5">
              <w:rPr>
                <w:rFonts w:cs="Times New Roman"/>
              </w:rPr>
              <w:t>Source: ONS Data, Author’s Calculations.</w:t>
            </w:r>
          </w:p>
        </w:tc>
      </w:tr>
      <w:bookmarkEnd w:id="15"/>
    </w:tbl>
    <w:p w14:paraId="7B1554D8" w14:textId="77777777" w:rsidR="005B4AF4" w:rsidRPr="003736F5" w:rsidRDefault="005B4AF4" w:rsidP="005B4AF4">
      <w:pPr>
        <w:pStyle w:val="H2"/>
        <w:rPr>
          <w:rFonts w:cs="Times New Roman"/>
          <w:b/>
          <w:color w:val="auto"/>
          <w:sz w:val="24"/>
        </w:rPr>
      </w:pPr>
    </w:p>
    <w:p w14:paraId="7C64D183" w14:textId="77777777" w:rsidR="005B4AF4" w:rsidRPr="003736F5" w:rsidRDefault="005B4AF4" w:rsidP="005B4AF4">
      <w:pPr>
        <w:spacing w:after="0" w:line="240" w:lineRule="auto"/>
        <w:rPr>
          <w:rFonts w:cs="Times New Roman"/>
          <w:b/>
          <w:bCs/>
        </w:rPr>
      </w:pPr>
      <w:r w:rsidRPr="003736F5">
        <w:rPr>
          <w:rFonts w:cs="Times New Roman"/>
          <w:b/>
          <w:bCs/>
        </w:rPr>
        <w:br w:type="page"/>
      </w:r>
    </w:p>
    <w:p w14:paraId="42C67B50" w14:textId="77777777" w:rsidR="00016355" w:rsidRPr="003736F5" w:rsidRDefault="00FF0805" w:rsidP="00F33A4C">
      <w:pPr>
        <w:pStyle w:val="H2"/>
        <w:rPr>
          <w:rFonts w:cs="Times New Roman"/>
          <w:b/>
          <w:bCs/>
          <w:color w:val="auto"/>
          <w:sz w:val="24"/>
        </w:rPr>
      </w:pPr>
      <w:r w:rsidRPr="003736F5">
        <w:rPr>
          <w:rFonts w:cs="Times New Roman"/>
          <w:b/>
          <w:bCs/>
          <w:color w:val="auto"/>
          <w:sz w:val="24"/>
        </w:rPr>
        <w:lastRenderedPageBreak/>
        <w:t>A</w:t>
      </w:r>
      <w:r w:rsidR="00016355" w:rsidRPr="003736F5">
        <w:rPr>
          <w:rFonts w:cs="Times New Roman"/>
          <w:b/>
          <w:bCs/>
          <w:color w:val="auto"/>
          <w:sz w:val="24"/>
        </w:rPr>
        <w:t xml:space="preserve">ppendix </w:t>
      </w:r>
      <w:r w:rsidR="005B4AF4" w:rsidRPr="003736F5">
        <w:rPr>
          <w:rFonts w:cs="Times New Roman"/>
          <w:b/>
          <w:bCs/>
          <w:color w:val="auto"/>
          <w:sz w:val="24"/>
        </w:rPr>
        <w:t>3</w:t>
      </w:r>
      <w:r w:rsidR="00016355" w:rsidRPr="003736F5">
        <w:rPr>
          <w:rFonts w:cs="Times New Roman"/>
          <w:b/>
          <w:bCs/>
          <w:color w:val="auto"/>
          <w:sz w:val="24"/>
        </w:rPr>
        <w:t>: Model Diagnostics</w:t>
      </w:r>
    </w:p>
    <w:p w14:paraId="5375751E" w14:textId="77777777" w:rsidR="00EF7168" w:rsidRPr="003736F5" w:rsidRDefault="00EF7168" w:rsidP="00EF7168">
      <w:pPr>
        <w:rPr>
          <w:rFonts w:cs="Times New Roman"/>
          <w:color w:val="000000"/>
          <w:szCs w:val="24"/>
        </w:rPr>
      </w:pPr>
      <w:r w:rsidRPr="003736F5">
        <w:rPr>
          <w:rFonts w:cs="Times New Roman"/>
          <w:color w:val="000000"/>
          <w:szCs w:val="24"/>
        </w:rPr>
        <w:t xml:space="preserve">The primary criticism of CART is related to overfitting (Cook </w:t>
      </w:r>
      <w:r w:rsidR="00C37BD3" w:rsidRPr="003736F5">
        <w:rPr>
          <w:rFonts w:cs="Times New Roman"/>
          <w:color w:val="000000"/>
          <w:szCs w:val="24"/>
        </w:rPr>
        <w:t>and</w:t>
      </w:r>
      <w:r w:rsidRPr="003736F5">
        <w:rPr>
          <w:rFonts w:cs="Times New Roman"/>
          <w:color w:val="000000"/>
          <w:szCs w:val="24"/>
        </w:rPr>
        <w:t xml:space="preserve"> Goldman</w:t>
      </w:r>
      <w:r w:rsidR="001309CF" w:rsidRPr="003736F5">
        <w:rPr>
          <w:rFonts w:cs="Times New Roman"/>
          <w:color w:val="000000"/>
          <w:szCs w:val="24"/>
        </w:rPr>
        <w:t>,</w:t>
      </w:r>
      <w:r w:rsidRPr="003736F5">
        <w:rPr>
          <w:rFonts w:cs="Times New Roman"/>
          <w:color w:val="000000"/>
          <w:szCs w:val="24"/>
        </w:rPr>
        <w:t xml:space="preserve"> 1984). To overcome this issue, we impose a minimum number of observations in each final node. This strategy was preferred instead of alternatives</w:t>
      </w:r>
      <w:r w:rsidRPr="003736F5">
        <w:rPr>
          <w:rFonts w:cs="Times New Roman"/>
          <w:szCs w:val="24"/>
        </w:rPr>
        <w:t xml:space="preserve"> </w:t>
      </w:r>
      <w:r w:rsidRPr="003736F5">
        <w:rPr>
          <w:rFonts w:cs="Times New Roman"/>
          <w:color w:val="000000"/>
          <w:szCs w:val="24"/>
        </w:rPr>
        <w:t xml:space="preserve">because of the disclosure controls imposed by the data owners limiting the minimum number of observations in outputs. </w:t>
      </w:r>
      <w:r w:rsidRPr="003736F5">
        <w:rPr>
          <w:rFonts w:cs="Times New Roman"/>
          <w:szCs w:val="24"/>
        </w:rPr>
        <w:t>Other options include building a model by using a training dataset and then estimat</w:t>
      </w:r>
      <w:r w:rsidR="00D724D7" w:rsidRPr="003736F5">
        <w:rPr>
          <w:rFonts w:cs="Times New Roman"/>
          <w:szCs w:val="24"/>
        </w:rPr>
        <w:t>ing</w:t>
      </w:r>
      <w:r w:rsidRPr="003736F5">
        <w:rPr>
          <w:rFonts w:cs="Times New Roman"/>
          <w:szCs w:val="24"/>
        </w:rPr>
        <w:t xml:space="preserve"> mean squared error with the hold-out data and cross-complexity pruning</w:t>
      </w:r>
      <w:r w:rsidR="00D724D7" w:rsidRPr="003736F5">
        <w:rPr>
          <w:rFonts w:cs="Times New Roman"/>
          <w:szCs w:val="24"/>
        </w:rPr>
        <w:t>,</w:t>
      </w:r>
      <w:r w:rsidRPr="003736F5">
        <w:rPr>
          <w:rFonts w:cs="Times New Roman"/>
          <w:szCs w:val="24"/>
        </w:rPr>
        <w:t xml:space="preserve"> estimating complexity factor to evaluate predictive capacity (James et al., 2013).</w:t>
      </w:r>
    </w:p>
    <w:p w14:paraId="5C1ADD8F" w14:textId="1FFC0072" w:rsidR="00EF7168" w:rsidRPr="003736F5" w:rsidRDefault="00EF7168" w:rsidP="00EF7168">
      <w:pPr>
        <w:spacing w:before="240"/>
        <w:jc w:val="both"/>
        <w:rPr>
          <w:rFonts w:cs="Times New Roman"/>
          <w:szCs w:val="24"/>
          <w:lang w:val="en-US"/>
        </w:rPr>
      </w:pPr>
      <w:r w:rsidRPr="003736F5">
        <w:rPr>
          <w:rFonts w:cs="Times New Roman"/>
          <w:color w:val="000000"/>
          <w:szCs w:val="24"/>
        </w:rPr>
        <w:t xml:space="preserve">Another issue is the stability of the results (Briand et al., 2009). </w:t>
      </w:r>
      <w:r w:rsidRPr="003736F5">
        <w:rPr>
          <w:rFonts w:cs="Times New Roman"/>
          <w:szCs w:val="24"/>
          <w:lang w:val="en-US"/>
        </w:rPr>
        <w:t>To test stability</w:t>
      </w:r>
      <w:r w:rsidR="00D724D7" w:rsidRPr="003736F5">
        <w:rPr>
          <w:rFonts w:cs="Times New Roman"/>
          <w:szCs w:val="24"/>
          <w:lang w:val="en-US"/>
        </w:rPr>
        <w:t>,</w:t>
      </w:r>
      <w:r w:rsidRPr="003736F5">
        <w:rPr>
          <w:rFonts w:cs="Times New Roman"/>
          <w:szCs w:val="24"/>
          <w:lang w:val="en-US"/>
        </w:rPr>
        <w:t xml:space="preserve"> </w:t>
      </w:r>
      <w:r w:rsidR="001309CF" w:rsidRPr="003736F5">
        <w:rPr>
          <w:rFonts w:cs="Times New Roman"/>
          <w:szCs w:val="24"/>
          <w:lang w:val="en-US"/>
        </w:rPr>
        <w:t xml:space="preserve">Philipp </w:t>
      </w:r>
      <w:r w:rsidRPr="003736F5">
        <w:rPr>
          <w:rFonts w:cs="Times New Roman"/>
          <w:szCs w:val="24"/>
          <w:lang w:val="en-US"/>
        </w:rPr>
        <w:t xml:space="preserve">et al. (2018) framework and implementation were followed. As candidate algorithms, we selected Conditional Inference Trees (Hothorn et al., 2006) that do not account for random effects and </w:t>
      </w:r>
      <w:r w:rsidR="00D724D7" w:rsidRPr="003736F5">
        <w:rPr>
          <w:rFonts w:cs="Times New Roman"/>
          <w:szCs w:val="24"/>
          <w:lang w:val="en-US"/>
        </w:rPr>
        <w:t xml:space="preserve">a </w:t>
      </w:r>
      <w:r w:rsidRPr="003736F5">
        <w:rPr>
          <w:rFonts w:cs="Times New Roman"/>
          <w:szCs w:val="24"/>
          <w:lang w:val="en-US"/>
        </w:rPr>
        <w:t>more standard linear mixed model that account</w:t>
      </w:r>
      <w:r w:rsidR="007B3F33" w:rsidRPr="003736F5">
        <w:rPr>
          <w:rFonts w:cs="Times New Roman"/>
          <w:szCs w:val="24"/>
          <w:lang w:val="en-US"/>
        </w:rPr>
        <w:t>s</w:t>
      </w:r>
      <w:r w:rsidRPr="003736F5">
        <w:rPr>
          <w:rFonts w:cs="Times New Roman"/>
          <w:szCs w:val="24"/>
          <w:lang w:val="en-US"/>
        </w:rPr>
        <w:t xml:space="preserve"> for random </w:t>
      </w:r>
      <w:r w:rsidR="00D724D7" w:rsidRPr="003736F5">
        <w:rPr>
          <w:rFonts w:cs="Times New Roman"/>
          <w:szCs w:val="24"/>
          <w:lang w:val="en-US"/>
        </w:rPr>
        <w:t>e</w:t>
      </w:r>
      <w:r w:rsidRPr="003736F5">
        <w:rPr>
          <w:rFonts w:cs="Times New Roman"/>
          <w:szCs w:val="24"/>
          <w:lang w:val="en-US"/>
        </w:rPr>
        <w:t>ffects but assume</w:t>
      </w:r>
      <w:r w:rsidR="00D724D7" w:rsidRPr="003736F5">
        <w:rPr>
          <w:rFonts w:cs="Times New Roman"/>
          <w:szCs w:val="24"/>
          <w:lang w:val="en-US"/>
        </w:rPr>
        <w:t>s</w:t>
      </w:r>
      <w:r w:rsidRPr="003736F5">
        <w:rPr>
          <w:rFonts w:cs="Times New Roman"/>
          <w:szCs w:val="24"/>
          <w:lang w:val="en-US"/>
        </w:rPr>
        <w:t xml:space="preserve"> </w:t>
      </w:r>
      <w:r w:rsidR="001A008F" w:rsidRPr="003736F5">
        <w:rPr>
          <w:rFonts w:cs="Times New Roman"/>
          <w:szCs w:val="24"/>
          <w:lang w:val="en-US"/>
        </w:rPr>
        <w:t xml:space="preserve">a </w:t>
      </w:r>
      <w:r w:rsidRPr="003736F5">
        <w:rPr>
          <w:rFonts w:cs="Times New Roman"/>
          <w:szCs w:val="24"/>
          <w:lang w:val="en-US"/>
        </w:rPr>
        <w:t xml:space="preserve">more simplistic linear </w:t>
      </w:r>
      <w:r w:rsidR="00D724D7" w:rsidRPr="003736F5">
        <w:rPr>
          <w:rFonts w:cs="Times New Roman"/>
          <w:szCs w:val="24"/>
          <w:lang w:val="en-US"/>
        </w:rPr>
        <w:t>form</w:t>
      </w:r>
      <w:r w:rsidRPr="003736F5">
        <w:rPr>
          <w:rFonts w:cs="Times New Roman"/>
          <w:szCs w:val="24"/>
          <w:lang w:val="en-US"/>
        </w:rPr>
        <w:t xml:space="preserve">. The default settings were used for all algorithms. The results are illustrated in Figure </w:t>
      </w:r>
      <w:r w:rsidR="00173020" w:rsidRPr="003736F5">
        <w:rPr>
          <w:rFonts w:cs="Times New Roman"/>
          <w:szCs w:val="24"/>
          <w:lang w:val="en-US"/>
        </w:rPr>
        <w:t>5</w:t>
      </w:r>
      <w:r w:rsidRPr="003736F5">
        <w:rPr>
          <w:rFonts w:cs="Times New Roman"/>
          <w:szCs w:val="24"/>
          <w:lang w:val="en-US"/>
        </w:rPr>
        <w:t>, which shows similarity values for all three algorithms</w:t>
      </w:r>
      <w:r w:rsidR="001A008F" w:rsidRPr="003736F5">
        <w:rPr>
          <w:rFonts w:cs="Times New Roman"/>
          <w:szCs w:val="24"/>
          <w:lang w:val="en-US"/>
        </w:rPr>
        <w:t>. T</w:t>
      </w:r>
      <w:r w:rsidRPr="003736F5">
        <w:rPr>
          <w:rFonts w:cs="Times New Roman"/>
          <w:szCs w:val="24"/>
          <w:lang w:val="en-US"/>
        </w:rPr>
        <w:t xml:space="preserve">he REEM trees achieved </w:t>
      </w:r>
      <w:r w:rsidR="001A008F" w:rsidRPr="003736F5">
        <w:rPr>
          <w:rFonts w:cs="Times New Roman"/>
          <w:szCs w:val="24"/>
          <w:lang w:val="en-US"/>
        </w:rPr>
        <w:t>the highest stability score for this dataset</w:t>
      </w:r>
      <w:r w:rsidR="00B10ADC" w:rsidRPr="003736F5">
        <w:rPr>
          <w:rFonts w:cs="Times New Roman"/>
          <w:szCs w:val="24"/>
          <w:lang w:val="en-US"/>
        </w:rPr>
        <w:t>,</w:t>
      </w:r>
      <w:r w:rsidR="001A008F" w:rsidRPr="003736F5">
        <w:rPr>
          <w:rFonts w:cs="Times New Roman"/>
          <w:szCs w:val="24"/>
          <w:lang w:val="en-US"/>
        </w:rPr>
        <w:t xml:space="preserve"> </w:t>
      </w:r>
      <w:r w:rsidR="00E95337" w:rsidRPr="003736F5">
        <w:rPr>
          <w:rFonts w:cs="Times New Roman"/>
          <w:szCs w:val="24"/>
          <w:lang w:val="en-US"/>
        </w:rPr>
        <w:t xml:space="preserve">with </w:t>
      </w:r>
      <w:r w:rsidRPr="003736F5">
        <w:rPr>
          <w:rFonts w:cs="Times New Roman"/>
          <w:szCs w:val="24"/>
          <w:lang w:val="en-US"/>
        </w:rPr>
        <w:t xml:space="preserve">a median of 0.82.  </w:t>
      </w:r>
    </w:p>
    <w:p w14:paraId="0DB292BD" w14:textId="77777777" w:rsidR="00AB1655" w:rsidRPr="003736F5" w:rsidRDefault="00AB1655">
      <w:pPr>
        <w:spacing w:after="0" w:line="240" w:lineRule="auto"/>
        <w:rPr>
          <w:rFonts w:cs="Times New Roman"/>
          <w:b/>
          <w:szCs w:val="24"/>
          <w:lang w:val="en-US"/>
        </w:rPr>
      </w:pPr>
      <w:r w:rsidRPr="003736F5">
        <w:rPr>
          <w:rFonts w:cs="Times New Roman"/>
          <w:b/>
          <w:szCs w:val="24"/>
          <w:lang w:val="en-US"/>
        </w:rPr>
        <w:br w:type="page"/>
      </w:r>
    </w:p>
    <w:p w14:paraId="16B423B2" w14:textId="6C9BE941" w:rsidR="00AB1655" w:rsidRPr="003736F5" w:rsidRDefault="00EF7168" w:rsidP="00AB1655">
      <w:pPr>
        <w:spacing w:before="240" w:after="0" w:line="240" w:lineRule="auto"/>
        <w:jc w:val="both"/>
        <w:rPr>
          <w:rFonts w:cs="Times New Roman"/>
          <w:b/>
          <w:szCs w:val="24"/>
          <w:lang w:val="en-US"/>
        </w:rPr>
      </w:pPr>
      <w:r w:rsidRPr="003736F5">
        <w:rPr>
          <w:rFonts w:cs="Times New Roman"/>
          <w:b/>
          <w:szCs w:val="24"/>
          <w:lang w:val="en-US"/>
        </w:rPr>
        <w:lastRenderedPageBreak/>
        <w:t xml:space="preserve">Figure </w:t>
      </w:r>
      <w:r w:rsidR="00173020" w:rsidRPr="003736F5">
        <w:rPr>
          <w:rFonts w:cs="Times New Roman"/>
          <w:b/>
          <w:szCs w:val="24"/>
          <w:lang w:val="en-US"/>
        </w:rPr>
        <w:t>5</w:t>
      </w:r>
      <w:r w:rsidRPr="003736F5">
        <w:rPr>
          <w:rFonts w:cs="Times New Roman"/>
          <w:b/>
          <w:szCs w:val="24"/>
          <w:lang w:val="en-US"/>
        </w:rPr>
        <w:t>: Stability (1-total variation distance) of results generated by different implementation</w:t>
      </w:r>
      <w:r w:rsidR="00BA5CE9" w:rsidRPr="003736F5">
        <w:rPr>
          <w:rFonts w:cs="Times New Roman"/>
          <w:b/>
          <w:szCs w:val="24"/>
          <w:lang w:val="en-US"/>
        </w:rPr>
        <w:t>s</w:t>
      </w:r>
      <w:r w:rsidRPr="003736F5">
        <w:rPr>
          <w:rFonts w:cs="Times New Roman"/>
          <w:b/>
          <w:szCs w:val="24"/>
          <w:lang w:val="en-US"/>
        </w:rPr>
        <w:t xml:space="preserve"> of estimations with matched data.</w:t>
      </w:r>
    </w:p>
    <w:p w14:paraId="17CA1EA3" w14:textId="052EB899" w:rsidR="00EF7168" w:rsidRPr="003736F5" w:rsidRDefault="001C1B91" w:rsidP="00AB1655">
      <w:pPr>
        <w:spacing w:before="240" w:after="0" w:line="240" w:lineRule="auto"/>
        <w:jc w:val="center"/>
        <w:rPr>
          <w:rFonts w:cs="Times New Roman"/>
          <w:szCs w:val="24"/>
          <w:lang w:val="en-US"/>
        </w:rPr>
      </w:pPr>
      <w:r w:rsidRPr="003736F5">
        <w:rPr>
          <w:rFonts w:cs="Times New Roman"/>
          <w:noProof/>
          <w:szCs w:val="24"/>
          <w:lang w:val="en-US"/>
        </w:rPr>
        <w:drawing>
          <wp:inline distT="0" distB="0" distL="0" distR="0" wp14:anchorId="7E168CBE" wp14:editId="5FDB8FF6">
            <wp:extent cx="3847465" cy="22955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47465" cy="2295525"/>
                    </a:xfrm>
                    <a:prstGeom prst="rect">
                      <a:avLst/>
                    </a:prstGeom>
                    <a:noFill/>
                  </pic:spPr>
                </pic:pic>
              </a:graphicData>
            </a:graphic>
          </wp:inline>
        </w:drawing>
      </w:r>
    </w:p>
    <w:p w14:paraId="400604D1" w14:textId="77777777" w:rsidR="00AB1655" w:rsidRPr="003736F5" w:rsidRDefault="008A3B50" w:rsidP="00EF7168">
      <w:pPr>
        <w:rPr>
          <w:rFonts w:cs="Times New Roman"/>
        </w:rPr>
      </w:pPr>
      <w:r w:rsidRPr="003736F5">
        <w:rPr>
          <w:rFonts w:cs="Times New Roman"/>
        </w:rPr>
        <w:t>Source: ONS Data, Author’s Calculations.</w:t>
      </w:r>
    </w:p>
    <w:p w14:paraId="41F3A935" w14:textId="77777777" w:rsidR="00BE50BE" w:rsidRPr="003736F5" w:rsidRDefault="00BE50BE" w:rsidP="00EF7168">
      <w:pPr>
        <w:rPr>
          <w:rFonts w:cs="Times New Roman"/>
          <w:szCs w:val="24"/>
          <w:lang w:val="en-US"/>
        </w:rPr>
      </w:pPr>
    </w:p>
    <w:p w14:paraId="3BAF2395" w14:textId="23A04A1E" w:rsidR="00EF7168" w:rsidRPr="003736F5" w:rsidRDefault="00EF7168" w:rsidP="00EF7168">
      <w:pPr>
        <w:rPr>
          <w:rFonts w:cs="Times New Roman"/>
          <w:szCs w:val="24"/>
          <w:lang w:val="en-US"/>
        </w:rPr>
      </w:pPr>
      <w:r w:rsidRPr="003736F5">
        <w:rPr>
          <w:rFonts w:cs="Times New Roman"/>
          <w:szCs w:val="24"/>
          <w:lang w:val="en-US"/>
        </w:rPr>
        <w:t>To a</w:t>
      </w:r>
      <w:r w:rsidR="00BA5CE9" w:rsidRPr="003736F5">
        <w:rPr>
          <w:rFonts w:cs="Times New Roman"/>
          <w:szCs w:val="24"/>
          <w:lang w:val="en-US"/>
        </w:rPr>
        <w:t>ss</w:t>
      </w:r>
      <w:r w:rsidRPr="003736F5">
        <w:rPr>
          <w:rFonts w:cs="Times New Roman"/>
          <w:szCs w:val="24"/>
          <w:lang w:val="en-US"/>
        </w:rPr>
        <w:t xml:space="preserve">ess the accuracy, we use </w:t>
      </w:r>
      <w:proofErr w:type="gramStart"/>
      <w:r w:rsidRPr="003736F5">
        <w:rPr>
          <w:rFonts w:cs="Times New Roman"/>
          <w:szCs w:val="24"/>
          <w:lang w:val="en-US"/>
        </w:rPr>
        <w:t>10 fold</w:t>
      </w:r>
      <w:proofErr w:type="gramEnd"/>
      <w:r w:rsidRPr="003736F5">
        <w:rPr>
          <w:rFonts w:cs="Times New Roman"/>
          <w:szCs w:val="24"/>
          <w:lang w:val="en-US"/>
        </w:rPr>
        <w:t xml:space="preserve"> validation, </w:t>
      </w:r>
      <w:r w:rsidRPr="003736F5">
        <w:rPr>
          <w:rFonts w:cs="Times New Roman"/>
          <w:color w:val="000000"/>
          <w:szCs w:val="24"/>
        </w:rPr>
        <w:t>in which we compare the predictive capacity of our trees to other candidate algorithms</w:t>
      </w:r>
      <w:r w:rsidRPr="003736F5">
        <w:rPr>
          <w:rFonts w:cs="Times New Roman"/>
          <w:szCs w:val="24"/>
          <w:lang w:val="en-US"/>
        </w:rPr>
        <w:t>.</w:t>
      </w:r>
      <w:r w:rsidRPr="003736F5">
        <w:rPr>
          <w:rFonts w:cs="Times New Roman"/>
          <w:szCs w:val="24"/>
        </w:rPr>
        <w:t xml:space="preserve"> </w:t>
      </w:r>
      <w:r w:rsidRPr="003736F5">
        <w:rPr>
          <w:rFonts w:cs="Times New Roman"/>
          <w:szCs w:val="24"/>
          <w:lang w:val="en-US"/>
        </w:rPr>
        <w:t xml:space="preserve">In addition to the previously used algorithms, </w:t>
      </w:r>
      <w:r w:rsidR="008B1BA2" w:rsidRPr="003736F5">
        <w:rPr>
          <w:rFonts w:cs="Times New Roman"/>
          <w:szCs w:val="24"/>
          <w:lang w:val="en-US"/>
        </w:rPr>
        <w:t xml:space="preserve">we also include random forests known for </w:t>
      </w:r>
      <w:r w:rsidR="00AE6D8C" w:rsidRPr="003736F5">
        <w:rPr>
          <w:rFonts w:cs="Times New Roman"/>
          <w:szCs w:val="24"/>
          <w:lang w:val="en-US"/>
        </w:rPr>
        <w:t>its</w:t>
      </w:r>
      <w:r w:rsidR="008B1BA2" w:rsidRPr="003736F5">
        <w:rPr>
          <w:rFonts w:cs="Times New Roman"/>
          <w:szCs w:val="24"/>
          <w:lang w:val="en-US"/>
        </w:rPr>
        <w:t xml:space="preserve"> greater predictive accuracy</w:t>
      </w:r>
      <w:r w:rsidRPr="003736F5">
        <w:rPr>
          <w:rFonts w:cs="Times New Roman"/>
          <w:szCs w:val="24"/>
          <w:lang w:val="en-US"/>
        </w:rPr>
        <w:t xml:space="preserve">. We base our strategy on </w:t>
      </w:r>
      <w:r w:rsidR="002E3528" w:rsidRPr="003736F5">
        <w:rPr>
          <w:rFonts w:cs="Times New Roman"/>
          <w:szCs w:val="24"/>
          <w:lang w:val="en-US"/>
        </w:rPr>
        <w:t xml:space="preserve">Rabinowicz </w:t>
      </w:r>
      <w:r w:rsidRPr="003736F5">
        <w:rPr>
          <w:rFonts w:cs="Times New Roman"/>
          <w:szCs w:val="24"/>
          <w:lang w:val="en-US"/>
        </w:rPr>
        <w:t xml:space="preserve">and Rosset’s (2020) assumptions that should be met for </w:t>
      </w:r>
      <w:r w:rsidR="00AE6D8C" w:rsidRPr="003736F5">
        <w:rPr>
          <w:rFonts w:cs="Times New Roman"/>
          <w:szCs w:val="24"/>
          <w:lang w:val="en-US"/>
        </w:rPr>
        <w:t>effective cross-validation with longitudinal data</w:t>
      </w:r>
      <w:r w:rsidRPr="003736F5">
        <w:rPr>
          <w:rFonts w:cs="Times New Roman"/>
          <w:szCs w:val="24"/>
          <w:lang w:val="en-US"/>
        </w:rPr>
        <w:t xml:space="preserve">. We produce ten random subsamples where the same respondent firms are in both samples but at different times to preserve the distributional relation between the testing </w:t>
      </w:r>
      <w:r w:rsidR="008B1BA2" w:rsidRPr="003736F5">
        <w:rPr>
          <w:rFonts w:cs="Times New Roman"/>
          <w:szCs w:val="24"/>
          <w:lang w:val="en-US"/>
        </w:rPr>
        <w:t>and training sets</w:t>
      </w:r>
      <w:r w:rsidRPr="003736F5">
        <w:rPr>
          <w:rFonts w:cs="Times New Roman"/>
          <w:szCs w:val="24"/>
          <w:lang w:val="en-US"/>
        </w:rPr>
        <w:t xml:space="preserve">. For each subsample, we train the algorithms with </w:t>
      </w:r>
      <w:r w:rsidR="008B1BA2" w:rsidRPr="003736F5">
        <w:rPr>
          <w:rFonts w:cs="Times New Roman"/>
          <w:szCs w:val="24"/>
          <w:lang w:val="en-US"/>
        </w:rPr>
        <w:t xml:space="preserve">an </w:t>
      </w:r>
      <w:r w:rsidRPr="003736F5">
        <w:rPr>
          <w:rFonts w:cs="Times New Roman"/>
          <w:szCs w:val="24"/>
          <w:lang w:val="en-US"/>
        </w:rPr>
        <w:t xml:space="preserve">80% train set and then use the remaining 20% to test the accuracy of predictions. The goal is to compare the accuracy of predictions of observations of the subjects, sampled at a random time-point from the same distribution. For the comparison, we use both Root Mean Squared Error (RMSE) and more reliable Mean Absolute Error (MAE). </w:t>
      </w:r>
    </w:p>
    <w:p w14:paraId="48F4CFFD" w14:textId="4EBA59D9" w:rsidR="00BE50BE" w:rsidRPr="003736F5" w:rsidRDefault="00EF7168" w:rsidP="00EF7168">
      <w:pPr>
        <w:spacing w:before="240"/>
        <w:jc w:val="both"/>
        <w:rPr>
          <w:rFonts w:cs="Times New Roman"/>
          <w:szCs w:val="24"/>
          <w:lang w:val="en-US"/>
        </w:rPr>
      </w:pPr>
      <w:r w:rsidRPr="003736F5">
        <w:rPr>
          <w:rFonts w:cs="Times New Roman"/>
          <w:color w:val="000000"/>
          <w:szCs w:val="24"/>
        </w:rPr>
        <w:lastRenderedPageBreak/>
        <w:t xml:space="preserve">The results </w:t>
      </w:r>
      <w:r w:rsidR="00D061B0" w:rsidRPr="003736F5">
        <w:rPr>
          <w:rFonts w:cs="Times New Roman"/>
          <w:color w:val="000000"/>
          <w:szCs w:val="24"/>
        </w:rPr>
        <w:t>from</w:t>
      </w:r>
      <w:r w:rsidRPr="003736F5">
        <w:rPr>
          <w:rFonts w:cs="Times New Roman"/>
          <w:color w:val="000000"/>
          <w:szCs w:val="24"/>
        </w:rPr>
        <w:t xml:space="preserve"> the k-fold validation </w:t>
      </w:r>
      <w:r w:rsidRPr="003736F5">
        <w:rPr>
          <w:rFonts w:cs="Times New Roman"/>
          <w:noProof/>
          <w:color w:val="000000"/>
          <w:szCs w:val="24"/>
        </w:rPr>
        <w:t>are reported</w:t>
      </w:r>
      <w:r w:rsidRPr="003736F5">
        <w:rPr>
          <w:rFonts w:cs="Times New Roman"/>
          <w:color w:val="000000"/>
          <w:szCs w:val="24"/>
        </w:rPr>
        <w:t xml:space="preserve"> in Table </w:t>
      </w:r>
      <w:r w:rsidR="006E197F" w:rsidRPr="003736F5">
        <w:rPr>
          <w:rFonts w:cs="Times New Roman"/>
          <w:color w:val="000000"/>
          <w:szCs w:val="24"/>
        </w:rPr>
        <w:t>4</w:t>
      </w:r>
      <w:r w:rsidRPr="003736F5">
        <w:rPr>
          <w:rFonts w:cs="Times New Roman"/>
          <w:color w:val="000000"/>
          <w:szCs w:val="24"/>
        </w:rPr>
        <w:t>. This table shows the means of RMSE and MAE of the four algorithms, supplemented by median</w:t>
      </w:r>
      <w:r w:rsidR="000233F9" w:rsidRPr="003736F5">
        <w:rPr>
          <w:rFonts w:cs="Times New Roman"/>
          <w:color w:val="000000"/>
          <w:szCs w:val="24"/>
        </w:rPr>
        <w:t>s</w:t>
      </w:r>
      <w:r w:rsidRPr="003736F5">
        <w:rPr>
          <w:rFonts w:cs="Times New Roman"/>
          <w:color w:val="000000"/>
          <w:szCs w:val="24"/>
        </w:rPr>
        <w:t xml:space="preserve"> and SD</w:t>
      </w:r>
      <w:r w:rsidR="000233F9" w:rsidRPr="003736F5">
        <w:rPr>
          <w:rFonts w:cs="Times New Roman"/>
          <w:color w:val="000000"/>
          <w:szCs w:val="24"/>
        </w:rPr>
        <w:t>s</w:t>
      </w:r>
      <w:r w:rsidRPr="003736F5">
        <w:rPr>
          <w:rFonts w:cs="Times New Roman"/>
          <w:color w:val="000000"/>
          <w:szCs w:val="24"/>
        </w:rPr>
        <w:t xml:space="preserve">. The </w:t>
      </w:r>
      <w:r w:rsidR="00BC3EC7" w:rsidRPr="003736F5">
        <w:rPr>
          <w:rFonts w:cs="Times New Roman"/>
          <w:szCs w:val="24"/>
          <w:lang w:val="en-US"/>
        </w:rPr>
        <w:t>REEM tree</w:t>
      </w:r>
      <w:r w:rsidRPr="003736F5">
        <w:rPr>
          <w:rFonts w:cs="Times New Roman"/>
          <w:szCs w:val="24"/>
          <w:lang w:val="en-US"/>
        </w:rPr>
        <w:t xml:space="preserve"> achieved a relatively high accuracy when compared to alternative methods. RMSE estimates indicate that </w:t>
      </w:r>
      <w:r w:rsidR="00BC3EC7" w:rsidRPr="003736F5">
        <w:rPr>
          <w:rFonts w:cs="Times New Roman"/>
          <w:szCs w:val="24"/>
          <w:lang w:val="en-US"/>
        </w:rPr>
        <w:t>REEM tree</w:t>
      </w:r>
      <w:r w:rsidRPr="003736F5">
        <w:rPr>
          <w:rFonts w:cs="Times New Roman"/>
          <w:szCs w:val="24"/>
          <w:lang w:val="en-US"/>
        </w:rPr>
        <w:t xml:space="preserve"> achieved the highest accuracy, but that was not the case with MAE</w:t>
      </w:r>
      <w:r w:rsidR="008B1BA2" w:rsidRPr="003736F5">
        <w:rPr>
          <w:rFonts w:cs="Times New Roman"/>
          <w:szCs w:val="24"/>
          <w:lang w:val="en-US"/>
        </w:rPr>
        <w:t>,</w:t>
      </w:r>
      <w:r w:rsidRPr="003736F5">
        <w:rPr>
          <w:rFonts w:cs="Times New Roman"/>
          <w:szCs w:val="24"/>
          <w:lang w:val="en-US"/>
        </w:rPr>
        <w:t xml:space="preserve"> </w:t>
      </w:r>
      <w:r w:rsidR="008B1BA2" w:rsidRPr="003736F5">
        <w:rPr>
          <w:rFonts w:cs="Times New Roman"/>
          <w:szCs w:val="24"/>
          <w:lang w:val="en-US"/>
        </w:rPr>
        <w:t>which</w:t>
      </w:r>
      <w:r w:rsidRPr="003736F5">
        <w:rPr>
          <w:rFonts w:cs="Times New Roman"/>
          <w:szCs w:val="24"/>
          <w:lang w:val="en-US"/>
        </w:rPr>
        <w:t xml:space="preserve"> accounts for extreme outliers. Based on MAE, random forests slightly outperformed </w:t>
      </w:r>
      <w:r w:rsidR="00BC3EC7" w:rsidRPr="003736F5">
        <w:rPr>
          <w:rFonts w:cs="Times New Roman"/>
          <w:szCs w:val="24"/>
          <w:lang w:val="en-US"/>
        </w:rPr>
        <w:t>REEM tree</w:t>
      </w:r>
      <w:r w:rsidR="00EA709D" w:rsidRPr="003736F5">
        <w:rPr>
          <w:rFonts w:cs="Times New Roman"/>
          <w:szCs w:val="24"/>
          <w:lang w:val="en-US"/>
        </w:rPr>
        <w:t>.</w:t>
      </w:r>
    </w:p>
    <w:p w14:paraId="72DBF3F9" w14:textId="77777777" w:rsidR="00EF7168" w:rsidRPr="003736F5" w:rsidRDefault="00EF7168" w:rsidP="00EF7168">
      <w:pPr>
        <w:spacing w:before="240"/>
        <w:jc w:val="both"/>
        <w:rPr>
          <w:rFonts w:cs="Times New Roman"/>
          <w:szCs w:val="24"/>
          <w:lang w:val="en-US"/>
        </w:rPr>
      </w:pPr>
      <w:r w:rsidRPr="003736F5">
        <w:rPr>
          <w:rFonts w:cs="Times New Roman"/>
          <w:szCs w:val="24"/>
          <w:lang w:val="en-US"/>
        </w:rPr>
        <w:t xml:space="preserve">. </w:t>
      </w:r>
    </w:p>
    <w:p w14:paraId="7B2B9A34" w14:textId="2D39C23F" w:rsidR="00EF7168" w:rsidRPr="003736F5" w:rsidRDefault="00EF7168" w:rsidP="00BC0A8C">
      <w:pPr>
        <w:spacing w:before="240" w:line="240" w:lineRule="auto"/>
        <w:rPr>
          <w:rFonts w:cs="Times New Roman"/>
          <w:b/>
          <w:szCs w:val="24"/>
          <w:lang w:val="en-US"/>
        </w:rPr>
      </w:pPr>
      <w:r w:rsidRPr="003736F5">
        <w:rPr>
          <w:rFonts w:cs="Times New Roman"/>
          <w:b/>
          <w:szCs w:val="24"/>
          <w:lang w:val="en-US"/>
        </w:rPr>
        <w:t xml:space="preserve">Table </w:t>
      </w:r>
      <w:r w:rsidR="00E226E4" w:rsidRPr="003736F5">
        <w:rPr>
          <w:rFonts w:cs="Times New Roman"/>
          <w:b/>
          <w:szCs w:val="24"/>
          <w:lang w:val="en-US"/>
        </w:rPr>
        <w:t>5</w:t>
      </w:r>
      <w:r w:rsidRPr="003736F5">
        <w:rPr>
          <w:rFonts w:cs="Times New Roman"/>
          <w:b/>
          <w:szCs w:val="24"/>
          <w:lang w:val="en-US"/>
        </w:rPr>
        <w:t>: Accuracy</w:t>
      </w:r>
      <w:r w:rsidR="0096182E" w:rsidRPr="003736F5">
        <w:rPr>
          <w:rFonts w:cs="Times New Roman"/>
          <w:b/>
          <w:szCs w:val="24"/>
          <w:lang w:val="en-US"/>
        </w:rPr>
        <w:t xml:space="preserve"> measures</w:t>
      </w:r>
      <w:r w:rsidRPr="003736F5">
        <w:rPr>
          <w:rFonts w:cs="Times New Roman"/>
          <w:b/>
          <w:szCs w:val="24"/>
          <w:lang w:val="en-US"/>
        </w:rPr>
        <w:t xml:space="preserve"> (MAE and RMSE) generated by different implementation</w:t>
      </w:r>
      <w:r w:rsidR="0096182E" w:rsidRPr="003736F5">
        <w:rPr>
          <w:rFonts w:cs="Times New Roman"/>
          <w:b/>
          <w:szCs w:val="24"/>
          <w:lang w:val="en-US"/>
        </w:rPr>
        <w:t>s</w:t>
      </w:r>
      <w:r w:rsidRPr="003736F5">
        <w:rPr>
          <w:rFonts w:cs="Times New Roman"/>
          <w:b/>
          <w:szCs w:val="24"/>
          <w:lang w:val="en-US"/>
        </w:rPr>
        <w:t xml:space="preserve"> of estimations with matched data.</w:t>
      </w:r>
    </w:p>
    <w:tbl>
      <w:tblPr>
        <w:tblW w:w="8887" w:type="dxa"/>
        <w:jc w:val="center"/>
        <w:tblBorders>
          <w:top w:val="single" w:sz="4" w:space="0" w:color="7F7F7F"/>
          <w:bottom w:val="single" w:sz="4" w:space="0" w:color="7F7F7F"/>
        </w:tblBorders>
        <w:tblLook w:val="04A0" w:firstRow="1" w:lastRow="0" w:firstColumn="1" w:lastColumn="0" w:noHBand="0" w:noVBand="1"/>
      </w:tblPr>
      <w:tblGrid>
        <w:gridCol w:w="1567"/>
        <w:gridCol w:w="1262"/>
        <w:gridCol w:w="1262"/>
        <w:gridCol w:w="1006"/>
        <w:gridCol w:w="1262"/>
        <w:gridCol w:w="1262"/>
        <w:gridCol w:w="1266"/>
      </w:tblGrid>
      <w:tr w:rsidR="00C116FA" w:rsidRPr="003736F5" w14:paraId="2D7F7350" w14:textId="77777777" w:rsidTr="00BC5C25">
        <w:trPr>
          <w:trHeight w:val="257"/>
          <w:jc w:val="center"/>
        </w:trPr>
        <w:tc>
          <w:tcPr>
            <w:tcW w:w="1567" w:type="dxa"/>
            <w:tcBorders>
              <w:bottom w:val="single" w:sz="4" w:space="0" w:color="7F7F7F"/>
            </w:tcBorders>
            <w:shd w:val="clear" w:color="auto" w:fill="auto"/>
            <w:noWrap/>
            <w:hideMark/>
          </w:tcPr>
          <w:p w14:paraId="52C7BBBE" w14:textId="77777777" w:rsidR="00EF7168" w:rsidRPr="003736F5" w:rsidRDefault="00EF7168" w:rsidP="00AB1655">
            <w:pPr>
              <w:pStyle w:val="NoSpacing"/>
              <w:rPr>
                <w:rFonts w:cs="Times New Roman"/>
                <w:b/>
                <w:bCs/>
                <w:lang w:val="en-US"/>
              </w:rPr>
            </w:pPr>
          </w:p>
        </w:tc>
        <w:tc>
          <w:tcPr>
            <w:tcW w:w="3530" w:type="dxa"/>
            <w:gridSpan w:val="3"/>
            <w:tcBorders>
              <w:bottom w:val="single" w:sz="4" w:space="0" w:color="7F7F7F"/>
              <w:right w:val="single" w:sz="4" w:space="0" w:color="auto"/>
            </w:tcBorders>
            <w:shd w:val="clear" w:color="auto" w:fill="auto"/>
            <w:noWrap/>
            <w:hideMark/>
          </w:tcPr>
          <w:p w14:paraId="537A55CB" w14:textId="77777777" w:rsidR="00EF7168" w:rsidRPr="003736F5" w:rsidRDefault="00EF7168" w:rsidP="00BC5C25">
            <w:pPr>
              <w:pStyle w:val="NoSpacing"/>
              <w:jc w:val="center"/>
              <w:rPr>
                <w:rFonts w:cs="Times New Roman"/>
                <w:b/>
                <w:bCs/>
                <w:color w:val="000000"/>
                <w:lang w:val="en-US"/>
              </w:rPr>
            </w:pPr>
            <w:r w:rsidRPr="003736F5">
              <w:rPr>
                <w:rFonts w:cs="Times New Roman"/>
                <w:b/>
                <w:bCs/>
                <w:color w:val="000000"/>
                <w:lang w:val="en-US"/>
              </w:rPr>
              <w:t>MAE</w:t>
            </w:r>
          </w:p>
        </w:tc>
        <w:tc>
          <w:tcPr>
            <w:tcW w:w="3790" w:type="dxa"/>
            <w:gridSpan w:val="3"/>
            <w:tcBorders>
              <w:top w:val="single" w:sz="4" w:space="0" w:color="7F7F7F"/>
              <w:left w:val="single" w:sz="4" w:space="0" w:color="auto"/>
              <w:bottom w:val="single" w:sz="4" w:space="0" w:color="7F7F7F"/>
            </w:tcBorders>
            <w:shd w:val="clear" w:color="auto" w:fill="auto"/>
            <w:noWrap/>
            <w:hideMark/>
          </w:tcPr>
          <w:p w14:paraId="173A2A8F" w14:textId="77777777" w:rsidR="00EF7168" w:rsidRPr="003736F5" w:rsidRDefault="00EF7168" w:rsidP="00BC5C25">
            <w:pPr>
              <w:pStyle w:val="NoSpacing"/>
              <w:jc w:val="center"/>
              <w:rPr>
                <w:rFonts w:cs="Times New Roman"/>
                <w:b/>
                <w:bCs/>
                <w:color w:val="000000"/>
                <w:lang w:val="en-US"/>
              </w:rPr>
            </w:pPr>
            <w:r w:rsidRPr="003736F5">
              <w:rPr>
                <w:rFonts w:cs="Times New Roman"/>
                <w:b/>
                <w:bCs/>
                <w:color w:val="000000"/>
                <w:lang w:val="en-US"/>
              </w:rPr>
              <w:t>RMSE</w:t>
            </w:r>
          </w:p>
        </w:tc>
      </w:tr>
      <w:tr w:rsidR="00C116FA" w:rsidRPr="003736F5" w14:paraId="77DF911D" w14:textId="77777777" w:rsidTr="00BC5C25">
        <w:trPr>
          <w:trHeight w:val="257"/>
          <w:jc w:val="center"/>
        </w:trPr>
        <w:tc>
          <w:tcPr>
            <w:tcW w:w="1567" w:type="dxa"/>
            <w:tcBorders>
              <w:top w:val="single" w:sz="4" w:space="0" w:color="7F7F7F"/>
              <w:bottom w:val="single" w:sz="4" w:space="0" w:color="7F7F7F"/>
            </w:tcBorders>
            <w:shd w:val="clear" w:color="auto" w:fill="auto"/>
            <w:noWrap/>
            <w:hideMark/>
          </w:tcPr>
          <w:p w14:paraId="0D7782DB" w14:textId="77777777" w:rsidR="00EF7168" w:rsidRPr="003736F5" w:rsidRDefault="00EF7168" w:rsidP="00AB1655">
            <w:pPr>
              <w:pStyle w:val="NoSpacing"/>
              <w:rPr>
                <w:rFonts w:cs="Times New Roman"/>
                <w:b/>
                <w:bCs/>
                <w:color w:val="000000"/>
                <w:lang w:val="en-US"/>
              </w:rPr>
            </w:pPr>
          </w:p>
        </w:tc>
        <w:tc>
          <w:tcPr>
            <w:tcW w:w="1262" w:type="dxa"/>
            <w:tcBorders>
              <w:top w:val="single" w:sz="4" w:space="0" w:color="7F7F7F"/>
              <w:bottom w:val="single" w:sz="4" w:space="0" w:color="7F7F7F"/>
            </w:tcBorders>
            <w:shd w:val="clear" w:color="auto" w:fill="auto"/>
            <w:noWrap/>
            <w:hideMark/>
          </w:tcPr>
          <w:p w14:paraId="3CE3C747" w14:textId="77777777" w:rsidR="00EF7168" w:rsidRPr="003736F5" w:rsidRDefault="00EF7168" w:rsidP="00BC5C25">
            <w:pPr>
              <w:pStyle w:val="NoSpacing"/>
              <w:jc w:val="center"/>
              <w:rPr>
                <w:rFonts w:cs="Times New Roman"/>
                <w:color w:val="000000"/>
                <w:lang w:val="en-US"/>
              </w:rPr>
            </w:pPr>
            <w:r w:rsidRPr="003736F5">
              <w:rPr>
                <w:rFonts w:cs="Times New Roman"/>
                <w:color w:val="000000"/>
                <w:lang w:val="en-US"/>
              </w:rPr>
              <w:t>Mean</w:t>
            </w:r>
          </w:p>
        </w:tc>
        <w:tc>
          <w:tcPr>
            <w:tcW w:w="1262" w:type="dxa"/>
            <w:tcBorders>
              <w:top w:val="single" w:sz="4" w:space="0" w:color="7F7F7F"/>
              <w:bottom w:val="single" w:sz="4" w:space="0" w:color="7F7F7F"/>
            </w:tcBorders>
            <w:shd w:val="clear" w:color="auto" w:fill="auto"/>
            <w:noWrap/>
            <w:hideMark/>
          </w:tcPr>
          <w:p w14:paraId="0960BFB8" w14:textId="77777777" w:rsidR="00EF7168" w:rsidRPr="003736F5" w:rsidRDefault="00EF7168" w:rsidP="00BC5C25">
            <w:pPr>
              <w:pStyle w:val="NoSpacing"/>
              <w:jc w:val="center"/>
              <w:rPr>
                <w:rFonts w:cs="Times New Roman"/>
                <w:color w:val="000000"/>
                <w:lang w:val="en-US"/>
              </w:rPr>
            </w:pPr>
            <w:r w:rsidRPr="003736F5">
              <w:rPr>
                <w:rFonts w:cs="Times New Roman"/>
                <w:color w:val="000000"/>
                <w:lang w:val="en-US"/>
              </w:rPr>
              <w:t>Median</w:t>
            </w:r>
          </w:p>
        </w:tc>
        <w:tc>
          <w:tcPr>
            <w:tcW w:w="1004" w:type="dxa"/>
            <w:tcBorders>
              <w:top w:val="single" w:sz="4" w:space="0" w:color="7F7F7F"/>
              <w:bottom w:val="single" w:sz="4" w:space="0" w:color="7F7F7F"/>
              <w:right w:val="single" w:sz="4" w:space="0" w:color="auto"/>
            </w:tcBorders>
            <w:shd w:val="clear" w:color="auto" w:fill="auto"/>
            <w:noWrap/>
            <w:hideMark/>
          </w:tcPr>
          <w:p w14:paraId="5FA7AFE9" w14:textId="77777777" w:rsidR="00EF7168" w:rsidRPr="003736F5" w:rsidRDefault="00EF7168" w:rsidP="00BC5C25">
            <w:pPr>
              <w:pStyle w:val="NoSpacing"/>
              <w:jc w:val="center"/>
              <w:rPr>
                <w:rFonts w:cs="Times New Roman"/>
                <w:color w:val="000000"/>
                <w:lang w:val="en-US"/>
              </w:rPr>
            </w:pPr>
            <w:r w:rsidRPr="003736F5">
              <w:rPr>
                <w:rFonts w:cs="Times New Roman"/>
                <w:color w:val="000000"/>
                <w:lang w:val="en-US"/>
              </w:rPr>
              <w:t>St. Dev.</w:t>
            </w:r>
          </w:p>
        </w:tc>
        <w:tc>
          <w:tcPr>
            <w:tcW w:w="1262" w:type="dxa"/>
            <w:tcBorders>
              <w:top w:val="single" w:sz="4" w:space="0" w:color="7F7F7F"/>
              <w:left w:val="single" w:sz="4" w:space="0" w:color="auto"/>
              <w:bottom w:val="single" w:sz="4" w:space="0" w:color="7F7F7F"/>
            </w:tcBorders>
            <w:shd w:val="clear" w:color="auto" w:fill="auto"/>
            <w:noWrap/>
            <w:hideMark/>
          </w:tcPr>
          <w:p w14:paraId="3F147515" w14:textId="77777777" w:rsidR="00EF7168" w:rsidRPr="003736F5" w:rsidRDefault="00EF7168" w:rsidP="00BC5C25">
            <w:pPr>
              <w:pStyle w:val="NoSpacing"/>
              <w:jc w:val="center"/>
              <w:rPr>
                <w:rFonts w:cs="Times New Roman"/>
                <w:color w:val="000000"/>
                <w:lang w:val="en-US"/>
              </w:rPr>
            </w:pPr>
            <w:r w:rsidRPr="003736F5">
              <w:rPr>
                <w:rFonts w:cs="Times New Roman"/>
                <w:color w:val="000000"/>
                <w:lang w:val="en-US"/>
              </w:rPr>
              <w:t>Mean</w:t>
            </w:r>
          </w:p>
        </w:tc>
        <w:tc>
          <w:tcPr>
            <w:tcW w:w="1262" w:type="dxa"/>
            <w:tcBorders>
              <w:top w:val="single" w:sz="4" w:space="0" w:color="7F7F7F"/>
              <w:bottom w:val="single" w:sz="4" w:space="0" w:color="7F7F7F"/>
            </w:tcBorders>
            <w:shd w:val="clear" w:color="auto" w:fill="auto"/>
            <w:noWrap/>
            <w:hideMark/>
          </w:tcPr>
          <w:p w14:paraId="0EDC6EA3" w14:textId="77777777" w:rsidR="00EF7168" w:rsidRPr="003736F5" w:rsidRDefault="00EF7168" w:rsidP="00BC5C25">
            <w:pPr>
              <w:pStyle w:val="NoSpacing"/>
              <w:jc w:val="center"/>
              <w:rPr>
                <w:rFonts w:cs="Times New Roman"/>
                <w:color w:val="000000"/>
                <w:lang w:val="en-US"/>
              </w:rPr>
            </w:pPr>
            <w:r w:rsidRPr="003736F5">
              <w:rPr>
                <w:rFonts w:cs="Times New Roman"/>
                <w:color w:val="000000"/>
                <w:lang w:val="en-US"/>
              </w:rPr>
              <w:t>Median</w:t>
            </w:r>
          </w:p>
        </w:tc>
        <w:tc>
          <w:tcPr>
            <w:tcW w:w="1264" w:type="dxa"/>
            <w:tcBorders>
              <w:top w:val="single" w:sz="4" w:space="0" w:color="7F7F7F"/>
              <w:bottom w:val="single" w:sz="4" w:space="0" w:color="7F7F7F"/>
            </w:tcBorders>
            <w:shd w:val="clear" w:color="auto" w:fill="auto"/>
            <w:noWrap/>
            <w:hideMark/>
          </w:tcPr>
          <w:p w14:paraId="398D2C0C" w14:textId="77777777" w:rsidR="00EF7168" w:rsidRPr="003736F5" w:rsidRDefault="00EF7168" w:rsidP="00BC5C25">
            <w:pPr>
              <w:pStyle w:val="NoSpacing"/>
              <w:jc w:val="center"/>
              <w:rPr>
                <w:rFonts w:cs="Times New Roman"/>
                <w:color w:val="000000"/>
                <w:lang w:val="en-US"/>
              </w:rPr>
            </w:pPr>
            <w:r w:rsidRPr="003736F5">
              <w:rPr>
                <w:rFonts w:cs="Times New Roman"/>
                <w:color w:val="000000"/>
                <w:lang w:val="en-US"/>
              </w:rPr>
              <w:t>St. Dev.</w:t>
            </w:r>
          </w:p>
        </w:tc>
      </w:tr>
      <w:tr w:rsidR="00C116FA" w:rsidRPr="003736F5" w14:paraId="56B2A50D" w14:textId="77777777" w:rsidTr="00BC5C25">
        <w:trPr>
          <w:trHeight w:val="257"/>
          <w:jc w:val="center"/>
        </w:trPr>
        <w:tc>
          <w:tcPr>
            <w:tcW w:w="1567" w:type="dxa"/>
            <w:shd w:val="clear" w:color="auto" w:fill="auto"/>
            <w:noWrap/>
            <w:hideMark/>
          </w:tcPr>
          <w:p w14:paraId="56CEEDAF" w14:textId="77777777" w:rsidR="00EF7168" w:rsidRPr="003736F5" w:rsidRDefault="00EF7168" w:rsidP="00AB1655">
            <w:pPr>
              <w:pStyle w:val="NoSpacing"/>
              <w:rPr>
                <w:rFonts w:cs="Times New Roman"/>
                <w:b/>
                <w:bCs/>
                <w:color w:val="000000"/>
                <w:lang w:val="en-US"/>
              </w:rPr>
            </w:pPr>
            <w:r w:rsidRPr="003736F5">
              <w:rPr>
                <w:rFonts w:cs="Times New Roman"/>
                <w:b/>
                <w:bCs/>
                <w:color w:val="000000"/>
                <w:lang w:val="en-US"/>
              </w:rPr>
              <w:t>RF</w:t>
            </w:r>
          </w:p>
        </w:tc>
        <w:tc>
          <w:tcPr>
            <w:tcW w:w="1262" w:type="dxa"/>
            <w:shd w:val="clear" w:color="auto" w:fill="auto"/>
            <w:noWrap/>
            <w:hideMark/>
          </w:tcPr>
          <w:p w14:paraId="5B813EFE"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11926.55</w:t>
            </w:r>
          </w:p>
        </w:tc>
        <w:tc>
          <w:tcPr>
            <w:tcW w:w="1262" w:type="dxa"/>
            <w:shd w:val="clear" w:color="auto" w:fill="auto"/>
            <w:noWrap/>
            <w:hideMark/>
          </w:tcPr>
          <w:p w14:paraId="085A901C"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11940.23</w:t>
            </w:r>
          </w:p>
        </w:tc>
        <w:tc>
          <w:tcPr>
            <w:tcW w:w="1004" w:type="dxa"/>
            <w:tcBorders>
              <w:right w:val="single" w:sz="4" w:space="0" w:color="auto"/>
            </w:tcBorders>
            <w:shd w:val="clear" w:color="auto" w:fill="auto"/>
            <w:noWrap/>
            <w:hideMark/>
          </w:tcPr>
          <w:p w14:paraId="155742FD"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523.38</w:t>
            </w:r>
          </w:p>
        </w:tc>
        <w:tc>
          <w:tcPr>
            <w:tcW w:w="1262" w:type="dxa"/>
            <w:tcBorders>
              <w:top w:val="single" w:sz="4" w:space="0" w:color="7F7F7F"/>
              <w:left w:val="single" w:sz="4" w:space="0" w:color="auto"/>
              <w:bottom w:val="single" w:sz="4" w:space="0" w:color="7F7F7F"/>
            </w:tcBorders>
            <w:shd w:val="clear" w:color="auto" w:fill="auto"/>
            <w:noWrap/>
            <w:hideMark/>
          </w:tcPr>
          <w:p w14:paraId="4FB19BF5"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28147.84</w:t>
            </w:r>
          </w:p>
        </w:tc>
        <w:tc>
          <w:tcPr>
            <w:tcW w:w="1262" w:type="dxa"/>
            <w:tcBorders>
              <w:top w:val="single" w:sz="4" w:space="0" w:color="7F7F7F"/>
              <w:bottom w:val="single" w:sz="4" w:space="0" w:color="7F7F7F"/>
            </w:tcBorders>
            <w:shd w:val="clear" w:color="auto" w:fill="auto"/>
            <w:noWrap/>
            <w:hideMark/>
          </w:tcPr>
          <w:p w14:paraId="6BB8DABF"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19632.10</w:t>
            </w:r>
          </w:p>
        </w:tc>
        <w:tc>
          <w:tcPr>
            <w:tcW w:w="1264" w:type="dxa"/>
            <w:tcBorders>
              <w:top w:val="single" w:sz="4" w:space="0" w:color="7F7F7F"/>
              <w:bottom w:val="single" w:sz="4" w:space="0" w:color="7F7F7F"/>
            </w:tcBorders>
            <w:shd w:val="clear" w:color="auto" w:fill="auto"/>
            <w:noWrap/>
            <w:hideMark/>
          </w:tcPr>
          <w:p w14:paraId="2DACBBF0"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12540.46</w:t>
            </w:r>
          </w:p>
        </w:tc>
      </w:tr>
      <w:tr w:rsidR="00C116FA" w:rsidRPr="003736F5" w14:paraId="1F47499C" w14:textId="77777777" w:rsidTr="00BC5C25">
        <w:trPr>
          <w:trHeight w:val="257"/>
          <w:jc w:val="center"/>
        </w:trPr>
        <w:tc>
          <w:tcPr>
            <w:tcW w:w="1567" w:type="dxa"/>
            <w:tcBorders>
              <w:top w:val="single" w:sz="4" w:space="0" w:color="7F7F7F"/>
              <w:bottom w:val="single" w:sz="4" w:space="0" w:color="7F7F7F"/>
            </w:tcBorders>
            <w:shd w:val="clear" w:color="auto" w:fill="auto"/>
            <w:noWrap/>
            <w:hideMark/>
          </w:tcPr>
          <w:p w14:paraId="1E72CCC6" w14:textId="0F9DC2FC" w:rsidR="00EF7168" w:rsidRPr="003736F5" w:rsidRDefault="00BC3EC7" w:rsidP="00AB1655">
            <w:pPr>
              <w:pStyle w:val="NoSpacing"/>
              <w:rPr>
                <w:rFonts w:cs="Times New Roman"/>
                <w:b/>
                <w:bCs/>
                <w:color w:val="000000"/>
                <w:lang w:val="en-US"/>
              </w:rPr>
            </w:pPr>
            <w:r w:rsidRPr="003736F5">
              <w:rPr>
                <w:rFonts w:cs="Times New Roman"/>
                <w:b/>
                <w:bCs/>
                <w:color w:val="000000"/>
                <w:lang w:val="en-US"/>
              </w:rPr>
              <w:t>REEM tree</w:t>
            </w:r>
          </w:p>
        </w:tc>
        <w:tc>
          <w:tcPr>
            <w:tcW w:w="1262" w:type="dxa"/>
            <w:tcBorders>
              <w:top w:val="single" w:sz="4" w:space="0" w:color="7F7F7F"/>
              <w:bottom w:val="single" w:sz="4" w:space="0" w:color="7F7F7F"/>
            </w:tcBorders>
            <w:shd w:val="clear" w:color="auto" w:fill="auto"/>
            <w:noWrap/>
            <w:hideMark/>
          </w:tcPr>
          <w:p w14:paraId="352694BB"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12101.39</w:t>
            </w:r>
          </w:p>
        </w:tc>
        <w:tc>
          <w:tcPr>
            <w:tcW w:w="1262" w:type="dxa"/>
            <w:tcBorders>
              <w:top w:val="single" w:sz="4" w:space="0" w:color="7F7F7F"/>
              <w:bottom w:val="single" w:sz="4" w:space="0" w:color="7F7F7F"/>
            </w:tcBorders>
            <w:shd w:val="clear" w:color="auto" w:fill="auto"/>
            <w:noWrap/>
            <w:hideMark/>
          </w:tcPr>
          <w:p w14:paraId="2424AABE"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11974.63</w:t>
            </w:r>
          </w:p>
        </w:tc>
        <w:tc>
          <w:tcPr>
            <w:tcW w:w="1004" w:type="dxa"/>
            <w:tcBorders>
              <w:top w:val="single" w:sz="4" w:space="0" w:color="7F7F7F"/>
              <w:bottom w:val="single" w:sz="4" w:space="0" w:color="7F7F7F"/>
              <w:right w:val="single" w:sz="4" w:space="0" w:color="auto"/>
            </w:tcBorders>
            <w:shd w:val="clear" w:color="auto" w:fill="auto"/>
            <w:noWrap/>
            <w:hideMark/>
          </w:tcPr>
          <w:p w14:paraId="2DB70893"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627.33</w:t>
            </w:r>
          </w:p>
        </w:tc>
        <w:tc>
          <w:tcPr>
            <w:tcW w:w="1262" w:type="dxa"/>
            <w:tcBorders>
              <w:top w:val="single" w:sz="4" w:space="0" w:color="7F7F7F"/>
              <w:left w:val="single" w:sz="4" w:space="0" w:color="auto"/>
              <w:bottom w:val="single" w:sz="4" w:space="0" w:color="7F7F7F"/>
            </w:tcBorders>
            <w:shd w:val="clear" w:color="auto" w:fill="auto"/>
            <w:noWrap/>
            <w:hideMark/>
          </w:tcPr>
          <w:p w14:paraId="61D0C92A"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23849.07</w:t>
            </w:r>
          </w:p>
        </w:tc>
        <w:tc>
          <w:tcPr>
            <w:tcW w:w="1262" w:type="dxa"/>
            <w:tcBorders>
              <w:top w:val="single" w:sz="4" w:space="0" w:color="7F7F7F"/>
              <w:bottom w:val="single" w:sz="4" w:space="0" w:color="7F7F7F"/>
            </w:tcBorders>
            <w:shd w:val="clear" w:color="auto" w:fill="auto"/>
            <w:noWrap/>
            <w:hideMark/>
          </w:tcPr>
          <w:p w14:paraId="21C24154"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19027.20</w:t>
            </w:r>
          </w:p>
        </w:tc>
        <w:tc>
          <w:tcPr>
            <w:tcW w:w="1264" w:type="dxa"/>
            <w:tcBorders>
              <w:top w:val="single" w:sz="4" w:space="0" w:color="7F7F7F"/>
              <w:bottom w:val="single" w:sz="4" w:space="0" w:color="7F7F7F"/>
            </w:tcBorders>
            <w:shd w:val="clear" w:color="auto" w:fill="auto"/>
            <w:noWrap/>
            <w:hideMark/>
          </w:tcPr>
          <w:p w14:paraId="3450EAAA"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10155.96</w:t>
            </w:r>
          </w:p>
        </w:tc>
      </w:tr>
      <w:tr w:rsidR="00C116FA" w:rsidRPr="003736F5" w14:paraId="5944F1DD" w14:textId="77777777" w:rsidTr="00BC5C25">
        <w:trPr>
          <w:trHeight w:val="257"/>
          <w:jc w:val="center"/>
        </w:trPr>
        <w:tc>
          <w:tcPr>
            <w:tcW w:w="1567" w:type="dxa"/>
            <w:shd w:val="clear" w:color="auto" w:fill="auto"/>
            <w:noWrap/>
            <w:hideMark/>
          </w:tcPr>
          <w:p w14:paraId="0CDFB4F3" w14:textId="77777777" w:rsidR="00EF7168" w:rsidRPr="003736F5" w:rsidRDefault="00EF7168" w:rsidP="00AB1655">
            <w:pPr>
              <w:pStyle w:val="NoSpacing"/>
              <w:rPr>
                <w:rFonts w:cs="Times New Roman"/>
                <w:b/>
                <w:bCs/>
                <w:color w:val="000000"/>
                <w:lang w:val="en-US"/>
              </w:rPr>
            </w:pPr>
            <w:r w:rsidRPr="003736F5">
              <w:rPr>
                <w:rFonts w:cs="Times New Roman"/>
                <w:b/>
                <w:bCs/>
                <w:color w:val="000000"/>
                <w:lang w:val="en-US"/>
              </w:rPr>
              <w:t>ctree</w:t>
            </w:r>
          </w:p>
        </w:tc>
        <w:tc>
          <w:tcPr>
            <w:tcW w:w="1262" w:type="dxa"/>
            <w:shd w:val="clear" w:color="auto" w:fill="auto"/>
            <w:noWrap/>
            <w:hideMark/>
          </w:tcPr>
          <w:p w14:paraId="7D2D887E"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12105.85</w:t>
            </w:r>
          </w:p>
        </w:tc>
        <w:tc>
          <w:tcPr>
            <w:tcW w:w="1262" w:type="dxa"/>
            <w:shd w:val="clear" w:color="auto" w:fill="auto"/>
            <w:noWrap/>
            <w:hideMark/>
          </w:tcPr>
          <w:p w14:paraId="56DA4F25"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12014.93</w:t>
            </w:r>
          </w:p>
        </w:tc>
        <w:tc>
          <w:tcPr>
            <w:tcW w:w="1004" w:type="dxa"/>
            <w:tcBorders>
              <w:right w:val="single" w:sz="4" w:space="0" w:color="auto"/>
            </w:tcBorders>
            <w:shd w:val="clear" w:color="auto" w:fill="auto"/>
            <w:noWrap/>
            <w:hideMark/>
          </w:tcPr>
          <w:p w14:paraId="101B2492"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528.29</w:t>
            </w:r>
          </w:p>
        </w:tc>
        <w:tc>
          <w:tcPr>
            <w:tcW w:w="1262" w:type="dxa"/>
            <w:tcBorders>
              <w:top w:val="single" w:sz="4" w:space="0" w:color="7F7F7F"/>
              <w:left w:val="single" w:sz="4" w:space="0" w:color="auto"/>
              <w:bottom w:val="single" w:sz="4" w:space="0" w:color="7F7F7F"/>
            </w:tcBorders>
            <w:shd w:val="clear" w:color="auto" w:fill="auto"/>
            <w:noWrap/>
            <w:hideMark/>
          </w:tcPr>
          <w:p w14:paraId="7C56BE9E"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28403.10</w:t>
            </w:r>
          </w:p>
        </w:tc>
        <w:tc>
          <w:tcPr>
            <w:tcW w:w="1262" w:type="dxa"/>
            <w:tcBorders>
              <w:top w:val="single" w:sz="4" w:space="0" w:color="7F7F7F"/>
              <w:bottom w:val="single" w:sz="4" w:space="0" w:color="7F7F7F"/>
            </w:tcBorders>
            <w:shd w:val="clear" w:color="auto" w:fill="auto"/>
            <w:noWrap/>
            <w:hideMark/>
          </w:tcPr>
          <w:p w14:paraId="26DB9B7A"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19867.47</w:t>
            </w:r>
          </w:p>
        </w:tc>
        <w:tc>
          <w:tcPr>
            <w:tcW w:w="1264" w:type="dxa"/>
            <w:tcBorders>
              <w:top w:val="single" w:sz="4" w:space="0" w:color="7F7F7F"/>
              <w:bottom w:val="single" w:sz="4" w:space="0" w:color="7F7F7F"/>
            </w:tcBorders>
            <w:shd w:val="clear" w:color="auto" w:fill="auto"/>
            <w:noWrap/>
            <w:hideMark/>
          </w:tcPr>
          <w:p w14:paraId="51E85656"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12577.22</w:t>
            </w:r>
          </w:p>
        </w:tc>
      </w:tr>
      <w:tr w:rsidR="00C116FA" w:rsidRPr="003736F5" w14:paraId="5537658A" w14:textId="77777777" w:rsidTr="00BC5C25">
        <w:trPr>
          <w:trHeight w:val="257"/>
          <w:jc w:val="center"/>
        </w:trPr>
        <w:tc>
          <w:tcPr>
            <w:tcW w:w="1567" w:type="dxa"/>
            <w:tcBorders>
              <w:top w:val="single" w:sz="4" w:space="0" w:color="7F7F7F"/>
              <w:bottom w:val="single" w:sz="4" w:space="0" w:color="7F7F7F"/>
            </w:tcBorders>
            <w:shd w:val="clear" w:color="auto" w:fill="auto"/>
            <w:noWrap/>
            <w:hideMark/>
          </w:tcPr>
          <w:p w14:paraId="44FF9635" w14:textId="77777777" w:rsidR="00EF7168" w:rsidRPr="003736F5" w:rsidRDefault="00EF7168" w:rsidP="00AB1655">
            <w:pPr>
              <w:pStyle w:val="NoSpacing"/>
              <w:rPr>
                <w:rFonts w:cs="Times New Roman"/>
                <w:b/>
                <w:bCs/>
                <w:color w:val="000000"/>
                <w:lang w:val="en-US"/>
              </w:rPr>
            </w:pPr>
            <w:r w:rsidRPr="003736F5">
              <w:rPr>
                <w:rFonts w:cs="Times New Roman"/>
                <w:b/>
                <w:bCs/>
                <w:color w:val="000000"/>
                <w:lang w:val="en-US"/>
              </w:rPr>
              <w:t>LMM</w:t>
            </w:r>
          </w:p>
        </w:tc>
        <w:tc>
          <w:tcPr>
            <w:tcW w:w="1262" w:type="dxa"/>
            <w:tcBorders>
              <w:top w:val="single" w:sz="4" w:space="0" w:color="7F7F7F"/>
              <w:bottom w:val="single" w:sz="4" w:space="0" w:color="7F7F7F"/>
            </w:tcBorders>
            <w:shd w:val="clear" w:color="auto" w:fill="auto"/>
            <w:noWrap/>
            <w:hideMark/>
          </w:tcPr>
          <w:p w14:paraId="1C3250D0"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12128.47</w:t>
            </w:r>
          </w:p>
        </w:tc>
        <w:tc>
          <w:tcPr>
            <w:tcW w:w="1262" w:type="dxa"/>
            <w:tcBorders>
              <w:top w:val="single" w:sz="4" w:space="0" w:color="7F7F7F"/>
              <w:bottom w:val="single" w:sz="4" w:space="0" w:color="7F7F7F"/>
            </w:tcBorders>
            <w:shd w:val="clear" w:color="auto" w:fill="auto"/>
            <w:noWrap/>
            <w:hideMark/>
          </w:tcPr>
          <w:p w14:paraId="51530212"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12090.07</w:t>
            </w:r>
          </w:p>
        </w:tc>
        <w:tc>
          <w:tcPr>
            <w:tcW w:w="1004" w:type="dxa"/>
            <w:tcBorders>
              <w:top w:val="single" w:sz="4" w:space="0" w:color="7F7F7F"/>
              <w:bottom w:val="single" w:sz="4" w:space="0" w:color="7F7F7F"/>
              <w:right w:val="single" w:sz="4" w:space="0" w:color="auto"/>
            </w:tcBorders>
            <w:shd w:val="clear" w:color="auto" w:fill="auto"/>
            <w:noWrap/>
            <w:hideMark/>
          </w:tcPr>
          <w:p w14:paraId="78834374"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459.22</w:t>
            </w:r>
          </w:p>
        </w:tc>
        <w:tc>
          <w:tcPr>
            <w:tcW w:w="1262" w:type="dxa"/>
            <w:tcBorders>
              <w:top w:val="single" w:sz="4" w:space="0" w:color="7F7F7F"/>
              <w:left w:val="single" w:sz="4" w:space="0" w:color="auto"/>
              <w:bottom w:val="single" w:sz="4" w:space="0" w:color="7F7F7F"/>
            </w:tcBorders>
            <w:shd w:val="clear" w:color="auto" w:fill="auto"/>
            <w:noWrap/>
            <w:hideMark/>
          </w:tcPr>
          <w:p w14:paraId="5EBFADF4"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28392.83</w:t>
            </w:r>
          </w:p>
        </w:tc>
        <w:tc>
          <w:tcPr>
            <w:tcW w:w="1262" w:type="dxa"/>
            <w:tcBorders>
              <w:top w:val="single" w:sz="4" w:space="0" w:color="7F7F7F"/>
              <w:bottom w:val="single" w:sz="4" w:space="0" w:color="7F7F7F"/>
            </w:tcBorders>
            <w:shd w:val="clear" w:color="auto" w:fill="auto"/>
            <w:noWrap/>
            <w:hideMark/>
          </w:tcPr>
          <w:p w14:paraId="7A814A5F"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19807.62</w:t>
            </w:r>
          </w:p>
        </w:tc>
        <w:tc>
          <w:tcPr>
            <w:tcW w:w="1264" w:type="dxa"/>
            <w:tcBorders>
              <w:top w:val="single" w:sz="4" w:space="0" w:color="7F7F7F"/>
              <w:bottom w:val="single" w:sz="4" w:space="0" w:color="7F7F7F"/>
            </w:tcBorders>
            <w:shd w:val="clear" w:color="auto" w:fill="auto"/>
            <w:noWrap/>
            <w:hideMark/>
          </w:tcPr>
          <w:p w14:paraId="4D0F0B75" w14:textId="77777777" w:rsidR="00EF7168" w:rsidRPr="003736F5" w:rsidRDefault="00EF7168" w:rsidP="00AB1655">
            <w:pPr>
              <w:pStyle w:val="NoSpacing"/>
              <w:rPr>
                <w:rFonts w:cs="Times New Roman"/>
                <w:color w:val="000000"/>
                <w:lang w:val="en-US"/>
              </w:rPr>
            </w:pPr>
            <w:r w:rsidRPr="003736F5">
              <w:rPr>
                <w:rFonts w:cs="Times New Roman"/>
                <w:color w:val="000000"/>
                <w:lang w:val="en-US"/>
              </w:rPr>
              <w:t>12531.69</w:t>
            </w:r>
          </w:p>
        </w:tc>
      </w:tr>
    </w:tbl>
    <w:p w14:paraId="493F3766" w14:textId="77777777" w:rsidR="00EF7168" w:rsidRPr="003736F5" w:rsidRDefault="008A3B50" w:rsidP="00EF7168">
      <w:pPr>
        <w:rPr>
          <w:rFonts w:cs="Times New Roman"/>
        </w:rPr>
      </w:pPr>
      <w:r w:rsidRPr="003736F5">
        <w:rPr>
          <w:rFonts w:cs="Times New Roman"/>
        </w:rPr>
        <w:t>Source: ONS Data, Author’s Calculations.</w:t>
      </w:r>
    </w:p>
    <w:p w14:paraId="193D1CD9" w14:textId="77777777" w:rsidR="00BE50BE" w:rsidRPr="003736F5" w:rsidRDefault="00BE50BE" w:rsidP="00EF7168">
      <w:pPr>
        <w:rPr>
          <w:rFonts w:cs="Times New Roman"/>
          <w:szCs w:val="24"/>
          <w:lang w:val="en-US"/>
        </w:rPr>
      </w:pPr>
    </w:p>
    <w:p w14:paraId="58886DAC" w14:textId="51089233" w:rsidR="00BE50BE" w:rsidRPr="003736F5" w:rsidRDefault="00054849" w:rsidP="00D03679">
      <w:pPr>
        <w:rPr>
          <w:rFonts w:cs="Times New Roman"/>
          <w:szCs w:val="24"/>
        </w:rPr>
      </w:pPr>
      <w:r w:rsidRPr="003736F5">
        <w:rPr>
          <w:rFonts w:cs="Times New Roman"/>
          <w:szCs w:val="24"/>
          <w:lang w:val="en-US"/>
        </w:rPr>
        <w:t xml:space="preserve">Given that </w:t>
      </w:r>
      <w:r w:rsidR="00C00B33" w:rsidRPr="003736F5">
        <w:rPr>
          <w:rFonts w:cs="Times New Roman"/>
          <w:szCs w:val="24"/>
          <w:lang w:val="en-US"/>
        </w:rPr>
        <w:t xml:space="preserve">the </w:t>
      </w:r>
      <w:r w:rsidRPr="003736F5">
        <w:rPr>
          <w:rFonts w:cs="Times New Roman"/>
          <w:szCs w:val="24"/>
          <w:lang w:val="en-US"/>
        </w:rPr>
        <w:t>random forest outperformed the REEM tree</w:t>
      </w:r>
      <w:r w:rsidR="00733F1C" w:rsidRPr="003736F5">
        <w:rPr>
          <w:rFonts w:cs="Times New Roman"/>
          <w:szCs w:val="24"/>
          <w:lang w:val="en-US"/>
        </w:rPr>
        <w:t xml:space="preserve"> in terms of </w:t>
      </w:r>
      <w:r w:rsidR="00733F1C" w:rsidRPr="003736F5">
        <w:rPr>
          <w:rFonts w:cs="Times New Roman"/>
          <w:color w:val="000000"/>
          <w:szCs w:val="24"/>
        </w:rPr>
        <w:t>RMSE</w:t>
      </w:r>
      <w:r w:rsidR="00A24BF7" w:rsidRPr="003736F5">
        <w:rPr>
          <w:rFonts w:cs="Times New Roman"/>
          <w:color w:val="000000"/>
          <w:szCs w:val="24"/>
        </w:rPr>
        <w:t>, w</w:t>
      </w:r>
      <w:r w:rsidR="001D1BB4" w:rsidRPr="003736F5">
        <w:rPr>
          <w:rFonts w:cs="Times New Roman"/>
          <w:color w:val="000000"/>
          <w:szCs w:val="24"/>
        </w:rPr>
        <w:t xml:space="preserve">e further explore </w:t>
      </w:r>
      <w:r w:rsidR="004C24DD" w:rsidRPr="003736F5">
        <w:rPr>
          <w:rFonts w:cs="Times New Roman"/>
          <w:color w:val="000000"/>
          <w:szCs w:val="24"/>
        </w:rPr>
        <w:t xml:space="preserve">the output from </w:t>
      </w:r>
      <w:r w:rsidR="00FE61A5" w:rsidRPr="003736F5">
        <w:rPr>
          <w:rFonts w:cs="Times New Roman"/>
          <w:color w:val="000000"/>
          <w:szCs w:val="24"/>
        </w:rPr>
        <w:t>this algorithm</w:t>
      </w:r>
      <w:r w:rsidR="00416B43" w:rsidRPr="003736F5">
        <w:rPr>
          <w:rFonts w:cs="Times New Roman"/>
          <w:color w:val="000000"/>
          <w:szCs w:val="24"/>
        </w:rPr>
        <w:t>.</w:t>
      </w:r>
      <w:r w:rsidR="00D03679" w:rsidRPr="003736F5">
        <w:rPr>
          <w:rFonts w:cs="Times New Roman"/>
          <w:szCs w:val="24"/>
        </w:rPr>
        <w:t xml:space="preserve"> </w:t>
      </w:r>
      <w:r w:rsidR="00FE61A5" w:rsidRPr="003736F5">
        <w:rPr>
          <w:rFonts w:cs="Times New Roman"/>
          <w:szCs w:val="24"/>
        </w:rPr>
        <w:t>The random forests</w:t>
      </w:r>
      <w:r w:rsidR="00594779" w:rsidRPr="003736F5">
        <w:rPr>
          <w:rFonts w:cs="Times New Roman"/>
          <w:szCs w:val="24"/>
        </w:rPr>
        <w:t xml:space="preserve"> algorithm makes multiple decision trees in parallel</w:t>
      </w:r>
      <w:r w:rsidR="00FE61A5" w:rsidRPr="003736F5">
        <w:rPr>
          <w:rFonts w:cs="Times New Roman"/>
          <w:szCs w:val="24"/>
        </w:rPr>
        <w:t>,</w:t>
      </w:r>
      <w:r w:rsidR="00594779" w:rsidRPr="003736F5">
        <w:rPr>
          <w:rFonts w:cs="Times New Roman"/>
          <w:szCs w:val="24"/>
        </w:rPr>
        <w:t xml:space="preserve"> and the output is the maximum voting of all the outputs from each </w:t>
      </w:r>
      <w:r w:rsidR="00A24BF7" w:rsidRPr="003736F5">
        <w:rPr>
          <w:rFonts w:cs="Times New Roman"/>
          <w:szCs w:val="24"/>
        </w:rPr>
        <w:t>decision tree</w:t>
      </w:r>
      <w:r w:rsidR="00594779" w:rsidRPr="003736F5">
        <w:rPr>
          <w:rFonts w:cs="Times New Roman"/>
          <w:szCs w:val="24"/>
        </w:rPr>
        <w:t>.</w:t>
      </w:r>
      <w:r w:rsidR="006F6465" w:rsidRPr="003736F5">
        <w:rPr>
          <w:rFonts w:cs="Times New Roman"/>
          <w:szCs w:val="24"/>
        </w:rPr>
        <w:t xml:space="preserve"> </w:t>
      </w:r>
      <w:r w:rsidR="00D03679" w:rsidRPr="003736F5">
        <w:rPr>
          <w:rFonts w:cs="Times New Roman"/>
          <w:szCs w:val="24"/>
        </w:rPr>
        <w:t>Table 6 reports the importance score</w:t>
      </w:r>
      <w:r w:rsidR="006F6465" w:rsidRPr="003736F5">
        <w:rPr>
          <w:rFonts w:cs="Times New Roman"/>
          <w:szCs w:val="24"/>
        </w:rPr>
        <w:t>s</w:t>
      </w:r>
      <w:r w:rsidR="00D03679" w:rsidRPr="003736F5">
        <w:rPr>
          <w:rFonts w:cs="Times New Roman"/>
          <w:szCs w:val="24"/>
        </w:rPr>
        <w:t xml:space="preserve"> </w:t>
      </w:r>
      <w:r w:rsidR="00EF7168" w:rsidRPr="003736F5">
        <w:rPr>
          <w:rFonts w:cs="Times New Roman"/>
          <w:szCs w:val="24"/>
        </w:rPr>
        <w:t>from the impurity-based feature importance.</w:t>
      </w:r>
      <w:r w:rsidR="00D03679" w:rsidRPr="003736F5">
        <w:rPr>
          <w:rFonts w:cs="Times New Roman"/>
          <w:szCs w:val="24"/>
        </w:rPr>
        <w:t xml:space="preserve"> It </w:t>
      </w:r>
      <w:r w:rsidR="00FD0CD0" w:rsidRPr="003736F5">
        <w:rPr>
          <w:rFonts w:cs="Times New Roman"/>
          <w:szCs w:val="24"/>
        </w:rPr>
        <w:t xml:space="preserve">orders variables based on their </w:t>
      </w:r>
      <w:r w:rsidR="0096153C" w:rsidRPr="003736F5">
        <w:rPr>
          <w:rFonts w:cs="Times New Roman"/>
          <w:szCs w:val="24"/>
        </w:rPr>
        <w:t xml:space="preserve">importance and offers </w:t>
      </w:r>
      <w:r w:rsidR="007A5EEC" w:rsidRPr="003736F5">
        <w:rPr>
          <w:rFonts w:cs="Times New Roman"/>
          <w:szCs w:val="24"/>
        </w:rPr>
        <w:t xml:space="preserve">an </w:t>
      </w:r>
      <w:r w:rsidR="0096153C" w:rsidRPr="003736F5">
        <w:rPr>
          <w:rFonts w:cs="Times New Roman"/>
          <w:szCs w:val="24"/>
        </w:rPr>
        <w:t xml:space="preserve">importance score that allows for comparison with </w:t>
      </w:r>
      <w:r w:rsidR="007A5EEC" w:rsidRPr="003736F5">
        <w:rPr>
          <w:rFonts w:cs="Times New Roman"/>
          <w:szCs w:val="24"/>
        </w:rPr>
        <w:t xml:space="preserve">a </w:t>
      </w:r>
      <w:r w:rsidR="0096153C" w:rsidRPr="003736F5">
        <w:rPr>
          <w:rFonts w:cs="Times New Roman"/>
          <w:szCs w:val="24"/>
        </w:rPr>
        <w:t xml:space="preserve">higher importance score </w:t>
      </w:r>
      <w:r w:rsidR="007C2F04" w:rsidRPr="003736F5">
        <w:rPr>
          <w:rFonts w:cs="Times New Roman"/>
          <w:szCs w:val="24"/>
        </w:rPr>
        <w:t xml:space="preserve">signalling greater </w:t>
      </w:r>
      <w:r w:rsidR="00923D4F" w:rsidRPr="003736F5">
        <w:rPr>
          <w:rFonts w:cs="Times New Roman"/>
          <w:szCs w:val="24"/>
        </w:rPr>
        <w:t>contribution</w:t>
      </w:r>
      <w:r w:rsidR="00FC37A9" w:rsidRPr="003736F5">
        <w:rPr>
          <w:rFonts w:cs="Times New Roman"/>
          <w:szCs w:val="24"/>
        </w:rPr>
        <w:t xml:space="preserve">. </w:t>
      </w:r>
      <w:r w:rsidR="00D03679" w:rsidRPr="003736F5">
        <w:rPr>
          <w:rFonts w:cs="Times New Roman"/>
          <w:szCs w:val="24"/>
        </w:rPr>
        <w:t>W</w:t>
      </w:r>
      <w:r w:rsidR="00EF7168" w:rsidRPr="003736F5">
        <w:rPr>
          <w:rFonts w:cs="Times New Roman"/>
          <w:szCs w:val="24"/>
        </w:rPr>
        <w:t>e see</w:t>
      </w:r>
      <w:r w:rsidR="007A5EEC" w:rsidRPr="003736F5">
        <w:rPr>
          <w:rFonts w:cs="Times New Roman"/>
          <w:szCs w:val="24"/>
        </w:rPr>
        <w:t xml:space="preserve"> that</w:t>
      </w:r>
      <w:r w:rsidR="00EF7168" w:rsidRPr="003736F5">
        <w:rPr>
          <w:rFonts w:cs="Times New Roman"/>
          <w:szCs w:val="24"/>
        </w:rPr>
        <w:t xml:space="preserve"> the algorithm identif</w:t>
      </w:r>
      <w:r w:rsidR="007A5EEC" w:rsidRPr="003736F5">
        <w:rPr>
          <w:rFonts w:cs="Times New Roman"/>
          <w:szCs w:val="24"/>
        </w:rPr>
        <w:t>ied</w:t>
      </w:r>
      <w:r w:rsidR="00EF7168" w:rsidRPr="003736F5">
        <w:rPr>
          <w:rFonts w:cs="Times New Roman"/>
          <w:szCs w:val="24"/>
        </w:rPr>
        <w:t xml:space="preserve"> current SBRR, SBRR lagged by two, three and four </w:t>
      </w:r>
      <w:r w:rsidR="007A5EEC" w:rsidRPr="003736F5">
        <w:rPr>
          <w:rFonts w:cs="Times New Roman"/>
          <w:szCs w:val="24"/>
        </w:rPr>
        <w:t>as</w:t>
      </w:r>
      <w:r w:rsidR="00EF7168" w:rsidRPr="003736F5">
        <w:rPr>
          <w:rFonts w:cs="Times New Roman"/>
          <w:szCs w:val="24"/>
        </w:rPr>
        <w:t xml:space="preserve"> highly influential</w:t>
      </w:r>
      <w:r w:rsidR="007A5EEC" w:rsidRPr="003736F5">
        <w:rPr>
          <w:rFonts w:cs="Times New Roman"/>
          <w:szCs w:val="24"/>
        </w:rPr>
        <w:t>,</w:t>
      </w:r>
      <w:r w:rsidR="00EF7168" w:rsidRPr="003736F5">
        <w:rPr>
          <w:rFonts w:cs="Times New Roman"/>
          <w:szCs w:val="24"/>
        </w:rPr>
        <w:t xml:space="preserve"> but in feature selection</w:t>
      </w:r>
      <w:r w:rsidR="007A5EEC" w:rsidRPr="003736F5">
        <w:rPr>
          <w:rFonts w:cs="Times New Roman"/>
          <w:szCs w:val="24"/>
        </w:rPr>
        <w:t>,</w:t>
      </w:r>
      <w:r w:rsidR="00EF7168" w:rsidRPr="003736F5">
        <w:rPr>
          <w:rFonts w:cs="Times New Roman"/>
          <w:szCs w:val="24"/>
        </w:rPr>
        <w:t xml:space="preserve"> </w:t>
      </w:r>
      <w:r w:rsidR="00EF7168" w:rsidRPr="003736F5">
        <w:rPr>
          <w:rFonts w:cs="Times New Roman"/>
          <w:szCs w:val="24"/>
        </w:rPr>
        <w:lastRenderedPageBreak/>
        <w:t xml:space="preserve">Jacobian externalities, </w:t>
      </w:r>
      <w:r w:rsidR="001C1B91" w:rsidRPr="003736F5">
        <w:rPr>
          <w:rFonts w:cs="Times New Roman"/>
          <w:szCs w:val="24"/>
        </w:rPr>
        <w:t>industry concentration (</w:t>
      </w:r>
      <w:r w:rsidR="00EF7168" w:rsidRPr="003736F5">
        <w:rPr>
          <w:rFonts w:cs="Times New Roman"/>
          <w:szCs w:val="24"/>
        </w:rPr>
        <w:t>HHI</w:t>
      </w:r>
      <w:r w:rsidR="001C1B91" w:rsidRPr="003736F5">
        <w:rPr>
          <w:rFonts w:cs="Times New Roman"/>
          <w:szCs w:val="24"/>
        </w:rPr>
        <w:t>)</w:t>
      </w:r>
      <w:r w:rsidR="00EF7168" w:rsidRPr="003736F5">
        <w:rPr>
          <w:rFonts w:cs="Times New Roman"/>
          <w:szCs w:val="24"/>
        </w:rPr>
        <w:t xml:space="preserve"> and region variables </w:t>
      </w:r>
      <w:r w:rsidR="00923D4F" w:rsidRPr="003736F5">
        <w:rPr>
          <w:rFonts w:cs="Times New Roman"/>
          <w:szCs w:val="24"/>
        </w:rPr>
        <w:t xml:space="preserve">have greater </w:t>
      </w:r>
      <w:r w:rsidR="00931784" w:rsidRPr="003736F5">
        <w:rPr>
          <w:rFonts w:cs="Times New Roman"/>
          <w:szCs w:val="24"/>
        </w:rPr>
        <w:t>importance scores</w:t>
      </w:r>
      <w:r w:rsidR="00EF7168" w:rsidRPr="003736F5">
        <w:rPr>
          <w:rFonts w:cs="Times New Roman"/>
          <w:szCs w:val="24"/>
        </w:rPr>
        <w:t xml:space="preserve">. This is as expected given the relatively marginal value of SBRR as input </w:t>
      </w:r>
      <w:r w:rsidR="002A55C5" w:rsidRPr="003736F5">
        <w:rPr>
          <w:rFonts w:cs="Times New Roman"/>
          <w:szCs w:val="24"/>
        </w:rPr>
        <w:t xml:space="preserve">to </w:t>
      </w:r>
      <w:r w:rsidR="00EF7168" w:rsidRPr="003736F5">
        <w:rPr>
          <w:rFonts w:cs="Times New Roman"/>
          <w:szCs w:val="24"/>
        </w:rPr>
        <w:t xml:space="preserve">the overall productivity. Given that the </w:t>
      </w:r>
      <w:r w:rsidR="00BC3EC7" w:rsidRPr="003736F5">
        <w:rPr>
          <w:rFonts w:cs="Times New Roman"/>
          <w:szCs w:val="24"/>
        </w:rPr>
        <w:t>REEM tree</w:t>
      </w:r>
      <w:r w:rsidR="00EF7168" w:rsidRPr="003736F5">
        <w:rPr>
          <w:rFonts w:cs="Times New Roman"/>
          <w:szCs w:val="24"/>
        </w:rPr>
        <w:t xml:space="preserve"> also primarily splits on these variables, we imply that it captured relationships from most of the influential variables.</w:t>
      </w:r>
    </w:p>
    <w:p w14:paraId="04E44C36" w14:textId="77777777" w:rsidR="002A55C5" w:rsidRPr="003736F5" w:rsidRDefault="002A55C5" w:rsidP="00EF7168">
      <w:pPr>
        <w:rPr>
          <w:rFonts w:cs="Times New Roman"/>
          <w:szCs w:val="24"/>
        </w:rPr>
      </w:pPr>
    </w:p>
    <w:p w14:paraId="454C563C" w14:textId="265FB69C" w:rsidR="00EF7168" w:rsidRPr="003736F5" w:rsidRDefault="00EF7168" w:rsidP="00BC0A8C">
      <w:pPr>
        <w:spacing w:line="240" w:lineRule="auto"/>
        <w:rPr>
          <w:rFonts w:cs="Times New Roman"/>
          <w:b/>
          <w:szCs w:val="24"/>
        </w:rPr>
      </w:pPr>
      <w:r w:rsidRPr="003736F5">
        <w:rPr>
          <w:rFonts w:cs="Times New Roman"/>
          <w:b/>
          <w:szCs w:val="24"/>
        </w:rPr>
        <w:t xml:space="preserve">Table </w:t>
      </w:r>
      <w:r w:rsidR="00E226E4" w:rsidRPr="003736F5">
        <w:rPr>
          <w:rFonts w:cs="Times New Roman"/>
          <w:b/>
          <w:szCs w:val="24"/>
        </w:rPr>
        <w:t>6</w:t>
      </w:r>
      <w:r w:rsidRPr="003736F5">
        <w:rPr>
          <w:rFonts w:cs="Times New Roman"/>
          <w:b/>
          <w:szCs w:val="24"/>
        </w:rPr>
        <w:t>: Random Forests Importance Scores</w:t>
      </w:r>
    </w:p>
    <w:tbl>
      <w:tblPr>
        <w:tblW w:w="7276" w:type="dxa"/>
        <w:jc w:val="center"/>
        <w:tblBorders>
          <w:top w:val="single" w:sz="4" w:space="0" w:color="7F7F7F"/>
          <w:bottom w:val="single" w:sz="4" w:space="0" w:color="7F7F7F"/>
        </w:tblBorders>
        <w:tblLook w:val="04A0" w:firstRow="1" w:lastRow="0" w:firstColumn="1" w:lastColumn="0" w:noHBand="0" w:noVBand="1"/>
      </w:tblPr>
      <w:tblGrid>
        <w:gridCol w:w="3315"/>
        <w:gridCol w:w="3961"/>
      </w:tblGrid>
      <w:tr w:rsidR="00C116FA" w:rsidRPr="003736F5" w14:paraId="13EB8173" w14:textId="77777777" w:rsidTr="00BC5C25">
        <w:trPr>
          <w:trHeight w:val="185"/>
          <w:jc w:val="center"/>
        </w:trPr>
        <w:tc>
          <w:tcPr>
            <w:tcW w:w="3315" w:type="dxa"/>
            <w:tcBorders>
              <w:bottom w:val="single" w:sz="4" w:space="0" w:color="7F7F7F"/>
            </w:tcBorders>
            <w:shd w:val="clear" w:color="auto" w:fill="auto"/>
            <w:noWrap/>
            <w:hideMark/>
          </w:tcPr>
          <w:p w14:paraId="1C95127E" w14:textId="77777777" w:rsidR="00EF7168" w:rsidRPr="003736F5" w:rsidRDefault="00EF7168" w:rsidP="00EF7168">
            <w:pPr>
              <w:pStyle w:val="NoSpacing"/>
              <w:rPr>
                <w:rFonts w:cs="Times New Roman"/>
                <w:lang w:val="en-US"/>
              </w:rPr>
            </w:pPr>
            <w:r w:rsidRPr="003736F5">
              <w:rPr>
                <w:rFonts w:cs="Times New Roman"/>
                <w:lang w:val="en-US"/>
              </w:rPr>
              <w:t>Variable</w:t>
            </w:r>
          </w:p>
        </w:tc>
        <w:tc>
          <w:tcPr>
            <w:tcW w:w="3961" w:type="dxa"/>
            <w:tcBorders>
              <w:bottom w:val="single" w:sz="4" w:space="0" w:color="7F7F7F"/>
            </w:tcBorders>
            <w:shd w:val="clear" w:color="auto" w:fill="auto"/>
            <w:noWrap/>
            <w:hideMark/>
          </w:tcPr>
          <w:p w14:paraId="1DF32552" w14:textId="77777777" w:rsidR="00EF7168" w:rsidRPr="003736F5" w:rsidRDefault="00EF7168" w:rsidP="00EF7168">
            <w:pPr>
              <w:pStyle w:val="NoSpacing"/>
              <w:rPr>
                <w:rFonts w:cs="Times New Roman"/>
                <w:lang w:val="en-US"/>
              </w:rPr>
            </w:pPr>
            <w:r w:rsidRPr="003736F5">
              <w:rPr>
                <w:rFonts w:cs="Times New Roman"/>
                <w:lang w:val="en-US"/>
              </w:rPr>
              <w:t>Importance score</w:t>
            </w:r>
          </w:p>
        </w:tc>
      </w:tr>
      <w:tr w:rsidR="00C116FA" w:rsidRPr="003736F5" w14:paraId="0647B6D7" w14:textId="77777777" w:rsidTr="00BC5C25">
        <w:trPr>
          <w:trHeight w:val="185"/>
          <w:jc w:val="center"/>
        </w:trPr>
        <w:tc>
          <w:tcPr>
            <w:tcW w:w="3315" w:type="dxa"/>
            <w:tcBorders>
              <w:top w:val="single" w:sz="4" w:space="0" w:color="7F7F7F"/>
              <w:bottom w:val="single" w:sz="4" w:space="0" w:color="7F7F7F"/>
            </w:tcBorders>
            <w:shd w:val="clear" w:color="auto" w:fill="auto"/>
            <w:noWrap/>
            <w:hideMark/>
          </w:tcPr>
          <w:p w14:paraId="4CD1D744" w14:textId="77777777" w:rsidR="00EF7168" w:rsidRPr="003736F5" w:rsidRDefault="00EF7168" w:rsidP="00EF7168">
            <w:pPr>
              <w:pStyle w:val="NoSpacing"/>
              <w:rPr>
                <w:rFonts w:cs="Times New Roman"/>
                <w:lang w:val="en-US"/>
              </w:rPr>
            </w:pPr>
            <w:r w:rsidRPr="003736F5">
              <w:rPr>
                <w:rFonts w:cs="Times New Roman"/>
              </w:rPr>
              <w:t xml:space="preserve">PS </w:t>
            </w:r>
          </w:p>
        </w:tc>
        <w:tc>
          <w:tcPr>
            <w:tcW w:w="3961" w:type="dxa"/>
            <w:tcBorders>
              <w:top w:val="single" w:sz="4" w:space="0" w:color="7F7F7F"/>
              <w:bottom w:val="single" w:sz="4" w:space="0" w:color="7F7F7F"/>
            </w:tcBorders>
            <w:shd w:val="clear" w:color="auto" w:fill="auto"/>
            <w:noWrap/>
            <w:hideMark/>
          </w:tcPr>
          <w:p w14:paraId="293C3847" w14:textId="77777777" w:rsidR="00EF7168" w:rsidRPr="003736F5" w:rsidRDefault="00EF7168" w:rsidP="00EF7168">
            <w:pPr>
              <w:pStyle w:val="NoSpacing"/>
              <w:rPr>
                <w:rFonts w:cs="Times New Roman"/>
                <w:lang w:val="en-US"/>
              </w:rPr>
            </w:pPr>
            <w:r w:rsidRPr="003736F5">
              <w:rPr>
                <w:rFonts w:cs="Times New Roman"/>
                <w:lang w:val="en-US"/>
              </w:rPr>
              <w:t>2129435561322</w:t>
            </w:r>
          </w:p>
        </w:tc>
      </w:tr>
      <w:tr w:rsidR="00EF7168" w:rsidRPr="003736F5" w14:paraId="757C346D" w14:textId="77777777" w:rsidTr="00BC5C25">
        <w:trPr>
          <w:trHeight w:val="185"/>
          <w:jc w:val="center"/>
        </w:trPr>
        <w:tc>
          <w:tcPr>
            <w:tcW w:w="3315" w:type="dxa"/>
            <w:shd w:val="clear" w:color="auto" w:fill="auto"/>
            <w:noWrap/>
            <w:hideMark/>
          </w:tcPr>
          <w:p w14:paraId="083E0EAE" w14:textId="48CF955B" w:rsidR="00EF7168" w:rsidRPr="003736F5" w:rsidRDefault="001C1B91" w:rsidP="00EF7168">
            <w:pPr>
              <w:pStyle w:val="NoSpacing"/>
              <w:rPr>
                <w:rFonts w:cs="Times New Roman"/>
                <w:lang w:val="en-US"/>
              </w:rPr>
            </w:pPr>
            <w:r w:rsidRPr="003736F5">
              <w:rPr>
                <w:rFonts w:cs="Times New Roman"/>
              </w:rPr>
              <w:t>Industry concentration (</w:t>
            </w:r>
            <w:r w:rsidR="00EF7168" w:rsidRPr="003736F5">
              <w:rPr>
                <w:rFonts w:cs="Times New Roman"/>
              </w:rPr>
              <w:t>HHI</w:t>
            </w:r>
            <w:r w:rsidRPr="003736F5">
              <w:rPr>
                <w:rFonts w:cs="Times New Roman"/>
              </w:rPr>
              <w:t>)</w:t>
            </w:r>
          </w:p>
        </w:tc>
        <w:tc>
          <w:tcPr>
            <w:tcW w:w="3961" w:type="dxa"/>
            <w:shd w:val="clear" w:color="auto" w:fill="auto"/>
            <w:noWrap/>
            <w:hideMark/>
          </w:tcPr>
          <w:p w14:paraId="4FC5E202" w14:textId="77777777" w:rsidR="00EF7168" w:rsidRPr="003736F5" w:rsidRDefault="00EF7168" w:rsidP="00EF7168">
            <w:pPr>
              <w:pStyle w:val="NoSpacing"/>
              <w:rPr>
                <w:rFonts w:cs="Times New Roman"/>
                <w:lang w:val="en-US"/>
              </w:rPr>
            </w:pPr>
            <w:r w:rsidRPr="003736F5">
              <w:rPr>
                <w:rFonts w:cs="Times New Roman"/>
                <w:lang w:val="en-US"/>
              </w:rPr>
              <w:t>1739529428105</w:t>
            </w:r>
          </w:p>
        </w:tc>
      </w:tr>
      <w:tr w:rsidR="00C116FA" w:rsidRPr="003736F5" w14:paraId="21440596" w14:textId="77777777" w:rsidTr="00BC5C25">
        <w:trPr>
          <w:trHeight w:val="185"/>
          <w:jc w:val="center"/>
        </w:trPr>
        <w:tc>
          <w:tcPr>
            <w:tcW w:w="3315" w:type="dxa"/>
            <w:tcBorders>
              <w:top w:val="single" w:sz="4" w:space="0" w:color="7F7F7F"/>
              <w:bottom w:val="single" w:sz="4" w:space="0" w:color="7F7F7F"/>
            </w:tcBorders>
            <w:shd w:val="clear" w:color="auto" w:fill="auto"/>
            <w:noWrap/>
            <w:hideMark/>
          </w:tcPr>
          <w:p w14:paraId="38F4214D" w14:textId="77777777" w:rsidR="00EF7168" w:rsidRPr="003736F5" w:rsidRDefault="00EF7168" w:rsidP="00EF7168">
            <w:pPr>
              <w:pStyle w:val="NoSpacing"/>
              <w:rPr>
                <w:rFonts w:cs="Times New Roman"/>
                <w:lang w:val="en-US"/>
              </w:rPr>
            </w:pPr>
            <w:r w:rsidRPr="003736F5">
              <w:rPr>
                <w:rFonts w:cs="Times New Roman"/>
                <w:lang w:val="en-US"/>
              </w:rPr>
              <w:t>ID</w:t>
            </w:r>
          </w:p>
        </w:tc>
        <w:tc>
          <w:tcPr>
            <w:tcW w:w="3961" w:type="dxa"/>
            <w:tcBorders>
              <w:top w:val="single" w:sz="4" w:space="0" w:color="7F7F7F"/>
              <w:bottom w:val="single" w:sz="4" w:space="0" w:color="7F7F7F"/>
            </w:tcBorders>
            <w:shd w:val="clear" w:color="auto" w:fill="auto"/>
            <w:noWrap/>
            <w:hideMark/>
          </w:tcPr>
          <w:p w14:paraId="08AE4970" w14:textId="77777777" w:rsidR="00EF7168" w:rsidRPr="003736F5" w:rsidRDefault="00EF7168" w:rsidP="00EF7168">
            <w:pPr>
              <w:pStyle w:val="NoSpacing"/>
              <w:rPr>
                <w:rFonts w:cs="Times New Roman"/>
                <w:lang w:val="en-US"/>
              </w:rPr>
            </w:pPr>
            <w:r w:rsidRPr="003736F5">
              <w:rPr>
                <w:rFonts w:cs="Times New Roman"/>
                <w:lang w:val="en-US"/>
              </w:rPr>
              <w:t>1649160154167</w:t>
            </w:r>
          </w:p>
        </w:tc>
      </w:tr>
      <w:tr w:rsidR="00EF7168" w:rsidRPr="003736F5" w14:paraId="4D9E8D62" w14:textId="77777777" w:rsidTr="00BC5C25">
        <w:trPr>
          <w:trHeight w:val="185"/>
          <w:jc w:val="center"/>
        </w:trPr>
        <w:tc>
          <w:tcPr>
            <w:tcW w:w="3315" w:type="dxa"/>
            <w:shd w:val="clear" w:color="auto" w:fill="auto"/>
            <w:noWrap/>
            <w:hideMark/>
          </w:tcPr>
          <w:p w14:paraId="4997124D" w14:textId="77777777" w:rsidR="00EF7168" w:rsidRPr="003736F5" w:rsidRDefault="00EF7168" w:rsidP="00EF7168">
            <w:pPr>
              <w:pStyle w:val="NoSpacing"/>
              <w:rPr>
                <w:rFonts w:cs="Times New Roman"/>
                <w:lang w:val="en-US"/>
              </w:rPr>
            </w:pPr>
            <w:r w:rsidRPr="003736F5">
              <w:rPr>
                <w:rFonts w:cs="Times New Roman"/>
              </w:rPr>
              <w:t>Age</w:t>
            </w:r>
          </w:p>
        </w:tc>
        <w:tc>
          <w:tcPr>
            <w:tcW w:w="3961" w:type="dxa"/>
            <w:shd w:val="clear" w:color="auto" w:fill="auto"/>
            <w:noWrap/>
            <w:hideMark/>
          </w:tcPr>
          <w:p w14:paraId="43A5E066" w14:textId="77777777" w:rsidR="00EF7168" w:rsidRPr="003736F5" w:rsidRDefault="00EF7168" w:rsidP="00EF7168">
            <w:pPr>
              <w:pStyle w:val="NoSpacing"/>
              <w:rPr>
                <w:rFonts w:cs="Times New Roman"/>
                <w:lang w:val="en-US"/>
              </w:rPr>
            </w:pPr>
            <w:r w:rsidRPr="003736F5">
              <w:rPr>
                <w:rFonts w:cs="Times New Roman"/>
                <w:lang w:val="en-US"/>
              </w:rPr>
              <w:t>1062988368526</w:t>
            </w:r>
          </w:p>
        </w:tc>
      </w:tr>
      <w:tr w:rsidR="00C116FA" w:rsidRPr="003736F5" w14:paraId="1D038E76" w14:textId="77777777" w:rsidTr="00BC5C25">
        <w:trPr>
          <w:trHeight w:val="185"/>
          <w:jc w:val="center"/>
        </w:trPr>
        <w:tc>
          <w:tcPr>
            <w:tcW w:w="3315" w:type="dxa"/>
            <w:tcBorders>
              <w:top w:val="single" w:sz="4" w:space="0" w:color="7F7F7F"/>
              <w:bottom w:val="single" w:sz="4" w:space="0" w:color="7F7F7F"/>
            </w:tcBorders>
            <w:shd w:val="clear" w:color="auto" w:fill="auto"/>
            <w:noWrap/>
            <w:hideMark/>
          </w:tcPr>
          <w:p w14:paraId="56A2CAC2" w14:textId="77777777" w:rsidR="00EF7168" w:rsidRPr="003736F5" w:rsidRDefault="00EF7168" w:rsidP="00EF7168">
            <w:pPr>
              <w:pStyle w:val="NoSpacing"/>
              <w:rPr>
                <w:rFonts w:cs="Times New Roman"/>
                <w:lang w:val="en-US"/>
              </w:rPr>
            </w:pPr>
            <w:r w:rsidRPr="003736F5">
              <w:rPr>
                <w:rFonts w:cs="Times New Roman"/>
                <w:lang w:val="en-US"/>
              </w:rPr>
              <w:t>Year</w:t>
            </w:r>
          </w:p>
        </w:tc>
        <w:tc>
          <w:tcPr>
            <w:tcW w:w="3961" w:type="dxa"/>
            <w:tcBorders>
              <w:top w:val="single" w:sz="4" w:space="0" w:color="7F7F7F"/>
              <w:bottom w:val="single" w:sz="4" w:space="0" w:color="7F7F7F"/>
            </w:tcBorders>
            <w:shd w:val="clear" w:color="auto" w:fill="auto"/>
            <w:noWrap/>
            <w:hideMark/>
          </w:tcPr>
          <w:p w14:paraId="3E494C5E" w14:textId="77777777" w:rsidR="00EF7168" w:rsidRPr="003736F5" w:rsidRDefault="00EF7168" w:rsidP="00EF7168">
            <w:pPr>
              <w:pStyle w:val="NoSpacing"/>
              <w:rPr>
                <w:rFonts w:cs="Times New Roman"/>
                <w:lang w:val="en-US"/>
              </w:rPr>
            </w:pPr>
            <w:r w:rsidRPr="003736F5">
              <w:rPr>
                <w:rFonts w:cs="Times New Roman"/>
                <w:lang w:val="en-US"/>
              </w:rPr>
              <w:t>662769747910</w:t>
            </w:r>
          </w:p>
        </w:tc>
      </w:tr>
      <w:tr w:rsidR="00EF7168" w:rsidRPr="003736F5" w14:paraId="56F9F63B" w14:textId="77777777" w:rsidTr="00BC5C25">
        <w:trPr>
          <w:trHeight w:val="185"/>
          <w:jc w:val="center"/>
        </w:trPr>
        <w:tc>
          <w:tcPr>
            <w:tcW w:w="3315" w:type="dxa"/>
            <w:shd w:val="clear" w:color="auto" w:fill="auto"/>
            <w:noWrap/>
            <w:hideMark/>
          </w:tcPr>
          <w:p w14:paraId="2C7D1651" w14:textId="77777777" w:rsidR="00EF7168" w:rsidRPr="003736F5" w:rsidRDefault="00EF7168" w:rsidP="00EF7168">
            <w:pPr>
              <w:pStyle w:val="NoSpacing"/>
              <w:rPr>
                <w:rFonts w:cs="Times New Roman"/>
                <w:lang w:val="en-US"/>
              </w:rPr>
            </w:pPr>
            <w:r w:rsidRPr="003736F5">
              <w:rPr>
                <w:rFonts w:cs="Times New Roman"/>
              </w:rPr>
              <w:t>Region</w:t>
            </w:r>
          </w:p>
        </w:tc>
        <w:tc>
          <w:tcPr>
            <w:tcW w:w="3961" w:type="dxa"/>
            <w:shd w:val="clear" w:color="auto" w:fill="auto"/>
            <w:noWrap/>
            <w:hideMark/>
          </w:tcPr>
          <w:p w14:paraId="55CDE5E9" w14:textId="77777777" w:rsidR="00EF7168" w:rsidRPr="003736F5" w:rsidRDefault="00EF7168" w:rsidP="00EF7168">
            <w:pPr>
              <w:pStyle w:val="NoSpacing"/>
              <w:rPr>
                <w:rFonts w:cs="Times New Roman"/>
                <w:lang w:val="en-US"/>
              </w:rPr>
            </w:pPr>
            <w:r w:rsidRPr="003736F5">
              <w:rPr>
                <w:rFonts w:cs="Times New Roman"/>
                <w:lang w:val="en-US"/>
              </w:rPr>
              <w:t>581336712563</w:t>
            </w:r>
          </w:p>
        </w:tc>
      </w:tr>
      <w:tr w:rsidR="00C116FA" w:rsidRPr="003736F5" w14:paraId="1707090D" w14:textId="77777777" w:rsidTr="00BC5C25">
        <w:trPr>
          <w:trHeight w:val="185"/>
          <w:jc w:val="center"/>
        </w:trPr>
        <w:tc>
          <w:tcPr>
            <w:tcW w:w="3315" w:type="dxa"/>
            <w:tcBorders>
              <w:top w:val="single" w:sz="4" w:space="0" w:color="7F7F7F"/>
              <w:bottom w:val="single" w:sz="4" w:space="0" w:color="7F7F7F"/>
            </w:tcBorders>
            <w:shd w:val="clear" w:color="auto" w:fill="auto"/>
            <w:noWrap/>
            <w:hideMark/>
          </w:tcPr>
          <w:p w14:paraId="4E68266D" w14:textId="77777777" w:rsidR="00EF7168" w:rsidRPr="003736F5" w:rsidRDefault="00EF7168" w:rsidP="00EF7168">
            <w:pPr>
              <w:pStyle w:val="NoSpacing"/>
              <w:rPr>
                <w:rFonts w:cs="Times New Roman"/>
                <w:lang w:val="en-US"/>
              </w:rPr>
            </w:pPr>
            <w:r w:rsidRPr="003736F5">
              <w:rPr>
                <w:rFonts w:cs="Times New Roman"/>
              </w:rPr>
              <w:t>SBRR</w:t>
            </w:r>
          </w:p>
        </w:tc>
        <w:tc>
          <w:tcPr>
            <w:tcW w:w="3961" w:type="dxa"/>
            <w:tcBorders>
              <w:top w:val="single" w:sz="4" w:space="0" w:color="7F7F7F"/>
              <w:bottom w:val="single" w:sz="4" w:space="0" w:color="7F7F7F"/>
            </w:tcBorders>
            <w:shd w:val="clear" w:color="auto" w:fill="auto"/>
            <w:noWrap/>
            <w:hideMark/>
          </w:tcPr>
          <w:p w14:paraId="0C96FA25" w14:textId="77777777" w:rsidR="00EF7168" w:rsidRPr="003736F5" w:rsidRDefault="00EF7168" w:rsidP="00EF7168">
            <w:pPr>
              <w:pStyle w:val="NoSpacing"/>
              <w:rPr>
                <w:rFonts w:cs="Times New Roman"/>
                <w:lang w:val="en-US"/>
              </w:rPr>
            </w:pPr>
            <w:r w:rsidRPr="003736F5">
              <w:rPr>
                <w:rFonts w:cs="Times New Roman"/>
                <w:lang w:val="en-US"/>
              </w:rPr>
              <w:t>156688938575</w:t>
            </w:r>
          </w:p>
        </w:tc>
      </w:tr>
      <w:tr w:rsidR="00EF7168" w:rsidRPr="003736F5" w14:paraId="69EC42E6" w14:textId="77777777" w:rsidTr="00BC5C25">
        <w:trPr>
          <w:trHeight w:val="185"/>
          <w:jc w:val="center"/>
        </w:trPr>
        <w:tc>
          <w:tcPr>
            <w:tcW w:w="3315" w:type="dxa"/>
            <w:shd w:val="clear" w:color="auto" w:fill="auto"/>
            <w:noWrap/>
            <w:hideMark/>
          </w:tcPr>
          <w:p w14:paraId="03F306A0" w14:textId="77777777" w:rsidR="00EF7168" w:rsidRPr="003736F5" w:rsidRDefault="00EF7168" w:rsidP="00EF7168">
            <w:pPr>
              <w:pStyle w:val="NoSpacing"/>
              <w:rPr>
                <w:rFonts w:cs="Times New Roman"/>
                <w:lang w:val="en-US"/>
              </w:rPr>
            </w:pPr>
            <w:r w:rsidRPr="003736F5">
              <w:rPr>
                <w:rFonts w:cs="Times New Roman"/>
              </w:rPr>
              <w:t>High growth firm (HGF) dummy</w:t>
            </w:r>
          </w:p>
        </w:tc>
        <w:tc>
          <w:tcPr>
            <w:tcW w:w="3961" w:type="dxa"/>
            <w:shd w:val="clear" w:color="auto" w:fill="auto"/>
            <w:noWrap/>
            <w:hideMark/>
          </w:tcPr>
          <w:p w14:paraId="1D51E5DE" w14:textId="77777777" w:rsidR="00EF7168" w:rsidRPr="003736F5" w:rsidRDefault="00EF7168" w:rsidP="00EF7168">
            <w:pPr>
              <w:pStyle w:val="NoSpacing"/>
              <w:rPr>
                <w:rFonts w:cs="Times New Roman"/>
                <w:lang w:val="en-US"/>
              </w:rPr>
            </w:pPr>
            <w:r w:rsidRPr="003736F5">
              <w:rPr>
                <w:rFonts w:cs="Times New Roman"/>
                <w:lang w:val="en-US"/>
              </w:rPr>
              <w:t>145599059814</w:t>
            </w:r>
          </w:p>
        </w:tc>
      </w:tr>
      <w:tr w:rsidR="00C116FA" w:rsidRPr="003736F5" w14:paraId="3BD6CEFA" w14:textId="77777777" w:rsidTr="00BC5C25">
        <w:trPr>
          <w:trHeight w:val="194"/>
          <w:jc w:val="center"/>
        </w:trPr>
        <w:tc>
          <w:tcPr>
            <w:tcW w:w="3315" w:type="dxa"/>
            <w:tcBorders>
              <w:top w:val="single" w:sz="4" w:space="0" w:color="7F7F7F"/>
              <w:bottom w:val="single" w:sz="4" w:space="0" w:color="7F7F7F"/>
            </w:tcBorders>
            <w:shd w:val="clear" w:color="auto" w:fill="auto"/>
            <w:noWrap/>
            <w:hideMark/>
          </w:tcPr>
          <w:p w14:paraId="27CF55CF" w14:textId="77777777" w:rsidR="00EF7168" w:rsidRPr="003736F5" w:rsidRDefault="00EF7168" w:rsidP="00EF7168">
            <w:pPr>
              <w:pStyle w:val="NoSpacing"/>
              <w:rPr>
                <w:rFonts w:cs="Times New Roman"/>
                <w:lang w:val="en-US"/>
              </w:rPr>
            </w:pPr>
            <w:r w:rsidRPr="003736F5">
              <w:rPr>
                <w:rFonts w:cs="Times New Roman"/>
              </w:rPr>
              <w:t>SBRR lagged by 2</w:t>
            </w:r>
          </w:p>
        </w:tc>
        <w:tc>
          <w:tcPr>
            <w:tcW w:w="3961" w:type="dxa"/>
            <w:tcBorders>
              <w:top w:val="single" w:sz="4" w:space="0" w:color="7F7F7F"/>
              <w:bottom w:val="single" w:sz="4" w:space="0" w:color="7F7F7F"/>
            </w:tcBorders>
            <w:shd w:val="clear" w:color="auto" w:fill="auto"/>
            <w:noWrap/>
            <w:hideMark/>
          </w:tcPr>
          <w:p w14:paraId="581BC163" w14:textId="77777777" w:rsidR="00EF7168" w:rsidRPr="003736F5" w:rsidRDefault="00EF7168" w:rsidP="00EF7168">
            <w:pPr>
              <w:pStyle w:val="NoSpacing"/>
              <w:rPr>
                <w:rFonts w:cs="Times New Roman"/>
                <w:lang w:val="en-US"/>
              </w:rPr>
            </w:pPr>
            <w:r w:rsidRPr="003736F5">
              <w:rPr>
                <w:rFonts w:cs="Times New Roman"/>
                <w:lang w:val="en-US"/>
              </w:rPr>
              <w:t>123988314100</w:t>
            </w:r>
          </w:p>
        </w:tc>
      </w:tr>
      <w:tr w:rsidR="00EF7168" w:rsidRPr="003736F5" w14:paraId="26CF4181" w14:textId="77777777" w:rsidTr="00BC5C25">
        <w:trPr>
          <w:trHeight w:val="176"/>
          <w:jc w:val="center"/>
        </w:trPr>
        <w:tc>
          <w:tcPr>
            <w:tcW w:w="3315" w:type="dxa"/>
            <w:shd w:val="clear" w:color="auto" w:fill="auto"/>
            <w:noWrap/>
            <w:hideMark/>
          </w:tcPr>
          <w:p w14:paraId="3ACF28C2" w14:textId="77777777" w:rsidR="00EF7168" w:rsidRPr="003736F5" w:rsidRDefault="00EF7168" w:rsidP="00EF7168">
            <w:pPr>
              <w:pStyle w:val="NoSpacing"/>
              <w:rPr>
                <w:rFonts w:cs="Times New Roman"/>
                <w:lang w:val="en-US"/>
              </w:rPr>
            </w:pPr>
            <w:r w:rsidRPr="003736F5">
              <w:rPr>
                <w:rFonts w:cs="Times New Roman"/>
              </w:rPr>
              <w:t>SBRR lagged by3</w:t>
            </w:r>
          </w:p>
        </w:tc>
        <w:tc>
          <w:tcPr>
            <w:tcW w:w="3961" w:type="dxa"/>
            <w:shd w:val="clear" w:color="auto" w:fill="auto"/>
            <w:noWrap/>
            <w:hideMark/>
          </w:tcPr>
          <w:p w14:paraId="385B6F72" w14:textId="77777777" w:rsidR="00EF7168" w:rsidRPr="003736F5" w:rsidRDefault="00EF7168" w:rsidP="00EF7168">
            <w:pPr>
              <w:pStyle w:val="NoSpacing"/>
              <w:rPr>
                <w:rFonts w:cs="Times New Roman"/>
                <w:lang w:val="en-US"/>
              </w:rPr>
            </w:pPr>
            <w:r w:rsidRPr="003736F5">
              <w:rPr>
                <w:rFonts w:cs="Times New Roman"/>
                <w:lang w:val="en-US"/>
              </w:rPr>
              <w:t>106464998673</w:t>
            </w:r>
          </w:p>
        </w:tc>
      </w:tr>
      <w:tr w:rsidR="00C116FA" w:rsidRPr="003736F5" w14:paraId="0A942CEC" w14:textId="77777777" w:rsidTr="00BC5C25">
        <w:trPr>
          <w:trHeight w:val="176"/>
          <w:jc w:val="center"/>
        </w:trPr>
        <w:tc>
          <w:tcPr>
            <w:tcW w:w="3315" w:type="dxa"/>
            <w:tcBorders>
              <w:top w:val="single" w:sz="4" w:space="0" w:color="7F7F7F"/>
              <w:bottom w:val="single" w:sz="4" w:space="0" w:color="7F7F7F"/>
            </w:tcBorders>
            <w:shd w:val="clear" w:color="auto" w:fill="auto"/>
            <w:noWrap/>
            <w:hideMark/>
          </w:tcPr>
          <w:p w14:paraId="7810CA93" w14:textId="77777777" w:rsidR="00EF7168" w:rsidRPr="003736F5" w:rsidRDefault="00EF7168" w:rsidP="00EF7168">
            <w:pPr>
              <w:pStyle w:val="NoSpacing"/>
              <w:rPr>
                <w:rFonts w:cs="Times New Roman"/>
                <w:lang w:val="en-US"/>
              </w:rPr>
            </w:pPr>
            <w:r w:rsidRPr="003736F5">
              <w:rPr>
                <w:rFonts w:cs="Times New Roman"/>
              </w:rPr>
              <w:t>R&amp;D</w:t>
            </w:r>
          </w:p>
        </w:tc>
        <w:tc>
          <w:tcPr>
            <w:tcW w:w="3961" w:type="dxa"/>
            <w:tcBorders>
              <w:top w:val="single" w:sz="4" w:space="0" w:color="7F7F7F"/>
              <w:bottom w:val="single" w:sz="4" w:space="0" w:color="7F7F7F"/>
            </w:tcBorders>
            <w:shd w:val="clear" w:color="auto" w:fill="auto"/>
            <w:noWrap/>
            <w:hideMark/>
          </w:tcPr>
          <w:p w14:paraId="37386C01" w14:textId="77777777" w:rsidR="00EF7168" w:rsidRPr="003736F5" w:rsidRDefault="00EF7168" w:rsidP="00EF7168">
            <w:pPr>
              <w:pStyle w:val="NoSpacing"/>
              <w:rPr>
                <w:rFonts w:cs="Times New Roman"/>
                <w:lang w:val="en-US"/>
              </w:rPr>
            </w:pPr>
            <w:r w:rsidRPr="003736F5">
              <w:rPr>
                <w:rFonts w:cs="Times New Roman"/>
                <w:lang w:val="en-US"/>
              </w:rPr>
              <w:t>90434107441</w:t>
            </w:r>
          </w:p>
        </w:tc>
      </w:tr>
      <w:tr w:rsidR="00EF7168" w:rsidRPr="003736F5" w14:paraId="48271F53" w14:textId="77777777" w:rsidTr="00BC5C25">
        <w:trPr>
          <w:trHeight w:val="176"/>
          <w:jc w:val="center"/>
        </w:trPr>
        <w:tc>
          <w:tcPr>
            <w:tcW w:w="3315" w:type="dxa"/>
            <w:shd w:val="clear" w:color="auto" w:fill="auto"/>
            <w:noWrap/>
            <w:hideMark/>
          </w:tcPr>
          <w:p w14:paraId="718C02F1" w14:textId="77777777" w:rsidR="00EF7168" w:rsidRPr="003736F5" w:rsidRDefault="00EF7168" w:rsidP="00EF7168">
            <w:pPr>
              <w:pStyle w:val="NoSpacing"/>
              <w:rPr>
                <w:rFonts w:cs="Times New Roman"/>
                <w:lang w:val="en-US"/>
              </w:rPr>
            </w:pPr>
            <w:r w:rsidRPr="003736F5">
              <w:rPr>
                <w:rFonts w:cs="Times New Roman"/>
              </w:rPr>
              <w:t>SBRR lagged by 4</w:t>
            </w:r>
          </w:p>
        </w:tc>
        <w:tc>
          <w:tcPr>
            <w:tcW w:w="3961" w:type="dxa"/>
            <w:shd w:val="clear" w:color="auto" w:fill="auto"/>
            <w:noWrap/>
            <w:hideMark/>
          </w:tcPr>
          <w:p w14:paraId="2359D402" w14:textId="77777777" w:rsidR="00EF7168" w:rsidRPr="003736F5" w:rsidRDefault="00EF7168" w:rsidP="00EF7168">
            <w:pPr>
              <w:pStyle w:val="NoSpacing"/>
              <w:rPr>
                <w:rFonts w:cs="Times New Roman"/>
                <w:lang w:val="en-US"/>
              </w:rPr>
            </w:pPr>
            <w:r w:rsidRPr="003736F5">
              <w:rPr>
                <w:rFonts w:cs="Times New Roman"/>
                <w:lang w:val="en-US"/>
              </w:rPr>
              <w:t>89363912658</w:t>
            </w:r>
          </w:p>
        </w:tc>
      </w:tr>
      <w:tr w:rsidR="00C116FA" w:rsidRPr="003736F5" w14:paraId="4AFE5A04" w14:textId="77777777" w:rsidTr="00BC5C25">
        <w:trPr>
          <w:trHeight w:val="176"/>
          <w:jc w:val="center"/>
        </w:trPr>
        <w:tc>
          <w:tcPr>
            <w:tcW w:w="3315" w:type="dxa"/>
            <w:tcBorders>
              <w:top w:val="single" w:sz="4" w:space="0" w:color="7F7F7F"/>
              <w:bottom w:val="single" w:sz="4" w:space="0" w:color="7F7F7F"/>
            </w:tcBorders>
            <w:shd w:val="clear" w:color="auto" w:fill="auto"/>
            <w:noWrap/>
            <w:hideMark/>
          </w:tcPr>
          <w:p w14:paraId="1FE9A1C0" w14:textId="77777777" w:rsidR="00EF7168" w:rsidRPr="003736F5" w:rsidRDefault="00EF7168" w:rsidP="00EF7168">
            <w:pPr>
              <w:pStyle w:val="NoSpacing"/>
              <w:rPr>
                <w:rFonts w:cs="Times New Roman"/>
                <w:lang w:val="en-US"/>
              </w:rPr>
            </w:pPr>
            <w:r w:rsidRPr="003736F5">
              <w:rPr>
                <w:rFonts w:cs="Times New Roman"/>
              </w:rPr>
              <w:t>Ultimate foreign ownership</w:t>
            </w:r>
          </w:p>
        </w:tc>
        <w:tc>
          <w:tcPr>
            <w:tcW w:w="3961" w:type="dxa"/>
            <w:tcBorders>
              <w:top w:val="single" w:sz="4" w:space="0" w:color="7F7F7F"/>
              <w:bottom w:val="single" w:sz="4" w:space="0" w:color="7F7F7F"/>
            </w:tcBorders>
            <w:shd w:val="clear" w:color="auto" w:fill="auto"/>
            <w:noWrap/>
            <w:hideMark/>
          </w:tcPr>
          <w:p w14:paraId="60EEFA1F" w14:textId="77777777" w:rsidR="00EF7168" w:rsidRPr="003736F5" w:rsidRDefault="00EF7168" w:rsidP="00EF7168">
            <w:pPr>
              <w:pStyle w:val="NoSpacing"/>
              <w:rPr>
                <w:rFonts w:cs="Times New Roman"/>
                <w:lang w:val="en-US"/>
              </w:rPr>
            </w:pPr>
            <w:r w:rsidRPr="003736F5">
              <w:rPr>
                <w:rFonts w:cs="Times New Roman"/>
                <w:lang w:val="en-US"/>
              </w:rPr>
              <w:t>42821004794</w:t>
            </w:r>
          </w:p>
        </w:tc>
      </w:tr>
      <w:tr w:rsidR="00EF7168" w:rsidRPr="003736F5" w14:paraId="1568693D" w14:textId="77777777" w:rsidTr="00BC5C25">
        <w:trPr>
          <w:trHeight w:val="176"/>
          <w:jc w:val="center"/>
        </w:trPr>
        <w:tc>
          <w:tcPr>
            <w:tcW w:w="3315" w:type="dxa"/>
            <w:shd w:val="clear" w:color="auto" w:fill="auto"/>
            <w:noWrap/>
            <w:hideMark/>
          </w:tcPr>
          <w:p w14:paraId="1AD034BB" w14:textId="77777777" w:rsidR="00EF7168" w:rsidRPr="003736F5" w:rsidRDefault="00EF7168" w:rsidP="00EF7168">
            <w:pPr>
              <w:pStyle w:val="NoSpacing"/>
              <w:rPr>
                <w:rFonts w:cs="Times New Roman"/>
                <w:lang w:val="en-US"/>
              </w:rPr>
            </w:pPr>
            <w:r w:rsidRPr="003736F5">
              <w:rPr>
                <w:rFonts w:cs="Times New Roman"/>
              </w:rPr>
              <w:t>Immediate foreign ownership</w:t>
            </w:r>
          </w:p>
        </w:tc>
        <w:tc>
          <w:tcPr>
            <w:tcW w:w="3961" w:type="dxa"/>
            <w:shd w:val="clear" w:color="auto" w:fill="auto"/>
            <w:noWrap/>
            <w:hideMark/>
          </w:tcPr>
          <w:p w14:paraId="4083A547" w14:textId="77777777" w:rsidR="00EF7168" w:rsidRPr="003736F5" w:rsidRDefault="00EF7168" w:rsidP="00EF7168">
            <w:pPr>
              <w:pStyle w:val="NoSpacing"/>
              <w:rPr>
                <w:rFonts w:cs="Times New Roman"/>
                <w:lang w:val="en-US"/>
              </w:rPr>
            </w:pPr>
            <w:r w:rsidRPr="003736F5">
              <w:rPr>
                <w:rFonts w:cs="Times New Roman"/>
                <w:lang w:val="en-US"/>
              </w:rPr>
              <w:t>34903013715</w:t>
            </w:r>
          </w:p>
        </w:tc>
      </w:tr>
    </w:tbl>
    <w:p w14:paraId="619A17D5" w14:textId="77777777" w:rsidR="00AB1655" w:rsidRPr="003736F5" w:rsidRDefault="008A3B50" w:rsidP="00F33A4C">
      <w:pPr>
        <w:rPr>
          <w:rFonts w:cs="Times New Roman"/>
          <w:b/>
        </w:rPr>
      </w:pPr>
      <w:r w:rsidRPr="003736F5">
        <w:rPr>
          <w:rFonts w:cs="Times New Roman"/>
        </w:rPr>
        <w:t>Source: ONS Data, Author’s Calculations.</w:t>
      </w:r>
    </w:p>
    <w:p w14:paraId="6F913BF0" w14:textId="77777777" w:rsidR="00AB1655" w:rsidRPr="003736F5" w:rsidRDefault="00AB1655">
      <w:pPr>
        <w:spacing w:after="0" w:line="240" w:lineRule="auto"/>
        <w:rPr>
          <w:rFonts w:cs="Times New Roman"/>
          <w:b/>
        </w:rPr>
      </w:pPr>
      <w:r w:rsidRPr="003736F5">
        <w:rPr>
          <w:rFonts w:cs="Times New Roman"/>
          <w:b/>
        </w:rPr>
        <w:br w:type="page"/>
      </w:r>
    </w:p>
    <w:p w14:paraId="0CC11DE7" w14:textId="1A8B8AA3" w:rsidR="001C1B91" w:rsidRPr="003736F5" w:rsidRDefault="00016355" w:rsidP="001C1B91">
      <w:pPr>
        <w:rPr>
          <w:rFonts w:cs="Times New Roman"/>
          <w:b/>
          <w:bCs/>
          <w:color w:val="000000" w:themeColor="text1"/>
          <w:szCs w:val="24"/>
        </w:rPr>
      </w:pPr>
      <w:r w:rsidRPr="003736F5">
        <w:rPr>
          <w:rFonts w:cs="Times New Roman"/>
          <w:b/>
        </w:rPr>
        <w:lastRenderedPageBreak/>
        <w:t xml:space="preserve">Appendix </w:t>
      </w:r>
      <w:r w:rsidR="005B4AF4" w:rsidRPr="003736F5">
        <w:rPr>
          <w:rFonts w:cs="Times New Roman"/>
          <w:b/>
        </w:rPr>
        <w:t>4</w:t>
      </w:r>
      <w:r w:rsidR="001C1B91" w:rsidRPr="003736F5">
        <w:rPr>
          <w:rFonts w:cs="Times New Roman"/>
          <w:b/>
          <w:bCs/>
          <w:color w:val="000000" w:themeColor="text1"/>
          <w:szCs w:val="24"/>
        </w:rPr>
        <w:t>: Brief Introduction to Decision Trees</w:t>
      </w:r>
    </w:p>
    <w:p w14:paraId="64A35A9A" w14:textId="35BB616E" w:rsidR="001C1B91" w:rsidRPr="003736F5" w:rsidRDefault="001C1B91" w:rsidP="001C1B91">
      <w:pPr>
        <w:rPr>
          <w:rFonts w:cs="Times New Roman"/>
          <w:color w:val="000000" w:themeColor="text1"/>
          <w:szCs w:val="24"/>
        </w:rPr>
      </w:pPr>
      <w:r w:rsidRPr="003736F5">
        <w:rPr>
          <w:rFonts w:cs="Times New Roman"/>
        </w:rPr>
        <w:t xml:space="preserve">Decision trees, often referred to as recursive partitioning, is a tool that builds regression models in the shape of a tree structure, illustrating possible outcomes of different decisions based on a variety of parameters. </w:t>
      </w:r>
      <w:r w:rsidRPr="003736F5">
        <w:rPr>
          <w:rFonts w:cs="Times New Roman"/>
          <w:color w:val="000000" w:themeColor="text1"/>
          <w:szCs w:val="24"/>
        </w:rPr>
        <w:t xml:space="preserve">The </w:t>
      </w:r>
      <w:r w:rsidR="00E12FF0" w:rsidRPr="003736F5">
        <w:rPr>
          <w:rFonts w:cs="Times New Roman"/>
          <w:color w:val="000000" w:themeColor="text1"/>
          <w:szCs w:val="24"/>
        </w:rPr>
        <w:t xml:space="preserve">main </w:t>
      </w:r>
      <w:r w:rsidRPr="003736F5">
        <w:rPr>
          <w:rFonts w:cs="Times New Roman"/>
          <w:color w:val="000000" w:themeColor="text1"/>
          <w:szCs w:val="24"/>
        </w:rPr>
        <w:t>advantages of these mechanisms are their ability to accommodate missing data, low sensitivity to outliers, and low impact of nonlinear relationships between parameters.</w:t>
      </w:r>
    </w:p>
    <w:p w14:paraId="327C7ACB" w14:textId="77777777" w:rsidR="001C1B91" w:rsidRPr="003736F5" w:rsidRDefault="001C1B91" w:rsidP="001C1B91">
      <w:pPr>
        <w:rPr>
          <w:rFonts w:cs="Times New Roman"/>
        </w:rPr>
      </w:pPr>
      <w:r w:rsidRPr="003736F5">
        <w:rPr>
          <w:rFonts w:cs="Times New Roman"/>
        </w:rPr>
        <w:t xml:space="preserve">The tree algorithms are based on </w:t>
      </w:r>
      <w:r w:rsidRPr="003736F5">
        <w:rPr>
          <w:rFonts w:cs="Times New Roman"/>
          <w:i/>
          <w:iCs/>
        </w:rPr>
        <w:t>entropy</w:t>
      </w:r>
      <w:r w:rsidRPr="003736F5">
        <w:rPr>
          <w:rFonts w:cs="Times New Roman"/>
        </w:rPr>
        <w:t xml:space="preserve">, defined as a top-down partitioning of data into subsets that consist of homogenous data points. The decrease in entropy after the dataset is split on an attribute is also known as </w:t>
      </w:r>
      <w:r w:rsidRPr="003736F5">
        <w:rPr>
          <w:rFonts w:cs="Times New Roman"/>
          <w:i/>
          <w:iCs/>
        </w:rPr>
        <w:t>information gain,</w:t>
      </w:r>
      <w:r w:rsidRPr="003736F5">
        <w:rPr>
          <w:rFonts w:cs="Times New Roman"/>
        </w:rPr>
        <w:t xml:space="preserve"> and the splits are based on which attributes generate the highest information gain. Entropy values are calculated for every parameter that is entered into the tree model and for each decision. The parameter with the highest information gain is selected. Then the process is repeated.</w:t>
      </w:r>
    </w:p>
    <w:p w14:paraId="792C0F58" w14:textId="7670E39E" w:rsidR="001C1B91" w:rsidRPr="003736F5" w:rsidRDefault="001C1B91" w:rsidP="001C1B91">
      <w:pPr>
        <w:rPr>
          <w:rFonts w:cs="Times New Roman"/>
        </w:rPr>
      </w:pPr>
      <w:r w:rsidRPr="003736F5">
        <w:rPr>
          <w:rFonts w:cs="Times New Roman"/>
        </w:rPr>
        <w:t xml:space="preserve">The decision trees are made of two components, </w:t>
      </w:r>
      <w:r w:rsidRPr="003736F5">
        <w:rPr>
          <w:rFonts w:cs="Times New Roman"/>
          <w:i/>
          <w:iCs/>
        </w:rPr>
        <w:t>leaves</w:t>
      </w:r>
      <w:r w:rsidRPr="003736F5">
        <w:rPr>
          <w:rFonts w:cs="Times New Roman"/>
        </w:rPr>
        <w:t xml:space="preserve"> and </w:t>
      </w:r>
      <w:r w:rsidRPr="003736F5">
        <w:rPr>
          <w:rFonts w:cs="Times New Roman"/>
          <w:i/>
          <w:iCs/>
        </w:rPr>
        <w:t>nodes</w:t>
      </w:r>
      <w:r w:rsidRPr="003736F5">
        <w:rPr>
          <w:rFonts w:cs="Times New Roman"/>
        </w:rPr>
        <w:t xml:space="preserve">. The former is the outcome of the decision, whilst the latter is a decision test that examines a single variable and moves to another node based on the outcome. </w:t>
      </w:r>
    </w:p>
    <w:p w14:paraId="67A4D166" w14:textId="04DFBEA2" w:rsidR="001C1B91" w:rsidRPr="003736F5" w:rsidRDefault="001C1B91" w:rsidP="001C1B91">
      <w:pPr>
        <w:rPr>
          <w:rFonts w:cs="Times New Roman"/>
          <w:color w:val="000000" w:themeColor="text1"/>
          <w:szCs w:val="24"/>
          <w:shd w:val="clear" w:color="auto" w:fill="FFFFFF"/>
        </w:rPr>
      </w:pPr>
      <w:r w:rsidRPr="003736F5">
        <w:rPr>
          <w:rFonts w:cs="Times New Roman"/>
          <w:color w:val="000000" w:themeColor="text1"/>
          <w:szCs w:val="24"/>
          <w:shd w:val="clear" w:color="auto" w:fill="FFFFFF"/>
        </w:rPr>
        <w:t xml:space="preserve">As a simplified example, let the parent node </w:t>
      </w:r>
      <w:r w:rsidRPr="003736F5">
        <w:rPr>
          <w:rFonts w:cs="Times New Roman"/>
          <w:noProof/>
          <w:color w:val="000000" w:themeColor="text1"/>
          <w:szCs w:val="24"/>
          <w:shd w:val="clear" w:color="auto" w:fill="FFFFFF"/>
        </w:rPr>
        <w:t>be noted</w:t>
      </w:r>
      <w:r w:rsidRPr="003736F5">
        <w:rPr>
          <w:rFonts w:cs="Times New Roman"/>
          <w:color w:val="000000" w:themeColor="text1"/>
          <w:szCs w:val="24"/>
          <w:shd w:val="clear" w:color="auto" w:fill="FFFFFF"/>
        </w:rPr>
        <w:t xml:space="preserve"> as </w:t>
      </w:r>
      <m:oMath>
        <m:r>
          <m:rPr>
            <m:sty m:val="p"/>
          </m:rPr>
          <w:rPr>
            <w:rFonts w:ascii="Cambria Math" w:hAnsi="Cambria Math" w:cs="Times New Roman"/>
            <w:color w:val="000000" w:themeColor="text1"/>
            <w:szCs w:val="24"/>
            <w:shd w:val="clear" w:color="auto" w:fill="FFFFFF"/>
          </w:rPr>
          <m:t>S</m:t>
        </m:r>
      </m:oMath>
      <w:r w:rsidRPr="003736F5">
        <w:rPr>
          <w:rFonts w:cs="Times New Roman"/>
          <w:color w:val="000000" w:themeColor="text1"/>
          <w:szCs w:val="24"/>
          <w:shd w:val="clear" w:color="auto" w:fill="FFFFFF"/>
        </w:rPr>
        <w:t xml:space="preserve"> and the left, </w:t>
      </w:r>
      <m:oMath>
        <m:r>
          <m:rPr>
            <m:sty m:val="p"/>
          </m:rPr>
          <w:rPr>
            <w:rFonts w:ascii="Cambria Math" w:hAnsi="Cambria Math" w:cs="Times New Roman"/>
            <w:color w:val="000000" w:themeColor="text1"/>
            <w:szCs w:val="24"/>
            <w:shd w:val="clear" w:color="auto" w:fill="FFFFFF"/>
          </w:rPr>
          <m:t>L</m:t>
        </m:r>
      </m:oMath>
      <w:r w:rsidRPr="003736F5">
        <w:rPr>
          <w:rFonts w:cs="Times New Roman"/>
          <w:color w:val="000000" w:themeColor="text1"/>
          <w:szCs w:val="24"/>
          <w:shd w:val="clear" w:color="auto" w:fill="FFFFFF"/>
        </w:rPr>
        <w:t xml:space="preserve">, and right, </w:t>
      </w:r>
      <m:oMath>
        <m:r>
          <m:rPr>
            <m:sty m:val="p"/>
          </m:rPr>
          <w:rPr>
            <w:rFonts w:ascii="Cambria Math" w:hAnsi="Cambria Math" w:cs="Times New Roman"/>
            <w:color w:val="000000" w:themeColor="text1"/>
            <w:szCs w:val="24"/>
            <w:shd w:val="clear" w:color="auto" w:fill="FFFFFF"/>
          </w:rPr>
          <m:t>R</m:t>
        </m:r>
      </m:oMath>
      <w:r w:rsidRPr="003736F5">
        <w:rPr>
          <w:rFonts w:cs="Times New Roman"/>
          <w:color w:val="000000" w:themeColor="text1"/>
          <w:szCs w:val="24"/>
          <w:shd w:val="clear" w:color="auto" w:fill="FFFFFF"/>
        </w:rPr>
        <w:t xml:space="preserve">, be </w:t>
      </w:r>
      <w:r w:rsidRPr="003736F5">
        <w:rPr>
          <w:rFonts w:cs="Times New Roman"/>
          <w:noProof/>
          <w:color w:val="000000" w:themeColor="text1"/>
          <w:szCs w:val="24"/>
          <w:shd w:val="clear" w:color="auto" w:fill="FFFFFF"/>
        </w:rPr>
        <w:t>sub-nodes</w:t>
      </w:r>
      <w:r w:rsidRPr="003736F5">
        <w:rPr>
          <w:rFonts w:cs="Times New Roman"/>
          <w:color w:val="000000" w:themeColor="text1"/>
          <w:szCs w:val="24"/>
          <w:shd w:val="clear" w:color="auto" w:fill="FFFFFF"/>
        </w:rPr>
        <w:t xml:space="preserve"> as well as y be a response value in node </w:t>
      </w:r>
      <m:oMath>
        <m:r>
          <m:rPr>
            <m:sty m:val="p"/>
          </m:rPr>
          <w:rPr>
            <w:rFonts w:ascii="Cambria Math" w:hAnsi="Cambria Math" w:cs="Times New Roman"/>
            <w:color w:val="000000" w:themeColor="text1"/>
            <w:szCs w:val="24"/>
            <w:shd w:val="clear" w:color="auto" w:fill="FFFFFF"/>
          </w:rPr>
          <m:t>S</m:t>
        </m:r>
      </m:oMath>
      <w:r w:rsidRPr="003736F5">
        <w:rPr>
          <w:rFonts w:cs="Times New Roman"/>
          <w:color w:val="000000" w:themeColor="text1"/>
          <w:szCs w:val="24"/>
          <w:shd w:val="clear" w:color="auto" w:fill="FFFFFF"/>
        </w:rPr>
        <w:t xml:space="preserve"> and </w:t>
      </w:r>
      <m:oMath>
        <m:acc>
          <m:accPr>
            <m:chr m:val="̅"/>
            <m:ctrlPr>
              <w:rPr>
                <w:rFonts w:ascii="Cambria Math" w:hAnsi="Cambria Math" w:cs="Times New Roman"/>
                <w:color w:val="000000" w:themeColor="text1"/>
                <w:szCs w:val="24"/>
                <w:shd w:val="clear" w:color="auto" w:fill="FFFFFF"/>
              </w:rPr>
            </m:ctrlPr>
          </m:accPr>
          <m:e>
            <m:r>
              <m:rPr>
                <m:sty m:val="p"/>
              </m:rPr>
              <w:rPr>
                <w:rFonts w:ascii="Cambria Math" w:hAnsi="Cambria Math" w:cs="Times New Roman"/>
                <w:color w:val="000000" w:themeColor="text1"/>
                <w:szCs w:val="24"/>
                <w:shd w:val="clear" w:color="auto" w:fill="FFFFFF"/>
              </w:rPr>
              <m:t>y</m:t>
            </m:r>
          </m:e>
        </m:acc>
      </m:oMath>
      <w:r w:rsidRPr="003736F5">
        <w:rPr>
          <w:rFonts w:cs="Times New Roman"/>
          <w:color w:val="000000" w:themeColor="text1"/>
          <w:szCs w:val="24"/>
          <w:shd w:val="clear" w:color="auto" w:fill="FFFFFF"/>
        </w:rPr>
        <w:t xml:space="preserve"> is the average response values in node </w:t>
      </w:r>
      <m:oMath>
        <m:r>
          <m:rPr>
            <m:sty m:val="p"/>
          </m:rPr>
          <w:rPr>
            <w:rFonts w:ascii="Cambria Math" w:hAnsi="Cambria Math" w:cs="Times New Roman"/>
            <w:color w:val="000000" w:themeColor="text1"/>
            <w:szCs w:val="24"/>
            <w:shd w:val="clear" w:color="auto" w:fill="FFFFFF"/>
          </w:rPr>
          <m:t>S</m:t>
        </m:r>
      </m:oMath>
      <w:r w:rsidRPr="003736F5">
        <w:rPr>
          <w:rFonts w:cs="Times New Roman"/>
          <w:color w:val="000000" w:themeColor="text1"/>
          <w:szCs w:val="24"/>
          <w:shd w:val="clear" w:color="auto" w:fill="FFFFFF"/>
        </w:rPr>
        <w:t xml:space="preserve">. The </w:t>
      </w:r>
      <w:r w:rsidRPr="003736F5">
        <w:rPr>
          <w:rFonts w:cs="Times New Roman"/>
          <w:color w:val="000000" w:themeColor="text1"/>
          <w:szCs w:val="24"/>
        </w:rPr>
        <w:t>Gini index</w:t>
      </w:r>
      <w:r w:rsidRPr="003736F5">
        <w:rPr>
          <w:rFonts w:cs="Times New Roman"/>
          <w:color w:val="000000" w:themeColor="text1"/>
          <w:szCs w:val="24"/>
          <w:shd w:val="clear" w:color="auto" w:fill="FFFFFF"/>
        </w:rPr>
        <w:t xml:space="preserve"> of diversity or entropy could be used to reflect the impurity of a node, which defines the node splits where each split maximises the decrease in impurity. Let G be categories in the data, </w:t>
      </w:r>
      <m:oMath>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π</m:t>
            </m:r>
          </m:e>
          <m:sub>
            <m:r>
              <m:rPr>
                <m:sty m:val="p"/>
              </m:rPr>
              <w:rPr>
                <w:rFonts w:ascii="Cambria Math" w:hAnsi="Cambria Math" w:cs="Times New Roman"/>
                <w:color w:val="000000" w:themeColor="text1"/>
                <w:szCs w:val="24"/>
                <w:shd w:val="clear" w:color="auto" w:fill="FFFFFF"/>
              </w:rPr>
              <m:t>S</m:t>
            </m:r>
          </m:sub>
        </m:sSub>
        <m:r>
          <m:rPr>
            <m:sty m:val="p"/>
          </m:rPr>
          <w:rPr>
            <w:rFonts w:ascii="Cambria Math" w:hAnsi="Cambria Math" w:cs="Times New Roman"/>
            <w:color w:val="000000" w:themeColor="text1"/>
            <w:szCs w:val="24"/>
            <w:shd w:val="clear" w:color="auto" w:fill="FFFFFF"/>
          </w:rPr>
          <m:t>(g)</m:t>
        </m:r>
      </m:oMath>
      <w:r w:rsidRPr="003736F5">
        <w:rPr>
          <w:rFonts w:cs="Times New Roman"/>
          <w:color w:val="000000" w:themeColor="text1"/>
          <w:szCs w:val="24"/>
          <w:shd w:val="clear" w:color="auto" w:fill="FFFFFF"/>
        </w:rPr>
        <w:t xml:space="preserve"> be the proportion of the </w:t>
      </w:r>
      <w:r w:rsidRPr="003736F5">
        <w:rPr>
          <w:rFonts w:cs="Times New Roman"/>
          <w:color w:val="000000" w:themeColor="text1"/>
          <w:szCs w:val="24"/>
          <w:shd w:val="clear" w:color="auto" w:fill="FFFFFF"/>
        </w:rPr>
        <w:lastRenderedPageBreak/>
        <w:t>observations from the G</w:t>
      </w:r>
      <w:r w:rsidRPr="003736F5">
        <w:rPr>
          <w:rFonts w:cs="Times New Roman"/>
          <w:color w:val="000000" w:themeColor="text1"/>
          <w:szCs w:val="24"/>
          <w:shd w:val="clear" w:color="auto" w:fill="FFFFFF"/>
          <w:vertAlign w:val="superscript"/>
        </w:rPr>
        <w:t>th</w:t>
      </w:r>
      <w:r w:rsidRPr="003736F5">
        <w:rPr>
          <w:rFonts w:cs="Times New Roman"/>
          <w:color w:val="000000" w:themeColor="text1"/>
          <w:szCs w:val="24"/>
          <w:shd w:val="clear" w:color="auto" w:fill="FFFFFF"/>
        </w:rPr>
        <w:t xml:space="preserve"> category in node S and </w:t>
      </w:r>
      <m:oMath>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n</m:t>
            </m:r>
          </m:e>
          <m:sub>
            <m:r>
              <m:rPr>
                <m:sty m:val="p"/>
              </m:rPr>
              <w:rPr>
                <w:rFonts w:ascii="Cambria Math" w:hAnsi="Cambria Math" w:cs="Times New Roman"/>
                <w:color w:val="000000" w:themeColor="text1"/>
                <w:szCs w:val="24"/>
                <w:shd w:val="clear" w:color="auto" w:fill="FFFFFF"/>
              </w:rPr>
              <m:t>S</m:t>
            </m:r>
          </m:sub>
        </m:sSub>
      </m:oMath>
      <w:r w:rsidRPr="003736F5">
        <w:rPr>
          <w:rFonts w:cs="Times New Roman"/>
          <w:color w:val="000000" w:themeColor="text1"/>
          <w:szCs w:val="24"/>
          <w:shd w:val="clear" w:color="auto" w:fill="FFFFFF"/>
        </w:rPr>
        <w:t xml:space="preserve"> be the number of cases in node S. The Gini index </w:t>
      </w:r>
      <w:proofErr w:type="gramStart"/>
      <w:r w:rsidRPr="003736F5">
        <w:rPr>
          <w:rFonts w:cs="Times New Roman"/>
          <w:color w:val="000000" w:themeColor="text1"/>
          <w:szCs w:val="24"/>
          <w:shd w:val="clear" w:color="auto" w:fill="FFFFFF"/>
        </w:rPr>
        <w:t>is</w:t>
      </w:r>
      <w:proofErr w:type="gramEnd"/>
      <w:r w:rsidRPr="003736F5">
        <w:rPr>
          <w:rFonts w:cs="Times New Roman"/>
          <w:color w:val="000000" w:themeColor="text1"/>
          <w:szCs w:val="24"/>
          <w:shd w:val="clear" w:color="auto" w:fill="FFFFFF"/>
        </w:rPr>
        <w:t xml:space="preserve"> </w:t>
      </w:r>
    </w:p>
    <w:p w14:paraId="390235E2" w14:textId="12FA6E69" w:rsidR="001C1B91" w:rsidRPr="003736F5" w:rsidRDefault="003736F5" w:rsidP="001C1B91">
      <w:pPr>
        <w:rPr>
          <w:rFonts w:cs="Times New Roman"/>
          <w:color w:val="000000" w:themeColor="text1"/>
          <w:szCs w:val="24"/>
          <w:shd w:val="clear" w:color="auto" w:fill="FFFFFF"/>
        </w:rPr>
      </w:pPr>
      <m:oMath>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I</m:t>
            </m:r>
          </m:e>
          <m:sub>
            <m:r>
              <m:rPr>
                <m:sty m:val="p"/>
              </m:rPr>
              <w:rPr>
                <w:rFonts w:ascii="Cambria Math" w:hAnsi="Cambria Math" w:cs="Times New Roman"/>
                <w:color w:val="000000" w:themeColor="text1"/>
                <w:szCs w:val="24"/>
                <w:shd w:val="clear" w:color="auto" w:fill="FFFFFF"/>
              </w:rPr>
              <m:t>S</m:t>
            </m:r>
          </m:sub>
        </m:sSub>
        <m:r>
          <m:rPr>
            <m:sty m:val="p"/>
          </m:rPr>
          <w:rPr>
            <w:rFonts w:ascii="Cambria Math" w:hAnsi="Cambria Math" w:cs="Times New Roman"/>
            <w:color w:val="000000" w:themeColor="text1"/>
            <w:szCs w:val="24"/>
            <w:shd w:val="clear" w:color="auto" w:fill="FFFFFF"/>
          </w:rPr>
          <m:t>=</m:t>
        </m:r>
        <m:nary>
          <m:naryPr>
            <m:chr m:val="∑"/>
            <m:limLoc m:val="undOvr"/>
            <m:ctrlPr>
              <w:rPr>
                <w:rFonts w:ascii="Cambria Math" w:hAnsi="Cambria Math" w:cs="Times New Roman"/>
                <w:color w:val="000000" w:themeColor="text1"/>
                <w:szCs w:val="24"/>
                <w:shd w:val="clear" w:color="auto" w:fill="FFFFFF"/>
              </w:rPr>
            </m:ctrlPr>
          </m:naryPr>
          <m:sub>
            <m:r>
              <m:rPr>
                <m:sty m:val="p"/>
              </m:rPr>
              <w:rPr>
                <w:rFonts w:ascii="Cambria Math" w:hAnsi="Cambria Math" w:cs="Times New Roman"/>
                <w:color w:val="000000" w:themeColor="text1"/>
                <w:szCs w:val="24"/>
                <w:shd w:val="clear" w:color="auto" w:fill="FFFFFF"/>
              </w:rPr>
              <m:t>g=1</m:t>
            </m:r>
          </m:sub>
          <m:sup>
            <m:r>
              <m:rPr>
                <m:sty m:val="p"/>
              </m:rPr>
              <w:rPr>
                <w:rFonts w:ascii="Cambria Math" w:hAnsi="Cambria Math" w:cs="Times New Roman"/>
                <w:color w:val="000000" w:themeColor="text1"/>
                <w:szCs w:val="24"/>
                <w:shd w:val="clear" w:color="auto" w:fill="FFFFFF"/>
              </w:rPr>
              <m:t>G</m:t>
            </m:r>
          </m:sup>
          <m:e>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π</m:t>
                </m:r>
              </m:e>
              <m:sub>
                <m:r>
                  <m:rPr>
                    <m:sty m:val="p"/>
                  </m:rPr>
                  <w:rPr>
                    <w:rFonts w:ascii="Cambria Math" w:hAnsi="Cambria Math" w:cs="Times New Roman"/>
                    <w:color w:val="000000" w:themeColor="text1"/>
                    <w:szCs w:val="24"/>
                    <w:shd w:val="clear" w:color="auto" w:fill="FFFFFF"/>
                  </w:rPr>
                  <m:t>s</m:t>
                </m:r>
              </m:sub>
            </m:sSub>
            <m:d>
              <m:dPr>
                <m:ctrlPr>
                  <w:rPr>
                    <w:rFonts w:ascii="Cambria Math" w:hAnsi="Cambria Math" w:cs="Times New Roman"/>
                    <w:color w:val="000000" w:themeColor="text1"/>
                    <w:szCs w:val="24"/>
                    <w:shd w:val="clear" w:color="auto" w:fill="FFFFFF"/>
                  </w:rPr>
                </m:ctrlPr>
              </m:dPr>
              <m:e>
                <m:r>
                  <m:rPr>
                    <m:sty m:val="p"/>
                  </m:rPr>
                  <w:rPr>
                    <w:rFonts w:ascii="Cambria Math" w:hAnsi="Cambria Math" w:cs="Times New Roman"/>
                    <w:color w:val="000000" w:themeColor="text1"/>
                    <w:szCs w:val="24"/>
                    <w:shd w:val="clear" w:color="auto" w:fill="FFFFFF"/>
                  </w:rPr>
                  <m:t>g</m:t>
                </m:r>
              </m:e>
            </m:d>
            <m:r>
              <m:rPr>
                <m:sty m:val="p"/>
              </m:rPr>
              <w:rPr>
                <w:rFonts w:ascii="Cambria Math" w:hAnsi="Cambria Math" w:cs="Times New Roman"/>
                <w:color w:val="000000" w:themeColor="text1"/>
                <w:szCs w:val="24"/>
                <w:shd w:val="clear" w:color="auto" w:fill="FFFFFF"/>
              </w:rPr>
              <m:t>[1-</m:t>
            </m:r>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π</m:t>
                </m:r>
              </m:e>
              <m:sub>
                <m:r>
                  <m:rPr>
                    <m:sty m:val="p"/>
                  </m:rPr>
                  <w:rPr>
                    <w:rFonts w:ascii="Cambria Math" w:hAnsi="Cambria Math" w:cs="Times New Roman"/>
                    <w:color w:val="000000" w:themeColor="text1"/>
                    <w:szCs w:val="24"/>
                    <w:shd w:val="clear" w:color="auto" w:fill="FFFFFF"/>
                  </w:rPr>
                  <m:t>s</m:t>
                </m:r>
              </m:sub>
            </m:sSub>
            <m:d>
              <m:dPr>
                <m:ctrlPr>
                  <w:rPr>
                    <w:rFonts w:ascii="Cambria Math" w:hAnsi="Cambria Math" w:cs="Times New Roman"/>
                    <w:color w:val="000000" w:themeColor="text1"/>
                    <w:szCs w:val="24"/>
                    <w:shd w:val="clear" w:color="auto" w:fill="FFFFFF"/>
                  </w:rPr>
                </m:ctrlPr>
              </m:dPr>
              <m:e>
                <m:r>
                  <m:rPr>
                    <m:sty m:val="p"/>
                  </m:rPr>
                  <w:rPr>
                    <w:rFonts w:ascii="Cambria Math" w:hAnsi="Cambria Math" w:cs="Times New Roman"/>
                    <w:color w:val="000000" w:themeColor="text1"/>
                    <w:szCs w:val="24"/>
                    <w:shd w:val="clear" w:color="auto" w:fill="FFFFFF"/>
                  </w:rPr>
                  <m:t>g</m:t>
                </m:r>
              </m:e>
            </m:d>
            <m:r>
              <m:rPr>
                <m:sty m:val="p"/>
              </m:rPr>
              <w:rPr>
                <w:rFonts w:ascii="Cambria Math" w:hAnsi="Cambria Math" w:cs="Times New Roman"/>
                <w:color w:val="000000" w:themeColor="text1"/>
                <w:szCs w:val="24"/>
                <w:shd w:val="clear" w:color="auto" w:fill="FFFFFF"/>
              </w:rPr>
              <m:t>]</m:t>
            </m:r>
          </m:e>
        </m:nary>
      </m:oMath>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r>
      <w:r w:rsidR="001C1B91" w:rsidRPr="003736F5">
        <w:rPr>
          <w:rFonts w:eastAsia="Yu Mincho" w:cs="Times New Roman"/>
          <w:color w:val="000000" w:themeColor="text1"/>
          <w:szCs w:val="24"/>
          <w:shd w:val="clear" w:color="auto" w:fill="FFFFFF"/>
        </w:rPr>
        <w:tab/>
        <w:t>(15)</w:t>
      </w:r>
    </w:p>
    <w:p w14:paraId="24D9F44C" w14:textId="77777777" w:rsidR="001C1B91" w:rsidRPr="003736F5" w:rsidRDefault="001C1B91" w:rsidP="001C1B91">
      <w:pPr>
        <w:rPr>
          <w:rFonts w:cs="Times New Roman"/>
          <w:color w:val="000000" w:themeColor="text1"/>
          <w:szCs w:val="24"/>
          <w:shd w:val="clear" w:color="auto" w:fill="FFFFFF"/>
        </w:rPr>
      </w:pPr>
      <w:r w:rsidRPr="003736F5">
        <w:rPr>
          <w:rFonts w:cs="Times New Roman"/>
          <w:color w:val="000000" w:themeColor="text1"/>
          <w:szCs w:val="24"/>
          <w:shd w:val="clear" w:color="auto" w:fill="FFFFFF"/>
        </w:rPr>
        <w:t xml:space="preserve">Then, after splitting into </w:t>
      </w:r>
      <m:oMath>
        <m:r>
          <m:rPr>
            <m:sty m:val="p"/>
          </m:rPr>
          <w:rPr>
            <w:rFonts w:ascii="Cambria Math" w:hAnsi="Cambria Math" w:cs="Times New Roman"/>
            <w:color w:val="000000" w:themeColor="text1"/>
            <w:szCs w:val="24"/>
            <w:shd w:val="clear" w:color="auto" w:fill="FFFFFF"/>
          </w:rPr>
          <m:t>L</m:t>
        </m:r>
      </m:oMath>
      <w:r w:rsidRPr="003736F5">
        <w:rPr>
          <w:rFonts w:cs="Times New Roman"/>
          <w:color w:val="000000" w:themeColor="text1"/>
          <w:szCs w:val="24"/>
          <w:shd w:val="clear" w:color="auto" w:fill="FFFFFF"/>
        </w:rPr>
        <w:t xml:space="preserve"> and </w:t>
      </w:r>
      <m:oMath>
        <m:r>
          <m:rPr>
            <m:sty m:val="p"/>
          </m:rPr>
          <w:rPr>
            <w:rFonts w:ascii="Cambria Math" w:hAnsi="Cambria Math" w:cs="Times New Roman"/>
            <w:color w:val="000000" w:themeColor="text1"/>
            <w:szCs w:val="24"/>
            <w:shd w:val="clear" w:color="auto" w:fill="FFFFFF"/>
          </w:rPr>
          <m:t>R</m:t>
        </m:r>
      </m:oMath>
      <w:r w:rsidRPr="003736F5">
        <w:rPr>
          <w:rFonts w:cs="Times New Roman"/>
          <w:color w:val="000000" w:themeColor="text1"/>
          <w:szCs w:val="24"/>
          <w:shd w:val="clear" w:color="auto" w:fill="FFFFFF"/>
        </w:rPr>
        <w:t>, the decrease of heterogeneity of</w:t>
      </w:r>
      <m:oMath>
        <m:r>
          <m:rPr>
            <m:sty m:val="p"/>
          </m:rPr>
          <w:rPr>
            <w:rFonts w:ascii="Cambria Math" w:hAnsi="Cambria Math" w:cs="Times New Roman"/>
            <w:color w:val="000000" w:themeColor="text1"/>
            <w:szCs w:val="24"/>
            <w:shd w:val="clear" w:color="auto" w:fill="FFFFFF"/>
          </w:rPr>
          <m:t xml:space="preserve"> S</m:t>
        </m:r>
      </m:oMath>
      <w:r w:rsidRPr="003736F5">
        <w:rPr>
          <w:rFonts w:cs="Times New Roman"/>
          <w:color w:val="000000" w:themeColor="text1"/>
          <w:szCs w:val="24"/>
          <w:shd w:val="clear" w:color="auto" w:fill="FFFFFF"/>
        </w:rPr>
        <w:t xml:space="preserve"> could be defined as  </w:t>
      </w:r>
      <m:oMath>
        <m:r>
          <m:rPr>
            <m:sty m:val="p"/>
          </m:rPr>
          <w:rPr>
            <w:rFonts w:ascii="Cambria Math" w:hAnsi="Cambria Math" w:cs="Times New Roman"/>
            <w:color w:val="000000" w:themeColor="text1"/>
            <w:szCs w:val="24"/>
            <w:shd w:val="clear" w:color="auto" w:fill="FFFFFF"/>
          </w:rPr>
          <m:t>ΔI</m:t>
        </m:r>
        <m:d>
          <m:dPr>
            <m:ctrlPr>
              <w:rPr>
                <w:rFonts w:ascii="Cambria Math" w:hAnsi="Cambria Math" w:cs="Times New Roman"/>
                <w:color w:val="000000" w:themeColor="text1"/>
                <w:szCs w:val="24"/>
                <w:shd w:val="clear" w:color="auto" w:fill="FFFFFF"/>
              </w:rPr>
            </m:ctrlPr>
          </m:dPr>
          <m:e>
            <m:r>
              <m:rPr>
                <m:sty m:val="p"/>
              </m:rPr>
              <w:rPr>
                <w:rFonts w:ascii="Cambria Math" w:hAnsi="Cambria Math" w:cs="Times New Roman"/>
                <w:color w:val="000000" w:themeColor="text1"/>
                <w:szCs w:val="24"/>
                <w:shd w:val="clear" w:color="auto" w:fill="FFFFFF"/>
              </w:rPr>
              <m:t>S,L,R</m:t>
            </m:r>
          </m:e>
        </m:d>
        <m:r>
          <m:rPr>
            <m:sty m:val="p"/>
          </m:rPr>
          <w:rPr>
            <w:rFonts w:ascii="Cambria Math" w:hAnsi="Cambria Math" w:cs="Times New Roman"/>
            <w:color w:val="000000" w:themeColor="text1"/>
            <w:szCs w:val="24"/>
            <w:shd w:val="clear" w:color="auto" w:fill="FFFFFF"/>
          </w:rPr>
          <m:t>=</m:t>
        </m:r>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I</m:t>
            </m:r>
          </m:e>
          <m:sub>
            <m:r>
              <m:rPr>
                <m:sty m:val="p"/>
              </m:rPr>
              <w:rPr>
                <w:rFonts w:ascii="Cambria Math" w:hAnsi="Cambria Math" w:cs="Times New Roman"/>
                <w:color w:val="000000" w:themeColor="text1"/>
                <w:szCs w:val="24"/>
                <w:shd w:val="clear" w:color="auto" w:fill="FFFFFF"/>
              </w:rPr>
              <m:t>S</m:t>
            </m:r>
          </m:sub>
        </m:sSub>
        <m:r>
          <m:rPr>
            <m:sty m:val="p"/>
          </m:rPr>
          <w:rPr>
            <w:rFonts w:ascii="Cambria Math" w:hAnsi="Cambria Math" w:cs="Times New Roman"/>
            <w:color w:val="000000" w:themeColor="text1"/>
            <w:szCs w:val="24"/>
            <w:shd w:val="clear" w:color="auto" w:fill="FFFFFF"/>
          </w:rPr>
          <m:t>-(</m:t>
        </m:r>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color w:val="000000" w:themeColor="text1"/>
                <w:szCs w:val="24"/>
                <w:shd w:val="clear" w:color="auto" w:fill="FFFFFF"/>
              </w:rPr>
              <m:t>I</m:t>
            </m:r>
          </m:e>
          <m:sub>
            <m:r>
              <m:rPr>
                <m:sty m:val="p"/>
              </m:rPr>
              <w:rPr>
                <w:rFonts w:ascii="Cambria Math" w:hAnsi="Cambria Math" w:cs="Times New Roman"/>
                <w:color w:val="000000" w:themeColor="text1"/>
                <w:szCs w:val="24"/>
                <w:shd w:val="clear" w:color="auto" w:fill="FFFFFF"/>
              </w:rPr>
              <m:t>L</m:t>
            </m:r>
          </m:sub>
        </m:sSub>
        <m:r>
          <m:rPr>
            <m:sty m:val="p"/>
          </m:rPr>
          <w:rPr>
            <w:rFonts w:ascii="Cambria Math" w:hAnsi="Cambria Math" w:cs="Times New Roman"/>
            <w:color w:val="000000" w:themeColor="text1"/>
            <w:szCs w:val="24"/>
            <w:shd w:val="clear" w:color="auto" w:fill="FFFFFF"/>
          </w:rPr>
          <m:t>+</m:t>
        </m:r>
        <m:sSub>
          <m:sSubPr>
            <m:ctrlPr>
              <w:rPr>
                <w:rFonts w:ascii="Cambria Math" w:hAnsi="Cambria Math" w:cs="Times New Roman"/>
                <w:color w:val="000000" w:themeColor="text1"/>
                <w:szCs w:val="24"/>
                <w:shd w:val="clear" w:color="auto" w:fill="FFFFFF"/>
              </w:rPr>
            </m:ctrlPr>
          </m:sSubPr>
          <m:e>
            <m:r>
              <m:rPr>
                <m:sty m:val="p"/>
              </m:rPr>
              <w:rPr>
                <w:rFonts w:ascii="Cambria Math" w:hAnsi="Cambria Math" w:cs="Times New Roman"/>
                <w:noProof/>
                <w:color w:val="000000" w:themeColor="text1"/>
                <w:szCs w:val="24"/>
                <w:shd w:val="clear" w:color="auto" w:fill="FFFFFF"/>
              </w:rPr>
              <m:t>I</m:t>
            </m:r>
          </m:e>
          <m:sub>
            <m:r>
              <m:rPr>
                <m:sty m:val="p"/>
              </m:rPr>
              <w:rPr>
                <w:rFonts w:ascii="Cambria Math" w:hAnsi="Cambria Math" w:cs="Times New Roman"/>
                <w:color w:val="000000" w:themeColor="text1"/>
                <w:szCs w:val="24"/>
                <w:shd w:val="clear" w:color="auto" w:fill="FFFFFF"/>
              </w:rPr>
              <m:t>R</m:t>
            </m:r>
          </m:sub>
        </m:sSub>
        <m:r>
          <m:rPr>
            <m:sty m:val="p"/>
          </m:rPr>
          <w:rPr>
            <w:rFonts w:ascii="Cambria Math" w:hAnsi="Cambria Math" w:cs="Times New Roman"/>
            <w:color w:val="000000" w:themeColor="text1"/>
            <w:szCs w:val="24"/>
            <w:shd w:val="clear" w:color="auto" w:fill="FFFFFF"/>
          </w:rPr>
          <m:t>)</m:t>
        </m:r>
      </m:oMath>
      <w:r w:rsidRPr="003736F5">
        <w:rPr>
          <w:rFonts w:eastAsia="Yu Mincho" w:cs="Times New Roman"/>
          <w:color w:val="000000" w:themeColor="text1"/>
          <w:szCs w:val="24"/>
          <w:shd w:val="clear" w:color="auto" w:fill="FFFFFF"/>
        </w:rPr>
        <w:t>.</w:t>
      </w:r>
      <w:r w:rsidRPr="003736F5">
        <w:rPr>
          <w:rFonts w:cs="Times New Roman"/>
          <w:color w:val="000000" w:themeColor="text1"/>
          <w:szCs w:val="24"/>
          <w:shd w:val="clear" w:color="auto" w:fill="FFFFFF"/>
        </w:rPr>
        <w:t xml:space="preserve"> The chosen split for each node is the maximising </w:t>
      </w:r>
      <m:oMath>
        <m:r>
          <m:rPr>
            <m:sty m:val="p"/>
          </m:rPr>
          <w:rPr>
            <w:rFonts w:ascii="Cambria Math" w:hAnsi="Cambria Math" w:cs="Times New Roman"/>
            <w:color w:val="000000" w:themeColor="text1"/>
            <w:szCs w:val="24"/>
            <w:shd w:val="clear" w:color="auto" w:fill="FFFFFF"/>
          </w:rPr>
          <m:t>ΔI</m:t>
        </m:r>
        <m:d>
          <m:dPr>
            <m:ctrlPr>
              <w:rPr>
                <w:rFonts w:ascii="Cambria Math" w:hAnsi="Cambria Math" w:cs="Times New Roman"/>
                <w:color w:val="000000" w:themeColor="text1"/>
                <w:szCs w:val="24"/>
                <w:shd w:val="clear" w:color="auto" w:fill="FFFFFF"/>
              </w:rPr>
            </m:ctrlPr>
          </m:dPr>
          <m:e>
            <m:r>
              <m:rPr>
                <m:sty m:val="p"/>
              </m:rPr>
              <w:rPr>
                <w:rFonts w:ascii="Cambria Math" w:hAnsi="Cambria Math" w:cs="Times New Roman"/>
                <w:color w:val="000000" w:themeColor="text1"/>
                <w:szCs w:val="24"/>
                <w:shd w:val="clear" w:color="auto" w:fill="FFFFFF"/>
              </w:rPr>
              <m:t>S,L,R</m:t>
            </m:r>
          </m:e>
        </m:d>
      </m:oMath>
      <w:r w:rsidRPr="003736F5">
        <w:rPr>
          <w:rFonts w:cs="Times New Roman"/>
          <w:color w:val="000000" w:themeColor="text1"/>
          <w:szCs w:val="24"/>
          <w:shd w:val="clear" w:color="auto" w:fill="FFFFFF"/>
        </w:rPr>
        <w:t xml:space="preserve">. This process </w:t>
      </w:r>
      <w:r w:rsidRPr="003736F5">
        <w:rPr>
          <w:rFonts w:cs="Times New Roman"/>
          <w:noProof/>
          <w:color w:val="000000" w:themeColor="text1"/>
          <w:szCs w:val="24"/>
          <w:shd w:val="clear" w:color="auto" w:fill="FFFFFF"/>
        </w:rPr>
        <w:t>is repeated</w:t>
      </w:r>
      <w:r w:rsidRPr="003736F5">
        <w:rPr>
          <w:rFonts w:cs="Times New Roman"/>
          <w:color w:val="000000" w:themeColor="text1"/>
          <w:szCs w:val="24"/>
          <w:shd w:val="clear" w:color="auto" w:fill="FFFFFF"/>
        </w:rPr>
        <w:t xml:space="preserve"> until </w:t>
      </w:r>
      <w:r w:rsidRPr="003736F5">
        <w:rPr>
          <w:rFonts w:cs="Times New Roman"/>
          <w:noProof/>
          <w:color w:val="000000" w:themeColor="text1"/>
          <w:szCs w:val="24"/>
          <w:shd w:val="clear" w:color="auto" w:fill="FFFFFF"/>
        </w:rPr>
        <w:t>the largest</w:t>
      </w:r>
      <w:r w:rsidRPr="003736F5">
        <w:rPr>
          <w:rFonts w:cs="Times New Roman"/>
          <w:color w:val="000000" w:themeColor="text1"/>
          <w:szCs w:val="24"/>
          <w:shd w:val="clear" w:color="auto" w:fill="FFFFFF"/>
        </w:rPr>
        <w:t xml:space="preserve"> possible tree </w:t>
      </w:r>
      <w:r w:rsidRPr="003736F5">
        <w:rPr>
          <w:rFonts w:cs="Times New Roman"/>
          <w:noProof/>
          <w:color w:val="000000" w:themeColor="text1"/>
          <w:szCs w:val="24"/>
          <w:shd w:val="clear" w:color="auto" w:fill="FFFFFF"/>
        </w:rPr>
        <w:t>is obtained</w:t>
      </w:r>
      <w:r w:rsidRPr="003736F5">
        <w:rPr>
          <w:rFonts w:cs="Times New Roman"/>
          <w:color w:val="000000" w:themeColor="text1"/>
          <w:szCs w:val="24"/>
          <w:shd w:val="clear" w:color="auto" w:fill="FFFFFF"/>
        </w:rPr>
        <w:t xml:space="preserve"> and no more nodes can </w:t>
      </w:r>
      <w:r w:rsidRPr="003736F5">
        <w:rPr>
          <w:rFonts w:cs="Times New Roman"/>
          <w:noProof/>
          <w:color w:val="000000" w:themeColor="text1"/>
          <w:szCs w:val="24"/>
          <w:shd w:val="clear" w:color="auto" w:fill="FFFFFF"/>
        </w:rPr>
        <w:t>be split</w:t>
      </w:r>
      <w:r w:rsidRPr="003736F5">
        <w:rPr>
          <w:rFonts w:cs="Times New Roman"/>
          <w:color w:val="000000" w:themeColor="text1"/>
          <w:szCs w:val="24"/>
          <w:shd w:val="clear" w:color="auto" w:fill="FFFFFF"/>
        </w:rPr>
        <w:t>.</w:t>
      </w:r>
    </w:p>
    <w:p w14:paraId="48BC72E4" w14:textId="5172BCD2" w:rsidR="001C1B91" w:rsidRPr="003736F5" w:rsidRDefault="001C1B91" w:rsidP="001C1B91">
      <w:pPr>
        <w:rPr>
          <w:rFonts w:cs="Times New Roman"/>
          <w:color w:val="000000" w:themeColor="text1"/>
          <w:szCs w:val="24"/>
          <w:shd w:val="clear" w:color="auto" w:fill="FFFFFF"/>
        </w:rPr>
      </w:pPr>
      <w:r w:rsidRPr="003736F5">
        <w:rPr>
          <w:rFonts w:cs="Times New Roman"/>
          <w:color w:val="000000" w:themeColor="text1"/>
          <w:szCs w:val="24"/>
          <w:shd w:val="clear" w:color="auto" w:fill="FFFFFF"/>
        </w:rPr>
        <w:t>Conditional Inference trees are a non-parametric class of decision trees that uses a statistical theory to select variables instead of selecting the variable that maximises an information measure (information gain or Gini coefficient) and thereby removes the potential bias in CART or similar decision trees.</w:t>
      </w:r>
    </w:p>
    <w:p w14:paraId="787DCA26" w14:textId="77777777" w:rsidR="001C1B91" w:rsidRPr="003736F5" w:rsidRDefault="001C1B91">
      <w:pPr>
        <w:spacing w:after="0" w:line="240" w:lineRule="auto"/>
        <w:rPr>
          <w:rFonts w:cs="Times New Roman"/>
          <w:b/>
        </w:rPr>
      </w:pPr>
      <w:r w:rsidRPr="003736F5">
        <w:rPr>
          <w:rFonts w:cs="Times New Roman"/>
          <w:b/>
        </w:rPr>
        <w:br w:type="page"/>
      </w:r>
    </w:p>
    <w:p w14:paraId="284D021D" w14:textId="0D3E5B27" w:rsidR="00016355" w:rsidRPr="003736F5" w:rsidRDefault="001C1B91" w:rsidP="00F33A4C">
      <w:pPr>
        <w:rPr>
          <w:rFonts w:cs="Times New Roman"/>
          <w:b/>
        </w:rPr>
      </w:pPr>
      <w:r w:rsidRPr="003736F5">
        <w:rPr>
          <w:rFonts w:cs="Times New Roman"/>
          <w:b/>
        </w:rPr>
        <w:lastRenderedPageBreak/>
        <w:t>Appendix 5</w:t>
      </w:r>
    </w:p>
    <w:tbl>
      <w:tblPr>
        <w:tblW w:w="0" w:type="auto"/>
        <w:tblLook w:val="04A0" w:firstRow="1" w:lastRow="0" w:firstColumn="1" w:lastColumn="0" w:noHBand="0" w:noVBand="1"/>
      </w:tblPr>
      <w:tblGrid>
        <w:gridCol w:w="8459"/>
      </w:tblGrid>
      <w:tr w:rsidR="00016355" w:rsidRPr="003736F5" w14:paraId="57A287B7" w14:textId="77777777" w:rsidTr="00BC5C25">
        <w:tc>
          <w:tcPr>
            <w:tcW w:w="9016" w:type="dxa"/>
            <w:shd w:val="clear" w:color="auto" w:fill="auto"/>
          </w:tcPr>
          <w:p w14:paraId="171D3C64" w14:textId="660784D4" w:rsidR="00016355" w:rsidRPr="003736F5" w:rsidRDefault="00016355" w:rsidP="00F33A4C">
            <w:pPr>
              <w:rPr>
                <w:rFonts w:cs="Times New Roman"/>
                <w:b/>
              </w:rPr>
            </w:pPr>
            <w:r w:rsidRPr="003736F5">
              <w:rPr>
                <w:rFonts w:cs="Times New Roman"/>
                <w:b/>
              </w:rPr>
              <w:t xml:space="preserve">Figure </w:t>
            </w:r>
            <w:r w:rsidR="00173020" w:rsidRPr="003736F5">
              <w:rPr>
                <w:rFonts w:cs="Times New Roman"/>
                <w:b/>
              </w:rPr>
              <w:t>6</w:t>
            </w:r>
            <w:r w:rsidRPr="003736F5">
              <w:rPr>
                <w:rFonts w:cs="Times New Roman"/>
                <w:b/>
              </w:rPr>
              <w:t xml:space="preserve">: </w:t>
            </w:r>
            <w:r w:rsidR="001C1B91" w:rsidRPr="003736F5">
              <w:rPr>
                <w:rFonts w:cs="Times New Roman"/>
                <w:b/>
              </w:rPr>
              <w:t xml:space="preserve">Productivity </w:t>
            </w:r>
            <w:r w:rsidRPr="003736F5">
              <w:rPr>
                <w:rFonts w:cs="Times New Roman"/>
                <w:b/>
              </w:rPr>
              <w:t>Tree Extract of Older Firms Not Receiving Two Year Lagged SBBR, Outside of London (Group Three)</w:t>
            </w:r>
          </w:p>
        </w:tc>
      </w:tr>
      <w:tr w:rsidR="00016355" w:rsidRPr="003736F5" w14:paraId="7C3C9C3A" w14:textId="77777777" w:rsidTr="00BC5C25">
        <w:tc>
          <w:tcPr>
            <w:tcW w:w="9016" w:type="dxa"/>
            <w:tcBorders>
              <w:bottom w:val="single" w:sz="4" w:space="0" w:color="auto"/>
            </w:tcBorders>
            <w:shd w:val="clear" w:color="auto" w:fill="auto"/>
          </w:tcPr>
          <w:p w14:paraId="113D6AF3" w14:textId="72C04AF5" w:rsidR="00016355" w:rsidRPr="003736F5" w:rsidRDefault="001C1B91" w:rsidP="00F33A4C">
            <w:pPr>
              <w:rPr>
                <w:rFonts w:cs="Times New Roman"/>
                <w:b/>
              </w:rPr>
            </w:pPr>
            <w:r w:rsidRPr="003736F5">
              <w:rPr>
                <w:rFonts w:cs="Times New Roman"/>
                <w:noProof/>
              </w:rPr>
              <w:drawing>
                <wp:inline distT="0" distB="0" distL="0" distR="0" wp14:anchorId="21F117D2" wp14:editId="10178E71">
                  <wp:extent cx="5530215" cy="4060190"/>
                  <wp:effectExtent l="0" t="0" r="0" b="0"/>
                  <wp:docPr id="1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grayscl/>
                            <a:extLst>
                              <a:ext uri="{28A0092B-C50C-407E-A947-70E740481C1C}">
                                <a14:useLocalDpi xmlns:a14="http://schemas.microsoft.com/office/drawing/2010/main" val="0"/>
                              </a:ext>
                            </a:extLst>
                          </a:blip>
                          <a:srcRect/>
                          <a:stretch>
                            <a:fillRect/>
                          </a:stretch>
                        </pic:blipFill>
                        <pic:spPr bwMode="auto">
                          <a:xfrm>
                            <a:off x="0" y="0"/>
                            <a:ext cx="5530215" cy="4060190"/>
                          </a:xfrm>
                          <a:prstGeom prst="rect">
                            <a:avLst/>
                          </a:prstGeom>
                          <a:noFill/>
                          <a:ln>
                            <a:noFill/>
                          </a:ln>
                        </pic:spPr>
                      </pic:pic>
                    </a:graphicData>
                  </a:graphic>
                </wp:inline>
              </w:drawing>
            </w:r>
          </w:p>
        </w:tc>
      </w:tr>
      <w:tr w:rsidR="00016355" w:rsidRPr="003736F5" w14:paraId="197841D1" w14:textId="77777777" w:rsidTr="00BC5C25">
        <w:tc>
          <w:tcPr>
            <w:tcW w:w="9016" w:type="dxa"/>
            <w:tcBorders>
              <w:top w:val="single" w:sz="4" w:space="0" w:color="auto"/>
            </w:tcBorders>
            <w:shd w:val="clear" w:color="auto" w:fill="auto"/>
          </w:tcPr>
          <w:p w14:paraId="3C4266DD" w14:textId="469AB05E" w:rsidR="00016355" w:rsidRPr="003736F5" w:rsidRDefault="001C1B91" w:rsidP="00BC5C25">
            <w:pPr>
              <w:spacing w:line="240" w:lineRule="auto"/>
              <w:rPr>
                <w:rFonts w:cs="Times New Roman"/>
              </w:rPr>
            </w:pPr>
            <w:r w:rsidRPr="003736F5">
              <w:rPr>
                <w:rFonts w:cs="Times New Roman"/>
              </w:rPr>
              <w:t xml:space="preserve">Productivity </w:t>
            </w:r>
            <w:r w:rsidR="00016355" w:rsidRPr="003736F5">
              <w:rPr>
                <w:rFonts w:cs="Times New Roman"/>
              </w:rPr>
              <w:t>Tree. Extract of Group Two. It follows older firms that did not receive SBRR lagged by two year and were outside London.</w:t>
            </w:r>
          </w:p>
          <w:p w14:paraId="331AD8E1" w14:textId="77777777" w:rsidR="00B16709" w:rsidRPr="003736F5" w:rsidRDefault="00B16709" w:rsidP="00BC5C25">
            <w:pPr>
              <w:spacing w:line="240" w:lineRule="auto"/>
              <w:rPr>
                <w:rStyle w:val="Hyperlink"/>
                <w:rFonts w:cs="Times New Roman"/>
                <w:color w:val="000000"/>
                <w:szCs w:val="24"/>
                <w:u w:val="none"/>
                <w:shd w:val="clear" w:color="auto" w:fill="FFFFFF"/>
              </w:rPr>
            </w:pPr>
            <w:r w:rsidRPr="003736F5">
              <w:rPr>
                <w:rStyle w:val="Hyperlink"/>
                <w:rFonts w:cs="Times New Roman"/>
                <w:color w:val="000000"/>
                <w:szCs w:val="24"/>
                <w:u w:val="none"/>
                <w:shd w:val="clear" w:color="auto" w:fill="FFFFFF"/>
              </w:rPr>
              <w:t>Figures in the final nodes are productivity, in terms of gross value added, and n, number of observations.</w:t>
            </w:r>
          </w:p>
          <w:p w14:paraId="3D3E48B6" w14:textId="65DEE598" w:rsidR="00016355" w:rsidRPr="003736F5" w:rsidRDefault="00016355" w:rsidP="00BC5C25">
            <w:pPr>
              <w:spacing w:line="240" w:lineRule="auto"/>
              <w:rPr>
                <w:rFonts w:cs="Times New Roman"/>
              </w:rPr>
            </w:pPr>
            <w:r w:rsidRPr="003736F5">
              <w:rPr>
                <w:rFonts w:cs="Times New Roman"/>
              </w:rPr>
              <w:t>Source: ONS Data, Author’s Calculations.</w:t>
            </w:r>
          </w:p>
        </w:tc>
      </w:tr>
    </w:tbl>
    <w:p w14:paraId="35819E48" w14:textId="77777777" w:rsidR="00016355" w:rsidRPr="003736F5" w:rsidRDefault="00016355" w:rsidP="00F33A4C">
      <w:pPr>
        <w:rPr>
          <w:rFonts w:cs="Times New Roman"/>
        </w:rPr>
      </w:pPr>
      <w:r w:rsidRPr="003736F5">
        <w:rPr>
          <w:rFonts w:cs="Times New Roman"/>
        </w:rPr>
        <w:br w:type="page"/>
      </w:r>
    </w:p>
    <w:tbl>
      <w:tblPr>
        <w:tblW w:w="0" w:type="auto"/>
        <w:tblLook w:val="04A0" w:firstRow="1" w:lastRow="0" w:firstColumn="1" w:lastColumn="0" w:noHBand="0" w:noVBand="1"/>
      </w:tblPr>
      <w:tblGrid>
        <w:gridCol w:w="8459"/>
      </w:tblGrid>
      <w:tr w:rsidR="00016355" w:rsidRPr="003736F5" w14:paraId="0A3B5AC3" w14:textId="77777777" w:rsidTr="00BC5C25">
        <w:tc>
          <w:tcPr>
            <w:tcW w:w="9016" w:type="dxa"/>
            <w:shd w:val="clear" w:color="auto" w:fill="auto"/>
          </w:tcPr>
          <w:p w14:paraId="48A20234" w14:textId="27DC67A3" w:rsidR="00016355" w:rsidRPr="003736F5" w:rsidRDefault="00016355" w:rsidP="00F33A4C">
            <w:pPr>
              <w:rPr>
                <w:rFonts w:cs="Times New Roman"/>
                <w:b/>
              </w:rPr>
            </w:pPr>
            <w:r w:rsidRPr="003736F5">
              <w:rPr>
                <w:rFonts w:cs="Times New Roman"/>
                <w:b/>
              </w:rPr>
              <w:lastRenderedPageBreak/>
              <w:t xml:space="preserve">Figure </w:t>
            </w:r>
            <w:r w:rsidR="00173020" w:rsidRPr="003736F5">
              <w:rPr>
                <w:rFonts w:cs="Times New Roman"/>
                <w:b/>
              </w:rPr>
              <w:t>7</w:t>
            </w:r>
            <w:r w:rsidRPr="003736F5">
              <w:rPr>
                <w:rFonts w:cs="Times New Roman"/>
                <w:b/>
              </w:rPr>
              <w:t xml:space="preserve">: </w:t>
            </w:r>
            <w:r w:rsidR="001C1B91" w:rsidRPr="003736F5">
              <w:rPr>
                <w:rFonts w:cs="Times New Roman"/>
                <w:b/>
              </w:rPr>
              <w:t xml:space="preserve">Productivity </w:t>
            </w:r>
            <w:r w:rsidRPr="003736F5">
              <w:rPr>
                <w:rFonts w:cs="Times New Roman"/>
                <w:b/>
              </w:rPr>
              <w:t>Tree Extract of Firms Not Receiving Two Year Lagged SBBR in London (Group Four)</w:t>
            </w:r>
          </w:p>
        </w:tc>
      </w:tr>
      <w:tr w:rsidR="00016355" w:rsidRPr="003736F5" w14:paraId="3353107E" w14:textId="77777777" w:rsidTr="00BC5C25">
        <w:tc>
          <w:tcPr>
            <w:tcW w:w="9016" w:type="dxa"/>
            <w:tcBorders>
              <w:bottom w:val="single" w:sz="4" w:space="0" w:color="auto"/>
            </w:tcBorders>
            <w:shd w:val="clear" w:color="auto" w:fill="auto"/>
          </w:tcPr>
          <w:p w14:paraId="2215A476" w14:textId="541B4B05" w:rsidR="00016355" w:rsidRPr="003736F5" w:rsidRDefault="001C1B91" w:rsidP="00F33A4C">
            <w:pPr>
              <w:rPr>
                <w:rFonts w:cs="Times New Roman"/>
                <w:b/>
              </w:rPr>
            </w:pPr>
            <w:r w:rsidRPr="003736F5">
              <w:rPr>
                <w:rFonts w:cs="Times New Roman"/>
                <w:noProof/>
              </w:rPr>
              <w:drawing>
                <wp:inline distT="0" distB="0" distL="0" distR="0" wp14:anchorId="392B8BB6" wp14:editId="6E8A8B9F">
                  <wp:extent cx="5126990" cy="3602990"/>
                  <wp:effectExtent l="0" t="0" r="0" b="0"/>
                  <wp:docPr id="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26990" cy="3602990"/>
                          </a:xfrm>
                          <a:prstGeom prst="rect">
                            <a:avLst/>
                          </a:prstGeom>
                          <a:noFill/>
                          <a:ln>
                            <a:noFill/>
                          </a:ln>
                        </pic:spPr>
                      </pic:pic>
                    </a:graphicData>
                  </a:graphic>
                </wp:inline>
              </w:drawing>
            </w:r>
          </w:p>
        </w:tc>
      </w:tr>
      <w:tr w:rsidR="00016355" w:rsidRPr="003736F5" w14:paraId="28727053" w14:textId="77777777" w:rsidTr="00BC5C25">
        <w:tc>
          <w:tcPr>
            <w:tcW w:w="9016" w:type="dxa"/>
            <w:tcBorders>
              <w:top w:val="single" w:sz="4" w:space="0" w:color="auto"/>
            </w:tcBorders>
            <w:shd w:val="clear" w:color="auto" w:fill="auto"/>
          </w:tcPr>
          <w:p w14:paraId="14AC9282" w14:textId="32836735" w:rsidR="00016355" w:rsidRPr="003736F5" w:rsidRDefault="001C1B91" w:rsidP="00BC5C25">
            <w:pPr>
              <w:spacing w:line="240" w:lineRule="auto"/>
              <w:rPr>
                <w:rFonts w:cs="Times New Roman"/>
              </w:rPr>
            </w:pPr>
            <w:r w:rsidRPr="003736F5">
              <w:rPr>
                <w:rFonts w:cs="Times New Roman"/>
              </w:rPr>
              <w:t xml:space="preserve">Productivity </w:t>
            </w:r>
            <w:r w:rsidR="00016355" w:rsidRPr="003736F5">
              <w:rPr>
                <w:rFonts w:cs="Times New Roman"/>
              </w:rPr>
              <w:t xml:space="preserve">Tree. Extract of Group Four. It follows firms that did not receive two </w:t>
            </w:r>
            <w:proofErr w:type="gramStart"/>
            <w:r w:rsidR="00016355" w:rsidRPr="003736F5">
              <w:rPr>
                <w:rFonts w:cs="Times New Roman"/>
              </w:rPr>
              <w:t>year</w:t>
            </w:r>
            <w:proofErr w:type="gramEnd"/>
            <w:r w:rsidR="00016355" w:rsidRPr="003736F5">
              <w:rPr>
                <w:rFonts w:cs="Times New Roman"/>
              </w:rPr>
              <w:t xml:space="preserve"> lagged SBBR and were in London.</w:t>
            </w:r>
          </w:p>
          <w:p w14:paraId="47BCDB79" w14:textId="27F92AAD" w:rsidR="00B16709" w:rsidRPr="003736F5" w:rsidRDefault="00B16709" w:rsidP="003546D1">
            <w:pPr>
              <w:spacing w:line="240" w:lineRule="auto"/>
              <w:rPr>
                <w:rStyle w:val="Hyperlink"/>
                <w:rFonts w:cs="Times New Roman"/>
                <w:color w:val="000000"/>
                <w:szCs w:val="24"/>
                <w:u w:val="none"/>
                <w:shd w:val="clear" w:color="auto" w:fill="FFFFFF"/>
              </w:rPr>
            </w:pPr>
            <w:r w:rsidRPr="003736F5">
              <w:rPr>
                <w:rStyle w:val="Hyperlink"/>
                <w:rFonts w:cs="Times New Roman"/>
                <w:color w:val="000000"/>
                <w:szCs w:val="24"/>
                <w:u w:val="none"/>
                <w:shd w:val="clear" w:color="auto" w:fill="FFFFFF"/>
              </w:rPr>
              <w:t>Figures in the final nodes are productivity, in terms of gross value added, and n,</w:t>
            </w:r>
            <w:r w:rsidR="003546D1" w:rsidRPr="003736F5">
              <w:rPr>
                <w:rStyle w:val="Hyperlink"/>
                <w:rFonts w:cs="Times New Roman"/>
                <w:color w:val="000000"/>
                <w:szCs w:val="24"/>
                <w:u w:val="none"/>
                <w:shd w:val="clear" w:color="auto" w:fill="FFFFFF"/>
              </w:rPr>
              <w:t xml:space="preserve"> </w:t>
            </w:r>
            <w:r w:rsidRPr="003736F5">
              <w:rPr>
                <w:rStyle w:val="Hyperlink"/>
                <w:rFonts w:cs="Times New Roman"/>
                <w:color w:val="000000"/>
                <w:szCs w:val="24"/>
                <w:u w:val="none"/>
                <w:shd w:val="clear" w:color="auto" w:fill="FFFFFF"/>
              </w:rPr>
              <w:t>number of observations.</w:t>
            </w:r>
          </w:p>
          <w:p w14:paraId="50D22215" w14:textId="3D502C36" w:rsidR="00016355" w:rsidRPr="003736F5" w:rsidRDefault="00016355" w:rsidP="00F33A4C">
            <w:pPr>
              <w:rPr>
                <w:rFonts w:cs="Times New Roman"/>
              </w:rPr>
            </w:pPr>
            <w:r w:rsidRPr="003736F5">
              <w:rPr>
                <w:rFonts w:cs="Times New Roman"/>
              </w:rPr>
              <w:t>Source: ONS Data, Author’s Calculations.</w:t>
            </w:r>
          </w:p>
        </w:tc>
      </w:tr>
    </w:tbl>
    <w:p w14:paraId="494BDAD2" w14:textId="77777777" w:rsidR="00161D0F" w:rsidRPr="003736F5" w:rsidRDefault="00161D0F" w:rsidP="00161D0F">
      <w:pPr>
        <w:spacing w:after="0" w:line="240" w:lineRule="auto"/>
        <w:rPr>
          <w:rFonts w:cs="Times New Roman"/>
          <w:noProof/>
        </w:rPr>
      </w:pPr>
    </w:p>
    <w:sectPr w:rsidR="00161D0F" w:rsidRPr="003736F5" w:rsidSect="00632A96">
      <w:headerReference w:type="even" r:id="rId24"/>
      <w:headerReference w:type="default" r:id="rId25"/>
      <w:footerReference w:type="even" r:id="rId26"/>
      <w:footerReference w:type="default" r:id="rId27"/>
      <w:headerReference w:type="first" r:id="rId28"/>
      <w:footerReference w:type="first" r:id="rId29"/>
      <w:pgSz w:w="11906" w:h="16838" w:code="9"/>
      <w:pgMar w:top="1440" w:right="1179" w:bottom="1440"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00FCC" w14:textId="77777777" w:rsidR="00525EC3" w:rsidRDefault="00525EC3" w:rsidP="001F3215">
      <w:pPr>
        <w:spacing w:after="0" w:line="240" w:lineRule="auto"/>
      </w:pPr>
      <w:r>
        <w:separator/>
      </w:r>
    </w:p>
  </w:endnote>
  <w:endnote w:type="continuationSeparator" w:id="0">
    <w:p w14:paraId="7F05EE88" w14:textId="77777777" w:rsidR="00525EC3" w:rsidRDefault="00525EC3" w:rsidP="001F3215">
      <w:pPr>
        <w:spacing w:after="0" w:line="240" w:lineRule="auto"/>
      </w:pPr>
      <w:r>
        <w:continuationSeparator/>
      </w:r>
    </w:p>
  </w:endnote>
  <w:endnote w:type="continuationNotice" w:id="1">
    <w:p w14:paraId="17508149" w14:textId="77777777" w:rsidR="00525EC3" w:rsidRDefault="00525EC3" w:rsidP="001F32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523CB" w14:textId="77777777" w:rsidR="00FE6E15" w:rsidRDefault="00FE6E15">
    <w:pPr>
      <w:pStyle w:val="Footer"/>
      <w:jc w:val="center"/>
    </w:pPr>
    <w:r>
      <w:fldChar w:fldCharType="begin"/>
    </w:r>
    <w:r>
      <w:instrText xml:space="preserve"> PAGE   \* MERGEFORMAT </w:instrText>
    </w:r>
    <w:r>
      <w:fldChar w:fldCharType="separate"/>
    </w:r>
    <w:r>
      <w:rPr>
        <w:noProof/>
      </w:rPr>
      <w:t>2</w:t>
    </w:r>
    <w:r>
      <w:rPr>
        <w:noProof/>
      </w:rPr>
      <w:fldChar w:fldCharType="end"/>
    </w:r>
  </w:p>
  <w:p w14:paraId="133AF5C5" w14:textId="77777777" w:rsidR="007D0BCE" w:rsidRDefault="007D0BCE" w:rsidP="00B413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6D34E8CA" w:rsidRPr="00BC5C25" w14:paraId="5CCCBF5C" w14:textId="77777777" w:rsidTr="6D34E8CA">
      <w:tc>
        <w:tcPr>
          <w:tcW w:w="3005" w:type="dxa"/>
        </w:tcPr>
        <w:p w14:paraId="1C627F3C" w14:textId="77777777" w:rsidR="6D34E8CA" w:rsidRDefault="6D34E8CA" w:rsidP="6D34E8CA">
          <w:pPr>
            <w:pStyle w:val="Header"/>
            <w:ind w:left="-115"/>
            <w:rPr>
              <w:szCs w:val="24"/>
            </w:rPr>
          </w:pPr>
        </w:p>
      </w:tc>
      <w:tc>
        <w:tcPr>
          <w:tcW w:w="3005" w:type="dxa"/>
        </w:tcPr>
        <w:p w14:paraId="09B7EA88" w14:textId="77777777" w:rsidR="6D34E8CA" w:rsidRDefault="6D34E8CA" w:rsidP="6D34E8CA">
          <w:pPr>
            <w:pStyle w:val="Header"/>
            <w:jc w:val="center"/>
            <w:rPr>
              <w:szCs w:val="24"/>
            </w:rPr>
          </w:pPr>
        </w:p>
      </w:tc>
      <w:tc>
        <w:tcPr>
          <w:tcW w:w="3005" w:type="dxa"/>
        </w:tcPr>
        <w:p w14:paraId="6FAD0CB0" w14:textId="77777777" w:rsidR="6D34E8CA" w:rsidRDefault="6D34E8CA" w:rsidP="6D34E8CA">
          <w:pPr>
            <w:pStyle w:val="Header"/>
            <w:ind w:right="-115"/>
            <w:jc w:val="right"/>
            <w:rPr>
              <w:szCs w:val="24"/>
            </w:rPr>
          </w:pPr>
        </w:p>
      </w:tc>
    </w:tr>
  </w:tbl>
  <w:p w14:paraId="35D61D57" w14:textId="77777777" w:rsidR="6D34E8CA" w:rsidRDefault="6D34E8CA" w:rsidP="6D34E8CA">
    <w:pPr>
      <w:pStyle w:val="Footer"/>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3"/>
      <w:gridCol w:w="4653"/>
      <w:gridCol w:w="4653"/>
    </w:tblGrid>
    <w:tr w:rsidR="007D0BCE" w:rsidRPr="00BC5C25" w14:paraId="2C74B7D9" w14:textId="77777777" w:rsidTr="00B4135F">
      <w:tc>
        <w:tcPr>
          <w:tcW w:w="4653" w:type="dxa"/>
        </w:tcPr>
        <w:p w14:paraId="4162F933" w14:textId="77777777" w:rsidR="007D0BCE" w:rsidRPr="00BC5C25" w:rsidRDefault="007D0BCE" w:rsidP="00B4135F">
          <w:pPr>
            <w:pStyle w:val="Header"/>
            <w:ind w:left="-115"/>
          </w:pPr>
        </w:p>
      </w:tc>
      <w:tc>
        <w:tcPr>
          <w:tcW w:w="4653" w:type="dxa"/>
        </w:tcPr>
        <w:p w14:paraId="0CFEEDFA" w14:textId="77777777" w:rsidR="007D0BCE" w:rsidRPr="00BC5C25" w:rsidRDefault="007D0BCE" w:rsidP="00B4135F">
          <w:pPr>
            <w:pStyle w:val="Header"/>
            <w:jc w:val="center"/>
          </w:pPr>
        </w:p>
      </w:tc>
      <w:tc>
        <w:tcPr>
          <w:tcW w:w="4653" w:type="dxa"/>
        </w:tcPr>
        <w:p w14:paraId="2AFC4F23" w14:textId="77777777" w:rsidR="007D0BCE" w:rsidRPr="00BC5C25" w:rsidRDefault="007D0BCE" w:rsidP="00B4135F">
          <w:pPr>
            <w:pStyle w:val="Header"/>
            <w:ind w:right="-115"/>
            <w:jc w:val="right"/>
          </w:pPr>
        </w:p>
      </w:tc>
    </w:tr>
  </w:tbl>
  <w:p w14:paraId="14BDDA46" w14:textId="77777777" w:rsidR="007D0BCE" w:rsidRDefault="007D0BCE" w:rsidP="00B4135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6D34E8CA" w:rsidRPr="00BC5C25" w14:paraId="0102977E" w14:textId="77777777" w:rsidTr="6D34E8CA">
      <w:tc>
        <w:tcPr>
          <w:tcW w:w="4650" w:type="dxa"/>
        </w:tcPr>
        <w:p w14:paraId="6CCCF7FA" w14:textId="77777777" w:rsidR="6D34E8CA" w:rsidRDefault="6D34E8CA" w:rsidP="6D34E8CA">
          <w:pPr>
            <w:pStyle w:val="Header"/>
            <w:ind w:left="-115"/>
            <w:rPr>
              <w:szCs w:val="24"/>
            </w:rPr>
          </w:pPr>
        </w:p>
      </w:tc>
      <w:tc>
        <w:tcPr>
          <w:tcW w:w="4650" w:type="dxa"/>
        </w:tcPr>
        <w:p w14:paraId="0E522178" w14:textId="77777777" w:rsidR="6D34E8CA" w:rsidRDefault="6D34E8CA" w:rsidP="6D34E8CA">
          <w:pPr>
            <w:pStyle w:val="Header"/>
            <w:jc w:val="center"/>
            <w:rPr>
              <w:szCs w:val="24"/>
            </w:rPr>
          </w:pPr>
        </w:p>
      </w:tc>
      <w:tc>
        <w:tcPr>
          <w:tcW w:w="4650" w:type="dxa"/>
        </w:tcPr>
        <w:p w14:paraId="7FDA9E94" w14:textId="77777777" w:rsidR="6D34E8CA" w:rsidRDefault="6D34E8CA" w:rsidP="6D34E8CA">
          <w:pPr>
            <w:pStyle w:val="Header"/>
            <w:ind w:right="-115"/>
            <w:jc w:val="right"/>
            <w:rPr>
              <w:szCs w:val="24"/>
            </w:rPr>
          </w:pPr>
        </w:p>
      </w:tc>
    </w:tr>
  </w:tbl>
  <w:p w14:paraId="5B7A7CD6" w14:textId="77777777" w:rsidR="6D34E8CA" w:rsidRDefault="6D34E8CA" w:rsidP="6D34E8CA">
    <w:pPr>
      <w:pStyle w:val="Footer"/>
      <w:rPr>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2DE86" w14:textId="77777777" w:rsidR="007D0BCE" w:rsidRDefault="007D0BCE">
    <w:pPr>
      <w:pStyle w:val="Footer"/>
    </w:pPr>
  </w:p>
  <w:p w14:paraId="083FA6A8" w14:textId="77777777" w:rsidR="00E41F41" w:rsidRDefault="00E41F41"/>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173D7" w14:textId="77777777" w:rsidR="007D0BCE" w:rsidRDefault="007D0BCE">
    <w:pPr>
      <w:pStyle w:val="Footer"/>
      <w:jc w:val="center"/>
    </w:pPr>
    <w:r>
      <w:fldChar w:fldCharType="begin"/>
    </w:r>
    <w:r>
      <w:instrText xml:space="preserve"> PAGE   \* MERGEFORMAT </w:instrText>
    </w:r>
    <w:r>
      <w:fldChar w:fldCharType="separate"/>
    </w:r>
    <w:r>
      <w:rPr>
        <w:noProof/>
      </w:rPr>
      <w:t>15</w:t>
    </w:r>
    <w:r>
      <w:rPr>
        <w:noProof/>
      </w:rPr>
      <w:fldChar w:fldCharType="end"/>
    </w:r>
  </w:p>
  <w:p w14:paraId="6F35DB44" w14:textId="77777777" w:rsidR="007D0BCE" w:rsidRDefault="007D0BCE">
    <w:pPr>
      <w:pStyle w:val="Footer"/>
    </w:pPr>
  </w:p>
  <w:p w14:paraId="0029A995" w14:textId="77777777" w:rsidR="00E41F41" w:rsidRDefault="00E41F41"/>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15"/>
      <w:gridCol w:w="2815"/>
      <w:gridCol w:w="2815"/>
    </w:tblGrid>
    <w:tr w:rsidR="6D34E8CA" w:rsidRPr="00BC5C25" w14:paraId="6F0C7F5A" w14:textId="77777777" w:rsidTr="6D34E8CA">
      <w:tc>
        <w:tcPr>
          <w:tcW w:w="2815" w:type="dxa"/>
        </w:tcPr>
        <w:p w14:paraId="0DD9D685" w14:textId="77777777" w:rsidR="6D34E8CA" w:rsidRDefault="6D34E8CA" w:rsidP="6D34E8CA">
          <w:pPr>
            <w:pStyle w:val="Header"/>
            <w:ind w:left="-115"/>
            <w:rPr>
              <w:szCs w:val="24"/>
            </w:rPr>
          </w:pPr>
        </w:p>
      </w:tc>
      <w:tc>
        <w:tcPr>
          <w:tcW w:w="2815" w:type="dxa"/>
        </w:tcPr>
        <w:p w14:paraId="79075F0A" w14:textId="77777777" w:rsidR="6D34E8CA" w:rsidRDefault="6D34E8CA" w:rsidP="6D34E8CA">
          <w:pPr>
            <w:pStyle w:val="Header"/>
            <w:jc w:val="center"/>
            <w:rPr>
              <w:szCs w:val="24"/>
            </w:rPr>
          </w:pPr>
        </w:p>
      </w:tc>
      <w:tc>
        <w:tcPr>
          <w:tcW w:w="2815" w:type="dxa"/>
        </w:tcPr>
        <w:p w14:paraId="2AD601B6" w14:textId="77777777" w:rsidR="6D34E8CA" w:rsidRDefault="6D34E8CA" w:rsidP="6D34E8CA">
          <w:pPr>
            <w:pStyle w:val="Header"/>
            <w:ind w:right="-115"/>
            <w:jc w:val="right"/>
            <w:rPr>
              <w:szCs w:val="24"/>
            </w:rPr>
          </w:pPr>
        </w:p>
      </w:tc>
    </w:tr>
  </w:tbl>
  <w:p w14:paraId="4D7E9089" w14:textId="77777777" w:rsidR="6D34E8CA" w:rsidRDefault="6D34E8CA" w:rsidP="6D34E8CA">
    <w:pPr>
      <w:pStyle w:val="Footer"/>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A1ED96" w14:textId="77777777" w:rsidR="00525EC3" w:rsidRDefault="00525EC3" w:rsidP="001F3215">
      <w:pPr>
        <w:spacing w:after="0" w:line="240" w:lineRule="auto"/>
      </w:pPr>
      <w:r>
        <w:separator/>
      </w:r>
    </w:p>
  </w:footnote>
  <w:footnote w:type="continuationSeparator" w:id="0">
    <w:p w14:paraId="55383F67" w14:textId="77777777" w:rsidR="00525EC3" w:rsidRDefault="00525EC3" w:rsidP="001F3215">
      <w:pPr>
        <w:spacing w:after="0" w:line="240" w:lineRule="auto"/>
      </w:pPr>
      <w:r>
        <w:continuationSeparator/>
      </w:r>
    </w:p>
  </w:footnote>
  <w:footnote w:type="continuationNotice" w:id="1">
    <w:p w14:paraId="1924830A" w14:textId="77777777" w:rsidR="00525EC3" w:rsidRDefault="00525EC3" w:rsidP="001F3215">
      <w:pPr>
        <w:spacing w:after="0" w:line="240" w:lineRule="auto"/>
      </w:pPr>
    </w:p>
  </w:footnote>
  <w:footnote w:id="2">
    <w:p w14:paraId="1194A54F" w14:textId="77777777" w:rsidR="00565EAD" w:rsidRDefault="00565EAD" w:rsidP="00565EAD">
      <w:pPr>
        <w:pStyle w:val="FootnoteText"/>
      </w:pPr>
      <w:r>
        <w:rPr>
          <w:rStyle w:val="FootnoteReference"/>
        </w:rPr>
        <w:footnoteRef/>
      </w:r>
      <w:r>
        <w:t xml:space="preserve"> </w:t>
      </w:r>
      <w:r w:rsidRPr="004C660A">
        <w:t xml:space="preserve">We use Wooldridge’s (2009) one step GMM </w:t>
      </w:r>
      <w:r>
        <w:t>T</w:t>
      </w:r>
      <w:r w:rsidRPr="004C660A">
        <w:t xml:space="preserve">otal </w:t>
      </w:r>
      <w:r>
        <w:t>F</w:t>
      </w:r>
      <w:r w:rsidRPr="004C660A">
        <w:t xml:space="preserve">actor </w:t>
      </w:r>
      <w:r>
        <w:t>P</w:t>
      </w:r>
      <w:r w:rsidRPr="004C660A">
        <w:t>roductivity estimator, which can control for simultaneity, selection and omitted price biases (Van Beveren, 2012) for our productivity estimates.</w:t>
      </w:r>
    </w:p>
  </w:footnote>
  <w:footnote w:id="3">
    <w:p w14:paraId="4AC6B722" w14:textId="2EA8FB71" w:rsidR="007A7B9E" w:rsidRDefault="007A7B9E" w:rsidP="007A7B9E">
      <w:pPr>
        <w:pStyle w:val="FootnoteText"/>
      </w:pPr>
      <w:r>
        <w:rPr>
          <w:rStyle w:val="FootnoteReference"/>
        </w:rPr>
        <w:footnoteRef/>
      </w:r>
      <w:r>
        <w:t xml:space="preserve"> </w:t>
      </w:r>
      <w:r w:rsidR="00FB513C" w:rsidRPr="00FB513C">
        <w:t>It is difficult to establish comparable metrics to investigate to what extent business rates burden businesses, but the burden is undoubtedly significant. This is particularly prominent amongst matched firms that did not receive SBRR and had to pay business rates</w:t>
      </w:r>
      <w:r w:rsidR="00253475">
        <w:t xml:space="preserve"> (</w:t>
      </w:r>
      <w:r w:rsidR="00FB513C" w:rsidRPr="00FB513C">
        <w:t>the matching process is described in subsection 3.2</w:t>
      </w:r>
      <w:r w:rsidR="00253475">
        <w:t>)</w:t>
      </w:r>
      <w:r w:rsidR="00FB513C" w:rsidRPr="00FB513C">
        <w:t>. The business rates to turnover ratio averaged 10% between 2000 and 2015. The business rates to employment expenses ratio averaged 21%, and business rates expense was, on average greater by a factor of 9 than the capital expenditure to acquire, upgrade, and maintain physical assets such as property, plants, buildings, technology, or equipment. Once we estimate these on raw data, the values change to 2%, 10% and 35, respectively.</w:t>
      </w:r>
      <w:r w:rsidR="00D1042D">
        <w:t xml:space="preserve"> No</w:t>
      </w:r>
      <w:r w:rsidR="00D06543">
        <w:t>te</w:t>
      </w:r>
      <w:r w:rsidR="00D1042D">
        <w:t xml:space="preserve"> that for the raw data, the data is limited to </w:t>
      </w:r>
      <w:r w:rsidR="00D06543">
        <w:t xml:space="preserve">entities that reported both units of measurement that is why does not necessarily correspond to figures in </w:t>
      </w:r>
      <w:r w:rsidR="00F14826">
        <w:t>Appendix 2</w:t>
      </w:r>
      <w:r w:rsidR="00D06543">
        <w:t>.</w:t>
      </w:r>
    </w:p>
  </w:footnote>
  <w:footnote w:id="4">
    <w:p w14:paraId="0E968D3C" w14:textId="77777777" w:rsidR="007D0BCE" w:rsidRPr="006B0E18" w:rsidRDefault="007D0BCE">
      <w:pPr>
        <w:pStyle w:val="FootnoteText"/>
        <w:rPr>
          <w:rFonts w:cs="Times New Roman"/>
        </w:rPr>
      </w:pPr>
      <w:r w:rsidRPr="006B0E18">
        <w:rPr>
          <w:rStyle w:val="FootnoteReference"/>
          <w:rFonts w:cs="Times New Roman"/>
        </w:rPr>
        <w:footnoteRef/>
      </w:r>
      <w:r w:rsidRPr="006B0E18">
        <w:rPr>
          <w:rFonts w:cs="Times New Roman"/>
        </w:rPr>
        <w:t xml:space="preserve"> </w:t>
      </w:r>
      <w:r w:rsidRPr="006B0E18">
        <w:rPr>
          <w:rFonts w:eastAsia="Times New Roman" w:cs="Times New Roman"/>
        </w:rPr>
        <w:t>S</w:t>
      </w:r>
      <w:r w:rsidRPr="00F074E2">
        <w:rPr>
          <w:rFonts w:eastAsia="Times New Roman" w:cs="Times New Roman"/>
        </w:rPr>
        <w:t xml:space="preserve">ee </w:t>
      </w:r>
      <w:r w:rsidR="005805CC">
        <w:rPr>
          <w:rFonts w:eastAsia="Times New Roman" w:cs="Times New Roman"/>
        </w:rPr>
        <w:t>A</w:t>
      </w:r>
      <w:r w:rsidR="00FB2E2C">
        <w:rPr>
          <w:rFonts w:eastAsia="Times New Roman" w:cs="Times New Roman"/>
        </w:rPr>
        <w:t>ppendix 1</w:t>
      </w:r>
      <w:r w:rsidR="005E70DC">
        <w:rPr>
          <w:rFonts w:eastAsia="Times New Roman" w:cs="Times New Roman"/>
        </w:rPr>
        <w:t xml:space="preserve"> </w:t>
      </w:r>
      <w:r w:rsidRPr="00F074E2">
        <w:rPr>
          <w:rFonts w:eastAsia="Times New Roman" w:cs="Times New Roman"/>
        </w:rPr>
        <w:t>for a more detailed overview of SBRR across the nations.</w:t>
      </w:r>
    </w:p>
  </w:footnote>
  <w:footnote w:id="5">
    <w:p w14:paraId="40B4FFDA" w14:textId="77777777" w:rsidR="00BB7EA4" w:rsidRDefault="00BB7EA4">
      <w:pPr>
        <w:pStyle w:val="FootnoteText"/>
      </w:pPr>
      <w:r>
        <w:rPr>
          <w:rStyle w:val="FootnoteReference"/>
        </w:rPr>
        <w:footnoteRef/>
      </w:r>
      <w:r>
        <w:t xml:space="preserve"> </w:t>
      </w:r>
      <w:r w:rsidRPr="00BB7EA4">
        <w:t>Modelling heterogeneous firms operating in heterogenous locations were already problematic</w:t>
      </w:r>
      <w:r>
        <w:t xml:space="preserve"> within the overall BR system </w:t>
      </w:r>
      <w:r w:rsidRPr="00BB7EA4">
        <w:t xml:space="preserve">(Duranton et al., 2011) but </w:t>
      </w:r>
      <w:r>
        <w:t>this is</w:t>
      </w:r>
      <w:r w:rsidRPr="00BB7EA4">
        <w:t xml:space="preserve"> further amplified in the SBRR context</w:t>
      </w:r>
      <w:r>
        <w:t xml:space="preserve">, given the </w:t>
      </w:r>
      <w:r w:rsidR="0018138F">
        <w:t xml:space="preserve">previously discussed issues of mistargeting. </w:t>
      </w:r>
    </w:p>
  </w:footnote>
  <w:footnote w:id="6">
    <w:p w14:paraId="7AC82BDA" w14:textId="77777777" w:rsidR="007D0BCE" w:rsidRPr="002859DA" w:rsidRDefault="007D0BCE" w:rsidP="00B4135F">
      <w:pPr>
        <w:pStyle w:val="FootnoteText"/>
        <w:rPr>
          <w:rFonts w:cs="Times New Roman"/>
        </w:rPr>
      </w:pPr>
      <w:r w:rsidRPr="002859DA">
        <w:rPr>
          <w:rStyle w:val="FootnoteReference"/>
          <w:rFonts w:cs="Times New Roman"/>
        </w:rPr>
        <w:footnoteRef/>
      </w:r>
      <w:r w:rsidRPr="002859DA">
        <w:rPr>
          <w:rFonts w:cs="Times New Roman"/>
        </w:rPr>
        <w:t xml:space="preserve"> Pay </w:t>
      </w:r>
      <w:r>
        <w:rPr>
          <w:rFonts w:cs="Times New Roman"/>
        </w:rPr>
        <w:t>A</w:t>
      </w:r>
      <w:r w:rsidRPr="002859DA">
        <w:rPr>
          <w:rFonts w:cs="Times New Roman"/>
        </w:rPr>
        <w:t xml:space="preserve">s </w:t>
      </w:r>
      <w:r>
        <w:rPr>
          <w:rFonts w:cs="Times New Roman"/>
        </w:rPr>
        <w:t>Y</w:t>
      </w:r>
      <w:r w:rsidRPr="002859DA">
        <w:rPr>
          <w:rFonts w:cs="Times New Roman"/>
        </w:rPr>
        <w:t xml:space="preserve">ou </w:t>
      </w:r>
      <w:r>
        <w:rPr>
          <w:rFonts w:cs="Times New Roman"/>
        </w:rPr>
        <w:t>E</w:t>
      </w:r>
      <w:r w:rsidRPr="002859DA">
        <w:rPr>
          <w:rFonts w:cs="Times New Roman"/>
        </w:rPr>
        <w:t xml:space="preserve">arn is the taxation withholding mechanism whereby employers deduct taxation from employee income on behalf of the tax authorities. </w:t>
      </w:r>
    </w:p>
  </w:footnote>
  <w:footnote w:id="7">
    <w:p w14:paraId="6C474C58" w14:textId="390CF79C" w:rsidR="007D0BCE" w:rsidRPr="002859DA" w:rsidRDefault="007D0BCE" w:rsidP="00B4135F">
      <w:pPr>
        <w:pStyle w:val="FootnoteText"/>
        <w:rPr>
          <w:rFonts w:cs="Times New Roman"/>
        </w:rPr>
      </w:pPr>
      <w:r w:rsidRPr="002859DA">
        <w:rPr>
          <w:rStyle w:val="FootnoteReference"/>
          <w:rFonts w:cs="Times New Roman"/>
        </w:rPr>
        <w:footnoteRef/>
      </w:r>
      <w:r w:rsidRPr="002859DA">
        <w:rPr>
          <w:rFonts w:cs="Times New Roman"/>
        </w:rPr>
        <w:t xml:space="preserve"> There are nevertheless still missing observations, particularly for smaller firms. To </w:t>
      </w:r>
      <w:r w:rsidR="00033D13">
        <w:rPr>
          <w:rFonts w:cs="Times New Roman"/>
        </w:rPr>
        <w:t xml:space="preserve">estimate </w:t>
      </w:r>
      <w:r w:rsidR="001C1B91">
        <w:rPr>
          <w:rFonts w:cs="Times New Roman"/>
          <w:color w:val="000000"/>
        </w:rPr>
        <w:t>productivity</w:t>
      </w:r>
      <w:r w:rsidRPr="002859DA">
        <w:rPr>
          <w:rFonts w:cs="Times New Roman"/>
        </w:rPr>
        <w:t xml:space="preserve">, </w:t>
      </w:r>
      <w:r w:rsidR="00D04283">
        <w:rPr>
          <w:rFonts w:cs="Times New Roman"/>
        </w:rPr>
        <w:t>we</w:t>
      </w:r>
      <w:r w:rsidR="00D03638">
        <w:rPr>
          <w:rFonts w:cs="Times New Roman"/>
        </w:rPr>
        <w:t xml:space="preserve"> </w:t>
      </w:r>
      <w:r w:rsidR="000D6AF8">
        <w:rPr>
          <w:rFonts w:cs="Times New Roman"/>
        </w:rPr>
        <w:t>used</w:t>
      </w:r>
      <w:r w:rsidR="00D03638" w:rsidRPr="00D03638">
        <w:rPr>
          <w:rFonts w:cs="Times New Roman"/>
        </w:rPr>
        <w:t xml:space="preserve"> </w:t>
      </w:r>
      <w:r w:rsidR="00D03638" w:rsidRPr="00D03638">
        <w:rPr>
          <w:rFonts w:eastAsia="Times New Roman" w:cs="Times New Roman"/>
        </w:rPr>
        <w:t xml:space="preserve">the </w:t>
      </w:r>
      <w:r w:rsidR="00FD0CBF" w:rsidRPr="00BC5C25">
        <w:rPr>
          <w:rFonts w:cs="Times New Roman"/>
          <w:color w:val="000000"/>
          <w:szCs w:val="24"/>
        </w:rPr>
        <w:t xml:space="preserve">Annual Respondents Database X </w:t>
      </w:r>
      <w:r w:rsidR="00D03638" w:rsidRPr="00D03638">
        <w:rPr>
          <w:rFonts w:eastAsia="Times New Roman" w:cs="Times New Roman"/>
        </w:rPr>
        <w:t>capital stock maintained by ONS</w:t>
      </w:r>
      <w:r w:rsidR="00D03638">
        <w:rPr>
          <w:rFonts w:eastAsia="Times New Roman" w:cs="Times New Roman"/>
        </w:rPr>
        <w:t xml:space="preserve"> with more details available</w:t>
      </w:r>
      <w:r w:rsidR="00311062">
        <w:rPr>
          <w:rFonts w:eastAsia="Times New Roman" w:cs="Times New Roman"/>
        </w:rPr>
        <w:t xml:space="preserve"> in </w:t>
      </w:r>
      <w:r w:rsidR="00C95FD5">
        <w:rPr>
          <w:rFonts w:eastAsia="Times New Roman" w:cs="Times New Roman"/>
        </w:rPr>
        <w:t xml:space="preserve">the </w:t>
      </w:r>
      <w:r w:rsidR="00236C71">
        <w:rPr>
          <w:rFonts w:eastAsia="Times New Roman" w:cs="Times New Roman"/>
        </w:rPr>
        <w:t>u</w:t>
      </w:r>
      <w:r w:rsidR="00DA70FF">
        <w:rPr>
          <w:rFonts w:eastAsia="Times New Roman" w:cs="Times New Roman"/>
        </w:rPr>
        <w:t>s</w:t>
      </w:r>
      <w:r w:rsidR="00236C71">
        <w:rPr>
          <w:rFonts w:eastAsia="Times New Roman" w:cs="Times New Roman"/>
        </w:rPr>
        <w:t xml:space="preserve">er guide, </w:t>
      </w:r>
      <w:r w:rsidR="00236C71" w:rsidRPr="00A56B00">
        <w:rPr>
          <w:rFonts w:cs="Times New Roman"/>
        </w:rPr>
        <w:t xml:space="preserve">supplementary </w:t>
      </w:r>
      <w:r w:rsidR="00236C71">
        <w:rPr>
          <w:rFonts w:cs="Times New Roman"/>
        </w:rPr>
        <w:t xml:space="preserve">to </w:t>
      </w:r>
      <w:r w:rsidR="00FD0CBF" w:rsidRPr="00BC5C25">
        <w:rPr>
          <w:rFonts w:cs="Times New Roman"/>
          <w:color w:val="000000"/>
          <w:szCs w:val="24"/>
        </w:rPr>
        <w:t xml:space="preserve">Annual Respondents Database X </w:t>
      </w:r>
      <w:r w:rsidR="00D03638">
        <w:rPr>
          <w:rFonts w:eastAsia="Times New Roman" w:cs="Times New Roman"/>
        </w:rPr>
        <w:t>(ONS, n.d.)</w:t>
      </w:r>
      <w:r w:rsidR="00236C71">
        <w:rPr>
          <w:rFonts w:cs="Times New Roman"/>
        </w:rPr>
        <w:t>. In the same vein, b</w:t>
      </w:r>
      <w:r w:rsidR="000D1EB1">
        <w:rPr>
          <w:rFonts w:cs="Times New Roman"/>
        </w:rPr>
        <w:t xml:space="preserve">efore </w:t>
      </w:r>
      <w:r w:rsidR="009B7999" w:rsidRPr="009B7999">
        <w:rPr>
          <w:rFonts w:cs="Times New Roman"/>
        </w:rPr>
        <w:t>Coarsened Exact Matching</w:t>
      </w:r>
      <w:r w:rsidR="000D1EB1">
        <w:rPr>
          <w:rFonts w:cs="Times New Roman"/>
        </w:rPr>
        <w:t>, w</w:t>
      </w:r>
      <w:r w:rsidR="00D04283">
        <w:rPr>
          <w:rFonts w:cs="Times New Roman"/>
        </w:rPr>
        <w:t>e use</w:t>
      </w:r>
      <w:r w:rsidR="006C728B">
        <w:rPr>
          <w:rFonts w:cs="Times New Roman"/>
        </w:rPr>
        <w:t>d</w:t>
      </w:r>
      <w:r w:rsidRPr="002859DA">
        <w:rPr>
          <w:rFonts w:cs="Times New Roman"/>
        </w:rPr>
        <w:t xml:space="preserve"> predictive mean matching, with the key variables of </w:t>
      </w:r>
      <w:r w:rsidR="00BB5B03" w:rsidRPr="00BB5B03">
        <w:rPr>
          <w:rFonts w:cs="Times New Roman"/>
        </w:rPr>
        <w:t xml:space="preserve">unique firm identifier, year, </w:t>
      </w:r>
      <w:r w:rsidRPr="002859DA">
        <w:rPr>
          <w:rFonts w:cs="Times New Roman"/>
        </w:rPr>
        <w:t xml:space="preserve">turnover, employment, region, </w:t>
      </w:r>
      <w:proofErr w:type="gramStart"/>
      <w:r w:rsidRPr="002859DA">
        <w:rPr>
          <w:rFonts w:cs="Times New Roman"/>
        </w:rPr>
        <w:t>sector</w:t>
      </w:r>
      <w:proofErr w:type="gramEnd"/>
      <w:r w:rsidRPr="002859DA">
        <w:rPr>
          <w:rFonts w:cs="Times New Roman"/>
        </w:rPr>
        <w:t xml:space="preserve"> and legal status that have almost no missing data from the </w:t>
      </w:r>
      <w:r w:rsidR="00FD0CBF" w:rsidRPr="00BC5C25">
        <w:rPr>
          <w:rFonts w:cs="Times New Roman"/>
          <w:color w:val="000000"/>
          <w:szCs w:val="24"/>
        </w:rPr>
        <w:t xml:space="preserve">Annual Respondents Database X </w:t>
      </w:r>
      <w:r w:rsidRPr="002859DA">
        <w:rPr>
          <w:rFonts w:cs="Times New Roman"/>
        </w:rPr>
        <w:t xml:space="preserve">or </w:t>
      </w:r>
      <w:r w:rsidR="00296DEA" w:rsidRPr="00BC5C25">
        <w:rPr>
          <w:rFonts w:cs="Times New Roman"/>
          <w:color w:val="000000"/>
          <w:szCs w:val="24"/>
        </w:rPr>
        <w:t xml:space="preserve">Business Structure Database </w:t>
      </w:r>
      <w:r w:rsidRPr="002859DA">
        <w:rPr>
          <w:rFonts w:cs="Times New Roman"/>
        </w:rPr>
        <w:t>sources.</w:t>
      </w:r>
      <w:r w:rsidR="002376A1">
        <w:rPr>
          <w:rFonts w:cs="Times New Roman"/>
        </w:rPr>
        <w:t xml:space="preserve"> </w:t>
      </w:r>
      <w:r w:rsidR="006B75F0">
        <w:rPr>
          <w:rFonts w:cs="Times New Roman"/>
        </w:rPr>
        <w:t>This enable</w:t>
      </w:r>
      <w:r w:rsidR="006C728B">
        <w:rPr>
          <w:rFonts w:cs="Times New Roman"/>
        </w:rPr>
        <w:t>d</w:t>
      </w:r>
      <w:r w:rsidR="006B75F0">
        <w:rPr>
          <w:rFonts w:cs="Times New Roman"/>
        </w:rPr>
        <w:t xml:space="preserve"> us to</w:t>
      </w:r>
      <w:r w:rsidR="00460624">
        <w:rPr>
          <w:rFonts w:cs="Times New Roman"/>
        </w:rPr>
        <w:t xml:space="preserve"> also</w:t>
      </w:r>
      <w:r w:rsidR="000A783A">
        <w:rPr>
          <w:rFonts w:cs="Times New Roman"/>
        </w:rPr>
        <w:t xml:space="preserve"> include firms </w:t>
      </w:r>
      <w:r w:rsidR="006B75F0">
        <w:rPr>
          <w:rFonts w:cs="Times New Roman"/>
        </w:rPr>
        <w:t xml:space="preserve">that may have missing observations for </w:t>
      </w:r>
      <w:r w:rsidR="000A783A">
        <w:rPr>
          <w:rFonts w:cs="Times New Roman"/>
        </w:rPr>
        <w:t>the</w:t>
      </w:r>
      <w:r w:rsidR="006B75F0">
        <w:rPr>
          <w:rFonts w:cs="Times New Roman"/>
        </w:rPr>
        <w:t xml:space="preserve"> particular year</w:t>
      </w:r>
      <w:r w:rsidR="001D3E49">
        <w:rPr>
          <w:rFonts w:cs="Times New Roman"/>
        </w:rPr>
        <w:t xml:space="preserve"> when matching was conducted</w:t>
      </w:r>
      <w:r w:rsidR="006B75F0">
        <w:rPr>
          <w:rFonts w:cs="Times New Roman"/>
        </w:rPr>
        <w:t xml:space="preserve">. </w:t>
      </w:r>
    </w:p>
  </w:footnote>
  <w:footnote w:id="8">
    <w:p w14:paraId="0648B971" w14:textId="19C42A9A" w:rsidR="007D0BCE" w:rsidRPr="002859DA" w:rsidRDefault="007D0BCE" w:rsidP="00B4135F">
      <w:pPr>
        <w:pStyle w:val="FootnoteText"/>
        <w:rPr>
          <w:rFonts w:cs="Times New Roman"/>
        </w:rPr>
      </w:pPr>
      <w:r w:rsidRPr="00C569E0">
        <w:rPr>
          <w:rStyle w:val="FootnoteReference"/>
          <w:rFonts w:cs="Times New Roman"/>
        </w:rPr>
        <w:footnoteRef/>
      </w:r>
      <w:r w:rsidRPr="00C569E0">
        <w:rPr>
          <w:rFonts w:cs="Times New Roman"/>
        </w:rPr>
        <w:t xml:space="preserve"> An</w:t>
      </w:r>
      <w:r w:rsidR="000B4C77" w:rsidRPr="00C569E0">
        <w:rPr>
          <w:rFonts w:cs="Times New Roman"/>
        </w:rPr>
        <w:t>other alternative</w:t>
      </w:r>
      <w:r w:rsidRPr="00C569E0">
        <w:rPr>
          <w:rFonts w:cs="Times New Roman"/>
        </w:rPr>
        <w:t xml:space="preserve"> is </w:t>
      </w:r>
      <w:r w:rsidR="00EE4570" w:rsidRPr="00C569E0">
        <w:rPr>
          <w:rFonts w:cs="Times New Roman"/>
        </w:rPr>
        <w:t>i</w:t>
      </w:r>
      <w:r w:rsidRPr="00C569E0">
        <w:rPr>
          <w:rFonts w:cs="Times New Roman"/>
        </w:rPr>
        <w:t>nstrumental variables</w:t>
      </w:r>
      <w:r w:rsidR="00EE4570" w:rsidRPr="00C569E0">
        <w:rPr>
          <w:rFonts w:cs="Times New Roman"/>
        </w:rPr>
        <w:t xml:space="preserve"> that</w:t>
      </w:r>
      <w:r w:rsidRPr="00C569E0">
        <w:rPr>
          <w:rFonts w:cs="Times New Roman"/>
        </w:rPr>
        <w:t xml:space="preserve"> require strong instruments influencing specific variables, whilst we expect numerous interaction effects.</w:t>
      </w:r>
    </w:p>
  </w:footnote>
  <w:footnote w:id="9">
    <w:p w14:paraId="2EFEE610" w14:textId="208000CD" w:rsidR="008754E4" w:rsidRDefault="008754E4">
      <w:pPr>
        <w:pStyle w:val="FootnoteText"/>
      </w:pPr>
      <w:r>
        <w:rPr>
          <w:rStyle w:val="FootnoteReference"/>
        </w:rPr>
        <w:footnoteRef/>
      </w:r>
      <w:r>
        <w:t xml:space="preserve"> </w:t>
      </w:r>
      <w:r w:rsidR="00353455">
        <w:t>W</w:t>
      </w:r>
      <w:r w:rsidRPr="008754E4">
        <w:t xml:space="preserve">e report </w:t>
      </w:r>
      <m:oMath>
        <m:sSub>
          <m:sSubPr>
            <m:ctrlPr>
              <w:rPr>
                <w:rFonts w:ascii="Cambria Math" w:hAnsi="Cambria Math" w:cs="Times New Roman"/>
                <w:i/>
                <w:color w:val="000000"/>
              </w:rPr>
            </m:ctrlPr>
          </m:sSubPr>
          <m:e>
            <m:r>
              <m:rPr>
                <m:scr m:val="script"/>
              </m:rPr>
              <w:rPr>
                <w:rFonts w:ascii="Cambria Math" w:hAnsi="Cambria Math" w:cs="Times New Roman"/>
                <w:color w:val="000000"/>
              </w:rPr>
              <m:t>L</m:t>
            </m:r>
          </m:e>
          <m:sub>
            <m:r>
              <w:rPr>
                <w:rFonts w:ascii="Cambria Math" w:hAnsi="Cambria Math" w:cs="Times New Roman"/>
                <w:color w:val="000000"/>
              </w:rPr>
              <m:t>1</m:t>
            </m:r>
          </m:sub>
        </m:sSub>
      </m:oMath>
      <w:r w:rsidR="00353455" w:rsidRPr="00BC5C25">
        <w:rPr>
          <w:rFonts w:cs="Times New Roman"/>
          <w:color w:val="000000"/>
        </w:rPr>
        <w:t xml:space="preserve"> statistic </w:t>
      </w:r>
      <w:r w:rsidR="00353455">
        <w:t xml:space="preserve">on </w:t>
      </w:r>
      <w:r w:rsidRPr="008754E4">
        <w:t xml:space="preserve">2004 </w:t>
      </w:r>
      <w:r>
        <w:t>because</w:t>
      </w:r>
      <w:r w:rsidRPr="008754E4">
        <w:t xml:space="preserve"> the vast majority of </w:t>
      </w:r>
      <w:r>
        <w:t xml:space="preserve">SBRR were </w:t>
      </w:r>
      <w:r w:rsidRPr="008754E4">
        <w:t>recipients from England and</w:t>
      </w:r>
      <w:r>
        <w:t xml:space="preserve"> thus most of them </w:t>
      </w:r>
      <w:r w:rsidR="00A26883">
        <w:t>were matched on 2004 data.</w:t>
      </w:r>
    </w:p>
  </w:footnote>
  <w:footnote w:id="10">
    <w:p w14:paraId="03CCCEA1" w14:textId="53C35736" w:rsidR="007D0BCE" w:rsidRPr="002859DA" w:rsidRDefault="007D0BCE" w:rsidP="00B4135F">
      <w:pPr>
        <w:pStyle w:val="FootnoteText"/>
        <w:rPr>
          <w:rFonts w:cs="Times New Roman"/>
        </w:rPr>
      </w:pPr>
      <w:r w:rsidRPr="002859DA">
        <w:rPr>
          <w:rStyle w:val="FootnoteReference"/>
          <w:rFonts w:cs="Times New Roman"/>
        </w:rPr>
        <w:footnoteRef/>
      </w:r>
      <w:r w:rsidRPr="002859DA">
        <w:rPr>
          <w:rFonts w:cs="Times New Roman"/>
        </w:rPr>
        <w:t xml:space="preserve"> Note that following Duranton et al. (2011), the equation could be further extended to account for heterogeneous location effects. We could denote </w:t>
      </w:r>
      <w:r w:rsidRPr="00BC5C25">
        <w:rPr>
          <w:rFonts w:eastAsia="MS Mincho" w:cs="Times New Roman"/>
        </w:rPr>
        <w:t xml:space="preserve">time-invariant effects for location </w:t>
      </w:r>
      <m:oMath>
        <m:r>
          <w:rPr>
            <w:rFonts w:ascii="Cambria Math" w:eastAsia="MS Mincho" w:hAnsi="Cambria Math" w:cs="Times New Roman"/>
          </w:rPr>
          <m:t>j</m:t>
        </m:r>
      </m:oMath>
      <w:r w:rsidRPr="00BC5C25">
        <w:rPr>
          <w:rFonts w:eastAsia="MS Mincho" w:cs="Times New Roman"/>
        </w:rPr>
        <w:t xml:space="preserve">, with </w:t>
      </w:r>
      <m:oMath>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j</m:t>
            </m:r>
          </m:sub>
        </m:sSub>
      </m:oMath>
      <w:r w:rsidRPr="00BC5C25">
        <w:rPr>
          <w:rFonts w:eastAsia="MS Mincho" w:cs="Times New Roman"/>
        </w:rPr>
        <w:t xml:space="preserve">, and time-variant effect for that location, </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jt</m:t>
            </m:r>
          </m:sub>
        </m:sSub>
      </m:oMath>
      <w:r w:rsidRPr="00BC5C25">
        <w:rPr>
          <w:rFonts w:eastAsia="MS Mincho" w:cs="Times New Roman"/>
        </w:rPr>
        <w:t xml:space="preserve">. Then, the equation would become: </w:t>
      </w:r>
      <m:oMath>
        <m:r>
          <w:rPr>
            <w:rFonts w:ascii="Cambria Math" w:eastAsia="MS Mincho" w:hAnsi="Cambria Math" w:cs="Times New Roman"/>
          </w:rPr>
          <m:t>h</m:t>
        </m:r>
        <m:d>
          <m:dPr>
            <m:ctrlPr>
              <w:rPr>
                <w:rFonts w:ascii="Cambria Math" w:eastAsia="MS Mincho" w:hAnsi="Cambria Math" w:cs="Times New Roman"/>
                <w:i/>
              </w:rPr>
            </m:ctrlPr>
          </m:dPr>
          <m:e>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it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f</m:t>
                </m:r>
              </m:e>
              <m:sub>
                <m:r>
                  <w:rPr>
                    <w:rFonts w:ascii="Cambria Math" w:hAnsi="Cambria Math" w:cs="Times New Roman"/>
                  </w:rPr>
                  <m:t>i</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j</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jt</m:t>
                </m:r>
              </m:sub>
            </m:sSub>
            <m:ctrlPr>
              <w:rPr>
                <w:rFonts w:ascii="Cambria Math" w:hAnsi="Cambria Math" w:cs="Times New Roman"/>
                <w:i/>
              </w:rPr>
            </m:ctrlPr>
          </m:e>
        </m:d>
      </m:oMath>
      <w:r w:rsidRPr="00BC5C25">
        <w:rPr>
          <w:rFonts w:eastAsia="MS Mincho" w:cs="Times New Roman"/>
        </w:rPr>
        <w:t xml:space="preserve"> but this would not change the reasoning and the location fixed effects would be captured by the establishment level estimates.</w:t>
      </w:r>
    </w:p>
  </w:footnote>
  <w:footnote w:id="11">
    <w:p w14:paraId="695CCA7F" w14:textId="77777777" w:rsidR="007D0BCE" w:rsidRPr="00B4135F" w:rsidRDefault="007D0BCE" w:rsidP="00B4135F">
      <w:pPr>
        <w:pStyle w:val="FootnoteText"/>
        <w:rPr>
          <w:rFonts w:cs="Times New Roman"/>
        </w:rPr>
      </w:pPr>
      <w:r w:rsidRPr="00B4135F">
        <w:rPr>
          <w:rStyle w:val="FootnoteReference"/>
          <w:rFonts w:cs="Times New Roman"/>
        </w:rPr>
        <w:footnoteRef/>
      </w:r>
      <w:r w:rsidRPr="00B4135F">
        <w:rPr>
          <w:rFonts w:cs="Times New Roman"/>
        </w:rPr>
        <w:t xml:space="preserve"> </w:t>
      </w:r>
      <w:r w:rsidRPr="002859DA">
        <w:rPr>
          <w:rFonts w:cs="Times New Roman"/>
        </w:rPr>
        <w:t>Scotland in 2003, England in 2005, Wales in 2007, with increase in relief in 2010</w:t>
      </w:r>
    </w:p>
  </w:footnote>
  <w:footnote w:id="12">
    <w:p w14:paraId="27D154D6" w14:textId="77777777" w:rsidR="007D0BCE" w:rsidRPr="002859DA" w:rsidRDefault="007D0BCE" w:rsidP="00B4135F">
      <w:pPr>
        <w:pStyle w:val="FootnoteText"/>
        <w:rPr>
          <w:rFonts w:cs="Times New Roman"/>
        </w:rPr>
      </w:pPr>
      <w:r w:rsidRPr="002859DA">
        <w:rPr>
          <w:rStyle w:val="FootnoteReference"/>
          <w:rFonts w:cs="Times New Roman"/>
        </w:rPr>
        <w:footnoteRef/>
      </w:r>
      <w:r w:rsidRPr="002859DA">
        <w:rPr>
          <w:rFonts w:cs="Times New Roman"/>
        </w:rPr>
        <w:t xml:space="preserve"> The endogenous growth models of Romer (1990) and the quality ladder models of Grossman and Helpman (1991) and Aghion and Howitt (1992) theorise that innovations drive long-term economic growth and aggregate productivity.</w:t>
      </w:r>
    </w:p>
  </w:footnote>
  <w:footnote w:id="13">
    <w:p w14:paraId="455C2037" w14:textId="0E608477" w:rsidR="001C1B91" w:rsidRDefault="001C1B91" w:rsidP="00FB43F5">
      <w:pPr>
        <w:pStyle w:val="FootnoteText"/>
      </w:pPr>
      <w:r>
        <w:rPr>
          <w:rStyle w:val="FootnoteReference"/>
        </w:rPr>
        <w:footnoteRef/>
      </w:r>
      <w:r>
        <w:t xml:space="preserve"> </w:t>
      </w:r>
      <w:r w:rsidR="00FB43F5">
        <w:t xml:space="preserve">Agglomeration externalities, dating back to Marshall’s (1890) ’Industrial District-argument,’ are based on asset-sharing, such as the provision of specific goods and services by specialised suppliers and the creation of a local labour market pool sustained by a local concentration of </w:t>
      </w:r>
      <w:r w:rsidR="000B6EA7">
        <w:t>productivity</w:t>
      </w:r>
      <w:r w:rsidR="00FB43F5">
        <w:t>, which may influence production. Spillovers arise from knowledge sharing of firms in the same sector. Feldman and Audretsch (1999) and Paci and Usai (1999) suggested using the production structure specialisation index (PS) to measure Marshallian specialisation externalities.</w:t>
      </w:r>
    </w:p>
  </w:footnote>
  <w:footnote w:id="14">
    <w:p w14:paraId="24B06265" w14:textId="1FDE899D" w:rsidR="007D0BCE" w:rsidRPr="002859DA" w:rsidRDefault="007D0BCE" w:rsidP="00B4135F">
      <w:pPr>
        <w:pStyle w:val="FootnoteText"/>
        <w:rPr>
          <w:rFonts w:cs="Times New Roman"/>
        </w:rPr>
      </w:pPr>
      <w:r w:rsidRPr="002859DA">
        <w:rPr>
          <w:rStyle w:val="FootnoteReference"/>
          <w:rFonts w:cs="Times New Roman"/>
        </w:rPr>
        <w:footnoteRef/>
      </w:r>
      <w:r w:rsidRPr="002859DA">
        <w:rPr>
          <w:rFonts w:cs="Times New Roman"/>
        </w:rPr>
        <w:t xml:space="preserve"> We observe similar pattern further down the branch for the regions (</w:t>
      </w:r>
      <w:proofErr w:type="gramStart"/>
      <w:r w:rsidRPr="002859DA">
        <w:rPr>
          <w:rFonts w:cs="Times New Roman"/>
        </w:rPr>
        <w:t>i.e.</w:t>
      </w:r>
      <w:proofErr w:type="gramEnd"/>
      <w:r w:rsidRPr="002859DA">
        <w:rPr>
          <w:rFonts w:cs="Times New Roman"/>
        </w:rPr>
        <w:t xml:space="preserve"> Group 2B), West Midlands, East and South East of England that we do not show in </w:t>
      </w:r>
      <w:r w:rsidR="006D1D8B">
        <w:rPr>
          <w:rFonts w:cs="Times New Roman"/>
        </w:rPr>
        <w:t>F</w:t>
      </w:r>
      <w:r w:rsidRPr="002859DA">
        <w:rPr>
          <w:rFonts w:cs="Times New Roman"/>
        </w:rPr>
        <w:t xml:space="preserve">igure </w:t>
      </w:r>
      <w:r w:rsidR="00D731B8">
        <w:rPr>
          <w:rFonts w:cs="Times New Roman"/>
        </w:rPr>
        <w:t>4</w:t>
      </w:r>
      <w:r w:rsidRPr="002859DA">
        <w:rPr>
          <w:rFonts w:cs="Times New Roman"/>
        </w:rPr>
        <w:t xml:space="preserve">, for space reasons. 869 </w:t>
      </w:r>
      <w:r w:rsidR="006D1D8B">
        <w:rPr>
          <w:rFonts w:cs="Times New Roman"/>
        </w:rPr>
        <w:t>f</w:t>
      </w:r>
      <w:r w:rsidRPr="002859DA">
        <w:rPr>
          <w:rFonts w:cs="Times New Roman"/>
        </w:rPr>
        <w:t xml:space="preserve">irms in these regions between 16 and 32 years old with a PD above 0.77 have </w:t>
      </w:r>
      <w:r w:rsidR="001C1B91" w:rsidRPr="001C1B91">
        <w:rPr>
          <w:rFonts w:cs="Times New Roman"/>
        </w:rPr>
        <w:t xml:space="preserve">productivity </w:t>
      </w:r>
      <w:r w:rsidRPr="002859DA">
        <w:rPr>
          <w:rFonts w:cs="Times New Roman"/>
        </w:rPr>
        <w:t>greater than that for the 437 firms in areas with lower PD, although the difference is only around 2.5</w:t>
      </w:r>
      <w:r w:rsidR="006D1D8B">
        <w:rPr>
          <w:rFonts w:cs="Times New Roman"/>
        </w:rPr>
        <w:t xml:space="preserve"> per cent.</w:t>
      </w:r>
      <w:r w:rsidRPr="002859DA">
        <w:rPr>
          <w:rFonts w:cs="Times New Roman"/>
        </w:rPr>
        <w:t xml:space="preserve"> </w:t>
      </w:r>
    </w:p>
  </w:footnote>
  <w:footnote w:id="15">
    <w:p w14:paraId="6F050473" w14:textId="77777777" w:rsidR="00440E3D" w:rsidRPr="0091635D" w:rsidRDefault="00440E3D" w:rsidP="00440E3D">
      <w:pPr>
        <w:pStyle w:val="FootnoteText"/>
        <w:rPr>
          <w:lang w:val="en-US"/>
        </w:rPr>
      </w:pPr>
      <w:r>
        <w:rPr>
          <w:rStyle w:val="FootnoteReference"/>
        </w:rPr>
        <w:footnoteRef/>
      </w:r>
      <w:r>
        <w:t xml:space="preserve"> </w:t>
      </w:r>
      <w:r w:rsidRPr="0091635D">
        <w:t>The channels for this effect are diverse, from easier access to a wider selection of suppliers, secure demand or greater exposure to incremental changes which can be copied and adapted.</w:t>
      </w:r>
    </w:p>
  </w:footnote>
  <w:footnote w:id="16">
    <w:p w14:paraId="2E88AA23" w14:textId="77777777" w:rsidR="00440E3D" w:rsidRDefault="00440E3D" w:rsidP="00440E3D">
      <w:pPr>
        <w:pStyle w:val="FootnoteText"/>
      </w:pPr>
      <w:r>
        <w:rPr>
          <w:rStyle w:val="FootnoteReference"/>
        </w:rPr>
        <w:footnoteRef/>
      </w:r>
      <w:r>
        <w:t xml:space="preserve"> </w:t>
      </w:r>
      <w:r w:rsidRPr="00BC5C25">
        <w:rPr>
          <w:rFonts w:cs="Times New Roman"/>
          <w:color w:val="000000"/>
        </w:rPr>
        <w:t>We also focus mainly on smaller firms and analyse much smaller areas that are tightly linked to a firm to better reflect their trading environments.  Finally, instead of proportions, we use an inverse Gini to measure diversity and a measure of agglomeration, which places local conditions relative to the national context.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7D0BCE" w:rsidRPr="00BC5C25" w14:paraId="5A55E905" w14:textId="77777777" w:rsidTr="00B4135F">
      <w:tc>
        <w:tcPr>
          <w:tcW w:w="3009" w:type="dxa"/>
        </w:tcPr>
        <w:p w14:paraId="5A0D0BF2" w14:textId="77777777" w:rsidR="007D0BCE" w:rsidRPr="00BC5C25" w:rsidRDefault="007D0BCE" w:rsidP="00B4135F">
          <w:pPr>
            <w:pStyle w:val="Header"/>
            <w:ind w:left="-115"/>
          </w:pPr>
        </w:p>
      </w:tc>
      <w:tc>
        <w:tcPr>
          <w:tcW w:w="3009" w:type="dxa"/>
        </w:tcPr>
        <w:p w14:paraId="419023DF" w14:textId="77777777" w:rsidR="007D0BCE" w:rsidRPr="00BC5C25" w:rsidRDefault="007D0BCE" w:rsidP="00B4135F">
          <w:pPr>
            <w:pStyle w:val="Header"/>
            <w:jc w:val="center"/>
          </w:pPr>
        </w:p>
      </w:tc>
      <w:tc>
        <w:tcPr>
          <w:tcW w:w="3009" w:type="dxa"/>
        </w:tcPr>
        <w:p w14:paraId="51BCFD80" w14:textId="77777777" w:rsidR="007D0BCE" w:rsidRPr="00BC5C25" w:rsidRDefault="007D0BCE" w:rsidP="00B4135F">
          <w:pPr>
            <w:pStyle w:val="Header"/>
            <w:ind w:right="-115"/>
            <w:jc w:val="right"/>
          </w:pPr>
        </w:p>
      </w:tc>
    </w:tr>
  </w:tbl>
  <w:p w14:paraId="2CD956A2" w14:textId="77777777" w:rsidR="007D0BCE" w:rsidRDefault="007D0BCE" w:rsidP="00B4135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6D34E8CA" w:rsidRPr="00BC5C25" w14:paraId="04102B64" w14:textId="77777777" w:rsidTr="6D34E8CA">
      <w:tc>
        <w:tcPr>
          <w:tcW w:w="3005" w:type="dxa"/>
        </w:tcPr>
        <w:p w14:paraId="2A81F899" w14:textId="77777777" w:rsidR="6D34E8CA" w:rsidRDefault="6D34E8CA" w:rsidP="6D34E8CA">
          <w:pPr>
            <w:pStyle w:val="Header"/>
            <w:ind w:left="-115"/>
            <w:rPr>
              <w:szCs w:val="24"/>
            </w:rPr>
          </w:pPr>
        </w:p>
      </w:tc>
      <w:tc>
        <w:tcPr>
          <w:tcW w:w="3005" w:type="dxa"/>
        </w:tcPr>
        <w:p w14:paraId="572AD814" w14:textId="77777777" w:rsidR="6D34E8CA" w:rsidRDefault="6D34E8CA" w:rsidP="6D34E8CA">
          <w:pPr>
            <w:pStyle w:val="Header"/>
            <w:jc w:val="center"/>
            <w:rPr>
              <w:szCs w:val="24"/>
            </w:rPr>
          </w:pPr>
        </w:p>
      </w:tc>
      <w:tc>
        <w:tcPr>
          <w:tcW w:w="3005" w:type="dxa"/>
        </w:tcPr>
        <w:p w14:paraId="21B05095" w14:textId="77777777" w:rsidR="6D34E8CA" w:rsidRDefault="6D34E8CA" w:rsidP="6D34E8CA">
          <w:pPr>
            <w:pStyle w:val="Header"/>
            <w:ind w:right="-115"/>
            <w:jc w:val="right"/>
            <w:rPr>
              <w:szCs w:val="24"/>
            </w:rPr>
          </w:pPr>
        </w:p>
      </w:tc>
    </w:tr>
  </w:tbl>
  <w:p w14:paraId="7B5D44D6" w14:textId="77777777" w:rsidR="6D34E8CA" w:rsidRDefault="6D34E8CA" w:rsidP="6D34E8CA">
    <w:pPr>
      <w:pStyle w:val="Header"/>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3"/>
      <w:gridCol w:w="4653"/>
      <w:gridCol w:w="4653"/>
    </w:tblGrid>
    <w:tr w:rsidR="007D0BCE" w:rsidRPr="00BC5C25" w14:paraId="2EF1DE1C" w14:textId="77777777" w:rsidTr="00B4135F">
      <w:tc>
        <w:tcPr>
          <w:tcW w:w="4653" w:type="dxa"/>
        </w:tcPr>
        <w:p w14:paraId="453354CE" w14:textId="77777777" w:rsidR="007D0BCE" w:rsidRPr="00BC5C25" w:rsidRDefault="007D0BCE" w:rsidP="00B4135F">
          <w:pPr>
            <w:pStyle w:val="Header"/>
            <w:ind w:left="-115"/>
          </w:pPr>
        </w:p>
      </w:tc>
      <w:tc>
        <w:tcPr>
          <w:tcW w:w="4653" w:type="dxa"/>
        </w:tcPr>
        <w:p w14:paraId="5D49316F" w14:textId="77777777" w:rsidR="007D0BCE" w:rsidRPr="00BC5C25" w:rsidRDefault="007D0BCE" w:rsidP="00B4135F">
          <w:pPr>
            <w:pStyle w:val="Header"/>
            <w:jc w:val="center"/>
          </w:pPr>
        </w:p>
      </w:tc>
      <w:tc>
        <w:tcPr>
          <w:tcW w:w="4653" w:type="dxa"/>
        </w:tcPr>
        <w:p w14:paraId="5BFA5DEB" w14:textId="77777777" w:rsidR="007D0BCE" w:rsidRPr="00BC5C25" w:rsidRDefault="007D0BCE" w:rsidP="00B4135F">
          <w:pPr>
            <w:pStyle w:val="Header"/>
            <w:ind w:right="-115"/>
            <w:jc w:val="right"/>
          </w:pPr>
        </w:p>
      </w:tc>
    </w:tr>
  </w:tbl>
  <w:p w14:paraId="0FE29491" w14:textId="77777777" w:rsidR="007D0BCE" w:rsidRDefault="007D0BCE" w:rsidP="00B4135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6D34E8CA" w:rsidRPr="00BC5C25" w14:paraId="5F12E07D" w14:textId="77777777" w:rsidTr="6D34E8CA">
      <w:tc>
        <w:tcPr>
          <w:tcW w:w="4650" w:type="dxa"/>
        </w:tcPr>
        <w:p w14:paraId="7E1FC00B" w14:textId="77777777" w:rsidR="6D34E8CA" w:rsidRDefault="6D34E8CA" w:rsidP="6D34E8CA">
          <w:pPr>
            <w:pStyle w:val="Header"/>
            <w:ind w:left="-115"/>
            <w:rPr>
              <w:szCs w:val="24"/>
            </w:rPr>
          </w:pPr>
        </w:p>
      </w:tc>
      <w:tc>
        <w:tcPr>
          <w:tcW w:w="4650" w:type="dxa"/>
        </w:tcPr>
        <w:p w14:paraId="23175D95" w14:textId="77777777" w:rsidR="6D34E8CA" w:rsidRDefault="6D34E8CA" w:rsidP="6D34E8CA">
          <w:pPr>
            <w:pStyle w:val="Header"/>
            <w:jc w:val="center"/>
            <w:rPr>
              <w:szCs w:val="24"/>
            </w:rPr>
          </w:pPr>
        </w:p>
      </w:tc>
      <w:tc>
        <w:tcPr>
          <w:tcW w:w="4650" w:type="dxa"/>
        </w:tcPr>
        <w:p w14:paraId="526DF312" w14:textId="77777777" w:rsidR="6D34E8CA" w:rsidRDefault="6D34E8CA" w:rsidP="6D34E8CA">
          <w:pPr>
            <w:pStyle w:val="Header"/>
            <w:ind w:right="-115"/>
            <w:jc w:val="right"/>
            <w:rPr>
              <w:szCs w:val="24"/>
            </w:rPr>
          </w:pPr>
        </w:p>
      </w:tc>
    </w:tr>
  </w:tbl>
  <w:p w14:paraId="723B0B46" w14:textId="77777777" w:rsidR="6D34E8CA" w:rsidRDefault="6D34E8CA" w:rsidP="6D34E8CA">
    <w:pPr>
      <w:pStyle w:val="Header"/>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B7838" w14:textId="77777777" w:rsidR="007D0BCE" w:rsidRDefault="007D0BCE">
    <w:pPr>
      <w:pStyle w:val="Header"/>
    </w:pPr>
  </w:p>
  <w:p w14:paraId="77CFDB20" w14:textId="77777777" w:rsidR="00E41F41" w:rsidRDefault="00E41F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7D0BCE" w:rsidRPr="00BC5C25" w14:paraId="0F9573AE" w14:textId="77777777" w:rsidTr="00B4135F">
      <w:tc>
        <w:tcPr>
          <w:tcW w:w="3009" w:type="dxa"/>
        </w:tcPr>
        <w:p w14:paraId="7F5F9781" w14:textId="77777777" w:rsidR="007D0BCE" w:rsidRPr="00BC5C25" w:rsidRDefault="007D0BCE" w:rsidP="00B4135F">
          <w:pPr>
            <w:pStyle w:val="Header"/>
            <w:ind w:left="-115"/>
          </w:pPr>
        </w:p>
      </w:tc>
      <w:tc>
        <w:tcPr>
          <w:tcW w:w="3009" w:type="dxa"/>
        </w:tcPr>
        <w:p w14:paraId="114419BD" w14:textId="77777777" w:rsidR="007D0BCE" w:rsidRPr="00BC5C25" w:rsidRDefault="007D0BCE" w:rsidP="00B4135F">
          <w:pPr>
            <w:pStyle w:val="Header"/>
            <w:jc w:val="center"/>
          </w:pPr>
        </w:p>
      </w:tc>
      <w:tc>
        <w:tcPr>
          <w:tcW w:w="3009" w:type="dxa"/>
        </w:tcPr>
        <w:p w14:paraId="7C9C3475" w14:textId="77777777" w:rsidR="007D0BCE" w:rsidRPr="00BC5C25" w:rsidRDefault="007D0BCE" w:rsidP="00B4135F">
          <w:pPr>
            <w:pStyle w:val="Header"/>
            <w:ind w:right="-115"/>
            <w:jc w:val="right"/>
          </w:pPr>
        </w:p>
      </w:tc>
    </w:tr>
  </w:tbl>
  <w:p w14:paraId="73838165" w14:textId="77777777" w:rsidR="007D0BCE" w:rsidRDefault="007D0BCE" w:rsidP="00B4135F">
    <w:pPr>
      <w:pStyle w:val="Header"/>
    </w:pPr>
  </w:p>
  <w:p w14:paraId="1707FFD2" w14:textId="77777777" w:rsidR="00E41F41" w:rsidRDefault="00E41F41"/>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E1E7D" w14:textId="77777777" w:rsidR="007D0BCE" w:rsidRDefault="007D0B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535AB"/>
    <w:multiLevelType w:val="hybridMultilevel"/>
    <w:tmpl w:val="244CF5EC"/>
    <w:lvl w:ilvl="0" w:tplc="1B5C21E8">
      <w:start w:val="1"/>
      <w:numFmt w:val="upperRoman"/>
      <w:lvlText w:val="%1."/>
      <w:lvlJc w:val="right"/>
      <w:pPr>
        <w:ind w:left="720" w:hanging="360"/>
      </w:pPr>
    </w:lvl>
    <w:lvl w:ilvl="1" w:tplc="3698F2FC">
      <w:start w:val="1"/>
      <w:numFmt w:val="lowerLetter"/>
      <w:lvlText w:val="%2."/>
      <w:lvlJc w:val="left"/>
      <w:pPr>
        <w:ind w:left="1440" w:hanging="360"/>
      </w:pPr>
    </w:lvl>
    <w:lvl w:ilvl="2" w:tplc="68F4B2D8">
      <w:start w:val="1"/>
      <w:numFmt w:val="lowerRoman"/>
      <w:lvlText w:val="%3."/>
      <w:lvlJc w:val="right"/>
      <w:pPr>
        <w:ind w:left="2160" w:hanging="180"/>
      </w:pPr>
    </w:lvl>
    <w:lvl w:ilvl="3" w:tplc="8CA2A826">
      <w:start w:val="1"/>
      <w:numFmt w:val="decimal"/>
      <w:lvlText w:val="%4."/>
      <w:lvlJc w:val="left"/>
      <w:pPr>
        <w:ind w:left="2880" w:hanging="360"/>
      </w:pPr>
    </w:lvl>
    <w:lvl w:ilvl="4" w:tplc="547C83C0">
      <w:start w:val="1"/>
      <w:numFmt w:val="lowerLetter"/>
      <w:lvlText w:val="%5."/>
      <w:lvlJc w:val="left"/>
      <w:pPr>
        <w:ind w:left="3600" w:hanging="360"/>
      </w:pPr>
    </w:lvl>
    <w:lvl w:ilvl="5" w:tplc="F9B424CE">
      <w:start w:val="1"/>
      <w:numFmt w:val="lowerRoman"/>
      <w:lvlText w:val="%6."/>
      <w:lvlJc w:val="right"/>
      <w:pPr>
        <w:ind w:left="4320" w:hanging="180"/>
      </w:pPr>
    </w:lvl>
    <w:lvl w:ilvl="6" w:tplc="7F16FF76">
      <w:start w:val="1"/>
      <w:numFmt w:val="decimal"/>
      <w:lvlText w:val="%7."/>
      <w:lvlJc w:val="left"/>
      <w:pPr>
        <w:ind w:left="5040" w:hanging="360"/>
      </w:pPr>
    </w:lvl>
    <w:lvl w:ilvl="7" w:tplc="107E011A">
      <w:start w:val="1"/>
      <w:numFmt w:val="lowerLetter"/>
      <w:lvlText w:val="%8."/>
      <w:lvlJc w:val="left"/>
      <w:pPr>
        <w:ind w:left="5760" w:hanging="360"/>
      </w:pPr>
    </w:lvl>
    <w:lvl w:ilvl="8" w:tplc="B4301ABC">
      <w:start w:val="1"/>
      <w:numFmt w:val="lowerRoman"/>
      <w:lvlText w:val="%9."/>
      <w:lvlJc w:val="right"/>
      <w:pPr>
        <w:ind w:left="6480" w:hanging="180"/>
      </w:pPr>
    </w:lvl>
  </w:abstractNum>
  <w:abstractNum w:abstractNumId="1" w15:restartNumberingAfterBreak="0">
    <w:nsid w:val="088E66E2"/>
    <w:multiLevelType w:val="multilevel"/>
    <w:tmpl w:val="A1ACD342"/>
    <w:lvl w:ilvl="0">
      <w:start w:val="1"/>
      <w:numFmt w:val="decimal"/>
      <w:lvlText w:val="%1."/>
      <w:lvlJc w:val="left"/>
      <w:pPr>
        <w:ind w:left="720" w:hanging="360"/>
      </w:pPr>
      <w:rPr>
        <w:rFonts w:hint="default"/>
      </w:rPr>
    </w:lvl>
    <w:lvl w:ilvl="1">
      <w:start w:val="3"/>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2" w15:restartNumberingAfterBreak="0">
    <w:nsid w:val="0A662DFB"/>
    <w:multiLevelType w:val="hybridMultilevel"/>
    <w:tmpl w:val="D832AA7C"/>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223D9F"/>
    <w:multiLevelType w:val="hybridMultilevel"/>
    <w:tmpl w:val="AD623AE8"/>
    <w:lvl w:ilvl="0" w:tplc="4EDE1F5E">
      <w:start w:val="2"/>
      <w:numFmt w:val="decimal"/>
      <w:lvlText w:val="%1."/>
      <w:lvlJc w:val="left"/>
      <w:pPr>
        <w:ind w:left="704" w:hanging="360"/>
      </w:pPr>
      <w:rPr>
        <w:rFonts w:hint="default"/>
      </w:rPr>
    </w:lvl>
    <w:lvl w:ilvl="1" w:tplc="08090019" w:tentative="1">
      <w:start w:val="1"/>
      <w:numFmt w:val="lowerLetter"/>
      <w:lvlText w:val="%2."/>
      <w:lvlJc w:val="left"/>
      <w:pPr>
        <w:ind w:left="1424" w:hanging="360"/>
      </w:pPr>
    </w:lvl>
    <w:lvl w:ilvl="2" w:tplc="0809001B" w:tentative="1">
      <w:start w:val="1"/>
      <w:numFmt w:val="lowerRoman"/>
      <w:lvlText w:val="%3."/>
      <w:lvlJc w:val="right"/>
      <w:pPr>
        <w:ind w:left="2144" w:hanging="180"/>
      </w:pPr>
    </w:lvl>
    <w:lvl w:ilvl="3" w:tplc="0809000F" w:tentative="1">
      <w:start w:val="1"/>
      <w:numFmt w:val="decimal"/>
      <w:lvlText w:val="%4."/>
      <w:lvlJc w:val="left"/>
      <w:pPr>
        <w:ind w:left="2864" w:hanging="360"/>
      </w:pPr>
    </w:lvl>
    <w:lvl w:ilvl="4" w:tplc="08090019" w:tentative="1">
      <w:start w:val="1"/>
      <w:numFmt w:val="lowerLetter"/>
      <w:lvlText w:val="%5."/>
      <w:lvlJc w:val="left"/>
      <w:pPr>
        <w:ind w:left="3584" w:hanging="360"/>
      </w:pPr>
    </w:lvl>
    <w:lvl w:ilvl="5" w:tplc="0809001B" w:tentative="1">
      <w:start w:val="1"/>
      <w:numFmt w:val="lowerRoman"/>
      <w:lvlText w:val="%6."/>
      <w:lvlJc w:val="right"/>
      <w:pPr>
        <w:ind w:left="4304" w:hanging="180"/>
      </w:pPr>
    </w:lvl>
    <w:lvl w:ilvl="6" w:tplc="0809000F" w:tentative="1">
      <w:start w:val="1"/>
      <w:numFmt w:val="decimal"/>
      <w:lvlText w:val="%7."/>
      <w:lvlJc w:val="left"/>
      <w:pPr>
        <w:ind w:left="5024" w:hanging="360"/>
      </w:pPr>
    </w:lvl>
    <w:lvl w:ilvl="7" w:tplc="08090019" w:tentative="1">
      <w:start w:val="1"/>
      <w:numFmt w:val="lowerLetter"/>
      <w:lvlText w:val="%8."/>
      <w:lvlJc w:val="left"/>
      <w:pPr>
        <w:ind w:left="5744" w:hanging="360"/>
      </w:pPr>
    </w:lvl>
    <w:lvl w:ilvl="8" w:tplc="0809001B" w:tentative="1">
      <w:start w:val="1"/>
      <w:numFmt w:val="lowerRoman"/>
      <w:lvlText w:val="%9."/>
      <w:lvlJc w:val="right"/>
      <w:pPr>
        <w:ind w:left="6464" w:hanging="180"/>
      </w:pPr>
    </w:lvl>
  </w:abstractNum>
  <w:abstractNum w:abstractNumId="4" w15:restartNumberingAfterBreak="0">
    <w:nsid w:val="1482775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C510EA5"/>
    <w:multiLevelType w:val="multilevel"/>
    <w:tmpl w:val="A03822CE"/>
    <w:lvl w:ilvl="0">
      <w:start w:val="3"/>
      <w:numFmt w:val="decimal"/>
      <w:lvlText w:val="%1"/>
      <w:lvlJc w:val="left"/>
      <w:pPr>
        <w:ind w:left="400" w:hanging="40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3467839"/>
    <w:multiLevelType w:val="hybridMultilevel"/>
    <w:tmpl w:val="2340BB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BF47316"/>
    <w:multiLevelType w:val="hybridMultilevel"/>
    <w:tmpl w:val="B6BCDED6"/>
    <w:lvl w:ilvl="0" w:tplc="59883474">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8" w15:restartNumberingAfterBreak="0">
    <w:nsid w:val="45C56B05"/>
    <w:multiLevelType w:val="hybridMultilevel"/>
    <w:tmpl w:val="FC584B5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CBD22F3"/>
    <w:multiLevelType w:val="hybridMultilevel"/>
    <w:tmpl w:val="DAF0C49E"/>
    <w:lvl w:ilvl="0" w:tplc="B3CC470A">
      <w:start w:val="1"/>
      <w:numFmt w:val="decimal"/>
      <w:lvlText w:val="%1."/>
      <w:lvlJc w:val="left"/>
      <w:pPr>
        <w:tabs>
          <w:tab w:val="num" w:pos="720"/>
        </w:tabs>
        <w:ind w:left="720" w:hanging="360"/>
      </w:pPr>
    </w:lvl>
    <w:lvl w:ilvl="1" w:tplc="C666CB7A" w:tentative="1">
      <w:start w:val="1"/>
      <w:numFmt w:val="decimal"/>
      <w:lvlText w:val="%2."/>
      <w:lvlJc w:val="left"/>
      <w:pPr>
        <w:tabs>
          <w:tab w:val="num" w:pos="1440"/>
        </w:tabs>
        <w:ind w:left="1440" w:hanging="360"/>
      </w:pPr>
    </w:lvl>
    <w:lvl w:ilvl="2" w:tplc="83ACFA76" w:tentative="1">
      <w:start w:val="1"/>
      <w:numFmt w:val="decimal"/>
      <w:lvlText w:val="%3."/>
      <w:lvlJc w:val="left"/>
      <w:pPr>
        <w:tabs>
          <w:tab w:val="num" w:pos="2160"/>
        </w:tabs>
        <w:ind w:left="2160" w:hanging="360"/>
      </w:pPr>
    </w:lvl>
    <w:lvl w:ilvl="3" w:tplc="05807DB4" w:tentative="1">
      <w:start w:val="1"/>
      <w:numFmt w:val="decimal"/>
      <w:lvlText w:val="%4."/>
      <w:lvlJc w:val="left"/>
      <w:pPr>
        <w:tabs>
          <w:tab w:val="num" w:pos="2880"/>
        </w:tabs>
        <w:ind w:left="2880" w:hanging="360"/>
      </w:pPr>
    </w:lvl>
    <w:lvl w:ilvl="4" w:tplc="DE6A2492" w:tentative="1">
      <w:start w:val="1"/>
      <w:numFmt w:val="decimal"/>
      <w:lvlText w:val="%5."/>
      <w:lvlJc w:val="left"/>
      <w:pPr>
        <w:tabs>
          <w:tab w:val="num" w:pos="3600"/>
        </w:tabs>
        <w:ind w:left="3600" w:hanging="360"/>
      </w:pPr>
    </w:lvl>
    <w:lvl w:ilvl="5" w:tplc="6E565CEE" w:tentative="1">
      <w:start w:val="1"/>
      <w:numFmt w:val="decimal"/>
      <w:lvlText w:val="%6."/>
      <w:lvlJc w:val="left"/>
      <w:pPr>
        <w:tabs>
          <w:tab w:val="num" w:pos="4320"/>
        </w:tabs>
        <w:ind w:left="4320" w:hanging="360"/>
      </w:pPr>
    </w:lvl>
    <w:lvl w:ilvl="6" w:tplc="7930C5FA" w:tentative="1">
      <w:start w:val="1"/>
      <w:numFmt w:val="decimal"/>
      <w:lvlText w:val="%7."/>
      <w:lvlJc w:val="left"/>
      <w:pPr>
        <w:tabs>
          <w:tab w:val="num" w:pos="5040"/>
        </w:tabs>
        <w:ind w:left="5040" w:hanging="360"/>
      </w:pPr>
    </w:lvl>
    <w:lvl w:ilvl="7" w:tplc="92BE0972" w:tentative="1">
      <w:start w:val="1"/>
      <w:numFmt w:val="decimal"/>
      <w:lvlText w:val="%8."/>
      <w:lvlJc w:val="left"/>
      <w:pPr>
        <w:tabs>
          <w:tab w:val="num" w:pos="5760"/>
        </w:tabs>
        <w:ind w:left="5760" w:hanging="360"/>
      </w:pPr>
    </w:lvl>
    <w:lvl w:ilvl="8" w:tplc="9DEC0E40" w:tentative="1">
      <w:start w:val="1"/>
      <w:numFmt w:val="decimal"/>
      <w:lvlText w:val="%9."/>
      <w:lvlJc w:val="left"/>
      <w:pPr>
        <w:tabs>
          <w:tab w:val="num" w:pos="6480"/>
        </w:tabs>
        <w:ind w:left="6480" w:hanging="360"/>
      </w:pPr>
    </w:lvl>
  </w:abstractNum>
  <w:abstractNum w:abstractNumId="10" w15:restartNumberingAfterBreak="0">
    <w:nsid w:val="57AC2E11"/>
    <w:multiLevelType w:val="hybridMultilevel"/>
    <w:tmpl w:val="9F4CCC9E"/>
    <w:lvl w:ilvl="0" w:tplc="37D2BA4C">
      <w:start w:val="1"/>
      <w:numFmt w:val="decimal"/>
      <w:lvlText w:val="%1."/>
      <w:lvlJc w:val="left"/>
      <w:pPr>
        <w:ind w:left="704" w:hanging="360"/>
      </w:pPr>
      <w:rPr>
        <w:rFonts w:hint="default"/>
      </w:rPr>
    </w:lvl>
    <w:lvl w:ilvl="1" w:tplc="08090019" w:tentative="1">
      <w:start w:val="1"/>
      <w:numFmt w:val="lowerLetter"/>
      <w:lvlText w:val="%2."/>
      <w:lvlJc w:val="left"/>
      <w:pPr>
        <w:ind w:left="1424" w:hanging="360"/>
      </w:pPr>
    </w:lvl>
    <w:lvl w:ilvl="2" w:tplc="0809001B" w:tentative="1">
      <w:start w:val="1"/>
      <w:numFmt w:val="lowerRoman"/>
      <w:lvlText w:val="%3."/>
      <w:lvlJc w:val="right"/>
      <w:pPr>
        <w:ind w:left="2144" w:hanging="180"/>
      </w:pPr>
    </w:lvl>
    <w:lvl w:ilvl="3" w:tplc="0809000F" w:tentative="1">
      <w:start w:val="1"/>
      <w:numFmt w:val="decimal"/>
      <w:lvlText w:val="%4."/>
      <w:lvlJc w:val="left"/>
      <w:pPr>
        <w:ind w:left="2864" w:hanging="360"/>
      </w:pPr>
    </w:lvl>
    <w:lvl w:ilvl="4" w:tplc="08090019" w:tentative="1">
      <w:start w:val="1"/>
      <w:numFmt w:val="lowerLetter"/>
      <w:lvlText w:val="%5."/>
      <w:lvlJc w:val="left"/>
      <w:pPr>
        <w:ind w:left="3584" w:hanging="360"/>
      </w:pPr>
    </w:lvl>
    <w:lvl w:ilvl="5" w:tplc="0809001B" w:tentative="1">
      <w:start w:val="1"/>
      <w:numFmt w:val="lowerRoman"/>
      <w:lvlText w:val="%6."/>
      <w:lvlJc w:val="right"/>
      <w:pPr>
        <w:ind w:left="4304" w:hanging="180"/>
      </w:pPr>
    </w:lvl>
    <w:lvl w:ilvl="6" w:tplc="0809000F" w:tentative="1">
      <w:start w:val="1"/>
      <w:numFmt w:val="decimal"/>
      <w:lvlText w:val="%7."/>
      <w:lvlJc w:val="left"/>
      <w:pPr>
        <w:ind w:left="5024" w:hanging="360"/>
      </w:pPr>
    </w:lvl>
    <w:lvl w:ilvl="7" w:tplc="08090019" w:tentative="1">
      <w:start w:val="1"/>
      <w:numFmt w:val="lowerLetter"/>
      <w:lvlText w:val="%8."/>
      <w:lvlJc w:val="left"/>
      <w:pPr>
        <w:ind w:left="5744" w:hanging="360"/>
      </w:pPr>
    </w:lvl>
    <w:lvl w:ilvl="8" w:tplc="0809001B" w:tentative="1">
      <w:start w:val="1"/>
      <w:numFmt w:val="lowerRoman"/>
      <w:lvlText w:val="%9."/>
      <w:lvlJc w:val="right"/>
      <w:pPr>
        <w:ind w:left="6464" w:hanging="180"/>
      </w:pPr>
    </w:lvl>
  </w:abstractNum>
  <w:abstractNum w:abstractNumId="11" w15:restartNumberingAfterBreak="0">
    <w:nsid w:val="5DC648FE"/>
    <w:multiLevelType w:val="hybridMultilevel"/>
    <w:tmpl w:val="F8F463D0"/>
    <w:lvl w:ilvl="0" w:tplc="1FCEAA02">
      <w:start w:val="1"/>
      <w:numFmt w:val="lowerRoman"/>
      <w:lvlText w:val="%1."/>
      <w:lvlJc w:val="right"/>
      <w:pPr>
        <w:ind w:left="1288" w:hanging="360"/>
      </w:pPr>
    </w:lvl>
    <w:lvl w:ilvl="1" w:tplc="08090019" w:tentative="1">
      <w:start w:val="1"/>
      <w:numFmt w:val="lowerLetter"/>
      <w:lvlText w:val="%2."/>
      <w:lvlJc w:val="left"/>
      <w:pPr>
        <w:ind w:left="2008" w:hanging="360"/>
      </w:pPr>
    </w:lvl>
    <w:lvl w:ilvl="2" w:tplc="0809001B" w:tentative="1">
      <w:start w:val="1"/>
      <w:numFmt w:val="lowerRoman"/>
      <w:lvlText w:val="%3."/>
      <w:lvlJc w:val="right"/>
      <w:pPr>
        <w:ind w:left="2728" w:hanging="180"/>
      </w:pPr>
    </w:lvl>
    <w:lvl w:ilvl="3" w:tplc="0809000F" w:tentative="1">
      <w:start w:val="1"/>
      <w:numFmt w:val="decimal"/>
      <w:lvlText w:val="%4."/>
      <w:lvlJc w:val="left"/>
      <w:pPr>
        <w:ind w:left="3448" w:hanging="360"/>
      </w:pPr>
    </w:lvl>
    <w:lvl w:ilvl="4" w:tplc="08090019" w:tentative="1">
      <w:start w:val="1"/>
      <w:numFmt w:val="lowerLetter"/>
      <w:lvlText w:val="%5."/>
      <w:lvlJc w:val="left"/>
      <w:pPr>
        <w:ind w:left="4168" w:hanging="360"/>
      </w:pPr>
    </w:lvl>
    <w:lvl w:ilvl="5" w:tplc="0809001B" w:tentative="1">
      <w:start w:val="1"/>
      <w:numFmt w:val="lowerRoman"/>
      <w:lvlText w:val="%6."/>
      <w:lvlJc w:val="right"/>
      <w:pPr>
        <w:ind w:left="4888" w:hanging="180"/>
      </w:pPr>
    </w:lvl>
    <w:lvl w:ilvl="6" w:tplc="0809000F" w:tentative="1">
      <w:start w:val="1"/>
      <w:numFmt w:val="decimal"/>
      <w:lvlText w:val="%7."/>
      <w:lvlJc w:val="left"/>
      <w:pPr>
        <w:ind w:left="5608" w:hanging="360"/>
      </w:pPr>
    </w:lvl>
    <w:lvl w:ilvl="7" w:tplc="08090019" w:tentative="1">
      <w:start w:val="1"/>
      <w:numFmt w:val="lowerLetter"/>
      <w:lvlText w:val="%8."/>
      <w:lvlJc w:val="left"/>
      <w:pPr>
        <w:ind w:left="6328" w:hanging="360"/>
      </w:pPr>
    </w:lvl>
    <w:lvl w:ilvl="8" w:tplc="0809001B" w:tentative="1">
      <w:start w:val="1"/>
      <w:numFmt w:val="lowerRoman"/>
      <w:lvlText w:val="%9."/>
      <w:lvlJc w:val="right"/>
      <w:pPr>
        <w:ind w:left="7048" w:hanging="180"/>
      </w:pPr>
    </w:lvl>
  </w:abstractNum>
  <w:abstractNum w:abstractNumId="12" w15:restartNumberingAfterBreak="0">
    <w:nsid w:val="69C20431"/>
    <w:multiLevelType w:val="hybridMultilevel"/>
    <w:tmpl w:val="8F18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886BE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71214ACC"/>
    <w:multiLevelType w:val="hybridMultilevel"/>
    <w:tmpl w:val="51B2AC86"/>
    <w:lvl w:ilvl="0" w:tplc="0A5E12B2">
      <w:start w:val="1"/>
      <w:numFmt w:val="upperRoman"/>
      <w:lvlText w:val="%1."/>
      <w:lvlJc w:val="right"/>
      <w:pPr>
        <w:ind w:left="720" w:hanging="360"/>
      </w:pPr>
    </w:lvl>
    <w:lvl w:ilvl="1" w:tplc="8FDC6862">
      <w:start w:val="1"/>
      <w:numFmt w:val="lowerLetter"/>
      <w:lvlText w:val="%2."/>
      <w:lvlJc w:val="left"/>
      <w:pPr>
        <w:ind w:left="1440" w:hanging="360"/>
      </w:pPr>
    </w:lvl>
    <w:lvl w:ilvl="2" w:tplc="EDE0579E">
      <w:start w:val="1"/>
      <w:numFmt w:val="lowerRoman"/>
      <w:lvlText w:val="%3."/>
      <w:lvlJc w:val="right"/>
      <w:pPr>
        <w:ind w:left="2160" w:hanging="180"/>
      </w:pPr>
    </w:lvl>
    <w:lvl w:ilvl="3" w:tplc="99E68AFC">
      <w:start w:val="1"/>
      <w:numFmt w:val="decimal"/>
      <w:lvlText w:val="%4."/>
      <w:lvlJc w:val="left"/>
      <w:pPr>
        <w:ind w:left="2880" w:hanging="360"/>
      </w:pPr>
    </w:lvl>
    <w:lvl w:ilvl="4" w:tplc="8898B3C0">
      <w:start w:val="1"/>
      <w:numFmt w:val="lowerLetter"/>
      <w:lvlText w:val="%5."/>
      <w:lvlJc w:val="left"/>
      <w:pPr>
        <w:ind w:left="3600" w:hanging="360"/>
      </w:pPr>
    </w:lvl>
    <w:lvl w:ilvl="5" w:tplc="56C2ECDC">
      <w:start w:val="1"/>
      <w:numFmt w:val="lowerRoman"/>
      <w:lvlText w:val="%6."/>
      <w:lvlJc w:val="right"/>
      <w:pPr>
        <w:ind w:left="4320" w:hanging="180"/>
      </w:pPr>
    </w:lvl>
    <w:lvl w:ilvl="6" w:tplc="401E20C2">
      <w:start w:val="1"/>
      <w:numFmt w:val="decimal"/>
      <w:lvlText w:val="%7."/>
      <w:lvlJc w:val="left"/>
      <w:pPr>
        <w:ind w:left="5040" w:hanging="360"/>
      </w:pPr>
    </w:lvl>
    <w:lvl w:ilvl="7" w:tplc="2E6A1AB6">
      <w:start w:val="1"/>
      <w:numFmt w:val="lowerLetter"/>
      <w:lvlText w:val="%8."/>
      <w:lvlJc w:val="left"/>
      <w:pPr>
        <w:ind w:left="5760" w:hanging="360"/>
      </w:pPr>
    </w:lvl>
    <w:lvl w:ilvl="8" w:tplc="42E4975A">
      <w:start w:val="1"/>
      <w:numFmt w:val="lowerRoman"/>
      <w:lvlText w:val="%9."/>
      <w:lvlJc w:val="right"/>
      <w:pPr>
        <w:ind w:left="6480" w:hanging="180"/>
      </w:pPr>
    </w:lvl>
  </w:abstractNum>
  <w:abstractNum w:abstractNumId="15" w15:restartNumberingAfterBreak="0">
    <w:nsid w:val="71592D95"/>
    <w:multiLevelType w:val="hybridMultilevel"/>
    <w:tmpl w:val="C6DC689A"/>
    <w:lvl w:ilvl="0" w:tplc="A9FA8B56">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6" w15:restartNumberingAfterBreak="0">
    <w:nsid w:val="7D2D7E88"/>
    <w:multiLevelType w:val="multilevel"/>
    <w:tmpl w:val="997EEB04"/>
    <w:lvl w:ilvl="0">
      <w:start w:val="1"/>
      <w:numFmt w:val="upperRoman"/>
      <w:lvlText w:val="%1."/>
      <w:lvlJc w:val="right"/>
      <w:pPr>
        <w:ind w:left="432" w:hanging="432"/>
      </w:pPr>
      <w:rPr>
        <w:rFonts w:hint="default"/>
        <w:u w:val="none"/>
      </w:rPr>
    </w:lvl>
    <w:lvl w:ilvl="1">
      <w:start w:val="1"/>
      <w:numFmt w:val="decimal"/>
      <w:lvlText w:val="%1.%2"/>
      <w:lvlJc w:val="left"/>
      <w:pPr>
        <w:ind w:left="1144"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7F787AAF"/>
    <w:multiLevelType w:val="multilevel"/>
    <w:tmpl w:val="FD8A4E14"/>
    <w:lvl w:ilvl="0">
      <w:start w:val="1"/>
      <w:numFmt w:val="upperRoman"/>
      <w:lvlText w:val="%1."/>
      <w:lvlJc w:val="right"/>
      <w:pPr>
        <w:ind w:left="432" w:hanging="432"/>
      </w:pPr>
      <w:rPr>
        <w:rFonts w:hint="default"/>
        <w:u w:val="none"/>
      </w:rPr>
    </w:lvl>
    <w:lvl w:ilvl="1">
      <w:start w:val="1"/>
      <w:numFmt w:val="lowerRoman"/>
      <w:lvlText w:val="%1(%2)"/>
      <w:lvlJc w:val="right"/>
      <w:pPr>
        <w:ind w:left="567" w:firstLine="1"/>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16cid:durableId="2106996950">
    <w:abstractNumId w:val="14"/>
  </w:num>
  <w:num w:numId="2" w16cid:durableId="493646490">
    <w:abstractNumId w:val="0"/>
  </w:num>
  <w:num w:numId="3" w16cid:durableId="1258099810">
    <w:abstractNumId w:val="12"/>
  </w:num>
  <w:num w:numId="4" w16cid:durableId="587884448">
    <w:abstractNumId w:val="8"/>
  </w:num>
  <w:num w:numId="5" w16cid:durableId="666514852">
    <w:abstractNumId w:val="15"/>
  </w:num>
  <w:num w:numId="6" w16cid:durableId="571306700">
    <w:abstractNumId w:val="2"/>
  </w:num>
  <w:num w:numId="7" w16cid:durableId="1575361464">
    <w:abstractNumId w:val="10"/>
  </w:num>
  <w:num w:numId="8" w16cid:durableId="144013019">
    <w:abstractNumId w:val="3"/>
  </w:num>
  <w:num w:numId="9" w16cid:durableId="1981886571">
    <w:abstractNumId w:val="7"/>
  </w:num>
  <w:num w:numId="10" w16cid:durableId="1011571139">
    <w:abstractNumId w:val="4"/>
  </w:num>
  <w:num w:numId="11" w16cid:durableId="1680738408">
    <w:abstractNumId w:val="6"/>
  </w:num>
  <w:num w:numId="12" w16cid:durableId="633753997">
    <w:abstractNumId w:val="9"/>
  </w:num>
  <w:num w:numId="13" w16cid:durableId="1490360969">
    <w:abstractNumId w:val="16"/>
  </w:num>
  <w:num w:numId="14" w16cid:durableId="1060665154">
    <w:abstractNumId w:val="11"/>
  </w:num>
  <w:num w:numId="15" w16cid:durableId="1759249606">
    <w:abstractNumId w:val="17"/>
  </w:num>
  <w:num w:numId="16" w16cid:durableId="1648827079">
    <w:abstractNumId w:val="1"/>
  </w:num>
  <w:num w:numId="17" w16cid:durableId="1926837860">
    <w:abstractNumId w:val="5"/>
  </w:num>
  <w:num w:numId="18" w16cid:durableId="95440366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DcyszQzNbAwsrQ0NjZV0lEKTi0uzszPAykwMjKpBQD48fCTLgAAAA=="/>
  </w:docVars>
  <w:rsids>
    <w:rsidRoot w:val="009078D0"/>
    <w:rsid w:val="00000B5E"/>
    <w:rsid w:val="00000E3E"/>
    <w:rsid w:val="000018FA"/>
    <w:rsid w:val="00001C49"/>
    <w:rsid w:val="000025A9"/>
    <w:rsid w:val="0000263F"/>
    <w:rsid w:val="00002AF8"/>
    <w:rsid w:val="00002EF8"/>
    <w:rsid w:val="000035AE"/>
    <w:rsid w:val="00004595"/>
    <w:rsid w:val="00004F9F"/>
    <w:rsid w:val="0000596F"/>
    <w:rsid w:val="00005A01"/>
    <w:rsid w:val="00005CDC"/>
    <w:rsid w:val="0001070A"/>
    <w:rsid w:val="00012DF2"/>
    <w:rsid w:val="00012E88"/>
    <w:rsid w:val="00013605"/>
    <w:rsid w:val="0001361E"/>
    <w:rsid w:val="00013963"/>
    <w:rsid w:val="00013BFC"/>
    <w:rsid w:val="00013FDD"/>
    <w:rsid w:val="0001431F"/>
    <w:rsid w:val="000146A2"/>
    <w:rsid w:val="000149E5"/>
    <w:rsid w:val="00014C8D"/>
    <w:rsid w:val="00014CDC"/>
    <w:rsid w:val="00015121"/>
    <w:rsid w:val="00016355"/>
    <w:rsid w:val="000166C0"/>
    <w:rsid w:val="000166D6"/>
    <w:rsid w:val="00016D24"/>
    <w:rsid w:val="00016D2D"/>
    <w:rsid w:val="00016D73"/>
    <w:rsid w:val="0001719A"/>
    <w:rsid w:val="000172E1"/>
    <w:rsid w:val="00020407"/>
    <w:rsid w:val="00020C34"/>
    <w:rsid w:val="00021493"/>
    <w:rsid w:val="00021861"/>
    <w:rsid w:val="000218E7"/>
    <w:rsid w:val="000220C5"/>
    <w:rsid w:val="000220FC"/>
    <w:rsid w:val="0002238B"/>
    <w:rsid w:val="00022616"/>
    <w:rsid w:val="000226BF"/>
    <w:rsid w:val="00022949"/>
    <w:rsid w:val="000233F9"/>
    <w:rsid w:val="00023525"/>
    <w:rsid w:val="0002373D"/>
    <w:rsid w:val="000239CA"/>
    <w:rsid w:val="00023D3A"/>
    <w:rsid w:val="000243AD"/>
    <w:rsid w:val="000248DC"/>
    <w:rsid w:val="00024A99"/>
    <w:rsid w:val="00024F56"/>
    <w:rsid w:val="0002542F"/>
    <w:rsid w:val="00025933"/>
    <w:rsid w:val="00025960"/>
    <w:rsid w:val="00025EB5"/>
    <w:rsid w:val="00025F9D"/>
    <w:rsid w:val="00026852"/>
    <w:rsid w:val="00027ACD"/>
    <w:rsid w:val="00027B9B"/>
    <w:rsid w:val="00027E7B"/>
    <w:rsid w:val="00027EB5"/>
    <w:rsid w:val="00027F7D"/>
    <w:rsid w:val="000303DD"/>
    <w:rsid w:val="000304BE"/>
    <w:rsid w:val="00030DE8"/>
    <w:rsid w:val="00031020"/>
    <w:rsid w:val="0003188C"/>
    <w:rsid w:val="000319AF"/>
    <w:rsid w:val="00031F01"/>
    <w:rsid w:val="00032278"/>
    <w:rsid w:val="00032464"/>
    <w:rsid w:val="000326E4"/>
    <w:rsid w:val="00033D13"/>
    <w:rsid w:val="00033E05"/>
    <w:rsid w:val="000346FC"/>
    <w:rsid w:val="00034F4D"/>
    <w:rsid w:val="00034FEF"/>
    <w:rsid w:val="00035097"/>
    <w:rsid w:val="000351F1"/>
    <w:rsid w:val="00035270"/>
    <w:rsid w:val="000358EB"/>
    <w:rsid w:val="00035A25"/>
    <w:rsid w:val="00035EA2"/>
    <w:rsid w:val="000366AD"/>
    <w:rsid w:val="00036B4C"/>
    <w:rsid w:val="00036D14"/>
    <w:rsid w:val="00036FB3"/>
    <w:rsid w:val="0003701A"/>
    <w:rsid w:val="0003719D"/>
    <w:rsid w:val="00037ADA"/>
    <w:rsid w:val="00037E95"/>
    <w:rsid w:val="0004005C"/>
    <w:rsid w:val="000403EF"/>
    <w:rsid w:val="000404C5"/>
    <w:rsid w:val="00041009"/>
    <w:rsid w:val="000417F2"/>
    <w:rsid w:val="00041E50"/>
    <w:rsid w:val="00042004"/>
    <w:rsid w:val="00042608"/>
    <w:rsid w:val="0004288F"/>
    <w:rsid w:val="00044317"/>
    <w:rsid w:val="00044669"/>
    <w:rsid w:val="00044DED"/>
    <w:rsid w:val="00044FCF"/>
    <w:rsid w:val="0004504F"/>
    <w:rsid w:val="00045A6A"/>
    <w:rsid w:val="000462AA"/>
    <w:rsid w:val="00046796"/>
    <w:rsid w:val="00046C3C"/>
    <w:rsid w:val="00050017"/>
    <w:rsid w:val="00050510"/>
    <w:rsid w:val="000506D0"/>
    <w:rsid w:val="00050E83"/>
    <w:rsid w:val="00050F0E"/>
    <w:rsid w:val="0005148D"/>
    <w:rsid w:val="00051EA4"/>
    <w:rsid w:val="00051F5C"/>
    <w:rsid w:val="00051FDB"/>
    <w:rsid w:val="00052140"/>
    <w:rsid w:val="000524D1"/>
    <w:rsid w:val="00052D3E"/>
    <w:rsid w:val="00052DA1"/>
    <w:rsid w:val="000531A4"/>
    <w:rsid w:val="00053912"/>
    <w:rsid w:val="00054849"/>
    <w:rsid w:val="00054A5E"/>
    <w:rsid w:val="00055187"/>
    <w:rsid w:val="00055811"/>
    <w:rsid w:val="00055CAF"/>
    <w:rsid w:val="000567F8"/>
    <w:rsid w:val="00056AA5"/>
    <w:rsid w:val="00056EDB"/>
    <w:rsid w:val="0005707F"/>
    <w:rsid w:val="00057734"/>
    <w:rsid w:val="00057CA9"/>
    <w:rsid w:val="00057D82"/>
    <w:rsid w:val="00060442"/>
    <w:rsid w:val="00060503"/>
    <w:rsid w:val="000605A1"/>
    <w:rsid w:val="00060B77"/>
    <w:rsid w:val="00060ED4"/>
    <w:rsid w:val="00061219"/>
    <w:rsid w:val="000612A8"/>
    <w:rsid w:val="00061712"/>
    <w:rsid w:val="00062088"/>
    <w:rsid w:val="00062924"/>
    <w:rsid w:val="00062BFD"/>
    <w:rsid w:val="00062E5D"/>
    <w:rsid w:val="00063AC1"/>
    <w:rsid w:val="00063D36"/>
    <w:rsid w:val="00063E80"/>
    <w:rsid w:val="000646C2"/>
    <w:rsid w:val="00064887"/>
    <w:rsid w:val="00064EA5"/>
    <w:rsid w:val="00064F2C"/>
    <w:rsid w:val="0006514B"/>
    <w:rsid w:val="00065194"/>
    <w:rsid w:val="000656D4"/>
    <w:rsid w:val="00065AA8"/>
    <w:rsid w:val="00066131"/>
    <w:rsid w:val="0006673C"/>
    <w:rsid w:val="00066B03"/>
    <w:rsid w:val="00067318"/>
    <w:rsid w:val="00067CEA"/>
    <w:rsid w:val="00067D7B"/>
    <w:rsid w:val="00070F30"/>
    <w:rsid w:val="00070F3F"/>
    <w:rsid w:val="00070F6F"/>
    <w:rsid w:val="00071847"/>
    <w:rsid w:val="00071A13"/>
    <w:rsid w:val="00071E95"/>
    <w:rsid w:val="0007230C"/>
    <w:rsid w:val="00072554"/>
    <w:rsid w:val="00072CFF"/>
    <w:rsid w:val="00073604"/>
    <w:rsid w:val="00073D5A"/>
    <w:rsid w:val="00074410"/>
    <w:rsid w:val="000753AA"/>
    <w:rsid w:val="00075725"/>
    <w:rsid w:val="00075820"/>
    <w:rsid w:val="00075935"/>
    <w:rsid w:val="00075E3C"/>
    <w:rsid w:val="0007602B"/>
    <w:rsid w:val="000761DE"/>
    <w:rsid w:val="00076519"/>
    <w:rsid w:val="0007746B"/>
    <w:rsid w:val="000774FA"/>
    <w:rsid w:val="00077693"/>
    <w:rsid w:val="0008001A"/>
    <w:rsid w:val="00080574"/>
    <w:rsid w:val="0008058F"/>
    <w:rsid w:val="00080BA0"/>
    <w:rsid w:val="00080E8D"/>
    <w:rsid w:val="0008113B"/>
    <w:rsid w:val="00082697"/>
    <w:rsid w:val="00082AEE"/>
    <w:rsid w:val="00082C7B"/>
    <w:rsid w:val="00083076"/>
    <w:rsid w:val="000832F4"/>
    <w:rsid w:val="000835D5"/>
    <w:rsid w:val="00084100"/>
    <w:rsid w:val="00084132"/>
    <w:rsid w:val="00085C0F"/>
    <w:rsid w:val="00085C47"/>
    <w:rsid w:val="00086E18"/>
    <w:rsid w:val="00087AD0"/>
    <w:rsid w:val="000909D1"/>
    <w:rsid w:val="00090BE8"/>
    <w:rsid w:val="00090C29"/>
    <w:rsid w:val="00090F4F"/>
    <w:rsid w:val="00091778"/>
    <w:rsid w:val="00091CF0"/>
    <w:rsid w:val="00092444"/>
    <w:rsid w:val="000925F2"/>
    <w:rsid w:val="00092736"/>
    <w:rsid w:val="00092B88"/>
    <w:rsid w:val="00094114"/>
    <w:rsid w:val="00094281"/>
    <w:rsid w:val="0009454D"/>
    <w:rsid w:val="00094D80"/>
    <w:rsid w:val="00094EAC"/>
    <w:rsid w:val="0009589B"/>
    <w:rsid w:val="000963D2"/>
    <w:rsid w:val="000963EC"/>
    <w:rsid w:val="00096A5F"/>
    <w:rsid w:val="00096C3F"/>
    <w:rsid w:val="00097304"/>
    <w:rsid w:val="00097ACB"/>
    <w:rsid w:val="000A0028"/>
    <w:rsid w:val="000A0192"/>
    <w:rsid w:val="000A05DC"/>
    <w:rsid w:val="000A0B57"/>
    <w:rsid w:val="000A196B"/>
    <w:rsid w:val="000A1976"/>
    <w:rsid w:val="000A2177"/>
    <w:rsid w:val="000A2307"/>
    <w:rsid w:val="000A2320"/>
    <w:rsid w:val="000A250E"/>
    <w:rsid w:val="000A2C3B"/>
    <w:rsid w:val="000A2F17"/>
    <w:rsid w:val="000A34F6"/>
    <w:rsid w:val="000A42B6"/>
    <w:rsid w:val="000A4796"/>
    <w:rsid w:val="000A4FE5"/>
    <w:rsid w:val="000A5653"/>
    <w:rsid w:val="000A56B5"/>
    <w:rsid w:val="000A58C1"/>
    <w:rsid w:val="000A5BF5"/>
    <w:rsid w:val="000A5F4C"/>
    <w:rsid w:val="000A6803"/>
    <w:rsid w:val="000A7124"/>
    <w:rsid w:val="000A72E4"/>
    <w:rsid w:val="000A7461"/>
    <w:rsid w:val="000A7769"/>
    <w:rsid w:val="000A783A"/>
    <w:rsid w:val="000A7CAB"/>
    <w:rsid w:val="000A7EE0"/>
    <w:rsid w:val="000B00CD"/>
    <w:rsid w:val="000B0464"/>
    <w:rsid w:val="000B0C60"/>
    <w:rsid w:val="000B107D"/>
    <w:rsid w:val="000B1222"/>
    <w:rsid w:val="000B16AB"/>
    <w:rsid w:val="000B176B"/>
    <w:rsid w:val="000B17C1"/>
    <w:rsid w:val="000B1E04"/>
    <w:rsid w:val="000B2486"/>
    <w:rsid w:val="000B268E"/>
    <w:rsid w:val="000B2D13"/>
    <w:rsid w:val="000B36B0"/>
    <w:rsid w:val="000B3E5A"/>
    <w:rsid w:val="000B4B68"/>
    <w:rsid w:val="000B4C77"/>
    <w:rsid w:val="000B4CF4"/>
    <w:rsid w:val="000B5221"/>
    <w:rsid w:val="000B58C0"/>
    <w:rsid w:val="000B6175"/>
    <w:rsid w:val="000B649C"/>
    <w:rsid w:val="000B6600"/>
    <w:rsid w:val="000B6EA7"/>
    <w:rsid w:val="000B7A0B"/>
    <w:rsid w:val="000B7AD5"/>
    <w:rsid w:val="000B7F55"/>
    <w:rsid w:val="000C06F6"/>
    <w:rsid w:val="000C0E23"/>
    <w:rsid w:val="000C2135"/>
    <w:rsid w:val="000C23BB"/>
    <w:rsid w:val="000C2462"/>
    <w:rsid w:val="000C2D2A"/>
    <w:rsid w:val="000C2F14"/>
    <w:rsid w:val="000C34AF"/>
    <w:rsid w:val="000C4226"/>
    <w:rsid w:val="000C4928"/>
    <w:rsid w:val="000C4ED4"/>
    <w:rsid w:val="000C4FEC"/>
    <w:rsid w:val="000C51AE"/>
    <w:rsid w:val="000C52E7"/>
    <w:rsid w:val="000C5921"/>
    <w:rsid w:val="000C633E"/>
    <w:rsid w:val="000C68BD"/>
    <w:rsid w:val="000C7CE5"/>
    <w:rsid w:val="000D028B"/>
    <w:rsid w:val="000D02CD"/>
    <w:rsid w:val="000D0939"/>
    <w:rsid w:val="000D19D6"/>
    <w:rsid w:val="000D1C7F"/>
    <w:rsid w:val="000D1EB1"/>
    <w:rsid w:val="000D20A0"/>
    <w:rsid w:val="000D2537"/>
    <w:rsid w:val="000D335A"/>
    <w:rsid w:val="000D4E38"/>
    <w:rsid w:val="000D4EEA"/>
    <w:rsid w:val="000D5597"/>
    <w:rsid w:val="000D55E2"/>
    <w:rsid w:val="000D5740"/>
    <w:rsid w:val="000D5AA0"/>
    <w:rsid w:val="000D5D41"/>
    <w:rsid w:val="000D613D"/>
    <w:rsid w:val="000D6302"/>
    <w:rsid w:val="000D6AF8"/>
    <w:rsid w:val="000D7358"/>
    <w:rsid w:val="000E03FC"/>
    <w:rsid w:val="000E0896"/>
    <w:rsid w:val="000E1076"/>
    <w:rsid w:val="000E1DDB"/>
    <w:rsid w:val="000E2149"/>
    <w:rsid w:val="000E224D"/>
    <w:rsid w:val="000E2F61"/>
    <w:rsid w:val="000E38DC"/>
    <w:rsid w:val="000E3BA4"/>
    <w:rsid w:val="000E42FB"/>
    <w:rsid w:val="000E4E6D"/>
    <w:rsid w:val="000E4E9A"/>
    <w:rsid w:val="000E4FCD"/>
    <w:rsid w:val="000E56AC"/>
    <w:rsid w:val="000E5C3F"/>
    <w:rsid w:val="000E616A"/>
    <w:rsid w:val="000E6198"/>
    <w:rsid w:val="000E6220"/>
    <w:rsid w:val="000E62D6"/>
    <w:rsid w:val="000E648A"/>
    <w:rsid w:val="000E67B5"/>
    <w:rsid w:val="000E69D2"/>
    <w:rsid w:val="000E6CC9"/>
    <w:rsid w:val="000E73FB"/>
    <w:rsid w:val="000E742E"/>
    <w:rsid w:val="000E7A13"/>
    <w:rsid w:val="000E7C8A"/>
    <w:rsid w:val="000F0CFC"/>
    <w:rsid w:val="000F0D85"/>
    <w:rsid w:val="000F14A6"/>
    <w:rsid w:val="000F1A92"/>
    <w:rsid w:val="000F1F4E"/>
    <w:rsid w:val="000F2049"/>
    <w:rsid w:val="000F212F"/>
    <w:rsid w:val="000F25B6"/>
    <w:rsid w:val="000F2C46"/>
    <w:rsid w:val="000F3B32"/>
    <w:rsid w:val="000F3E5E"/>
    <w:rsid w:val="000F4393"/>
    <w:rsid w:val="000F4425"/>
    <w:rsid w:val="000F4677"/>
    <w:rsid w:val="000F4ACD"/>
    <w:rsid w:val="000F4BF8"/>
    <w:rsid w:val="000F4C81"/>
    <w:rsid w:val="000F55E0"/>
    <w:rsid w:val="000F5883"/>
    <w:rsid w:val="000F5C4B"/>
    <w:rsid w:val="000F67CE"/>
    <w:rsid w:val="000F77F7"/>
    <w:rsid w:val="000FAE5E"/>
    <w:rsid w:val="00100347"/>
    <w:rsid w:val="00101025"/>
    <w:rsid w:val="001011BD"/>
    <w:rsid w:val="001013DB"/>
    <w:rsid w:val="00102392"/>
    <w:rsid w:val="00102B28"/>
    <w:rsid w:val="00102C10"/>
    <w:rsid w:val="00102D8A"/>
    <w:rsid w:val="001032AB"/>
    <w:rsid w:val="001033C9"/>
    <w:rsid w:val="00103661"/>
    <w:rsid w:val="00103C64"/>
    <w:rsid w:val="00104BF6"/>
    <w:rsid w:val="00104C2A"/>
    <w:rsid w:val="0010507C"/>
    <w:rsid w:val="00105488"/>
    <w:rsid w:val="00105AAB"/>
    <w:rsid w:val="0010608F"/>
    <w:rsid w:val="001069A1"/>
    <w:rsid w:val="00106C7F"/>
    <w:rsid w:val="00106DB9"/>
    <w:rsid w:val="001079A3"/>
    <w:rsid w:val="00107B00"/>
    <w:rsid w:val="00110452"/>
    <w:rsid w:val="00110656"/>
    <w:rsid w:val="00110A10"/>
    <w:rsid w:val="00110E23"/>
    <w:rsid w:val="00110FCF"/>
    <w:rsid w:val="001112BC"/>
    <w:rsid w:val="0011170C"/>
    <w:rsid w:val="00111C82"/>
    <w:rsid w:val="00111D84"/>
    <w:rsid w:val="0011219F"/>
    <w:rsid w:val="0011226B"/>
    <w:rsid w:val="00112766"/>
    <w:rsid w:val="00112825"/>
    <w:rsid w:val="00112C2F"/>
    <w:rsid w:val="00112DA3"/>
    <w:rsid w:val="001132A1"/>
    <w:rsid w:val="001143AA"/>
    <w:rsid w:val="00114535"/>
    <w:rsid w:val="001148F0"/>
    <w:rsid w:val="00114DC0"/>
    <w:rsid w:val="001150DB"/>
    <w:rsid w:val="00115585"/>
    <w:rsid w:val="00115A8A"/>
    <w:rsid w:val="00116564"/>
    <w:rsid w:val="00116BA4"/>
    <w:rsid w:val="001172A3"/>
    <w:rsid w:val="001176D0"/>
    <w:rsid w:val="00117A49"/>
    <w:rsid w:val="00117A82"/>
    <w:rsid w:val="00117AD7"/>
    <w:rsid w:val="00120681"/>
    <w:rsid w:val="00120D29"/>
    <w:rsid w:val="00121BB3"/>
    <w:rsid w:val="00121D67"/>
    <w:rsid w:val="0012234E"/>
    <w:rsid w:val="001225CC"/>
    <w:rsid w:val="00122618"/>
    <w:rsid w:val="0012280F"/>
    <w:rsid w:val="001231AF"/>
    <w:rsid w:val="00123D8E"/>
    <w:rsid w:val="00123F8F"/>
    <w:rsid w:val="00124883"/>
    <w:rsid w:val="001248A1"/>
    <w:rsid w:val="001249A3"/>
    <w:rsid w:val="00125331"/>
    <w:rsid w:val="00125609"/>
    <w:rsid w:val="00125734"/>
    <w:rsid w:val="00125DCB"/>
    <w:rsid w:val="00126061"/>
    <w:rsid w:val="001260F6"/>
    <w:rsid w:val="001262E1"/>
    <w:rsid w:val="00126EF0"/>
    <w:rsid w:val="0013028D"/>
    <w:rsid w:val="001309CF"/>
    <w:rsid w:val="00131333"/>
    <w:rsid w:val="00131583"/>
    <w:rsid w:val="001320C1"/>
    <w:rsid w:val="001322CE"/>
    <w:rsid w:val="0013266C"/>
    <w:rsid w:val="00133556"/>
    <w:rsid w:val="00133D79"/>
    <w:rsid w:val="00133FAC"/>
    <w:rsid w:val="00134B29"/>
    <w:rsid w:val="00135242"/>
    <w:rsid w:val="001359FB"/>
    <w:rsid w:val="001366FF"/>
    <w:rsid w:val="00136944"/>
    <w:rsid w:val="0013722F"/>
    <w:rsid w:val="00137265"/>
    <w:rsid w:val="001414D1"/>
    <w:rsid w:val="00141CF8"/>
    <w:rsid w:val="0014224D"/>
    <w:rsid w:val="00142B1C"/>
    <w:rsid w:val="00142C8C"/>
    <w:rsid w:val="00142FB7"/>
    <w:rsid w:val="0014351A"/>
    <w:rsid w:val="0014389C"/>
    <w:rsid w:val="00143BB4"/>
    <w:rsid w:val="00144684"/>
    <w:rsid w:val="00144834"/>
    <w:rsid w:val="0014489D"/>
    <w:rsid w:val="00144E77"/>
    <w:rsid w:val="001453DF"/>
    <w:rsid w:val="00145441"/>
    <w:rsid w:val="00145BFC"/>
    <w:rsid w:val="001463EE"/>
    <w:rsid w:val="00147290"/>
    <w:rsid w:val="00147308"/>
    <w:rsid w:val="00147483"/>
    <w:rsid w:val="00147A7E"/>
    <w:rsid w:val="00147E79"/>
    <w:rsid w:val="00150407"/>
    <w:rsid w:val="00150C0F"/>
    <w:rsid w:val="00150D85"/>
    <w:rsid w:val="00151220"/>
    <w:rsid w:val="00151314"/>
    <w:rsid w:val="00151A9C"/>
    <w:rsid w:val="00151D56"/>
    <w:rsid w:val="00151F62"/>
    <w:rsid w:val="001520D9"/>
    <w:rsid w:val="001525CB"/>
    <w:rsid w:val="00152727"/>
    <w:rsid w:val="00153AAF"/>
    <w:rsid w:val="001548CA"/>
    <w:rsid w:val="001551DF"/>
    <w:rsid w:val="0015524C"/>
    <w:rsid w:val="001557FF"/>
    <w:rsid w:val="00155F05"/>
    <w:rsid w:val="0015676E"/>
    <w:rsid w:val="00156A26"/>
    <w:rsid w:val="00156B8C"/>
    <w:rsid w:val="0015787E"/>
    <w:rsid w:val="0015792C"/>
    <w:rsid w:val="001579E9"/>
    <w:rsid w:val="00157B8A"/>
    <w:rsid w:val="00157BE3"/>
    <w:rsid w:val="00157CC5"/>
    <w:rsid w:val="00160219"/>
    <w:rsid w:val="00160510"/>
    <w:rsid w:val="001609FC"/>
    <w:rsid w:val="00161235"/>
    <w:rsid w:val="00161618"/>
    <w:rsid w:val="00161B47"/>
    <w:rsid w:val="00161D0F"/>
    <w:rsid w:val="00162393"/>
    <w:rsid w:val="001629A1"/>
    <w:rsid w:val="00162A23"/>
    <w:rsid w:val="00162A32"/>
    <w:rsid w:val="00162F43"/>
    <w:rsid w:val="001635C3"/>
    <w:rsid w:val="0016433D"/>
    <w:rsid w:val="00164785"/>
    <w:rsid w:val="0016479E"/>
    <w:rsid w:val="0016585F"/>
    <w:rsid w:val="00166D1B"/>
    <w:rsid w:val="001676A2"/>
    <w:rsid w:val="00167DF2"/>
    <w:rsid w:val="001700DD"/>
    <w:rsid w:val="0017017C"/>
    <w:rsid w:val="00170413"/>
    <w:rsid w:val="001709E2"/>
    <w:rsid w:val="00170B84"/>
    <w:rsid w:val="001711AA"/>
    <w:rsid w:val="001713AE"/>
    <w:rsid w:val="00171815"/>
    <w:rsid w:val="001719A0"/>
    <w:rsid w:val="00171A92"/>
    <w:rsid w:val="00171BA3"/>
    <w:rsid w:val="00171FB5"/>
    <w:rsid w:val="00172408"/>
    <w:rsid w:val="001725D5"/>
    <w:rsid w:val="001725EB"/>
    <w:rsid w:val="001726AD"/>
    <w:rsid w:val="00172ACA"/>
    <w:rsid w:val="00172DA0"/>
    <w:rsid w:val="00173020"/>
    <w:rsid w:val="001736AF"/>
    <w:rsid w:val="00173F56"/>
    <w:rsid w:val="00173FC2"/>
    <w:rsid w:val="001740B5"/>
    <w:rsid w:val="00174715"/>
    <w:rsid w:val="0017496C"/>
    <w:rsid w:val="00174AF1"/>
    <w:rsid w:val="00174EF4"/>
    <w:rsid w:val="0017518F"/>
    <w:rsid w:val="001762A0"/>
    <w:rsid w:val="001767E0"/>
    <w:rsid w:val="0017774B"/>
    <w:rsid w:val="00177834"/>
    <w:rsid w:val="00177A16"/>
    <w:rsid w:val="00177D89"/>
    <w:rsid w:val="00180034"/>
    <w:rsid w:val="00180176"/>
    <w:rsid w:val="001804C7"/>
    <w:rsid w:val="00180D29"/>
    <w:rsid w:val="00181104"/>
    <w:rsid w:val="0018138F"/>
    <w:rsid w:val="001813BC"/>
    <w:rsid w:val="0018170C"/>
    <w:rsid w:val="00181A42"/>
    <w:rsid w:val="0018201C"/>
    <w:rsid w:val="001822AC"/>
    <w:rsid w:val="0018266B"/>
    <w:rsid w:val="00182B33"/>
    <w:rsid w:val="00182BA6"/>
    <w:rsid w:val="00184D44"/>
    <w:rsid w:val="001856F6"/>
    <w:rsid w:val="00185BEE"/>
    <w:rsid w:val="001860EF"/>
    <w:rsid w:val="00186248"/>
    <w:rsid w:val="00186EAA"/>
    <w:rsid w:val="00187758"/>
    <w:rsid w:val="00187C54"/>
    <w:rsid w:val="00187DF9"/>
    <w:rsid w:val="00187E19"/>
    <w:rsid w:val="001907A9"/>
    <w:rsid w:val="00191215"/>
    <w:rsid w:val="00192260"/>
    <w:rsid w:val="001923CF"/>
    <w:rsid w:val="001926E4"/>
    <w:rsid w:val="00192F5A"/>
    <w:rsid w:val="001933A6"/>
    <w:rsid w:val="0019374B"/>
    <w:rsid w:val="00193B03"/>
    <w:rsid w:val="00194592"/>
    <w:rsid w:val="0019477F"/>
    <w:rsid w:val="00194964"/>
    <w:rsid w:val="0019563A"/>
    <w:rsid w:val="00195C22"/>
    <w:rsid w:val="00195EAD"/>
    <w:rsid w:val="00195EDB"/>
    <w:rsid w:val="0019662C"/>
    <w:rsid w:val="00196C14"/>
    <w:rsid w:val="00196C9A"/>
    <w:rsid w:val="0019749E"/>
    <w:rsid w:val="0019760C"/>
    <w:rsid w:val="0019767A"/>
    <w:rsid w:val="00197A6A"/>
    <w:rsid w:val="00197E36"/>
    <w:rsid w:val="00197F40"/>
    <w:rsid w:val="001A008F"/>
    <w:rsid w:val="001A0224"/>
    <w:rsid w:val="001A07B6"/>
    <w:rsid w:val="001A08F8"/>
    <w:rsid w:val="001A0FFA"/>
    <w:rsid w:val="001A108B"/>
    <w:rsid w:val="001A1294"/>
    <w:rsid w:val="001A18C6"/>
    <w:rsid w:val="001A1C28"/>
    <w:rsid w:val="001A1F9F"/>
    <w:rsid w:val="001A1FA5"/>
    <w:rsid w:val="001A2CC5"/>
    <w:rsid w:val="001A31BA"/>
    <w:rsid w:val="001A3798"/>
    <w:rsid w:val="001A3824"/>
    <w:rsid w:val="001A386F"/>
    <w:rsid w:val="001A3E9C"/>
    <w:rsid w:val="001A4DC8"/>
    <w:rsid w:val="001A5A1A"/>
    <w:rsid w:val="001A61BF"/>
    <w:rsid w:val="001A62E7"/>
    <w:rsid w:val="001A648E"/>
    <w:rsid w:val="001A6A84"/>
    <w:rsid w:val="001A6B2A"/>
    <w:rsid w:val="001A73AD"/>
    <w:rsid w:val="001A774B"/>
    <w:rsid w:val="001A7969"/>
    <w:rsid w:val="001A7D85"/>
    <w:rsid w:val="001A7FC8"/>
    <w:rsid w:val="001B00C0"/>
    <w:rsid w:val="001B17B6"/>
    <w:rsid w:val="001B1AC8"/>
    <w:rsid w:val="001B1D2E"/>
    <w:rsid w:val="001B1F65"/>
    <w:rsid w:val="001B1F96"/>
    <w:rsid w:val="001B2005"/>
    <w:rsid w:val="001B2889"/>
    <w:rsid w:val="001B31B0"/>
    <w:rsid w:val="001B3203"/>
    <w:rsid w:val="001B353E"/>
    <w:rsid w:val="001B3FD8"/>
    <w:rsid w:val="001B410C"/>
    <w:rsid w:val="001B4242"/>
    <w:rsid w:val="001B4455"/>
    <w:rsid w:val="001B461A"/>
    <w:rsid w:val="001B4649"/>
    <w:rsid w:val="001B54A2"/>
    <w:rsid w:val="001B6419"/>
    <w:rsid w:val="001B648A"/>
    <w:rsid w:val="001B66B8"/>
    <w:rsid w:val="001B66EB"/>
    <w:rsid w:val="001B779B"/>
    <w:rsid w:val="001B7DA2"/>
    <w:rsid w:val="001C11D0"/>
    <w:rsid w:val="001C16CB"/>
    <w:rsid w:val="001C1B74"/>
    <w:rsid w:val="001C1B91"/>
    <w:rsid w:val="001C251F"/>
    <w:rsid w:val="001C2551"/>
    <w:rsid w:val="001C2A8E"/>
    <w:rsid w:val="001C2C6A"/>
    <w:rsid w:val="001C31C6"/>
    <w:rsid w:val="001C33BA"/>
    <w:rsid w:val="001C35C5"/>
    <w:rsid w:val="001C37A3"/>
    <w:rsid w:val="001C37A5"/>
    <w:rsid w:val="001C4F8C"/>
    <w:rsid w:val="001C5B07"/>
    <w:rsid w:val="001C5F8F"/>
    <w:rsid w:val="001C70AA"/>
    <w:rsid w:val="001C7761"/>
    <w:rsid w:val="001C78D9"/>
    <w:rsid w:val="001C7FD0"/>
    <w:rsid w:val="001D0004"/>
    <w:rsid w:val="001D0435"/>
    <w:rsid w:val="001D096B"/>
    <w:rsid w:val="001D0E1D"/>
    <w:rsid w:val="001D117A"/>
    <w:rsid w:val="001D120C"/>
    <w:rsid w:val="001D1785"/>
    <w:rsid w:val="001D1A04"/>
    <w:rsid w:val="001D1BB4"/>
    <w:rsid w:val="001D2580"/>
    <w:rsid w:val="001D28E6"/>
    <w:rsid w:val="001D3156"/>
    <w:rsid w:val="001D31D8"/>
    <w:rsid w:val="001D3E49"/>
    <w:rsid w:val="001D42FA"/>
    <w:rsid w:val="001D55EC"/>
    <w:rsid w:val="001D5C90"/>
    <w:rsid w:val="001D6058"/>
    <w:rsid w:val="001D6363"/>
    <w:rsid w:val="001D74C1"/>
    <w:rsid w:val="001D76C3"/>
    <w:rsid w:val="001E12E4"/>
    <w:rsid w:val="001E15E3"/>
    <w:rsid w:val="001E1A47"/>
    <w:rsid w:val="001E1CC1"/>
    <w:rsid w:val="001E26C2"/>
    <w:rsid w:val="001E2862"/>
    <w:rsid w:val="001E2C11"/>
    <w:rsid w:val="001E3210"/>
    <w:rsid w:val="001E3235"/>
    <w:rsid w:val="001E3592"/>
    <w:rsid w:val="001E3A23"/>
    <w:rsid w:val="001E4408"/>
    <w:rsid w:val="001E461E"/>
    <w:rsid w:val="001E4761"/>
    <w:rsid w:val="001E4B99"/>
    <w:rsid w:val="001E5699"/>
    <w:rsid w:val="001E5A7C"/>
    <w:rsid w:val="001E5CA0"/>
    <w:rsid w:val="001E5D84"/>
    <w:rsid w:val="001E626E"/>
    <w:rsid w:val="001E6CD1"/>
    <w:rsid w:val="001E752F"/>
    <w:rsid w:val="001E7631"/>
    <w:rsid w:val="001E7BE4"/>
    <w:rsid w:val="001E7CB3"/>
    <w:rsid w:val="001E7D7B"/>
    <w:rsid w:val="001F0ABC"/>
    <w:rsid w:val="001F10FF"/>
    <w:rsid w:val="001F1258"/>
    <w:rsid w:val="001F1CA3"/>
    <w:rsid w:val="001F1D47"/>
    <w:rsid w:val="001F21DD"/>
    <w:rsid w:val="001F2320"/>
    <w:rsid w:val="001F29F9"/>
    <w:rsid w:val="001F3215"/>
    <w:rsid w:val="001F3EDA"/>
    <w:rsid w:val="001F3F0C"/>
    <w:rsid w:val="001F3F44"/>
    <w:rsid w:val="001F441E"/>
    <w:rsid w:val="001F4709"/>
    <w:rsid w:val="001F4821"/>
    <w:rsid w:val="001F5391"/>
    <w:rsid w:val="001F5A18"/>
    <w:rsid w:val="001F5B17"/>
    <w:rsid w:val="001F5E33"/>
    <w:rsid w:val="001F6049"/>
    <w:rsid w:val="001F6F64"/>
    <w:rsid w:val="001F74F2"/>
    <w:rsid w:val="001F75AC"/>
    <w:rsid w:val="001F7A5A"/>
    <w:rsid w:val="001F7C38"/>
    <w:rsid w:val="002002AB"/>
    <w:rsid w:val="0020049B"/>
    <w:rsid w:val="002005A0"/>
    <w:rsid w:val="0020074F"/>
    <w:rsid w:val="00201088"/>
    <w:rsid w:val="002017CF"/>
    <w:rsid w:val="0020262A"/>
    <w:rsid w:val="00202698"/>
    <w:rsid w:val="002032B1"/>
    <w:rsid w:val="002034C8"/>
    <w:rsid w:val="00203965"/>
    <w:rsid w:val="002049A8"/>
    <w:rsid w:val="002058AB"/>
    <w:rsid w:val="00206BB7"/>
    <w:rsid w:val="00207347"/>
    <w:rsid w:val="002077B5"/>
    <w:rsid w:val="00207C0B"/>
    <w:rsid w:val="00211634"/>
    <w:rsid w:val="002116C6"/>
    <w:rsid w:val="00211B26"/>
    <w:rsid w:val="00211E0D"/>
    <w:rsid w:val="002120FB"/>
    <w:rsid w:val="00212427"/>
    <w:rsid w:val="00212650"/>
    <w:rsid w:val="0021292C"/>
    <w:rsid w:val="00212B2D"/>
    <w:rsid w:val="00212D84"/>
    <w:rsid w:val="00212FA6"/>
    <w:rsid w:val="0021300F"/>
    <w:rsid w:val="002135D9"/>
    <w:rsid w:val="00213934"/>
    <w:rsid w:val="00213AA2"/>
    <w:rsid w:val="00213AD7"/>
    <w:rsid w:val="002143E0"/>
    <w:rsid w:val="00215812"/>
    <w:rsid w:val="0021616C"/>
    <w:rsid w:val="00216172"/>
    <w:rsid w:val="0021639A"/>
    <w:rsid w:val="002168C2"/>
    <w:rsid w:val="00216B8C"/>
    <w:rsid w:val="00216C85"/>
    <w:rsid w:val="00216F59"/>
    <w:rsid w:val="002173D4"/>
    <w:rsid w:val="00217D90"/>
    <w:rsid w:val="002213EB"/>
    <w:rsid w:val="00221E52"/>
    <w:rsid w:val="002221CF"/>
    <w:rsid w:val="00222A44"/>
    <w:rsid w:val="00222D3E"/>
    <w:rsid w:val="00222E43"/>
    <w:rsid w:val="00223372"/>
    <w:rsid w:val="00223561"/>
    <w:rsid w:val="00223817"/>
    <w:rsid w:val="00225363"/>
    <w:rsid w:val="0022541B"/>
    <w:rsid w:val="002257DD"/>
    <w:rsid w:val="00225B66"/>
    <w:rsid w:val="00225C52"/>
    <w:rsid w:val="00225FDB"/>
    <w:rsid w:val="002267B5"/>
    <w:rsid w:val="00226984"/>
    <w:rsid w:val="00226F15"/>
    <w:rsid w:val="00227091"/>
    <w:rsid w:val="00227466"/>
    <w:rsid w:val="002279A1"/>
    <w:rsid w:val="0023028D"/>
    <w:rsid w:val="002302B1"/>
    <w:rsid w:val="002304D1"/>
    <w:rsid w:val="0023129B"/>
    <w:rsid w:val="00231489"/>
    <w:rsid w:val="002315C2"/>
    <w:rsid w:val="00231C68"/>
    <w:rsid w:val="00231D02"/>
    <w:rsid w:val="002323AD"/>
    <w:rsid w:val="00232B40"/>
    <w:rsid w:val="00232E8C"/>
    <w:rsid w:val="00233234"/>
    <w:rsid w:val="00233954"/>
    <w:rsid w:val="002343EF"/>
    <w:rsid w:val="002347E6"/>
    <w:rsid w:val="00234B5D"/>
    <w:rsid w:val="00234C4E"/>
    <w:rsid w:val="00234FD2"/>
    <w:rsid w:val="00235423"/>
    <w:rsid w:val="0023599C"/>
    <w:rsid w:val="00235E6D"/>
    <w:rsid w:val="00236020"/>
    <w:rsid w:val="002363C8"/>
    <w:rsid w:val="00236867"/>
    <w:rsid w:val="00236988"/>
    <w:rsid w:val="00236C71"/>
    <w:rsid w:val="002376A1"/>
    <w:rsid w:val="002378AC"/>
    <w:rsid w:val="00237C19"/>
    <w:rsid w:val="00237C28"/>
    <w:rsid w:val="00237D9F"/>
    <w:rsid w:val="002400C2"/>
    <w:rsid w:val="00240182"/>
    <w:rsid w:val="00240D7E"/>
    <w:rsid w:val="00240F25"/>
    <w:rsid w:val="00241015"/>
    <w:rsid w:val="002411F0"/>
    <w:rsid w:val="002413D5"/>
    <w:rsid w:val="00241A6A"/>
    <w:rsid w:val="00241DA8"/>
    <w:rsid w:val="00241EA4"/>
    <w:rsid w:val="00241FCA"/>
    <w:rsid w:val="0024346F"/>
    <w:rsid w:val="002437AA"/>
    <w:rsid w:val="002438E2"/>
    <w:rsid w:val="00243EAF"/>
    <w:rsid w:val="00243F72"/>
    <w:rsid w:val="0024405C"/>
    <w:rsid w:val="0024413B"/>
    <w:rsid w:val="00244259"/>
    <w:rsid w:val="0024429D"/>
    <w:rsid w:val="00244346"/>
    <w:rsid w:val="002443B3"/>
    <w:rsid w:val="002452CE"/>
    <w:rsid w:val="002453E5"/>
    <w:rsid w:val="00245726"/>
    <w:rsid w:val="00246C10"/>
    <w:rsid w:val="00246FDB"/>
    <w:rsid w:val="00247250"/>
    <w:rsid w:val="00247371"/>
    <w:rsid w:val="002477B2"/>
    <w:rsid w:val="00247E6E"/>
    <w:rsid w:val="0025004A"/>
    <w:rsid w:val="00250684"/>
    <w:rsid w:val="0025163F"/>
    <w:rsid w:val="002516B0"/>
    <w:rsid w:val="00251872"/>
    <w:rsid w:val="0025194D"/>
    <w:rsid w:val="00251B64"/>
    <w:rsid w:val="00252452"/>
    <w:rsid w:val="002526E1"/>
    <w:rsid w:val="00252703"/>
    <w:rsid w:val="00253475"/>
    <w:rsid w:val="00253A7B"/>
    <w:rsid w:val="00253AEE"/>
    <w:rsid w:val="00253B71"/>
    <w:rsid w:val="00254042"/>
    <w:rsid w:val="002541A8"/>
    <w:rsid w:val="0025471D"/>
    <w:rsid w:val="00254923"/>
    <w:rsid w:val="002549F4"/>
    <w:rsid w:val="002552BA"/>
    <w:rsid w:val="00255521"/>
    <w:rsid w:val="00255668"/>
    <w:rsid w:val="00255D9A"/>
    <w:rsid w:val="00256BBC"/>
    <w:rsid w:val="00256C3F"/>
    <w:rsid w:val="002572D1"/>
    <w:rsid w:val="00257506"/>
    <w:rsid w:val="00260A27"/>
    <w:rsid w:val="00261883"/>
    <w:rsid w:val="00261D7D"/>
    <w:rsid w:val="0026220E"/>
    <w:rsid w:val="0026222A"/>
    <w:rsid w:val="0026241A"/>
    <w:rsid w:val="002624B0"/>
    <w:rsid w:val="00262A35"/>
    <w:rsid w:val="002633B6"/>
    <w:rsid w:val="002637F3"/>
    <w:rsid w:val="002638C6"/>
    <w:rsid w:val="00263C73"/>
    <w:rsid w:val="00264110"/>
    <w:rsid w:val="0026411B"/>
    <w:rsid w:val="0026424F"/>
    <w:rsid w:val="00264707"/>
    <w:rsid w:val="00264854"/>
    <w:rsid w:val="002653FE"/>
    <w:rsid w:val="00265BA8"/>
    <w:rsid w:val="00265E4B"/>
    <w:rsid w:val="002662F2"/>
    <w:rsid w:val="00266313"/>
    <w:rsid w:val="002664DB"/>
    <w:rsid w:val="00266A9A"/>
    <w:rsid w:val="00266BC7"/>
    <w:rsid w:val="00266C72"/>
    <w:rsid w:val="00266F1E"/>
    <w:rsid w:val="00267002"/>
    <w:rsid w:val="002672E0"/>
    <w:rsid w:val="002705A9"/>
    <w:rsid w:val="0027301E"/>
    <w:rsid w:val="0027329E"/>
    <w:rsid w:val="00273699"/>
    <w:rsid w:val="002737DE"/>
    <w:rsid w:val="00273BF4"/>
    <w:rsid w:val="00273C07"/>
    <w:rsid w:val="00273E0F"/>
    <w:rsid w:val="00274494"/>
    <w:rsid w:val="00274B4A"/>
    <w:rsid w:val="00274C28"/>
    <w:rsid w:val="00274C37"/>
    <w:rsid w:val="002750D9"/>
    <w:rsid w:val="002751EF"/>
    <w:rsid w:val="002763C3"/>
    <w:rsid w:val="002765F9"/>
    <w:rsid w:val="00276917"/>
    <w:rsid w:val="00276B4A"/>
    <w:rsid w:val="00277823"/>
    <w:rsid w:val="00280265"/>
    <w:rsid w:val="002804D1"/>
    <w:rsid w:val="00280A56"/>
    <w:rsid w:val="00280CBE"/>
    <w:rsid w:val="00281161"/>
    <w:rsid w:val="002811E0"/>
    <w:rsid w:val="002820EE"/>
    <w:rsid w:val="002822C5"/>
    <w:rsid w:val="00282B88"/>
    <w:rsid w:val="002835F1"/>
    <w:rsid w:val="002836BB"/>
    <w:rsid w:val="00283DC8"/>
    <w:rsid w:val="00284121"/>
    <w:rsid w:val="002846B8"/>
    <w:rsid w:val="0028514C"/>
    <w:rsid w:val="0028547A"/>
    <w:rsid w:val="00285819"/>
    <w:rsid w:val="002859DA"/>
    <w:rsid w:val="00285E3B"/>
    <w:rsid w:val="00286007"/>
    <w:rsid w:val="00286095"/>
    <w:rsid w:val="00286343"/>
    <w:rsid w:val="0028634F"/>
    <w:rsid w:val="0028680E"/>
    <w:rsid w:val="00286EBF"/>
    <w:rsid w:val="0028723D"/>
    <w:rsid w:val="00287402"/>
    <w:rsid w:val="00287FE1"/>
    <w:rsid w:val="00290436"/>
    <w:rsid w:val="00290686"/>
    <w:rsid w:val="002910A8"/>
    <w:rsid w:val="002911E5"/>
    <w:rsid w:val="00291546"/>
    <w:rsid w:val="00291ACA"/>
    <w:rsid w:val="00291EF2"/>
    <w:rsid w:val="002926D2"/>
    <w:rsid w:val="00292749"/>
    <w:rsid w:val="00292814"/>
    <w:rsid w:val="00293372"/>
    <w:rsid w:val="00293FB2"/>
    <w:rsid w:val="0029407A"/>
    <w:rsid w:val="002941D9"/>
    <w:rsid w:val="00294501"/>
    <w:rsid w:val="002945B8"/>
    <w:rsid w:val="002945C7"/>
    <w:rsid w:val="0029462B"/>
    <w:rsid w:val="002946AC"/>
    <w:rsid w:val="00294B48"/>
    <w:rsid w:val="00295489"/>
    <w:rsid w:val="00295856"/>
    <w:rsid w:val="00295CF6"/>
    <w:rsid w:val="002962F1"/>
    <w:rsid w:val="0029635F"/>
    <w:rsid w:val="00296DEA"/>
    <w:rsid w:val="00297033"/>
    <w:rsid w:val="002971AD"/>
    <w:rsid w:val="00297573"/>
    <w:rsid w:val="002978D1"/>
    <w:rsid w:val="00297F7B"/>
    <w:rsid w:val="002A06CD"/>
    <w:rsid w:val="002A0987"/>
    <w:rsid w:val="002A0AD2"/>
    <w:rsid w:val="002A11BA"/>
    <w:rsid w:val="002A2C83"/>
    <w:rsid w:val="002A3236"/>
    <w:rsid w:val="002A39B4"/>
    <w:rsid w:val="002A3A1C"/>
    <w:rsid w:val="002A401A"/>
    <w:rsid w:val="002A445C"/>
    <w:rsid w:val="002A47EA"/>
    <w:rsid w:val="002A4A7B"/>
    <w:rsid w:val="002A5423"/>
    <w:rsid w:val="002A55C5"/>
    <w:rsid w:val="002A6568"/>
    <w:rsid w:val="002A6736"/>
    <w:rsid w:val="002A67C9"/>
    <w:rsid w:val="002A68ED"/>
    <w:rsid w:val="002A6BD0"/>
    <w:rsid w:val="002A771E"/>
    <w:rsid w:val="002A7CA4"/>
    <w:rsid w:val="002B00ED"/>
    <w:rsid w:val="002B035B"/>
    <w:rsid w:val="002B06D6"/>
    <w:rsid w:val="002B0B92"/>
    <w:rsid w:val="002B0C9C"/>
    <w:rsid w:val="002B1627"/>
    <w:rsid w:val="002B1DE0"/>
    <w:rsid w:val="002B264D"/>
    <w:rsid w:val="002B2787"/>
    <w:rsid w:val="002B3988"/>
    <w:rsid w:val="002B479C"/>
    <w:rsid w:val="002B4B10"/>
    <w:rsid w:val="002B5668"/>
    <w:rsid w:val="002B567C"/>
    <w:rsid w:val="002B5E63"/>
    <w:rsid w:val="002B5E7B"/>
    <w:rsid w:val="002B61DD"/>
    <w:rsid w:val="002B655C"/>
    <w:rsid w:val="002B65FA"/>
    <w:rsid w:val="002B6685"/>
    <w:rsid w:val="002B6B4C"/>
    <w:rsid w:val="002B7469"/>
    <w:rsid w:val="002B7AFE"/>
    <w:rsid w:val="002B7D3E"/>
    <w:rsid w:val="002B7DDB"/>
    <w:rsid w:val="002C0226"/>
    <w:rsid w:val="002C0397"/>
    <w:rsid w:val="002C03CF"/>
    <w:rsid w:val="002C05D8"/>
    <w:rsid w:val="002C0B5A"/>
    <w:rsid w:val="002C0BA2"/>
    <w:rsid w:val="002C0D21"/>
    <w:rsid w:val="002C0EEF"/>
    <w:rsid w:val="002C10E7"/>
    <w:rsid w:val="002C11C2"/>
    <w:rsid w:val="002C1964"/>
    <w:rsid w:val="002C1D6F"/>
    <w:rsid w:val="002C1E70"/>
    <w:rsid w:val="002C20FA"/>
    <w:rsid w:val="002C2386"/>
    <w:rsid w:val="002C2406"/>
    <w:rsid w:val="002C2854"/>
    <w:rsid w:val="002C29E8"/>
    <w:rsid w:val="002C2B13"/>
    <w:rsid w:val="002C2EBF"/>
    <w:rsid w:val="002C3575"/>
    <w:rsid w:val="002C362F"/>
    <w:rsid w:val="002C39F3"/>
    <w:rsid w:val="002C4063"/>
    <w:rsid w:val="002C543E"/>
    <w:rsid w:val="002C54C2"/>
    <w:rsid w:val="002C592E"/>
    <w:rsid w:val="002C59CF"/>
    <w:rsid w:val="002C5F38"/>
    <w:rsid w:val="002C66E9"/>
    <w:rsid w:val="002C6A76"/>
    <w:rsid w:val="002C76F3"/>
    <w:rsid w:val="002C778A"/>
    <w:rsid w:val="002D08DA"/>
    <w:rsid w:val="002D1079"/>
    <w:rsid w:val="002D162F"/>
    <w:rsid w:val="002D179F"/>
    <w:rsid w:val="002D1E46"/>
    <w:rsid w:val="002D2332"/>
    <w:rsid w:val="002D2532"/>
    <w:rsid w:val="002D2805"/>
    <w:rsid w:val="002D2D4E"/>
    <w:rsid w:val="002D3700"/>
    <w:rsid w:val="002D379C"/>
    <w:rsid w:val="002D3F39"/>
    <w:rsid w:val="002D434D"/>
    <w:rsid w:val="002D4481"/>
    <w:rsid w:val="002D4707"/>
    <w:rsid w:val="002D60C3"/>
    <w:rsid w:val="002D6620"/>
    <w:rsid w:val="002D6A88"/>
    <w:rsid w:val="002D6E4E"/>
    <w:rsid w:val="002D777C"/>
    <w:rsid w:val="002D7CB8"/>
    <w:rsid w:val="002E01B1"/>
    <w:rsid w:val="002E0A2E"/>
    <w:rsid w:val="002E1304"/>
    <w:rsid w:val="002E168E"/>
    <w:rsid w:val="002E18B9"/>
    <w:rsid w:val="002E1E17"/>
    <w:rsid w:val="002E255F"/>
    <w:rsid w:val="002E25DD"/>
    <w:rsid w:val="002E288E"/>
    <w:rsid w:val="002E332E"/>
    <w:rsid w:val="002E3528"/>
    <w:rsid w:val="002E3C09"/>
    <w:rsid w:val="002E3C54"/>
    <w:rsid w:val="002E4585"/>
    <w:rsid w:val="002E467D"/>
    <w:rsid w:val="002E4871"/>
    <w:rsid w:val="002E502A"/>
    <w:rsid w:val="002E5174"/>
    <w:rsid w:val="002E54D0"/>
    <w:rsid w:val="002E5623"/>
    <w:rsid w:val="002E5815"/>
    <w:rsid w:val="002E5ACE"/>
    <w:rsid w:val="002E5C7D"/>
    <w:rsid w:val="002E5D25"/>
    <w:rsid w:val="002E5E3F"/>
    <w:rsid w:val="002E60C4"/>
    <w:rsid w:val="002E6666"/>
    <w:rsid w:val="002E7973"/>
    <w:rsid w:val="002F05B7"/>
    <w:rsid w:val="002F0952"/>
    <w:rsid w:val="002F0F0D"/>
    <w:rsid w:val="002F0FEC"/>
    <w:rsid w:val="002F1104"/>
    <w:rsid w:val="002F1485"/>
    <w:rsid w:val="002F1AF9"/>
    <w:rsid w:val="002F1BBC"/>
    <w:rsid w:val="002F1D0A"/>
    <w:rsid w:val="002F1E92"/>
    <w:rsid w:val="002F262F"/>
    <w:rsid w:val="002F26FF"/>
    <w:rsid w:val="002F363B"/>
    <w:rsid w:val="002F3B8C"/>
    <w:rsid w:val="002F3EC7"/>
    <w:rsid w:val="002F4141"/>
    <w:rsid w:val="002F490A"/>
    <w:rsid w:val="002F506B"/>
    <w:rsid w:val="002F65E9"/>
    <w:rsid w:val="002F6FD6"/>
    <w:rsid w:val="002F73DF"/>
    <w:rsid w:val="002F7579"/>
    <w:rsid w:val="002F78D8"/>
    <w:rsid w:val="002F7B67"/>
    <w:rsid w:val="002F7F18"/>
    <w:rsid w:val="00300D1F"/>
    <w:rsid w:val="00300F4C"/>
    <w:rsid w:val="00301190"/>
    <w:rsid w:val="0030176F"/>
    <w:rsid w:val="00301ABE"/>
    <w:rsid w:val="00302118"/>
    <w:rsid w:val="0030257D"/>
    <w:rsid w:val="00302E2A"/>
    <w:rsid w:val="003030B5"/>
    <w:rsid w:val="003033A6"/>
    <w:rsid w:val="0030397F"/>
    <w:rsid w:val="0030478A"/>
    <w:rsid w:val="00304884"/>
    <w:rsid w:val="00304D82"/>
    <w:rsid w:val="0030524F"/>
    <w:rsid w:val="00305693"/>
    <w:rsid w:val="00306000"/>
    <w:rsid w:val="003067F5"/>
    <w:rsid w:val="00306D80"/>
    <w:rsid w:val="0030725D"/>
    <w:rsid w:val="00307B9A"/>
    <w:rsid w:val="00311056"/>
    <w:rsid w:val="00311059"/>
    <w:rsid w:val="00311062"/>
    <w:rsid w:val="0031124F"/>
    <w:rsid w:val="003113AF"/>
    <w:rsid w:val="003119EE"/>
    <w:rsid w:val="0031267B"/>
    <w:rsid w:val="00312774"/>
    <w:rsid w:val="003127B6"/>
    <w:rsid w:val="0031376A"/>
    <w:rsid w:val="00313D41"/>
    <w:rsid w:val="00314632"/>
    <w:rsid w:val="00314990"/>
    <w:rsid w:val="00314BD4"/>
    <w:rsid w:val="00315559"/>
    <w:rsid w:val="00315562"/>
    <w:rsid w:val="00315606"/>
    <w:rsid w:val="00315AC1"/>
    <w:rsid w:val="0031668A"/>
    <w:rsid w:val="003169DC"/>
    <w:rsid w:val="0032036D"/>
    <w:rsid w:val="003205E9"/>
    <w:rsid w:val="00320C79"/>
    <w:rsid w:val="0032100E"/>
    <w:rsid w:val="0032143B"/>
    <w:rsid w:val="00321A5A"/>
    <w:rsid w:val="00321AB9"/>
    <w:rsid w:val="0032253B"/>
    <w:rsid w:val="003232A3"/>
    <w:rsid w:val="00323431"/>
    <w:rsid w:val="003234BF"/>
    <w:rsid w:val="00323848"/>
    <w:rsid w:val="00323872"/>
    <w:rsid w:val="00323F6F"/>
    <w:rsid w:val="00324531"/>
    <w:rsid w:val="00324784"/>
    <w:rsid w:val="00324F74"/>
    <w:rsid w:val="00324FE8"/>
    <w:rsid w:val="0032543C"/>
    <w:rsid w:val="00325661"/>
    <w:rsid w:val="003259EC"/>
    <w:rsid w:val="00326178"/>
    <w:rsid w:val="003261B4"/>
    <w:rsid w:val="00326656"/>
    <w:rsid w:val="003267C3"/>
    <w:rsid w:val="00326A8A"/>
    <w:rsid w:val="00326BC9"/>
    <w:rsid w:val="00326FC1"/>
    <w:rsid w:val="0032715D"/>
    <w:rsid w:val="003272AF"/>
    <w:rsid w:val="00327A93"/>
    <w:rsid w:val="00327BAF"/>
    <w:rsid w:val="003300DE"/>
    <w:rsid w:val="0033012D"/>
    <w:rsid w:val="0033013B"/>
    <w:rsid w:val="0033138A"/>
    <w:rsid w:val="00331480"/>
    <w:rsid w:val="00331800"/>
    <w:rsid w:val="0033267A"/>
    <w:rsid w:val="003332A8"/>
    <w:rsid w:val="00333543"/>
    <w:rsid w:val="0033396C"/>
    <w:rsid w:val="00333D6E"/>
    <w:rsid w:val="003352A0"/>
    <w:rsid w:val="0033562E"/>
    <w:rsid w:val="003363FF"/>
    <w:rsid w:val="003367C3"/>
    <w:rsid w:val="00336A6A"/>
    <w:rsid w:val="00336AD6"/>
    <w:rsid w:val="003370DC"/>
    <w:rsid w:val="0033723A"/>
    <w:rsid w:val="00337D05"/>
    <w:rsid w:val="00340314"/>
    <w:rsid w:val="00340330"/>
    <w:rsid w:val="00340333"/>
    <w:rsid w:val="00340A84"/>
    <w:rsid w:val="003413FA"/>
    <w:rsid w:val="0034152B"/>
    <w:rsid w:val="00341A0A"/>
    <w:rsid w:val="00341BC8"/>
    <w:rsid w:val="00341F70"/>
    <w:rsid w:val="003422AD"/>
    <w:rsid w:val="003424E9"/>
    <w:rsid w:val="00342E13"/>
    <w:rsid w:val="00343009"/>
    <w:rsid w:val="003430C8"/>
    <w:rsid w:val="003435E5"/>
    <w:rsid w:val="0034375F"/>
    <w:rsid w:val="00343CCF"/>
    <w:rsid w:val="003442BC"/>
    <w:rsid w:val="00344782"/>
    <w:rsid w:val="003448E1"/>
    <w:rsid w:val="00344ED9"/>
    <w:rsid w:val="0034524A"/>
    <w:rsid w:val="003454DD"/>
    <w:rsid w:val="0034550C"/>
    <w:rsid w:val="0034587A"/>
    <w:rsid w:val="0034654E"/>
    <w:rsid w:val="00346C5E"/>
    <w:rsid w:val="00350B64"/>
    <w:rsid w:val="00351A88"/>
    <w:rsid w:val="0035238D"/>
    <w:rsid w:val="003523C6"/>
    <w:rsid w:val="003529D4"/>
    <w:rsid w:val="00353455"/>
    <w:rsid w:val="003536DE"/>
    <w:rsid w:val="003537D1"/>
    <w:rsid w:val="003546D1"/>
    <w:rsid w:val="00354C8A"/>
    <w:rsid w:val="00354E84"/>
    <w:rsid w:val="0035598A"/>
    <w:rsid w:val="00355C38"/>
    <w:rsid w:val="00355E3C"/>
    <w:rsid w:val="00356138"/>
    <w:rsid w:val="00356699"/>
    <w:rsid w:val="003568B2"/>
    <w:rsid w:val="003568BD"/>
    <w:rsid w:val="00356FB8"/>
    <w:rsid w:val="00357084"/>
    <w:rsid w:val="00357FCE"/>
    <w:rsid w:val="00360210"/>
    <w:rsid w:val="003603E4"/>
    <w:rsid w:val="003604DD"/>
    <w:rsid w:val="003604FE"/>
    <w:rsid w:val="00360EE0"/>
    <w:rsid w:val="0036119A"/>
    <w:rsid w:val="003627A1"/>
    <w:rsid w:val="003628A8"/>
    <w:rsid w:val="00362A19"/>
    <w:rsid w:val="00362AA0"/>
    <w:rsid w:val="00362BD8"/>
    <w:rsid w:val="0036344C"/>
    <w:rsid w:val="0036356F"/>
    <w:rsid w:val="0036471F"/>
    <w:rsid w:val="003649C6"/>
    <w:rsid w:val="00364CF0"/>
    <w:rsid w:val="00365877"/>
    <w:rsid w:val="00365F79"/>
    <w:rsid w:val="00367ECB"/>
    <w:rsid w:val="003716DC"/>
    <w:rsid w:val="00371B7D"/>
    <w:rsid w:val="003720D7"/>
    <w:rsid w:val="00372BF2"/>
    <w:rsid w:val="00373106"/>
    <w:rsid w:val="003736F5"/>
    <w:rsid w:val="00373B9E"/>
    <w:rsid w:val="00374C75"/>
    <w:rsid w:val="00375A08"/>
    <w:rsid w:val="00375CE8"/>
    <w:rsid w:val="003761B8"/>
    <w:rsid w:val="00376261"/>
    <w:rsid w:val="00376267"/>
    <w:rsid w:val="00376513"/>
    <w:rsid w:val="00376A28"/>
    <w:rsid w:val="003778A9"/>
    <w:rsid w:val="003779F7"/>
    <w:rsid w:val="003809DC"/>
    <w:rsid w:val="00380D59"/>
    <w:rsid w:val="003810E0"/>
    <w:rsid w:val="0038133E"/>
    <w:rsid w:val="0038173E"/>
    <w:rsid w:val="00381FF3"/>
    <w:rsid w:val="00382469"/>
    <w:rsid w:val="00382A71"/>
    <w:rsid w:val="00382D33"/>
    <w:rsid w:val="00382E6D"/>
    <w:rsid w:val="00382F93"/>
    <w:rsid w:val="00383BA0"/>
    <w:rsid w:val="00384287"/>
    <w:rsid w:val="003842A7"/>
    <w:rsid w:val="003843F1"/>
    <w:rsid w:val="00384E3D"/>
    <w:rsid w:val="00384ECA"/>
    <w:rsid w:val="00384FF4"/>
    <w:rsid w:val="00385186"/>
    <w:rsid w:val="003853A3"/>
    <w:rsid w:val="003859FE"/>
    <w:rsid w:val="00385D69"/>
    <w:rsid w:val="00385F56"/>
    <w:rsid w:val="00386312"/>
    <w:rsid w:val="00386951"/>
    <w:rsid w:val="00386BBB"/>
    <w:rsid w:val="00387805"/>
    <w:rsid w:val="00387976"/>
    <w:rsid w:val="00390E88"/>
    <w:rsid w:val="0039180E"/>
    <w:rsid w:val="00391A2D"/>
    <w:rsid w:val="00392087"/>
    <w:rsid w:val="003921E7"/>
    <w:rsid w:val="00392B7E"/>
    <w:rsid w:val="00392BDC"/>
    <w:rsid w:val="0039307B"/>
    <w:rsid w:val="0039370F"/>
    <w:rsid w:val="00393781"/>
    <w:rsid w:val="00393AD2"/>
    <w:rsid w:val="00394097"/>
    <w:rsid w:val="00394421"/>
    <w:rsid w:val="0039444D"/>
    <w:rsid w:val="0039481B"/>
    <w:rsid w:val="00394FDC"/>
    <w:rsid w:val="0039530C"/>
    <w:rsid w:val="003955FE"/>
    <w:rsid w:val="00395852"/>
    <w:rsid w:val="00396085"/>
    <w:rsid w:val="003964A5"/>
    <w:rsid w:val="00396D40"/>
    <w:rsid w:val="00396FA0"/>
    <w:rsid w:val="00397106"/>
    <w:rsid w:val="003979B7"/>
    <w:rsid w:val="00397F1E"/>
    <w:rsid w:val="00397F69"/>
    <w:rsid w:val="003A087C"/>
    <w:rsid w:val="003A09BF"/>
    <w:rsid w:val="003A117B"/>
    <w:rsid w:val="003A126C"/>
    <w:rsid w:val="003A168F"/>
    <w:rsid w:val="003A1813"/>
    <w:rsid w:val="003A206A"/>
    <w:rsid w:val="003A217A"/>
    <w:rsid w:val="003A278F"/>
    <w:rsid w:val="003A28F6"/>
    <w:rsid w:val="003A30BE"/>
    <w:rsid w:val="003A33E8"/>
    <w:rsid w:val="003A342E"/>
    <w:rsid w:val="003A3550"/>
    <w:rsid w:val="003A3610"/>
    <w:rsid w:val="003A440D"/>
    <w:rsid w:val="003A4519"/>
    <w:rsid w:val="003A47D5"/>
    <w:rsid w:val="003A4B69"/>
    <w:rsid w:val="003A4EFB"/>
    <w:rsid w:val="003A53D1"/>
    <w:rsid w:val="003A5844"/>
    <w:rsid w:val="003A5A37"/>
    <w:rsid w:val="003A6D91"/>
    <w:rsid w:val="003A6FDD"/>
    <w:rsid w:val="003A7137"/>
    <w:rsid w:val="003A774A"/>
    <w:rsid w:val="003A7B09"/>
    <w:rsid w:val="003A7B6C"/>
    <w:rsid w:val="003A7EE2"/>
    <w:rsid w:val="003B08B6"/>
    <w:rsid w:val="003B09BA"/>
    <w:rsid w:val="003B130B"/>
    <w:rsid w:val="003B1942"/>
    <w:rsid w:val="003B1BB4"/>
    <w:rsid w:val="003B1D16"/>
    <w:rsid w:val="003B2250"/>
    <w:rsid w:val="003B29FF"/>
    <w:rsid w:val="003B44FF"/>
    <w:rsid w:val="003B471F"/>
    <w:rsid w:val="003B47A9"/>
    <w:rsid w:val="003B594A"/>
    <w:rsid w:val="003B5B4F"/>
    <w:rsid w:val="003B5F46"/>
    <w:rsid w:val="003B6157"/>
    <w:rsid w:val="003B6177"/>
    <w:rsid w:val="003B73A8"/>
    <w:rsid w:val="003B7466"/>
    <w:rsid w:val="003B746F"/>
    <w:rsid w:val="003B7551"/>
    <w:rsid w:val="003B7A54"/>
    <w:rsid w:val="003C0B90"/>
    <w:rsid w:val="003C184D"/>
    <w:rsid w:val="003C18CE"/>
    <w:rsid w:val="003C2836"/>
    <w:rsid w:val="003C2AF4"/>
    <w:rsid w:val="003C2B86"/>
    <w:rsid w:val="003C3C62"/>
    <w:rsid w:val="003C3DC7"/>
    <w:rsid w:val="003C4170"/>
    <w:rsid w:val="003C4218"/>
    <w:rsid w:val="003C4D50"/>
    <w:rsid w:val="003C59CA"/>
    <w:rsid w:val="003C5BF3"/>
    <w:rsid w:val="003C5D8B"/>
    <w:rsid w:val="003C5E30"/>
    <w:rsid w:val="003C606B"/>
    <w:rsid w:val="003C64B2"/>
    <w:rsid w:val="003C65DA"/>
    <w:rsid w:val="003C69F7"/>
    <w:rsid w:val="003C6B55"/>
    <w:rsid w:val="003C6FDE"/>
    <w:rsid w:val="003C79DB"/>
    <w:rsid w:val="003C7A28"/>
    <w:rsid w:val="003C7A71"/>
    <w:rsid w:val="003C7AB2"/>
    <w:rsid w:val="003C7EFD"/>
    <w:rsid w:val="003D00B4"/>
    <w:rsid w:val="003D056D"/>
    <w:rsid w:val="003D152A"/>
    <w:rsid w:val="003D1C69"/>
    <w:rsid w:val="003D223A"/>
    <w:rsid w:val="003D2437"/>
    <w:rsid w:val="003D263A"/>
    <w:rsid w:val="003D3351"/>
    <w:rsid w:val="003D337F"/>
    <w:rsid w:val="003D3610"/>
    <w:rsid w:val="003D4206"/>
    <w:rsid w:val="003D4257"/>
    <w:rsid w:val="003D4C33"/>
    <w:rsid w:val="003D4C73"/>
    <w:rsid w:val="003D5917"/>
    <w:rsid w:val="003D5E2B"/>
    <w:rsid w:val="003D5F53"/>
    <w:rsid w:val="003D6A5C"/>
    <w:rsid w:val="003D6AD4"/>
    <w:rsid w:val="003D7038"/>
    <w:rsid w:val="003D7354"/>
    <w:rsid w:val="003D73A4"/>
    <w:rsid w:val="003D7942"/>
    <w:rsid w:val="003D7BBC"/>
    <w:rsid w:val="003E01B2"/>
    <w:rsid w:val="003E0252"/>
    <w:rsid w:val="003E03F0"/>
    <w:rsid w:val="003E094B"/>
    <w:rsid w:val="003E0B21"/>
    <w:rsid w:val="003E0C99"/>
    <w:rsid w:val="003E1EBD"/>
    <w:rsid w:val="003E22AC"/>
    <w:rsid w:val="003E3416"/>
    <w:rsid w:val="003E343D"/>
    <w:rsid w:val="003E3C21"/>
    <w:rsid w:val="003E3FAB"/>
    <w:rsid w:val="003E427B"/>
    <w:rsid w:val="003E4873"/>
    <w:rsid w:val="003E51F3"/>
    <w:rsid w:val="003E5269"/>
    <w:rsid w:val="003E5480"/>
    <w:rsid w:val="003E5A8C"/>
    <w:rsid w:val="003E5F34"/>
    <w:rsid w:val="003E62B3"/>
    <w:rsid w:val="003E676D"/>
    <w:rsid w:val="003E6C77"/>
    <w:rsid w:val="003E6D82"/>
    <w:rsid w:val="003E70FF"/>
    <w:rsid w:val="003E739B"/>
    <w:rsid w:val="003E7BC9"/>
    <w:rsid w:val="003E7D56"/>
    <w:rsid w:val="003F0495"/>
    <w:rsid w:val="003F0C05"/>
    <w:rsid w:val="003F1861"/>
    <w:rsid w:val="003F1C65"/>
    <w:rsid w:val="003F1F15"/>
    <w:rsid w:val="003F1F73"/>
    <w:rsid w:val="003F21D0"/>
    <w:rsid w:val="003F2A61"/>
    <w:rsid w:val="003F34F7"/>
    <w:rsid w:val="003F3670"/>
    <w:rsid w:val="003F393B"/>
    <w:rsid w:val="003F3B40"/>
    <w:rsid w:val="003F3FF0"/>
    <w:rsid w:val="003F4C55"/>
    <w:rsid w:val="003F55E7"/>
    <w:rsid w:val="003F62E1"/>
    <w:rsid w:val="003F634B"/>
    <w:rsid w:val="003F65A8"/>
    <w:rsid w:val="003F69A9"/>
    <w:rsid w:val="003F7684"/>
    <w:rsid w:val="003F7C37"/>
    <w:rsid w:val="003F7F63"/>
    <w:rsid w:val="0040076D"/>
    <w:rsid w:val="00400919"/>
    <w:rsid w:val="00400D30"/>
    <w:rsid w:val="004017E5"/>
    <w:rsid w:val="00401D30"/>
    <w:rsid w:val="00401EC0"/>
    <w:rsid w:val="00401F52"/>
    <w:rsid w:val="0040282E"/>
    <w:rsid w:val="00402A04"/>
    <w:rsid w:val="00402ABD"/>
    <w:rsid w:val="00402C83"/>
    <w:rsid w:val="00402E92"/>
    <w:rsid w:val="004034FF"/>
    <w:rsid w:val="00404042"/>
    <w:rsid w:val="004045C4"/>
    <w:rsid w:val="004046F4"/>
    <w:rsid w:val="004048B3"/>
    <w:rsid w:val="00404B88"/>
    <w:rsid w:val="00404BA7"/>
    <w:rsid w:val="00404CF6"/>
    <w:rsid w:val="00405496"/>
    <w:rsid w:val="00405FE5"/>
    <w:rsid w:val="004065CF"/>
    <w:rsid w:val="004071FB"/>
    <w:rsid w:val="00407215"/>
    <w:rsid w:val="00407899"/>
    <w:rsid w:val="00407A06"/>
    <w:rsid w:val="0041037B"/>
    <w:rsid w:val="00410649"/>
    <w:rsid w:val="00411042"/>
    <w:rsid w:val="004113C3"/>
    <w:rsid w:val="0041252B"/>
    <w:rsid w:val="00412BA3"/>
    <w:rsid w:val="00412C21"/>
    <w:rsid w:val="00412E21"/>
    <w:rsid w:val="004137AB"/>
    <w:rsid w:val="004138F6"/>
    <w:rsid w:val="004142AF"/>
    <w:rsid w:val="00414901"/>
    <w:rsid w:val="00414B05"/>
    <w:rsid w:val="004150D2"/>
    <w:rsid w:val="0041549F"/>
    <w:rsid w:val="00415C63"/>
    <w:rsid w:val="00416232"/>
    <w:rsid w:val="00416646"/>
    <w:rsid w:val="00416AAC"/>
    <w:rsid w:val="00416B43"/>
    <w:rsid w:val="00417151"/>
    <w:rsid w:val="00417AA6"/>
    <w:rsid w:val="00417B3B"/>
    <w:rsid w:val="0042032F"/>
    <w:rsid w:val="00420351"/>
    <w:rsid w:val="004218D2"/>
    <w:rsid w:val="004220DD"/>
    <w:rsid w:val="00422864"/>
    <w:rsid w:val="0042340C"/>
    <w:rsid w:val="00423C2E"/>
    <w:rsid w:val="00423C89"/>
    <w:rsid w:val="00424338"/>
    <w:rsid w:val="0042442E"/>
    <w:rsid w:val="00424785"/>
    <w:rsid w:val="004249BC"/>
    <w:rsid w:val="00425C6C"/>
    <w:rsid w:val="00425EE0"/>
    <w:rsid w:val="0042681C"/>
    <w:rsid w:val="00426A7E"/>
    <w:rsid w:val="004272B7"/>
    <w:rsid w:val="0043035C"/>
    <w:rsid w:val="004304C6"/>
    <w:rsid w:val="004307EF"/>
    <w:rsid w:val="00430C62"/>
    <w:rsid w:val="004311FA"/>
    <w:rsid w:val="00431FE7"/>
    <w:rsid w:val="0043214D"/>
    <w:rsid w:val="004324CB"/>
    <w:rsid w:val="00432745"/>
    <w:rsid w:val="00432753"/>
    <w:rsid w:val="00432843"/>
    <w:rsid w:val="004331E9"/>
    <w:rsid w:val="0043360A"/>
    <w:rsid w:val="00433B00"/>
    <w:rsid w:val="004342FD"/>
    <w:rsid w:val="00434544"/>
    <w:rsid w:val="004345B7"/>
    <w:rsid w:val="00434EAE"/>
    <w:rsid w:val="0043560E"/>
    <w:rsid w:val="00436577"/>
    <w:rsid w:val="00436D43"/>
    <w:rsid w:val="00436FC0"/>
    <w:rsid w:val="004370A4"/>
    <w:rsid w:val="00437567"/>
    <w:rsid w:val="004375EE"/>
    <w:rsid w:val="004376CD"/>
    <w:rsid w:val="00437BBF"/>
    <w:rsid w:val="004402B1"/>
    <w:rsid w:val="00440E3D"/>
    <w:rsid w:val="00440F2B"/>
    <w:rsid w:val="00441D5A"/>
    <w:rsid w:val="00442749"/>
    <w:rsid w:val="0044289D"/>
    <w:rsid w:val="00443138"/>
    <w:rsid w:val="0044324F"/>
    <w:rsid w:val="0044344C"/>
    <w:rsid w:val="004436C2"/>
    <w:rsid w:val="004437BE"/>
    <w:rsid w:val="0044404F"/>
    <w:rsid w:val="004441A7"/>
    <w:rsid w:val="00444EEE"/>
    <w:rsid w:val="00444F23"/>
    <w:rsid w:val="00445A0D"/>
    <w:rsid w:val="00445F86"/>
    <w:rsid w:val="0044605C"/>
    <w:rsid w:val="004466A0"/>
    <w:rsid w:val="0044696B"/>
    <w:rsid w:val="004477B1"/>
    <w:rsid w:val="00447C9A"/>
    <w:rsid w:val="00447F3F"/>
    <w:rsid w:val="0045020D"/>
    <w:rsid w:val="00450653"/>
    <w:rsid w:val="004506B4"/>
    <w:rsid w:val="00450A9D"/>
    <w:rsid w:val="0045108E"/>
    <w:rsid w:val="00451173"/>
    <w:rsid w:val="004518B0"/>
    <w:rsid w:val="00451995"/>
    <w:rsid w:val="00451F4C"/>
    <w:rsid w:val="004520E8"/>
    <w:rsid w:val="004526AE"/>
    <w:rsid w:val="00452779"/>
    <w:rsid w:val="00452A57"/>
    <w:rsid w:val="00453AFD"/>
    <w:rsid w:val="00454704"/>
    <w:rsid w:val="0045476A"/>
    <w:rsid w:val="00454A70"/>
    <w:rsid w:val="00454CB4"/>
    <w:rsid w:val="00454CD0"/>
    <w:rsid w:val="00454DE8"/>
    <w:rsid w:val="00455720"/>
    <w:rsid w:val="00455C1B"/>
    <w:rsid w:val="00456580"/>
    <w:rsid w:val="00456877"/>
    <w:rsid w:val="00456942"/>
    <w:rsid w:val="00456996"/>
    <w:rsid w:val="00457744"/>
    <w:rsid w:val="0045791F"/>
    <w:rsid w:val="0045795B"/>
    <w:rsid w:val="00457B98"/>
    <w:rsid w:val="00460624"/>
    <w:rsid w:val="00460CD0"/>
    <w:rsid w:val="00460E04"/>
    <w:rsid w:val="00461207"/>
    <w:rsid w:val="00461427"/>
    <w:rsid w:val="00461A03"/>
    <w:rsid w:val="00461F1A"/>
    <w:rsid w:val="00462099"/>
    <w:rsid w:val="004624DA"/>
    <w:rsid w:val="00462F9B"/>
    <w:rsid w:val="00463331"/>
    <w:rsid w:val="00463870"/>
    <w:rsid w:val="00463BBA"/>
    <w:rsid w:val="00464E7A"/>
    <w:rsid w:val="00465184"/>
    <w:rsid w:val="0046540C"/>
    <w:rsid w:val="004656CA"/>
    <w:rsid w:val="004658BC"/>
    <w:rsid w:val="004659B8"/>
    <w:rsid w:val="004663AA"/>
    <w:rsid w:val="004669E9"/>
    <w:rsid w:val="00466F3E"/>
    <w:rsid w:val="004677FF"/>
    <w:rsid w:val="00467C20"/>
    <w:rsid w:val="00470C51"/>
    <w:rsid w:val="00471AF2"/>
    <w:rsid w:val="00471E51"/>
    <w:rsid w:val="004724DA"/>
    <w:rsid w:val="00472BBE"/>
    <w:rsid w:val="00472CB7"/>
    <w:rsid w:val="00473242"/>
    <w:rsid w:val="0047384E"/>
    <w:rsid w:val="00474022"/>
    <w:rsid w:val="00474A83"/>
    <w:rsid w:val="00474E92"/>
    <w:rsid w:val="004753BB"/>
    <w:rsid w:val="00475B4E"/>
    <w:rsid w:val="00475D88"/>
    <w:rsid w:val="0047677D"/>
    <w:rsid w:val="00476790"/>
    <w:rsid w:val="004776A6"/>
    <w:rsid w:val="00481857"/>
    <w:rsid w:val="00481DEE"/>
    <w:rsid w:val="00482136"/>
    <w:rsid w:val="00482374"/>
    <w:rsid w:val="004829F9"/>
    <w:rsid w:val="00482E66"/>
    <w:rsid w:val="00483060"/>
    <w:rsid w:val="00483211"/>
    <w:rsid w:val="00483732"/>
    <w:rsid w:val="00483936"/>
    <w:rsid w:val="00483C43"/>
    <w:rsid w:val="0048424F"/>
    <w:rsid w:val="00484AB7"/>
    <w:rsid w:val="00484CB5"/>
    <w:rsid w:val="00484F05"/>
    <w:rsid w:val="00485476"/>
    <w:rsid w:val="0048562F"/>
    <w:rsid w:val="00485D21"/>
    <w:rsid w:val="00485E2A"/>
    <w:rsid w:val="00487ED9"/>
    <w:rsid w:val="004904FB"/>
    <w:rsid w:val="004906CB"/>
    <w:rsid w:val="00490E87"/>
    <w:rsid w:val="004910C9"/>
    <w:rsid w:val="004914B9"/>
    <w:rsid w:val="00491686"/>
    <w:rsid w:val="0049181E"/>
    <w:rsid w:val="00493339"/>
    <w:rsid w:val="004934CB"/>
    <w:rsid w:val="00493A31"/>
    <w:rsid w:val="00493C15"/>
    <w:rsid w:val="00494B91"/>
    <w:rsid w:val="00494BA0"/>
    <w:rsid w:val="0049579A"/>
    <w:rsid w:val="00495D70"/>
    <w:rsid w:val="00495E2D"/>
    <w:rsid w:val="00496ADD"/>
    <w:rsid w:val="00497521"/>
    <w:rsid w:val="00497B0B"/>
    <w:rsid w:val="00497C77"/>
    <w:rsid w:val="00497D51"/>
    <w:rsid w:val="00497E06"/>
    <w:rsid w:val="004A02DF"/>
    <w:rsid w:val="004A0AC0"/>
    <w:rsid w:val="004A1068"/>
    <w:rsid w:val="004A12BF"/>
    <w:rsid w:val="004A12D8"/>
    <w:rsid w:val="004A1763"/>
    <w:rsid w:val="004A1B4B"/>
    <w:rsid w:val="004A23AC"/>
    <w:rsid w:val="004A2674"/>
    <w:rsid w:val="004A2947"/>
    <w:rsid w:val="004A2D58"/>
    <w:rsid w:val="004A34AA"/>
    <w:rsid w:val="004A35DA"/>
    <w:rsid w:val="004A37B7"/>
    <w:rsid w:val="004A3F98"/>
    <w:rsid w:val="004A4BAF"/>
    <w:rsid w:val="004A4D15"/>
    <w:rsid w:val="004A4D76"/>
    <w:rsid w:val="004A55AD"/>
    <w:rsid w:val="004A638E"/>
    <w:rsid w:val="004A6668"/>
    <w:rsid w:val="004A68B4"/>
    <w:rsid w:val="004A69D7"/>
    <w:rsid w:val="004A6B3E"/>
    <w:rsid w:val="004A7039"/>
    <w:rsid w:val="004A7118"/>
    <w:rsid w:val="004A7CC8"/>
    <w:rsid w:val="004A7D45"/>
    <w:rsid w:val="004A7F81"/>
    <w:rsid w:val="004B025A"/>
    <w:rsid w:val="004B0AB6"/>
    <w:rsid w:val="004B197B"/>
    <w:rsid w:val="004B1B2A"/>
    <w:rsid w:val="004B1F25"/>
    <w:rsid w:val="004B2163"/>
    <w:rsid w:val="004B21DE"/>
    <w:rsid w:val="004B228A"/>
    <w:rsid w:val="004B24BA"/>
    <w:rsid w:val="004B2D7C"/>
    <w:rsid w:val="004B3662"/>
    <w:rsid w:val="004B3C4F"/>
    <w:rsid w:val="004B446A"/>
    <w:rsid w:val="004B4A56"/>
    <w:rsid w:val="004B4AB6"/>
    <w:rsid w:val="004B6117"/>
    <w:rsid w:val="004B64BA"/>
    <w:rsid w:val="004B66F6"/>
    <w:rsid w:val="004B6910"/>
    <w:rsid w:val="004B72B7"/>
    <w:rsid w:val="004B7511"/>
    <w:rsid w:val="004B7B2C"/>
    <w:rsid w:val="004B7D26"/>
    <w:rsid w:val="004C0058"/>
    <w:rsid w:val="004C02BD"/>
    <w:rsid w:val="004C06AD"/>
    <w:rsid w:val="004C0B91"/>
    <w:rsid w:val="004C1CE8"/>
    <w:rsid w:val="004C24DD"/>
    <w:rsid w:val="004C2526"/>
    <w:rsid w:val="004C25A2"/>
    <w:rsid w:val="004C2758"/>
    <w:rsid w:val="004C2867"/>
    <w:rsid w:val="004C2DB1"/>
    <w:rsid w:val="004C339A"/>
    <w:rsid w:val="004C34D7"/>
    <w:rsid w:val="004C3F15"/>
    <w:rsid w:val="004C4B22"/>
    <w:rsid w:val="004C55F8"/>
    <w:rsid w:val="004C6071"/>
    <w:rsid w:val="004C620A"/>
    <w:rsid w:val="004C6532"/>
    <w:rsid w:val="004C660A"/>
    <w:rsid w:val="004C69A0"/>
    <w:rsid w:val="004C718F"/>
    <w:rsid w:val="004C7863"/>
    <w:rsid w:val="004C7A25"/>
    <w:rsid w:val="004C7A72"/>
    <w:rsid w:val="004D016A"/>
    <w:rsid w:val="004D046A"/>
    <w:rsid w:val="004D05DE"/>
    <w:rsid w:val="004D06F6"/>
    <w:rsid w:val="004D0A80"/>
    <w:rsid w:val="004D10CF"/>
    <w:rsid w:val="004D18F9"/>
    <w:rsid w:val="004D1C44"/>
    <w:rsid w:val="004D1DE9"/>
    <w:rsid w:val="004D215A"/>
    <w:rsid w:val="004D2AA2"/>
    <w:rsid w:val="004D2AFD"/>
    <w:rsid w:val="004D2F2A"/>
    <w:rsid w:val="004D3A13"/>
    <w:rsid w:val="004D3D6F"/>
    <w:rsid w:val="004D4CF4"/>
    <w:rsid w:val="004D51A9"/>
    <w:rsid w:val="004D6294"/>
    <w:rsid w:val="004D63A0"/>
    <w:rsid w:val="004D68C4"/>
    <w:rsid w:val="004D6F83"/>
    <w:rsid w:val="004D7D38"/>
    <w:rsid w:val="004E0990"/>
    <w:rsid w:val="004E0E85"/>
    <w:rsid w:val="004E141E"/>
    <w:rsid w:val="004E19A1"/>
    <w:rsid w:val="004E1B6F"/>
    <w:rsid w:val="004E1ED1"/>
    <w:rsid w:val="004E2A69"/>
    <w:rsid w:val="004E32EA"/>
    <w:rsid w:val="004E363D"/>
    <w:rsid w:val="004E3C27"/>
    <w:rsid w:val="004E3E3A"/>
    <w:rsid w:val="004E4212"/>
    <w:rsid w:val="004E48B8"/>
    <w:rsid w:val="004E4DCB"/>
    <w:rsid w:val="004E584B"/>
    <w:rsid w:val="004E6263"/>
    <w:rsid w:val="004E6794"/>
    <w:rsid w:val="004E6C1D"/>
    <w:rsid w:val="004E73AA"/>
    <w:rsid w:val="004E7661"/>
    <w:rsid w:val="004E786A"/>
    <w:rsid w:val="004E7D91"/>
    <w:rsid w:val="004ED26A"/>
    <w:rsid w:val="004F0177"/>
    <w:rsid w:val="004F02F4"/>
    <w:rsid w:val="004F0EEE"/>
    <w:rsid w:val="004F1FA0"/>
    <w:rsid w:val="004F2541"/>
    <w:rsid w:val="004F288D"/>
    <w:rsid w:val="004F2B74"/>
    <w:rsid w:val="004F2C49"/>
    <w:rsid w:val="004F315E"/>
    <w:rsid w:val="004F35A0"/>
    <w:rsid w:val="004F3974"/>
    <w:rsid w:val="004F3EB4"/>
    <w:rsid w:val="004F601E"/>
    <w:rsid w:val="004F66F7"/>
    <w:rsid w:val="004F6AE3"/>
    <w:rsid w:val="004F79F2"/>
    <w:rsid w:val="004F7A11"/>
    <w:rsid w:val="004F7EAD"/>
    <w:rsid w:val="00500ED6"/>
    <w:rsid w:val="00500F1F"/>
    <w:rsid w:val="00501A35"/>
    <w:rsid w:val="00501A62"/>
    <w:rsid w:val="00501C88"/>
    <w:rsid w:val="005024D0"/>
    <w:rsid w:val="00503242"/>
    <w:rsid w:val="005034CC"/>
    <w:rsid w:val="0050363A"/>
    <w:rsid w:val="00503921"/>
    <w:rsid w:val="00503CF4"/>
    <w:rsid w:val="00503D5F"/>
    <w:rsid w:val="00503E7D"/>
    <w:rsid w:val="00503F02"/>
    <w:rsid w:val="00504BB6"/>
    <w:rsid w:val="00504D06"/>
    <w:rsid w:val="005051F7"/>
    <w:rsid w:val="0050548E"/>
    <w:rsid w:val="00505903"/>
    <w:rsid w:val="00506AA0"/>
    <w:rsid w:val="00507051"/>
    <w:rsid w:val="00507305"/>
    <w:rsid w:val="00507922"/>
    <w:rsid w:val="00507BF6"/>
    <w:rsid w:val="00507D11"/>
    <w:rsid w:val="00507F66"/>
    <w:rsid w:val="005108A8"/>
    <w:rsid w:val="0051090C"/>
    <w:rsid w:val="00510D8F"/>
    <w:rsid w:val="0051154B"/>
    <w:rsid w:val="00511780"/>
    <w:rsid w:val="00511FA8"/>
    <w:rsid w:val="00512379"/>
    <w:rsid w:val="005125B6"/>
    <w:rsid w:val="00512851"/>
    <w:rsid w:val="00512A3F"/>
    <w:rsid w:val="00512ABD"/>
    <w:rsid w:val="00512FDE"/>
    <w:rsid w:val="00513366"/>
    <w:rsid w:val="0051398B"/>
    <w:rsid w:val="0051437D"/>
    <w:rsid w:val="00515414"/>
    <w:rsid w:val="0051570E"/>
    <w:rsid w:val="00515967"/>
    <w:rsid w:val="00516428"/>
    <w:rsid w:val="00516B44"/>
    <w:rsid w:val="00516FFE"/>
    <w:rsid w:val="005171DA"/>
    <w:rsid w:val="005173D3"/>
    <w:rsid w:val="005200FB"/>
    <w:rsid w:val="00520257"/>
    <w:rsid w:val="005203F6"/>
    <w:rsid w:val="0052040C"/>
    <w:rsid w:val="00520E04"/>
    <w:rsid w:val="00521037"/>
    <w:rsid w:val="0052138E"/>
    <w:rsid w:val="00521633"/>
    <w:rsid w:val="0052190D"/>
    <w:rsid w:val="00522E07"/>
    <w:rsid w:val="00522FFE"/>
    <w:rsid w:val="005233FB"/>
    <w:rsid w:val="00523A1A"/>
    <w:rsid w:val="00524075"/>
    <w:rsid w:val="00524AD0"/>
    <w:rsid w:val="00524BD1"/>
    <w:rsid w:val="00524C9D"/>
    <w:rsid w:val="005258C9"/>
    <w:rsid w:val="00525DD7"/>
    <w:rsid w:val="00525E20"/>
    <w:rsid w:val="00525EC3"/>
    <w:rsid w:val="00526A7F"/>
    <w:rsid w:val="00527B52"/>
    <w:rsid w:val="005304D2"/>
    <w:rsid w:val="005309F4"/>
    <w:rsid w:val="00530D03"/>
    <w:rsid w:val="005315B2"/>
    <w:rsid w:val="00531F2A"/>
    <w:rsid w:val="00532282"/>
    <w:rsid w:val="00532416"/>
    <w:rsid w:val="005328D7"/>
    <w:rsid w:val="00532B58"/>
    <w:rsid w:val="00533425"/>
    <w:rsid w:val="0053344D"/>
    <w:rsid w:val="005335F4"/>
    <w:rsid w:val="005341A4"/>
    <w:rsid w:val="00534A56"/>
    <w:rsid w:val="00534A9A"/>
    <w:rsid w:val="005351D8"/>
    <w:rsid w:val="00535271"/>
    <w:rsid w:val="00535458"/>
    <w:rsid w:val="00535A95"/>
    <w:rsid w:val="00535B4D"/>
    <w:rsid w:val="005368D6"/>
    <w:rsid w:val="005377FB"/>
    <w:rsid w:val="00537C88"/>
    <w:rsid w:val="00537D46"/>
    <w:rsid w:val="00537E96"/>
    <w:rsid w:val="00537F2C"/>
    <w:rsid w:val="00540080"/>
    <w:rsid w:val="00541773"/>
    <w:rsid w:val="00542A8A"/>
    <w:rsid w:val="00542FB8"/>
    <w:rsid w:val="00543455"/>
    <w:rsid w:val="00543965"/>
    <w:rsid w:val="00543EF9"/>
    <w:rsid w:val="0054417A"/>
    <w:rsid w:val="005442FA"/>
    <w:rsid w:val="005445E8"/>
    <w:rsid w:val="00544733"/>
    <w:rsid w:val="00544FAC"/>
    <w:rsid w:val="005453AD"/>
    <w:rsid w:val="005454D7"/>
    <w:rsid w:val="005457F0"/>
    <w:rsid w:val="00545969"/>
    <w:rsid w:val="00545AD1"/>
    <w:rsid w:val="00545DFE"/>
    <w:rsid w:val="00545ED1"/>
    <w:rsid w:val="00546448"/>
    <w:rsid w:val="005466EC"/>
    <w:rsid w:val="00546A89"/>
    <w:rsid w:val="005478B8"/>
    <w:rsid w:val="005479A8"/>
    <w:rsid w:val="00547FB6"/>
    <w:rsid w:val="00550D72"/>
    <w:rsid w:val="0055150A"/>
    <w:rsid w:val="005516F4"/>
    <w:rsid w:val="00551D0F"/>
    <w:rsid w:val="00551E75"/>
    <w:rsid w:val="005520C6"/>
    <w:rsid w:val="00552CA0"/>
    <w:rsid w:val="00554306"/>
    <w:rsid w:val="0055449B"/>
    <w:rsid w:val="005545AF"/>
    <w:rsid w:val="00554744"/>
    <w:rsid w:val="00554DBA"/>
    <w:rsid w:val="00554E48"/>
    <w:rsid w:val="00555046"/>
    <w:rsid w:val="00555285"/>
    <w:rsid w:val="005552DA"/>
    <w:rsid w:val="0055571E"/>
    <w:rsid w:val="00556503"/>
    <w:rsid w:val="005567E9"/>
    <w:rsid w:val="0055687E"/>
    <w:rsid w:val="00556B93"/>
    <w:rsid w:val="005573DA"/>
    <w:rsid w:val="00557BE1"/>
    <w:rsid w:val="0056032A"/>
    <w:rsid w:val="005610C8"/>
    <w:rsid w:val="00561BA1"/>
    <w:rsid w:val="005622D4"/>
    <w:rsid w:val="00562477"/>
    <w:rsid w:val="00562683"/>
    <w:rsid w:val="00562987"/>
    <w:rsid w:val="00562B10"/>
    <w:rsid w:val="005630D0"/>
    <w:rsid w:val="00563547"/>
    <w:rsid w:val="00564107"/>
    <w:rsid w:val="005648B9"/>
    <w:rsid w:val="0056519C"/>
    <w:rsid w:val="00565598"/>
    <w:rsid w:val="00565EAD"/>
    <w:rsid w:val="0056619F"/>
    <w:rsid w:val="00566855"/>
    <w:rsid w:val="00567198"/>
    <w:rsid w:val="005673DE"/>
    <w:rsid w:val="0056741C"/>
    <w:rsid w:val="005677AB"/>
    <w:rsid w:val="00567D04"/>
    <w:rsid w:val="00570711"/>
    <w:rsid w:val="00570E4A"/>
    <w:rsid w:val="0057115B"/>
    <w:rsid w:val="00571B56"/>
    <w:rsid w:val="00571BFB"/>
    <w:rsid w:val="0057214E"/>
    <w:rsid w:val="00572203"/>
    <w:rsid w:val="005723BA"/>
    <w:rsid w:val="00572432"/>
    <w:rsid w:val="00572D7A"/>
    <w:rsid w:val="00572E0A"/>
    <w:rsid w:val="00573848"/>
    <w:rsid w:val="00573ACE"/>
    <w:rsid w:val="00573C19"/>
    <w:rsid w:val="005745A3"/>
    <w:rsid w:val="00574674"/>
    <w:rsid w:val="00575955"/>
    <w:rsid w:val="00575B7C"/>
    <w:rsid w:val="00575DA6"/>
    <w:rsid w:val="00575FD2"/>
    <w:rsid w:val="0057662C"/>
    <w:rsid w:val="00576E53"/>
    <w:rsid w:val="00576E74"/>
    <w:rsid w:val="00576E99"/>
    <w:rsid w:val="00576ED0"/>
    <w:rsid w:val="00577EC4"/>
    <w:rsid w:val="00577F48"/>
    <w:rsid w:val="00577F97"/>
    <w:rsid w:val="005805CC"/>
    <w:rsid w:val="00580E97"/>
    <w:rsid w:val="005810A1"/>
    <w:rsid w:val="00581571"/>
    <w:rsid w:val="00581577"/>
    <w:rsid w:val="00581A0F"/>
    <w:rsid w:val="00582916"/>
    <w:rsid w:val="00582FE2"/>
    <w:rsid w:val="00584098"/>
    <w:rsid w:val="005843EB"/>
    <w:rsid w:val="00584768"/>
    <w:rsid w:val="00584798"/>
    <w:rsid w:val="00585278"/>
    <w:rsid w:val="00585819"/>
    <w:rsid w:val="00585AA2"/>
    <w:rsid w:val="00585F33"/>
    <w:rsid w:val="005872DD"/>
    <w:rsid w:val="00587574"/>
    <w:rsid w:val="005900C8"/>
    <w:rsid w:val="005908A0"/>
    <w:rsid w:val="005908A9"/>
    <w:rsid w:val="005909E7"/>
    <w:rsid w:val="00590B42"/>
    <w:rsid w:val="00590C3F"/>
    <w:rsid w:val="0059125A"/>
    <w:rsid w:val="00591CAA"/>
    <w:rsid w:val="0059299C"/>
    <w:rsid w:val="00592F48"/>
    <w:rsid w:val="005937E1"/>
    <w:rsid w:val="00593B12"/>
    <w:rsid w:val="0059446C"/>
    <w:rsid w:val="00594779"/>
    <w:rsid w:val="00595906"/>
    <w:rsid w:val="00595EE3"/>
    <w:rsid w:val="005960B8"/>
    <w:rsid w:val="005967EF"/>
    <w:rsid w:val="0059686A"/>
    <w:rsid w:val="005968A1"/>
    <w:rsid w:val="00596A5D"/>
    <w:rsid w:val="00596AE2"/>
    <w:rsid w:val="00596BAC"/>
    <w:rsid w:val="00596E83"/>
    <w:rsid w:val="00596E84"/>
    <w:rsid w:val="00597312"/>
    <w:rsid w:val="00597FFE"/>
    <w:rsid w:val="005A01BB"/>
    <w:rsid w:val="005A0245"/>
    <w:rsid w:val="005A08D1"/>
    <w:rsid w:val="005A0E6B"/>
    <w:rsid w:val="005A1294"/>
    <w:rsid w:val="005A1899"/>
    <w:rsid w:val="005A2069"/>
    <w:rsid w:val="005A23ED"/>
    <w:rsid w:val="005A2A04"/>
    <w:rsid w:val="005A3F69"/>
    <w:rsid w:val="005A4766"/>
    <w:rsid w:val="005A4B04"/>
    <w:rsid w:val="005A4DAE"/>
    <w:rsid w:val="005A6234"/>
    <w:rsid w:val="005A6646"/>
    <w:rsid w:val="005A6A9D"/>
    <w:rsid w:val="005A6F58"/>
    <w:rsid w:val="005A70EF"/>
    <w:rsid w:val="005A75AF"/>
    <w:rsid w:val="005A787D"/>
    <w:rsid w:val="005A7891"/>
    <w:rsid w:val="005A7A24"/>
    <w:rsid w:val="005A7C50"/>
    <w:rsid w:val="005A7E54"/>
    <w:rsid w:val="005B003B"/>
    <w:rsid w:val="005B052D"/>
    <w:rsid w:val="005B1EE9"/>
    <w:rsid w:val="005B292A"/>
    <w:rsid w:val="005B292E"/>
    <w:rsid w:val="005B2FA6"/>
    <w:rsid w:val="005B397E"/>
    <w:rsid w:val="005B3ABA"/>
    <w:rsid w:val="005B3D63"/>
    <w:rsid w:val="005B3FC3"/>
    <w:rsid w:val="005B42B8"/>
    <w:rsid w:val="005B44B5"/>
    <w:rsid w:val="005B4844"/>
    <w:rsid w:val="005B4AA4"/>
    <w:rsid w:val="005B4AF4"/>
    <w:rsid w:val="005B5739"/>
    <w:rsid w:val="005B5A8D"/>
    <w:rsid w:val="005B6201"/>
    <w:rsid w:val="005B6B01"/>
    <w:rsid w:val="005B7063"/>
    <w:rsid w:val="005B7DED"/>
    <w:rsid w:val="005C01CE"/>
    <w:rsid w:val="005C063E"/>
    <w:rsid w:val="005C0656"/>
    <w:rsid w:val="005C1444"/>
    <w:rsid w:val="005C1596"/>
    <w:rsid w:val="005C15BE"/>
    <w:rsid w:val="005C1DD5"/>
    <w:rsid w:val="005C1FA0"/>
    <w:rsid w:val="005C29E7"/>
    <w:rsid w:val="005C29F4"/>
    <w:rsid w:val="005C36EA"/>
    <w:rsid w:val="005C3A89"/>
    <w:rsid w:val="005C3DDD"/>
    <w:rsid w:val="005C42F4"/>
    <w:rsid w:val="005C4836"/>
    <w:rsid w:val="005C5533"/>
    <w:rsid w:val="005C554C"/>
    <w:rsid w:val="005C59C5"/>
    <w:rsid w:val="005C607B"/>
    <w:rsid w:val="005C72CD"/>
    <w:rsid w:val="005C7930"/>
    <w:rsid w:val="005C79A4"/>
    <w:rsid w:val="005D1263"/>
    <w:rsid w:val="005D1EDA"/>
    <w:rsid w:val="005D20D0"/>
    <w:rsid w:val="005D2785"/>
    <w:rsid w:val="005D2B9D"/>
    <w:rsid w:val="005D3422"/>
    <w:rsid w:val="005D3F00"/>
    <w:rsid w:val="005D40CF"/>
    <w:rsid w:val="005D4FB6"/>
    <w:rsid w:val="005D588C"/>
    <w:rsid w:val="005D6FEC"/>
    <w:rsid w:val="005D7109"/>
    <w:rsid w:val="005E217D"/>
    <w:rsid w:val="005E2722"/>
    <w:rsid w:val="005E30A2"/>
    <w:rsid w:val="005E30D2"/>
    <w:rsid w:val="005E3B08"/>
    <w:rsid w:val="005E40F7"/>
    <w:rsid w:val="005E464E"/>
    <w:rsid w:val="005E4C19"/>
    <w:rsid w:val="005E4CCC"/>
    <w:rsid w:val="005E4E59"/>
    <w:rsid w:val="005E4E6B"/>
    <w:rsid w:val="005E4F6C"/>
    <w:rsid w:val="005E5601"/>
    <w:rsid w:val="005E5A3E"/>
    <w:rsid w:val="005E5CA4"/>
    <w:rsid w:val="005E69EC"/>
    <w:rsid w:val="005E6CB9"/>
    <w:rsid w:val="005E70DC"/>
    <w:rsid w:val="005E718A"/>
    <w:rsid w:val="005E7664"/>
    <w:rsid w:val="005E7A5E"/>
    <w:rsid w:val="005E7AC2"/>
    <w:rsid w:val="005E7C3D"/>
    <w:rsid w:val="005F048D"/>
    <w:rsid w:val="005F13E4"/>
    <w:rsid w:val="005F15A2"/>
    <w:rsid w:val="005F1659"/>
    <w:rsid w:val="005F167C"/>
    <w:rsid w:val="005F1A81"/>
    <w:rsid w:val="005F1C75"/>
    <w:rsid w:val="005F22BA"/>
    <w:rsid w:val="005F247F"/>
    <w:rsid w:val="005F2961"/>
    <w:rsid w:val="005F2A5E"/>
    <w:rsid w:val="005F2A9F"/>
    <w:rsid w:val="005F3241"/>
    <w:rsid w:val="005F3514"/>
    <w:rsid w:val="005F38EC"/>
    <w:rsid w:val="005F3A85"/>
    <w:rsid w:val="005F45CC"/>
    <w:rsid w:val="005F47D1"/>
    <w:rsid w:val="005F4FA6"/>
    <w:rsid w:val="005F5BED"/>
    <w:rsid w:val="005F5DFE"/>
    <w:rsid w:val="005F60DE"/>
    <w:rsid w:val="005F6275"/>
    <w:rsid w:val="005F66FB"/>
    <w:rsid w:val="005F6963"/>
    <w:rsid w:val="005F7803"/>
    <w:rsid w:val="005F7E98"/>
    <w:rsid w:val="005F9C17"/>
    <w:rsid w:val="00600427"/>
    <w:rsid w:val="006004E3"/>
    <w:rsid w:val="006005B3"/>
    <w:rsid w:val="0060065D"/>
    <w:rsid w:val="00601A1C"/>
    <w:rsid w:val="00601DE2"/>
    <w:rsid w:val="00602338"/>
    <w:rsid w:val="006025C0"/>
    <w:rsid w:val="00602BD4"/>
    <w:rsid w:val="006037AD"/>
    <w:rsid w:val="006037C0"/>
    <w:rsid w:val="006052F0"/>
    <w:rsid w:val="006053AB"/>
    <w:rsid w:val="00606186"/>
    <w:rsid w:val="0060791D"/>
    <w:rsid w:val="00607DD4"/>
    <w:rsid w:val="00610B26"/>
    <w:rsid w:val="006111A1"/>
    <w:rsid w:val="006111D8"/>
    <w:rsid w:val="0061148C"/>
    <w:rsid w:val="006117C2"/>
    <w:rsid w:val="006117DE"/>
    <w:rsid w:val="0061189E"/>
    <w:rsid w:val="00611ACF"/>
    <w:rsid w:val="00611DC9"/>
    <w:rsid w:val="006129D1"/>
    <w:rsid w:val="00613285"/>
    <w:rsid w:val="00613A80"/>
    <w:rsid w:val="00613EBC"/>
    <w:rsid w:val="00614027"/>
    <w:rsid w:val="006150B4"/>
    <w:rsid w:val="00615104"/>
    <w:rsid w:val="006153A5"/>
    <w:rsid w:val="006155A3"/>
    <w:rsid w:val="0061564E"/>
    <w:rsid w:val="00616920"/>
    <w:rsid w:val="0061746F"/>
    <w:rsid w:val="00620219"/>
    <w:rsid w:val="00620499"/>
    <w:rsid w:val="006208FC"/>
    <w:rsid w:val="00620997"/>
    <w:rsid w:val="00620DD4"/>
    <w:rsid w:val="006211A3"/>
    <w:rsid w:val="00621630"/>
    <w:rsid w:val="00621CFF"/>
    <w:rsid w:val="00622E89"/>
    <w:rsid w:val="00623786"/>
    <w:rsid w:val="0062384F"/>
    <w:rsid w:val="00624005"/>
    <w:rsid w:val="00624043"/>
    <w:rsid w:val="0062503E"/>
    <w:rsid w:val="0062543A"/>
    <w:rsid w:val="00625D09"/>
    <w:rsid w:val="006264A3"/>
    <w:rsid w:val="00626926"/>
    <w:rsid w:val="0062A63A"/>
    <w:rsid w:val="00630AD0"/>
    <w:rsid w:val="00631117"/>
    <w:rsid w:val="00631DE8"/>
    <w:rsid w:val="0063226B"/>
    <w:rsid w:val="00632673"/>
    <w:rsid w:val="00632A96"/>
    <w:rsid w:val="00632BAD"/>
    <w:rsid w:val="00633267"/>
    <w:rsid w:val="00633650"/>
    <w:rsid w:val="0063402F"/>
    <w:rsid w:val="0063481B"/>
    <w:rsid w:val="006348BC"/>
    <w:rsid w:val="00634FF1"/>
    <w:rsid w:val="00635350"/>
    <w:rsid w:val="0063538C"/>
    <w:rsid w:val="006354BD"/>
    <w:rsid w:val="006359FC"/>
    <w:rsid w:val="00635D0D"/>
    <w:rsid w:val="00636477"/>
    <w:rsid w:val="0063653A"/>
    <w:rsid w:val="00636563"/>
    <w:rsid w:val="0063725D"/>
    <w:rsid w:val="006375CA"/>
    <w:rsid w:val="00637861"/>
    <w:rsid w:val="00637B3D"/>
    <w:rsid w:val="00637B56"/>
    <w:rsid w:val="0064006D"/>
    <w:rsid w:val="006408C0"/>
    <w:rsid w:val="0064149F"/>
    <w:rsid w:val="00641887"/>
    <w:rsid w:val="00641FC1"/>
    <w:rsid w:val="0064228F"/>
    <w:rsid w:val="00642491"/>
    <w:rsid w:val="0064268E"/>
    <w:rsid w:val="00642A16"/>
    <w:rsid w:val="006439E8"/>
    <w:rsid w:val="00643BC2"/>
    <w:rsid w:val="00644A98"/>
    <w:rsid w:val="00644DE4"/>
    <w:rsid w:val="00644E41"/>
    <w:rsid w:val="0064540C"/>
    <w:rsid w:val="00645652"/>
    <w:rsid w:val="00645DF2"/>
    <w:rsid w:val="006468D7"/>
    <w:rsid w:val="006469CD"/>
    <w:rsid w:val="00646BBE"/>
    <w:rsid w:val="00646C33"/>
    <w:rsid w:val="006470BD"/>
    <w:rsid w:val="00647919"/>
    <w:rsid w:val="006479C5"/>
    <w:rsid w:val="00647DF4"/>
    <w:rsid w:val="00650418"/>
    <w:rsid w:val="0065095E"/>
    <w:rsid w:val="0065118E"/>
    <w:rsid w:val="0065177D"/>
    <w:rsid w:val="00651A6F"/>
    <w:rsid w:val="00652443"/>
    <w:rsid w:val="0065273C"/>
    <w:rsid w:val="0065337E"/>
    <w:rsid w:val="00653561"/>
    <w:rsid w:val="006536A0"/>
    <w:rsid w:val="0065370A"/>
    <w:rsid w:val="00653739"/>
    <w:rsid w:val="00653BDC"/>
    <w:rsid w:val="00653C37"/>
    <w:rsid w:val="00653FA2"/>
    <w:rsid w:val="0065430E"/>
    <w:rsid w:val="00654BFB"/>
    <w:rsid w:val="0065594E"/>
    <w:rsid w:val="006567CA"/>
    <w:rsid w:val="00656E07"/>
    <w:rsid w:val="00656F2C"/>
    <w:rsid w:val="0065709A"/>
    <w:rsid w:val="00657377"/>
    <w:rsid w:val="0065746D"/>
    <w:rsid w:val="00657E18"/>
    <w:rsid w:val="00657F37"/>
    <w:rsid w:val="006605E7"/>
    <w:rsid w:val="00660BE0"/>
    <w:rsid w:val="00660CBE"/>
    <w:rsid w:val="00661167"/>
    <w:rsid w:val="00662F6C"/>
    <w:rsid w:val="00663B5E"/>
    <w:rsid w:val="00664465"/>
    <w:rsid w:val="006645E3"/>
    <w:rsid w:val="0066599D"/>
    <w:rsid w:val="0066649C"/>
    <w:rsid w:val="00666C81"/>
    <w:rsid w:val="006679C7"/>
    <w:rsid w:val="00670B8E"/>
    <w:rsid w:val="00670E79"/>
    <w:rsid w:val="00671394"/>
    <w:rsid w:val="006714B6"/>
    <w:rsid w:val="006714B7"/>
    <w:rsid w:val="00671A29"/>
    <w:rsid w:val="00672008"/>
    <w:rsid w:val="0067247E"/>
    <w:rsid w:val="00672852"/>
    <w:rsid w:val="00672888"/>
    <w:rsid w:val="00673C80"/>
    <w:rsid w:val="00674319"/>
    <w:rsid w:val="00674900"/>
    <w:rsid w:val="00674BED"/>
    <w:rsid w:val="00674D90"/>
    <w:rsid w:val="006753B7"/>
    <w:rsid w:val="00675856"/>
    <w:rsid w:val="00675F86"/>
    <w:rsid w:val="0067610F"/>
    <w:rsid w:val="00676126"/>
    <w:rsid w:val="00676633"/>
    <w:rsid w:val="006772AF"/>
    <w:rsid w:val="0067752B"/>
    <w:rsid w:val="0067779A"/>
    <w:rsid w:val="00677A4E"/>
    <w:rsid w:val="00677B8B"/>
    <w:rsid w:val="00677BA9"/>
    <w:rsid w:val="00677DB2"/>
    <w:rsid w:val="00680151"/>
    <w:rsid w:val="006810D3"/>
    <w:rsid w:val="00681379"/>
    <w:rsid w:val="00682029"/>
    <w:rsid w:val="006836CE"/>
    <w:rsid w:val="006837F4"/>
    <w:rsid w:val="0068403F"/>
    <w:rsid w:val="006845D7"/>
    <w:rsid w:val="00684E69"/>
    <w:rsid w:val="00686328"/>
    <w:rsid w:val="00686371"/>
    <w:rsid w:val="00686647"/>
    <w:rsid w:val="0068673D"/>
    <w:rsid w:val="0068677B"/>
    <w:rsid w:val="00686819"/>
    <w:rsid w:val="0068699E"/>
    <w:rsid w:val="00686E8C"/>
    <w:rsid w:val="0068709C"/>
    <w:rsid w:val="006870C7"/>
    <w:rsid w:val="0068723E"/>
    <w:rsid w:val="006875BA"/>
    <w:rsid w:val="00687891"/>
    <w:rsid w:val="00687AD6"/>
    <w:rsid w:val="00690675"/>
    <w:rsid w:val="006908E4"/>
    <w:rsid w:val="00690E0D"/>
    <w:rsid w:val="00691774"/>
    <w:rsid w:val="006918DD"/>
    <w:rsid w:val="00691CC6"/>
    <w:rsid w:val="00691DD3"/>
    <w:rsid w:val="00691F39"/>
    <w:rsid w:val="00691F96"/>
    <w:rsid w:val="006920D7"/>
    <w:rsid w:val="006921FA"/>
    <w:rsid w:val="00692B26"/>
    <w:rsid w:val="00692C37"/>
    <w:rsid w:val="00692CA4"/>
    <w:rsid w:val="006931F5"/>
    <w:rsid w:val="006937CB"/>
    <w:rsid w:val="00694886"/>
    <w:rsid w:val="00694A32"/>
    <w:rsid w:val="0069554E"/>
    <w:rsid w:val="00695C9C"/>
    <w:rsid w:val="00697386"/>
    <w:rsid w:val="00697B05"/>
    <w:rsid w:val="00697E34"/>
    <w:rsid w:val="006A095A"/>
    <w:rsid w:val="006A1944"/>
    <w:rsid w:val="006A1A9C"/>
    <w:rsid w:val="006A1D96"/>
    <w:rsid w:val="006A1FF8"/>
    <w:rsid w:val="006A2077"/>
    <w:rsid w:val="006A24EB"/>
    <w:rsid w:val="006A3128"/>
    <w:rsid w:val="006A31EF"/>
    <w:rsid w:val="006A3BB7"/>
    <w:rsid w:val="006A51DC"/>
    <w:rsid w:val="006A5C25"/>
    <w:rsid w:val="006A5C4F"/>
    <w:rsid w:val="006A5FB1"/>
    <w:rsid w:val="006A636E"/>
    <w:rsid w:val="006A64B9"/>
    <w:rsid w:val="006A67DC"/>
    <w:rsid w:val="006A6D9C"/>
    <w:rsid w:val="006A70BC"/>
    <w:rsid w:val="006A7EBC"/>
    <w:rsid w:val="006B0E18"/>
    <w:rsid w:val="006B0F61"/>
    <w:rsid w:val="006B1204"/>
    <w:rsid w:val="006B17A0"/>
    <w:rsid w:val="006B21A5"/>
    <w:rsid w:val="006B3106"/>
    <w:rsid w:val="006B3221"/>
    <w:rsid w:val="006B3620"/>
    <w:rsid w:val="006B3CCD"/>
    <w:rsid w:val="006B3FE5"/>
    <w:rsid w:val="006B4A68"/>
    <w:rsid w:val="006B4D58"/>
    <w:rsid w:val="006B51ED"/>
    <w:rsid w:val="006B56C8"/>
    <w:rsid w:val="006B6892"/>
    <w:rsid w:val="006B69CD"/>
    <w:rsid w:val="006B6E32"/>
    <w:rsid w:val="006B7217"/>
    <w:rsid w:val="006B7270"/>
    <w:rsid w:val="006B74AB"/>
    <w:rsid w:val="006B75F0"/>
    <w:rsid w:val="006B7730"/>
    <w:rsid w:val="006B7925"/>
    <w:rsid w:val="006B7951"/>
    <w:rsid w:val="006B7B32"/>
    <w:rsid w:val="006C006D"/>
    <w:rsid w:val="006C00D0"/>
    <w:rsid w:val="006C0964"/>
    <w:rsid w:val="006C0B17"/>
    <w:rsid w:val="006C126D"/>
    <w:rsid w:val="006C1350"/>
    <w:rsid w:val="006C15B7"/>
    <w:rsid w:val="006C198A"/>
    <w:rsid w:val="006C1AA8"/>
    <w:rsid w:val="006C28DE"/>
    <w:rsid w:val="006C2DEA"/>
    <w:rsid w:val="006C36FC"/>
    <w:rsid w:val="006C3A23"/>
    <w:rsid w:val="006C3F58"/>
    <w:rsid w:val="006C4580"/>
    <w:rsid w:val="006C4871"/>
    <w:rsid w:val="006C53C3"/>
    <w:rsid w:val="006C544A"/>
    <w:rsid w:val="006C56CF"/>
    <w:rsid w:val="006C6ED2"/>
    <w:rsid w:val="006C728B"/>
    <w:rsid w:val="006C7745"/>
    <w:rsid w:val="006C7770"/>
    <w:rsid w:val="006C7B46"/>
    <w:rsid w:val="006D0713"/>
    <w:rsid w:val="006D12A6"/>
    <w:rsid w:val="006D1716"/>
    <w:rsid w:val="006D1A23"/>
    <w:rsid w:val="006D1B17"/>
    <w:rsid w:val="006D1CE8"/>
    <w:rsid w:val="006D1D70"/>
    <w:rsid w:val="006D1D8B"/>
    <w:rsid w:val="006D2343"/>
    <w:rsid w:val="006D280F"/>
    <w:rsid w:val="006D29CD"/>
    <w:rsid w:val="006D3801"/>
    <w:rsid w:val="006D3D87"/>
    <w:rsid w:val="006D4BF3"/>
    <w:rsid w:val="006D4CB6"/>
    <w:rsid w:val="006D51A1"/>
    <w:rsid w:val="006D52E1"/>
    <w:rsid w:val="006D5CBF"/>
    <w:rsid w:val="006D5D65"/>
    <w:rsid w:val="006D69D6"/>
    <w:rsid w:val="006D6AC6"/>
    <w:rsid w:val="006D765A"/>
    <w:rsid w:val="006D7B5D"/>
    <w:rsid w:val="006D7DDC"/>
    <w:rsid w:val="006E0391"/>
    <w:rsid w:val="006E0761"/>
    <w:rsid w:val="006E1595"/>
    <w:rsid w:val="006E197F"/>
    <w:rsid w:val="006E19EF"/>
    <w:rsid w:val="006E22BB"/>
    <w:rsid w:val="006E2526"/>
    <w:rsid w:val="006E291D"/>
    <w:rsid w:val="006E2AB3"/>
    <w:rsid w:val="006E2BF4"/>
    <w:rsid w:val="006E2DAF"/>
    <w:rsid w:val="006E33E6"/>
    <w:rsid w:val="006E3F65"/>
    <w:rsid w:val="006E46EE"/>
    <w:rsid w:val="006E48B5"/>
    <w:rsid w:val="006E4DDA"/>
    <w:rsid w:val="006E5096"/>
    <w:rsid w:val="006E523C"/>
    <w:rsid w:val="006E6638"/>
    <w:rsid w:val="006E665A"/>
    <w:rsid w:val="006E6DBD"/>
    <w:rsid w:val="006E6F05"/>
    <w:rsid w:val="006E7D8F"/>
    <w:rsid w:val="006F0696"/>
    <w:rsid w:val="006F0B96"/>
    <w:rsid w:val="006F0F68"/>
    <w:rsid w:val="006F13E6"/>
    <w:rsid w:val="006F1E2F"/>
    <w:rsid w:val="006F1F21"/>
    <w:rsid w:val="006F2599"/>
    <w:rsid w:val="006F2E2C"/>
    <w:rsid w:val="006F36FE"/>
    <w:rsid w:val="006F395A"/>
    <w:rsid w:val="006F3FF0"/>
    <w:rsid w:val="006F4238"/>
    <w:rsid w:val="006F4AE7"/>
    <w:rsid w:val="006F5190"/>
    <w:rsid w:val="006F52E4"/>
    <w:rsid w:val="006F5716"/>
    <w:rsid w:val="006F6014"/>
    <w:rsid w:val="006F606E"/>
    <w:rsid w:val="006F6248"/>
    <w:rsid w:val="006F6465"/>
    <w:rsid w:val="006F6824"/>
    <w:rsid w:val="006F72D6"/>
    <w:rsid w:val="006F7349"/>
    <w:rsid w:val="006F74F4"/>
    <w:rsid w:val="006F76CE"/>
    <w:rsid w:val="006F76E0"/>
    <w:rsid w:val="006F7DC4"/>
    <w:rsid w:val="007009A5"/>
    <w:rsid w:val="00700BE3"/>
    <w:rsid w:val="00700D75"/>
    <w:rsid w:val="00701B6B"/>
    <w:rsid w:val="00701C58"/>
    <w:rsid w:val="00701D3E"/>
    <w:rsid w:val="00701D91"/>
    <w:rsid w:val="00701DAA"/>
    <w:rsid w:val="00702FBC"/>
    <w:rsid w:val="007035F2"/>
    <w:rsid w:val="00703749"/>
    <w:rsid w:val="0070392E"/>
    <w:rsid w:val="007040F9"/>
    <w:rsid w:val="0070435F"/>
    <w:rsid w:val="00704EB7"/>
    <w:rsid w:val="0070502C"/>
    <w:rsid w:val="0070604B"/>
    <w:rsid w:val="007060D7"/>
    <w:rsid w:val="007068F9"/>
    <w:rsid w:val="00706C7E"/>
    <w:rsid w:val="0070764E"/>
    <w:rsid w:val="00710257"/>
    <w:rsid w:val="00710596"/>
    <w:rsid w:val="00710E1E"/>
    <w:rsid w:val="00711425"/>
    <w:rsid w:val="00711903"/>
    <w:rsid w:val="00711D56"/>
    <w:rsid w:val="00712166"/>
    <w:rsid w:val="00712368"/>
    <w:rsid w:val="0071301B"/>
    <w:rsid w:val="007132AD"/>
    <w:rsid w:val="00713D69"/>
    <w:rsid w:val="00714960"/>
    <w:rsid w:val="00716387"/>
    <w:rsid w:val="00716554"/>
    <w:rsid w:val="007168E0"/>
    <w:rsid w:val="00717297"/>
    <w:rsid w:val="007206A6"/>
    <w:rsid w:val="00720790"/>
    <w:rsid w:val="0072113A"/>
    <w:rsid w:val="00721B4C"/>
    <w:rsid w:val="00721FB0"/>
    <w:rsid w:val="00721FC3"/>
    <w:rsid w:val="0072263B"/>
    <w:rsid w:val="00722E59"/>
    <w:rsid w:val="0072313F"/>
    <w:rsid w:val="00723BEE"/>
    <w:rsid w:val="00724482"/>
    <w:rsid w:val="00724983"/>
    <w:rsid w:val="007249EE"/>
    <w:rsid w:val="00725562"/>
    <w:rsid w:val="00725613"/>
    <w:rsid w:val="007263A6"/>
    <w:rsid w:val="007264AD"/>
    <w:rsid w:val="00726775"/>
    <w:rsid w:val="00726ED6"/>
    <w:rsid w:val="00727077"/>
    <w:rsid w:val="00727476"/>
    <w:rsid w:val="00727894"/>
    <w:rsid w:val="00727DE0"/>
    <w:rsid w:val="0073020E"/>
    <w:rsid w:val="0073022B"/>
    <w:rsid w:val="007302BE"/>
    <w:rsid w:val="007314C8"/>
    <w:rsid w:val="00731841"/>
    <w:rsid w:val="00731870"/>
    <w:rsid w:val="007318FE"/>
    <w:rsid w:val="00731E78"/>
    <w:rsid w:val="00732133"/>
    <w:rsid w:val="00732219"/>
    <w:rsid w:val="007323B3"/>
    <w:rsid w:val="007328D6"/>
    <w:rsid w:val="00732CF8"/>
    <w:rsid w:val="007336C4"/>
    <w:rsid w:val="00733C02"/>
    <w:rsid w:val="00733E73"/>
    <w:rsid w:val="00733F1C"/>
    <w:rsid w:val="00733F40"/>
    <w:rsid w:val="00733FEC"/>
    <w:rsid w:val="00734684"/>
    <w:rsid w:val="00734689"/>
    <w:rsid w:val="007348A8"/>
    <w:rsid w:val="00734C16"/>
    <w:rsid w:val="00734E6E"/>
    <w:rsid w:val="00735553"/>
    <w:rsid w:val="00736573"/>
    <w:rsid w:val="00736761"/>
    <w:rsid w:val="00736A26"/>
    <w:rsid w:val="00736ACF"/>
    <w:rsid w:val="00740091"/>
    <w:rsid w:val="0074047A"/>
    <w:rsid w:val="007410E2"/>
    <w:rsid w:val="00741290"/>
    <w:rsid w:val="00742732"/>
    <w:rsid w:val="007428BB"/>
    <w:rsid w:val="007433E3"/>
    <w:rsid w:val="00743844"/>
    <w:rsid w:val="007438E6"/>
    <w:rsid w:val="00743A72"/>
    <w:rsid w:val="00743D06"/>
    <w:rsid w:val="007450D2"/>
    <w:rsid w:val="00745105"/>
    <w:rsid w:val="007454E2"/>
    <w:rsid w:val="007458D2"/>
    <w:rsid w:val="007459A8"/>
    <w:rsid w:val="007461B1"/>
    <w:rsid w:val="00746A1F"/>
    <w:rsid w:val="00746C74"/>
    <w:rsid w:val="007479DF"/>
    <w:rsid w:val="00747C12"/>
    <w:rsid w:val="00747FBC"/>
    <w:rsid w:val="00750658"/>
    <w:rsid w:val="007509FA"/>
    <w:rsid w:val="0075120A"/>
    <w:rsid w:val="0075219C"/>
    <w:rsid w:val="00752A83"/>
    <w:rsid w:val="00752EB2"/>
    <w:rsid w:val="007532C3"/>
    <w:rsid w:val="007535FB"/>
    <w:rsid w:val="007538F8"/>
    <w:rsid w:val="007540F8"/>
    <w:rsid w:val="0075423F"/>
    <w:rsid w:val="00754418"/>
    <w:rsid w:val="00754798"/>
    <w:rsid w:val="00754F73"/>
    <w:rsid w:val="00755004"/>
    <w:rsid w:val="00755023"/>
    <w:rsid w:val="00755856"/>
    <w:rsid w:val="0075616E"/>
    <w:rsid w:val="0075671F"/>
    <w:rsid w:val="007567FB"/>
    <w:rsid w:val="00756E22"/>
    <w:rsid w:val="0075700E"/>
    <w:rsid w:val="0075722A"/>
    <w:rsid w:val="00757AB4"/>
    <w:rsid w:val="00757DEC"/>
    <w:rsid w:val="007607EF"/>
    <w:rsid w:val="00760D18"/>
    <w:rsid w:val="00762146"/>
    <w:rsid w:val="007623AD"/>
    <w:rsid w:val="007624B1"/>
    <w:rsid w:val="0076283D"/>
    <w:rsid w:val="007628DC"/>
    <w:rsid w:val="00762913"/>
    <w:rsid w:val="00762B43"/>
    <w:rsid w:val="00762FBF"/>
    <w:rsid w:val="0076350F"/>
    <w:rsid w:val="00763603"/>
    <w:rsid w:val="007638C8"/>
    <w:rsid w:val="00763927"/>
    <w:rsid w:val="00763C44"/>
    <w:rsid w:val="00763C8A"/>
    <w:rsid w:val="00764034"/>
    <w:rsid w:val="007647A8"/>
    <w:rsid w:val="00764BA5"/>
    <w:rsid w:val="00764C7B"/>
    <w:rsid w:val="007655F0"/>
    <w:rsid w:val="00765C73"/>
    <w:rsid w:val="00765F43"/>
    <w:rsid w:val="007665A8"/>
    <w:rsid w:val="00766E54"/>
    <w:rsid w:val="00767203"/>
    <w:rsid w:val="00767B31"/>
    <w:rsid w:val="00767E3F"/>
    <w:rsid w:val="00770027"/>
    <w:rsid w:val="0077038D"/>
    <w:rsid w:val="007706B6"/>
    <w:rsid w:val="0077086B"/>
    <w:rsid w:val="00770FA5"/>
    <w:rsid w:val="0077142D"/>
    <w:rsid w:val="00771569"/>
    <w:rsid w:val="00772089"/>
    <w:rsid w:val="007723F4"/>
    <w:rsid w:val="00772B9F"/>
    <w:rsid w:val="00773417"/>
    <w:rsid w:val="007739AE"/>
    <w:rsid w:val="0077425A"/>
    <w:rsid w:val="00774708"/>
    <w:rsid w:val="00774781"/>
    <w:rsid w:val="00774E10"/>
    <w:rsid w:val="0077500D"/>
    <w:rsid w:val="00775E7D"/>
    <w:rsid w:val="00775F11"/>
    <w:rsid w:val="00775F2D"/>
    <w:rsid w:val="0077653F"/>
    <w:rsid w:val="00776970"/>
    <w:rsid w:val="007776DD"/>
    <w:rsid w:val="00777CB1"/>
    <w:rsid w:val="00777D45"/>
    <w:rsid w:val="00777F22"/>
    <w:rsid w:val="00780071"/>
    <w:rsid w:val="00780332"/>
    <w:rsid w:val="00780BD3"/>
    <w:rsid w:val="007819E7"/>
    <w:rsid w:val="007821AB"/>
    <w:rsid w:val="007826A2"/>
    <w:rsid w:val="007828BC"/>
    <w:rsid w:val="00782FA3"/>
    <w:rsid w:val="0078320F"/>
    <w:rsid w:val="00783487"/>
    <w:rsid w:val="007847EF"/>
    <w:rsid w:val="00784B2E"/>
    <w:rsid w:val="00784EEE"/>
    <w:rsid w:val="00785073"/>
    <w:rsid w:val="0078647D"/>
    <w:rsid w:val="00786B6A"/>
    <w:rsid w:val="00787470"/>
    <w:rsid w:val="007876E7"/>
    <w:rsid w:val="00787877"/>
    <w:rsid w:val="00787A11"/>
    <w:rsid w:val="007911C3"/>
    <w:rsid w:val="007927EA"/>
    <w:rsid w:val="00793550"/>
    <w:rsid w:val="00793734"/>
    <w:rsid w:val="00793F55"/>
    <w:rsid w:val="0079478C"/>
    <w:rsid w:val="00794A59"/>
    <w:rsid w:val="00795A6E"/>
    <w:rsid w:val="00795B05"/>
    <w:rsid w:val="007964C4"/>
    <w:rsid w:val="00796615"/>
    <w:rsid w:val="00796618"/>
    <w:rsid w:val="00796A37"/>
    <w:rsid w:val="00796C35"/>
    <w:rsid w:val="007A0873"/>
    <w:rsid w:val="007A08D5"/>
    <w:rsid w:val="007A0AF4"/>
    <w:rsid w:val="007A0CED"/>
    <w:rsid w:val="007A0D71"/>
    <w:rsid w:val="007A106C"/>
    <w:rsid w:val="007A13DC"/>
    <w:rsid w:val="007A1C27"/>
    <w:rsid w:val="007A1D5F"/>
    <w:rsid w:val="007A2368"/>
    <w:rsid w:val="007A2EC0"/>
    <w:rsid w:val="007A2FED"/>
    <w:rsid w:val="007A354B"/>
    <w:rsid w:val="007A3656"/>
    <w:rsid w:val="007A38E9"/>
    <w:rsid w:val="007A40C8"/>
    <w:rsid w:val="007A48B5"/>
    <w:rsid w:val="007A4FC6"/>
    <w:rsid w:val="007A5065"/>
    <w:rsid w:val="007A5395"/>
    <w:rsid w:val="007A5A93"/>
    <w:rsid w:val="007A5EEC"/>
    <w:rsid w:val="007A65C5"/>
    <w:rsid w:val="007A72E8"/>
    <w:rsid w:val="007A74E8"/>
    <w:rsid w:val="007A76EA"/>
    <w:rsid w:val="007A7B9E"/>
    <w:rsid w:val="007A7BDC"/>
    <w:rsid w:val="007A7D7E"/>
    <w:rsid w:val="007AD0E4"/>
    <w:rsid w:val="007B0104"/>
    <w:rsid w:val="007B04F3"/>
    <w:rsid w:val="007B0575"/>
    <w:rsid w:val="007B07B4"/>
    <w:rsid w:val="007B103A"/>
    <w:rsid w:val="007B11A3"/>
    <w:rsid w:val="007B1309"/>
    <w:rsid w:val="007B1611"/>
    <w:rsid w:val="007B161D"/>
    <w:rsid w:val="007B177F"/>
    <w:rsid w:val="007B20BA"/>
    <w:rsid w:val="007B22BE"/>
    <w:rsid w:val="007B2E12"/>
    <w:rsid w:val="007B3CEB"/>
    <w:rsid w:val="007B3F33"/>
    <w:rsid w:val="007B4928"/>
    <w:rsid w:val="007B492A"/>
    <w:rsid w:val="007B4B50"/>
    <w:rsid w:val="007B55DF"/>
    <w:rsid w:val="007B6119"/>
    <w:rsid w:val="007B6457"/>
    <w:rsid w:val="007B6AA0"/>
    <w:rsid w:val="007B7B45"/>
    <w:rsid w:val="007C050B"/>
    <w:rsid w:val="007C089F"/>
    <w:rsid w:val="007C0C60"/>
    <w:rsid w:val="007C0D15"/>
    <w:rsid w:val="007C23A0"/>
    <w:rsid w:val="007C2F04"/>
    <w:rsid w:val="007C3552"/>
    <w:rsid w:val="007C3D87"/>
    <w:rsid w:val="007C42C8"/>
    <w:rsid w:val="007C4A2F"/>
    <w:rsid w:val="007C4BFE"/>
    <w:rsid w:val="007C4F15"/>
    <w:rsid w:val="007C5222"/>
    <w:rsid w:val="007C5234"/>
    <w:rsid w:val="007C5A99"/>
    <w:rsid w:val="007C6E99"/>
    <w:rsid w:val="007C7D64"/>
    <w:rsid w:val="007D072D"/>
    <w:rsid w:val="007D0B3D"/>
    <w:rsid w:val="007D0BCE"/>
    <w:rsid w:val="007D0DB3"/>
    <w:rsid w:val="007D190F"/>
    <w:rsid w:val="007D2A28"/>
    <w:rsid w:val="007D2F05"/>
    <w:rsid w:val="007D389B"/>
    <w:rsid w:val="007D3979"/>
    <w:rsid w:val="007D4664"/>
    <w:rsid w:val="007D46E9"/>
    <w:rsid w:val="007D4891"/>
    <w:rsid w:val="007D4B06"/>
    <w:rsid w:val="007D5075"/>
    <w:rsid w:val="007D5E9C"/>
    <w:rsid w:val="007D5E9E"/>
    <w:rsid w:val="007D6272"/>
    <w:rsid w:val="007D6654"/>
    <w:rsid w:val="007D7AD5"/>
    <w:rsid w:val="007E0CE9"/>
    <w:rsid w:val="007E14E9"/>
    <w:rsid w:val="007E169B"/>
    <w:rsid w:val="007E199F"/>
    <w:rsid w:val="007E1D39"/>
    <w:rsid w:val="007E2F7D"/>
    <w:rsid w:val="007E31CB"/>
    <w:rsid w:val="007E33CA"/>
    <w:rsid w:val="007E34D7"/>
    <w:rsid w:val="007E361A"/>
    <w:rsid w:val="007E37A7"/>
    <w:rsid w:val="007E3B24"/>
    <w:rsid w:val="007E444A"/>
    <w:rsid w:val="007E463C"/>
    <w:rsid w:val="007E4C97"/>
    <w:rsid w:val="007E50F5"/>
    <w:rsid w:val="007E539C"/>
    <w:rsid w:val="007E568A"/>
    <w:rsid w:val="007E56FD"/>
    <w:rsid w:val="007E5C02"/>
    <w:rsid w:val="007E6056"/>
    <w:rsid w:val="007E7573"/>
    <w:rsid w:val="007E7CE8"/>
    <w:rsid w:val="007E7FC5"/>
    <w:rsid w:val="007E7FFB"/>
    <w:rsid w:val="007F00C7"/>
    <w:rsid w:val="007F0401"/>
    <w:rsid w:val="007F050D"/>
    <w:rsid w:val="007F0D52"/>
    <w:rsid w:val="007F109C"/>
    <w:rsid w:val="007F10A3"/>
    <w:rsid w:val="007F13A8"/>
    <w:rsid w:val="007F1881"/>
    <w:rsid w:val="007F1911"/>
    <w:rsid w:val="007F24CC"/>
    <w:rsid w:val="007F2813"/>
    <w:rsid w:val="007F3C89"/>
    <w:rsid w:val="007F441D"/>
    <w:rsid w:val="007F5067"/>
    <w:rsid w:val="007F5226"/>
    <w:rsid w:val="007F5732"/>
    <w:rsid w:val="007F5921"/>
    <w:rsid w:val="007F59A3"/>
    <w:rsid w:val="007F5A5D"/>
    <w:rsid w:val="007F5E69"/>
    <w:rsid w:val="007F617C"/>
    <w:rsid w:val="007F6187"/>
    <w:rsid w:val="007F62B3"/>
    <w:rsid w:val="007F761A"/>
    <w:rsid w:val="007F774B"/>
    <w:rsid w:val="00800150"/>
    <w:rsid w:val="008008AF"/>
    <w:rsid w:val="00800AA8"/>
    <w:rsid w:val="00800C62"/>
    <w:rsid w:val="00800D6D"/>
    <w:rsid w:val="008010A6"/>
    <w:rsid w:val="008015DC"/>
    <w:rsid w:val="0080195A"/>
    <w:rsid w:val="00803DA0"/>
    <w:rsid w:val="00804C27"/>
    <w:rsid w:val="00804DD2"/>
    <w:rsid w:val="00805015"/>
    <w:rsid w:val="0080527A"/>
    <w:rsid w:val="008066BF"/>
    <w:rsid w:val="008069E6"/>
    <w:rsid w:val="00807B85"/>
    <w:rsid w:val="00807F2A"/>
    <w:rsid w:val="00807F34"/>
    <w:rsid w:val="00810068"/>
    <w:rsid w:val="00810129"/>
    <w:rsid w:val="00810221"/>
    <w:rsid w:val="008102A3"/>
    <w:rsid w:val="0081065E"/>
    <w:rsid w:val="00810C96"/>
    <w:rsid w:val="008117E1"/>
    <w:rsid w:val="0081229F"/>
    <w:rsid w:val="00812361"/>
    <w:rsid w:val="00812478"/>
    <w:rsid w:val="00812C41"/>
    <w:rsid w:val="00812C8E"/>
    <w:rsid w:val="00812F49"/>
    <w:rsid w:val="008132E1"/>
    <w:rsid w:val="00813308"/>
    <w:rsid w:val="0081375F"/>
    <w:rsid w:val="00813F23"/>
    <w:rsid w:val="00814C85"/>
    <w:rsid w:val="00815368"/>
    <w:rsid w:val="008159B4"/>
    <w:rsid w:val="008162FF"/>
    <w:rsid w:val="00816513"/>
    <w:rsid w:val="00817F8F"/>
    <w:rsid w:val="008201FD"/>
    <w:rsid w:val="00822740"/>
    <w:rsid w:val="0082275C"/>
    <w:rsid w:val="0082284B"/>
    <w:rsid w:val="008229CD"/>
    <w:rsid w:val="00822E67"/>
    <w:rsid w:val="00823627"/>
    <w:rsid w:val="00823724"/>
    <w:rsid w:val="00823846"/>
    <w:rsid w:val="00824322"/>
    <w:rsid w:val="00824391"/>
    <w:rsid w:val="008243E2"/>
    <w:rsid w:val="008245BC"/>
    <w:rsid w:val="00825548"/>
    <w:rsid w:val="0082638D"/>
    <w:rsid w:val="008264A4"/>
    <w:rsid w:val="00826E26"/>
    <w:rsid w:val="0082702D"/>
    <w:rsid w:val="00827E16"/>
    <w:rsid w:val="00827F4B"/>
    <w:rsid w:val="00830154"/>
    <w:rsid w:val="0083054A"/>
    <w:rsid w:val="0083088F"/>
    <w:rsid w:val="00830E43"/>
    <w:rsid w:val="00830F96"/>
    <w:rsid w:val="008312F8"/>
    <w:rsid w:val="00831329"/>
    <w:rsid w:val="00831585"/>
    <w:rsid w:val="008317CC"/>
    <w:rsid w:val="00833378"/>
    <w:rsid w:val="008337C3"/>
    <w:rsid w:val="00833816"/>
    <w:rsid w:val="008343C0"/>
    <w:rsid w:val="00834624"/>
    <w:rsid w:val="00834932"/>
    <w:rsid w:val="00835166"/>
    <w:rsid w:val="00835822"/>
    <w:rsid w:val="0083596E"/>
    <w:rsid w:val="008364CE"/>
    <w:rsid w:val="008374F4"/>
    <w:rsid w:val="00837C7A"/>
    <w:rsid w:val="00837F10"/>
    <w:rsid w:val="00840101"/>
    <w:rsid w:val="008406ED"/>
    <w:rsid w:val="00840B37"/>
    <w:rsid w:val="00840F3F"/>
    <w:rsid w:val="00840F5C"/>
    <w:rsid w:val="00840FAD"/>
    <w:rsid w:val="008410C3"/>
    <w:rsid w:val="00841AF5"/>
    <w:rsid w:val="00841F7B"/>
    <w:rsid w:val="00842417"/>
    <w:rsid w:val="0084282B"/>
    <w:rsid w:val="00842AA5"/>
    <w:rsid w:val="0084302B"/>
    <w:rsid w:val="008436F0"/>
    <w:rsid w:val="00843CA1"/>
    <w:rsid w:val="00844AFD"/>
    <w:rsid w:val="008451A8"/>
    <w:rsid w:val="00845439"/>
    <w:rsid w:val="00846047"/>
    <w:rsid w:val="00846A45"/>
    <w:rsid w:val="00846BB7"/>
    <w:rsid w:val="00846C44"/>
    <w:rsid w:val="0084731D"/>
    <w:rsid w:val="008473B2"/>
    <w:rsid w:val="00847645"/>
    <w:rsid w:val="00847BC4"/>
    <w:rsid w:val="00847D54"/>
    <w:rsid w:val="0085000A"/>
    <w:rsid w:val="008508D5"/>
    <w:rsid w:val="008509A8"/>
    <w:rsid w:val="00850CB7"/>
    <w:rsid w:val="00850E1B"/>
    <w:rsid w:val="00850ED4"/>
    <w:rsid w:val="0085116B"/>
    <w:rsid w:val="00851229"/>
    <w:rsid w:val="0085128C"/>
    <w:rsid w:val="0085243F"/>
    <w:rsid w:val="00852F15"/>
    <w:rsid w:val="00852FD0"/>
    <w:rsid w:val="00853722"/>
    <w:rsid w:val="00853AEB"/>
    <w:rsid w:val="00853BAB"/>
    <w:rsid w:val="008541C9"/>
    <w:rsid w:val="0085504D"/>
    <w:rsid w:val="0085538B"/>
    <w:rsid w:val="008556D8"/>
    <w:rsid w:val="0085582D"/>
    <w:rsid w:val="00855F2C"/>
    <w:rsid w:val="00856093"/>
    <w:rsid w:val="00856155"/>
    <w:rsid w:val="00856220"/>
    <w:rsid w:val="00856C3F"/>
    <w:rsid w:val="008572B5"/>
    <w:rsid w:val="00857730"/>
    <w:rsid w:val="008601AF"/>
    <w:rsid w:val="00860C5D"/>
    <w:rsid w:val="00860D8D"/>
    <w:rsid w:val="008615A6"/>
    <w:rsid w:val="00861999"/>
    <w:rsid w:val="008619C4"/>
    <w:rsid w:val="00861D34"/>
    <w:rsid w:val="00861F43"/>
    <w:rsid w:val="0086228F"/>
    <w:rsid w:val="0086234D"/>
    <w:rsid w:val="00862462"/>
    <w:rsid w:val="00862859"/>
    <w:rsid w:val="008631DB"/>
    <w:rsid w:val="00863B74"/>
    <w:rsid w:val="00863D83"/>
    <w:rsid w:val="008646AE"/>
    <w:rsid w:val="00865227"/>
    <w:rsid w:val="0086540A"/>
    <w:rsid w:val="00865611"/>
    <w:rsid w:val="00865B99"/>
    <w:rsid w:val="00865F0F"/>
    <w:rsid w:val="00866D4D"/>
    <w:rsid w:val="0086726D"/>
    <w:rsid w:val="00867CB7"/>
    <w:rsid w:val="00867CE6"/>
    <w:rsid w:val="0087050C"/>
    <w:rsid w:val="008707C7"/>
    <w:rsid w:val="00870A0A"/>
    <w:rsid w:val="00870C05"/>
    <w:rsid w:val="008711BD"/>
    <w:rsid w:val="00871905"/>
    <w:rsid w:val="00871915"/>
    <w:rsid w:val="00871D4B"/>
    <w:rsid w:val="008729AC"/>
    <w:rsid w:val="00873409"/>
    <w:rsid w:val="00873A70"/>
    <w:rsid w:val="00874393"/>
    <w:rsid w:val="00874BA2"/>
    <w:rsid w:val="00874EA6"/>
    <w:rsid w:val="00875093"/>
    <w:rsid w:val="008751DB"/>
    <w:rsid w:val="008751F7"/>
    <w:rsid w:val="00875484"/>
    <w:rsid w:val="008754E4"/>
    <w:rsid w:val="00875783"/>
    <w:rsid w:val="008757C2"/>
    <w:rsid w:val="008759C8"/>
    <w:rsid w:val="00875CE1"/>
    <w:rsid w:val="0087628B"/>
    <w:rsid w:val="00876601"/>
    <w:rsid w:val="00876A04"/>
    <w:rsid w:val="00876B43"/>
    <w:rsid w:val="00876FE8"/>
    <w:rsid w:val="00877ECA"/>
    <w:rsid w:val="00880334"/>
    <w:rsid w:val="008819BC"/>
    <w:rsid w:val="00881A22"/>
    <w:rsid w:val="00881E9A"/>
    <w:rsid w:val="00882040"/>
    <w:rsid w:val="008823B1"/>
    <w:rsid w:val="00882425"/>
    <w:rsid w:val="008824BC"/>
    <w:rsid w:val="00882BC6"/>
    <w:rsid w:val="008832D9"/>
    <w:rsid w:val="00883732"/>
    <w:rsid w:val="008837D8"/>
    <w:rsid w:val="00884662"/>
    <w:rsid w:val="00884AB3"/>
    <w:rsid w:val="00884BDA"/>
    <w:rsid w:val="00885B51"/>
    <w:rsid w:val="00885E8B"/>
    <w:rsid w:val="00886422"/>
    <w:rsid w:val="00886489"/>
    <w:rsid w:val="00886B9D"/>
    <w:rsid w:val="0088701D"/>
    <w:rsid w:val="00887467"/>
    <w:rsid w:val="00887954"/>
    <w:rsid w:val="00887A48"/>
    <w:rsid w:val="00890220"/>
    <w:rsid w:val="00890468"/>
    <w:rsid w:val="0089098E"/>
    <w:rsid w:val="00890E70"/>
    <w:rsid w:val="008913DB"/>
    <w:rsid w:val="00892087"/>
    <w:rsid w:val="008922FC"/>
    <w:rsid w:val="00892616"/>
    <w:rsid w:val="00892773"/>
    <w:rsid w:val="00892C2A"/>
    <w:rsid w:val="00892D69"/>
    <w:rsid w:val="00892E40"/>
    <w:rsid w:val="00892F8D"/>
    <w:rsid w:val="0089315A"/>
    <w:rsid w:val="0089337A"/>
    <w:rsid w:val="008933B2"/>
    <w:rsid w:val="00893EFC"/>
    <w:rsid w:val="008943D4"/>
    <w:rsid w:val="0089464D"/>
    <w:rsid w:val="00894B5C"/>
    <w:rsid w:val="00894E75"/>
    <w:rsid w:val="00895159"/>
    <w:rsid w:val="00895B08"/>
    <w:rsid w:val="00896AC3"/>
    <w:rsid w:val="00896C30"/>
    <w:rsid w:val="00896E8B"/>
    <w:rsid w:val="00896FB9"/>
    <w:rsid w:val="008972CB"/>
    <w:rsid w:val="00897779"/>
    <w:rsid w:val="00897858"/>
    <w:rsid w:val="00897EBA"/>
    <w:rsid w:val="008A09C2"/>
    <w:rsid w:val="008A0AF3"/>
    <w:rsid w:val="008A144E"/>
    <w:rsid w:val="008A1475"/>
    <w:rsid w:val="008A1536"/>
    <w:rsid w:val="008A16C5"/>
    <w:rsid w:val="008A1A94"/>
    <w:rsid w:val="008A1CF8"/>
    <w:rsid w:val="008A22AA"/>
    <w:rsid w:val="008A35F8"/>
    <w:rsid w:val="008A3771"/>
    <w:rsid w:val="008A3973"/>
    <w:rsid w:val="008A3B50"/>
    <w:rsid w:val="008A4293"/>
    <w:rsid w:val="008A465C"/>
    <w:rsid w:val="008A465E"/>
    <w:rsid w:val="008A46D3"/>
    <w:rsid w:val="008A4A34"/>
    <w:rsid w:val="008A4B6E"/>
    <w:rsid w:val="008A553A"/>
    <w:rsid w:val="008A60C0"/>
    <w:rsid w:val="008A61A8"/>
    <w:rsid w:val="008A6C94"/>
    <w:rsid w:val="008A71CE"/>
    <w:rsid w:val="008A73CD"/>
    <w:rsid w:val="008A75D6"/>
    <w:rsid w:val="008B0418"/>
    <w:rsid w:val="008B0584"/>
    <w:rsid w:val="008B05FF"/>
    <w:rsid w:val="008B0978"/>
    <w:rsid w:val="008B0D8B"/>
    <w:rsid w:val="008B0F18"/>
    <w:rsid w:val="008B16A9"/>
    <w:rsid w:val="008B1854"/>
    <w:rsid w:val="008B1BA2"/>
    <w:rsid w:val="008B1FF8"/>
    <w:rsid w:val="008B2315"/>
    <w:rsid w:val="008B2A49"/>
    <w:rsid w:val="008B2A6A"/>
    <w:rsid w:val="008B46AA"/>
    <w:rsid w:val="008B46CF"/>
    <w:rsid w:val="008B4938"/>
    <w:rsid w:val="008B4AED"/>
    <w:rsid w:val="008B4AFA"/>
    <w:rsid w:val="008B5BC4"/>
    <w:rsid w:val="008B5E32"/>
    <w:rsid w:val="008B6062"/>
    <w:rsid w:val="008B6323"/>
    <w:rsid w:val="008B64FA"/>
    <w:rsid w:val="008B6B74"/>
    <w:rsid w:val="008B79E7"/>
    <w:rsid w:val="008B7AF3"/>
    <w:rsid w:val="008B7DB9"/>
    <w:rsid w:val="008C000B"/>
    <w:rsid w:val="008C051D"/>
    <w:rsid w:val="008C0833"/>
    <w:rsid w:val="008C0B89"/>
    <w:rsid w:val="008C15EF"/>
    <w:rsid w:val="008C16E6"/>
    <w:rsid w:val="008C1C75"/>
    <w:rsid w:val="008C2172"/>
    <w:rsid w:val="008C2B31"/>
    <w:rsid w:val="008C2B5A"/>
    <w:rsid w:val="008C2CAD"/>
    <w:rsid w:val="008C2F1B"/>
    <w:rsid w:val="008C3075"/>
    <w:rsid w:val="008C3081"/>
    <w:rsid w:val="008C30AD"/>
    <w:rsid w:val="008C3430"/>
    <w:rsid w:val="008C34EE"/>
    <w:rsid w:val="008C3C00"/>
    <w:rsid w:val="008C3F0B"/>
    <w:rsid w:val="008C4301"/>
    <w:rsid w:val="008C536B"/>
    <w:rsid w:val="008C5B18"/>
    <w:rsid w:val="008C5E55"/>
    <w:rsid w:val="008C61EC"/>
    <w:rsid w:val="008C6206"/>
    <w:rsid w:val="008C67C7"/>
    <w:rsid w:val="008C6B5B"/>
    <w:rsid w:val="008C6F72"/>
    <w:rsid w:val="008C7B27"/>
    <w:rsid w:val="008C7C87"/>
    <w:rsid w:val="008D0296"/>
    <w:rsid w:val="008D0637"/>
    <w:rsid w:val="008D07D0"/>
    <w:rsid w:val="008D130D"/>
    <w:rsid w:val="008D1AA9"/>
    <w:rsid w:val="008D1B55"/>
    <w:rsid w:val="008D1C29"/>
    <w:rsid w:val="008D1C74"/>
    <w:rsid w:val="008D2656"/>
    <w:rsid w:val="008D2678"/>
    <w:rsid w:val="008D2703"/>
    <w:rsid w:val="008D27A8"/>
    <w:rsid w:val="008D2DE9"/>
    <w:rsid w:val="008D3ACB"/>
    <w:rsid w:val="008D4254"/>
    <w:rsid w:val="008D42A2"/>
    <w:rsid w:val="008D4506"/>
    <w:rsid w:val="008D508B"/>
    <w:rsid w:val="008D571F"/>
    <w:rsid w:val="008D61BB"/>
    <w:rsid w:val="008D67AC"/>
    <w:rsid w:val="008D6A06"/>
    <w:rsid w:val="008D7A05"/>
    <w:rsid w:val="008D7B8A"/>
    <w:rsid w:val="008D7C74"/>
    <w:rsid w:val="008D7CBA"/>
    <w:rsid w:val="008D7F6A"/>
    <w:rsid w:val="008E1501"/>
    <w:rsid w:val="008E1979"/>
    <w:rsid w:val="008E1CA9"/>
    <w:rsid w:val="008E1EB5"/>
    <w:rsid w:val="008E2667"/>
    <w:rsid w:val="008E2F49"/>
    <w:rsid w:val="008E36B2"/>
    <w:rsid w:val="008E377F"/>
    <w:rsid w:val="008E4070"/>
    <w:rsid w:val="008E41E5"/>
    <w:rsid w:val="008E638E"/>
    <w:rsid w:val="008E661F"/>
    <w:rsid w:val="008E6CBC"/>
    <w:rsid w:val="008E6EC5"/>
    <w:rsid w:val="008E70C3"/>
    <w:rsid w:val="008E71B9"/>
    <w:rsid w:val="008E79DD"/>
    <w:rsid w:val="008E7A29"/>
    <w:rsid w:val="008E7F65"/>
    <w:rsid w:val="008F04C3"/>
    <w:rsid w:val="008F0574"/>
    <w:rsid w:val="008F0872"/>
    <w:rsid w:val="008F0CDC"/>
    <w:rsid w:val="008F0E82"/>
    <w:rsid w:val="008F10E6"/>
    <w:rsid w:val="008F1B4E"/>
    <w:rsid w:val="008F23FD"/>
    <w:rsid w:val="008F258A"/>
    <w:rsid w:val="008F2761"/>
    <w:rsid w:val="008F3592"/>
    <w:rsid w:val="008F3962"/>
    <w:rsid w:val="008F3B91"/>
    <w:rsid w:val="008F465C"/>
    <w:rsid w:val="008F48F4"/>
    <w:rsid w:val="008F4A09"/>
    <w:rsid w:val="008F5256"/>
    <w:rsid w:val="008F58D6"/>
    <w:rsid w:val="008F6833"/>
    <w:rsid w:val="008F706B"/>
    <w:rsid w:val="008F7604"/>
    <w:rsid w:val="008F7661"/>
    <w:rsid w:val="00900FC4"/>
    <w:rsid w:val="00901254"/>
    <w:rsid w:val="00901AD3"/>
    <w:rsid w:val="00902676"/>
    <w:rsid w:val="009026D0"/>
    <w:rsid w:val="009030F4"/>
    <w:rsid w:val="009037A2"/>
    <w:rsid w:val="00903ADD"/>
    <w:rsid w:val="009043A6"/>
    <w:rsid w:val="00904917"/>
    <w:rsid w:val="00904A7F"/>
    <w:rsid w:val="00905369"/>
    <w:rsid w:val="00905A67"/>
    <w:rsid w:val="009068EE"/>
    <w:rsid w:val="00906DBF"/>
    <w:rsid w:val="00906F39"/>
    <w:rsid w:val="00907059"/>
    <w:rsid w:val="009078D0"/>
    <w:rsid w:val="00907A03"/>
    <w:rsid w:val="00907BB3"/>
    <w:rsid w:val="009100D9"/>
    <w:rsid w:val="009100E2"/>
    <w:rsid w:val="0091012A"/>
    <w:rsid w:val="00910388"/>
    <w:rsid w:val="0091041F"/>
    <w:rsid w:val="00910581"/>
    <w:rsid w:val="009106C5"/>
    <w:rsid w:val="009107BF"/>
    <w:rsid w:val="00911646"/>
    <w:rsid w:val="00911A72"/>
    <w:rsid w:val="00912ABC"/>
    <w:rsid w:val="00912FA3"/>
    <w:rsid w:val="009137C0"/>
    <w:rsid w:val="00913B3B"/>
    <w:rsid w:val="00914A32"/>
    <w:rsid w:val="00915055"/>
    <w:rsid w:val="00915593"/>
    <w:rsid w:val="00915763"/>
    <w:rsid w:val="00915916"/>
    <w:rsid w:val="00916144"/>
    <w:rsid w:val="009162C5"/>
    <w:rsid w:val="0091635D"/>
    <w:rsid w:val="00916419"/>
    <w:rsid w:val="00916634"/>
    <w:rsid w:val="00916BFE"/>
    <w:rsid w:val="00917115"/>
    <w:rsid w:val="009175AF"/>
    <w:rsid w:val="0092065F"/>
    <w:rsid w:val="00923745"/>
    <w:rsid w:val="00923812"/>
    <w:rsid w:val="00923836"/>
    <w:rsid w:val="00923D11"/>
    <w:rsid w:val="00923D4F"/>
    <w:rsid w:val="00923E01"/>
    <w:rsid w:val="00924092"/>
    <w:rsid w:val="009242FA"/>
    <w:rsid w:val="0092453A"/>
    <w:rsid w:val="00924B5F"/>
    <w:rsid w:val="009258EF"/>
    <w:rsid w:val="00925949"/>
    <w:rsid w:val="00925B3E"/>
    <w:rsid w:val="00925E8D"/>
    <w:rsid w:val="00926128"/>
    <w:rsid w:val="00927351"/>
    <w:rsid w:val="009275EF"/>
    <w:rsid w:val="00927F6B"/>
    <w:rsid w:val="00930025"/>
    <w:rsid w:val="0093027D"/>
    <w:rsid w:val="009303BE"/>
    <w:rsid w:val="009304C3"/>
    <w:rsid w:val="00930DE2"/>
    <w:rsid w:val="00930FDE"/>
    <w:rsid w:val="009314FA"/>
    <w:rsid w:val="00931784"/>
    <w:rsid w:val="00931D5D"/>
    <w:rsid w:val="009321FA"/>
    <w:rsid w:val="00932990"/>
    <w:rsid w:val="00933433"/>
    <w:rsid w:val="009351D3"/>
    <w:rsid w:val="00935241"/>
    <w:rsid w:val="0093563A"/>
    <w:rsid w:val="00935BA1"/>
    <w:rsid w:val="009366C5"/>
    <w:rsid w:val="0093670C"/>
    <w:rsid w:val="0093688A"/>
    <w:rsid w:val="00936961"/>
    <w:rsid w:val="00936AC4"/>
    <w:rsid w:val="00936BCA"/>
    <w:rsid w:val="00936D6A"/>
    <w:rsid w:val="00936E1E"/>
    <w:rsid w:val="009374F9"/>
    <w:rsid w:val="00937B35"/>
    <w:rsid w:val="00937E38"/>
    <w:rsid w:val="00937EF1"/>
    <w:rsid w:val="00940285"/>
    <w:rsid w:val="009404F1"/>
    <w:rsid w:val="00940B74"/>
    <w:rsid w:val="0094143B"/>
    <w:rsid w:val="0094207A"/>
    <w:rsid w:val="00942112"/>
    <w:rsid w:val="00942BB1"/>
    <w:rsid w:val="00942FB7"/>
    <w:rsid w:val="00943A41"/>
    <w:rsid w:val="00943C2A"/>
    <w:rsid w:val="00943C6B"/>
    <w:rsid w:val="00944030"/>
    <w:rsid w:val="0094411E"/>
    <w:rsid w:val="00944349"/>
    <w:rsid w:val="009448DD"/>
    <w:rsid w:val="00944C0B"/>
    <w:rsid w:val="009451DE"/>
    <w:rsid w:val="0094589B"/>
    <w:rsid w:val="00945968"/>
    <w:rsid w:val="00945E8F"/>
    <w:rsid w:val="009463BF"/>
    <w:rsid w:val="00950307"/>
    <w:rsid w:val="0095046C"/>
    <w:rsid w:val="009521D5"/>
    <w:rsid w:val="0095253A"/>
    <w:rsid w:val="00953132"/>
    <w:rsid w:val="00953551"/>
    <w:rsid w:val="009538F1"/>
    <w:rsid w:val="00953952"/>
    <w:rsid w:val="00953BBA"/>
    <w:rsid w:val="00954CBD"/>
    <w:rsid w:val="00955C40"/>
    <w:rsid w:val="00955FAE"/>
    <w:rsid w:val="009562D8"/>
    <w:rsid w:val="00956445"/>
    <w:rsid w:val="00956B77"/>
    <w:rsid w:val="00956D87"/>
    <w:rsid w:val="00956FC7"/>
    <w:rsid w:val="0095703D"/>
    <w:rsid w:val="0095780D"/>
    <w:rsid w:val="00957D5B"/>
    <w:rsid w:val="00957D8E"/>
    <w:rsid w:val="00957F5A"/>
    <w:rsid w:val="0096013E"/>
    <w:rsid w:val="00960299"/>
    <w:rsid w:val="00960547"/>
    <w:rsid w:val="0096067A"/>
    <w:rsid w:val="00960735"/>
    <w:rsid w:val="0096153C"/>
    <w:rsid w:val="009615BA"/>
    <w:rsid w:val="009616BF"/>
    <w:rsid w:val="0096182E"/>
    <w:rsid w:val="00962167"/>
    <w:rsid w:val="009624B4"/>
    <w:rsid w:val="009627B0"/>
    <w:rsid w:val="00963135"/>
    <w:rsid w:val="0096314B"/>
    <w:rsid w:val="00963381"/>
    <w:rsid w:val="00964BC9"/>
    <w:rsid w:val="00964C06"/>
    <w:rsid w:val="00964DAE"/>
    <w:rsid w:val="00964DE7"/>
    <w:rsid w:val="0096550F"/>
    <w:rsid w:val="00965754"/>
    <w:rsid w:val="009657B4"/>
    <w:rsid w:val="00965B18"/>
    <w:rsid w:val="009668F9"/>
    <w:rsid w:val="00966AAF"/>
    <w:rsid w:val="00967655"/>
    <w:rsid w:val="009678B0"/>
    <w:rsid w:val="00967AF4"/>
    <w:rsid w:val="00970134"/>
    <w:rsid w:val="00970227"/>
    <w:rsid w:val="00970F68"/>
    <w:rsid w:val="009712F0"/>
    <w:rsid w:val="0097173E"/>
    <w:rsid w:val="00971767"/>
    <w:rsid w:val="00971772"/>
    <w:rsid w:val="00972EC9"/>
    <w:rsid w:val="00973129"/>
    <w:rsid w:val="009733DD"/>
    <w:rsid w:val="00973948"/>
    <w:rsid w:val="00973D47"/>
    <w:rsid w:val="009746F2"/>
    <w:rsid w:val="009747D2"/>
    <w:rsid w:val="00974ABF"/>
    <w:rsid w:val="00974CE7"/>
    <w:rsid w:val="00975395"/>
    <w:rsid w:val="009756D2"/>
    <w:rsid w:val="00975B81"/>
    <w:rsid w:val="00975BE4"/>
    <w:rsid w:val="009763AC"/>
    <w:rsid w:val="00976665"/>
    <w:rsid w:val="009767CF"/>
    <w:rsid w:val="009768AD"/>
    <w:rsid w:val="00976D80"/>
    <w:rsid w:val="009770E6"/>
    <w:rsid w:val="0097796A"/>
    <w:rsid w:val="00977AAB"/>
    <w:rsid w:val="00980835"/>
    <w:rsid w:val="00980C10"/>
    <w:rsid w:val="00980D7C"/>
    <w:rsid w:val="00980DA0"/>
    <w:rsid w:val="0098178D"/>
    <w:rsid w:val="00981FD1"/>
    <w:rsid w:val="00982855"/>
    <w:rsid w:val="009834F5"/>
    <w:rsid w:val="009836DA"/>
    <w:rsid w:val="0098384B"/>
    <w:rsid w:val="00983C06"/>
    <w:rsid w:val="009841C2"/>
    <w:rsid w:val="009843C8"/>
    <w:rsid w:val="009843DE"/>
    <w:rsid w:val="009843F2"/>
    <w:rsid w:val="00985AA5"/>
    <w:rsid w:val="00985E39"/>
    <w:rsid w:val="0098639C"/>
    <w:rsid w:val="009868C6"/>
    <w:rsid w:val="00986AE6"/>
    <w:rsid w:val="009870EA"/>
    <w:rsid w:val="00987457"/>
    <w:rsid w:val="009874A8"/>
    <w:rsid w:val="00987684"/>
    <w:rsid w:val="00987A3B"/>
    <w:rsid w:val="00987DB4"/>
    <w:rsid w:val="00987E7E"/>
    <w:rsid w:val="00987F5E"/>
    <w:rsid w:val="00990092"/>
    <w:rsid w:val="00990302"/>
    <w:rsid w:val="00991752"/>
    <w:rsid w:val="00991D73"/>
    <w:rsid w:val="00991EFD"/>
    <w:rsid w:val="00991F17"/>
    <w:rsid w:val="0099219B"/>
    <w:rsid w:val="00992422"/>
    <w:rsid w:val="00992542"/>
    <w:rsid w:val="00992F3C"/>
    <w:rsid w:val="009936FB"/>
    <w:rsid w:val="009939EC"/>
    <w:rsid w:val="00993F3E"/>
    <w:rsid w:val="00994932"/>
    <w:rsid w:val="0099533A"/>
    <w:rsid w:val="0099579C"/>
    <w:rsid w:val="0099598C"/>
    <w:rsid w:val="009964FC"/>
    <w:rsid w:val="00996D92"/>
    <w:rsid w:val="0099723F"/>
    <w:rsid w:val="0099745A"/>
    <w:rsid w:val="009979C0"/>
    <w:rsid w:val="009A04D5"/>
    <w:rsid w:val="009A11C9"/>
    <w:rsid w:val="009A15CC"/>
    <w:rsid w:val="009A26B2"/>
    <w:rsid w:val="009A327B"/>
    <w:rsid w:val="009A37C5"/>
    <w:rsid w:val="009A3890"/>
    <w:rsid w:val="009A3BB5"/>
    <w:rsid w:val="009A3F50"/>
    <w:rsid w:val="009A4589"/>
    <w:rsid w:val="009A45F1"/>
    <w:rsid w:val="009A49ED"/>
    <w:rsid w:val="009A4ED7"/>
    <w:rsid w:val="009A5596"/>
    <w:rsid w:val="009A694C"/>
    <w:rsid w:val="009A6B82"/>
    <w:rsid w:val="009A6FA4"/>
    <w:rsid w:val="009A7250"/>
    <w:rsid w:val="009A77F1"/>
    <w:rsid w:val="009B028C"/>
    <w:rsid w:val="009B0B59"/>
    <w:rsid w:val="009B0B6D"/>
    <w:rsid w:val="009B0E6E"/>
    <w:rsid w:val="009B13F0"/>
    <w:rsid w:val="009B190C"/>
    <w:rsid w:val="009B191E"/>
    <w:rsid w:val="009B19D6"/>
    <w:rsid w:val="009B2352"/>
    <w:rsid w:val="009B2F56"/>
    <w:rsid w:val="009B3168"/>
    <w:rsid w:val="009B3181"/>
    <w:rsid w:val="009B321A"/>
    <w:rsid w:val="009B33CD"/>
    <w:rsid w:val="009B39AF"/>
    <w:rsid w:val="009B3BF9"/>
    <w:rsid w:val="009B3CB5"/>
    <w:rsid w:val="009B4006"/>
    <w:rsid w:val="009B41E0"/>
    <w:rsid w:val="009B4304"/>
    <w:rsid w:val="009B47AD"/>
    <w:rsid w:val="009B4C5E"/>
    <w:rsid w:val="009B544B"/>
    <w:rsid w:val="009B54FF"/>
    <w:rsid w:val="009B55DE"/>
    <w:rsid w:val="009B57C1"/>
    <w:rsid w:val="009B5AD3"/>
    <w:rsid w:val="009B5F02"/>
    <w:rsid w:val="009B6910"/>
    <w:rsid w:val="009B6A3A"/>
    <w:rsid w:val="009B6D41"/>
    <w:rsid w:val="009B6EDE"/>
    <w:rsid w:val="009B7305"/>
    <w:rsid w:val="009B7999"/>
    <w:rsid w:val="009B79B5"/>
    <w:rsid w:val="009B7A26"/>
    <w:rsid w:val="009B7D7B"/>
    <w:rsid w:val="009C029C"/>
    <w:rsid w:val="009C06FA"/>
    <w:rsid w:val="009C1073"/>
    <w:rsid w:val="009C1588"/>
    <w:rsid w:val="009C1706"/>
    <w:rsid w:val="009C1738"/>
    <w:rsid w:val="009C19D1"/>
    <w:rsid w:val="009C2514"/>
    <w:rsid w:val="009C2B78"/>
    <w:rsid w:val="009C2C3A"/>
    <w:rsid w:val="009C3040"/>
    <w:rsid w:val="009C36D5"/>
    <w:rsid w:val="009C3783"/>
    <w:rsid w:val="009C43E2"/>
    <w:rsid w:val="009C553F"/>
    <w:rsid w:val="009C59BF"/>
    <w:rsid w:val="009C5B82"/>
    <w:rsid w:val="009C5CED"/>
    <w:rsid w:val="009C62BD"/>
    <w:rsid w:val="009C69D9"/>
    <w:rsid w:val="009C6C5C"/>
    <w:rsid w:val="009C6E9B"/>
    <w:rsid w:val="009C6ED4"/>
    <w:rsid w:val="009C6FE5"/>
    <w:rsid w:val="009C7361"/>
    <w:rsid w:val="009C7FC9"/>
    <w:rsid w:val="009D03C5"/>
    <w:rsid w:val="009D08FA"/>
    <w:rsid w:val="009D0B34"/>
    <w:rsid w:val="009D0D15"/>
    <w:rsid w:val="009D0F56"/>
    <w:rsid w:val="009D1518"/>
    <w:rsid w:val="009D1834"/>
    <w:rsid w:val="009D1BD5"/>
    <w:rsid w:val="009D2E36"/>
    <w:rsid w:val="009D3D79"/>
    <w:rsid w:val="009D3E5A"/>
    <w:rsid w:val="009D43CA"/>
    <w:rsid w:val="009D4A4F"/>
    <w:rsid w:val="009D5351"/>
    <w:rsid w:val="009D648E"/>
    <w:rsid w:val="009D650C"/>
    <w:rsid w:val="009D6ECC"/>
    <w:rsid w:val="009D741C"/>
    <w:rsid w:val="009D7C1C"/>
    <w:rsid w:val="009D7DC5"/>
    <w:rsid w:val="009E0201"/>
    <w:rsid w:val="009E0341"/>
    <w:rsid w:val="009E1ECD"/>
    <w:rsid w:val="009E1F0D"/>
    <w:rsid w:val="009E2015"/>
    <w:rsid w:val="009E2435"/>
    <w:rsid w:val="009E245B"/>
    <w:rsid w:val="009E2603"/>
    <w:rsid w:val="009E2A60"/>
    <w:rsid w:val="009E3032"/>
    <w:rsid w:val="009E382D"/>
    <w:rsid w:val="009E3967"/>
    <w:rsid w:val="009E3E94"/>
    <w:rsid w:val="009E40FF"/>
    <w:rsid w:val="009E4233"/>
    <w:rsid w:val="009E491C"/>
    <w:rsid w:val="009E5052"/>
    <w:rsid w:val="009E5087"/>
    <w:rsid w:val="009E5655"/>
    <w:rsid w:val="009E62B7"/>
    <w:rsid w:val="009E64B8"/>
    <w:rsid w:val="009E676A"/>
    <w:rsid w:val="009E6822"/>
    <w:rsid w:val="009E6B22"/>
    <w:rsid w:val="009E6B85"/>
    <w:rsid w:val="009E6D16"/>
    <w:rsid w:val="009E75FD"/>
    <w:rsid w:val="009E778C"/>
    <w:rsid w:val="009E7C58"/>
    <w:rsid w:val="009E7FD3"/>
    <w:rsid w:val="009F082F"/>
    <w:rsid w:val="009F0A72"/>
    <w:rsid w:val="009F0BA8"/>
    <w:rsid w:val="009F0D38"/>
    <w:rsid w:val="009F0F24"/>
    <w:rsid w:val="009F0F9B"/>
    <w:rsid w:val="009F1688"/>
    <w:rsid w:val="009F19E8"/>
    <w:rsid w:val="009F19EF"/>
    <w:rsid w:val="009F1E4C"/>
    <w:rsid w:val="009F1F19"/>
    <w:rsid w:val="009F210A"/>
    <w:rsid w:val="009F21B4"/>
    <w:rsid w:val="009F21BC"/>
    <w:rsid w:val="009F3178"/>
    <w:rsid w:val="009F3707"/>
    <w:rsid w:val="009F3F34"/>
    <w:rsid w:val="009F44BF"/>
    <w:rsid w:val="009F480D"/>
    <w:rsid w:val="009F48BC"/>
    <w:rsid w:val="009F4E3A"/>
    <w:rsid w:val="009F5340"/>
    <w:rsid w:val="009F5390"/>
    <w:rsid w:val="009F5666"/>
    <w:rsid w:val="009F5730"/>
    <w:rsid w:val="009F61DD"/>
    <w:rsid w:val="009F6B21"/>
    <w:rsid w:val="009F7265"/>
    <w:rsid w:val="00A00E9B"/>
    <w:rsid w:val="00A0104D"/>
    <w:rsid w:val="00A011E2"/>
    <w:rsid w:val="00A01776"/>
    <w:rsid w:val="00A01F19"/>
    <w:rsid w:val="00A021B3"/>
    <w:rsid w:val="00A023E0"/>
    <w:rsid w:val="00A02670"/>
    <w:rsid w:val="00A02782"/>
    <w:rsid w:val="00A02C75"/>
    <w:rsid w:val="00A02CB5"/>
    <w:rsid w:val="00A0372D"/>
    <w:rsid w:val="00A04141"/>
    <w:rsid w:val="00A045A1"/>
    <w:rsid w:val="00A04826"/>
    <w:rsid w:val="00A049CD"/>
    <w:rsid w:val="00A04FD7"/>
    <w:rsid w:val="00A0534E"/>
    <w:rsid w:val="00A05BC6"/>
    <w:rsid w:val="00A05F80"/>
    <w:rsid w:val="00A06CC3"/>
    <w:rsid w:val="00A06DD0"/>
    <w:rsid w:val="00A06E5A"/>
    <w:rsid w:val="00A079AD"/>
    <w:rsid w:val="00A100F2"/>
    <w:rsid w:val="00A105FF"/>
    <w:rsid w:val="00A10785"/>
    <w:rsid w:val="00A1104A"/>
    <w:rsid w:val="00A110CC"/>
    <w:rsid w:val="00A114B6"/>
    <w:rsid w:val="00A11812"/>
    <w:rsid w:val="00A11862"/>
    <w:rsid w:val="00A119D7"/>
    <w:rsid w:val="00A11B07"/>
    <w:rsid w:val="00A12264"/>
    <w:rsid w:val="00A123CC"/>
    <w:rsid w:val="00A123CD"/>
    <w:rsid w:val="00A12602"/>
    <w:rsid w:val="00A12ECE"/>
    <w:rsid w:val="00A13F55"/>
    <w:rsid w:val="00A149F7"/>
    <w:rsid w:val="00A1586D"/>
    <w:rsid w:val="00A15DF6"/>
    <w:rsid w:val="00A15E23"/>
    <w:rsid w:val="00A168D6"/>
    <w:rsid w:val="00A1763C"/>
    <w:rsid w:val="00A179B3"/>
    <w:rsid w:val="00A21AD0"/>
    <w:rsid w:val="00A21D44"/>
    <w:rsid w:val="00A21EB5"/>
    <w:rsid w:val="00A2276A"/>
    <w:rsid w:val="00A22B7D"/>
    <w:rsid w:val="00A22D99"/>
    <w:rsid w:val="00A2301E"/>
    <w:rsid w:val="00A23AA4"/>
    <w:rsid w:val="00A24413"/>
    <w:rsid w:val="00A24BF7"/>
    <w:rsid w:val="00A24D82"/>
    <w:rsid w:val="00A25D81"/>
    <w:rsid w:val="00A25E23"/>
    <w:rsid w:val="00A25F31"/>
    <w:rsid w:val="00A261B0"/>
    <w:rsid w:val="00A26883"/>
    <w:rsid w:val="00A26D93"/>
    <w:rsid w:val="00A30697"/>
    <w:rsid w:val="00A309EA"/>
    <w:rsid w:val="00A30B9E"/>
    <w:rsid w:val="00A30D84"/>
    <w:rsid w:val="00A31017"/>
    <w:rsid w:val="00A31160"/>
    <w:rsid w:val="00A31FA0"/>
    <w:rsid w:val="00A320B6"/>
    <w:rsid w:val="00A321FE"/>
    <w:rsid w:val="00A3255B"/>
    <w:rsid w:val="00A33A9D"/>
    <w:rsid w:val="00A33F6A"/>
    <w:rsid w:val="00A34014"/>
    <w:rsid w:val="00A340DE"/>
    <w:rsid w:val="00A349D3"/>
    <w:rsid w:val="00A351C2"/>
    <w:rsid w:val="00A35481"/>
    <w:rsid w:val="00A3573F"/>
    <w:rsid w:val="00A357C6"/>
    <w:rsid w:val="00A35870"/>
    <w:rsid w:val="00A35E1E"/>
    <w:rsid w:val="00A35FDB"/>
    <w:rsid w:val="00A36939"/>
    <w:rsid w:val="00A37AFE"/>
    <w:rsid w:val="00A37B52"/>
    <w:rsid w:val="00A40DE8"/>
    <w:rsid w:val="00A4139E"/>
    <w:rsid w:val="00A4178C"/>
    <w:rsid w:val="00A41E8A"/>
    <w:rsid w:val="00A42B27"/>
    <w:rsid w:val="00A42F03"/>
    <w:rsid w:val="00A4320A"/>
    <w:rsid w:val="00A43346"/>
    <w:rsid w:val="00A43E6E"/>
    <w:rsid w:val="00A45374"/>
    <w:rsid w:val="00A45820"/>
    <w:rsid w:val="00A45F04"/>
    <w:rsid w:val="00A4606F"/>
    <w:rsid w:val="00A46DB5"/>
    <w:rsid w:val="00A46E1B"/>
    <w:rsid w:val="00A46E9B"/>
    <w:rsid w:val="00A47306"/>
    <w:rsid w:val="00A47731"/>
    <w:rsid w:val="00A5005E"/>
    <w:rsid w:val="00A51ADE"/>
    <w:rsid w:val="00A51E60"/>
    <w:rsid w:val="00A51EFD"/>
    <w:rsid w:val="00A52413"/>
    <w:rsid w:val="00A5296D"/>
    <w:rsid w:val="00A52D9E"/>
    <w:rsid w:val="00A52EE2"/>
    <w:rsid w:val="00A53009"/>
    <w:rsid w:val="00A531D8"/>
    <w:rsid w:val="00A5342F"/>
    <w:rsid w:val="00A5369B"/>
    <w:rsid w:val="00A54454"/>
    <w:rsid w:val="00A5478A"/>
    <w:rsid w:val="00A55A2D"/>
    <w:rsid w:val="00A55A6E"/>
    <w:rsid w:val="00A562EB"/>
    <w:rsid w:val="00A563C7"/>
    <w:rsid w:val="00A564EB"/>
    <w:rsid w:val="00A5665D"/>
    <w:rsid w:val="00A56B00"/>
    <w:rsid w:val="00A56BC9"/>
    <w:rsid w:val="00A571EA"/>
    <w:rsid w:val="00A6070C"/>
    <w:rsid w:val="00A60AA4"/>
    <w:rsid w:val="00A60AD1"/>
    <w:rsid w:val="00A60C96"/>
    <w:rsid w:val="00A611D6"/>
    <w:rsid w:val="00A61699"/>
    <w:rsid w:val="00A61765"/>
    <w:rsid w:val="00A61985"/>
    <w:rsid w:val="00A61FA0"/>
    <w:rsid w:val="00A62F16"/>
    <w:rsid w:val="00A631BC"/>
    <w:rsid w:val="00A63657"/>
    <w:rsid w:val="00A638EC"/>
    <w:rsid w:val="00A641D9"/>
    <w:rsid w:val="00A6420B"/>
    <w:rsid w:val="00A6471A"/>
    <w:rsid w:val="00A65210"/>
    <w:rsid w:val="00A6538A"/>
    <w:rsid w:val="00A65BC5"/>
    <w:rsid w:val="00A65C5B"/>
    <w:rsid w:val="00A65DB7"/>
    <w:rsid w:val="00A66109"/>
    <w:rsid w:val="00A6659A"/>
    <w:rsid w:val="00A66DDA"/>
    <w:rsid w:val="00A67576"/>
    <w:rsid w:val="00A6767E"/>
    <w:rsid w:val="00A67752"/>
    <w:rsid w:val="00A677D3"/>
    <w:rsid w:val="00A678C3"/>
    <w:rsid w:val="00A67997"/>
    <w:rsid w:val="00A67A0F"/>
    <w:rsid w:val="00A67BAF"/>
    <w:rsid w:val="00A7106D"/>
    <w:rsid w:val="00A718BB"/>
    <w:rsid w:val="00A71AC4"/>
    <w:rsid w:val="00A72391"/>
    <w:rsid w:val="00A72B44"/>
    <w:rsid w:val="00A7330C"/>
    <w:rsid w:val="00A737F1"/>
    <w:rsid w:val="00A7460F"/>
    <w:rsid w:val="00A74D96"/>
    <w:rsid w:val="00A75A00"/>
    <w:rsid w:val="00A75AEC"/>
    <w:rsid w:val="00A75AF6"/>
    <w:rsid w:val="00A75B0F"/>
    <w:rsid w:val="00A75BBF"/>
    <w:rsid w:val="00A75C18"/>
    <w:rsid w:val="00A76462"/>
    <w:rsid w:val="00A765DE"/>
    <w:rsid w:val="00A766FB"/>
    <w:rsid w:val="00A7730C"/>
    <w:rsid w:val="00A77F59"/>
    <w:rsid w:val="00A8018C"/>
    <w:rsid w:val="00A80C58"/>
    <w:rsid w:val="00A810C0"/>
    <w:rsid w:val="00A816EB"/>
    <w:rsid w:val="00A81ABA"/>
    <w:rsid w:val="00A81E19"/>
    <w:rsid w:val="00A81E61"/>
    <w:rsid w:val="00A820AD"/>
    <w:rsid w:val="00A820D5"/>
    <w:rsid w:val="00A82D45"/>
    <w:rsid w:val="00A831AE"/>
    <w:rsid w:val="00A831E1"/>
    <w:rsid w:val="00A84016"/>
    <w:rsid w:val="00A8543E"/>
    <w:rsid w:val="00A858EC"/>
    <w:rsid w:val="00A86BF2"/>
    <w:rsid w:val="00A878A9"/>
    <w:rsid w:val="00A87F27"/>
    <w:rsid w:val="00A9008B"/>
    <w:rsid w:val="00A90C2E"/>
    <w:rsid w:val="00A91AF3"/>
    <w:rsid w:val="00A91CFE"/>
    <w:rsid w:val="00A91DA1"/>
    <w:rsid w:val="00A91E13"/>
    <w:rsid w:val="00A92236"/>
    <w:rsid w:val="00A922EA"/>
    <w:rsid w:val="00A92A86"/>
    <w:rsid w:val="00A9368D"/>
    <w:rsid w:val="00A9378D"/>
    <w:rsid w:val="00A93A31"/>
    <w:rsid w:val="00A93A98"/>
    <w:rsid w:val="00A94499"/>
    <w:rsid w:val="00A946F7"/>
    <w:rsid w:val="00A9522F"/>
    <w:rsid w:val="00A9548A"/>
    <w:rsid w:val="00A95539"/>
    <w:rsid w:val="00A95DFF"/>
    <w:rsid w:val="00A96136"/>
    <w:rsid w:val="00A966B6"/>
    <w:rsid w:val="00A96858"/>
    <w:rsid w:val="00A97048"/>
    <w:rsid w:val="00A97144"/>
    <w:rsid w:val="00A971C4"/>
    <w:rsid w:val="00A977F4"/>
    <w:rsid w:val="00A9789C"/>
    <w:rsid w:val="00AA02CA"/>
    <w:rsid w:val="00AA0474"/>
    <w:rsid w:val="00AA099B"/>
    <w:rsid w:val="00AA11DD"/>
    <w:rsid w:val="00AA12DC"/>
    <w:rsid w:val="00AA13C7"/>
    <w:rsid w:val="00AA1540"/>
    <w:rsid w:val="00AA15DE"/>
    <w:rsid w:val="00AA1EB0"/>
    <w:rsid w:val="00AA1F95"/>
    <w:rsid w:val="00AA2097"/>
    <w:rsid w:val="00AA2215"/>
    <w:rsid w:val="00AA260A"/>
    <w:rsid w:val="00AA2889"/>
    <w:rsid w:val="00AA2E9C"/>
    <w:rsid w:val="00AA2ED2"/>
    <w:rsid w:val="00AA347F"/>
    <w:rsid w:val="00AA352F"/>
    <w:rsid w:val="00AA3B17"/>
    <w:rsid w:val="00AA4BCA"/>
    <w:rsid w:val="00AA4D46"/>
    <w:rsid w:val="00AA4D93"/>
    <w:rsid w:val="00AA5237"/>
    <w:rsid w:val="00AA539C"/>
    <w:rsid w:val="00AA5C73"/>
    <w:rsid w:val="00AA6336"/>
    <w:rsid w:val="00AA6FCD"/>
    <w:rsid w:val="00AA7106"/>
    <w:rsid w:val="00AA715E"/>
    <w:rsid w:val="00AA7460"/>
    <w:rsid w:val="00AA7497"/>
    <w:rsid w:val="00AA76AE"/>
    <w:rsid w:val="00AA7CA6"/>
    <w:rsid w:val="00AA7D1B"/>
    <w:rsid w:val="00AA7F69"/>
    <w:rsid w:val="00AA7F9F"/>
    <w:rsid w:val="00AB02D7"/>
    <w:rsid w:val="00AB1655"/>
    <w:rsid w:val="00AB1AD3"/>
    <w:rsid w:val="00AB1D23"/>
    <w:rsid w:val="00AB2154"/>
    <w:rsid w:val="00AB2175"/>
    <w:rsid w:val="00AB31E2"/>
    <w:rsid w:val="00AB3286"/>
    <w:rsid w:val="00AB38F1"/>
    <w:rsid w:val="00AB3D85"/>
    <w:rsid w:val="00AB3DBF"/>
    <w:rsid w:val="00AB40FE"/>
    <w:rsid w:val="00AB47A4"/>
    <w:rsid w:val="00AB4AA2"/>
    <w:rsid w:val="00AB4EE3"/>
    <w:rsid w:val="00AB53C8"/>
    <w:rsid w:val="00AB5F8D"/>
    <w:rsid w:val="00AB60A8"/>
    <w:rsid w:val="00AB714B"/>
    <w:rsid w:val="00AB756F"/>
    <w:rsid w:val="00AB7899"/>
    <w:rsid w:val="00AB7A55"/>
    <w:rsid w:val="00AB7ED0"/>
    <w:rsid w:val="00AC01D7"/>
    <w:rsid w:val="00AC0E36"/>
    <w:rsid w:val="00AC0F3E"/>
    <w:rsid w:val="00AC129A"/>
    <w:rsid w:val="00AC1310"/>
    <w:rsid w:val="00AC1FF7"/>
    <w:rsid w:val="00AC22E1"/>
    <w:rsid w:val="00AC283E"/>
    <w:rsid w:val="00AC28E3"/>
    <w:rsid w:val="00AC2BE9"/>
    <w:rsid w:val="00AC2C5A"/>
    <w:rsid w:val="00AC31E4"/>
    <w:rsid w:val="00AC325B"/>
    <w:rsid w:val="00AC3586"/>
    <w:rsid w:val="00AC418D"/>
    <w:rsid w:val="00AC4328"/>
    <w:rsid w:val="00AC44B9"/>
    <w:rsid w:val="00AC4573"/>
    <w:rsid w:val="00AC4C85"/>
    <w:rsid w:val="00AC4EF5"/>
    <w:rsid w:val="00AC570F"/>
    <w:rsid w:val="00AC5719"/>
    <w:rsid w:val="00AC5749"/>
    <w:rsid w:val="00AC576B"/>
    <w:rsid w:val="00AC58B5"/>
    <w:rsid w:val="00AC5A24"/>
    <w:rsid w:val="00AC5CE8"/>
    <w:rsid w:val="00AC5D73"/>
    <w:rsid w:val="00AC63FF"/>
    <w:rsid w:val="00AC6720"/>
    <w:rsid w:val="00AC6A66"/>
    <w:rsid w:val="00AC70F6"/>
    <w:rsid w:val="00AC7442"/>
    <w:rsid w:val="00AC7C15"/>
    <w:rsid w:val="00AC7F44"/>
    <w:rsid w:val="00AD10A3"/>
    <w:rsid w:val="00AD218A"/>
    <w:rsid w:val="00AD21CD"/>
    <w:rsid w:val="00AD238E"/>
    <w:rsid w:val="00AD2A89"/>
    <w:rsid w:val="00AD373B"/>
    <w:rsid w:val="00AD3A76"/>
    <w:rsid w:val="00AD45D1"/>
    <w:rsid w:val="00AD4617"/>
    <w:rsid w:val="00AD4BC4"/>
    <w:rsid w:val="00AD4C9B"/>
    <w:rsid w:val="00AD5237"/>
    <w:rsid w:val="00AD541C"/>
    <w:rsid w:val="00AD55D7"/>
    <w:rsid w:val="00AD5D12"/>
    <w:rsid w:val="00AD69B0"/>
    <w:rsid w:val="00AD6B27"/>
    <w:rsid w:val="00AD6ED7"/>
    <w:rsid w:val="00AD73F4"/>
    <w:rsid w:val="00AD7A98"/>
    <w:rsid w:val="00AE0007"/>
    <w:rsid w:val="00AE04CF"/>
    <w:rsid w:val="00AE085A"/>
    <w:rsid w:val="00AE1B85"/>
    <w:rsid w:val="00AE2292"/>
    <w:rsid w:val="00AE2B5F"/>
    <w:rsid w:val="00AE2D53"/>
    <w:rsid w:val="00AE329F"/>
    <w:rsid w:val="00AE3516"/>
    <w:rsid w:val="00AE3AC8"/>
    <w:rsid w:val="00AE3D06"/>
    <w:rsid w:val="00AE3FAF"/>
    <w:rsid w:val="00AE41F4"/>
    <w:rsid w:val="00AE4387"/>
    <w:rsid w:val="00AE5017"/>
    <w:rsid w:val="00AE50F9"/>
    <w:rsid w:val="00AE53E3"/>
    <w:rsid w:val="00AE55BF"/>
    <w:rsid w:val="00AE55E1"/>
    <w:rsid w:val="00AE5A42"/>
    <w:rsid w:val="00AE5D96"/>
    <w:rsid w:val="00AE6132"/>
    <w:rsid w:val="00AE625E"/>
    <w:rsid w:val="00AE6471"/>
    <w:rsid w:val="00AE6D8C"/>
    <w:rsid w:val="00AE74C6"/>
    <w:rsid w:val="00AE76AB"/>
    <w:rsid w:val="00AE7931"/>
    <w:rsid w:val="00AF03E9"/>
    <w:rsid w:val="00AF0435"/>
    <w:rsid w:val="00AF0701"/>
    <w:rsid w:val="00AF07E1"/>
    <w:rsid w:val="00AF0EDA"/>
    <w:rsid w:val="00AF16AD"/>
    <w:rsid w:val="00AF17E9"/>
    <w:rsid w:val="00AF1CF9"/>
    <w:rsid w:val="00AF1FC5"/>
    <w:rsid w:val="00AF2393"/>
    <w:rsid w:val="00AF23D9"/>
    <w:rsid w:val="00AF24C1"/>
    <w:rsid w:val="00AF3BBD"/>
    <w:rsid w:val="00AF3D69"/>
    <w:rsid w:val="00AF447C"/>
    <w:rsid w:val="00AF4C05"/>
    <w:rsid w:val="00AF4C23"/>
    <w:rsid w:val="00AF5ADD"/>
    <w:rsid w:val="00AF5B25"/>
    <w:rsid w:val="00AF5C40"/>
    <w:rsid w:val="00AF60B3"/>
    <w:rsid w:val="00AF6371"/>
    <w:rsid w:val="00AF6584"/>
    <w:rsid w:val="00AF6A85"/>
    <w:rsid w:val="00AF70CC"/>
    <w:rsid w:val="00AF765C"/>
    <w:rsid w:val="00B00470"/>
    <w:rsid w:val="00B00669"/>
    <w:rsid w:val="00B0089B"/>
    <w:rsid w:val="00B00AFF"/>
    <w:rsid w:val="00B019C3"/>
    <w:rsid w:val="00B01CDF"/>
    <w:rsid w:val="00B0245F"/>
    <w:rsid w:val="00B02D5B"/>
    <w:rsid w:val="00B03B5A"/>
    <w:rsid w:val="00B03D14"/>
    <w:rsid w:val="00B050A0"/>
    <w:rsid w:val="00B062BE"/>
    <w:rsid w:val="00B06889"/>
    <w:rsid w:val="00B06D22"/>
    <w:rsid w:val="00B06D74"/>
    <w:rsid w:val="00B06DC8"/>
    <w:rsid w:val="00B06DFF"/>
    <w:rsid w:val="00B06F19"/>
    <w:rsid w:val="00B07274"/>
    <w:rsid w:val="00B072D2"/>
    <w:rsid w:val="00B07796"/>
    <w:rsid w:val="00B10099"/>
    <w:rsid w:val="00B10ADC"/>
    <w:rsid w:val="00B11783"/>
    <w:rsid w:val="00B11950"/>
    <w:rsid w:val="00B11968"/>
    <w:rsid w:val="00B11BC3"/>
    <w:rsid w:val="00B12035"/>
    <w:rsid w:val="00B122D0"/>
    <w:rsid w:val="00B12A6C"/>
    <w:rsid w:val="00B12E43"/>
    <w:rsid w:val="00B1327E"/>
    <w:rsid w:val="00B137DC"/>
    <w:rsid w:val="00B13FC3"/>
    <w:rsid w:val="00B14CDD"/>
    <w:rsid w:val="00B1509C"/>
    <w:rsid w:val="00B15E7C"/>
    <w:rsid w:val="00B16709"/>
    <w:rsid w:val="00B16BEA"/>
    <w:rsid w:val="00B1701C"/>
    <w:rsid w:val="00B170B8"/>
    <w:rsid w:val="00B172ED"/>
    <w:rsid w:val="00B202B8"/>
    <w:rsid w:val="00B20A1F"/>
    <w:rsid w:val="00B20F3A"/>
    <w:rsid w:val="00B2137D"/>
    <w:rsid w:val="00B21D33"/>
    <w:rsid w:val="00B22110"/>
    <w:rsid w:val="00B227AE"/>
    <w:rsid w:val="00B22884"/>
    <w:rsid w:val="00B22EA4"/>
    <w:rsid w:val="00B2353F"/>
    <w:rsid w:val="00B2381F"/>
    <w:rsid w:val="00B23E2D"/>
    <w:rsid w:val="00B23F4B"/>
    <w:rsid w:val="00B24358"/>
    <w:rsid w:val="00B249DE"/>
    <w:rsid w:val="00B24A05"/>
    <w:rsid w:val="00B24B9C"/>
    <w:rsid w:val="00B25F5E"/>
    <w:rsid w:val="00B26121"/>
    <w:rsid w:val="00B26657"/>
    <w:rsid w:val="00B270F2"/>
    <w:rsid w:val="00B273A5"/>
    <w:rsid w:val="00B274EF"/>
    <w:rsid w:val="00B2776E"/>
    <w:rsid w:val="00B278B3"/>
    <w:rsid w:val="00B27C7B"/>
    <w:rsid w:val="00B319D9"/>
    <w:rsid w:val="00B31A5C"/>
    <w:rsid w:val="00B323F5"/>
    <w:rsid w:val="00B325F4"/>
    <w:rsid w:val="00B3270C"/>
    <w:rsid w:val="00B32980"/>
    <w:rsid w:val="00B32F59"/>
    <w:rsid w:val="00B33F3D"/>
    <w:rsid w:val="00B33FBB"/>
    <w:rsid w:val="00B34295"/>
    <w:rsid w:val="00B34BCA"/>
    <w:rsid w:val="00B36647"/>
    <w:rsid w:val="00B36B59"/>
    <w:rsid w:val="00B36C96"/>
    <w:rsid w:val="00B36F5E"/>
    <w:rsid w:val="00B372B2"/>
    <w:rsid w:val="00B377E4"/>
    <w:rsid w:val="00B37DDE"/>
    <w:rsid w:val="00B40762"/>
    <w:rsid w:val="00B4095D"/>
    <w:rsid w:val="00B41189"/>
    <w:rsid w:val="00B41195"/>
    <w:rsid w:val="00B4135F"/>
    <w:rsid w:val="00B41419"/>
    <w:rsid w:val="00B4149F"/>
    <w:rsid w:val="00B42069"/>
    <w:rsid w:val="00B4260D"/>
    <w:rsid w:val="00B42A6B"/>
    <w:rsid w:val="00B42C5B"/>
    <w:rsid w:val="00B43135"/>
    <w:rsid w:val="00B43153"/>
    <w:rsid w:val="00B4385C"/>
    <w:rsid w:val="00B43C95"/>
    <w:rsid w:val="00B440FB"/>
    <w:rsid w:val="00B451B2"/>
    <w:rsid w:val="00B45634"/>
    <w:rsid w:val="00B45E23"/>
    <w:rsid w:val="00B461E1"/>
    <w:rsid w:val="00B4624A"/>
    <w:rsid w:val="00B4727F"/>
    <w:rsid w:val="00B47A08"/>
    <w:rsid w:val="00B47EBB"/>
    <w:rsid w:val="00B50B8F"/>
    <w:rsid w:val="00B50C4E"/>
    <w:rsid w:val="00B51196"/>
    <w:rsid w:val="00B511F7"/>
    <w:rsid w:val="00B5172B"/>
    <w:rsid w:val="00B5197C"/>
    <w:rsid w:val="00B52601"/>
    <w:rsid w:val="00B5276D"/>
    <w:rsid w:val="00B52830"/>
    <w:rsid w:val="00B52AF1"/>
    <w:rsid w:val="00B52C80"/>
    <w:rsid w:val="00B52E7E"/>
    <w:rsid w:val="00B531E8"/>
    <w:rsid w:val="00B5351A"/>
    <w:rsid w:val="00B53584"/>
    <w:rsid w:val="00B53806"/>
    <w:rsid w:val="00B53D3E"/>
    <w:rsid w:val="00B54694"/>
    <w:rsid w:val="00B54BC7"/>
    <w:rsid w:val="00B55193"/>
    <w:rsid w:val="00B555D9"/>
    <w:rsid w:val="00B5564B"/>
    <w:rsid w:val="00B55CFF"/>
    <w:rsid w:val="00B55FF7"/>
    <w:rsid w:val="00B562AE"/>
    <w:rsid w:val="00B564F7"/>
    <w:rsid w:val="00B56DCB"/>
    <w:rsid w:val="00B56F7E"/>
    <w:rsid w:val="00B575A6"/>
    <w:rsid w:val="00B57B5A"/>
    <w:rsid w:val="00B605EB"/>
    <w:rsid w:val="00B6080D"/>
    <w:rsid w:val="00B60FCE"/>
    <w:rsid w:val="00B6182F"/>
    <w:rsid w:val="00B62449"/>
    <w:rsid w:val="00B62485"/>
    <w:rsid w:val="00B624F3"/>
    <w:rsid w:val="00B625B7"/>
    <w:rsid w:val="00B628A5"/>
    <w:rsid w:val="00B62949"/>
    <w:rsid w:val="00B62A8E"/>
    <w:rsid w:val="00B6374B"/>
    <w:rsid w:val="00B63C2F"/>
    <w:rsid w:val="00B640C2"/>
    <w:rsid w:val="00B6420C"/>
    <w:rsid w:val="00B65202"/>
    <w:rsid w:val="00B66D6E"/>
    <w:rsid w:val="00B67010"/>
    <w:rsid w:val="00B670C3"/>
    <w:rsid w:val="00B67404"/>
    <w:rsid w:val="00B6770C"/>
    <w:rsid w:val="00B70056"/>
    <w:rsid w:val="00B70399"/>
    <w:rsid w:val="00B7045A"/>
    <w:rsid w:val="00B707C4"/>
    <w:rsid w:val="00B70935"/>
    <w:rsid w:val="00B70B21"/>
    <w:rsid w:val="00B712E0"/>
    <w:rsid w:val="00B7148A"/>
    <w:rsid w:val="00B71C94"/>
    <w:rsid w:val="00B71F4F"/>
    <w:rsid w:val="00B7282F"/>
    <w:rsid w:val="00B735E6"/>
    <w:rsid w:val="00B73C13"/>
    <w:rsid w:val="00B73C68"/>
    <w:rsid w:val="00B7458A"/>
    <w:rsid w:val="00B75431"/>
    <w:rsid w:val="00B75481"/>
    <w:rsid w:val="00B7560F"/>
    <w:rsid w:val="00B761DC"/>
    <w:rsid w:val="00B768E3"/>
    <w:rsid w:val="00B76BE9"/>
    <w:rsid w:val="00B7766B"/>
    <w:rsid w:val="00B77897"/>
    <w:rsid w:val="00B77EBD"/>
    <w:rsid w:val="00B803AA"/>
    <w:rsid w:val="00B80541"/>
    <w:rsid w:val="00B808E5"/>
    <w:rsid w:val="00B808FD"/>
    <w:rsid w:val="00B80E86"/>
    <w:rsid w:val="00B80F8B"/>
    <w:rsid w:val="00B81646"/>
    <w:rsid w:val="00B818F4"/>
    <w:rsid w:val="00B81965"/>
    <w:rsid w:val="00B819D0"/>
    <w:rsid w:val="00B81A05"/>
    <w:rsid w:val="00B81A79"/>
    <w:rsid w:val="00B81B9B"/>
    <w:rsid w:val="00B822F9"/>
    <w:rsid w:val="00B8289B"/>
    <w:rsid w:val="00B82CE7"/>
    <w:rsid w:val="00B82E94"/>
    <w:rsid w:val="00B83493"/>
    <w:rsid w:val="00B84661"/>
    <w:rsid w:val="00B84B14"/>
    <w:rsid w:val="00B853DA"/>
    <w:rsid w:val="00B85B74"/>
    <w:rsid w:val="00B86247"/>
    <w:rsid w:val="00B865A3"/>
    <w:rsid w:val="00B86781"/>
    <w:rsid w:val="00B86C0D"/>
    <w:rsid w:val="00B8703F"/>
    <w:rsid w:val="00B87822"/>
    <w:rsid w:val="00B90E7D"/>
    <w:rsid w:val="00B914CA"/>
    <w:rsid w:val="00B91746"/>
    <w:rsid w:val="00B929FE"/>
    <w:rsid w:val="00B92ABC"/>
    <w:rsid w:val="00B92E2B"/>
    <w:rsid w:val="00B9327C"/>
    <w:rsid w:val="00B94137"/>
    <w:rsid w:val="00B949CA"/>
    <w:rsid w:val="00B94A14"/>
    <w:rsid w:val="00B95AE6"/>
    <w:rsid w:val="00B96AF2"/>
    <w:rsid w:val="00B96D46"/>
    <w:rsid w:val="00B97503"/>
    <w:rsid w:val="00BA01AA"/>
    <w:rsid w:val="00BA0AAA"/>
    <w:rsid w:val="00BA0AFB"/>
    <w:rsid w:val="00BA1B95"/>
    <w:rsid w:val="00BA1D7B"/>
    <w:rsid w:val="00BA233F"/>
    <w:rsid w:val="00BA2E1C"/>
    <w:rsid w:val="00BA3D45"/>
    <w:rsid w:val="00BA42EB"/>
    <w:rsid w:val="00BA444A"/>
    <w:rsid w:val="00BA4591"/>
    <w:rsid w:val="00BA4BD8"/>
    <w:rsid w:val="00BA526B"/>
    <w:rsid w:val="00BA566A"/>
    <w:rsid w:val="00BA5846"/>
    <w:rsid w:val="00BA5CE9"/>
    <w:rsid w:val="00BA6542"/>
    <w:rsid w:val="00BA66D3"/>
    <w:rsid w:val="00BA6B55"/>
    <w:rsid w:val="00BA6BA9"/>
    <w:rsid w:val="00BA73AC"/>
    <w:rsid w:val="00BA763E"/>
    <w:rsid w:val="00BA7E66"/>
    <w:rsid w:val="00BB0495"/>
    <w:rsid w:val="00BB079B"/>
    <w:rsid w:val="00BB09A3"/>
    <w:rsid w:val="00BB1DE8"/>
    <w:rsid w:val="00BB2087"/>
    <w:rsid w:val="00BB2F7F"/>
    <w:rsid w:val="00BB3599"/>
    <w:rsid w:val="00BB3A28"/>
    <w:rsid w:val="00BB3B51"/>
    <w:rsid w:val="00BB3CB8"/>
    <w:rsid w:val="00BB3FB0"/>
    <w:rsid w:val="00BB4206"/>
    <w:rsid w:val="00BB4689"/>
    <w:rsid w:val="00BB4B6F"/>
    <w:rsid w:val="00BB4C3C"/>
    <w:rsid w:val="00BB5514"/>
    <w:rsid w:val="00BB5604"/>
    <w:rsid w:val="00BB5758"/>
    <w:rsid w:val="00BB5B03"/>
    <w:rsid w:val="00BB6613"/>
    <w:rsid w:val="00BB6666"/>
    <w:rsid w:val="00BB6668"/>
    <w:rsid w:val="00BB690C"/>
    <w:rsid w:val="00BB6C37"/>
    <w:rsid w:val="00BB6D83"/>
    <w:rsid w:val="00BB7122"/>
    <w:rsid w:val="00BB77D4"/>
    <w:rsid w:val="00BB7D17"/>
    <w:rsid w:val="00BB7EA4"/>
    <w:rsid w:val="00BC00DD"/>
    <w:rsid w:val="00BC018A"/>
    <w:rsid w:val="00BC09EF"/>
    <w:rsid w:val="00BC0A8C"/>
    <w:rsid w:val="00BC117C"/>
    <w:rsid w:val="00BC1BD7"/>
    <w:rsid w:val="00BC30B3"/>
    <w:rsid w:val="00BC3160"/>
    <w:rsid w:val="00BC3188"/>
    <w:rsid w:val="00BC3CCC"/>
    <w:rsid w:val="00BC3EC7"/>
    <w:rsid w:val="00BC42E9"/>
    <w:rsid w:val="00BC4DDC"/>
    <w:rsid w:val="00BC5368"/>
    <w:rsid w:val="00BC53B0"/>
    <w:rsid w:val="00BC54A9"/>
    <w:rsid w:val="00BC5C25"/>
    <w:rsid w:val="00BC5C44"/>
    <w:rsid w:val="00BC5DE4"/>
    <w:rsid w:val="00BC6E11"/>
    <w:rsid w:val="00BC6E2D"/>
    <w:rsid w:val="00BC7C51"/>
    <w:rsid w:val="00BC7CAA"/>
    <w:rsid w:val="00BD0100"/>
    <w:rsid w:val="00BD0430"/>
    <w:rsid w:val="00BD0594"/>
    <w:rsid w:val="00BD120A"/>
    <w:rsid w:val="00BD14D5"/>
    <w:rsid w:val="00BD161B"/>
    <w:rsid w:val="00BD16D3"/>
    <w:rsid w:val="00BD1723"/>
    <w:rsid w:val="00BD1EB4"/>
    <w:rsid w:val="00BD2B7D"/>
    <w:rsid w:val="00BD2D50"/>
    <w:rsid w:val="00BD2DF6"/>
    <w:rsid w:val="00BD3B55"/>
    <w:rsid w:val="00BD45B9"/>
    <w:rsid w:val="00BD4EA3"/>
    <w:rsid w:val="00BD5197"/>
    <w:rsid w:val="00BD530C"/>
    <w:rsid w:val="00BD5310"/>
    <w:rsid w:val="00BD5B7A"/>
    <w:rsid w:val="00BD5BAF"/>
    <w:rsid w:val="00BD5C7D"/>
    <w:rsid w:val="00BD6608"/>
    <w:rsid w:val="00BD6695"/>
    <w:rsid w:val="00BD697F"/>
    <w:rsid w:val="00BD6A84"/>
    <w:rsid w:val="00BD6DA6"/>
    <w:rsid w:val="00BD6DAC"/>
    <w:rsid w:val="00BD7012"/>
    <w:rsid w:val="00BD70AF"/>
    <w:rsid w:val="00BD73FB"/>
    <w:rsid w:val="00BD7DA6"/>
    <w:rsid w:val="00BE012F"/>
    <w:rsid w:val="00BE1191"/>
    <w:rsid w:val="00BE16FE"/>
    <w:rsid w:val="00BE2732"/>
    <w:rsid w:val="00BE2B49"/>
    <w:rsid w:val="00BE3415"/>
    <w:rsid w:val="00BE376D"/>
    <w:rsid w:val="00BE3C90"/>
    <w:rsid w:val="00BE4E00"/>
    <w:rsid w:val="00BE50BE"/>
    <w:rsid w:val="00BE53E4"/>
    <w:rsid w:val="00BE55BA"/>
    <w:rsid w:val="00BE5BD6"/>
    <w:rsid w:val="00BE5DB8"/>
    <w:rsid w:val="00BE5FA8"/>
    <w:rsid w:val="00BE68E4"/>
    <w:rsid w:val="00BE6AAA"/>
    <w:rsid w:val="00BE6AB8"/>
    <w:rsid w:val="00BE74B7"/>
    <w:rsid w:val="00BE76B3"/>
    <w:rsid w:val="00BE7ED1"/>
    <w:rsid w:val="00BF0612"/>
    <w:rsid w:val="00BF0644"/>
    <w:rsid w:val="00BF0696"/>
    <w:rsid w:val="00BF06AF"/>
    <w:rsid w:val="00BF1235"/>
    <w:rsid w:val="00BF1B48"/>
    <w:rsid w:val="00BF1DD9"/>
    <w:rsid w:val="00BF1E0B"/>
    <w:rsid w:val="00BF1E8D"/>
    <w:rsid w:val="00BF2122"/>
    <w:rsid w:val="00BF2355"/>
    <w:rsid w:val="00BF2460"/>
    <w:rsid w:val="00BF28D5"/>
    <w:rsid w:val="00BF30CE"/>
    <w:rsid w:val="00BF340F"/>
    <w:rsid w:val="00BF36C1"/>
    <w:rsid w:val="00BF38ED"/>
    <w:rsid w:val="00BF4107"/>
    <w:rsid w:val="00BF44A5"/>
    <w:rsid w:val="00BF4C0E"/>
    <w:rsid w:val="00BF4CD1"/>
    <w:rsid w:val="00BF5513"/>
    <w:rsid w:val="00BF56EA"/>
    <w:rsid w:val="00BF57BE"/>
    <w:rsid w:val="00BF5A1E"/>
    <w:rsid w:val="00BF63D1"/>
    <w:rsid w:val="00BF6425"/>
    <w:rsid w:val="00BF6BB3"/>
    <w:rsid w:val="00BF6ECB"/>
    <w:rsid w:val="00BF71E4"/>
    <w:rsid w:val="00BF7B0B"/>
    <w:rsid w:val="00C00173"/>
    <w:rsid w:val="00C00985"/>
    <w:rsid w:val="00C00B33"/>
    <w:rsid w:val="00C00D5C"/>
    <w:rsid w:val="00C01043"/>
    <w:rsid w:val="00C0146D"/>
    <w:rsid w:val="00C02882"/>
    <w:rsid w:val="00C02AB9"/>
    <w:rsid w:val="00C02ED2"/>
    <w:rsid w:val="00C0314F"/>
    <w:rsid w:val="00C032E7"/>
    <w:rsid w:val="00C03400"/>
    <w:rsid w:val="00C037C1"/>
    <w:rsid w:val="00C03D11"/>
    <w:rsid w:val="00C03D46"/>
    <w:rsid w:val="00C04741"/>
    <w:rsid w:val="00C05476"/>
    <w:rsid w:val="00C05D65"/>
    <w:rsid w:val="00C0732F"/>
    <w:rsid w:val="00C07434"/>
    <w:rsid w:val="00C07DB6"/>
    <w:rsid w:val="00C100BE"/>
    <w:rsid w:val="00C10547"/>
    <w:rsid w:val="00C1058C"/>
    <w:rsid w:val="00C10D51"/>
    <w:rsid w:val="00C116FA"/>
    <w:rsid w:val="00C11727"/>
    <w:rsid w:val="00C118F9"/>
    <w:rsid w:val="00C1213B"/>
    <w:rsid w:val="00C12B4E"/>
    <w:rsid w:val="00C12CBE"/>
    <w:rsid w:val="00C12D73"/>
    <w:rsid w:val="00C12F44"/>
    <w:rsid w:val="00C1304E"/>
    <w:rsid w:val="00C13F63"/>
    <w:rsid w:val="00C145FA"/>
    <w:rsid w:val="00C14930"/>
    <w:rsid w:val="00C14C1A"/>
    <w:rsid w:val="00C14E9A"/>
    <w:rsid w:val="00C152F7"/>
    <w:rsid w:val="00C1654B"/>
    <w:rsid w:val="00C1658D"/>
    <w:rsid w:val="00C16C79"/>
    <w:rsid w:val="00C17489"/>
    <w:rsid w:val="00C1767C"/>
    <w:rsid w:val="00C179DE"/>
    <w:rsid w:val="00C17CA8"/>
    <w:rsid w:val="00C17D56"/>
    <w:rsid w:val="00C20016"/>
    <w:rsid w:val="00C2071A"/>
    <w:rsid w:val="00C21636"/>
    <w:rsid w:val="00C22306"/>
    <w:rsid w:val="00C224D8"/>
    <w:rsid w:val="00C22B03"/>
    <w:rsid w:val="00C22B13"/>
    <w:rsid w:val="00C23071"/>
    <w:rsid w:val="00C234E3"/>
    <w:rsid w:val="00C23C82"/>
    <w:rsid w:val="00C23E56"/>
    <w:rsid w:val="00C23EC8"/>
    <w:rsid w:val="00C24B28"/>
    <w:rsid w:val="00C24C08"/>
    <w:rsid w:val="00C24E0B"/>
    <w:rsid w:val="00C25234"/>
    <w:rsid w:val="00C25AD3"/>
    <w:rsid w:val="00C25DE7"/>
    <w:rsid w:val="00C260FE"/>
    <w:rsid w:val="00C2620E"/>
    <w:rsid w:val="00C26299"/>
    <w:rsid w:val="00C26A58"/>
    <w:rsid w:val="00C27771"/>
    <w:rsid w:val="00C27FDD"/>
    <w:rsid w:val="00C30235"/>
    <w:rsid w:val="00C3116B"/>
    <w:rsid w:val="00C317DB"/>
    <w:rsid w:val="00C31874"/>
    <w:rsid w:val="00C3192E"/>
    <w:rsid w:val="00C323F9"/>
    <w:rsid w:val="00C33126"/>
    <w:rsid w:val="00C3317B"/>
    <w:rsid w:val="00C33630"/>
    <w:rsid w:val="00C336AE"/>
    <w:rsid w:val="00C33931"/>
    <w:rsid w:val="00C33AC6"/>
    <w:rsid w:val="00C33BAD"/>
    <w:rsid w:val="00C33EA3"/>
    <w:rsid w:val="00C34732"/>
    <w:rsid w:val="00C34F6C"/>
    <w:rsid w:val="00C35114"/>
    <w:rsid w:val="00C35A84"/>
    <w:rsid w:val="00C35E81"/>
    <w:rsid w:val="00C362EC"/>
    <w:rsid w:val="00C36385"/>
    <w:rsid w:val="00C36426"/>
    <w:rsid w:val="00C366A6"/>
    <w:rsid w:val="00C37145"/>
    <w:rsid w:val="00C375BF"/>
    <w:rsid w:val="00C37BD3"/>
    <w:rsid w:val="00C37C25"/>
    <w:rsid w:val="00C4002A"/>
    <w:rsid w:val="00C40504"/>
    <w:rsid w:val="00C40550"/>
    <w:rsid w:val="00C41529"/>
    <w:rsid w:val="00C41742"/>
    <w:rsid w:val="00C41C51"/>
    <w:rsid w:val="00C42854"/>
    <w:rsid w:val="00C4292E"/>
    <w:rsid w:val="00C42975"/>
    <w:rsid w:val="00C43855"/>
    <w:rsid w:val="00C446B9"/>
    <w:rsid w:val="00C44884"/>
    <w:rsid w:val="00C44BE9"/>
    <w:rsid w:val="00C44E85"/>
    <w:rsid w:val="00C452B1"/>
    <w:rsid w:val="00C45460"/>
    <w:rsid w:val="00C455C9"/>
    <w:rsid w:val="00C46A70"/>
    <w:rsid w:val="00C46C9A"/>
    <w:rsid w:val="00C46E56"/>
    <w:rsid w:val="00C47469"/>
    <w:rsid w:val="00C477A0"/>
    <w:rsid w:val="00C47B36"/>
    <w:rsid w:val="00C5031C"/>
    <w:rsid w:val="00C50B3F"/>
    <w:rsid w:val="00C51480"/>
    <w:rsid w:val="00C52FCE"/>
    <w:rsid w:val="00C53736"/>
    <w:rsid w:val="00C5561D"/>
    <w:rsid w:val="00C559A0"/>
    <w:rsid w:val="00C55EDF"/>
    <w:rsid w:val="00C56183"/>
    <w:rsid w:val="00C5643E"/>
    <w:rsid w:val="00C568C9"/>
    <w:rsid w:val="00C569E0"/>
    <w:rsid w:val="00C56A90"/>
    <w:rsid w:val="00C56B06"/>
    <w:rsid w:val="00C56E39"/>
    <w:rsid w:val="00C56F86"/>
    <w:rsid w:val="00C5750F"/>
    <w:rsid w:val="00C5758A"/>
    <w:rsid w:val="00C57837"/>
    <w:rsid w:val="00C57A2D"/>
    <w:rsid w:val="00C57CDD"/>
    <w:rsid w:val="00C605A5"/>
    <w:rsid w:val="00C60B9B"/>
    <w:rsid w:val="00C6101B"/>
    <w:rsid w:val="00C6157D"/>
    <w:rsid w:val="00C61935"/>
    <w:rsid w:val="00C61F01"/>
    <w:rsid w:val="00C6209F"/>
    <w:rsid w:val="00C6233F"/>
    <w:rsid w:val="00C626CA"/>
    <w:rsid w:val="00C6320A"/>
    <w:rsid w:val="00C636DA"/>
    <w:rsid w:val="00C640E2"/>
    <w:rsid w:val="00C641DF"/>
    <w:rsid w:val="00C64B24"/>
    <w:rsid w:val="00C64DA0"/>
    <w:rsid w:val="00C64DB6"/>
    <w:rsid w:val="00C651A4"/>
    <w:rsid w:val="00C66006"/>
    <w:rsid w:val="00C662BB"/>
    <w:rsid w:val="00C66911"/>
    <w:rsid w:val="00C6691B"/>
    <w:rsid w:val="00C669E3"/>
    <w:rsid w:val="00C67D9D"/>
    <w:rsid w:val="00C70BD4"/>
    <w:rsid w:val="00C70D6E"/>
    <w:rsid w:val="00C70E2E"/>
    <w:rsid w:val="00C714FB"/>
    <w:rsid w:val="00C71757"/>
    <w:rsid w:val="00C718BA"/>
    <w:rsid w:val="00C71FC3"/>
    <w:rsid w:val="00C72266"/>
    <w:rsid w:val="00C72725"/>
    <w:rsid w:val="00C72B4C"/>
    <w:rsid w:val="00C72F29"/>
    <w:rsid w:val="00C73207"/>
    <w:rsid w:val="00C7382D"/>
    <w:rsid w:val="00C74E3D"/>
    <w:rsid w:val="00C75241"/>
    <w:rsid w:val="00C754C0"/>
    <w:rsid w:val="00C75B44"/>
    <w:rsid w:val="00C75BC1"/>
    <w:rsid w:val="00C76655"/>
    <w:rsid w:val="00C76C71"/>
    <w:rsid w:val="00C76E9E"/>
    <w:rsid w:val="00C770A3"/>
    <w:rsid w:val="00C770CD"/>
    <w:rsid w:val="00C7779C"/>
    <w:rsid w:val="00C8056B"/>
    <w:rsid w:val="00C80AC6"/>
    <w:rsid w:val="00C81805"/>
    <w:rsid w:val="00C81B77"/>
    <w:rsid w:val="00C81DC5"/>
    <w:rsid w:val="00C8283B"/>
    <w:rsid w:val="00C82923"/>
    <w:rsid w:val="00C82BC6"/>
    <w:rsid w:val="00C8381B"/>
    <w:rsid w:val="00C84216"/>
    <w:rsid w:val="00C8456D"/>
    <w:rsid w:val="00C85AD0"/>
    <w:rsid w:val="00C85E3F"/>
    <w:rsid w:val="00C85F06"/>
    <w:rsid w:val="00C86512"/>
    <w:rsid w:val="00C865C1"/>
    <w:rsid w:val="00C866C9"/>
    <w:rsid w:val="00C86891"/>
    <w:rsid w:val="00C86931"/>
    <w:rsid w:val="00C86BD8"/>
    <w:rsid w:val="00C8723E"/>
    <w:rsid w:val="00C87C08"/>
    <w:rsid w:val="00C90BF2"/>
    <w:rsid w:val="00C90F00"/>
    <w:rsid w:val="00C91905"/>
    <w:rsid w:val="00C91AF9"/>
    <w:rsid w:val="00C92355"/>
    <w:rsid w:val="00C92D0E"/>
    <w:rsid w:val="00C930DF"/>
    <w:rsid w:val="00C933B1"/>
    <w:rsid w:val="00C9344C"/>
    <w:rsid w:val="00C9395E"/>
    <w:rsid w:val="00C93C66"/>
    <w:rsid w:val="00C93F9F"/>
    <w:rsid w:val="00C94218"/>
    <w:rsid w:val="00C942CD"/>
    <w:rsid w:val="00C94CA0"/>
    <w:rsid w:val="00C9517D"/>
    <w:rsid w:val="00C95589"/>
    <w:rsid w:val="00C95A7D"/>
    <w:rsid w:val="00C95FD5"/>
    <w:rsid w:val="00C973AD"/>
    <w:rsid w:val="00C9760F"/>
    <w:rsid w:val="00C97D77"/>
    <w:rsid w:val="00C97F4E"/>
    <w:rsid w:val="00CA0410"/>
    <w:rsid w:val="00CA0515"/>
    <w:rsid w:val="00CA0654"/>
    <w:rsid w:val="00CA09C7"/>
    <w:rsid w:val="00CA0F87"/>
    <w:rsid w:val="00CA139A"/>
    <w:rsid w:val="00CA18D9"/>
    <w:rsid w:val="00CA19BE"/>
    <w:rsid w:val="00CA2A54"/>
    <w:rsid w:val="00CA30FB"/>
    <w:rsid w:val="00CA3378"/>
    <w:rsid w:val="00CA34D3"/>
    <w:rsid w:val="00CA48A6"/>
    <w:rsid w:val="00CA4AE3"/>
    <w:rsid w:val="00CA502B"/>
    <w:rsid w:val="00CA5349"/>
    <w:rsid w:val="00CA53F7"/>
    <w:rsid w:val="00CA5CA8"/>
    <w:rsid w:val="00CA62E7"/>
    <w:rsid w:val="00CA70A1"/>
    <w:rsid w:val="00CB065D"/>
    <w:rsid w:val="00CB0DEC"/>
    <w:rsid w:val="00CB135C"/>
    <w:rsid w:val="00CB29E5"/>
    <w:rsid w:val="00CB2DFE"/>
    <w:rsid w:val="00CB3442"/>
    <w:rsid w:val="00CB34AE"/>
    <w:rsid w:val="00CB37A9"/>
    <w:rsid w:val="00CB49E0"/>
    <w:rsid w:val="00CB4A9E"/>
    <w:rsid w:val="00CB4EA4"/>
    <w:rsid w:val="00CB6388"/>
    <w:rsid w:val="00CB73A3"/>
    <w:rsid w:val="00CC0021"/>
    <w:rsid w:val="00CC0196"/>
    <w:rsid w:val="00CC0CDF"/>
    <w:rsid w:val="00CC0E08"/>
    <w:rsid w:val="00CC0F93"/>
    <w:rsid w:val="00CC108C"/>
    <w:rsid w:val="00CC1E75"/>
    <w:rsid w:val="00CC243A"/>
    <w:rsid w:val="00CC26DB"/>
    <w:rsid w:val="00CC271E"/>
    <w:rsid w:val="00CC3103"/>
    <w:rsid w:val="00CC33A7"/>
    <w:rsid w:val="00CC3C0C"/>
    <w:rsid w:val="00CC3FEE"/>
    <w:rsid w:val="00CC433D"/>
    <w:rsid w:val="00CC4579"/>
    <w:rsid w:val="00CC4C5B"/>
    <w:rsid w:val="00CC4D4E"/>
    <w:rsid w:val="00CC56D9"/>
    <w:rsid w:val="00CC585F"/>
    <w:rsid w:val="00CC5AFA"/>
    <w:rsid w:val="00CC5F05"/>
    <w:rsid w:val="00CC6A30"/>
    <w:rsid w:val="00CC6BF3"/>
    <w:rsid w:val="00CC6FC9"/>
    <w:rsid w:val="00CC7597"/>
    <w:rsid w:val="00CC7EED"/>
    <w:rsid w:val="00CD005E"/>
    <w:rsid w:val="00CD01CF"/>
    <w:rsid w:val="00CD0C53"/>
    <w:rsid w:val="00CD147F"/>
    <w:rsid w:val="00CD1826"/>
    <w:rsid w:val="00CD205F"/>
    <w:rsid w:val="00CD20DA"/>
    <w:rsid w:val="00CD27F0"/>
    <w:rsid w:val="00CD280C"/>
    <w:rsid w:val="00CD2EE6"/>
    <w:rsid w:val="00CD2F9A"/>
    <w:rsid w:val="00CD364C"/>
    <w:rsid w:val="00CD3702"/>
    <w:rsid w:val="00CD3806"/>
    <w:rsid w:val="00CD4E9C"/>
    <w:rsid w:val="00CD5066"/>
    <w:rsid w:val="00CD51A5"/>
    <w:rsid w:val="00CD5765"/>
    <w:rsid w:val="00CD588F"/>
    <w:rsid w:val="00CD5AB5"/>
    <w:rsid w:val="00CD61FC"/>
    <w:rsid w:val="00CD6470"/>
    <w:rsid w:val="00CD6505"/>
    <w:rsid w:val="00CD6909"/>
    <w:rsid w:val="00CD6ADD"/>
    <w:rsid w:val="00CD6F45"/>
    <w:rsid w:val="00CE0B40"/>
    <w:rsid w:val="00CE0DE2"/>
    <w:rsid w:val="00CE148B"/>
    <w:rsid w:val="00CE1492"/>
    <w:rsid w:val="00CE15FE"/>
    <w:rsid w:val="00CE16BF"/>
    <w:rsid w:val="00CE19B9"/>
    <w:rsid w:val="00CE1D44"/>
    <w:rsid w:val="00CE1EA9"/>
    <w:rsid w:val="00CE2184"/>
    <w:rsid w:val="00CE2331"/>
    <w:rsid w:val="00CE2B2E"/>
    <w:rsid w:val="00CE2CC3"/>
    <w:rsid w:val="00CE2DAA"/>
    <w:rsid w:val="00CE3AEC"/>
    <w:rsid w:val="00CE419F"/>
    <w:rsid w:val="00CE49FC"/>
    <w:rsid w:val="00CE49FE"/>
    <w:rsid w:val="00CE4E55"/>
    <w:rsid w:val="00CE5F8F"/>
    <w:rsid w:val="00CE62E7"/>
    <w:rsid w:val="00CE6516"/>
    <w:rsid w:val="00CE65A4"/>
    <w:rsid w:val="00CE6A85"/>
    <w:rsid w:val="00CE706F"/>
    <w:rsid w:val="00CE7204"/>
    <w:rsid w:val="00CE7439"/>
    <w:rsid w:val="00CE76C4"/>
    <w:rsid w:val="00CE7794"/>
    <w:rsid w:val="00CE7FF8"/>
    <w:rsid w:val="00CF03B3"/>
    <w:rsid w:val="00CF0530"/>
    <w:rsid w:val="00CF0888"/>
    <w:rsid w:val="00CF15FA"/>
    <w:rsid w:val="00CF1C28"/>
    <w:rsid w:val="00CF1F07"/>
    <w:rsid w:val="00CF2474"/>
    <w:rsid w:val="00CF3022"/>
    <w:rsid w:val="00CF31AA"/>
    <w:rsid w:val="00CF3742"/>
    <w:rsid w:val="00CF374E"/>
    <w:rsid w:val="00CF411F"/>
    <w:rsid w:val="00CF4694"/>
    <w:rsid w:val="00CF4E99"/>
    <w:rsid w:val="00CF4F75"/>
    <w:rsid w:val="00CF50D3"/>
    <w:rsid w:val="00CF514C"/>
    <w:rsid w:val="00CF51EB"/>
    <w:rsid w:val="00CF52DF"/>
    <w:rsid w:val="00CF597D"/>
    <w:rsid w:val="00CF6FFA"/>
    <w:rsid w:val="00CF7338"/>
    <w:rsid w:val="00CF7736"/>
    <w:rsid w:val="00CF7A01"/>
    <w:rsid w:val="00CF7D4F"/>
    <w:rsid w:val="00D0072C"/>
    <w:rsid w:val="00D00DAA"/>
    <w:rsid w:val="00D012E6"/>
    <w:rsid w:val="00D022EF"/>
    <w:rsid w:val="00D02571"/>
    <w:rsid w:val="00D02A9F"/>
    <w:rsid w:val="00D02BEF"/>
    <w:rsid w:val="00D02D88"/>
    <w:rsid w:val="00D02EA2"/>
    <w:rsid w:val="00D03469"/>
    <w:rsid w:val="00D03638"/>
    <w:rsid w:val="00D03679"/>
    <w:rsid w:val="00D03870"/>
    <w:rsid w:val="00D03902"/>
    <w:rsid w:val="00D04283"/>
    <w:rsid w:val="00D0454A"/>
    <w:rsid w:val="00D045A0"/>
    <w:rsid w:val="00D04880"/>
    <w:rsid w:val="00D054C2"/>
    <w:rsid w:val="00D05736"/>
    <w:rsid w:val="00D05ACE"/>
    <w:rsid w:val="00D061B0"/>
    <w:rsid w:val="00D06543"/>
    <w:rsid w:val="00D06C43"/>
    <w:rsid w:val="00D06EC2"/>
    <w:rsid w:val="00D1042D"/>
    <w:rsid w:val="00D10487"/>
    <w:rsid w:val="00D106BA"/>
    <w:rsid w:val="00D106CB"/>
    <w:rsid w:val="00D10C8C"/>
    <w:rsid w:val="00D12790"/>
    <w:rsid w:val="00D133FA"/>
    <w:rsid w:val="00D13602"/>
    <w:rsid w:val="00D141A0"/>
    <w:rsid w:val="00D14649"/>
    <w:rsid w:val="00D15231"/>
    <w:rsid w:val="00D156EB"/>
    <w:rsid w:val="00D15A2E"/>
    <w:rsid w:val="00D160BE"/>
    <w:rsid w:val="00D16445"/>
    <w:rsid w:val="00D16702"/>
    <w:rsid w:val="00D167A4"/>
    <w:rsid w:val="00D1690D"/>
    <w:rsid w:val="00D1699B"/>
    <w:rsid w:val="00D1770A"/>
    <w:rsid w:val="00D17CAF"/>
    <w:rsid w:val="00D2041E"/>
    <w:rsid w:val="00D20AD5"/>
    <w:rsid w:val="00D20FC7"/>
    <w:rsid w:val="00D20FCF"/>
    <w:rsid w:val="00D21403"/>
    <w:rsid w:val="00D21CDB"/>
    <w:rsid w:val="00D22577"/>
    <w:rsid w:val="00D229C3"/>
    <w:rsid w:val="00D22B1F"/>
    <w:rsid w:val="00D23667"/>
    <w:rsid w:val="00D23D84"/>
    <w:rsid w:val="00D23E75"/>
    <w:rsid w:val="00D2470F"/>
    <w:rsid w:val="00D24C7C"/>
    <w:rsid w:val="00D24E6A"/>
    <w:rsid w:val="00D25844"/>
    <w:rsid w:val="00D25C70"/>
    <w:rsid w:val="00D2613F"/>
    <w:rsid w:val="00D26397"/>
    <w:rsid w:val="00D266BC"/>
    <w:rsid w:val="00D26AF9"/>
    <w:rsid w:val="00D26EA6"/>
    <w:rsid w:val="00D27253"/>
    <w:rsid w:val="00D30521"/>
    <w:rsid w:val="00D3073D"/>
    <w:rsid w:val="00D30891"/>
    <w:rsid w:val="00D3129A"/>
    <w:rsid w:val="00D312B3"/>
    <w:rsid w:val="00D31FEB"/>
    <w:rsid w:val="00D3275D"/>
    <w:rsid w:val="00D3293D"/>
    <w:rsid w:val="00D329BF"/>
    <w:rsid w:val="00D32FA3"/>
    <w:rsid w:val="00D332D3"/>
    <w:rsid w:val="00D33741"/>
    <w:rsid w:val="00D33B92"/>
    <w:rsid w:val="00D3422A"/>
    <w:rsid w:val="00D34808"/>
    <w:rsid w:val="00D34C7F"/>
    <w:rsid w:val="00D35AF4"/>
    <w:rsid w:val="00D35B8F"/>
    <w:rsid w:val="00D3646B"/>
    <w:rsid w:val="00D36EF5"/>
    <w:rsid w:val="00D37446"/>
    <w:rsid w:val="00D37488"/>
    <w:rsid w:val="00D374EA"/>
    <w:rsid w:val="00D37B16"/>
    <w:rsid w:val="00D37E53"/>
    <w:rsid w:val="00D406B1"/>
    <w:rsid w:val="00D40829"/>
    <w:rsid w:val="00D408BD"/>
    <w:rsid w:val="00D4098C"/>
    <w:rsid w:val="00D41245"/>
    <w:rsid w:val="00D41CA6"/>
    <w:rsid w:val="00D41DDE"/>
    <w:rsid w:val="00D42A8D"/>
    <w:rsid w:val="00D43222"/>
    <w:rsid w:val="00D43673"/>
    <w:rsid w:val="00D437CA"/>
    <w:rsid w:val="00D44784"/>
    <w:rsid w:val="00D44981"/>
    <w:rsid w:val="00D44F12"/>
    <w:rsid w:val="00D45901"/>
    <w:rsid w:val="00D45CE5"/>
    <w:rsid w:val="00D4687D"/>
    <w:rsid w:val="00D46922"/>
    <w:rsid w:val="00D46A03"/>
    <w:rsid w:val="00D47136"/>
    <w:rsid w:val="00D475C8"/>
    <w:rsid w:val="00D50185"/>
    <w:rsid w:val="00D506EB"/>
    <w:rsid w:val="00D50E09"/>
    <w:rsid w:val="00D511AF"/>
    <w:rsid w:val="00D51748"/>
    <w:rsid w:val="00D51F4E"/>
    <w:rsid w:val="00D52189"/>
    <w:rsid w:val="00D522FB"/>
    <w:rsid w:val="00D527D9"/>
    <w:rsid w:val="00D52DF9"/>
    <w:rsid w:val="00D53244"/>
    <w:rsid w:val="00D539C7"/>
    <w:rsid w:val="00D545B4"/>
    <w:rsid w:val="00D5490B"/>
    <w:rsid w:val="00D54F8F"/>
    <w:rsid w:val="00D552E2"/>
    <w:rsid w:val="00D554A8"/>
    <w:rsid w:val="00D559C7"/>
    <w:rsid w:val="00D56057"/>
    <w:rsid w:val="00D5664E"/>
    <w:rsid w:val="00D57393"/>
    <w:rsid w:val="00D57618"/>
    <w:rsid w:val="00D57AA5"/>
    <w:rsid w:val="00D60A13"/>
    <w:rsid w:val="00D61C6E"/>
    <w:rsid w:val="00D61EDF"/>
    <w:rsid w:val="00D630DA"/>
    <w:rsid w:val="00D6358E"/>
    <w:rsid w:val="00D6403A"/>
    <w:rsid w:val="00D663E7"/>
    <w:rsid w:val="00D66424"/>
    <w:rsid w:val="00D6799D"/>
    <w:rsid w:val="00D70672"/>
    <w:rsid w:val="00D70970"/>
    <w:rsid w:val="00D71B51"/>
    <w:rsid w:val="00D724D7"/>
    <w:rsid w:val="00D72582"/>
    <w:rsid w:val="00D7266F"/>
    <w:rsid w:val="00D72B7F"/>
    <w:rsid w:val="00D731B8"/>
    <w:rsid w:val="00D74079"/>
    <w:rsid w:val="00D7569A"/>
    <w:rsid w:val="00D76346"/>
    <w:rsid w:val="00D766B3"/>
    <w:rsid w:val="00D767D6"/>
    <w:rsid w:val="00D77089"/>
    <w:rsid w:val="00D772C2"/>
    <w:rsid w:val="00D775A1"/>
    <w:rsid w:val="00D80148"/>
    <w:rsid w:val="00D8023F"/>
    <w:rsid w:val="00D802A4"/>
    <w:rsid w:val="00D804EA"/>
    <w:rsid w:val="00D806F9"/>
    <w:rsid w:val="00D8074D"/>
    <w:rsid w:val="00D80C15"/>
    <w:rsid w:val="00D81068"/>
    <w:rsid w:val="00D810A8"/>
    <w:rsid w:val="00D810F5"/>
    <w:rsid w:val="00D8150D"/>
    <w:rsid w:val="00D816E0"/>
    <w:rsid w:val="00D816F2"/>
    <w:rsid w:val="00D81BB4"/>
    <w:rsid w:val="00D81C71"/>
    <w:rsid w:val="00D82F95"/>
    <w:rsid w:val="00D82FE8"/>
    <w:rsid w:val="00D830C2"/>
    <w:rsid w:val="00D83E79"/>
    <w:rsid w:val="00D84763"/>
    <w:rsid w:val="00D84FE5"/>
    <w:rsid w:val="00D859E5"/>
    <w:rsid w:val="00D861B5"/>
    <w:rsid w:val="00D86B08"/>
    <w:rsid w:val="00D86BBD"/>
    <w:rsid w:val="00D8797E"/>
    <w:rsid w:val="00D879ED"/>
    <w:rsid w:val="00D87C60"/>
    <w:rsid w:val="00D90D05"/>
    <w:rsid w:val="00D90E40"/>
    <w:rsid w:val="00D9195F"/>
    <w:rsid w:val="00D924FD"/>
    <w:rsid w:val="00D9261F"/>
    <w:rsid w:val="00D92D8A"/>
    <w:rsid w:val="00D92E50"/>
    <w:rsid w:val="00D9350F"/>
    <w:rsid w:val="00D93609"/>
    <w:rsid w:val="00D950DF"/>
    <w:rsid w:val="00D952BC"/>
    <w:rsid w:val="00D95D71"/>
    <w:rsid w:val="00D95E24"/>
    <w:rsid w:val="00D96CB9"/>
    <w:rsid w:val="00D96FE6"/>
    <w:rsid w:val="00D9740B"/>
    <w:rsid w:val="00D97901"/>
    <w:rsid w:val="00DA0B8F"/>
    <w:rsid w:val="00DA0C56"/>
    <w:rsid w:val="00DA14B9"/>
    <w:rsid w:val="00DA1974"/>
    <w:rsid w:val="00DA1AA2"/>
    <w:rsid w:val="00DA1E75"/>
    <w:rsid w:val="00DA1EAC"/>
    <w:rsid w:val="00DA26C9"/>
    <w:rsid w:val="00DA2A1A"/>
    <w:rsid w:val="00DA2E20"/>
    <w:rsid w:val="00DA2F93"/>
    <w:rsid w:val="00DA3C91"/>
    <w:rsid w:val="00DA3D8A"/>
    <w:rsid w:val="00DA42B9"/>
    <w:rsid w:val="00DA4626"/>
    <w:rsid w:val="00DA4D35"/>
    <w:rsid w:val="00DA4E9E"/>
    <w:rsid w:val="00DA4F29"/>
    <w:rsid w:val="00DA5142"/>
    <w:rsid w:val="00DA6240"/>
    <w:rsid w:val="00DA70FF"/>
    <w:rsid w:val="00DA7D3D"/>
    <w:rsid w:val="00DA7FE6"/>
    <w:rsid w:val="00DB03DC"/>
    <w:rsid w:val="00DB0640"/>
    <w:rsid w:val="00DB0861"/>
    <w:rsid w:val="00DB0CE3"/>
    <w:rsid w:val="00DB11F2"/>
    <w:rsid w:val="00DB137A"/>
    <w:rsid w:val="00DB157C"/>
    <w:rsid w:val="00DB2517"/>
    <w:rsid w:val="00DB2702"/>
    <w:rsid w:val="00DB2AE5"/>
    <w:rsid w:val="00DB2B40"/>
    <w:rsid w:val="00DB2D0F"/>
    <w:rsid w:val="00DB354A"/>
    <w:rsid w:val="00DB3718"/>
    <w:rsid w:val="00DB4077"/>
    <w:rsid w:val="00DB409B"/>
    <w:rsid w:val="00DB42B7"/>
    <w:rsid w:val="00DB4A50"/>
    <w:rsid w:val="00DB4D02"/>
    <w:rsid w:val="00DB62EB"/>
    <w:rsid w:val="00DB74CD"/>
    <w:rsid w:val="00DB75E1"/>
    <w:rsid w:val="00DB7645"/>
    <w:rsid w:val="00DB7AAF"/>
    <w:rsid w:val="00DB7C34"/>
    <w:rsid w:val="00DB7CE5"/>
    <w:rsid w:val="00DB7EB8"/>
    <w:rsid w:val="00DC092D"/>
    <w:rsid w:val="00DC19C9"/>
    <w:rsid w:val="00DC1B9F"/>
    <w:rsid w:val="00DC1FD3"/>
    <w:rsid w:val="00DC24DA"/>
    <w:rsid w:val="00DC345F"/>
    <w:rsid w:val="00DC354E"/>
    <w:rsid w:val="00DC3C5F"/>
    <w:rsid w:val="00DC3FAE"/>
    <w:rsid w:val="00DC4390"/>
    <w:rsid w:val="00DC478E"/>
    <w:rsid w:val="00DC4FCA"/>
    <w:rsid w:val="00DC530A"/>
    <w:rsid w:val="00DC55D2"/>
    <w:rsid w:val="00DC5B7A"/>
    <w:rsid w:val="00DC5D2B"/>
    <w:rsid w:val="00DC5E95"/>
    <w:rsid w:val="00DC62AC"/>
    <w:rsid w:val="00DC6314"/>
    <w:rsid w:val="00DC774E"/>
    <w:rsid w:val="00DC7F87"/>
    <w:rsid w:val="00DD016C"/>
    <w:rsid w:val="00DD03CF"/>
    <w:rsid w:val="00DD0D95"/>
    <w:rsid w:val="00DD0F28"/>
    <w:rsid w:val="00DD146D"/>
    <w:rsid w:val="00DD14AE"/>
    <w:rsid w:val="00DD1812"/>
    <w:rsid w:val="00DD1FF1"/>
    <w:rsid w:val="00DD2938"/>
    <w:rsid w:val="00DD3242"/>
    <w:rsid w:val="00DD3786"/>
    <w:rsid w:val="00DD39A3"/>
    <w:rsid w:val="00DD3B45"/>
    <w:rsid w:val="00DD3E6A"/>
    <w:rsid w:val="00DD41CB"/>
    <w:rsid w:val="00DD4545"/>
    <w:rsid w:val="00DD478C"/>
    <w:rsid w:val="00DD5373"/>
    <w:rsid w:val="00DD54E5"/>
    <w:rsid w:val="00DD5E12"/>
    <w:rsid w:val="00DD604D"/>
    <w:rsid w:val="00DD6253"/>
    <w:rsid w:val="00DD6625"/>
    <w:rsid w:val="00DD6673"/>
    <w:rsid w:val="00DD7067"/>
    <w:rsid w:val="00DD7122"/>
    <w:rsid w:val="00DD7B93"/>
    <w:rsid w:val="00DE006A"/>
    <w:rsid w:val="00DE0DB0"/>
    <w:rsid w:val="00DE1142"/>
    <w:rsid w:val="00DE141F"/>
    <w:rsid w:val="00DE3356"/>
    <w:rsid w:val="00DE3564"/>
    <w:rsid w:val="00DE393E"/>
    <w:rsid w:val="00DE3A94"/>
    <w:rsid w:val="00DE3C6B"/>
    <w:rsid w:val="00DE3FD8"/>
    <w:rsid w:val="00DE4031"/>
    <w:rsid w:val="00DE41CB"/>
    <w:rsid w:val="00DE4890"/>
    <w:rsid w:val="00DE4AC7"/>
    <w:rsid w:val="00DE4DED"/>
    <w:rsid w:val="00DE592C"/>
    <w:rsid w:val="00DE6394"/>
    <w:rsid w:val="00DE6D8A"/>
    <w:rsid w:val="00DE71D6"/>
    <w:rsid w:val="00DE7786"/>
    <w:rsid w:val="00DE79E3"/>
    <w:rsid w:val="00DF04A9"/>
    <w:rsid w:val="00DF05B7"/>
    <w:rsid w:val="00DF0690"/>
    <w:rsid w:val="00DF07B0"/>
    <w:rsid w:val="00DF2063"/>
    <w:rsid w:val="00DF335C"/>
    <w:rsid w:val="00DF3707"/>
    <w:rsid w:val="00DF4045"/>
    <w:rsid w:val="00DF40D8"/>
    <w:rsid w:val="00DF482C"/>
    <w:rsid w:val="00DF5D1B"/>
    <w:rsid w:val="00DF65C4"/>
    <w:rsid w:val="00DF69D4"/>
    <w:rsid w:val="00DF6D72"/>
    <w:rsid w:val="00DF7915"/>
    <w:rsid w:val="00DF7D21"/>
    <w:rsid w:val="00E00048"/>
    <w:rsid w:val="00E00193"/>
    <w:rsid w:val="00E00C08"/>
    <w:rsid w:val="00E01173"/>
    <w:rsid w:val="00E0168C"/>
    <w:rsid w:val="00E0191B"/>
    <w:rsid w:val="00E02D7E"/>
    <w:rsid w:val="00E03AC6"/>
    <w:rsid w:val="00E03B28"/>
    <w:rsid w:val="00E03DC4"/>
    <w:rsid w:val="00E0411B"/>
    <w:rsid w:val="00E05014"/>
    <w:rsid w:val="00E052C0"/>
    <w:rsid w:val="00E05955"/>
    <w:rsid w:val="00E05963"/>
    <w:rsid w:val="00E05AFF"/>
    <w:rsid w:val="00E05E28"/>
    <w:rsid w:val="00E0663C"/>
    <w:rsid w:val="00E068CC"/>
    <w:rsid w:val="00E06B65"/>
    <w:rsid w:val="00E06EAE"/>
    <w:rsid w:val="00E07097"/>
    <w:rsid w:val="00E073A7"/>
    <w:rsid w:val="00E07787"/>
    <w:rsid w:val="00E07BA8"/>
    <w:rsid w:val="00E1033E"/>
    <w:rsid w:val="00E1044F"/>
    <w:rsid w:val="00E10478"/>
    <w:rsid w:val="00E10D93"/>
    <w:rsid w:val="00E11ADD"/>
    <w:rsid w:val="00E11AE7"/>
    <w:rsid w:val="00E125D4"/>
    <w:rsid w:val="00E125E5"/>
    <w:rsid w:val="00E12AB0"/>
    <w:rsid w:val="00E12FF0"/>
    <w:rsid w:val="00E13482"/>
    <w:rsid w:val="00E1349E"/>
    <w:rsid w:val="00E135FE"/>
    <w:rsid w:val="00E13B24"/>
    <w:rsid w:val="00E14466"/>
    <w:rsid w:val="00E1496B"/>
    <w:rsid w:val="00E154AB"/>
    <w:rsid w:val="00E15C2A"/>
    <w:rsid w:val="00E15CF7"/>
    <w:rsid w:val="00E15F17"/>
    <w:rsid w:val="00E16DA9"/>
    <w:rsid w:val="00E174AC"/>
    <w:rsid w:val="00E1759A"/>
    <w:rsid w:val="00E17C86"/>
    <w:rsid w:val="00E17FA4"/>
    <w:rsid w:val="00E20CA3"/>
    <w:rsid w:val="00E20CF6"/>
    <w:rsid w:val="00E2192F"/>
    <w:rsid w:val="00E21BAA"/>
    <w:rsid w:val="00E21FC8"/>
    <w:rsid w:val="00E22107"/>
    <w:rsid w:val="00E226E4"/>
    <w:rsid w:val="00E227B7"/>
    <w:rsid w:val="00E22998"/>
    <w:rsid w:val="00E238F7"/>
    <w:rsid w:val="00E23F24"/>
    <w:rsid w:val="00E23FF8"/>
    <w:rsid w:val="00E254A2"/>
    <w:rsid w:val="00E2590E"/>
    <w:rsid w:val="00E2596D"/>
    <w:rsid w:val="00E25A68"/>
    <w:rsid w:val="00E25B42"/>
    <w:rsid w:val="00E25C5B"/>
    <w:rsid w:val="00E264EA"/>
    <w:rsid w:val="00E27060"/>
    <w:rsid w:val="00E27CE5"/>
    <w:rsid w:val="00E30B5F"/>
    <w:rsid w:val="00E3119D"/>
    <w:rsid w:val="00E317FA"/>
    <w:rsid w:val="00E31BCB"/>
    <w:rsid w:val="00E31D4D"/>
    <w:rsid w:val="00E31EB7"/>
    <w:rsid w:val="00E32056"/>
    <w:rsid w:val="00E344F7"/>
    <w:rsid w:val="00E3490C"/>
    <w:rsid w:val="00E34DFB"/>
    <w:rsid w:val="00E352CF"/>
    <w:rsid w:val="00E358C2"/>
    <w:rsid w:val="00E35C7F"/>
    <w:rsid w:val="00E35E68"/>
    <w:rsid w:val="00E366ED"/>
    <w:rsid w:val="00E367CE"/>
    <w:rsid w:val="00E36C2D"/>
    <w:rsid w:val="00E36C5F"/>
    <w:rsid w:val="00E36FD5"/>
    <w:rsid w:val="00E3736D"/>
    <w:rsid w:val="00E376C5"/>
    <w:rsid w:val="00E37C93"/>
    <w:rsid w:val="00E37E7A"/>
    <w:rsid w:val="00E406E7"/>
    <w:rsid w:val="00E40942"/>
    <w:rsid w:val="00E40AF5"/>
    <w:rsid w:val="00E40D4E"/>
    <w:rsid w:val="00E40EF0"/>
    <w:rsid w:val="00E411E6"/>
    <w:rsid w:val="00E41D1A"/>
    <w:rsid w:val="00E41E1C"/>
    <w:rsid w:val="00E41E47"/>
    <w:rsid w:val="00E41F41"/>
    <w:rsid w:val="00E420B0"/>
    <w:rsid w:val="00E424C0"/>
    <w:rsid w:val="00E42743"/>
    <w:rsid w:val="00E42CE4"/>
    <w:rsid w:val="00E42F0F"/>
    <w:rsid w:val="00E4328A"/>
    <w:rsid w:val="00E43390"/>
    <w:rsid w:val="00E43917"/>
    <w:rsid w:val="00E43A51"/>
    <w:rsid w:val="00E443E5"/>
    <w:rsid w:val="00E44DAF"/>
    <w:rsid w:val="00E45126"/>
    <w:rsid w:val="00E45428"/>
    <w:rsid w:val="00E457C5"/>
    <w:rsid w:val="00E45ECD"/>
    <w:rsid w:val="00E46231"/>
    <w:rsid w:val="00E46952"/>
    <w:rsid w:val="00E4703A"/>
    <w:rsid w:val="00E471E8"/>
    <w:rsid w:val="00E472CF"/>
    <w:rsid w:val="00E4743F"/>
    <w:rsid w:val="00E47981"/>
    <w:rsid w:val="00E47B6E"/>
    <w:rsid w:val="00E5066F"/>
    <w:rsid w:val="00E51773"/>
    <w:rsid w:val="00E51A17"/>
    <w:rsid w:val="00E52CBC"/>
    <w:rsid w:val="00E52DDE"/>
    <w:rsid w:val="00E53663"/>
    <w:rsid w:val="00E539F6"/>
    <w:rsid w:val="00E54F31"/>
    <w:rsid w:val="00E559D4"/>
    <w:rsid w:val="00E56037"/>
    <w:rsid w:val="00E56828"/>
    <w:rsid w:val="00E57997"/>
    <w:rsid w:val="00E57A71"/>
    <w:rsid w:val="00E60543"/>
    <w:rsid w:val="00E60913"/>
    <w:rsid w:val="00E6163A"/>
    <w:rsid w:val="00E6204D"/>
    <w:rsid w:val="00E621B7"/>
    <w:rsid w:val="00E621D0"/>
    <w:rsid w:val="00E62397"/>
    <w:rsid w:val="00E62DA3"/>
    <w:rsid w:val="00E6306C"/>
    <w:rsid w:val="00E63362"/>
    <w:rsid w:val="00E63429"/>
    <w:rsid w:val="00E63925"/>
    <w:rsid w:val="00E641F9"/>
    <w:rsid w:val="00E6421A"/>
    <w:rsid w:val="00E644FB"/>
    <w:rsid w:val="00E64933"/>
    <w:rsid w:val="00E64C57"/>
    <w:rsid w:val="00E65903"/>
    <w:rsid w:val="00E66094"/>
    <w:rsid w:val="00E66ED8"/>
    <w:rsid w:val="00E67480"/>
    <w:rsid w:val="00E674D2"/>
    <w:rsid w:val="00E67A0E"/>
    <w:rsid w:val="00E701AC"/>
    <w:rsid w:val="00E702A0"/>
    <w:rsid w:val="00E70A20"/>
    <w:rsid w:val="00E70CC9"/>
    <w:rsid w:val="00E72472"/>
    <w:rsid w:val="00E7257D"/>
    <w:rsid w:val="00E72763"/>
    <w:rsid w:val="00E73A33"/>
    <w:rsid w:val="00E73D0D"/>
    <w:rsid w:val="00E742BA"/>
    <w:rsid w:val="00E7458C"/>
    <w:rsid w:val="00E74796"/>
    <w:rsid w:val="00E74EC1"/>
    <w:rsid w:val="00E75203"/>
    <w:rsid w:val="00E7550F"/>
    <w:rsid w:val="00E7581F"/>
    <w:rsid w:val="00E75B7E"/>
    <w:rsid w:val="00E75B8B"/>
    <w:rsid w:val="00E763B5"/>
    <w:rsid w:val="00E764BA"/>
    <w:rsid w:val="00E766E2"/>
    <w:rsid w:val="00E76EF2"/>
    <w:rsid w:val="00E77093"/>
    <w:rsid w:val="00E7710B"/>
    <w:rsid w:val="00E77A42"/>
    <w:rsid w:val="00E77B01"/>
    <w:rsid w:val="00E77BAC"/>
    <w:rsid w:val="00E80AD4"/>
    <w:rsid w:val="00E81AE7"/>
    <w:rsid w:val="00E81F9F"/>
    <w:rsid w:val="00E81FE9"/>
    <w:rsid w:val="00E82223"/>
    <w:rsid w:val="00E822CB"/>
    <w:rsid w:val="00E826D5"/>
    <w:rsid w:val="00E82EE2"/>
    <w:rsid w:val="00E83780"/>
    <w:rsid w:val="00E83973"/>
    <w:rsid w:val="00E839C1"/>
    <w:rsid w:val="00E84AEC"/>
    <w:rsid w:val="00E85066"/>
    <w:rsid w:val="00E857FC"/>
    <w:rsid w:val="00E85852"/>
    <w:rsid w:val="00E86E4B"/>
    <w:rsid w:val="00E86ECC"/>
    <w:rsid w:val="00E876B0"/>
    <w:rsid w:val="00E87B3E"/>
    <w:rsid w:val="00E90003"/>
    <w:rsid w:val="00E9016C"/>
    <w:rsid w:val="00E905F7"/>
    <w:rsid w:val="00E9082B"/>
    <w:rsid w:val="00E908EE"/>
    <w:rsid w:val="00E90AFA"/>
    <w:rsid w:val="00E91415"/>
    <w:rsid w:val="00E92577"/>
    <w:rsid w:val="00E9339A"/>
    <w:rsid w:val="00E9349A"/>
    <w:rsid w:val="00E93769"/>
    <w:rsid w:val="00E93B48"/>
    <w:rsid w:val="00E93BA6"/>
    <w:rsid w:val="00E93E57"/>
    <w:rsid w:val="00E9450B"/>
    <w:rsid w:val="00E94A5B"/>
    <w:rsid w:val="00E950F8"/>
    <w:rsid w:val="00E9518F"/>
    <w:rsid w:val="00E95337"/>
    <w:rsid w:val="00E95CD3"/>
    <w:rsid w:val="00E95FE6"/>
    <w:rsid w:val="00E96728"/>
    <w:rsid w:val="00E96BCA"/>
    <w:rsid w:val="00E97612"/>
    <w:rsid w:val="00E977A3"/>
    <w:rsid w:val="00E97AFC"/>
    <w:rsid w:val="00EA035D"/>
    <w:rsid w:val="00EA08F2"/>
    <w:rsid w:val="00EA1025"/>
    <w:rsid w:val="00EA132D"/>
    <w:rsid w:val="00EA1349"/>
    <w:rsid w:val="00EA172B"/>
    <w:rsid w:val="00EA2104"/>
    <w:rsid w:val="00EA24B5"/>
    <w:rsid w:val="00EA2C82"/>
    <w:rsid w:val="00EA4093"/>
    <w:rsid w:val="00EA51A2"/>
    <w:rsid w:val="00EA5550"/>
    <w:rsid w:val="00EA5A9C"/>
    <w:rsid w:val="00EA625B"/>
    <w:rsid w:val="00EA6B41"/>
    <w:rsid w:val="00EA703E"/>
    <w:rsid w:val="00EA709D"/>
    <w:rsid w:val="00EA71E7"/>
    <w:rsid w:val="00EA732C"/>
    <w:rsid w:val="00EA78F5"/>
    <w:rsid w:val="00EA798A"/>
    <w:rsid w:val="00EA7B80"/>
    <w:rsid w:val="00EA7BDD"/>
    <w:rsid w:val="00EB0346"/>
    <w:rsid w:val="00EB096A"/>
    <w:rsid w:val="00EB0C21"/>
    <w:rsid w:val="00EB0DD9"/>
    <w:rsid w:val="00EB0FE1"/>
    <w:rsid w:val="00EB1230"/>
    <w:rsid w:val="00EB257D"/>
    <w:rsid w:val="00EB2685"/>
    <w:rsid w:val="00EB2985"/>
    <w:rsid w:val="00EB324B"/>
    <w:rsid w:val="00EB32CD"/>
    <w:rsid w:val="00EB34B8"/>
    <w:rsid w:val="00EB3703"/>
    <w:rsid w:val="00EB39CF"/>
    <w:rsid w:val="00EB3A15"/>
    <w:rsid w:val="00EB4A2E"/>
    <w:rsid w:val="00EB4DC9"/>
    <w:rsid w:val="00EB52FF"/>
    <w:rsid w:val="00EB5578"/>
    <w:rsid w:val="00EB5728"/>
    <w:rsid w:val="00EB5A10"/>
    <w:rsid w:val="00EB5F98"/>
    <w:rsid w:val="00EB61E2"/>
    <w:rsid w:val="00EB69C6"/>
    <w:rsid w:val="00EB6C28"/>
    <w:rsid w:val="00EB6D03"/>
    <w:rsid w:val="00EB71DA"/>
    <w:rsid w:val="00EB7DD3"/>
    <w:rsid w:val="00EC0AEA"/>
    <w:rsid w:val="00EC0E51"/>
    <w:rsid w:val="00EC11B4"/>
    <w:rsid w:val="00EC16DE"/>
    <w:rsid w:val="00EC1A69"/>
    <w:rsid w:val="00EC1D34"/>
    <w:rsid w:val="00EC1EA1"/>
    <w:rsid w:val="00EC2012"/>
    <w:rsid w:val="00EC237E"/>
    <w:rsid w:val="00EC25EF"/>
    <w:rsid w:val="00EC2622"/>
    <w:rsid w:val="00EC2C57"/>
    <w:rsid w:val="00EC2FC7"/>
    <w:rsid w:val="00EC305A"/>
    <w:rsid w:val="00EC3443"/>
    <w:rsid w:val="00EC3F1A"/>
    <w:rsid w:val="00EC4D3C"/>
    <w:rsid w:val="00EC58EB"/>
    <w:rsid w:val="00EC59BB"/>
    <w:rsid w:val="00EC5C40"/>
    <w:rsid w:val="00EC64CD"/>
    <w:rsid w:val="00EC65F4"/>
    <w:rsid w:val="00EC741B"/>
    <w:rsid w:val="00EC7655"/>
    <w:rsid w:val="00EC79DF"/>
    <w:rsid w:val="00EC7B8C"/>
    <w:rsid w:val="00ED042B"/>
    <w:rsid w:val="00ED061C"/>
    <w:rsid w:val="00ED08EA"/>
    <w:rsid w:val="00ED0AAC"/>
    <w:rsid w:val="00ED102C"/>
    <w:rsid w:val="00ED109A"/>
    <w:rsid w:val="00ED1135"/>
    <w:rsid w:val="00ED1A12"/>
    <w:rsid w:val="00ED1CDF"/>
    <w:rsid w:val="00ED1FD0"/>
    <w:rsid w:val="00ED20E2"/>
    <w:rsid w:val="00ED21A2"/>
    <w:rsid w:val="00ED2499"/>
    <w:rsid w:val="00ED24D0"/>
    <w:rsid w:val="00ED2D97"/>
    <w:rsid w:val="00ED2E4D"/>
    <w:rsid w:val="00ED30C9"/>
    <w:rsid w:val="00ED3396"/>
    <w:rsid w:val="00ED35BA"/>
    <w:rsid w:val="00ED38DF"/>
    <w:rsid w:val="00ED4F79"/>
    <w:rsid w:val="00ED5012"/>
    <w:rsid w:val="00ED536D"/>
    <w:rsid w:val="00ED56F1"/>
    <w:rsid w:val="00ED5EA3"/>
    <w:rsid w:val="00ED5EC3"/>
    <w:rsid w:val="00ED64D3"/>
    <w:rsid w:val="00ED7561"/>
    <w:rsid w:val="00ED76CE"/>
    <w:rsid w:val="00EE0474"/>
    <w:rsid w:val="00EE0583"/>
    <w:rsid w:val="00EE05E8"/>
    <w:rsid w:val="00EE06DF"/>
    <w:rsid w:val="00EE082F"/>
    <w:rsid w:val="00EE0F67"/>
    <w:rsid w:val="00EE1856"/>
    <w:rsid w:val="00EE1D3B"/>
    <w:rsid w:val="00EE1F37"/>
    <w:rsid w:val="00EE241B"/>
    <w:rsid w:val="00EE31DE"/>
    <w:rsid w:val="00EE3222"/>
    <w:rsid w:val="00EE3532"/>
    <w:rsid w:val="00EE3BE4"/>
    <w:rsid w:val="00EE42C5"/>
    <w:rsid w:val="00EE4570"/>
    <w:rsid w:val="00EE590F"/>
    <w:rsid w:val="00EE5EF0"/>
    <w:rsid w:val="00EE6394"/>
    <w:rsid w:val="00EE69F2"/>
    <w:rsid w:val="00EE6E5F"/>
    <w:rsid w:val="00EF03A4"/>
    <w:rsid w:val="00EF1012"/>
    <w:rsid w:val="00EF227E"/>
    <w:rsid w:val="00EF237E"/>
    <w:rsid w:val="00EF23A0"/>
    <w:rsid w:val="00EF31FF"/>
    <w:rsid w:val="00EF3932"/>
    <w:rsid w:val="00EF3B2E"/>
    <w:rsid w:val="00EF4036"/>
    <w:rsid w:val="00EF41F2"/>
    <w:rsid w:val="00EF4812"/>
    <w:rsid w:val="00EF5160"/>
    <w:rsid w:val="00EF55DE"/>
    <w:rsid w:val="00EF5770"/>
    <w:rsid w:val="00EF5EFB"/>
    <w:rsid w:val="00EF6295"/>
    <w:rsid w:val="00EF6301"/>
    <w:rsid w:val="00EF695E"/>
    <w:rsid w:val="00EF7003"/>
    <w:rsid w:val="00EF7168"/>
    <w:rsid w:val="00EF7461"/>
    <w:rsid w:val="00EF75D7"/>
    <w:rsid w:val="00EF7767"/>
    <w:rsid w:val="00F0001A"/>
    <w:rsid w:val="00F001DA"/>
    <w:rsid w:val="00F005EA"/>
    <w:rsid w:val="00F0096D"/>
    <w:rsid w:val="00F00E23"/>
    <w:rsid w:val="00F0110B"/>
    <w:rsid w:val="00F015FD"/>
    <w:rsid w:val="00F01756"/>
    <w:rsid w:val="00F02D29"/>
    <w:rsid w:val="00F03145"/>
    <w:rsid w:val="00F03EEA"/>
    <w:rsid w:val="00F03F35"/>
    <w:rsid w:val="00F03F64"/>
    <w:rsid w:val="00F043EE"/>
    <w:rsid w:val="00F048B9"/>
    <w:rsid w:val="00F05198"/>
    <w:rsid w:val="00F056B4"/>
    <w:rsid w:val="00F062A5"/>
    <w:rsid w:val="00F06BA4"/>
    <w:rsid w:val="00F06E69"/>
    <w:rsid w:val="00F074E2"/>
    <w:rsid w:val="00F0774B"/>
    <w:rsid w:val="00F07B9A"/>
    <w:rsid w:val="00F103C7"/>
    <w:rsid w:val="00F10980"/>
    <w:rsid w:val="00F11025"/>
    <w:rsid w:val="00F117C2"/>
    <w:rsid w:val="00F12074"/>
    <w:rsid w:val="00F12BFB"/>
    <w:rsid w:val="00F1312B"/>
    <w:rsid w:val="00F14826"/>
    <w:rsid w:val="00F14ABB"/>
    <w:rsid w:val="00F14B75"/>
    <w:rsid w:val="00F156E8"/>
    <w:rsid w:val="00F15C00"/>
    <w:rsid w:val="00F1698E"/>
    <w:rsid w:val="00F16EE7"/>
    <w:rsid w:val="00F175A6"/>
    <w:rsid w:val="00F175F2"/>
    <w:rsid w:val="00F17878"/>
    <w:rsid w:val="00F17FC8"/>
    <w:rsid w:val="00F204D5"/>
    <w:rsid w:val="00F20931"/>
    <w:rsid w:val="00F209AA"/>
    <w:rsid w:val="00F2165A"/>
    <w:rsid w:val="00F227A7"/>
    <w:rsid w:val="00F22979"/>
    <w:rsid w:val="00F23437"/>
    <w:rsid w:val="00F2356E"/>
    <w:rsid w:val="00F2361C"/>
    <w:rsid w:val="00F23674"/>
    <w:rsid w:val="00F2415D"/>
    <w:rsid w:val="00F243F5"/>
    <w:rsid w:val="00F247FE"/>
    <w:rsid w:val="00F24B40"/>
    <w:rsid w:val="00F24DB4"/>
    <w:rsid w:val="00F253F0"/>
    <w:rsid w:val="00F25F31"/>
    <w:rsid w:val="00F26763"/>
    <w:rsid w:val="00F26EA3"/>
    <w:rsid w:val="00F2700E"/>
    <w:rsid w:val="00F27A4C"/>
    <w:rsid w:val="00F27AD3"/>
    <w:rsid w:val="00F27B7D"/>
    <w:rsid w:val="00F3013B"/>
    <w:rsid w:val="00F30622"/>
    <w:rsid w:val="00F3069E"/>
    <w:rsid w:val="00F307C9"/>
    <w:rsid w:val="00F30998"/>
    <w:rsid w:val="00F309C3"/>
    <w:rsid w:val="00F31F84"/>
    <w:rsid w:val="00F32446"/>
    <w:rsid w:val="00F32B50"/>
    <w:rsid w:val="00F32CA3"/>
    <w:rsid w:val="00F32E93"/>
    <w:rsid w:val="00F337C4"/>
    <w:rsid w:val="00F33A4C"/>
    <w:rsid w:val="00F33B4F"/>
    <w:rsid w:val="00F34556"/>
    <w:rsid w:val="00F35107"/>
    <w:rsid w:val="00F353EA"/>
    <w:rsid w:val="00F357D9"/>
    <w:rsid w:val="00F3611E"/>
    <w:rsid w:val="00F3625E"/>
    <w:rsid w:val="00F36346"/>
    <w:rsid w:val="00F3643F"/>
    <w:rsid w:val="00F36C0B"/>
    <w:rsid w:val="00F3702A"/>
    <w:rsid w:val="00F37573"/>
    <w:rsid w:val="00F37B13"/>
    <w:rsid w:val="00F37C55"/>
    <w:rsid w:val="00F37EAD"/>
    <w:rsid w:val="00F40153"/>
    <w:rsid w:val="00F4047E"/>
    <w:rsid w:val="00F4082A"/>
    <w:rsid w:val="00F40DA6"/>
    <w:rsid w:val="00F4151E"/>
    <w:rsid w:val="00F416E6"/>
    <w:rsid w:val="00F41800"/>
    <w:rsid w:val="00F41B46"/>
    <w:rsid w:val="00F42046"/>
    <w:rsid w:val="00F4207F"/>
    <w:rsid w:val="00F4230D"/>
    <w:rsid w:val="00F42A98"/>
    <w:rsid w:val="00F43153"/>
    <w:rsid w:val="00F43169"/>
    <w:rsid w:val="00F43237"/>
    <w:rsid w:val="00F43422"/>
    <w:rsid w:val="00F435F5"/>
    <w:rsid w:val="00F436D4"/>
    <w:rsid w:val="00F43798"/>
    <w:rsid w:val="00F437D2"/>
    <w:rsid w:val="00F43B53"/>
    <w:rsid w:val="00F447B2"/>
    <w:rsid w:val="00F449D3"/>
    <w:rsid w:val="00F45010"/>
    <w:rsid w:val="00F45989"/>
    <w:rsid w:val="00F45B1D"/>
    <w:rsid w:val="00F466ED"/>
    <w:rsid w:val="00F47180"/>
    <w:rsid w:val="00F47371"/>
    <w:rsid w:val="00F475C3"/>
    <w:rsid w:val="00F478FB"/>
    <w:rsid w:val="00F47A9A"/>
    <w:rsid w:val="00F501AB"/>
    <w:rsid w:val="00F50970"/>
    <w:rsid w:val="00F51398"/>
    <w:rsid w:val="00F51454"/>
    <w:rsid w:val="00F5164F"/>
    <w:rsid w:val="00F51A5D"/>
    <w:rsid w:val="00F51CC7"/>
    <w:rsid w:val="00F51CDF"/>
    <w:rsid w:val="00F52884"/>
    <w:rsid w:val="00F53025"/>
    <w:rsid w:val="00F5321D"/>
    <w:rsid w:val="00F5484B"/>
    <w:rsid w:val="00F54C05"/>
    <w:rsid w:val="00F56004"/>
    <w:rsid w:val="00F56982"/>
    <w:rsid w:val="00F573EA"/>
    <w:rsid w:val="00F578FB"/>
    <w:rsid w:val="00F6052D"/>
    <w:rsid w:val="00F608D0"/>
    <w:rsid w:val="00F60B35"/>
    <w:rsid w:val="00F61225"/>
    <w:rsid w:val="00F614FF"/>
    <w:rsid w:val="00F617B6"/>
    <w:rsid w:val="00F619D6"/>
    <w:rsid w:val="00F61F14"/>
    <w:rsid w:val="00F628A4"/>
    <w:rsid w:val="00F632E1"/>
    <w:rsid w:val="00F637F8"/>
    <w:rsid w:val="00F638DB"/>
    <w:rsid w:val="00F63C00"/>
    <w:rsid w:val="00F63D43"/>
    <w:rsid w:val="00F6440D"/>
    <w:rsid w:val="00F64CCE"/>
    <w:rsid w:val="00F65581"/>
    <w:rsid w:val="00F659A7"/>
    <w:rsid w:val="00F66006"/>
    <w:rsid w:val="00F6602F"/>
    <w:rsid w:val="00F66A79"/>
    <w:rsid w:val="00F677BA"/>
    <w:rsid w:val="00F70109"/>
    <w:rsid w:val="00F70232"/>
    <w:rsid w:val="00F70945"/>
    <w:rsid w:val="00F70E9C"/>
    <w:rsid w:val="00F70FA7"/>
    <w:rsid w:val="00F70FBA"/>
    <w:rsid w:val="00F72792"/>
    <w:rsid w:val="00F72A0A"/>
    <w:rsid w:val="00F72AC1"/>
    <w:rsid w:val="00F72DF3"/>
    <w:rsid w:val="00F732C9"/>
    <w:rsid w:val="00F733DB"/>
    <w:rsid w:val="00F73C51"/>
    <w:rsid w:val="00F740A5"/>
    <w:rsid w:val="00F749CB"/>
    <w:rsid w:val="00F74AFA"/>
    <w:rsid w:val="00F74D5E"/>
    <w:rsid w:val="00F755C2"/>
    <w:rsid w:val="00F760B1"/>
    <w:rsid w:val="00F7660D"/>
    <w:rsid w:val="00F76DAF"/>
    <w:rsid w:val="00F77225"/>
    <w:rsid w:val="00F77340"/>
    <w:rsid w:val="00F773F3"/>
    <w:rsid w:val="00F778D3"/>
    <w:rsid w:val="00F80BA5"/>
    <w:rsid w:val="00F8131C"/>
    <w:rsid w:val="00F8139C"/>
    <w:rsid w:val="00F813BA"/>
    <w:rsid w:val="00F81FFE"/>
    <w:rsid w:val="00F82267"/>
    <w:rsid w:val="00F82A7E"/>
    <w:rsid w:val="00F82F87"/>
    <w:rsid w:val="00F8331B"/>
    <w:rsid w:val="00F834B8"/>
    <w:rsid w:val="00F834D0"/>
    <w:rsid w:val="00F83853"/>
    <w:rsid w:val="00F83B02"/>
    <w:rsid w:val="00F83E83"/>
    <w:rsid w:val="00F8457C"/>
    <w:rsid w:val="00F84725"/>
    <w:rsid w:val="00F84842"/>
    <w:rsid w:val="00F84E98"/>
    <w:rsid w:val="00F85020"/>
    <w:rsid w:val="00F853FD"/>
    <w:rsid w:val="00F85441"/>
    <w:rsid w:val="00F85D3A"/>
    <w:rsid w:val="00F85F7F"/>
    <w:rsid w:val="00F864A5"/>
    <w:rsid w:val="00F86AB6"/>
    <w:rsid w:val="00F86C22"/>
    <w:rsid w:val="00F86E51"/>
    <w:rsid w:val="00F87460"/>
    <w:rsid w:val="00F8759F"/>
    <w:rsid w:val="00F90034"/>
    <w:rsid w:val="00F905F7"/>
    <w:rsid w:val="00F90C5F"/>
    <w:rsid w:val="00F91DE1"/>
    <w:rsid w:val="00F92A43"/>
    <w:rsid w:val="00F93358"/>
    <w:rsid w:val="00F93450"/>
    <w:rsid w:val="00F93495"/>
    <w:rsid w:val="00F935F1"/>
    <w:rsid w:val="00F938C3"/>
    <w:rsid w:val="00F95535"/>
    <w:rsid w:val="00F956D6"/>
    <w:rsid w:val="00F95F73"/>
    <w:rsid w:val="00F968D4"/>
    <w:rsid w:val="00F96BE1"/>
    <w:rsid w:val="00F96EE6"/>
    <w:rsid w:val="00F972B1"/>
    <w:rsid w:val="00F974E8"/>
    <w:rsid w:val="00F97ACC"/>
    <w:rsid w:val="00FA0530"/>
    <w:rsid w:val="00FA0EFA"/>
    <w:rsid w:val="00FA1AAB"/>
    <w:rsid w:val="00FA1C26"/>
    <w:rsid w:val="00FA23EC"/>
    <w:rsid w:val="00FA273C"/>
    <w:rsid w:val="00FA296F"/>
    <w:rsid w:val="00FA2D42"/>
    <w:rsid w:val="00FA3236"/>
    <w:rsid w:val="00FA337D"/>
    <w:rsid w:val="00FA3417"/>
    <w:rsid w:val="00FA37A8"/>
    <w:rsid w:val="00FA385B"/>
    <w:rsid w:val="00FA3C5A"/>
    <w:rsid w:val="00FA42AD"/>
    <w:rsid w:val="00FA42BF"/>
    <w:rsid w:val="00FA4613"/>
    <w:rsid w:val="00FA48AE"/>
    <w:rsid w:val="00FA4A00"/>
    <w:rsid w:val="00FA5052"/>
    <w:rsid w:val="00FA5293"/>
    <w:rsid w:val="00FA5873"/>
    <w:rsid w:val="00FA5AE5"/>
    <w:rsid w:val="00FA5B36"/>
    <w:rsid w:val="00FA64DE"/>
    <w:rsid w:val="00FA6B9E"/>
    <w:rsid w:val="00FA6BEB"/>
    <w:rsid w:val="00FA7436"/>
    <w:rsid w:val="00FA74A2"/>
    <w:rsid w:val="00FA7961"/>
    <w:rsid w:val="00FB03C4"/>
    <w:rsid w:val="00FB09F3"/>
    <w:rsid w:val="00FB0A9C"/>
    <w:rsid w:val="00FB0E69"/>
    <w:rsid w:val="00FB2CBC"/>
    <w:rsid w:val="00FB2E2C"/>
    <w:rsid w:val="00FB2E68"/>
    <w:rsid w:val="00FB3032"/>
    <w:rsid w:val="00FB312B"/>
    <w:rsid w:val="00FB3412"/>
    <w:rsid w:val="00FB35C3"/>
    <w:rsid w:val="00FB43F5"/>
    <w:rsid w:val="00FB46BB"/>
    <w:rsid w:val="00FB48AB"/>
    <w:rsid w:val="00FB4C29"/>
    <w:rsid w:val="00FB4DCD"/>
    <w:rsid w:val="00FB4FF4"/>
    <w:rsid w:val="00FB4FF9"/>
    <w:rsid w:val="00FB513C"/>
    <w:rsid w:val="00FB58FF"/>
    <w:rsid w:val="00FB5BD4"/>
    <w:rsid w:val="00FB5FCA"/>
    <w:rsid w:val="00FB6422"/>
    <w:rsid w:val="00FB67D1"/>
    <w:rsid w:val="00FB76DD"/>
    <w:rsid w:val="00FB77D2"/>
    <w:rsid w:val="00FB799A"/>
    <w:rsid w:val="00FC103D"/>
    <w:rsid w:val="00FC13B1"/>
    <w:rsid w:val="00FC1713"/>
    <w:rsid w:val="00FC19BD"/>
    <w:rsid w:val="00FC2088"/>
    <w:rsid w:val="00FC24F8"/>
    <w:rsid w:val="00FC2648"/>
    <w:rsid w:val="00FC2903"/>
    <w:rsid w:val="00FC2C76"/>
    <w:rsid w:val="00FC2D31"/>
    <w:rsid w:val="00FC3341"/>
    <w:rsid w:val="00FC3534"/>
    <w:rsid w:val="00FC37A9"/>
    <w:rsid w:val="00FC3F51"/>
    <w:rsid w:val="00FC3FD3"/>
    <w:rsid w:val="00FC4165"/>
    <w:rsid w:val="00FC4D94"/>
    <w:rsid w:val="00FC544C"/>
    <w:rsid w:val="00FC57B6"/>
    <w:rsid w:val="00FC5EB5"/>
    <w:rsid w:val="00FC6305"/>
    <w:rsid w:val="00FC6424"/>
    <w:rsid w:val="00FC6585"/>
    <w:rsid w:val="00FC66DD"/>
    <w:rsid w:val="00FC6EA4"/>
    <w:rsid w:val="00FC7CA4"/>
    <w:rsid w:val="00FC7D5C"/>
    <w:rsid w:val="00FD08D4"/>
    <w:rsid w:val="00FD0CBF"/>
    <w:rsid w:val="00FD0CD0"/>
    <w:rsid w:val="00FD0ECD"/>
    <w:rsid w:val="00FD0EFB"/>
    <w:rsid w:val="00FD158A"/>
    <w:rsid w:val="00FD187C"/>
    <w:rsid w:val="00FD2ED2"/>
    <w:rsid w:val="00FD3535"/>
    <w:rsid w:val="00FD3B45"/>
    <w:rsid w:val="00FD3D91"/>
    <w:rsid w:val="00FD44E4"/>
    <w:rsid w:val="00FD4971"/>
    <w:rsid w:val="00FD4EDE"/>
    <w:rsid w:val="00FD4F05"/>
    <w:rsid w:val="00FD5527"/>
    <w:rsid w:val="00FD6043"/>
    <w:rsid w:val="00FD64E9"/>
    <w:rsid w:val="00FD6501"/>
    <w:rsid w:val="00FD69BB"/>
    <w:rsid w:val="00FD6A8F"/>
    <w:rsid w:val="00FD6B46"/>
    <w:rsid w:val="00FD7049"/>
    <w:rsid w:val="00FD707A"/>
    <w:rsid w:val="00FD7145"/>
    <w:rsid w:val="00FD77C5"/>
    <w:rsid w:val="00FD7970"/>
    <w:rsid w:val="00FD7A11"/>
    <w:rsid w:val="00FD7C3F"/>
    <w:rsid w:val="00FD7D13"/>
    <w:rsid w:val="00FE00D0"/>
    <w:rsid w:val="00FE0572"/>
    <w:rsid w:val="00FE12BA"/>
    <w:rsid w:val="00FE1D49"/>
    <w:rsid w:val="00FE2999"/>
    <w:rsid w:val="00FE2A56"/>
    <w:rsid w:val="00FE31F2"/>
    <w:rsid w:val="00FE44A4"/>
    <w:rsid w:val="00FE4807"/>
    <w:rsid w:val="00FE4F06"/>
    <w:rsid w:val="00FE4F0D"/>
    <w:rsid w:val="00FE5951"/>
    <w:rsid w:val="00FE5ABB"/>
    <w:rsid w:val="00FE5E93"/>
    <w:rsid w:val="00FE61A5"/>
    <w:rsid w:val="00FE6672"/>
    <w:rsid w:val="00FE66AA"/>
    <w:rsid w:val="00FE6A57"/>
    <w:rsid w:val="00FE6E15"/>
    <w:rsid w:val="00FE7207"/>
    <w:rsid w:val="00FE7495"/>
    <w:rsid w:val="00FE7E0C"/>
    <w:rsid w:val="00FE7E60"/>
    <w:rsid w:val="00FE7E7F"/>
    <w:rsid w:val="00FF0805"/>
    <w:rsid w:val="00FF0B3D"/>
    <w:rsid w:val="00FF1053"/>
    <w:rsid w:val="00FF10EF"/>
    <w:rsid w:val="00FF12D8"/>
    <w:rsid w:val="00FF1453"/>
    <w:rsid w:val="00FF1588"/>
    <w:rsid w:val="00FF16DC"/>
    <w:rsid w:val="00FF1C60"/>
    <w:rsid w:val="00FF2058"/>
    <w:rsid w:val="00FF2247"/>
    <w:rsid w:val="00FF2504"/>
    <w:rsid w:val="00FF276D"/>
    <w:rsid w:val="00FF2F68"/>
    <w:rsid w:val="00FF31E2"/>
    <w:rsid w:val="00FF3606"/>
    <w:rsid w:val="00FF366B"/>
    <w:rsid w:val="00FF375F"/>
    <w:rsid w:val="00FF3FF8"/>
    <w:rsid w:val="00FF4C2C"/>
    <w:rsid w:val="00FF4EA5"/>
    <w:rsid w:val="00FF52B5"/>
    <w:rsid w:val="00FF5838"/>
    <w:rsid w:val="00FF6541"/>
    <w:rsid w:val="00FF7BF4"/>
    <w:rsid w:val="00FF7DB1"/>
    <w:rsid w:val="01289C83"/>
    <w:rsid w:val="012D3B7E"/>
    <w:rsid w:val="014C2979"/>
    <w:rsid w:val="016B2048"/>
    <w:rsid w:val="01725E88"/>
    <w:rsid w:val="017D4677"/>
    <w:rsid w:val="01832827"/>
    <w:rsid w:val="018E7ACA"/>
    <w:rsid w:val="019022CD"/>
    <w:rsid w:val="0191D818"/>
    <w:rsid w:val="01A31393"/>
    <w:rsid w:val="01A4A734"/>
    <w:rsid w:val="01AF05FC"/>
    <w:rsid w:val="01B562EE"/>
    <w:rsid w:val="01B83B0C"/>
    <w:rsid w:val="01C4EAA0"/>
    <w:rsid w:val="01D44875"/>
    <w:rsid w:val="01D87FCF"/>
    <w:rsid w:val="01E54ACE"/>
    <w:rsid w:val="0209D51A"/>
    <w:rsid w:val="020B36E6"/>
    <w:rsid w:val="0220F923"/>
    <w:rsid w:val="022BA1B2"/>
    <w:rsid w:val="022DED26"/>
    <w:rsid w:val="02312289"/>
    <w:rsid w:val="0237C33C"/>
    <w:rsid w:val="024A0773"/>
    <w:rsid w:val="025DC765"/>
    <w:rsid w:val="025FAB69"/>
    <w:rsid w:val="027CE412"/>
    <w:rsid w:val="027D8736"/>
    <w:rsid w:val="02A15EA1"/>
    <w:rsid w:val="02B21467"/>
    <w:rsid w:val="02FB1F5A"/>
    <w:rsid w:val="03038784"/>
    <w:rsid w:val="03065D65"/>
    <w:rsid w:val="0307EE45"/>
    <w:rsid w:val="030D703F"/>
    <w:rsid w:val="030E25FB"/>
    <w:rsid w:val="0333ED0B"/>
    <w:rsid w:val="03488623"/>
    <w:rsid w:val="034ABDC0"/>
    <w:rsid w:val="0361A585"/>
    <w:rsid w:val="037554E5"/>
    <w:rsid w:val="038013A7"/>
    <w:rsid w:val="03967C4B"/>
    <w:rsid w:val="0396EFBD"/>
    <w:rsid w:val="03B61D93"/>
    <w:rsid w:val="03E163AA"/>
    <w:rsid w:val="03F61BB5"/>
    <w:rsid w:val="03F9838C"/>
    <w:rsid w:val="03FB8070"/>
    <w:rsid w:val="03FEE032"/>
    <w:rsid w:val="042016D0"/>
    <w:rsid w:val="0433C7CD"/>
    <w:rsid w:val="0446CB2F"/>
    <w:rsid w:val="046BF690"/>
    <w:rsid w:val="046D6485"/>
    <w:rsid w:val="046EF235"/>
    <w:rsid w:val="046FD9D3"/>
    <w:rsid w:val="047494C6"/>
    <w:rsid w:val="047D5DC9"/>
    <w:rsid w:val="04B8EAC9"/>
    <w:rsid w:val="04CAD86C"/>
    <w:rsid w:val="04CE6073"/>
    <w:rsid w:val="04ECE5BA"/>
    <w:rsid w:val="04FAD941"/>
    <w:rsid w:val="04FB24CE"/>
    <w:rsid w:val="051E85C8"/>
    <w:rsid w:val="05237355"/>
    <w:rsid w:val="05363048"/>
    <w:rsid w:val="057A3AEA"/>
    <w:rsid w:val="058779A3"/>
    <w:rsid w:val="059756DF"/>
    <w:rsid w:val="05ADAB16"/>
    <w:rsid w:val="05E282BC"/>
    <w:rsid w:val="05E6A3AF"/>
    <w:rsid w:val="05F5A51A"/>
    <w:rsid w:val="06074537"/>
    <w:rsid w:val="0631B6F3"/>
    <w:rsid w:val="06366C06"/>
    <w:rsid w:val="064CA058"/>
    <w:rsid w:val="0659985D"/>
    <w:rsid w:val="06B8C5D1"/>
    <w:rsid w:val="06C7A5E6"/>
    <w:rsid w:val="06CAB86E"/>
    <w:rsid w:val="07139B65"/>
    <w:rsid w:val="07195D56"/>
    <w:rsid w:val="0719F366"/>
    <w:rsid w:val="0731DE9A"/>
    <w:rsid w:val="07461C7B"/>
    <w:rsid w:val="0762ED6F"/>
    <w:rsid w:val="07728D72"/>
    <w:rsid w:val="078653EE"/>
    <w:rsid w:val="07995447"/>
    <w:rsid w:val="0799A7A3"/>
    <w:rsid w:val="07ADC209"/>
    <w:rsid w:val="07AF39AD"/>
    <w:rsid w:val="07CE8684"/>
    <w:rsid w:val="07F66403"/>
    <w:rsid w:val="07FB0DB4"/>
    <w:rsid w:val="07FBCDC6"/>
    <w:rsid w:val="08053C15"/>
    <w:rsid w:val="08146E56"/>
    <w:rsid w:val="084D38B3"/>
    <w:rsid w:val="0855D982"/>
    <w:rsid w:val="08718EE3"/>
    <w:rsid w:val="08914DFC"/>
    <w:rsid w:val="08ADA674"/>
    <w:rsid w:val="08BAA233"/>
    <w:rsid w:val="08C5DBA6"/>
    <w:rsid w:val="08D27DEE"/>
    <w:rsid w:val="08D2BFAC"/>
    <w:rsid w:val="08D544C4"/>
    <w:rsid w:val="08D99C3F"/>
    <w:rsid w:val="08EECDA3"/>
    <w:rsid w:val="08FF0F00"/>
    <w:rsid w:val="0935ABA4"/>
    <w:rsid w:val="093FF389"/>
    <w:rsid w:val="0959B2ED"/>
    <w:rsid w:val="096C27A1"/>
    <w:rsid w:val="097042F8"/>
    <w:rsid w:val="097048C3"/>
    <w:rsid w:val="098FE96C"/>
    <w:rsid w:val="09A6708E"/>
    <w:rsid w:val="09AB25B2"/>
    <w:rsid w:val="09E6A356"/>
    <w:rsid w:val="09F62C18"/>
    <w:rsid w:val="09FE1453"/>
    <w:rsid w:val="0A1F89C1"/>
    <w:rsid w:val="0A28AF74"/>
    <w:rsid w:val="0A39C984"/>
    <w:rsid w:val="0A53EF4A"/>
    <w:rsid w:val="0A64BA76"/>
    <w:rsid w:val="0A9A6557"/>
    <w:rsid w:val="0A9EE838"/>
    <w:rsid w:val="0AC6FA97"/>
    <w:rsid w:val="0AD5B60E"/>
    <w:rsid w:val="0ADBFDA1"/>
    <w:rsid w:val="0ADF1956"/>
    <w:rsid w:val="0B00BD4D"/>
    <w:rsid w:val="0B097978"/>
    <w:rsid w:val="0B298B08"/>
    <w:rsid w:val="0B31CF3C"/>
    <w:rsid w:val="0B4DE265"/>
    <w:rsid w:val="0B52D465"/>
    <w:rsid w:val="0B5409C7"/>
    <w:rsid w:val="0B5C02AA"/>
    <w:rsid w:val="0B671D5C"/>
    <w:rsid w:val="0B772761"/>
    <w:rsid w:val="0B7CD260"/>
    <w:rsid w:val="0B81A725"/>
    <w:rsid w:val="0BAB3340"/>
    <w:rsid w:val="0BAEB12C"/>
    <w:rsid w:val="0BB91F2D"/>
    <w:rsid w:val="0BC42527"/>
    <w:rsid w:val="0BD87215"/>
    <w:rsid w:val="0BDE86B0"/>
    <w:rsid w:val="0BE3B1EE"/>
    <w:rsid w:val="0C09F6D8"/>
    <w:rsid w:val="0C493B94"/>
    <w:rsid w:val="0C63B619"/>
    <w:rsid w:val="0CA9E598"/>
    <w:rsid w:val="0CBB9878"/>
    <w:rsid w:val="0CC84F1C"/>
    <w:rsid w:val="0CC9952A"/>
    <w:rsid w:val="0CD9DBB5"/>
    <w:rsid w:val="0CFCC0B5"/>
    <w:rsid w:val="0CFEC8AC"/>
    <w:rsid w:val="0D01D503"/>
    <w:rsid w:val="0D0ACBC8"/>
    <w:rsid w:val="0D143D0B"/>
    <w:rsid w:val="0D14C099"/>
    <w:rsid w:val="0D283ADE"/>
    <w:rsid w:val="0D3F7223"/>
    <w:rsid w:val="0D4F2003"/>
    <w:rsid w:val="0D648A5E"/>
    <w:rsid w:val="0D6FCD94"/>
    <w:rsid w:val="0D9ED8B9"/>
    <w:rsid w:val="0DA5385E"/>
    <w:rsid w:val="0DD64DD6"/>
    <w:rsid w:val="0DEEC2AD"/>
    <w:rsid w:val="0E04CEA6"/>
    <w:rsid w:val="0E308DA0"/>
    <w:rsid w:val="0E30CB09"/>
    <w:rsid w:val="0E3D8B63"/>
    <w:rsid w:val="0E3DC941"/>
    <w:rsid w:val="0E50015C"/>
    <w:rsid w:val="0E5119A0"/>
    <w:rsid w:val="0E817840"/>
    <w:rsid w:val="0E99BC2C"/>
    <w:rsid w:val="0E9B4D22"/>
    <w:rsid w:val="0EA75496"/>
    <w:rsid w:val="0ECB25F7"/>
    <w:rsid w:val="0ECE8374"/>
    <w:rsid w:val="0ED4DDEC"/>
    <w:rsid w:val="0ED69799"/>
    <w:rsid w:val="0EEC7D5B"/>
    <w:rsid w:val="0EF40D31"/>
    <w:rsid w:val="0EF50722"/>
    <w:rsid w:val="0F0DE9E3"/>
    <w:rsid w:val="0F1CF6F1"/>
    <w:rsid w:val="0F34B45E"/>
    <w:rsid w:val="0F48CA47"/>
    <w:rsid w:val="0F5FFBC8"/>
    <w:rsid w:val="0F876C57"/>
    <w:rsid w:val="0FBE8487"/>
    <w:rsid w:val="0FE0A9F4"/>
    <w:rsid w:val="0FFFCD70"/>
    <w:rsid w:val="100533BD"/>
    <w:rsid w:val="100BEFB2"/>
    <w:rsid w:val="1031F918"/>
    <w:rsid w:val="103DE251"/>
    <w:rsid w:val="10459B2F"/>
    <w:rsid w:val="10556BC7"/>
    <w:rsid w:val="106142BA"/>
    <w:rsid w:val="1078BFBB"/>
    <w:rsid w:val="107E6D85"/>
    <w:rsid w:val="108E175E"/>
    <w:rsid w:val="10A8210C"/>
    <w:rsid w:val="10C2D001"/>
    <w:rsid w:val="10CA067E"/>
    <w:rsid w:val="10F06B8C"/>
    <w:rsid w:val="10F0D478"/>
    <w:rsid w:val="10F5F483"/>
    <w:rsid w:val="1113C7EA"/>
    <w:rsid w:val="113FD918"/>
    <w:rsid w:val="11463747"/>
    <w:rsid w:val="114FFCA4"/>
    <w:rsid w:val="1150B225"/>
    <w:rsid w:val="1161996B"/>
    <w:rsid w:val="116A4094"/>
    <w:rsid w:val="1176F4E9"/>
    <w:rsid w:val="117E1966"/>
    <w:rsid w:val="119C042B"/>
    <w:rsid w:val="11AE5778"/>
    <w:rsid w:val="11BCA8D1"/>
    <w:rsid w:val="11BF6E0E"/>
    <w:rsid w:val="11C65DB5"/>
    <w:rsid w:val="11D816B2"/>
    <w:rsid w:val="11DFCB0F"/>
    <w:rsid w:val="11F80D66"/>
    <w:rsid w:val="1204C370"/>
    <w:rsid w:val="122B9277"/>
    <w:rsid w:val="1230605A"/>
    <w:rsid w:val="1238846F"/>
    <w:rsid w:val="123C57D7"/>
    <w:rsid w:val="125EAE46"/>
    <w:rsid w:val="12669C8D"/>
    <w:rsid w:val="126AF665"/>
    <w:rsid w:val="127EE1D5"/>
    <w:rsid w:val="12809B83"/>
    <w:rsid w:val="12821E94"/>
    <w:rsid w:val="12A8BEA4"/>
    <w:rsid w:val="12BDCFC8"/>
    <w:rsid w:val="12C36B01"/>
    <w:rsid w:val="12C9EF9E"/>
    <w:rsid w:val="12D093E1"/>
    <w:rsid w:val="12DC3B36"/>
    <w:rsid w:val="12DD6171"/>
    <w:rsid w:val="12E01EC1"/>
    <w:rsid w:val="12E89391"/>
    <w:rsid w:val="12F00027"/>
    <w:rsid w:val="12F0B6BF"/>
    <w:rsid w:val="130318FC"/>
    <w:rsid w:val="1303D834"/>
    <w:rsid w:val="134A58EF"/>
    <w:rsid w:val="134B935A"/>
    <w:rsid w:val="13518295"/>
    <w:rsid w:val="135EFA1C"/>
    <w:rsid w:val="1361C563"/>
    <w:rsid w:val="13658711"/>
    <w:rsid w:val="13705D02"/>
    <w:rsid w:val="138BEE4C"/>
    <w:rsid w:val="139CBC49"/>
    <w:rsid w:val="13A6BB89"/>
    <w:rsid w:val="13BE483F"/>
    <w:rsid w:val="13C24C8C"/>
    <w:rsid w:val="13CC5E46"/>
    <w:rsid w:val="13D73FB7"/>
    <w:rsid w:val="13DC3FEC"/>
    <w:rsid w:val="13FFAEE0"/>
    <w:rsid w:val="1418F9B3"/>
    <w:rsid w:val="14253280"/>
    <w:rsid w:val="1433F9F2"/>
    <w:rsid w:val="1454A004"/>
    <w:rsid w:val="14572A46"/>
    <w:rsid w:val="145E2AD7"/>
    <w:rsid w:val="145E7650"/>
    <w:rsid w:val="14873FFE"/>
    <w:rsid w:val="1489DEFE"/>
    <w:rsid w:val="14A3F63C"/>
    <w:rsid w:val="14B860D2"/>
    <w:rsid w:val="14BBA9B9"/>
    <w:rsid w:val="14D65262"/>
    <w:rsid w:val="14DB96CB"/>
    <w:rsid w:val="14DD5D08"/>
    <w:rsid w:val="14E3C6F7"/>
    <w:rsid w:val="150B5D5A"/>
    <w:rsid w:val="15103326"/>
    <w:rsid w:val="1512C3D1"/>
    <w:rsid w:val="151615EA"/>
    <w:rsid w:val="1521628F"/>
    <w:rsid w:val="15228CCF"/>
    <w:rsid w:val="152420D4"/>
    <w:rsid w:val="15388DA7"/>
    <w:rsid w:val="153ACB65"/>
    <w:rsid w:val="1552DF94"/>
    <w:rsid w:val="155784B4"/>
    <w:rsid w:val="15726ECD"/>
    <w:rsid w:val="157769F9"/>
    <w:rsid w:val="157CEEC1"/>
    <w:rsid w:val="1587CB15"/>
    <w:rsid w:val="15923BD8"/>
    <w:rsid w:val="1597EFFF"/>
    <w:rsid w:val="15A482B6"/>
    <w:rsid w:val="15DA2D51"/>
    <w:rsid w:val="15DB23B0"/>
    <w:rsid w:val="160C6E49"/>
    <w:rsid w:val="160F5489"/>
    <w:rsid w:val="162789FA"/>
    <w:rsid w:val="16411B1B"/>
    <w:rsid w:val="165401A5"/>
    <w:rsid w:val="1672939B"/>
    <w:rsid w:val="1684208A"/>
    <w:rsid w:val="16A5A457"/>
    <w:rsid w:val="16C405E0"/>
    <w:rsid w:val="16F5D5BD"/>
    <w:rsid w:val="16FCA3E1"/>
    <w:rsid w:val="16FEF90C"/>
    <w:rsid w:val="170D641F"/>
    <w:rsid w:val="17248290"/>
    <w:rsid w:val="172634DD"/>
    <w:rsid w:val="172BC8A1"/>
    <w:rsid w:val="17312333"/>
    <w:rsid w:val="17418750"/>
    <w:rsid w:val="17447F52"/>
    <w:rsid w:val="17475CCA"/>
    <w:rsid w:val="1750349C"/>
    <w:rsid w:val="17568D28"/>
    <w:rsid w:val="1794DC70"/>
    <w:rsid w:val="1798AAC6"/>
    <w:rsid w:val="17A3CC38"/>
    <w:rsid w:val="17A9AE32"/>
    <w:rsid w:val="17AEA71B"/>
    <w:rsid w:val="17B68B2E"/>
    <w:rsid w:val="17B91C5D"/>
    <w:rsid w:val="17BEDB6D"/>
    <w:rsid w:val="17CD76B1"/>
    <w:rsid w:val="17E1485B"/>
    <w:rsid w:val="17F1B2C7"/>
    <w:rsid w:val="17F97714"/>
    <w:rsid w:val="180CE3AC"/>
    <w:rsid w:val="181BA390"/>
    <w:rsid w:val="1828B88F"/>
    <w:rsid w:val="1835DA58"/>
    <w:rsid w:val="1845370C"/>
    <w:rsid w:val="1854799F"/>
    <w:rsid w:val="185CF342"/>
    <w:rsid w:val="18608A4E"/>
    <w:rsid w:val="18941849"/>
    <w:rsid w:val="18AB9008"/>
    <w:rsid w:val="18B0B031"/>
    <w:rsid w:val="18B98B32"/>
    <w:rsid w:val="18C8D2F7"/>
    <w:rsid w:val="18D9375B"/>
    <w:rsid w:val="190DF3B6"/>
    <w:rsid w:val="192D1A68"/>
    <w:rsid w:val="1948D96F"/>
    <w:rsid w:val="195659B9"/>
    <w:rsid w:val="1959E9E9"/>
    <w:rsid w:val="195E59CE"/>
    <w:rsid w:val="1981F46B"/>
    <w:rsid w:val="19869700"/>
    <w:rsid w:val="19A78E0A"/>
    <w:rsid w:val="19BFB1F9"/>
    <w:rsid w:val="19C2C125"/>
    <w:rsid w:val="19CA957D"/>
    <w:rsid w:val="19F937F2"/>
    <w:rsid w:val="1A1013A5"/>
    <w:rsid w:val="1A1C1EFA"/>
    <w:rsid w:val="1A3C2216"/>
    <w:rsid w:val="1A3E4B0D"/>
    <w:rsid w:val="1A49DB27"/>
    <w:rsid w:val="1A4CEA22"/>
    <w:rsid w:val="1A62F783"/>
    <w:rsid w:val="1A7C7A8B"/>
    <w:rsid w:val="1A83BB78"/>
    <w:rsid w:val="1A91204C"/>
    <w:rsid w:val="1ABABC6C"/>
    <w:rsid w:val="1ABC411B"/>
    <w:rsid w:val="1AC342B3"/>
    <w:rsid w:val="1AE6BAC4"/>
    <w:rsid w:val="1AF01466"/>
    <w:rsid w:val="1AF73077"/>
    <w:rsid w:val="1AFE9FDF"/>
    <w:rsid w:val="1B1A7C74"/>
    <w:rsid w:val="1B2330E4"/>
    <w:rsid w:val="1B2A3560"/>
    <w:rsid w:val="1B2F9876"/>
    <w:rsid w:val="1B448E10"/>
    <w:rsid w:val="1B58B845"/>
    <w:rsid w:val="1B5D0D43"/>
    <w:rsid w:val="1B61B049"/>
    <w:rsid w:val="1B6686EA"/>
    <w:rsid w:val="1B6E47B5"/>
    <w:rsid w:val="1B728394"/>
    <w:rsid w:val="1B8A9908"/>
    <w:rsid w:val="1B949256"/>
    <w:rsid w:val="1BBAEB15"/>
    <w:rsid w:val="1BD29C2D"/>
    <w:rsid w:val="1BEADA71"/>
    <w:rsid w:val="1BFD8BBE"/>
    <w:rsid w:val="1C3AB420"/>
    <w:rsid w:val="1C6A0D80"/>
    <w:rsid w:val="1C7508F3"/>
    <w:rsid w:val="1C76B311"/>
    <w:rsid w:val="1C835A4A"/>
    <w:rsid w:val="1C84F4F9"/>
    <w:rsid w:val="1C921ED7"/>
    <w:rsid w:val="1C9C33A6"/>
    <w:rsid w:val="1CA061E4"/>
    <w:rsid w:val="1CAAE9A2"/>
    <w:rsid w:val="1CB1DD4C"/>
    <w:rsid w:val="1CC55E56"/>
    <w:rsid w:val="1CDA0CAF"/>
    <w:rsid w:val="1CDF841D"/>
    <w:rsid w:val="1CED0E00"/>
    <w:rsid w:val="1CFA2C81"/>
    <w:rsid w:val="1CFBE300"/>
    <w:rsid w:val="1D0EC84C"/>
    <w:rsid w:val="1D2A8EB8"/>
    <w:rsid w:val="1D2AC252"/>
    <w:rsid w:val="1D50643E"/>
    <w:rsid w:val="1D5ACC0A"/>
    <w:rsid w:val="1D96ADF9"/>
    <w:rsid w:val="1D97F66E"/>
    <w:rsid w:val="1E0506B4"/>
    <w:rsid w:val="1E0C9A6D"/>
    <w:rsid w:val="1E19268A"/>
    <w:rsid w:val="1E24FA2F"/>
    <w:rsid w:val="1E290FCD"/>
    <w:rsid w:val="1E2DB8AD"/>
    <w:rsid w:val="1E3AED6D"/>
    <w:rsid w:val="1E52083E"/>
    <w:rsid w:val="1E635C80"/>
    <w:rsid w:val="1E8941FC"/>
    <w:rsid w:val="1EB237B3"/>
    <w:rsid w:val="1EE7A5FD"/>
    <w:rsid w:val="1EFE315E"/>
    <w:rsid w:val="1F0DEAFD"/>
    <w:rsid w:val="1F2145FA"/>
    <w:rsid w:val="1F348ECD"/>
    <w:rsid w:val="1F38F0FA"/>
    <w:rsid w:val="1F42C8D0"/>
    <w:rsid w:val="1F4A1642"/>
    <w:rsid w:val="1F5346C8"/>
    <w:rsid w:val="1F5E2DE8"/>
    <w:rsid w:val="1F6951F0"/>
    <w:rsid w:val="1F745E76"/>
    <w:rsid w:val="1F9115BE"/>
    <w:rsid w:val="1F97F30F"/>
    <w:rsid w:val="1F99C041"/>
    <w:rsid w:val="2014FBBB"/>
    <w:rsid w:val="2017DAA3"/>
    <w:rsid w:val="202054F7"/>
    <w:rsid w:val="20260A1E"/>
    <w:rsid w:val="202855AA"/>
    <w:rsid w:val="2031C52E"/>
    <w:rsid w:val="203C306E"/>
    <w:rsid w:val="2043F7D6"/>
    <w:rsid w:val="20525BB6"/>
    <w:rsid w:val="2057FFCC"/>
    <w:rsid w:val="2069DDA9"/>
    <w:rsid w:val="208AFAB7"/>
    <w:rsid w:val="209624F7"/>
    <w:rsid w:val="20C3E53B"/>
    <w:rsid w:val="20D74D1C"/>
    <w:rsid w:val="20F610B1"/>
    <w:rsid w:val="2103556E"/>
    <w:rsid w:val="2125CD3A"/>
    <w:rsid w:val="213489EA"/>
    <w:rsid w:val="215065D2"/>
    <w:rsid w:val="215A34D7"/>
    <w:rsid w:val="216A62B0"/>
    <w:rsid w:val="2190D478"/>
    <w:rsid w:val="21A26017"/>
    <w:rsid w:val="21B4101B"/>
    <w:rsid w:val="21C3BF8D"/>
    <w:rsid w:val="21E85390"/>
    <w:rsid w:val="21F5C4CE"/>
    <w:rsid w:val="2214BED2"/>
    <w:rsid w:val="221661B8"/>
    <w:rsid w:val="221A5DAE"/>
    <w:rsid w:val="2244DC60"/>
    <w:rsid w:val="22567258"/>
    <w:rsid w:val="22592128"/>
    <w:rsid w:val="2279BE6E"/>
    <w:rsid w:val="2281BB82"/>
    <w:rsid w:val="2286147F"/>
    <w:rsid w:val="2295FE97"/>
    <w:rsid w:val="22AABBD0"/>
    <w:rsid w:val="22C09D9C"/>
    <w:rsid w:val="22CD3380"/>
    <w:rsid w:val="22D97483"/>
    <w:rsid w:val="22FA31A1"/>
    <w:rsid w:val="23015DDC"/>
    <w:rsid w:val="2306726F"/>
    <w:rsid w:val="2311160A"/>
    <w:rsid w:val="232A73C0"/>
    <w:rsid w:val="234BC049"/>
    <w:rsid w:val="23594942"/>
    <w:rsid w:val="235A1222"/>
    <w:rsid w:val="2369DB11"/>
    <w:rsid w:val="2383F6EF"/>
    <w:rsid w:val="23BB3068"/>
    <w:rsid w:val="23E140CF"/>
    <w:rsid w:val="23E70FF6"/>
    <w:rsid w:val="241C3A18"/>
    <w:rsid w:val="243A08EB"/>
    <w:rsid w:val="245D4040"/>
    <w:rsid w:val="245F98DE"/>
    <w:rsid w:val="246E0E8D"/>
    <w:rsid w:val="2481555B"/>
    <w:rsid w:val="249781B6"/>
    <w:rsid w:val="24CEF2FE"/>
    <w:rsid w:val="24DEE1F0"/>
    <w:rsid w:val="24ED9AB0"/>
    <w:rsid w:val="24FC1621"/>
    <w:rsid w:val="2542A714"/>
    <w:rsid w:val="255B5B2E"/>
    <w:rsid w:val="256A6841"/>
    <w:rsid w:val="257C3471"/>
    <w:rsid w:val="2595B284"/>
    <w:rsid w:val="259D05CC"/>
    <w:rsid w:val="25A30A78"/>
    <w:rsid w:val="25B0B565"/>
    <w:rsid w:val="25C34DC9"/>
    <w:rsid w:val="25D4F5ED"/>
    <w:rsid w:val="25DC52D8"/>
    <w:rsid w:val="25DFDE78"/>
    <w:rsid w:val="2601AA73"/>
    <w:rsid w:val="2606D51E"/>
    <w:rsid w:val="2606E3FC"/>
    <w:rsid w:val="2607A4A9"/>
    <w:rsid w:val="260EF9EB"/>
    <w:rsid w:val="260FFD66"/>
    <w:rsid w:val="2610D93F"/>
    <w:rsid w:val="262D28B7"/>
    <w:rsid w:val="26390EF4"/>
    <w:rsid w:val="2643FDDF"/>
    <w:rsid w:val="264E2ED2"/>
    <w:rsid w:val="26581113"/>
    <w:rsid w:val="26719B91"/>
    <w:rsid w:val="26A9058E"/>
    <w:rsid w:val="26A96073"/>
    <w:rsid w:val="26B1C0AF"/>
    <w:rsid w:val="26BBD4D3"/>
    <w:rsid w:val="26D62E09"/>
    <w:rsid w:val="26E1D0EE"/>
    <w:rsid w:val="26E52E44"/>
    <w:rsid w:val="26EC235F"/>
    <w:rsid w:val="26EC3C1C"/>
    <w:rsid w:val="2723864E"/>
    <w:rsid w:val="272FBBD7"/>
    <w:rsid w:val="273D8EB8"/>
    <w:rsid w:val="27748C46"/>
    <w:rsid w:val="27757322"/>
    <w:rsid w:val="278C639E"/>
    <w:rsid w:val="279987CF"/>
    <w:rsid w:val="27C40DF3"/>
    <w:rsid w:val="27D206B3"/>
    <w:rsid w:val="27D987B1"/>
    <w:rsid w:val="27E341B8"/>
    <w:rsid w:val="27E9622F"/>
    <w:rsid w:val="280C9F1C"/>
    <w:rsid w:val="28153CA0"/>
    <w:rsid w:val="2818F9FF"/>
    <w:rsid w:val="282B7A66"/>
    <w:rsid w:val="2853BB46"/>
    <w:rsid w:val="285AF4B3"/>
    <w:rsid w:val="2866F3CF"/>
    <w:rsid w:val="28756D7F"/>
    <w:rsid w:val="288798A8"/>
    <w:rsid w:val="28B61CEF"/>
    <w:rsid w:val="28D5A1E8"/>
    <w:rsid w:val="28EC66C0"/>
    <w:rsid w:val="28EF089D"/>
    <w:rsid w:val="290328EA"/>
    <w:rsid w:val="29040276"/>
    <w:rsid w:val="29098DE6"/>
    <w:rsid w:val="290D4AB7"/>
    <w:rsid w:val="294943AB"/>
    <w:rsid w:val="295B69D1"/>
    <w:rsid w:val="295C1BEB"/>
    <w:rsid w:val="2994659E"/>
    <w:rsid w:val="29A92E8B"/>
    <w:rsid w:val="29B5C77A"/>
    <w:rsid w:val="2A1192A4"/>
    <w:rsid w:val="2A1766B4"/>
    <w:rsid w:val="2A23DEE0"/>
    <w:rsid w:val="2A3BB4DF"/>
    <w:rsid w:val="2A3ECDC2"/>
    <w:rsid w:val="2A84C9B2"/>
    <w:rsid w:val="2A85499B"/>
    <w:rsid w:val="2A865C97"/>
    <w:rsid w:val="2A99F1EC"/>
    <w:rsid w:val="2A9C684B"/>
    <w:rsid w:val="2ABE91DE"/>
    <w:rsid w:val="2ACC6094"/>
    <w:rsid w:val="2AD8CBC9"/>
    <w:rsid w:val="2B0B267D"/>
    <w:rsid w:val="2B10AB4C"/>
    <w:rsid w:val="2B39BB69"/>
    <w:rsid w:val="2B5BE702"/>
    <w:rsid w:val="2B7A74C4"/>
    <w:rsid w:val="2B9C5A1A"/>
    <w:rsid w:val="2BA2FD43"/>
    <w:rsid w:val="2BEDCEDF"/>
    <w:rsid w:val="2BFA2F49"/>
    <w:rsid w:val="2BFA4683"/>
    <w:rsid w:val="2BFA6ABD"/>
    <w:rsid w:val="2BFB20F6"/>
    <w:rsid w:val="2C115130"/>
    <w:rsid w:val="2C1BD25B"/>
    <w:rsid w:val="2C20C1FC"/>
    <w:rsid w:val="2C2FFABC"/>
    <w:rsid w:val="2C5670B4"/>
    <w:rsid w:val="2C58FE60"/>
    <w:rsid w:val="2C5BB80E"/>
    <w:rsid w:val="2C5E09D5"/>
    <w:rsid w:val="2C922EF4"/>
    <w:rsid w:val="2CA5E855"/>
    <w:rsid w:val="2CA7AAA0"/>
    <w:rsid w:val="2CEF07A9"/>
    <w:rsid w:val="2CF65474"/>
    <w:rsid w:val="2CFDC3FD"/>
    <w:rsid w:val="2D00A5F1"/>
    <w:rsid w:val="2D0AEB48"/>
    <w:rsid w:val="2D21B32E"/>
    <w:rsid w:val="2D330C98"/>
    <w:rsid w:val="2D417A0F"/>
    <w:rsid w:val="2D5A75BC"/>
    <w:rsid w:val="2D65276D"/>
    <w:rsid w:val="2D88C87E"/>
    <w:rsid w:val="2D8C1852"/>
    <w:rsid w:val="2D8E919D"/>
    <w:rsid w:val="2D90D3EA"/>
    <w:rsid w:val="2D9C6D80"/>
    <w:rsid w:val="2DA44716"/>
    <w:rsid w:val="2DAA7E4A"/>
    <w:rsid w:val="2DC03C6B"/>
    <w:rsid w:val="2DC171AB"/>
    <w:rsid w:val="2DCDD4B9"/>
    <w:rsid w:val="2DD33D4B"/>
    <w:rsid w:val="2DD55CA7"/>
    <w:rsid w:val="2DD6CF38"/>
    <w:rsid w:val="2DD766CD"/>
    <w:rsid w:val="2DD932DF"/>
    <w:rsid w:val="2DEEFBD6"/>
    <w:rsid w:val="2E0125D6"/>
    <w:rsid w:val="2E12E2FF"/>
    <w:rsid w:val="2E29B717"/>
    <w:rsid w:val="2E327881"/>
    <w:rsid w:val="2E74BC24"/>
    <w:rsid w:val="2EC0F46C"/>
    <w:rsid w:val="2EDBF21D"/>
    <w:rsid w:val="2EED7C9D"/>
    <w:rsid w:val="2F06793F"/>
    <w:rsid w:val="2F11A6E3"/>
    <w:rsid w:val="2F165806"/>
    <w:rsid w:val="2F1F9BDF"/>
    <w:rsid w:val="2F6F2362"/>
    <w:rsid w:val="2F78B307"/>
    <w:rsid w:val="2F862CC3"/>
    <w:rsid w:val="2F88E2AE"/>
    <w:rsid w:val="2F943BA1"/>
    <w:rsid w:val="2FB81282"/>
    <w:rsid w:val="2FC5A132"/>
    <w:rsid w:val="2FEB9E55"/>
    <w:rsid w:val="301AB223"/>
    <w:rsid w:val="302830B2"/>
    <w:rsid w:val="3035BD3B"/>
    <w:rsid w:val="303A729C"/>
    <w:rsid w:val="30477C69"/>
    <w:rsid w:val="304A150D"/>
    <w:rsid w:val="305DA7A2"/>
    <w:rsid w:val="30925D91"/>
    <w:rsid w:val="309E6572"/>
    <w:rsid w:val="30B650EE"/>
    <w:rsid w:val="30BC2B77"/>
    <w:rsid w:val="30F81C52"/>
    <w:rsid w:val="30FC0020"/>
    <w:rsid w:val="3109E20F"/>
    <w:rsid w:val="310C50B8"/>
    <w:rsid w:val="3110817D"/>
    <w:rsid w:val="313E64E2"/>
    <w:rsid w:val="314AB39C"/>
    <w:rsid w:val="314FA820"/>
    <w:rsid w:val="315091C1"/>
    <w:rsid w:val="315F0029"/>
    <w:rsid w:val="318653C5"/>
    <w:rsid w:val="31AA6DAD"/>
    <w:rsid w:val="31B5A231"/>
    <w:rsid w:val="31C58270"/>
    <w:rsid w:val="31C772D2"/>
    <w:rsid w:val="31DB81AE"/>
    <w:rsid w:val="31DF4BA0"/>
    <w:rsid w:val="31F171A1"/>
    <w:rsid w:val="32312EB1"/>
    <w:rsid w:val="323BB174"/>
    <w:rsid w:val="323C2C78"/>
    <w:rsid w:val="3250FA6F"/>
    <w:rsid w:val="325F294B"/>
    <w:rsid w:val="326F0C6A"/>
    <w:rsid w:val="32856CEA"/>
    <w:rsid w:val="32A5206D"/>
    <w:rsid w:val="32A6D9EE"/>
    <w:rsid w:val="32ADF551"/>
    <w:rsid w:val="32C21030"/>
    <w:rsid w:val="32C95B65"/>
    <w:rsid w:val="32D2841C"/>
    <w:rsid w:val="32E0CC0D"/>
    <w:rsid w:val="32E7B19E"/>
    <w:rsid w:val="32ECAB34"/>
    <w:rsid w:val="33085B08"/>
    <w:rsid w:val="330C3505"/>
    <w:rsid w:val="330CEFB2"/>
    <w:rsid w:val="331D4032"/>
    <w:rsid w:val="332AB430"/>
    <w:rsid w:val="33505269"/>
    <w:rsid w:val="3357E3C4"/>
    <w:rsid w:val="33666C63"/>
    <w:rsid w:val="33A70BB8"/>
    <w:rsid w:val="33C61A2E"/>
    <w:rsid w:val="33D926F8"/>
    <w:rsid w:val="33F049B5"/>
    <w:rsid w:val="3416F68D"/>
    <w:rsid w:val="34203E1B"/>
    <w:rsid w:val="34207F34"/>
    <w:rsid w:val="342C77D2"/>
    <w:rsid w:val="342FB51F"/>
    <w:rsid w:val="343597BD"/>
    <w:rsid w:val="3443CD9D"/>
    <w:rsid w:val="34489FCF"/>
    <w:rsid w:val="34540211"/>
    <w:rsid w:val="345604B5"/>
    <w:rsid w:val="3469ECA8"/>
    <w:rsid w:val="346A2B61"/>
    <w:rsid w:val="34BC1025"/>
    <w:rsid w:val="34C82B0F"/>
    <w:rsid w:val="34E0B037"/>
    <w:rsid w:val="34E139B3"/>
    <w:rsid w:val="34E6266C"/>
    <w:rsid w:val="34E7BB97"/>
    <w:rsid w:val="34F0D9A9"/>
    <w:rsid w:val="34F5C148"/>
    <w:rsid w:val="34FD0A41"/>
    <w:rsid w:val="350A4CFF"/>
    <w:rsid w:val="3523612D"/>
    <w:rsid w:val="353219BF"/>
    <w:rsid w:val="35415118"/>
    <w:rsid w:val="35468921"/>
    <w:rsid w:val="3553D243"/>
    <w:rsid w:val="355703C6"/>
    <w:rsid w:val="355E4DB5"/>
    <w:rsid w:val="3596EBD2"/>
    <w:rsid w:val="359AB44A"/>
    <w:rsid w:val="35BCB26E"/>
    <w:rsid w:val="35DE90B3"/>
    <w:rsid w:val="35EF2B0F"/>
    <w:rsid w:val="3631A265"/>
    <w:rsid w:val="36473EEE"/>
    <w:rsid w:val="364C1ABB"/>
    <w:rsid w:val="36503389"/>
    <w:rsid w:val="365B63F0"/>
    <w:rsid w:val="367BDE34"/>
    <w:rsid w:val="367D5AC7"/>
    <w:rsid w:val="368B99CD"/>
    <w:rsid w:val="369C7DE4"/>
    <w:rsid w:val="369F7864"/>
    <w:rsid w:val="36C1E8F4"/>
    <w:rsid w:val="36C73473"/>
    <w:rsid w:val="36CD20DA"/>
    <w:rsid w:val="36D60615"/>
    <w:rsid w:val="36D6AD42"/>
    <w:rsid w:val="36EA691A"/>
    <w:rsid w:val="36F3C527"/>
    <w:rsid w:val="36FA1EFA"/>
    <w:rsid w:val="37322B69"/>
    <w:rsid w:val="3775CDA6"/>
    <w:rsid w:val="378A75D4"/>
    <w:rsid w:val="37A539BF"/>
    <w:rsid w:val="37B57F87"/>
    <w:rsid w:val="37B65C98"/>
    <w:rsid w:val="37E5FFD5"/>
    <w:rsid w:val="37F57057"/>
    <w:rsid w:val="3874AB0D"/>
    <w:rsid w:val="3887C2D1"/>
    <w:rsid w:val="3887F2DF"/>
    <w:rsid w:val="389A9157"/>
    <w:rsid w:val="38F7F1AD"/>
    <w:rsid w:val="3919E91C"/>
    <w:rsid w:val="395C195C"/>
    <w:rsid w:val="397F5299"/>
    <w:rsid w:val="3982A409"/>
    <w:rsid w:val="398A098E"/>
    <w:rsid w:val="39931B3A"/>
    <w:rsid w:val="39BCAB06"/>
    <w:rsid w:val="39C33E15"/>
    <w:rsid w:val="39C64C20"/>
    <w:rsid w:val="39D3198E"/>
    <w:rsid w:val="39E1EFAB"/>
    <w:rsid w:val="39F6DBD0"/>
    <w:rsid w:val="3A06EE6A"/>
    <w:rsid w:val="3A3D94D0"/>
    <w:rsid w:val="3A5F20F3"/>
    <w:rsid w:val="3A6A061C"/>
    <w:rsid w:val="3A78E02C"/>
    <w:rsid w:val="3A795C32"/>
    <w:rsid w:val="3A861012"/>
    <w:rsid w:val="3AA845B1"/>
    <w:rsid w:val="3AB05212"/>
    <w:rsid w:val="3AC2E8D7"/>
    <w:rsid w:val="3ACB5D29"/>
    <w:rsid w:val="3ACEFF25"/>
    <w:rsid w:val="3AF7D259"/>
    <w:rsid w:val="3AFDFB93"/>
    <w:rsid w:val="3B0DE71E"/>
    <w:rsid w:val="3B297026"/>
    <w:rsid w:val="3B2D90CB"/>
    <w:rsid w:val="3B3388AE"/>
    <w:rsid w:val="3B3C55D7"/>
    <w:rsid w:val="3B3EAFCB"/>
    <w:rsid w:val="3B5CEB3E"/>
    <w:rsid w:val="3B6280D4"/>
    <w:rsid w:val="3B6488EE"/>
    <w:rsid w:val="3B6A298C"/>
    <w:rsid w:val="3B891F90"/>
    <w:rsid w:val="3BC1D2A4"/>
    <w:rsid w:val="3BE1F888"/>
    <w:rsid w:val="3BF377AF"/>
    <w:rsid w:val="3C1FC98D"/>
    <w:rsid w:val="3C4E01F4"/>
    <w:rsid w:val="3C531481"/>
    <w:rsid w:val="3C75AEF9"/>
    <w:rsid w:val="3C83AC8D"/>
    <w:rsid w:val="3C8966B5"/>
    <w:rsid w:val="3CA1130F"/>
    <w:rsid w:val="3CCC51B3"/>
    <w:rsid w:val="3D03313B"/>
    <w:rsid w:val="3D1538DE"/>
    <w:rsid w:val="3D1E338E"/>
    <w:rsid w:val="3D260C52"/>
    <w:rsid w:val="3D54D454"/>
    <w:rsid w:val="3D5DCC99"/>
    <w:rsid w:val="3D675FB1"/>
    <w:rsid w:val="3DAACAEA"/>
    <w:rsid w:val="3DB31BC2"/>
    <w:rsid w:val="3DC8BA06"/>
    <w:rsid w:val="3DC90497"/>
    <w:rsid w:val="3DF9A178"/>
    <w:rsid w:val="3DFB373B"/>
    <w:rsid w:val="3DFC737E"/>
    <w:rsid w:val="3E638505"/>
    <w:rsid w:val="3E7A7666"/>
    <w:rsid w:val="3E87288E"/>
    <w:rsid w:val="3E968DC6"/>
    <w:rsid w:val="3E9B9ABB"/>
    <w:rsid w:val="3EAA47EF"/>
    <w:rsid w:val="3EBD9AFB"/>
    <w:rsid w:val="3EC2B39B"/>
    <w:rsid w:val="3ED44CE6"/>
    <w:rsid w:val="3EE01E0F"/>
    <w:rsid w:val="3EE29DAE"/>
    <w:rsid w:val="3F00465C"/>
    <w:rsid w:val="3F1E27B5"/>
    <w:rsid w:val="3F45D7DB"/>
    <w:rsid w:val="3F4718BF"/>
    <w:rsid w:val="3F645644"/>
    <w:rsid w:val="3F64D16D"/>
    <w:rsid w:val="3F7F7054"/>
    <w:rsid w:val="3F9E37CF"/>
    <w:rsid w:val="3FA28DED"/>
    <w:rsid w:val="3FAA0B21"/>
    <w:rsid w:val="3FB4F7B4"/>
    <w:rsid w:val="3FC7DA17"/>
    <w:rsid w:val="3FEE069B"/>
    <w:rsid w:val="40051EA6"/>
    <w:rsid w:val="4025E4E0"/>
    <w:rsid w:val="402D202F"/>
    <w:rsid w:val="40308FD1"/>
    <w:rsid w:val="403A6FA7"/>
    <w:rsid w:val="40461850"/>
    <w:rsid w:val="4050D3E6"/>
    <w:rsid w:val="405F7617"/>
    <w:rsid w:val="4088E4E0"/>
    <w:rsid w:val="40925AF7"/>
    <w:rsid w:val="4098AE9C"/>
    <w:rsid w:val="409CBFE6"/>
    <w:rsid w:val="40AA5A4A"/>
    <w:rsid w:val="40BA4163"/>
    <w:rsid w:val="40C1055B"/>
    <w:rsid w:val="40D24683"/>
    <w:rsid w:val="40D54F07"/>
    <w:rsid w:val="40E3AA51"/>
    <w:rsid w:val="41044AC4"/>
    <w:rsid w:val="41056826"/>
    <w:rsid w:val="4112056C"/>
    <w:rsid w:val="4126E38B"/>
    <w:rsid w:val="4129BD70"/>
    <w:rsid w:val="413E2089"/>
    <w:rsid w:val="4198C460"/>
    <w:rsid w:val="419E9049"/>
    <w:rsid w:val="41DAC8DE"/>
    <w:rsid w:val="41DC0CAF"/>
    <w:rsid w:val="420E1D41"/>
    <w:rsid w:val="42138B46"/>
    <w:rsid w:val="421653F3"/>
    <w:rsid w:val="4227C55E"/>
    <w:rsid w:val="423E5C90"/>
    <w:rsid w:val="4244A6D7"/>
    <w:rsid w:val="42946BB8"/>
    <w:rsid w:val="42AA3934"/>
    <w:rsid w:val="42D89B1D"/>
    <w:rsid w:val="42DAAA77"/>
    <w:rsid w:val="42ECC212"/>
    <w:rsid w:val="42F7B08F"/>
    <w:rsid w:val="4317CA21"/>
    <w:rsid w:val="431A7061"/>
    <w:rsid w:val="431F96D9"/>
    <w:rsid w:val="4331621A"/>
    <w:rsid w:val="433605C5"/>
    <w:rsid w:val="4341A8D0"/>
    <w:rsid w:val="43466780"/>
    <w:rsid w:val="4354F7F1"/>
    <w:rsid w:val="4355CB7B"/>
    <w:rsid w:val="4374B756"/>
    <w:rsid w:val="43AE3963"/>
    <w:rsid w:val="43AF7107"/>
    <w:rsid w:val="43DA455E"/>
    <w:rsid w:val="43DAC32C"/>
    <w:rsid w:val="43EC118E"/>
    <w:rsid w:val="43F4E9C2"/>
    <w:rsid w:val="440BCDBF"/>
    <w:rsid w:val="440DEBA7"/>
    <w:rsid w:val="44244C54"/>
    <w:rsid w:val="4450C89A"/>
    <w:rsid w:val="4476F99E"/>
    <w:rsid w:val="44812343"/>
    <w:rsid w:val="4483AEA1"/>
    <w:rsid w:val="448BBD9E"/>
    <w:rsid w:val="4491A028"/>
    <w:rsid w:val="449D52A4"/>
    <w:rsid w:val="44C1AFC3"/>
    <w:rsid w:val="44C45E7A"/>
    <w:rsid w:val="44E8FAC6"/>
    <w:rsid w:val="44EE3851"/>
    <w:rsid w:val="450D649B"/>
    <w:rsid w:val="451752A4"/>
    <w:rsid w:val="45341F5F"/>
    <w:rsid w:val="453EEBFC"/>
    <w:rsid w:val="453FD196"/>
    <w:rsid w:val="455F02A4"/>
    <w:rsid w:val="45752297"/>
    <w:rsid w:val="459CED48"/>
    <w:rsid w:val="45B4B76D"/>
    <w:rsid w:val="45BDA95B"/>
    <w:rsid w:val="45E33916"/>
    <w:rsid w:val="45E98CF7"/>
    <w:rsid w:val="45EB0ECE"/>
    <w:rsid w:val="45EFF25B"/>
    <w:rsid w:val="461E7654"/>
    <w:rsid w:val="4632C00A"/>
    <w:rsid w:val="4639F616"/>
    <w:rsid w:val="46400DB5"/>
    <w:rsid w:val="4643112A"/>
    <w:rsid w:val="46435DC0"/>
    <w:rsid w:val="464CA485"/>
    <w:rsid w:val="46505721"/>
    <w:rsid w:val="4696F4DC"/>
    <w:rsid w:val="469B9E8E"/>
    <w:rsid w:val="469D8CFA"/>
    <w:rsid w:val="46A0763F"/>
    <w:rsid w:val="46B2D3DE"/>
    <w:rsid w:val="46B84A2D"/>
    <w:rsid w:val="46BE6633"/>
    <w:rsid w:val="46C0ED1C"/>
    <w:rsid w:val="46D9E3EA"/>
    <w:rsid w:val="46F2A535"/>
    <w:rsid w:val="46F5D1A2"/>
    <w:rsid w:val="470C63AD"/>
    <w:rsid w:val="4720E82F"/>
    <w:rsid w:val="47359257"/>
    <w:rsid w:val="473893B4"/>
    <w:rsid w:val="473A96B9"/>
    <w:rsid w:val="476AE08C"/>
    <w:rsid w:val="476F4A34"/>
    <w:rsid w:val="47784073"/>
    <w:rsid w:val="477AF918"/>
    <w:rsid w:val="477C4481"/>
    <w:rsid w:val="47856D14"/>
    <w:rsid w:val="47906126"/>
    <w:rsid w:val="479BE76F"/>
    <w:rsid w:val="479BE7CB"/>
    <w:rsid w:val="47A249F4"/>
    <w:rsid w:val="47EAC481"/>
    <w:rsid w:val="47F3AED7"/>
    <w:rsid w:val="47F404C8"/>
    <w:rsid w:val="480EE6D9"/>
    <w:rsid w:val="48125DB5"/>
    <w:rsid w:val="48172A88"/>
    <w:rsid w:val="481E7DC3"/>
    <w:rsid w:val="483AEB8C"/>
    <w:rsid w:val="484089C7"/>
    <w:rsid w:val="484AE4B4"/>
    <w:rsid w:val="484CECDD"/>
    <w:rsid w:val="485243C7"/>
    <w:rsid w:val="48626929"/>
    <w:rsid w:val="48676F5C"/>
    <w:rsid w:val="4889AC49"/>
    <w:rsid w:val="48C70DB4"/>
    <w:rsid w:val="49226DA6"/>
    <w:rsid w:val="494D789B"/>
    <w:rsid w:val="49621784"/>
    <w:rsid w:val="4966AD9B"/>
    <w:rsid w:val="4972A718"/>
    <w:rsid w:val="4997EAF4"/>
    <w:rsid w:val="49AC4A71"/>
    <w:rsid w:val="49D597D5"/>
    <w:rsid w:val="49D69C77"/>
    <w:rsid w:val="49DB979C"/>
    <w:rsid w:val="49FD54CC"/>
    <w:rsid w:val="4A1506A8"/>
    <w:rsid w:val="4A220836"/>
    <w:rsid w:val="4A5A617A"/>
    <w:rsid w:val="4A6746B9"/>
    <w:rsid w:val="4A703476"/>
    <w:rsid w:val="4A7D2E0F"/>
    <w:rsid w:val="4A831E7A"/>
    <w:rsid w:val="4A8DA3D6"/>
    <w:rsid w:val="4AFDB03C"/>
    <w:rsid w:val="4B144CCB"/>
    <w:rsid w:val="4B2295C7"/>
    <w:rsid w:val="4B3DEBA5"/>
    <w:rsid w:val="4B3E9337"/>
    <w:rsid w:val="4B604A48"/>
    <w:rsid w:val="4B6865A5"/>
    <w:rsid w:val="4B85A724"/>
    <w:rsid w:val="4BC08AF3"/>
    <w:rsid w:val="4BC209FE"/>
    <w:rsid w:val="4BC2354F"/>
    <w:rsid w:val="4BF498BE"/>
    <w:rsid w:val="4BF61D46"/>
    <w:rsid w:val="4C0AA38F"/>
    <w:rsid w:val="4C18F27D"/>
    <w:rsid w:val="4C2E7573"/>
    <w:rsid w:val="4C2FBD60"/>
    <w:rsid w:val="4C33AD67"/>
    <w:rsid w:val="4C4CC3A4"/>
    <w:rsid w:val="4C6047D4"/>
    <w:rsid w:val="4C68F884"/>
    <w:rsid w:val="4C6C4F32"/>
    <w:rsid w:val="4C7176AB"/>
    <w:rsid w:val="4C770E62"/>
    <w:rsid w:val="4C78E88B"/>
    <w:rsid w:val="4C9B12E1"/>
    <w:rsid w:val="4CACF152"/>
    <w:rsid w:val="4CB25F02"/>
    <w:rsid w:val="4CCD824C"/>
    <w:rsid w:val="4CD33BA7"/>
    <w:rsid w:val="4CD41FF2"/>
    <w:rsid w:val="4CE6503E"/>
    <w:rsid w:val="4CED3D28"/>
    <w:rsid w:val="4D0B3E57"/>
    <w:rsid w:val="4D0B973C"/>
    <w:rsid w:val="4D18EAB8"/>
    <w:rsid w:val="4D3B432E"/>
    <w:rsid w:val="4D416C54"/>
    <w:rsid w:val="4D4B6575"/>
    <w:rsid w:val="4D62F8A7"/>
    <w:rsid w:val="4D64905B"/>
    <w:rsid w:val="4D8ACAD3"/>
    <w:rsid w:val="4D9F5383"/>
    <w:rsid w:val="4DB8A334"/>
    <w:rsid w:val="4DB8F5A7"/>
    <w:rsid w:val="4DEB18F5"/>
    <w:rsid w:val="4DEBD5D3"/>
    <w:rsid w:val="4E081F93"/>
    <w:rsid w:val="4E175E97"/>
    <w:rsid w:val="4E439297"/>
    <w:rsid w:val="4E6F4EC7"/>
    <w:rsid w:val="4E75150D"/>
    <w:rsid w:val="4EB6C292"/>
    <w:rsid w:val="4EBC9E86"/>
    <w:rsid w:val="4EDED757"/>
    <w:rsid w:val="4EE0FC2C"/>
    <w:rsid w:val="4EFD62DE"/>
    <w:rsid w:val="4EFEBD7D"/>
    <w:rsid w:val="4F364467"/>
    <w:rsid w:val="4F37E200"/>
    <w:rsid w:val="4F3C1462"/>
    <w:rsid w:val="4F4A2EA9"/>
    <w:rsid w:val="4F51C968"/>
    <w:rsid w:val="4F622C5D"/>
    <w:rsid w:val="4F67350B"/>
    <w:rsid w:val="4F6DFCD1"/>
    <w:rsid w:val="4F7807AA"/>
    <w:rsid w:val="4F8EA3D6"/>
    <w:rsid w:val="4F9B0BFE"/>
    <w:rsid w:val="4FAB9AD5"/>
    <w:rsid w:val="4FC5EA47"/>
    <w:rsid w:val="4FC744BF"/>
    <w:rsid w:val="4FD10A03"/>
    <w:rsid w:val="500B781D"/>
    <w:rsid w:val="50338EDB"/>
    <w:rsid w:val="5083E10E"/>
    <w:rsid w:val="509D6E8F"/>
    <w:rsid w:val="50AD15C7"/>
    <w:rsid w:val="50B3BA15"/>
    <w:rsid w:val="50BA2F2D"/>
    <w:rsid w:val="50BBEE63"/>
    <w:rsid w:val="50BE81AF"/>
    <w:rsid w:val="50C3B011"/>
    <w:rsid w:val="50E25A4C"/>
    <w:rsid w:val="50F0349E"/>
    <w:rsid w:val="50FD2E15"/>
    <w:rsid w:val="512957DE"/>
    <w:rsid w:val="51374411"/>
    <w:rsid w:val="5150352F"/>
    <w:rsid w:val="515A7A3F"/>
    <w:rsid w:val="51742B46"/>
    <w:rsid w:val="5189BFCC"/>
    <w:rsid w:val="518EB578"/>
    <w:rsid w:val="51981FAF"/>
    <w:rsid w:val="51B95385"/>
    <w:rsid w:val="51C8EE12"/>
    <w:rsid w:val="51CA112C"/>
    <w:rsid w:val="51FA24B0"/>
    <w:rsid w:val="52057525"/>
    <w:rsid w:val="5206C37A"/>
    <w:rsid w:val="521BBAE5"/>
    <w:rsid w:val="521F0577"/>
    <w:rsid w:val="5243431D"/>
    <w:rsid w:val="5256B7A4"/>
    <w:rsid w:val="526348AC"/>
    <w:rsid w:val="526AAF82"/>
    <w:rsid w:val="527C2A52"/>
    <w:rsid w:val="527D4EA0"/>
    <w:rsid w:val="5290B862"/>
    <w:rsid w:val="529F38C5"/>
    <w:rsid w:val="52EFF030"/>
    <w:rsid w:val="52F281E8"/>
    <w:rsid w:val="530A3412"/>
    <w:rsid w:val="531166EF"/>
    <w:rsid w:val="531A113E"/>
    <w:rsid w:val="533CFA38"/>
    <w:rsid w:val="5349B078"/>
    <w:rsid w:val="534E3295"/>
    <w:rsid w:val="53673D16"/>
    <w:rsid w:val="537C8902"/>
    <w:rsid w:val="538BDA0D"/>
    <w:rsid w:val="538E543A"/>
    <w:rsid w:val="53C8C8C6"/>
    <w:rsid w:val="53D87734"/>
    <w:rsid w:val="53FDA0E9"/>
    <w:rsid w:val="541DB247"/>
    <w:rsid w:val="5422251F"/>
    <w:rsid w:val="5433E472"/>
    <w:rsid w:val="54430909"/>
    <w:rsid w:val="545A9E9D"/>
    <w:rsid w:val="547BBDF3"/>
    <w:rsid w:val="547EA6A9"/>
    <w:rsid w:val="54846C79"/>
    <w:rsid w:val="54AC1372"/>
    <w:rsid w:val="54B1D016"/>
    <w:rsid w:val="54C8596E"/>
    <w:rsid w:val="54D173DD"/>
    <w:rsid w:val="54DFF5DA"/>
    <w:rsid w:val="54FDC56B"/>
    <w:rsid w:val="551A621A"/>
    <w:rsid w:val="5525AB45"/>
    <w:rsid w:val="5534A23C"/>
    <w:rsid w:val="5535DF3B"/>
    <w:rsid w:val="555ADD6C"/>
    <w:rsid w:val="559F5FC1"/>
    <w:rsid w:val="55C0EC7E"/>
    <w:rsid w:val="55CFEF02"/>
    <w:rsid w:val="55E7617B"/>
    <w:rsid w:val="56057C45"/>
    <w:rsid w:val="56080286"/>
    <w:rsid w:val="5614EA2A"/>
    <w:rsid w:val="56320180"/>
    <w:rsid w:val="563246E3"/>
    <w:rsid w:val="56375DDE"/>
    <w:rsid w:val="568DE198"/>
    <w:rsid w:val="5692717A"/>
    <w:rsid w:val="56A75053"/>
    <w:rsid w:val="56B2E34F"/>
    <w:rsid w:val="56C00175"/>
    <w:rsid w:val="56D7D616"/>
    <w:rsid w:val="56FB06C2"/>
    <w:rsid w:val="57222EB0"/>
    <w:rsid w:val="576300B4"/>
    <w:rsid w:val="577C8597"/>
    <w:rsid w:val="57B9730C"/>
    <w:rsid w:val="57E8A264"/>
    <w:rsid w:val="57F58896"/>
    <w:rsid w:val="58026E4A"/>
    <w:rsid w:val="58255054"/>
    <w:rsid w:val="585C1B68"/>
    <w:rsid w:val="585F8887"/>
    <w:rsid w:val="5864F266"/>
    <w:rsid w:val="58929FD3"/>
    <w:rsid w:val="589810B8"/>
    <w:rsid w:val="58B7E8D8"/>
    <w:rsid w:val="58C755C2"/>
    <w:rsid w:val="58D56658"/>
    <w:rsid w:val="58E92BDA"/>
    <w:rsid w:val="58F12ADB"/>
    <w:rsid w:val="594FE77B"/>
    <w:rsid w:val="596D0755"/>
    <w:rsid w:val="5972DA72"/>
    <w:rsid w:val="599C7767"/>
    <w:rsid w:val="59A38407"/>
    <w:rsid w:val="59A88728"/>
    <w:rsid w:val="59BE7A28"/>
    <w:rsid w:val="59C4F15F"/>
    <w:rsid w:val="59E15DAA"/>
    <w:rsid w:val="59F5C96D"/>
    <w:rsid w:val="5A161BEF"/>
    <w:rsid w:val="5A3F94B3"/>
    <w:rsid w:val="5A434A0E"/>
    <w:rsid w:val="5A49A255"/>
    <w:rsid w:val="5A4C00EA"/>
    <w:rsid w:val="5A4F889A"/>
    <w:rsid w:val="5A9DD235"/>
    <w:rsid w:val="5ABA414C"/>
    <w:rsid w:val="5AC8CD7B"/>
    <w:rsid w:val="5ADDB8F6"/>
    <w:rsid w:val="5AE6063A"/>
    <w:rsid w:val="5AE7782E"/>
    <w:rsid w:val="5AE97A68"/>
    <w:rsid w:val="5AEFE944"/>
    <w:rsid w:val="5B2BF78A"/>
    <w:rsid w:val="5B3698EE"/>
    <w:rsid w:val="5B52B38C"/>
    <w:rsid w:val="5B562493"/>
    <w:rsid w:val="5B72480B"/>
    <w:rsid w:val="5B80EE8E"/>
    <w:rsid w:val="5BB02744"/>
    <w:rsid w:val="5BB77D45"/>
    <w:rsid w:val="5BBB9C76"/>
    <w:rsid w:val="5BE77925"/>
    <w:rsid w:val="5BFF5BC5"/>
    <w:rsid w:val="5C021E0F"/>
    <w:rsid w:val="5C07E550"/>
    <w:rsid w:val="5C14F4A0"/>
    <w:rsid w:val="5C369E46"/>
    <w:rsid w:val="5C36DB18"/>
    <w:rsid w:val="5C49CF9C"/>
    <w:rsid w:val="5C54EC8A"/>
    <w:rsid w:val="5C5E2607"/>
    <w:rsid w:val="5C8EF9A1"/>
    <w:rsid w:val="5C9E0EBD"/>
    <w:rsid w:val="5CA4B34E"/>
    <w:rsid w:val="5CA975A0"/>
    <w:rsid w:val="5CB23D14"/>
    <w:rsid w:val="5CB7692D"/>
    <w:rsid w:val="5CD1AA9B"/>
    <w:rsid w:val="5CD1F1AA"/>
    <w:rsid w:val="5CD52775"/>
    <w:rsid w:val="5CD91F41"/>
    <w:rsid w:val="5CF86742"/>
    <w:rsid w:val="5D34BC8D"/>
    <w:rsid w:val="5D38DA14"/>
    <w:rsid w:val="5D43E9CA"/>
    <w:rsid w:val="5D45E3C1"/>
    <w:rsid w:val="5D6046AE"/>
    <w:rsid w:val="5D699BE4"/>
    <w:rsid w:val="5D89A943"/>
    <w:rsid w:val="5D9CA6E0"/>
    <w:rsid w:val="5DBBE34C"/>
    <w:rsid w:val="5DC5E688"/>
    <w:rsid w:val="5DE49EB2"/>
    <w:rsid w:val="5DF89C65"/>
    <w:rsid w:val="5DFD16EB"/>
    <w:rsid w:val="5E15A648"/>
    <w:rsid w:val="5E15BA88"/>
    <w:rsid w:val="5E48EB17"/>
    <w:rsid w:val="5E55DDB6"/>
    <w:rsid w:val="5E5B01D4"/>
    <w:rsid w:val="5E63ABB9"/>
    <w:rsid w:val="5E67F1BA"/>
    <w:rsid w:val="5E6E184D"/>
    <w:rsid w:val="5E70E8A7"/>
    <w:rsid w:val="5E7698EB"/>
    <w:rsid w:val="5E896B51"/>
    <w:rsid w:val="5EADD10D"/>
    <w:rsid w:val="5ECBD97A"/>
    <w:rsid w:val="5ECC34A3"/>
    <w:rsid w:val="5ED4929F"/>
    <w:rsid w:val="5EDA20A4"/>
    <w:rsid w:val="5EDC1C74"/>
    <w:rsid w:val="5EDC62AA"/>
    <w:rsid w:val="5EE7E95B"/>
    <w:rsid w:val="5F178DB7"/>
    <w:rsid w:val="5F298E0F"/>
    <w:rsid w:val="5F2E3F68"/>
    <w:rsid w:val="5F356A8D"/>
    <w:rsid w:val="5F40FD4E"/>
    <w:rsid w:val="5F5137B3"/>
    <w:rsid w:val="5F793584"/>
    <w:rsid w:val="5F9163CF"/>
    <w:rsid w:val="5F94AA07"/>
    <w:rsid w:val="5FED2F3F"/>
    <w:rsid w:val="60047D24"/>
    <w:rsid w:val="600BA179"/>
    <w:rsid w:val="6015D4A1"/>
    <w:rsid w:val="601FCB5C"/>
    <w:rsid w:val="602A59D5"/>
    <w:rsid w:val="6034640B"/>
    <w:rsid w:val="6055496A"/>
    <w:rsid w:val="60A23867"/>
    <w:rsid w:val="60B6EE7D"/>
    <w:rsid w:val="60CAC483"/>
    <w:rsid w:val="60EA6DD0"/>
    <w:rsid w:val="610A7820"/>
    <w:rsid w:val="610FB022"/>
    <w:rsid w:val="612A7EA9"/>
    <w:rsid w:val="614DFCBD"/>
    <w:rsid w:val="61567695"/>
    <w:rsid w:val="6173551A"/>
    <w:rsid w:val="61AE9B78"/>
    <w:rsid w:val="61D6B721"/>
    <w:rsid w:val="620108DE"/>
    <w:rsid w:val="621002BC"/>
    <w:rsid w:val="62149C6F"/>
    <w:rsid w:val="6215D446"/>
    <w:rsid w:val="621DC7CE"/>
    <w:rsid w:val="6229B9E7"/>
    <w:rsid w:val="6234FC11"/>
    <w:rsid w:val="623AF671"/>
    <w:rsid w:val="62400039"/>
    <w:rsid w:val="6253C03E"/>
    <w:rsid w:val="6256C69B"/>
    <w:rsid w:val="626057DE"/>
    <w:rsid w:val="6268AF37"/>
    <w:rsid w:val="6276F4DF"/>
    <w:rsid w:val="629C1B7D"/>
    <w:rsid w:val="62C02FA1"/>
    <w:rsid w:val="62D123A2"/>
    <w:rsid w:val="62D3048A"/>
    <w:rsid w:val="62DEAC3D"/>
    <w:rsid w:val="62EBD295"/>
    <w:rsid w:val="63014478"/>
    <w:rsid w:val="632034F3"/>
    <w:rsid w:val="632C733C"/>
    <w:rsid w:val="633DF51E"/>
    <w:rsid w:val="633E1422"/>
    <w:rsid w:val="6341E897"/>
    <w:rsid w:val="634BBAE4"/>
    <w:rsid w:val="6355BCB0"/>
    <w:rsid w:val="636CEE23"/>
    <w:rsid w:val="63A72316"/>
    <w:rsid w:val="63DA5C23"/>
    <w:rsid w:val="63DA9265"/>
    <w:rsid w:val="63DF8B66"/>
    <w:rsid w:val="63FA6DDD"/>
    <w:rsid w:val="640F98FC"/>
    <w:rsid w:val="642C18AA"/>
    <w:rsid w:val="642D6D6D"/>
    <w:rsid w:val="645EBE29"/>
    <w:rsid w:val="647F53C6"/>
    <w:rsid w:val="649AD773"/>
    <w:rsid w:val="64A85EB1"/>
    <w:rsid w:val="64B8A103"/>
    <w:rsid w:val="64C3DABE"/>
    <w:rsid w:val="64CD0507"/>
    <w:rsid w:val="64D1ECC5"/>
    <w:rsid w:val="64D41D86"/>
    <w:rsid w:val="64D4E17E"/>
    <w:rsid w:val="64DA97A6"/>
    <w:rsid w:val="64E68890"/>
    <w:rsid w:val="64E6ECA5"/>
    <w:rsid w:val="64E766EE"/>
    <w:rsid w:val="64EC8CD8"/>
    <w:rsid w:val="650B140F"/>
    <w:rsid w:val="651FC0F3"/>
    <w:rsid w:val="65254D03"/>
    <w:rsid w:val="652C8E4D"/>
    <w:rsid w:val="652FBAED"/>
    <w:rsid w:val="655CC956"/>
    <w:rsid w:val="659D3AED"/>
    <w:rsid w:val="65A6B3B7"/>
    <w:rsid w:val="65AB6978"/>
    <w:rsid w:val="65C4582A"/>
    <w:rsid w:val="65D6D60E"/>
    <w:rsid w:val="65E03FBF"/>
    <w:rsid w:val="65ED3E24"/>
    <w:rsid w:val="660028AF"/>
    <w:rsid w:val="6608D1C0"/>
    <w:rsid w:val="66334515"/>
    <w:rsid w:val="664BEF73"/>
    <w:rsid w:val="665A875A"/>
    <w:rsid w:val="665C33E2"/>
    <w:rsid w:val="666ADED4"/>
    <w:rsid w:val="667FF878"/>
    <w:rsid w:val="66958D2E"/>
    <w:rsid w:val="66CB04C0"/>
    <w:rsid w:val="66CC95B0"/>
    <w:rsid w:val="66D5646E"/>
    <w:rsid w:val="66DDC639"/>
    <w:rsid w:val="66E288F8"/>
    <w:rsid w:val="66E688C1"/>
    <w:rsid w:val="66FFB7EB"/>
    <w:rsid w:val="670B5401"/>
    <w:rsid w:val="67258659"/>
    <w:rsid w:val="672F1A7C"/>
    <w:rsid w:val="6748ACFA"/>
    <w:rsid w:val="6751928E"/>
    <w:rsid w:val="675FEC3C"/>
    <w:rsid w:val="6798832D"/>
    <w:rsid w:val="67B98D84"/>
    <w:rsid w:val="67C3474E"/>
    <w:rsid w:val="67EEC15C"/>
    <w:rsid w:val="68364CE4"/>
    <w:rsid w:val="683E5A67"/>
    <w:rsid w:val="68569B08"/>
    <w:rsid w:val="6857ACE3"/>
    <w:rsid w:val="68598DDF"/>
    <w:rsid w:val="686EA234"/>
    <w:rsid w:val="689B0FB7"/>
    <w:rsid w:val="689FC039"/>
    <w:rsid w:val="689FDBB7"/>
    <w:rsid w:val="68A3ED88"/>
    <w:rsid w:val="68ADD5B7"/>
    <w:rsid w:val="68D34C22"/>
    <w:rsid w:val="68E3DB00"/>
    <w:rsid w:val="690D49F3"/>
    <w:rsid w:val="6913A7FF"/>
    <w:rsid w:val="691A770B"/>
    <w:rsid w:val="691AFBAF"/>
    <w:rsid w:val="693B7463"/>
    <w:rsid w:val="694C6739"/>
    <w:rsid w:val="697E634B"/>
    <w:rsid w:val="698EC6D3"/>
    <w:rsid w:val="6998325E"/>
    <w:rsid w:val="699E4BBA"/>
    <w:rsid w:val="69C39AB2"/>
    <w:rsid w:val="69D01B7E"/>
    <w:rsid w:val="69D22A97"/>
    <w:rsid w:val="69F1BDA5"/>
    <w:rsid w:val="6A20D518"/>
    <w:rsid w:val="6A25469E"/>
    <w:rsid w:val="6A297F00"/>
    <w:rsid w:val="6A2D06D8"/>
    <w:rsid w:val="6A30F033"/>
    <w:rsid w:val="6A35F0F3"/>
    <w:rsid w:val="6A4BCF52"/>
    <w:rsid w:val="6A59B430"/>
    <w:rsid w:val="6A5ACBD0"/>
    <w:rsid w:val="6A5F2CA6"/>
    <w:rsid w:val="6A66B247"/>
    <w:rsid w:val="6A8BBFD0"/>
    <w:rsid w:val="6A8F7A3B"/>
    <w:rsid w:val="6A9621DA"/>
    <w:rsid w:val="6A968B40"/>
    <w:rsid w:val="6A96EE41"/>
    <w:rsid w:val="6AA56582"/>
    <w:rsid w:val="6AA98A19"/>
    <w:rsid w:val="6AB296A1"/>
    <w:rsid w:val="6ACE75C3"/>
    <w:rsid w:val="6AE5EF19"/>
    <w:rsid w:val="6AE7691B"/>
    <w:rsid w:val="6AFBE2C0"/>
    <w:rsid w:val="6B3A2250"/>
    <w:rsid w:val="6B424B0E"/>
    <w:rsid w:val="6B542861"/>
    <w:rsid w:val="6B7699C0"/>
    <w:rsid w:val="6B886DF0"/>
    <w:rsid w:val="6BA92EE8"/>
    <w:rsid w:val="6BAF47FD"/>
    <w:rsid w:val="6BB3D994"/>
    <w:rsid w:val="6BBD91E8"/>
    <w:rsid w:val="6BC30A8F"/>
    <w:rsid w:val="6BCA4971"/>
    <w:rsid w:val="6BD4BC15"/>
    <w:rsid w:val="6BE5A974"/>
    <w:rsid w:val="6BFEA4F5"/>
    <w:rsid w:val="6C14B294"/>
    <w:rsid w:val="6C25B812"/>
    <w:rsid w:val="6C441B2F"/>
    <w:rsid w:val="6C52A74C"/>
    <w:rsid w:val="6C54E7E7"/>
    <w:rsid w:val="6C5B6245"/>
    <w:rsid w:val="6C5F13AA"/>
    <w:rsid w:val="6C661534"/>
    <w:rsid w:val="6C74FD78"/>
    <w:rsid w:val="6C89F044"/>
    <w:rsid w:val="6C98FE11"/>
    <w:rsid w:val="6CBB1EEF"/>
    <w:rsid w:val="6CBCC683"/>
    <w:rsid w:val="6CC4D7D5"/>
    <w:rsid w:val="6CC950D3"/>
    <w:rsid w:val="6CC9ECBC"/>
    <w:rsid w:val="6CF7239D"/>
    <w:rsid w:val="6CF7E5CA"/>
    <w:rsid w:val="6CF8A3B0"/>
    <w:rsid w:val="6D06BBA8"/>
    <w:rsid w:val="6D06BC49"/>
    <w:rsid w:val="6D169A16"/>
    <w:rsid w:val="6D189533"/>
    <w:rsid w:val="6D34E8CA"/>
    <w:rsid w:val="6D473E81"/>
    <w:rsid w:val="6D5A08FF"/>
    <w:rsid w:val="6D5BF7B1"/>
    <w:rsid w:val="6D674839"/>
    <w:rsid w:val="6D67D21C"/>
    <w:rsid w:val="6DA6B6C1"/>
    <w:rsid w:val="6DCCDD1B"/>
    <w:rsid w:val="6DD6A367"/>
    <w:rsid w:val="6DDFC598"/>
    <w:rsid w:val="6DE84B7F"/>
    <w:rsid w:val="6E0A68CE"/>
    <w:rsid w:val="6E1932B5"/>
    <w:rsid w:val="6E205E65"/>
    <w:rsid w:val="6E22E5F4"/>
    <w:rsid w:val="6E326404"/>
    <w:rsid w:val="6E3A4FA3"/>
    <w:rsid w:val="6E4B64AA"/>
    <w:rsid w:val="6E5300BD"/>
    <w:rsid w:val="6E56A7E0"/>
    <w:rsid w:val="6E64F0BF"/>
    <w:rsid w:val="6E66EBF9"/>
    <w:rsid w:val="6E7E74B1"/>
    <w:rsid w:val="6E871BA0"/>
    <w:rsid w:val="6E8BC1E0"/>
    <w:rsid w:val="6E900B7E"/>
    <w:rsid w:val="6EB24164"/>
    <w:rsid w:val="6EB9EFA2"/>
    <w:rsid w:val="6ECC629E"/>
    <w:rsid w:val="6F1A0C08"/>
    <w:rsid w:val="6F2D7B2F"/>
    <w:rsid w:val="6F48A404"/>
    <w:rsid w:val="6F4AD184"/>
    <w:rsid w:val="6F525D2F"/>
    <w:rsid w:val="6F73FBB7"/>
    <w:rsid w:val="6F7EE029"/>
    <w:rsid w:val="6FA8C1FC"/>
    <w:rsid w:val="6FCE7510"/>
    <w:rsid w:val="6FDDC65E"/>
    <w:rsid w:val="6FEB30A1"/>
    <w:rsid w:val="6FF670D3"/>
    <w:rsid w:val="70094121"/>
    <w:rsid w:val="700A2FFE"/>
    <w:rsid w:val="701F21C8"/>
    <w:rsid w:val="7031BA6D"/>
    <w:rsid w:val="7069ED1F"/>
    <w:rsid w:val="708552C5"/>
    <w:rsid w:val="7087765B"/>
    <w:rsid w:val="70894BDC"/>
    <w:rsid w:val="70955FCE"/>
    <w:rsid w:val="709A106B"/>
    <w:rsid w:val="70C3A1E1"/>
    <w:rsid w:val="71031687"/>
    <w:rsid w:val="710885F9"/>
    <w:rsid w:val="7127D188"/>
    <w:rsid w:val="713D23EF"/>
    <w:rsid w:val="713D4F26"/>
    <w:rsid w:val="71546911"/>
    <w:rsid w:val="716056D4"/>
    <w:rsid w:val="7165C7AA"/>
    <w:rsid w:val="716CE307"/>
    <w:rsid w:val="71729490"/>
    <w:rsid w:val="71746400"/>
    <w:rsid w:val="7189DE50"/>
    <w:rsid w:val="71915B49"/>
    <w:rsid w:val="7197A04E"/>
    <w:rsid w:val="719B04A7"/>
    <w:rsid w:val="719FB5AE"/>
    <w:rsid w:val="71AE370C"/>
    <w:rsid w:val="71CEC0A8"/>
    <w:rsid w:val="71F46A3D"/>
    <w:rsid w:val="720293A4"/>
    <w:rsid w:val="7206DBE2"/>
    <w:rsid w:val="72174645"/>
    <w:rsid w:val="7217D54C"/>
    <w:rsid w:val="722B3952"/>
    <w:rsid w:val="724E245A"/>
    <w:rsid w:val="72533F37"/>
    <w:rsid w:val="72616FFE"/>
    <w:rsid w:val="72654D98"/>
    <w:rsid w:val="726741E6"/>
    <w:rsid w:val="726D901C"/>
    <w:rsid w:val="727BBA5B"/>
    <w:rsid w:val="72948160"/>
    <w:rsid w:val="72A14882"/>
    <w:rsid w:val="72C6928D"/>
    <w:rsid w:val="72E1606C"/>
    <w:rsid w:val="730AB64F"/>
    <w:rsid w:val="730FDC89"/>
    <w:rsid w:val="7324AA76"/>
    <w:rsid w:val="73286A7A"/>
    <w:rsid w:val="732A5F3A"/>
    <w:rsid w:val="733CDE74"/>
    <w:rsid w:val="735F543B"/>
    <w:rsid w:val="73837C28"/>
    <w:rsid w:val="7384B580"/>
    <w:rsid w:val="739365E9"/>
    <w:rsid w:val="739BFD69"/>
    <w:rsid w:val="73B546C0"/>
    <w:rsid w:val="73D5FD7C"/>
    <w:rsid w:val="73D900EA"/>
    <w:rsid w:val="73DA92CB"/>
    <w:rsid w:val="73E1B174"/>
    <w:rsid w:val="73F66DEE"/>
    <w:rsid w:val="7408F431"/>
    <w:rsid w:val="74157579"/>
    <w:rsid w:val="74236707"/>
    <w:rsid w:val="74315D82"/>
    <w:rsid w:val="7432DE78"/>
    <w:rsid w:val="74346079"/>
    <w:rsid w:val="7442507C"/>
    <w:rsid w:val="74626F7D"/>
    <w:rsid w:val="7466168F"/>
    <w:rsid w:val="747078A7"/>
    <w:rsid w:val="747317B1"/>
    <w:rsid w:val="7476A089"/>
    <w:rsid w:val="748B0E47"/>
    <w:rsid w:val="7492979A"/>
    <w:rsid w:val="74A5A3F7"/>
    <w:rsid w:val="74D2958F"/>
    <w:rsid w:val="74EBA9A6"/>
    <w:rsid w:val="750F3261"/>
    <w:rsid w:val="752AFF30"/>
    <w:rsid w:val="7530E770"/>
    <w:rsid w:val="7536C670"/>
    <w:rsid w:val="75787B98"/>
    <w:rsid w:val="75804087"/>
    <w:rsid w:val="75B61D1E"/>
    <w:rsid w:val="75DDF9B8"/>
    <w:rsid w:val="75EED298"/>
    <w:rsid w:val="7606EB47"/>
    <w:rsid w:val="760FABCD"/>
    <w:rsid w:val="761DC6D0"/>
    <w:rsid w:val="762F7839"/>
    <w:rsid w:val="76565CA9"/>
    <w:rsid w:val="7658497A"/>
    <w:rsid w:val="766AF2DF"/>
    <w:rsid w:val="76815306"/>
    <w:rsid w:val="769190A1"/>
    <w:rsid w:val="769BE439"/>
    <w:rsid w:val="76AE0521"/>
    <w:rsid w:val="76D01AE0"/>
    <w:rsid w:val="76D627BF"/>
    <w:rsid w:val="76D93568"/>
    <w:rsid w:val="76DD706C"/>
    <w:rsid w:val="76E2203D"/>
    <w:rsid w:val="76E340FB"/>
    <w:rsid w:val="77100633"/>
    <w:rsid w:val="771FDF91"/>
    <w:rsid w:val="7721C66A"/>
    <w:rsid w:val="773280C1"/>
    <w:rsid w:val="774C64F3"/>
    <w:rsid w:val="774DF1C9"/>
    <w:rsid w:val="775D8981"/>
    <w:rsid w:val="77652D99"/>
    <w:rsid w:val="7772BE83"/>
    <w:rsid w:val="7779DCD8"/>
    <w:rsid w:val="77A7C119"/>
    <w:rsid w:val="77BB6EAC"/>
    <w:rsid w:val="77C74B31"/>
    <w:rsid w:val="77E07CCB"/>
    <w:rsid w:val="77FF1196"/>
    <w:rsid w:val="7801FEEE"/>
    <w:rsid w:val="780EC275"/>
    <w:rsid w:val="7820849C"/>
    <w:rsid w:val="7827EEC6"/>
    <w:rsid w:val="7833896A"/>
    <w:rsid w:val="7844EB61"/>
    <w:rsid w:val="78561151"/>
    <w:rsid w:val="786F41D3"/>
    <w:rsid w:val="787C5137"/>
    <w:rsid w:val="788FA41C"/>
    <w:rsid w:val="78B9E148"/>
    <w:rsid w:val="78C6D706"/>
    <w:rsid w:val="78D07B74"/>
    <w:rsid w:val="78DDF8EC"/>
    <w:rsid w:val="78FE4BFA"/>
    <w:rsid w:val="7908A2FB"/>
    <w:rsid w:val="7915CBCA"/>
    <w:rsid w:val="791BE914"/>
    <w:rsid w:val="7935F608"/>
    <w:rsid w:val="793F9F10"/>
    <w:rsid w:val="79497EC3"/>
    <w:rsid w:val="79893E03"/>
    <w:rsid w:val="79ADB18D"/>
    <w:rsid w:val="79ADB5ED"/>
    <w:rsid w:val="79B1731A"/>
    <w:rsid w:val="79FA044D"/>
    <w:rsid w:val="7A102E79"/>
    <w:rsid w:val="7A1D531A"/>
    <w:rsid w:val="7A434054"/>
    <w:rsid w:val="7A724F32"/>
    <w:rsid w:val="7AB58B71"/>
    <w:rsid w:val="7AD213D5"/>
    <w:rsid w:val="7AF5D963"/>
    <w:rsid w:val="7AFD58B1"/>
    <w:rsid w:val="7B091B3D"/>
    <w:rsid w:val="7B1A4AAB"/>
    <w:rsid w:val="7B314D33"/>
    <w:rsid w:val="7B49343E"/>
    <w:rsid w:val="7B50E6F7"/>
    <w:rsid w:val="7B57EE39"/>
    <w:rsid w:val="7B5FB5F2"/>
    <w:rsid w:val="7B76D6B4"/>
    <w:rsid w:val="7B910832"/>
    <w:rsid w:val="7B9527F0"/>
    <w:rsid w:val="7B976926"/>
    <w:rsid w:val="7BBC9458"/>
    <w:rsid w:val="7BBE76CF"/>
    <w:rsid w:val="7BBE8B19"/>
    <w:rsid w:val="7BC35194"/>
    <w:rsid w:val="7BD45F52"/>
    <w:rsid w:val="7BDCFC68"/>
    <w:rsid w:val="7C117CD8"/>
    <w:rsid w:val="7C22A070"/>
    <w:rsid w:val="7C2DBF8B"/>
    <w:rsid w:val="7C306D9B"/>
    <w:rsid w:val="7C39B129"/>
    <w:rsid w:val="7C4CE4AB"/>
    <w:rsid w:val="7C5BA9A7"/>
    <w:rsid w:val="7C617BB5"/>
    <w:rsid w:val="7C8B9C81"/>
    <w:rsid w:val="7C942084"/>
    <w:rsid w:val="7C94912B"/>
    <w:rsid w:val="7CAF156E"/>
    <w:rsid w:val="7CE55D11"/>
    <w:rsid w:val="7D1107B9"/>
    <w:rsid w:val="7D301AB7"/>
    <w:rsid w:val="7D3C34F7"/>
    <w:rsid w:val="7D7B5157"/>
    <w:rsid w:val="7D7B748E"/>
    <w:rsid w:val="7D7F4E40"/>
    <w:rsid w:val="7D831A9A"/>
    <w:rsid w:val="7D9067EF"/>
    <w:rsid w:val="7D97C288"/>
    <w:rsid w:val="7D9CB4C4"/>
    <w:rsid w:val="7DB7DD3B"/>
    <w:rsid w:val="7DBF4F14"/>
    <w:rsid w:val="7DD4F655"/>
    <w:rsid w:val="7DE2DD7E"/>
    <w:rsid w:val="7DE5BD7D"/>
    <w:rsid w:val="7E316CD5"/>
    <w:rsid w:val="7E40EA46"/>
    <w:rsid w:val="7E477A85"/>
    <w:rsid w:val="7E487EAE"/>
    <w:rsid w:val="7E48B3F6"/>
    <w:rsid w:val="7E4F576A"/>
    <w:rsid w:val="7E6DD7DE"/>
    <w:rsid w:val="7E715443"/>
    <w:rsid w:val="7E8887B9"/>
    <w:rsid w:val="7EBCF67D"/>
    <w:rsid w:val="7EC418B4"/>
    <w:rsid w:val="7ECC36D6"/>
    <w:rsid w:val="7ED9EEC4"/>
    <w:rsid w:val="7EDCB5F7"/>
    <w:rsid w:val="7EE26FCA"/>
    <w:rsid w:val="7EE4474D"/>
    <w:rsid w:val="7EEF3247"/>
    <w:rsid w:val="7EF32619"/>
    <w:rsid w:val="7EFE5830"/>
    <w:rsid w:val="7F1C8BE6"/>
    <w:rsid w:val="7F2EBEC4"/>
    <w:rsid w:val="7F583330"/>
    <w:rsid w:val="7F5E48DF"/>
    <w:rsid w:val="7F603EC5"/>
    <w:rsid w:val="7F7966E1"/>
    <w:rsid w:val="7F7FC76D"/>
    <w:rsid w:val="7F81ACD7"/>
    <w:rsid w:val="7F8F39FC"/>
    <w:rsid w:val="7F958369"/>
    <w:rsid w:val="7FAC3A43"/>
    <w:rsid w:val="7FBFB7F4"/>
    <w:rsid w:val="7FCCFFF7"/>
    <w:rsid w:val="7FD6F683"/>
    <w:rsid w:val="7FEBE1BC"/>
    <w:rsid w:val="7FEDE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9CA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F482C"/>
    <w:pPr>
      <w:spacing w:after="160" w:line="480" w:lineRule="auto"/>
    </w:pPr>
    <w:rPr>
      <w:rFonts w:eastAsia="Calibri" w:cs="Arial"/>
      <w:sz w:val="24"/>
      <w:szCs w:val="22"/>
      <w:lang w:eastAsia="en-US"/>
    </w:rPr>
  </w:style>
  <w:style w:type="paragraph" w:styleId="Heading1">
    <w:name w:val="heading 1"/>
    <w:basedOn w:val="Normal"/>
    <w:next w:val="Normal"/>
    <w:link w:val="Heading1Char"/>
    <w:uiPriority w:val="9"/>
    <w:qFormat/>
    <w:rsid w:val="002058AB"/>
    <w:pPr>
      <w:keepNext/>
      <w:keepLines/>
      <w:spacing w:before="360"/>
      <w:jc w:val="both"/>
      <w:outlineLvl w:val="0"/>
    </w:pPr>
    <w:rPr>
      <w:rFonts w:eastAsia="MS Gothic" w:cs="Times New Roman"/>
      <w:b/>
      <w:bCs/>
      <w:color w:val="000000"/>
      <w:szCs w:val="36"/>
    </w:rPr>
  </w:style>
  <w:style w:type="paragraph" w:styleId="Heading2">
    <w:name w:val="heading 2"/>
    <w:basedOn w:val="Normal"/>
    <w:next w:val="Normal"/>
    <w:link w:val="Heading2Char"/>
    <w:uiPriority w:val="9"/>
    <w:unhideWhenUsed/>
    <w:qFormat/>
    <w:rsid w:val="00032278"/>
    <w:pPr>
      <w:keepNext/>
      <w:keepLines/>
      <w:spacing w:before="360" w:after="0"/>
      <w:jc w:val="both"/>
      <w:outlineLvl w:val="1"/>
    </w:pPr>
    <w:rPr>
      <w:rFonts w:ascii="Cambria" w:eastAsia="MS Gothic" w:hAnsi="Cambria" w:cs="Times New Roman"/>
      <w:bCs/>
      <w:i/>
      <w:color w:val="000000"/>
      <w:szCs w:val="28"/>
    </w:rPr>
  </w:style>
  <w:style w:type="paragraph" w:styleId="Heading3">
    <w:name w:val="heading 3"/>
    <w:basedOn w:val="Normal"/>
    <w:next w:val="Normal"/>
    <w:link w:val="Heading3Char"/>
    <w:uiPriority w:val="9"/>
    <w:unhideWhenUsed/>
    <w:qFormat/>
    <w:rsid w:val="004B64BA"/>
    <w:pPr>
      <w:keepNext/>
      <w:keepLines/>
      <w:spacing w:before="200" w:after="0"/>
      <w:jc w:val="both"/>
      <w:outlineLvl w:val="2"/>
    </w:pPr>
    <w:rPr>
      <w:rFonts w:ascii="Cambria" w:eastAsia="MS Gothic" w:hAnsi="Cambria" w:cs="Times New Roman"/>
      <w:b/>
      <w:bCs/>
      <w:color w:val="000000"/>
      <w:sz w:val="22"/>
    </w:rPr>
  </w:style>
  <w:style w:type="paragraph" w:styleId="Heading4">
    <w:name w:val="heading 4"/>
    <w:basedOn w:val="Normal"/>
    <w:next w:val="Normal"/>
    <w:link w:val="Heading4Char"/>
    <w:uiPriority w:val="9"/>
    <w:unhideWhenUsed/>
    <w:qFormat/>
    <w:rsid w:val="004B64BA"/>
    <w:pPr>
      <w:keepNext/>
      <w:keepLines/>
      <w:spacing w:before="200" w:after="0"/>
      <w:jc w:val="both"/>
      <w:outlineLvl w:val="3"/>
    </w:pPr>
    <w:rPr>
      <w:rFonts w:ascii="Cambria" w:eastAsia="MS Gothic" w:hAnsi="Cambria" w:cs="Times New Roman"/>
      <w:b/>
      <w:bCs/>
      <w:i/>
      <w:iCs/>
      <w:color w:val="000000"/>
      <w:sz w:val="22"/>
    </w:rPr>
  </w:style>
  <w:style w:type="paragraph" w:styleId="Heading5">
    <w:name w:val="heading 5"/>
    <w:basedOn w:val="Normal"/>
    <w:next w:val="Normal"/>
    <w:link w:val="Heading5Char"/>
    <w:uiPriority w:val="9"/>
    <w:unhideWhenUsed/>
    <w:qFormat/>
    <w:rsid w:val="004B64BA"/>
    <w:pPr>
      <w:keepNext/>
      <w:keepLines/>
      <w:spacing w:before="200" w:after="0"/>
      <w:jc w:val="both"/>
      <w:outlineLvl w:val="4"/>
    </w:pPr>
    <w:rPr>
      <w:rFonts w:ascii="Cambria" w:eastAsia="MS Gothic" w:hAnsi="Cambria" w:cs="Times New Roman"/>
      <w:color w:val="17365D"/>
      <w:sz w:val="22"/>
    </w:rPr>
  </w:style>
  <w:style w:type="paragraph" w:styleId="Heading6">
    <w:name w:val="heading 6"/>
    <w:basedOn w:val="Normal"/>
    <w:next w:val="Normal"/>
    <w:link w:val="Heading6Char"/>
    <w:uiPriority w:val="9"/>
    <w:unhideWhenUsed/>
    <w:qFormat/>
    <w:rsid w:val="004B64BA"/>
    <w:pPr>
      <w:keepNext/>
      <w:keepLines/>
      <w:spacing w:before="200" w:after="0"/>
      <w:jc w:val="both"/>
      <w:outlineLvl w:val="5"/>
    </w:pPr>
    <w:rPr>
      <w:rFonts w:ascii="Cambria" w:eastAsia="MS Gothic" w:hAnsi="Cambria" w:cs="Times New Roman"/>
      <w:i/>
      <w:iCs/>
      <w:color w:val="17365D"/>
      <w:sz w:val="22"/>
    </w:rPr>
  </w:style>
  <w:style w:type="paragraph" w:styleId="Heading7">
    <w:name w:val="heading 7"/>
    <w:basedOn w:val="Normal"/>
    <w:next w:val="Normal"/>
    <w:link w:val="Heading7Char"/>
    <w:uiPriority w:val="9"/>
    <w:unhideWhenUsed/>
    <w:qFormat/>
    <w:rsid w:val="004B64BA"/>
    <w:pPr>
      <w:keepNext/>
      <w:keepLines/>
      <w:spacing w:before="200" w:after="0"/>
      <w:jc w:val="both"/>
      <w:outlineLvl w:val="6"/>
    </w:pPr>
    <w:rPr>
      <w:rFonts w:ascii="Cambria" w:eastAsia="MS Gothic" w:hAnsi="Cambria" w:cs="Times New Roman"/>
      <w:i/>
      <w:iCs/>
      <w:color w:val="404040"/>
      <w:sz w:val="22"/>
    </w:rPr>
  </w:style>
  <w:style w:type="paragraph" w:styleId="Heading8">
    <w:name w:val="heading 8"/>
    <w:basedOn w:val="Normal"/>
    <w:next w:val="Normal"/>
    <w:link w:val="Heading8Char"/>
    <w:uiPriority w:val="9"/>
    <w:semiHidden/>
    <w:unhideWhenUsed/>
    <w:qFormat/>
    <w:rsid w:val="004B64BA"/>
    <w:pPr>
      <w:keepNext/>
      <w:keepLines/>
      <w:spacing w:before="200" w:after="0"/>
      <w:jc w:val="both"/>
      <w:outlineLvl w:val="7"/>
    </w:pPr>
    <w:rPr>
      <w:rFonts w:ascii="Cambria" w:eastAsia="MS Gothic" w:hAnsi="Cambria" w:cs="Times New Roman"/>
      <w:color w:val="404040"/>
      <w:sz w:val="20"/>
      <w:szCs w:val="20"/>
    </w:rPr>
  </w:style>
  <w:style w:type="paragraph" w:styleId="Heading9">
    <w:name w:val="heading 9"/>
    <w:basedOn w:val="Normal"/>
    <w:next w:val="Normal"/>
    <w:link w:val="Heading9Char"/>
    <w:uiPriority w:val="9"/>
    <w:semiHidden/>
    <w:unhideWhenUsed/>
    <w:qFormat/>
    <w:rsid w:val="004B64BA"/>
    <w:pPr>
      <w:keepNext/>
      <w:keepLines/>
      <w:spacing w:before="200" w:after="0"/>
      <w:jc w:val="both"/>
      <w:outlineLvl w:val="8"/>
    </w:pPr>
    <w:rPr>
      <w:rFonts w:ascii="Cambria" w:eastAsia="MS Gothic"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KW">
    <w:name w:val="ABKW"/>
    <w:basedOn w:val="Normal"/>
    <w:rsid w:val="00291546"/>
    <w:pPr>
      <w:spacing w:before="120" w:after="120"/>
    </w:pPr>
  </w:style>
  <w:style w:type="paragraph" w:customStyle="1" w:styleId="ABKWH">
    <w:name w:val="ABKWH"/>
    <w:basedOn w:val="Normal"/>
    <w:rsid w:val="00B92E2B"/>
    <w:pPr>
      <w:spacing w:before="120" w:after="120"/>
    </w:pPr>
    <w:rPr>
      <w:color w:val="9E3A3A"/>
      <w:sz w:val="32"/>
    </w:rPr>
  </w:style>
  <w:style w:type="paragraph" w:customStyle="1" w:styleId="AF">
    <w:name w:val="AF"/>
    <w:basedOn w:val="Normal"/>
    <w:rsid w:val="0079478C"/>
    <w:pPr>
      <w:spacing w:before="120" w:after="120"/>
    </w:pPr>
  </w:style>
  <w:style w:type="paragraph" w:customStyle="1" w:styleId="AN">
    <w:name w:val="AN"/>
    <w:basedOn w:val="Normal"/>
    <w:rsid w:val="00416AAC"/>
  </w:style>
  <w:style w:type="paragraph" w:customStyle="1" w:styleId="AS">
    <w:name w:val="AS"/>
    <w:basedOn w:val="Normal"/>
    <w:rsid w:val="00734684"/>
    <w:rPr>
      <w:color w:val="4BACC6"/>
      <w:sz w:val="36"/>
    </w:rPr>
  </w:style>
  <w:style w:type="paragraph" w:customStyle="1" w:styleId="AT">
    <w:name w:val="AT"/>
    <w:basedOn w:val="Normal"/>
    <w:rsid w:val="00B06D22"/>
    <w:pPr>
      <w:spacing w:before="120" w:after="300"/>
    </w:pPr>
    <w:rPr>
      <w:b/>
      <w:color w:val="007474"/>
      <w:sz w:val="48"/>
    </w:rPr>
  </w:style>
  <w:style w:type="paragraph" w:customStyle="1" w:styleId="AU">
    <w:name w:val="AU"/>
    <w:basedOn w:val="Normal"/>
    <w:rsid w:val="00B06D22"/>
    <w:pPr>
      <w:spacing w:before="120" w:after="120"/>
    </w:pPr>
    <w:rPr>
      <w:color w:val="00823B"/>
      <w:sz w:val="32"/>
    </w:rPr>
  </w:style>
  <w:style w:type="paragraph" w:customStyle="1" w:styleId="BL">
    <w:name w:val="BL"/>
    <w:basedOn w:val="Normal"/>
    <w:rsid w:val="001463EE"/>
    <w:rPr>
      <w:color w:val="666633"/>
    </w:rPr>
  </w:style>
  <w:style w:type="paragraph" w:customStyle="1" w:styleId="BRA">
    <w:name w:val="BRA"/>
    <w:basedOn w:val="Normal"/>
    <w:rsid w:val="00416AAC"/>
  </w:style>
  <w:style w:type="paragraph" w:customStyle="1" w:styleId="BRAF">
    <w:name w:val="BRAF"/>
    <w:basedOn w:val="Normal"/>
    <w:rsid w:val="00416AAC"/>
  </w:style>
  <w:style w:type="paragraph" w:customStyle="1" w:styleId="BRD">
    <w:name w:val="BRD"/>
    <w:basedOn w:val="Normal"/>
    <w:rsid w:val="00416AAC"/>
  </w:style>
  <w:style w:type="paragraph" w:customStyle="1" w:styleId="BRE">
    <w:name w:val="BRE"/>
    <w:basedOn w:val="Normal"/>
    <w:rsid w:val="00416AAC"/>
  </w:style>
  <w:style w:type="paragraph" w:customStyle="1" w:styleId="BRREF">
    <w:name w:val="BRREF"/>
    <w:basedOn w:val="Normal"/>
    <w:rsid w:val="00416AAC"/>
  </w:style>
  <w:style w:type="paragraph" w:customStyle="1" w:styleId="BRT">
    <w:name w:val="BRT"/>
    <w:basedOn w:val="Normal"/>
    <w:rsid w:val="00416AAC"/>
  </w:style>
  <w:style w:type="paragraph" w:customStyle="1" w:styleId="BRTI">
    <w:name w:val="BRTI"/>
    <w:basedOn w:val="Normal"/>
    <w:rsid w:val="00416AAC"/>
  </w:style>
  <w:style w:type="paragraph" w:customStyle="1" w:styleId="CL">
    <w:name w:val="CL"/>
    <w:basedOn w:val="Normal"/>
    <w:rsid w:val="00B06D22"/>
    <w:pPr>
      <w:spacing w:before="120" w:after="120"/>
    </w:pPr>
    <w:rPr>
      <w:b/>
      <w:color w:val="FF0000"/>
    </w:rPr>
  </w:style>
  <w:style w:type="paragraph" w:customStyle="1" w:styleId="CP">
    <w:name w:val="CP"/>
    <w:basedOn w:val="Normal"/>
    <w:rsid w:val="00B06D22"/>
    <w:pPr>
      <w:spacing w:before="120" w:after="120"/>
    </w:pPr>
    <w:rPr>
      <w:color w:val="6D4321"/>
    </w:rPr>
  </w:style>
  <w:style w:type="paragraph" w:customStyle="1" w:styleId="CPB">
    <w:name w:val="CPB"/>
    <w:basedOn w:val="Normal"/>
    <w:rsid w:val="004724DA"/>
    <w:pPr>
      <w:spacing w:before="360" w:after="120"/>
    </w:pPr>
    <w:rPr>
      <w:color w:val="E36C0A"/>
      <w:sz w:val="28"/>
    </w:rPr>
  </w:style>
  <w:style w:type="paragraph" w:customStyle="1" w:styleId="CPSO">
    <w:name w:val="CPSO"/>
    <w:basedOn w:val="Normal"/>
    <w:rsid w:val="00144684"/>
    <w:pPr>
      <w:spacing w:before="120" w:after="120"/>
    </w:pPr>
    <w:rPr>
      <w:color w:val="007434"/>
    </w:rPr>
  </w:style>
  <w:style w:type="paragraph" w:customStyle="1" w:styleId="DI">
    <w:name w:val="DI"/>
    <w:basedOn w:val="Normal"/>
    <w:rsid w:val="00416AAC"/>
  </w:style>
  <w:style w:type="paragraph" w:customStyle="1" w:styleId="DR">
    <w:name w:val="DR"/>
    <w:basedOn w:val="Normal"/>
    <w:rsid w:val="00416AAC"/>
  </w:style>
  <w:style w:type="paragraph" w:customStyle="1" w:styleId="EH">
    <w:name w:val="EH"/>
    <w:basedOn w:val="Normal"/>
    <w:rsid w:val="00A641D9"/>
    <w:pPr>
      <w:spacing w:before="240" w:after="240"/>
    </w:pPr>
    <w:rPr>
      <w:color w:val="516529"/>
      <w:sz w:val="36"/>
    </w:rPr>
  </w:style>
  <w:style w:type="paragraph" w:customStyle="1" w:styleId="EN">
    <w:name w:val="EN"/>
    <w:basedOn w:val="Normal"/>
    <w:rsid w:val="00416AAC"/>
  </w:style>
  <w:style w:type="paragraph" w:customStyle="1" w:styleId="EQ">
    <w:name w:val="EQ"/>
    <w:basedOn w:val="Normal"/>
    <w:rsid w:val="00416AAC"/>
  </w:style>
  <w:style w:type="paragraph" w:customStyle="1" w:styleId="EX">
    <w:name w:val="EX"/>
    <w:basedOn w:val="Normal"/>
    <w:rsid w:val="00A641D9"/>
    <w:pPr>
      <w:spacing w:before="120" w:after="120"/>
      <w:ind w:left="720" w:right="720"/>
    </w:pPr>
    <w:rPr>
      <w:color w:val="000076"/>
    </w:rPr>
  </w:style>
  <w:style w:type="paragraph" w:customStyle="1" w:styleId="H1">
    <w:name w:val="H1"/>
    <w:basedOn w:val="Normal"/>
    <w:rsid w:val="003A087C"/>
    <w:pPr>
      <w:spacing w:before="240" w:after="240"/>
    </w:pPr>
    <w:rPr>
      <w:color w:val="31849B"/>
      <w:sz w:val="36"/>
    </w:rPr>
  </w:style>
  <w:style w:type="paragraph" w:customStyle="1" w:styleId="H2">
    <w:name w:val="H2"/>
    <w:basedOn w:val="Normal"/>
    <w:rsid w:val="00424785"/>
    <w:pPr>
      <w:spacing w:before="240" w:after="240"/>
    </w:pPr>
    <w:rPr>
      <w:color w:val="C0504D"/>
      <w:sz w:val="32"/>
    </w:rPr>
  </w:style>
  <w:style w:type="paragraph" w:customStyle="1" w:styleId="H3">
    <w:name w:val="H3"/>
    <w:basedOn w:val="Normal"/>
    <w:rsid w:val="003A087C"/>
    <w:rPr>
      <w:color w:val="007434"/>
      <w:sz w:val="28"/>
    </w:rPr>
  </w:style>
  <w:style w:type="paragraph" w:customStyle="1" w:styleId="H4">
    <w:name w:val="H4"/>
    <w:basedOn w:val="Normal"/>
    <w:rsid w:val="002C362F"/>
    <w:rPr>
      <w:color w:val="3C2D65"/>
    </w:rPr>
  </w:style>
  <w:style w:type="paragraph" w:customStyle="1" w:styleId="H4IN">
    <w:name w:val="H4 IN"/>
    <w:basedOn w:val="Normal"/>
    <w:rsid w:val="00EF227E"/>
    <w:rPr>
      <w:color w:val="FF0000"/>
    </w:rPr>
  </w:style>
  <w:style w:type="paragraph" w:customStyle="1" w:styleId="IN">
    <w:name w:val="IN"/>
    <w:basedOn w:val="Normal"/>
    <w:rsid w:val="00416AAC"/>
  </w:style>
  <w:style w:type="paragraph" w:customStyle="1" w:styleId="INFL">
    <w:name w:val="IN FL"/>
    <w:basedOn w:val="Normal"/>
    <w:rsid w:val="00416AAC"/>
  </w:style>
  <w:style w:type="paragraph" w:customStyle="1" w:styleId="ML">
    <w:name w:val="ML"/>
    <w:basedOn w:val="Normal"/>
    <w:rsid w:val="00416AAC"/>
  </w:style>
  <w:style w:type="paragraph" w:customStyle="1" w:styleId="NL">
    <w:name w:val="NL"/>
    <w:basedOn w:val="Normal"/>
    <w:rsid w:val="001463EE"/>
    <w:rPr>
      <w:color w:val="666633"/>
    </w:rPr>
  </w:style>
  <w:style w:type="paragraph" w:customStyle="1" w:styleId="NNUM">
    <w:name w:val="NNUM"/>
    <w:basedOn w:val="Normal"/>
    <w:rsid w:val="00416AAC"/>
  </w:style>
  <w:style w:type="paragraph" w:customStyle="1" w:styleId="OPIN">
    <w:name w:val="OP IN"/>
    <w:basedOn w:val="Normal"/>
    <w:rsid w:val="00416AAC"/>
  </w:style>
  <w:style w:type="paragraph" w:customStyle="1" w:styleId="OQ">
    <w:name w:val="OQ"/>
    <w:basedOn w:val="Normal"/>
    <w:rsid w:val="00416AAC"/>
  </w:style>
  <w:style w:type="paragraph" w:customStyle="1" w:styleId="OUT">
    <w:name w:val="OUT"/>
    <w:basedOn w:val="Normal"/>
    <w:rsid w:val="00416AAC"/>
  </w:style>
  <w:style w:type="paragraph" w:customStyle="1" w:styleId="OUTFL">
    <w:name w:val="OUT FL"/>
    <w:basedOn w:val="Normal"/>
    <w:rsid w:val="00416AAC"/>
  </w:style>
  <w:style w:type="paragraph" w:customStyle="1" w:styleId="OUTIN">
    <w:name w:val="OUT IN"/>
    <w:basedOn w:val="Normal"/>
    <w:rsid w:val="00416AAC"/>
  </w:style>
  <w:style w:type="paragraph" w:customStyle="1" w:styleId="OUTINFL">
    <w:name w:val="OUT IN FL"/>
    <w:basedOn w:val="Normal"/>
    <w:rsid w:val="00416AAC"/>
  </w:style>
  <w:style w:type="paragraph" w:customStyle="1" w:styleId="PO">
    <w:name w:val="PO"/>
    <w:basedOn w:val="Normal"/>
    <w:rsid w:val="00416AAC"/>
  </w:style>
  <w:style w:type="paragraph" w:customStyle="1" w:styleId="PX">
    <w:name w:val="PX"/>
    <w:basedOn w:val="Normal"/>
    <w:rsid w:val="00416AAC"/>
  </w:style>
  <w:style w:type="paragraph" w:customStyle="1" w:styleId="QS">
    <w:name w:val="QS"/>
    <w:basedOn w:val="Normal"/>
    <w:rsid w:val="00416AAC"/>
  </w:style>
  <w:style w:type="paragraph" w:customStyle="1" w:styleId="REF">
    <w:name w:val="REF"/>
    <w:basedOn w:val="Normal"/>
    <w:rsid w:val="00B372B2"/>
    <w:pPr>
      <w:spacing w:before="280" w:after="280" w:line="360" w:lineRule="auto"/>
      <w:ind w:left="432" w:hanging="432"/>
    </w:pPr>
  </w:style>
  <w:style w:type="paragraph" w:customStyle="1" w:styleId="SI">
    <w:name w:val="SI"/>
    <w:basedOn w:val="Normal"/>
    <w:rsid w:val="00416AAC"/>
  </w:style>
  <w:style w:type="paragraph" w:customStyle="1" w:styleId="SIAF">
    <w:name w:val="SI AF"/>
    <w:basedOn w:val="Normal"/>
    <w:rsid w:val="00416AAC"/>
  </w:style>
  <w:style w:type="paragraph" w:customStyle="1" w:styleId="TBL">
    <w:name w:val="TBL"/>
    <w:basedOn w:val="Normal"/>
    <w:rsid w:val="008B6062"/>
    <w:rPr>
      <w:color w:val="31849B"/>
    </w:rPr>
  </w:style>
  <w:style w:type="paragraph" w:customStyle="1" w:styleId="TCH">
    <w:name w:val="TCH"/>
    <w:basedOn w:val="Normal"/>
    <w:rsid w:val="002C362F"/>
    <w:pPr>
      <w:spacing w:before="120" w:after="120"/>
    </w:pPr>
    <w:rPr>
      <w:color w:val="6D4321"/>
    </w:rPr>
  </w:style>
  <w:style w:type="paragraph" w:customStyle="1" w:styleId="TEXT">
    <w:name w:val="TEXT"/>
    <w:basedOn w:val="Normal"/>
    <w:rsid w:val="00416AAC"/>
  </w:style>
  <w:style w:type="paragraph" w:customStyle="1" w:styleId="TEXTIND">
    <w:name w:val="TEXT IND"/>
    <w:basedOn w:val="Normal"/>
    <w:rsid w:val="004B6117"/>
    <w:pPr>
      <w:spacing w:before="240" w:after="240"/>
      <w:ind w:firstLine="720"/>
    </w:pPr>
  </w:style>
  <w:style w:type="paragraph" w:customStyle="1" w:styleId="TNL">
    <w:name w:val="TNL"/>
    <w:basedOn w:val="Normal"/>
    <w:rsid w:val="008B6062"/>
    <w:rPr>
      <w:color w:val="31849B"/>
    </w:rPr>
  </w:style>
  <w:style w:type="paragraph" w:customStyle="1" w:styleId="TT">
    <w:name w:val="TT"/>
    <w:basedOn w:val="Normal"/>
    <w:rsid w:val="002C362F"/>
    <w:pPr>
      <w:spacing w:before="120" w:after="120"/>
    </w:pPr>
    <w:rPr>
      <w:color w:val="007474"/>
    </w:rPr>
  </w:style>
  <w:style w:type="paragraph" w:customStyle="1" w:styleId="TY">
    <w:name w:val="TY"/>
    <w:basedOn w:val="Normal"/>
    <w:rsid w:val="002C362F"/>
    <w:pPr>
      <w:spacing w:before="120" w:after="120"/>
    </w:pPr>
    <w:rPr>
      <w:color w:val="3C2D65"/>
    </w:rPr>
  </w:style>
  <w:style w:type="paragraph" w:customStyle="1" w:styleId="UL">
    <w:name w:val="UL"/>
    <w:basedOn w:val="Normal"/>
    <w:rsid w:val="001463EE"/>
    <w:rPr>
      <w:color w:val="666633"/>
    </w:rPr>
  </w:style>
  <w:style w:type="paragraph" w:customStyle="1" w:styleId="ULB">
    <w:name w:val="ULB"/>
    <w:basedOn w:val="Normal"/>
    <w:rsid w:val="00416AAC"/>
  </w:style>
  <w:style w:type="paragraph" w:customStyle="1" w:styleId="ULT">
    <w:name w:val="ULT"/>
    <w:basedOn w:val="Normal"/>
    <w:rsid w:val="00416AAC"/>
  </w:style>
  <w:style w:type="paragraph" w:customStyle="1" w:styleId="DOI">
    <w:name w:val="DOI"/>
    <w:basedOn w:val="Normal"/>
    <w:qFormat/>
    <w:rsid w:val="00A641D9"/>
    <w:pPr>
      <w:spacing w:before="120" w:after="120"/>
    </w:pPr>
    <w:rPr>
      <w:color w:val="460076"/>
    </w:rPr>
  </w:style>
  <w:style w:type="paragraph" w:customStyle="1" w:styleId="RRH">
    <w:name w:val="RRH"/>
    <w:basedOn w:val="Normal"/>
    <w:qFormat/>
    <w:rsid w:val="001A774B"/>
    <w:pPr>
      <w:spacing w:before="120" w:after="120"/>
    </w:pPr>
    <w:rPr>
      <w:color w:val="E36C0A"/>
    </w:rPr>
  </w:style>
  <w:style w:type="paragraph" w:customStyle="1" w:styleId="LRH">
    <w:name w:val="LRH"/>
    <w:basedOn w:val="Normal"/>
    <w:qFormat/>
    <w:rsid w:val="00A149F7"/>
    <w:pPr>
      <w:spacing w:before="120" w:after="120"/>
    </w:pPr>
    <w:rPr>
      <w:color w:val="6D4321"/>
    </w:rPr>
  </w:style>
  <w:style w:type="paragraph" w:customStyle="1" w:styleId="LL">
    <w:name w:val="LL"/>
    <w:qFormat/>
    <w:rsid w:val="00A149F7"/>
    <w:rPr>
      <w:color w:val="6D4321"/>
      <w:sz w:val="24"/>
      <w:szCs w:val="24"/>
      <w:lang w:val="en-US" w:eastAsia="en-US"/>
    </w:rPr>
  </w:style>
  <w:style w:type="paragraph" w:customStyle="1" w:styleId="SUBNL">
    <w:name w:val="SUB NL"/>
    <w:qFormat/>
    <w:rsid w:val="00AF4C05"/>
    <w:rPr>
      <w:color w:val="666633"/>
      <w:sz w:val="24"/>
      <w:szCs w:val="24"/>
      <w:lang w:val="en-US" w:eastAsia="en-US"/>
    </w:rPr>
  </w:style>
  <w:style w:type="paragraph" w:customStyle="1" w:styleId="SUBBL">
    <w:name w:val="SUB BL"/>
    <w:next w:val="BL"/>
    <w:qFormat/>
    <w:rsid w:val="00980835"/>
    <w:rPr>
      <w:color w:val="666633"/>
      <w:sz w:val="24"/>
      <w:szCs w:val="24"/>
      <w:lang w:val="en-US" w:eastAsia="en-US"/>
    </w:rPr>
  </w:style>
  <w:style w:type="paragraph" w:customStyle="1" w:styleId="TSUBNL">
    <w:name w:val="TSUBNL"/>
    <w:qFormat/>
    <w:rsid w:val="00587574"/>
    <w:rPr>
      <w:color w:val="666633"/>
      <w:sz w:val="24"/>
      <w:szCs w:val="24"/>
      <w:lang w:val="en-US" w:eastAsia="en-US"/>
    </w:rPr>
  </w:style>
  <w:style w:type="paragraph" w:customStyle="1" w:styleId="TSUBBL">
    <w:name w:val="TSUBBL"/>
    <w:qFormat/>
    <w:rsid w:val="009D6ECC"/>
    <w:rPr>
      <w:color w:val="666633"/>
      <w:sz w:val="24"/>
      <w:szCs w:val="24"/>
      <w:lang w:val="en-US" w:eastAsia="en-US"/>
    </w:rPr>
  </w:style>
  <w:style w:type="character" w:styleId="Hyperlink">
    <w:name w:val="Hyperlink"/>
    <w:uiPriority w:val="99"/>
    <w:unhideWhenUsed/>
    <w:rsid w:val="008F4A09"/>
    <w:rPr>
      <w:color w:val="0000FF"/>
      <w:u w:val="single"/>
    </w:rPr>
  </w:style>
  <w:style w:type="character" w:customStyle="1" w:styleId="Heading1Char">
    <w:name w:val="Heading 1 Char"/>
    <w:link w:val="Heading1"/>
    <w:uiPriority w:val="9"/>
    <w:rsid w:val="002058AB"/>
    <w:rPr>
      <w:rFonts w:eastAsia="MS Gothic" w:cs="Times New Roman"/>
      <w:b/>
      <w:bCs/>
      <w:color w:val="000000"/>
      <w:sz w:val="24"/>
      <w:szCs w:val="36"/>
      <w:lang w:val="en-GB"/>
    </w:rPr>
  </w:style>
  <w:style w:type="character" w:customStyle="1" w:styleId="Heading2Char">
    <w:name w:val="Heading 2 Char"/>
    <w:link w:val="Heading2"/>
    <w:uiPriority w:val="9"/>
    <w:rsid w:val="00032278"/>
    <w:rPr>
      <w:rFonts w:ascii="Cambria" w:eastAsia="MS Gothic" w:hAnsi="Cambria" w:cs="Times New Roman"/>
      <w:bCs/>
      <w:i/>
      <w:color w:val="000000"/>
      <w:sz w:val="24"/>
      <w:szCs w:val="28"/>
      <w:lang w:val="en-GB"/>
    </w:rPr>
  </w:style>
  <w:style w:type="character" w:customStyle="1" w:styleId="Heading3Char">
    <w:name w:val="Heading 3 Char"/>
    <w:link w:val="Heading3"/>
    <w:uiPriority w:val="9"/>
    <w:rsid w:val="001B1F65"/>
    <w:rPr>
      <w:rFonts w:ascii="Cambria" w:eastAsia="MS Gothic" w:hAnsi="Cambria" w:cs="Times New Roman"/>
      <w:b/>
      <w:bCs/>
      <w:color w:val="000000"/>
      <w:sz w:val="22"/>
      <w:szCs w:val="22"/>
      <w:lang w:val="en-GB"/>
    </w:rPr>
  </w:style>
  <w:style w:type="character" w:customStyle="1" w:styleId="Heading4Char">
    <w:name w:val="Heading 4 Char"/>
    <w:link w:val="Heading4"/>
    <w:uiPriority w:val="9"/>
    <w:rsid w:val="001B1F65"/>
    <w:rPr>
      <w:rFonts w:ascii="Cambria" w:eastAsia="MS Gothic" w:hAnsi="Cambria" w:cs="Times New Roman"/>
      <w:b/>
      <w:bCs/>
      <w:i/>
      <w:iCs/>
      <w:color w:val="000000"/>
      <w:sz w:val="22"/>
      <w:szCs w:val="22"/>
      <w:lang w:val="en-GB"/>
    </w:rPr>
  </w:style>
  <w:style w:type="character" w:customStyle="1" w:styleId="Heading5Char">
    <w:name w:val="Heading 5 Char"/>
    <w:link w:val="Heading5"/>
    <w:uiPriority w:val="9"/>
    <w:rsid w:val="001B1F65"/>
    <w:rPr>
      <w:rFonts w:ascii="Cambria" w:eastAsia="MS Gothic" w:hAnsi="Cambria" w:cs="Times New Roman"/>
      <w:color w:val="17365D"/>
      <w:sz w:val="22"/>
      <w:szCs w:val="22"/>
      <w:lang w:val="en-GB"/>
    </w:rPr>
  </w:style>
  <w:style w:type="character" w:customStyle="1" w:styleId="Heading6Char">
    <w:name w:val="Heading 6 Char"/>
    <w:link w:val="Heading6"/>
    <w:uiPriority w:val="9"/>
    <w:rsid w:val="001B1F65"/>
    <w:rPr>
      <w:rFonts w:ascii="Cambria" w:eastAsia="MS Gothic" w:hAnsi="Cambria" w:cs="Times New Roman"/>
      <w:i/>
      <w:iCs/>
      <w:color w:val="17365D"/>
      <w:sz w:val="22"/>
      <w:szCs w:val="22"/>
      <w:lang w:val="en-GB"/>
    </w:rPr>
  </w:style>
  <w:style w:type="character" w:customStyle="1" w:styleId="Heading7Char">
    <w:name w:val="Heading 7 Char"/>
    <w:link w:val="Heading7"/>
    <w:uiPriority w:val="9"/>
    <w:rsid w:val="001B1F65"/>
    <w:rPr>
      <w:rFonts w:ascii="Cambria" w:eastAsia="MS Gothic" w:hAnsi="Cambria" w:cs="Times New Roman"/>
      <w:i/>
      <w:iCs/>
      <w:color w:val="404040"/>
      <w:sz w:val="22"/>
      <w:szCs w:val="22"/>
      <w:lang w:val="en-GB"/>
    </w:rPr>
  </w:style>
  <w:style w:type="character" w:customStyle="1" w:styleId="Heading8Char">
    <w:name w:val="Heading 8 Char"/>
    <w:link w:val="Heading8"/>
    <w:uiPriority w:val="9"/>
    <w:semiHidden/>
    <w:rsid w:val="001B1F65"/>
    <w:rPr>
      <w:rFonts w:ascii="Cambria" w:eastAsia="MS Gothic" w:hAnsi="Cambria" w:cs="Times New Roman"/>
      <w:color w:val="404040"/>
      <w:lang w:val="en-GB"/>
    </w:rPr>
  </w:style>
  <w:style w:type="character" w:customStyle="1" w:styleId="Heading9Char">
    <w:name w:val="Heading 9 Char"/>
    <w:link w:val="Heading9"/>
    <w:uiPriority w:val="9"/>
    <w:semiHidden/>
    <w:rsid w:val="001B1F65"/>
    <w:rPr>
      <w:rFonts w:ascii="Cambria" w:eastAsia="MS Gothic" w:hAnsi="Cambria" w:cs="Times New Roman"/>
      <w:i/>
      <w:iCs/>
      <w:color w:val="404040"/>
      <w:lang w:val="en-GB"/>
    </w:rPr>
  </w:style>
  <w:style w:type="paragraph" w:styleId="CommentText">
    <w:name w:val="annotation text"/>
    <w:basedOn w:val="Normal"/>
    <w:link w:val="CommentTextChar"/>
    <w:uiPriority w:val="99"/>
    <w:unhideWhenUsed/>
    <w:rsid w:val="007A38E9"/>
    <w:pPr>
      <w:spacing w:line="240" w:lineRule="auto"/>
    </w:pPr>
    <w:rPr>
      <w:sz w:val="20"/>
      <w:szCs w:val="20"/>
    </w:rPr>
  </w:style>
  <w:style w:type="character" w:customStyle="1" w:styleId="CommentTextChar">
    <w:name w:val="Comment Text Char"/>
    <w:link w:val="CommentText"/>
    <w:uiPriority w:val="99"/>
    <w:rsid w:val="001B1F65"/>
    <w:rPr>
      <w:rFonts w:eastAsia="Calibri" w:cs="Arial"/>
      <w:lang w:val="en-GB"/>
    </w:rPr>
  </w:style>
  <w:style w:type="paragraph" w:styleId="FootnoteText">
    <w:name w:val="footnote text"/>
    <w:basedOn w:val="Normal"/>
    <w:link w:val="FootnoteTextChar"/>
    <w:uiPriority w:val="99"/>
    <w:unhideWhenUsed/>
    <w:rsid w:val="007A38E9"/>
    <w:pPr>
      <w:spacing w:after="0" w:line="240" w:lineRule="auto"/>
    </w:pPr>
    <w:rPr>
      <w:sz w:val="20"/>
      <w:szCs w:val="20"/>
    </w:rPr>
  </w:style>
  <w:style w:type="character" w:customStyle="1" w:styleId="FootnoteTextChar">
    <w:name w:val="Footnote Text Char"/>
    <w:link w:val="FootnoteText"/>
    <w:uiPriority w:val="99"/>
    <w:rsid w:val="001B1F65"/>
    <w:rPr>
      <w:rFonts w:eastAsia="Calibri" w:cs="Arial"/>
      <w:lang w:val="en-GB"/>
    </w:rPr>
  </w:style>
  <w:style w:type="character" w:styleId="CommentReference">
    <w:name w:val="annotation reference"/>
    <w:uiPriority w:val="99"/>
    <w:semiHidden/>
    <w:unhideWhenUsed/>
    <w:rsid w:val="001B1F65"/>
    <w:rPr>
      <w:sz w:val="16"/>
      <w:szCs w:val="16"/>
    </w:rPr>
  </w:style>
  <w:style w:type="character" w:styleId="FootnoteReference">
    <w:name w:val="footnote reference"/>
    <w:uiPriority w:val="99"/>
    <w:unhideWhenUsed/>
    <w:rsid w:val="001B1F65"/>
    <w:rPr>
      <w:vertAlign w:val="superscript"/>
    </w:rPr>
  </w:style>
  <w:style w:type="paragraph" w:styleId="BalloonText">
    <w:name w:val="Balloon Text"/>
    <w:basedOn w:val="Normal"/>
    <w:link w:val="BalloonTextChar"/>
    <w:uiPriority w:val="99"/>
    <w:semiHidden/>
    <w:unhideWhenUsed/>
    <w:rsid w:val="007A38E9"/>
    <w:pPr>
      <w:spacing w:after="0" w:line="240" w:lineRule="auto"/>
    </w:pPr>
    <w:rPr>
      <w:rFonts w:ascii="Segoe UI" w:hAnsi="Segoe UI" w:cs="Segoe UI"/>
      <w:sz w:val="18"/>
      <w:szCs w:val="18"/>
    </w:rPr>
  </w:style>
  <w:style w:type="character" w:customStyle="1" w:styleId="BalloonTextChar">
    <w:name w:val="Balloon Text Char"/>
    <w:link w:val="BalloonText"/>
    <w:uiPriority w:val="99"/>
    <w:rsid w:val="001B1F65"/>
    <w:rPr>
      <w:rFonts w:ascii="Segoe UI" w:eastAsia="Calibri" w:hAnsi="Segoe UI" w:cs="Segoe UI"/>
      <w:sz w:val="18"/>
      <w:szCs w:val="18"/>
      <w:lang w:val="en-GB"/>
    </w:rPr>
  </w:style>
  <w:style w:type="paragraph" w:styleId="CommentSubject">
    <w:name w:val="annotation subject"/>
    <w:basedOn w:val="CommentText"/>
    <w:next w:val="CommentText"/>
    <w:link w:val="CommentSubjectChar"/>
    <w:uiPriority w:val="99"/>
    <w:semiHidden/>
    <w:unhideWhenUsed/>
    <w:rsid w:val="001B1F65"/>
    <w:rPr>
      <w:b/>
      <w:bCs/>
    </w:rPr>
  </w:style>
  <w:style w:type="character" w:customStyle="1" w:styleId="CommentSubjectChar">
    <w:name w:val="Comment Subject Char"/>
    <w:link w:val="CommentSubject"/>
    <w:uiPriority w:val="99"/>
    <w:semiHidden/>
    <w:rsid w:val="001B1F65"/>
    <w:rPr>
      <w:rFonts w:eastAsia="Calibri" w:cs="Arial"/>
      <w:b/>
      <w:bCs/>
      <w:lang w:val="en-GB"/>
    </w:rPr>
  </w:style>
  <w:style w:type="table" w:styleId="TableGrid">
    <w:name w:val="Table Grid"/>
    <w:basedOn w:val="TableNormal"/>
    <w:uiPriority w:val="59"/>
    <w:rsid w:val="001B1F6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title">
    <w:name w:val="Article title"/>
    <w:basedOn w:val="Normal"/>
    <w:next w:val="Normal"/>
    <w:qFormat/>
    <w:rsid w:val="00BA0AAA"/>
    <w:pPr>
      <w:spacing w:after="120"/>
    </w:pPr>
    <w:rPr>
      <w:rFonts w:eastAsia="Times New Roman" w:cs="Times New Roman"/>
      <w:b/>
      <w:sz w:val="28"/>
      <w:szCs w:val="24"/>
      <w:lang w:eastAsia="en-GB"/>
    </w:rPr>
  </w:style>
  <w:style w:type="paragraph" w:customStyle="1" w:styleId="Authornames">
    <w:name w:val="Author names"/>
    <w:basedOn w:val="Normal"/>
    <w:next w:val="Normal"/>
    <w:qFormat/>
    <w:rsid w:val="00BA0AAA"/>
    <w:pPr>
      <w:spacing w:before="240" w:after="0"/>
    </w:pPr>
    <w:rPr>
      <w:rFonts w:eastAsia="Times New Roman" w:cs="Times New Roman"/>
      <w:sz w:val="28"/>
      <w:szCs w:val="24"/>
      <w:lang w:eastAsia="en-GB"/>
    </w:rPr>
  </w:style>
  <w:style w:type="paragraph" w:customStyle="1" w:styleId="Affiliation">
    <w:name w:val="Affiliation"/>
    <w:basedOn w:val="Normal"/>
    <w:qFormat/>
    <w:rsid w:val="00BA0AAA"/>
    <w:pPr>
      <w:spacing w:before="240" w:after="0"/>
    </w:pPr>
    <w:rPr>
      <w:rFonts w:eastAsia="Times New Roman" w:cs="Times New Roman"/>
      <w:i/>
      <w:szCs w:val="24"/>
      <w:lang w:eastAsia="en-GB"/>
    </w:rPr>
  </w:style>
  <w:style w:type="paragraph" w:customStyle="1" w:styleId="Correspondencedetails">
    <w:name w:val="Correspondence details"/>
    <w:basedOn w:val="Normal"/>
    <w:qFormat/>
    <w:rsid w:val="00BA0AAA"/>
    <w:pPr>
      <w:spacing w:before="240" w:after="0"/>
    </w:pPr>
    <w:rPr>
      <w:rFonts w:eastAsia="Times New Roman" w:cs="Times New Roman"/>
      <w:szCs w:val="24"/>
      <w:lang w:eastAsia="en-GB"/>
    </w:rPr>
  </w:style>
  <w:style w:type="paragraph" w:styleId="ListParagraph">
    <w:name w:val="List Paragraph"/>
    <w:basedOn w:val="Normal"/>
    <w:uiPriority w:val="34"/>
    <w:qFormat/>
    <w:rsid w:val="00FE5ABB"/>
    <w:pPr>
      <w:ind w:left="720"/>
      <w:contextualSpacing/>
    </w:pPr>
  </w:style>
  <w:style w:type="paragraph" w:styleId="Header">
    <w:name w:val="header"/>
    <w:basedOn w:val="Normal"/>
    <w:link w:val="HeaderChar"/>
    <w:uiPriority w:val="99"/>
    <w:unhideWhenUsed/>
    <w:rsid w:val="000761DE"/>
    <w:pPr>
      <w:tabs>
        <w:tab w:val="center" w:pos="4513"/>
        <w:tab w:val="right" w:pos="9026"/>
      </w:tabs>
      <w:spacing w:after="0" w:line="240" w:lineRule="auto"/>
    </w:pPr>
  </w:style>
  <w:style w:type="character" w:customStyle="1" w:styleId="HeaderChar">
    <w:name w:val="Header Char"/>
    <w:link w:val="Header"/>
    <w:uiPriority w:val="99"/>
    <w:rsid w:val="001B1F65"/>
    <w:rPr>
      <w:rFonts w:eastAsia="Calibri" w:cs="Arial"/>
      <w:sz w:val="24"/>
      <w:szCs w:val="22"/>
      <w:lang w:val="en-GB"/>
    </w:rPr>
  </w:style>
  <w:style w:type="paragraph" w:styleId="Footer">
    <w:name w:val="footer"/>
    <w:basedOn w:val="Normal"/>
    <w:link w:val="FooterChar"/>
    <w:uiPriority w:val="99"/>
    <w:unhideWhenUsed/>
    <w:rsid w:val="000761DE"/>
    <w:pPr>
      <w:tabs>
        <w:tab w:val="center" w:pos="4513"/>
        <w:tab w:val="right" w:pos="9026"/>
      </w:tabs>
      <w:spacing w:after="0" w:line="240" w:lineRule="auto"/>
    </w:pPr>
  </w:style>
  <w:style w:type="character" w:customStyle="1" w:styleId="FooterChar">
    <w:name w:val="Footer Char"/>
    <w:link w:val="Footer"/>
    <w:uiPriority w:val="99"/>
    <w:rsid w:val="001B1F65"/>
    <w:rPr>
      <w:rFonts w:eastAsia="Calibri" w:cs="Arial"/>
      <w:sz w:val="24"/>
      <w:szCs w:val="22"/>
      <w:lang w:val="en-GB"/>
    </w:rPr>
  </w:style>
  <w:style w:type="character" w:styleId="Emphasis">
    <w:name w:val="Emphasis"/>
    <w:uiPriority w:val="20"/>
    <w:qFormat/>
    <w:rsid w:val="001B1F65"/>
    <w:rPr>
      <w:i/>
      <w:iCs/>
    </w:rPr>
  </w:style>
  <w:style w:type="paragraph" w:customStyle="1" w:styleId="Figurecaption">
    <w:name w:val="Figure caption"/>
    <w:basedOn w:val="Normal"/>
    <w:next w:val="Normal"/>
    <w:qFormat/>
    <w:rsid w:val="005E30D2"/>
    <w:pPr>
      <w:spacing w:before="240" w:after="0"/>
    </w:pPr>
    <w:rPr>
      <w:rFonts w:eastAsia="Times New Roman" w:cs="Times New Roman"/>
      <w:szCs w:val="24"/>
      <w:lang w:eastAsia="en-GB"/>
    </w:rPr>
  </w:style>
  <w:style w:type="paragraph" w:customStyle="1" w:styleId="Notesoncontributors">
    <w:name w:val="Notes on contributors"/>
    <w:basedOn w:val="Normal"/>
    <w:qFormat/>
    <w:rsid w:val="005E30D2"/>
    <w:pPr>
      <w:spacing w:before="240" w:after="0"/>
    </w:pPr>
    <w:rPr>
      <w:rFonts w:eastAsia="Times New Roman" w:cs="Times New Roman"/>
      <w:szCs w:val="24"/>
      <w:lang w:eastAsia="en-GB"/>
    </w:rPr>
  </w:style>
  <w:style w:type="character" w:customStyle="1" w:styleId="UnresolvedMention1">
    <w:name w:val="Unresolved Mention1"/>
    <w:uiPriority w:val="99"/>
    <w:semiHidden/>
    <w:unhideWhenUsed/>
    <w:rsid w:val="001B1F65"/>
    <w:rPr>
      <w:color w:val="808080"/>
      <w:shd w:val="clear" w:color="auto" w:fill="E6E6E6"/>
    </w:rPr>
  </w:style>
  <w:style w:type="paragraph" w:customStyle="1" w:styleId="Abstract">
    <w:name w:val="Abstract"/>
    <w:basedOn w:val="Normal"/>
    <w:next w:val="Keywords"/>
    <w:qFormat/>
    <w:rsid w:val="005E30D2"/>
    <w:pPr>
      <w:spacing w:before="360" w:after="300"/>
      <w:ind w:left="720" w:right="567"/>
    </w:pPr>
    <w:rPr>
      <w:rFonts w:eastAsia="Times New Roman" w:cs="Times New Roman"/>
      <w:sz w:val="22"/>
      <w:szCs w:val="24"/>
      <w:lang w:eastAsia="en-GB"/>
    </w:rPr>
  </w:style>
  <w:style w:type="paragraph" w:customStyle="1" w:styleId="Keywords">
    <w:name w:val="Keywords"/>
    <w:basedOn w:val="Normal"/>
    <w:next w:val="Normal"/>
    <w:qFormat/>
    <w:rsid w:val="005E30D2"/>
    <w:pPr>
      <w:spacing w:before="240" w:after="240"/>
      <w:ind w:left="720" w:right="567"/>
    </w:pPr>
    <w:rPr>
      <w:rFonts w:eastAsia="Times New Roman" w:cs="Times New Roman"/>
      <w:sz w:val="22"/>
      <w:szCs w:val="24"/>
      <w:lang w:eastAsia="en-GB"/>
    </w:rPr>
  </w:style>
  <w:style w:type="paragraph" w:customStyle="1" w:styleId="Subjectcodes">
    <w:name w:val="Subject codes"/>
    <w:basedOn w:val="Keywords"/>
    <w:next w:val="Normal"/>
    <w:qFormat/>
    <w:rsid w:val="001B1F65"/>
  </w:style>
  <w:style w:type="table" w:customStyle="1" w:styleId="PlainTable21">
    <w:name w:val="Plain Table 21"/>
    <w:basedOn w:val="TableNormal"/>
    <w:uiPriority w:val="42"/>
    <w:rsid w:val="001B1F65"/>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pple-converted-space">
    <w:name w:val="apple-converted-space"/>
    <w:basedOn w:val="DefaultParagraphFont"/>
    <w:rsid w:val="001B1F65"/>
  </w:style>
  <w:style w:type="paragraph" w:styleId="NoSpacing">
    <w:name w:val="No Spacing"/>
    <w:link w:val="NoSpacingChar"/>
    <w:uiPriority w:val="1"/>
    <w:qFormat/>
    <w:rsid w:val="00AB1655"/>
    <w:rPr>
      <w:rFonts w:eastAsia="MS Mincho" w:cs="Arial"/>
      <w:sz w:val="24"/>
      <w:szCs w:val="22"/>
      <w:lang w:eastAsia="en-US"/>
    </w:rPr>
  </w:style>
  <w:style w:type="character" w:customStyle="1" w:styleId="NoSpacingChar">
    <w:name w:val="No Spacing Char"/>
    <w:link w:val="NoSpacing"/>
    <w:uiPriority w:val="1"/>
    <w:rsid w:val="00AB1655"/>
    <w:rPr>
      <w:rFonts w:eastAsia="MS Mincho" w:cs="Arial"/>
      <w:sz w:val="24"/>
      <w:szCs w:val="22"/>
      <w:lang w:val="en-GB"/>
    </w:rPr>
  </w:style>
  <w:style w:type="paragraph" w:styleId="Caption">
    <w:name w:val="caption"/>
    <w:basedOn w:val="Normal"/>
    <w:next w:val="Normal"/>
    <w:autoRedefine/>
    <w:uiPriority w:val="35"/>
    <w:unhideWhenUsed/>
    <w:qFormat/>
    <w:rsid w:val="00B555D9"/>
    <w:pPr>
      <w:keepNext/>
      <w:spacing w:after="0" w:line="240" w:lineRule="auto"/>
    </w:pPr>
    <w:rPr>
      <w:rFonts w:eastAsia="MS Mincho"/>
      <w:iCs/>
      <w:szCs w:val="18"/>
    </w:rPr>
  </w:style>
  <w:style w:type="table" w:customStyle="1" w:styleId="PlainTable514">
    <w:name w:val="Plain Table 514"/>
    <w:basedOn w:val="TableNormal"/>
    <w:uiPriority w:val="45"/>
    <w:rsid w:val="001B1F65"/>
    <w:rPr>
      <w:rFonts w:ascii="Calibri" w:eastAsia="MS Mincho" w:hAnsi="Calibri" w:cs="Arial"/>
      <w:sz w:val="22"/>
      <w:szCs w:val="22"/>
    </w:rPr>
    <w:tblPr>
      <w:tblStyleRowBandSize w:val="1"/>
      <w:tblStyleColBandSize w:val="1"/>
    </w:tblPr>
    <w:tblStylePr w:type="firstRow">
      <w:rPr>
        <w:rFonts w:ascii="Cambria" w:eastAsia="MS Gothic" w:hAnsi="Cambria" w:cs="Times New Roman"/>
        <w:i/>
        <w:iCs/>
        <w:sz w:val="26"/>
      </w:rPr>
      <w:tblPr/>
      <w:tcPr>
        <w:tcBorders>
          <w:bottom w:val="single" w:sz="4" w:space="0" w:color="7F7F7F"/>
        </w:tcBorders>
        <w:shd w:val="clear" w:color="auto" w:fill="FFFFFF"/>
      </w:tcPr>
    </w:tblStylePr>
    <w:tblStylePr w:type="lastRow">
      <w:rPr>
        <w:rFonts w:ascii="Cambria" w:eastAsia="MS Gothic" w:hAnsi="Cambria" w:cs="Times New Roman"/>
        <w:i/>
        <w:iCs/>
        <w:sz w:val="26"/>
      </w:rPr>
      <w:tblPr/>
      <w:tcPr>
        <w:tcBorders>
          <w:top w:val="single" w:sz="4" w:space="0" w:color="7F7F7F"/>
        </w:tcBorders>
        <w:shd w:val="clear" w:color="auto" w:fill="FFFFFF"/>
      </w:tcPr>
    </w:tblStylePr>
    <w:tblStylePr w:type="firstCol">
      <w:pPr>
        <w:jc w:val="right"/>
      </w:pPr>
      <w:rPr>
        <w:rFonts w:ascii="Cambria" w:eastAsia="MS Gothic" w:hAnsi="Cambria" w:cs="Times New Roman"/>
        <w:i/>
        <w:iCs/>
        <w:sz w:val="26"/>
      </w:rPr>
      <w:tblPr/>
      <w:tcPr>
        <w:tcBorders>
          <w:right w:val="single" w:sz="4" w:space="0" w:color="7F7F7F"/>
        </w:tcBorders>
        <w:shd w:val="clear" w:color="auto" w:fill="FFFFFF"/>
      </w:tcPr>
    </w:tblStylePr>
    <w:tblStylePr w:type="lastCol">
      <w:rPr>
        <w:rFonts w:ascii="Cambria" w:eastAsia="MS Gothic"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DocumentMap">
    <w:name w:val="Document Map"/>
    <w:basedOn w:val="Normal"/>
    <w:link w:val="DocumentMapChar"/>
    <w:uiPriority w:val="99"/>
    <w:semiHidden/>
    <w:unhideWhenUsed/>
    <w:rsid w:val="004B64BA"/>
    <w:pPr>
      <w:spacing w:after="0" w:line="240" w:lineRule="auto"/>
      <w:jc w:val="both"/>
    </w:pPr>
    <w:rPr>
      <w:rFonts w:ascii="Tahoma" w:hAnsi="Tahoma" w:cs="Tahoma"/>
      <w:sz w:val="16"/>
      <w:szCs w:val="16"/>
    </w:rPr>
  </w:style>
  <w:style w:type="character" w:customStyle="1" w:styleId="DocumentMapChar">
    <w:name w:val="Document Map Char"/>
    <w:link w:val="DocumentMap"/>
    <w:uiPriority w:val="99"/>
    <w:semiHidden/>
    <w:rsid w:val="001B1F65"/>
    <w:rPr>
      <w:rFonts w:ascii="Tahoma" w:eastAsia="Calibri" w:hAnsi="Tahoma" w:cs="Tahoma"/>
      <w:sz w:val="16"/>
      <w:szCs w:val="16"/>
      <w:lang w:val="en-GB"/>
    </w:rPr>
  </w:style>
  <w:style w:type="table" w:customStyle="1" w:styleId="PlainTable516">
    <w:name w:val="Plain Table 516"/>
    <w:basedOn w:val="TableNormal"/>
    <w:uiPriority w:val="45"/>
    <w:rsid w:val="001B1F65"/>
    <w:rPr>
      <w:rFonts w:ascii="Calibri" w:eastAsia="MS Mincho" w:hAnsi="Calibri" w:cs="Arial"/>
      <w:sz w:val="22"/>
      <w:szCs w:val="22"/>
    </w:rPr>
    <w:tblPr>
      <w:tblStyleRowBandSize w:val="1"/>
      <w:tblStyleColBandSize w:val="1"/>
    </w:tblPr>
    <w:tblStylePr w:type="firstRow">
      <w:rPr>
        <w:rFonts w:ascii="Cambria" w:eastAsia="MS Gothic" w:hAnsi="Cambria" w:cs="Times New Roman"/>
        <w:i/>
        <w:iCs/>
        <w:sz w:val="26"/>
      </w:rPr>
      <w:tblPr/>
      <w:tcPr>
        <w:tcBorders>
          <w:bottom w:val="single" w:sz="4" w:space="0" w:color="7F7F7F"/>
        </w:tcBorders>
        <w:shd w:val="clear" w:color="auto" w:fill="FFFFFF"/>
      </w:tcPr>
    </w:tblStylePr>
    <w:tblStylePr w:type="lastRow">
      <w:rPr>
        <w:rFonts w:ascii="Cambria" w:eastAsia="MS Gothic" w:hAnsi="Cambria" w:cs="Times New Roman"/>
        <w:i/>
        <w:iCs/>
        <w:sz w:val="26"/>
      </w:rPr>
      <w:tblPr/>
      <w:tcPr>
        <w:tcBorders>
          <w:top w:val="single" w:sz="4" w:space="0" w:color="7F7F7F"/>
        </w:tcBorders>
        <w:shd w:val="clear" w:color="auto" w:fill="FFFFFF"/>
      </w:tcPr>
    </w:tblStylePr>
    <w:tblStylePr w:type="firstCol">
      <w:pPr>
        <w:jc w:val="right"/>
      </w:pPr>
      <w:rPr>
        <w:rFonts w:ascii="Cambria" w:eastAsia="MS Gothic" w:hAnsi="Cambria" w:cs="Times New Roman"/>
        <w:i/>
        <w:iCs/>
        <w:sz w:val="26"/>
      </w:rPr>
      <w:tblPr/>
      <w:tcPr>
        <w:tcBorders>
          <w:right w:val="single" w:sz="4" w:space="0" w:color="7F7F7F"/>
        </w:tcBorders>
        <w:shd w:val="clear" w:color="auto" w:fill="FFFFFF"/>
      </w:tcPr>
    </w:tblStylePr>
    <w:tblStylePr w:type="lastCol">
      <w:rPr>
        <w:rFonts w:ascii="Cambria" w:eastAsia="MS Gothic"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51121">
    <w:name w:val="Plain Table 51121"/>
    <w:basedOn w:val="TableNormal"/>
    <w:uiPriority w:val="45"/>
    <w:rsid w:val="001B1F65"/>
    <w:rPr>
      <w:rFonts w:ascii="Calibri" w:eastAsia="MS Mincho" w:hAnsi="Calibri" w:cs="Arial"/>
      <w:sz w:val="22"/>
      <w:szCs w:val="22"/>
    </w:rPr>
    <w:tblPr>
      <w:tblStyleRowBandSize w:val="1"/>
      <w:tblStyleColBandSize w:val="1"/>
    </w:tblPr>
    <w:tblStylePr w:type="firstRow">
      <w:rPr>
        <w:rFonts w:ascii="Cambria" w:eastAsia="MS Gothic" w:hAnsi="Cambria" w:cs="Times New Roman"/>
        <w:i/>
        <w:iCs/>
        <w:sz w:val="26"/>
      </w:rPr>
      <w:tblPr/>
      <w:tcPr>
        <w:tcBorders>
          <w:bottom w:val="single" w:sz="4" w:space="0" w:color="7F7F7F"/>
        </w:tcBorders>
        <w:shd w:val="clear" w:color="auto" w:fill="FFFFFF"/>
      </w:tcPr>
    </w:tblStylePr>
    <w:tblStylePr w:type="lastRow">
      <w:rPr>
        <w:rFonts w:ascii="Cambria" w:eastAsia="MS Gothic" w:hAnsi="Cambria" w:cs="Times New Roman"/>
        <w:i/>
        <w:iCs/>
        <w:sz w:val="26"/>
      </w:rPr>
      <w:tblPr/>
      <w:tcPr>
        <w:tcBorders>
          <w:top w:val="single" w:sz="4" w:space="0" w:color="7F7F7F"/>
        </w:tcBorders>
        <w:shd w:val="clear" w:color="auto" w:fill="FFFFFF"/>
      </w:tcPr>
    </w:tblStylePr>
    <w:tblStylePr w:type="firstCol">
      <w:pPr>
        <w:jc w:val="right"/>
      </w:pPr>
      <w:rPr>
        <w:rFonts w:ascii="Cambria" w:eastAsia="MS Gothic" w:hAnsi="Cambria" w:cs="Times New Roman"/>
        <w:i/>
        <w:iCs/>
        <w:sz w:val="26"/>
      </w:rPr>
      <w:tblPr/>
      <w:tcPr>
        <w:tcBorders>
          <w:right w:val="single" w:sz="4" w:space="0" w:color="7F7F7F"/>
        </w:tcBorders>
        <w:shd w:val="clear" w:color="auto" w:fill="FFFFFF"/>
      </w:tcPr>
    </w:tblStylePr>
    <w:tblStylePr w:type="lastCol">
      <w:rPr>
        <w:rFonts w:ascii="Cambria" w:eastAsia="MS Gothic"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5141">
    <w:name w:val="Plain Table 5141"/>
    <w:basedOn w:val="TableNormal"/>
    <w:uiPriority w:val="45"/>
    <w:rsid w:val="001B1F65"/>
    <w:rPr>
      <w:rFonts w:ascii="Calibri" w:eastAsia="MS Mincho" w:hAnsi="Calibri" w:cs="Arial"/>
      <w:sz w:val="22"/>
      <w:szCs w:val="22"/>
    </w:rPr>
    <w:tblPr>
      <w:tblStyleRowBandSize w:val="1"/>
      <w:tblStyleColBandSize w:val="1"/>
    </w:tblPr>
    <w:tblStylePr w:type="firstRow">
      <w:rPr>
        <w:rFonts w:ascii="Cambria" w:eastAsia="MS Gothic" w:hAnsi="Cambria" w:cs="Times New Roman"/>
        <w:i/>
        <w:iCs/>
        <w:sz w:val="26"/>
      </w:rPr>
      <w:tblPr/>
      <w:tcPr>
        <w:tcBorders>
          <w:bottom w:val="single" w:sz="4" w:space="0" w:color="7F7F7F"/>
        </w:tcBorders>
        <w:shd w:val="clear" w:color="auto" w:fill="FFFFFF"/>
      </w:tcPr>
    </w:tblStylePr>
    <w:tblStylePr w:type="lastRow">
      <w:rPr>
        <w:rFonts w:ascii="Cambria" w:eastAsia="MS Gothic" w:hAnsi="Cambria" w:cs="Times New Roman"/>
        <w:i/>
        <w:iCs/>
        <w:sz w:val="26"/>
      </w:rPr>
      <w:tblPr/>
      <w:tcPr>
        <w:tcBorders>
          <w:top w:val="single" w:sz="4" w:space="0" w:color="7F7F7F"/>
        </w:tcBorders>
        <w:shd w:val="clear" w:color="auto" w:fill="FFFFFF"/>
      </w:tcPr>
    </w:tblStylePr>
    <w:tblStylePr w:type="firstCol">
      <w:pPr>
        <w:jc w:val="right"/>
      </w:pPr>
      <w:rPr>
        <w:rFonts w:ascii="Cambria" w:eastAsia="MS Gothic" w:hAnsi="Cambria" w:cs="Times New Roman"/>
        <w:i/>
        <w:iCs/>
        <w:sz w:val="26"/>
      </w:rPr>
      <w:tblPr/>
      <w:tcPr>
        <w:tcBorders>
          <w:right w:val="single" w:sz="4" w:space="0" w:color="7F7F7F"/>
        </w:tcBorders>
        <w:shd w:val="clear" w:color="auto" w:fill="FFFFFF"/>
      </w:tcPr>
    </w:tblStylePr>
    <w:tblStylePr w:type="lastCol">
      <w:rPr>
        <w:rFonts w:ascii="Cambria" w:eastAsia="MS Gothic"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51">
    <w:name w:val="Plain Table 51"/>
    <w:basedOn w:val="TableNormal"/>
    <w:uiPriority w:val="45"/>
    <w:rsid w:val="001B1F65"/>
    <w:rPr>
      <w:rFonts w:ascii="Calibri" w:eastAsia="MS Mincho" w:hAnsi="Calibri" w:cs="Arial"/>
      <w:sz w:val="22"/>
      <w:szCs w:val="22"/>
    </w:rPr>
    <w:tblPr>
      <w:tblStyleRowBandSize w:val="1"/>
      <w:tblStyleColBandSize w:val="1"/>
    </w:tblPr>
    <w:tblStylePr w:type="firstRow">
      <w:rPr>
        <w:rFonts w:ascii="Cambria" w:eastAsia="MS Gothic" w:hAnsi="Cambria" w:cs="Times New Roman"/>
        <w:i/>
        <w:iCs/>
        <w:sz w:val="26"/>
      </w:rPr>
      <w:tblPr/>
      <w:tcPr>
        <w:tcBorders>
          <w:bottom w:val="single" w:sz="4" w:space="0" w:color="7F7F7F"/>
        </w:tcBorders>
        <w:shd w:val="clear" w:color="auto" w:fill="FFFFFF"/>
      </w:tcPr>
    </w:tblStylePr>
    <w:tblStylePr w:type="lastRow">
      <w:rPr>
        <w:rFonts w:ascii="Cambria" w:eastAsia="MS Gothic" w:hAnsi="Cambria" w:cs="Times New Roman"/>
        <w:i/>
        <w:iCs/>
        <w:sz w:val="26"/>
      </w:rPr>
      <w:tblPr/>
      <w:tcPr>
        <w:tcBorders>
          <w:top w:val="single" w:sz="4" w:space="0" w:color="7F7F7F"/>
        </w:tcBorders>
        <w:shd w:val="clear" w:color="auto" w:fill="FFFFFF"/>
      </w:tcPr>
    </w:tblStylePr>
    <w:tblStylePr w:type="firstCol">
      <w:pPr>
        <w:jc w:val="right"/>
      </w:pPr>
      <w:rPr>
        <w:rFonts w:ascii="Cambria" w:eastAsia="MS Gothic" w:hAnsi="Cambria" w:cs="Times New Roman"/>
        <w:i/>
        <w:iCs/>
        <w:sz w:val="26"/>
      </w:rPr>
      <w:tblPr/>
      <w:tcPr>
        <w:tcBorders>
          <w:right w:val="single" w:sz="4" w:space="0" w:color="7F7F7F"/>
        </w:tcBorders>
        <w:shd w:val="clear" w:color="auto" w:fill="FFFFFF"/>
      </w:tcPr>
    </w:tblStylePr>
    <w:tblStylePr w:type="lastCol">
      <w:rPr>
        <w:rFonts w:ascii="Cambria" w:eastAsia="MS Gothic"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1">
    <w:name w:val="Table Grid1"/>
    <w:basedOn w:val="TableNormal"/>
    <w:next w:val="TableGrid"/>
    <w:uiPriority w:val="39"/>
    <w:rsid w:val="001B1F6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1B1F65"/>
    <w:rPr>
      <w:color w:val="808080"/>
    </w:rPr>
  </w:style>
  <w:style w:type="character" w:customStyle="1" w:styleId="light-blue">
    <w:name w:val="light-blue"/>
    <w:rsid w:val="001B1F65"/>
  </w:style>
  <w:style w:type="paragraph" w:styleId="EndnoteText">
    <w:name w:val="endnote text"/>
    <w:basedOn w:val="Normal"/>
    <w:link w:val="EndnoteTextChar"/>
    <w:uiPriority w:val="99"/>
    <w:semiHidden/>
    <w:unhideWhenUsed/>
    <w:rsid w:val="00B86C0D"/>
    <w:pPr>
      <w:spacing w:after="0" w:line="240" w:lineRule="auto"/>
    </w:pPr>
    <w:rPr>
      <w:sz w:val="20"/>
      <w:szCs w:val="20"/>
    </w:rPr>
  </w:style>
  <w:style w:type="character" w:customStyle="1" w:styleId="EndnoteTextChar">
    <w:name w:val="Endnote Text Char"/>
    <w:link w:val="EndnoteText"/>
    <w:uiPriority w:val="99"/>
    <w:semiHidden/>
    <w:rsid w:val="001B1F65"/>
    <w:rPr>
      <w:rFonts w:eastAsia="Calibri" w:cs="Arial"/>
      <w:lang w:val="en-GB"/>
    </w:rPr>
  </w:style>
  <w:style w:type="character" w:styleId="EndnoteReference">
    <w:name w:val="endnote reference"/>
    <w:uiPriority w:val="99"/>
    <w:semiHidden/>
    <w:unhideWhenUsed/>
    <w:rsid w:val="001B1F65"/>
    <w:rPr>
      <w:vertAlign w:val="superscript"/>
    </w:rPr>
  </w:style>
  <w:style w:type="character" w:customStyle="1" w:styleId="UnresolvedMention2">
    <w:name w:val="Unresolved Mention2"/>
    <w:uiPriority w:val="99"/>
    <w:semiHidden/>
    <w:unhideWhenUsed/>
    <w:rsid w:val="001B1F65"/>
    <w:rPr>
      <w:color w:val="808080"/>
      <w:shd w:val="clear" w:color="auto" w:fill="E6E6E6"/>
    </w:rPr>
  </w:style>
  <w:style w:type="character" w:customStyle="1" w:styleId="UnresolvedMention3">
    <w:name w:val="Unresolved Mention3"/>
    <w:uiPriority w:val="99"/>
    <w:semiHidden/>
    <w:unhideWhenUsed/>
    <w:rsid w:val="001B1F65"/>
    <w:rPr>
      <w:color w:val="808080"/>
      <w:shd w:val="clear" w:color="auto" w:fill="E6E6E6"/>
    </w:rPr>
  </w:style>
  <w:style w:type="paragraph" w:customStyle="1" w:styleId="TableEntry">
    <w:name w:val="Table Entry"/>
    <w:basedOn w:val="Normal"/>
    <w:rsid w:val="001B1F65"/>
    <w:pPr>
      <w:spacing w:before="20"/>
      <w:outlineLvl w:val="5"/>
    </w:pPr>
    <w:rPr>
      <w:rFonts w:ascii="Arial" w:hAnsi="Arial"/>
      <w:sz w:val="16"/>
      <w:szCs w:val="16"/>
    </w:rPr>
  </w:style>
  <w:style w:type="table" w:customStyle="1" w:styleId="PlainTable22">
    <w:name w:val="Plain Table 22"/>
    <w:basedOn w:val="TableNormal"/>
    <w:uiPriority w:val="42"/>
    <w:rsid w:val="00025960"/>
    <w:rPr>
      <w:rFonts w:ascii="Calibri" w:eastAsia="MS Mincho" w:hAnsi="Calibri" w:cs="Arial"/>
      <w:sz w:val="22"/>
      <w:szCs w:val="22"/>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b">
    <w:name w:val="Cb"/>
    <w:basedOn w:val="Normal"/>
    <w:qFormat/>
    <w:rsid w:val="00DB62EB"/>
    <w:pPr>
      <w:pBdr>
        <w:top w:val="single" w:sz="4" w:space="1" w:color="auto"/>
      </w:pBdr>
      <w:spacing w:line="360" w:lineRule="auto"/>
      <w:jc w:val="both"/>
    </w:pPr>
    <w:rPr>
      <w:sz w:val="22"/>
    </w:rPr>
  </w:style>
  <w:style w:type="paragraph" w:styleId="PlainText">
    <w:name w:val="Plain Text"/>
    <w:basedOn w:val="Normal"/>
    <w:link w:val="PlainTextChar"/>
    <w:uiPriority w:val="99"/>
    <w:semiHidden/>
    <w:unhideWhenUsed/>
    <w:rsid w:val="00CC33A7"/>
    <w:pPr>
      <w:spacing w:after="0" w:line="240" w:lineRule="auto"/>
    </w:pPr>
    <w:rPr>
      <w:rFonts w:ascii="Calibri" w:hAnsi="Calibri" w:cs="Calibri"/>
      <w:sz w:val="22"/>
    </w:rPr>
  </w:style>
  <w:style w:type="character" w:customStyle="1" w:styleId="PlainTextChar">
    <w:name w:val="Plain Text Char"/>
    <w:link w:val="PlainText"/>
    <w:uiPriority w:val="99"/>
    <w:semiHidden/>
    <w:rsid w:val="004A4D76"/>
    <w:rPr>
      <w:rFonts w:ascii="Calibri" w:eastAsia="Calibri" w:hAnsi="Calibri" w:cs="Calibri"/>
      <w:sz w:val="22"/>
      <w:szCs w:val="22"/>
      <w:lang w:val="en-GB"/>
    </w:rPr>
  </w:style>
  <w:style w:type="paragraph" w:styleId="Revision">
    <w:name w:val="Revision"/>
    <w:hidden/>
    <w:uiPriority w:val="99"/>
    <w:semiHidden/>
    <w:rsid w:val="0075423F"/>
    <w:rPr>
      <w:rFonts w:eastAsia="Calibri" w:cs="Arial"/>
      <w:sz w:val="24"/>
      <w:szCs w:val="22"/>
      <w:lang w:eastAsia="en-US"/>
    </w:rPr>
  </w:style>
  <w:style w:type="character" w:customStyle="1" w:styleId="UnresolvedMention4">
    <w:name w:val="Unresolved Mention4"/>
    <w:uiPriority w:val="99"/>
    <w:semiHidden/>
    <w:unhideWhenUsed/>
    <w:rsid w:val="00971767"/>
    <w:rPr>
      <w:color w:val="605E5C"/>
      <w:shd w:val="clear" w:color="auto" w:fill="E1DFDD"/>
    </w:rPr>
  </w:style>
  <w:style w:type="character" w:customStyle="1" w:styleId="UnresolvedMention5">
    <w:name w:val="Unresolved Mention5"/>
    <w:uiPriority w:val="99"/>
    <w:semiHidden/>
    <w:unhideWhenUsed/>
    <w:rsid w:val="00DB7AAF"/>
    <w:rPr>
      <w:color w:val="605E5C"/>
      <w:shd w:val="clear" w:color="auto" w:fill="E1DFDD"/>
    </w:rPr>
  </w:style>
  <w:style w:type="character" w:customStyle="1" w:styleId="normaltextrun">
    <w:name w:val="normaltextrun"/>
    <w:basedOn w:val="DefaultParagraphFont"/>
    <w:rsid w:val="007665A8"/>
  </w:style>
  <w:style w:type="character" w:styleId="UnresolvedMention">
    <w:name w:val="Unresolved Mention"/>
    <w:uiPriority w:val="99"/>
    <w:semiHidden/>
    <w:unhideWhenUsed/>
    <w:rsid w:val="00AA15DE"/>
    <w:rPr>
      <w:color w:val="605E5C"/>
      <w:shd w:val="clear" w:color="auto" w:fill="E1DFDD"/>
    </w:rPr>
  </w:style>
  <w:style w:type="table" w:styleId="PlainTable2">
    <w:name w:val="Plain Table 2"/>
    <w:basedOn w:val="TableNormal"/>
    <w:uiPriority w:val="42"/>
    <w:rsid w:val="00EF7168"/>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FollowedHyperlink">
    <w:name w:val="FollowedHyperlink"/>
    <w:semiHidden/>
    <w:unhideWhenUsed/>
    <w:rsid w:val="00916419"/>
    <w:rPr>
      <w:color w:val="800080"/>
      <w:u w:val="single"/>
    </w:rPr>
  </w:style>
  <w:style w:type="paragraph" w:styleId="NormalWeb">
    <w:name w:val="Normal (Web)"/>
    <w:basedOn w:val="Normal"/>
    <w:uiPriority w:val="99"/>
    <w:unhideWhenUsed/>
    <w:rsid w:val="00234C4E"/>
    <w:pPr>
      <w:spacing w:before="100" w:beforeAutospacing="1" w:after="100" w:afterAutospacing="1" w:line="240" w:lineRule="auto"/>
    </w:pPr>
    <w:rPr>
      <w:rFonts w:eastAsia="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158709">
      <w:bodyDiv w:val="1"/>
      <w:marLeft w:val="0"/>
      <w:marRight w:val="0"/>
      <w:marTop w:val="0"/>
      <w:marBottom w:val="0"/>
      <w:divBdr>
        <w:top w:val="none" w:sz="0" w:space="0" w:color="auto"/>
        <w:left w:val="none" w:sz="0" w:space="0" w:color="auto"/>
        <w:bottom w:val="none" w:sz="0" w:space="0" w:color="auto"/>
        <w:right w:val="none" w:sz="0" w:space="0" w:color="auto"/>
      </w:divBdr>
    </w:div>
    <w:div w:id="181869098">
      <w:bodyDiv w:val="1"/>
      <w:marLeft w:val="0"/>
      <w:marRight w:val="0"/>
      <w:marTop w:val="0"/>
      <w:marBottom w:val="0"/>
      <w:divBdr>
        <w:top w:val="none" w:sz="0" w:space="0" w:color="auto"/>
        <w:left w:val="none" w:sz="0" w:space="0" w:color="auto"/>
        <w:bottom w:val="none" w:sz="0" w:space="0" w:color="auto"/>
        <w:right w:val="none" w:sz="0" w:space="0" w:color="auto"/>
      </w:divBdr>
    </w:div>
    <w:div w:id="225530950">
      <w:bodyDiv w:val="1"/>
      <w:marLeft w:val="0"/>
      <w:marRight w:val="0"/>
      <w:marTop w:val="0"/>
      <w:marBottom w:val="0"/>
      <w:divBdr>
        <w:top w:val="none" w:sz="0" w:space="0" w:color="auto"/>
        <w:left w:val="none" w:sz="0" w:space="0" w:color="auto"/>
        <w:bottom w:val="none" w:sz="0" w:space="0" w:color="auto"/>
        <w:right w:val="none" w:sz="0" w:space="0" w:color="auto"/>
      </w:divBdr>
      <w:divsChild>
        <w:div w:id="2128817526">
          <w:marLeft w:val="0"/>
          <w:marRight w:val="0"/>
          <w:marTop w:val="0"/>
          <w:marBottom w:val="0"/>
          <w:divBdr>
            <w:top w:val="none" w:sz="0" w:space="0" w:color="auto"/>
            <w:left w:val="none" w:sz="0" w:space="0" w:color="auto"/>
            <w:bottom w:val="none" w:sz="0" w:space="0" w:color="auto"/>
            <w:right w:val="none" w:sz="0" w:space="0" w:color="auto"/>
          </w:divBdr>
          <w:divsChild>
            <w:div w:id="1233465898">
              <w:marLeft w:val="0"/>
              <w:marRight w:val="0"/>
              <w:marTop w:val="0"/>
              <w:marBottom w:val="0"/>
              <w:divBdr>
                <w:top w:val="none" w:sz="0" w:space="0" w:color="auto"/>
                <w:left w:val="none" w:sz="0" w:space="0" w:color="auto"/>
                <w:bottom w:val="none" w:sz="0" w:space="0" w:color="auto"/>
                <w:right w:val="none" w:sz="0" w:space="0" w:color="auto"/>
              </w:divBdr>
              <w:divsChild>
                <w:div w:id="137804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356205">
      <w:bodyDiv w:val="1"/>
      <w:marLeft w:val="0"/>
      <w:marRight w:val="0"/>
      <w:marTop w:val="0"/>
      <w:marBottom w:val="0"/>
      <w:divBdr>
        <w:top w:val="none" w:sz="0" w:space="0" w:color="auto"/>
        <w:left w:val="none" w:sz="0" w:space="0" w:color="auto"/>
        <w:bottom w:val="none" w:sz="0" w:space="0" w:color="auto"/>
        <w:right w:val="none" w:sz="0" w:space="0" w:color="auto"/>
      </w:divBdr>
    </w:div>
    <w:div w:id="330832621">
      <w:bodyDiv w:val="1"/>
      <w:marLeft w:val="0"/>
      <w:marRight w:val="0"/>
      <w:marTop w:val="0"/>
      <w:marBottom w:val="0"/>
      <w:divBdr>
        <w:top w:val="none" w:sz="0" w:space="0" w:color="auto"/>
        <w:left w:val="none" w:sz="0" w:space="0" w:color="auto"/>
        <w:bottom w:val="none" w:sz="0" w:space="0" w:color="auto"/>
        <w:right w:val="none" w:sz="0" w:space="0" w:color="auto"/>
      </w:divBdr>
    </w:div>
    <w:div w:id="349337216">
      <w:bodyDiv w:val="1"/>
      <w:marLeft w:val="0"/>
      <w:marRight w:val="0"/>
      <w:marTop w:val="0"/>
      <w:marBottom w:val="0"/>
      <w:divBdr>
        <w:top w:val="none" w:sz="0" w:space="0" w:color="auto"/>
        <w:left w:val="none" w:sz="0" w:space="0" w:color="auto"/>
        <w:bottom w:val="none" w:sz="0" w:space="0" w:color="auto"/>
        <w:right w:val="none" w:sz="0" w:space="0" w:color="auto"/>
      </w:divBdr>
    </w:div>
    <w:div w:id="398330053">
      <w:bodyDiv w:val="1"/>
      <w:marLeft w:val="0"/>
      <w:marRight w:val="0"/>
      <w:marTop w:val="0"/>
      <w:marBottom w:val="0"/>
      <w:divBdr>
        <w:top w:val="none" w:sz="0" w:space="0" w:color="auto"/>
        <w:left w:val="none" w:sz="0" w:space="0" w:color="auto"/>
        <w:bottom w:val="none" w:sz="0" w:space="0" w:color="auto"/>
        <w:right w:val="none" w:sz="0" w:space="0" w:color="auto"/>
      </w:divBdr>
      <w:divsChild>
        <w:div w:id="2101368261">
          <w:marLeft w:val="0"/>
          <w:marRight w:val="0"/>
          <w:marTop w:val="0"/>
          <w:marBottom w:val="0"/>
          <w:divBdr>
            <w:top w:val="none" w:sz="0" w:space="0" w:color="auto"/>
            <w:left w:val="none" w:sz="0" w:space="0" w:color="auto"/>
            <w:bottom w:val="none" w:sz="0" w:space="0" w:color="auto"/>
            <w:right w:val="none" w:sz="0" w:space="0" w:color="auto"/>
          </w:divBdr>
          <w:divsChild>
            <w:div w:id="193351432">
              <w:marLeft w:val="0"/>
              <w:marRight w:val="0"/>
              <w:marTop w:val="0"/>
              <w:marBottom w:val="0"/>
              <w:divBdr>
                <w:top w:val="none" w:sz="0" w:space="0" w:color="auto"/>
                <w:left w:val="none" w:sz="0" w:space="0" w:color="auto"/>
                <w:bottom w:val="none" w:sz="0" w:space="0" w:color="auto"/>
                <w:right w:val="none" w:sz="0" w:space="0" w:color="auto"/>
              </w:divBdr>
              <w:divsChild>
                <w:div w:id="541865564">
                  <w:marLeft w:val="0"/>
                  <w:marRight w:val="0"/>
                  <w:marTop w:val="0"/>
                  <w:marBottom w:val="0"/>
                  <w:divBdr>
                    <w:top w:val="none" w:sz="0" w:space="0" w:color="auto"/>
                    <w:left w:val="none" w:sz="0" w:space="0" w:color="auto"/>
                    <w:bottom w:val="none" w:sz="0" w:space="0" w:color="auto"/>
                    <w:right w:val="none" w:sz="0" w:space="0" w:color="auto"/>
                  </w:divBdr>
                  <w:divsChild>
                    <w:div w:id="1713915723">
                      <w:marLeft w:val="0"/>
                      <w:marRight w:val="0"/>
                      <w:marTop w:val="0"/>
                      <w:marBottom w:val="0"/>
                      <w:divBdr>
                        <w:top w:val="none" w:sz="0" w:space="0" w:color="auto"/>
                        <w:left w:val="none" w:sz="0" w:space="0" w:color="auto"/>
                        <w:bottom w:val="none" w:sz="0" w:space="0" w:color="auto"/>
                        <w:right w:val="none" w:sz="0" w:space="0" w:color="auto"/>
                      </w:divBdr>
                      <w:divsChild>
                        <w:div w:id="1319300">
                          <w:marLeft w:val="0"/>
                          <w:marRight w:val="0"/>
                          <w:marTop w:val="0"/>
                          <w:marBottom w:val="0"/>
                          <w:divBdr>
                            <w:top w:val="none" w:sz="0" w:space="0" w:color="auto"/>
                            <w:left w:val="none" w:sz="0" w:space="0" w:color="auto"/>
                            <w:bottom w:val="none" w:sz="0" w:space="0" w:color="auto"/>
                            <w:right w:val="none" w:sz="0" w:space="0" w:color="auto"/>
                          </w:divBdr>
                          <w:divsChild>
                            <w:div w:id="383413249">
                              <w:marLeft w:val="0"/>
                              <w:marRight w:val="0"/>
                              <w:marTop w:val="0"/>
                              <w:marBottom w:val="0"/>
                              <w:divBdr>
                                <w:top w:val="none" w:sz="0" w:space="0" w:color="auto"/>
                                <w:left w:val="none" w:sz="0" w:space="0" w:color="auto"/>
                                <w:bottom w:val="none" w:sz="0" w:space="0" w:color="auto"/>
                                <w:right w:val="none" w:sz="0" w:space="0" w:color="auto"/>
                              </w:divBdr>
                              <w:divsChild>
                                <w:div w:id="1374575973">
                                  <w:marLeft w:val="0"/>
                                  <w:marRight w:val="0"/>
                                  <w:marTop w:val="0"/>
                                  <w:marBottom w:val="0"/>
                                  <w:divBdr>
                                    <w:top w:val="none" w:sz="0" w:space="0" w:color="auto"/>
                                    <w:left w:val="none" w:sz="0" w:space="0" w:color="auto"/>
                                    <w:bottom w:val="none" w:sz="0" w:space="0" w:color="auto"/>
                                    <w:right w:val="none" w:sz="0" w:space="0" w:color="auto"/>
                                  </w:divBdr>
                                  <w:divsChild>
                                    <w:div w:id="1321538096">
                                      <w:marLeft w:val="0"/>
                                      <w:marRight w:val="0"/>
                                      <w:marTop w:val="0"/>
                                      <w:marBottom w:val="0"/>
                                      <w:divBdr>
                                        <w:top w:val="none" w:sz="0" w:space="0" w:color="auto"/>
                                        <w:left w:val="none" w:sz="0" w:space="0" w:color="auto"/>
                                        <w:bottom w:val="none" w:sz="0" w:space="0" w:color="auto"/>
                                        <w:right w:val="none" w:sz="0" w:space="0" w:color="auto"/>
                                      </w:divBdr>
                                      <w:divsChild>
                                        <w:div w:id="53623300">
                                          <w:marLeft w:val="0"/>
                                          <w:marRight w:val="0"/>
                                          <w:marTop w:val="0"/>
                                          <w:marBottom w:val="0"/>
                                          <w:divBdr>
                                            <w:top w:val="none" w:sz="0" w:space="0" w:color="auto"/>
                                            <w:left w:val="none" w:sz="0" w:space="0" w:color="auto"/>
                                            <w:bottom w:val="none" w:sz="0" w:space="0" w:color="auto"/>
                                            <w:right w:val="none" w:sz="0" w:space="0" w:color="auto"/>
                                          </w:divBdr>
                                          <w:divsChild>
                                            <w:div w:id="1118797199">
                                              <w:marLeft w:val="0"/>
                                              <w:marRight w:val="0"/>
                                              <w:marTop w:val="0"/>
                                              <w:marBottom w:val="0"/>
                                              <w:divBdr>
                                                <w:top w:val="none" w:sz="0" w:space="0" w:color="auto"/>
                                                <w:left w:val="none" w:sz="0" w:space="0" w:color="auto"/>
                                                <w:bottom w:val="none" w:sz="0" w:space="0" w:color="auto"/>
                                                <w:right w:val="none" w:sz="0" w:space="0" w:color="auto"/>
                                              </w:divBdr>
                                              <w:divsChild>
                                                <w:div w:id="1499613694">
                                                  <w:marLeft w:val="0"/>
                                                  <w:marRight w:val="0"/>
                                                  <w:marTop w:val="0"/>
                                                  <w:marBottom w:val="0"/>
                                                  <w:divBdr>
                                                    <w:top w:val="none" w:sz="0" w:space="0" w:color="auto"/>
                                                    <w:left w:val="none" w:sz="0" w:space="0" w:color="auto"/>
                                                    <w:bottom w:val="none" w:sz="0" w:space="0" w:color="auto"/>
                                                    <w:right w:val="none" w:sz="0" w:space="0" w:color="auto"/>
                                                  </w:divBdr>
                                                  <w:divsChild>
                                                    <w:div w:id="1368943716">
                                                      <w:marLeft w:val="0"/>
                                                      <w:marRight w:val="0"/>
                                                      <w:marTop w:val="0"/>
                                                      <w:marBottom w:val="0"/>
                                                      <w:divBdr>
                                                        <w:top w:val="single" w:sz="6" w:space="0" w:color="ABABAB"/>
                                                        <w:left w:val="single" w:sz="6" w:space="0" w:color="ABABAB"/>
                                                        <w:bottom w:val="none" w:sz="0" w:space="0" w:color="auto"/>
                                                        <w:right w:val="single" w:sz="6" w:space="0" w:color="ABABAB"/>
                                                      </w:divBdr>
                                                      <w:divsChild>
                                                        <w:div w:id="1065418834">
                                                          <w:marLeft w:val="0"/>
                                                          <w:marRight w:val="0"/>
                                                          <w:marTop w:val="0"/>
                                                          <w:marBottom w:val="0"/>
                                                          <w:divBdr>
                                                            <w:top w:val="none" w:sz="0" w:space="0" w:color="auto"/>
                                                            <w:left w:val="none" w:sz="0" w:space="0" w:color="auto"/>
                                                            <w:bottom w:val="none" w:sz="0" w:space="0" w:color="auto"/>
                                                            <w:right w:val="none" w:sz="0" w:space="0" w:color="auto"/>
                                                          </w:divBdr>
                                                          <w:divsChild>
                                                            <w:div w:id="957417174">
                                                              <w:marLeft w:val="0"/>
                                                              <w:marRight w:val="0"/>
                                                              <w:marTop w:val="0"/>
                                                              <w:marBottom w:val="0"/>
                                                              <w:divBdr>
                                                                <w:top w:val="none" w:sz="0" w:space="0" w:color="auto"/>
                                                                <w:left w:val="none" w:sz="0" w:space="0" w:color="auto"/>
                                                                <w:bottom w:val="none" w:sz="0" w:space="0" w:color="auto"/>
                                                                <w:right w:val="none" w:sz="0" w:space="0" w:color="auto"/>
                                                              </w:divBdr>
                                                              <w:divsChild>
                                                                <w:div w:id="1587617008">
                                                                  <w:marLeft w:val="0"/>
                                                                  <w:marRight w:val="0"/>
                                                                  <w:marTop w:val="0"/>
                                                                  <w:marBottom w:val="0"/>
                                                                  <w:divBdr>
                                                                    <w:top w:val="none" w:sz="0" w:space="0" w:color="auto"/>
                                                                    <w:left w:val="none" w:sz="0" w:space="0" w:color="auto"/>
                                                                    <w:bottom w:val="none" w:sz="0" w:space="0" w:color="auto"/>
                                                                    <w:right w:val="none" w:sz="0" w:space="0" w:color="auto"/>
                                                                  </w:divBdr>
                                                                  <w:divsChild>
                                                                    <w:div w:id="83309627">
                                                                      <w:marLeft w:val="0"/>
                                                                      <w:marRight w:val="0"/>
                                                                      <w:marTop w:val="0"/>
                                                                      <w:marBottom w:val="0"/>
                                                                      <w:divBdr>
                                                                        <w:top w:val="none" w:sz="0" w:space="0" w:color="auto"/>
                                                                        <w:left w:val="none" w:sz="0" w:space="0" w:color="auto"/>
                                                                        <w:bottom w:val="none" w:sz="0" w:space="0" w:color="auto"/>
                                                                        <w:right w:val="none" w:sz="0" w:space="0" w:color="auto"/>
                                                                      </w:divBdr>
                                                                      <w:divsChild>
                                                                        <w:div w:id="275676396">
                                                                          <w:marLeft w:val="0"/>
                                                                          <w:marRight w:val="0"/>
                                                                          <w:marTop w:val="0"/>
                                                                          <w:marBottom w:val="0"/>
                                                                          <w:divBdr>
                                                                            <w:top w:val="none" w:sz="0" w:space="0" w:color="auto"/>
                                                                            <w:left w:val="none" w:sz="0" w:space="0" w:color="auto"/>
                                                                            <w:bottom w:val="none" w:sz="0" w:space="0" w:color="auto"/>
                                                                            <w:right w:val="none" w:sz="0" w:space="0" w:color="auto"/>
                                                                          </w:divBdr>
                                                                          <w:divsChild>
                                                                            <w:div w:id="782964648">
                                                                              <w:marLeft w:val="0"/>
                                                                              <w:marRight w:val="0"/>
                                                                              <w:marTop w:val="0"/>
                                                                              <w:marBottom w:val="0"/>
                                                                              <w:divBdr>
                                                                                <w:top w:val="none" w:sz="0" w:space="0" w:color="auto"/>
                                                                                <w:left w:val="none" w:sz="0" w:space="0" w:color="auto"/>
                                                                                <w:bottom w:val="none" w:sz="0" w:space="0" w:color="auto"/>
                                                                                <w:right w:val="none" w:sz="0" w:space="0" w:color="auto"/>
                                                                              </w:divBdr>
                                                                              <w:divsChild>
                                                                                <w:div w:id="339548645">
                                                                                  <w:marLeft w:val="0"/>
                                                                                  <w:marRight w:val="0"/>
                                                                                  <w:marTop w:val="0"/>
                                                                                  <w:marBottom w:val="0"/>
                                                                                  <w:divBdr>
                                                                                    <w:top w:val="none" w:sz="0" w:space="0" w:color="auto"/>
                                                                                    <w:left w:val="none" w:sz="0" w:space="0" w:color="auto"/>
                                                                                    <w:bottom w:val="none" w:sz="0" w:space="0" w:color="auto"/>
                                                                                    <w:right w:val="none" w:sz="0" w:space="0" w:color="auto"/>
                                                                                  </w:divBdr>
                                                                                </w:div>
                                                                                <w:div w:id="493884862">
                                                                                  <w:marLeft w:val="0"/>
                                                                                  <w:marRight w:val="0"/>
                                                                                  <w:marTop w:val="0"/>
                                                                                  <w:marBottom w:val="0"/>
                                                                                  <w:divBdr>
                                                                                    <w:top w:val="none" w:sz="0" w:space="0" w:color="auto"/>
                                                                                    <w:left w:val="none" w:sz="0" w:space="0" w:color="auto"/>
                                                                                    <w:bottom w:val="none" w:sz="0" w:space="0" w:color="auto"/>
                                                                                    <w:right w:val="none" w:sz="0" w:space="0" w:color="auto"/>
                                                                                  </w:divBdr>
                                                                                </w:div>
                                                                                <w:div w:id="685326256">
                                                                                  <w:marLeft w:val="0"/>
                                                                                  <w:marRight w:val="0"/>
                                                                                  <w:marTop w:val="0"/>
                                                                                  <w:marBottom w:val="0"/>
                                                                                  <w:divBdr>
                                                                                    <w:top w:val="none" w:sz="0" w:space="0" w:color="auto"/>
                                                                                    <w:left w:val="none" w:sz="0" w:space="0" w:color="auto"/>
                                                                                    <w:bottom w:val="none" w:sz="0" w:space="0" w:color="auto"/>
                                                                                    <w:right w:val="none" w:sz="0" w:space="0" w:color="auto"/>
                                                                                  </w:divBdr>
                                                                                  <w:divsChild>
                                                                                    <w:div w:id="1752658319">
                                                                                      <w:marLeft w:val="-75"/>
                                                                                      <w:marRight w:val="0"/>
                                                                                      <w:marTop w:val="30"/>
                                                                                      <w:marBottom w:val="30"/>
                                                                                      <w:divBdr>
                                                                                        <w:top w:val="none" w:sz="0" w:space="0" w:color="auto"/>
                                                                                        <w:left w:val="none" w:sz="0" w:space="0" w:color="auto"/>
                                                                                        <w:bottom w:val="none" w:sz="0" w:space="0" w:color="auto"/>
                                                                                        <w:right w:val="none" w:sz="0" w:space="0" w:color="auto"/>
                                                                                      </w:divBdr>
                                                                                      <w:divsChild>
                                                                                        <w:div w:id="102582079">
                                                                                          <w:marLeft w:val="0"/>
                                                                                          <w:marRight w:val="0"/>
                                                                                          <w:marTop w:val="0"/>
                                                                                          <w:marBottom w:val="0"/>
                                                                                          <w:divBdr>
                                                                                            <w:top w:val="none" w:sz="0" w:space="0" w:color="auto"/>
                                                                                            <w:left w:val="none" w:sz="0" w:space="0" w:color="auto"/>
                                                                                            <w:bottom w:val="none" w:sz="0" w:space="0" w:color="auto"/>
                                                                                            <w:right w:val="none" w:sz="0" w:space="0" w:color="auto"/>
                                                                                          </w:divBdr>
                                                                                          <w:divsChild>
                                                                                            <w:div w:id="1705328277">
                                                                                              <w:marLeft w:val="0"/>
                                                                                              <w:marRight w:val="0"/>
                                                                                              <w:marTop w:val="0"/>
                                                                                              <w:marBottom w:val="0"/>
                                                                                              <w:divBdr>
                                                                                                <w:top w:val="none" w:sz="0" w:space="0" w:color="auto"/>
                                                                                                <w:left w:val="none" w:sz="0" w:space="0" w:color="auto"/>
                                                                                                <w:bottom w:val="none" w:sz="0" w:space="0" w:color="auto"/>
                                                                                                <w:right w:val="none" w:sz="0" w:space="0" w:color="auto"/>
                                                                                              </w:divBdr>
                                                                                            </w:div>
                                                                                          </w:divsChild>
                                                                                        </w:div>
                                                                                        <w:div w:id="133645488">
                                                                                          <w:marLeft w:val="0"/>
                                                                                          <w:marRight w:val="0"/>
                                                                                          <w:marTop w:val="0"/>
                                                                                          <w:marBottom w:val="0"/>
                                                                                          <w:divBdr>
                                                                                            <w:top w:val="none" w:sz="0" w:space="0" w:color="auto"/>
                                                                                            <w:left w:val="none" w:sz="0" w:space="0" w:color="auto"/>
                                                                                            <w:bottom w:val="none" w:sz="0" w:space="0" w:color="auto"/>
                                                                                            <w:right w:val="none" w:sz="0" w:space="0" w:color="auto"/>
                                                                                          </w:divBdr>
                                                                                          <w:divsChild>
                                                                                            <w:div w:id="863787471">
                                                                                              <w:marLeft w:val="0"/>
                                                                                              <w:marRight w:val="0"/>
                                                                                              <w:marTop w:val="0"/>
                                                                                              <w:marBottom w:val="0"/>
                                                                                              <w:divBdr>
                                                                                                <w:top w:val="none" w:sz="0" w:space="0" w:color="auto"/>
                                                                                                <w:left w:val="none" w:sz="0" w:space="0" w:color="auto"/>
                                                                                                <w:bottom w:val="none" w:sz="0" w:space="0" w:color="auto"/>
                                                                                                <w:right w:val="none" w:sz="0" w:space="0" w:color="auto"/>
                                                                                              </w:divBdr>
                                                                                            </w:div>
                                                                                          </w:divsChild>
                                                                                        </w:div>
                                                                                        <w:div w:id="159467622">
                                                                                          <w:marLeft w:val="0"/>
                                                                                          <w:marRight w:val="0"/>
                                                                                          <w:marTop w:val="0"/>
                                                                                          <w:marBottom w:val="0"/>
                                                                                          <w:divBdr>
                                                                                            <w:top w:val="none" w:sz="0" w:space="0" w:color="auto"/>
                                                                                            <w:left w:val="none" w:sz="0" w:space="0" w:color="auto"/>
                                                                                            <w:bottom w:val="none" w:sz="0" w:space="0" w:color="auto"/>
                                                                                            <w:right w:val="none" w:sz="0" w:space="0" w:color="auto"/>
                                                                                          </w:divBdr>
                                                                                          <w:divsChild>
                                                                                            <w:div w:id="2038964733">
                                                                                              <w:marLeft w:val="0"/>
                                                                                              <w:marRight w:val="0"/>
                                                                                              <w:marTop w:val="0"/>
                                                                                              <w:marBottom w:val="0"/>
                                                                                              <w:divBdr>
                                                                                                <w:top w:val="none" w:sz="0" w:space="0" w:color="auto"/>
                                                                                                <w:left w:val="none" w:sz="0" w:space="0" w:color="auto"/>
                                                                                                <w:bottom w:val="none" w:sz="0" w:space="0" w:color="auto"/>
                                                                                                <w:right w:val="none" w:sz="0" w:space="0" w:color="auto"/>
                                                                                              </w:divBdr>
                                                                                            </w:div>
                                                                                          </w:divsChild>
                                                                                        </w:div>
                                                                                        <w:div w:id="269045863">
                                                                                          <w:marLeft w:val="0"/>
                                                                                          <w:marRight w:val="0"/>
                                                                                          <w:marTop w:val="0"/>
                                                                                          <w:marBottom w:val="0"/>
                                                                                          <w:divBdr>
                                                                                            <w:top w:val="none" w:sz="0" w:space="0" w:color="auto"/>
                                                                                            <w:left w:val="none" w:sz="0" w:space="0" w:color="auto"/>
                                                                                            <w:bottom w:val="none" w:sz="0" w:space="0" w:color="auto"/>
                                                                                            <w:right w:val="none" w:sz="0" w:space="0" w:color="auto"/>
                                                                                          </w:divBdr>
                                                                                          <w:divsChild>
                                                                                            <w:div w:id="1380395335">
                                                                                              <w:marLeft w:val="0"/>
                                                                                              <w:marRight w:val="0"/>
                                                                                              <w:marTop w:val="0"/>
                                                                                              <w:marBottom w:val="0"/>
                                                                                              <w:divBdr>
                                                                                                <w:top w:val="none" w:sz="0" w:space="0" w:color="auto"/>
                                                                                                <w:left w:val="none" w:sz="0" w:space="0" w:color="auto"/>
                                                                                                <w:bottom w:val="none" w:sz="0" w:space="0" w:color="auto"/>
                                                                                                <w:right w:val="none" w:sz="0" w:space="0" w:color="auto"/>
                                                                                              </w:divBdr>
                                                                                            </w:div>
                                                                                          </w:divsChild>
                                                                                        </w:div>
                                                                                        <w:div w:id="410010008">
                                                                                          <w:marLeft w:val="0"/>
                                                                                          <w:marRight w:val="0"/>
                                                                                          <w:marTop w:val="0"/>
                                                                                          <w:marBottom w:val="0"/>
                                                                                          <w:divBdr>
                                                                                            <w:top w:val="none" w:sz="0" w:space="0" w:color="auto"/>
                                                                                            <w:left w:val="none" w:sz="0" w:space="0" w:color="auto"/>
                                                                                            <w:bottom w:val="none" w:sz="0" w:space="0" w:color="auto"/>
                                                                                            <w:right w:val="none" w:sz="0" w:space="0" w:color="auto"/>
                                                                                          </w:divBdr>
                                                                                          <w:divsChild>
                                                                                            <w:div w:id="1114133564">
                                                                                              <w:marLeft w:val="0"/>
                                                                                              <w:marRight w:val="0"/>
                                                                                              <w:marTop w:val="0"/>
                                                                                              <w:marBottom w:val="0"/>
                                                                                              <w:divBdr>
                                                                                                <w:top w:val="none" w:sz="0" w:space="0" w:color="auto"/>
                                                                                                <w:left w:val="none" w:sz="0" w:space="0" w:color="auto"/>
                                                                                                <w:bottom w:val="none" w:sz="0" w:space="0" w:color="auto"/>
                                                                                                <w:right w:val="none" w:sz="0" w:space="0" w:color="auto"/>
                                                                                              </w:divBdr>
                                                                                            </w:div>
                                                                                          </w:divsChild>
                                                                                        </w:div>
                                                                                        <w:div w:id="457796940">
                                                                                          <w:marLeft w:val="0"/>
                                                                                          <w:marRight w:val="0"/>
                                                                                          <w:marTop w:val="0"/>
                                                                                          <w:marBottom w:val="0"/>
                                                                                          <w:divBdr>
                                                                                            <w:top w:val="none" w:sz="0" w:space="0" w:color="auto"/>
                                                                                            <w:left w:val="none" w:sz="0" w:space="0" w:color="auto"/>
                                                                                            <w:bottom w:val="none" w:sz="0" w:space="0" w:color="auto"/>
                                                                                            <w:right w:val="none" w:sz="0" w:space="0" w:color="auto"/>
                                                                                          </w:divBdr>
                                                                                          <w:divsChild>
                                                                                            <w:div w:id="474227">
                                                                                              <w:marLeft w:val="0"/>
                                                                                              <w:marRight w:val="0"/>
                                                                                              <w:marTop w:val="0"/>
                                                                                              <w:marBottom w:val="0"/>
                                                                                              <w:divBdr>
                                                                                                <w:top w:val="none" w:sz="0" w:space="0" w:color="auto"/>
                                                                                                <w:left w:val="none" w:sz="0" w:space="0" w:color="auto"/>
                                                                                                <w:bottom w:val="none" w:sz="0" w:space="0" w:color="auto"/>
                                                                                                <w:right w:val="none" w:sz="0" w:space="0" w:color="auto"/>
                                                                                              </w:divBdr>
                                                                                            </w:div>
                                                                                          </w:divsChild>
                                                                                        </w:div>
                                                                                        <w:div w:id="470906566">
                                                                                          <w:marLeft w:val="0"/>
                                                                                          <w:marRight w:val="0"/>
                                                                                          <w:marTop w:val="0"/>
                                                                                          <w:marBottom w:val="0"/>
                                                                                          <w:divBdr>
                                                                                            <w:top w:val="none" w:sz="0" w:space="0" w:color="auto"/>
                                                                                            <w:left w:val="none" w:sz="0" w:space="0" w:color="auto"/>
                                                                                            <w:bottom w:val="none" w:sz="0" w:space="0" w:color="auto"/>
                                                                                            <w:right w:val="none" w:sz="0" w:space="0" w:color="auto"/>
                                                                                          </w:divBdr>
                                                                                          <w:divsChild>
                                                                                            <w:div w:id="681862939">
                                                                                              <w:marLeft w:val="0"/>
                                                                                              <w:marRight w:val="0"/>
                                                                                              <w:marTop w:val="0"/>
                                                                                              <w:marBottom w:val="0"/>
                                                                                              <w:divBdr>
                                                                                                <w:top w:val="none" w:sz="0" w:space="0" w:color="auto"/>
                                                                                                <w:left w:val="none" w:sz="0" w:space="0" w:color="auto"/>
                                                                                                <w:bottom w:val="none" w:sz="0" w:space="0" w:color="auto"/>
                                                                                                <w:right w:val="none" w:sz="0" w:space="0" w:color="auto"/>
                                                                                              </w:divBdr>
                                                                                            </w:div>
                                                                                          </w:divsChild>
                                                                                        </w:div>
                                                                                        <w:div w:id="475924424">
                                                                                          <w:marLeft w:val="0"/>
                                                                                          <w:marRight w:val="0"/>
                                                                                          <w:marTop w:val="0"/>
                                                                                          <w:marBottom w:val="0"/>
                                                                                          <w:divBdr>
                                                                                            <w:top w:val="none" w:sz="0" w:space="0" w:color="auto"/>
                                                                                            <w:left w:val="none" w:sz="0" w:space="0" w:color="auto"/>
                                                                                            <w:bottom w:val="none" w:sz="0" w:space="0" w:color="auto"/>
                                                                                            <w:right w:val="none" w:sz="0" w:space="0" w:color="auto"/>
                                                                                          </w:divBdr>
                                                                                          <w:divsChild>
                                                                                            <w:div w:id="422532279">
                                                                                              <w:marLeft w:val="0"/>
                                                                                              <w:marRight w:val="0"/>
                                                                                              <w:marTop w:val="0"/>
                                                                                              <w:marBottom w:val="0"/>
                                                                                              <w:divBdr>
                                                                                                <w:top w:val="none" w:sz="0" w:space="0" w:color="auto"/>
                                                                                                <w:left w:val="none" w:sz="0" w:space="0" w:color="auto"/>
                                                                                                <w:bottom w:val="none" w:sz="0" w:space="0" w:color="auto"/>
                                                                                                <w:right w:val="none" w:sz="0" w:space="0" w:color="auto"/>
                                                                                              </w:divBdr>
                                                                                            </w:div>
                                                                                          </w:divsChild>
                                                                                        </w:div>
                                                                                        <w:div w:id="491718218">
                                                                                          <w:marLeft w:val="0"/>
                                                                                          <w:marRight w:val="0"/>
                                                                                          <w:marTop w:val="0"/>
                                                                                          <w:marBottom w:val="0"/>
                                                                                          <w:divBdr>
                                                                                            <w:top w:val="none" w:sz="0" w:space="0" w:color="auto"/>
                                                                                            <w:left w:val="none" w:sz="0" w:space="0" w:color="auto"/>
                                                                                            <w:bottom w:val="none" w:sz="0" w:space="0" w:color="auto"/>
                                                                                            <w:right w:val="none" w:sz="0" w:space="0" w:color="auto"/>
                                                                                          </w:divBdr>
                                                                                          <w:divsChild>
                                                                                            <w:div w:id="1820532602">
                                                                                              <w:marLeft w:val="0"/>
                                                                                              <w:marRight w:val="0"/>
                                                                                              <w:marTop w:val="0"/>
                                                                                              <w:marBottom w:val="0"/>
                                                                                              <w:divBdr>
                                                                                                <w:top w:val="none" w:sz="0" w:space="0" w:color="auto"/>
                                                                                                <w:left w:val="none" w:sz="0" w:space="0" w:color="auto"/>
                                                                                                <w:bottom w:val="none" w:sz="0" w:space="0" w:color="auto"/>
                                                                                                <w:right w:val="none" w:sz="0" w:space="0" w:color="auto"/>
                                                                                              </w:divBdr>
                                                                                            </w:div>
                                                                                          </w:divsChild>
                                                                                        </w:div>
                                                                                        <w:div w:id="499391737">
                                                                                          <w:marLeft w:val="0"/>
                                                                                          <w:marRight w:val="0"/>
                                                                                          <w:marTop w:val="0"/>
                                                                                          <w:marBottom w:val="0"/>
                                                                                          <w:divBdr>
                                                                                            <w:top w:val="none" w:sz="0" w:space="0" w:color="auto"/>
                                                                                            <w:left w:val="none" w:sz="0" w:space="0" w:color="auto"/>
                                                                                            <w:bottom w:val="none" w:sz="0" w:space="0" w:color="auto"/>
                                                                                            <w:right w:val="none" w:sz="0" w:space="0" w:color="auto"/>
                                                                                          </w:divBdr>
                                                                                          <w:divsChild>
                                                                                            <w:div w:id="452988926">
                                                                                              <w:marLeft w:val="0"/>
                                                                                              <w:marRight w:val="0"/>
                                                                                              <w:marTop w:val="0"/>
                                                                                              <w:marBottom w:val="0"/>
                                                                                              <w:divBdr>
                                                                                                <w:top w:val="none" w:sz="0" w:space="0" w:color="auto"/>
                                                                                                <w:left w:val="none" w:sz="0" w:space="0" w:color="auto"/>
                                                                                                <w:bottom w:val="none" w:sz="0" w:space="0" w:color="auto"/>
                                                                                                <w:right w:val="none" w:sz="0" w:space="0" w:color="auto"/>
                                                                                              </w:divBdr>
                                                                                            </w:div>
                                                                                          </w:divsChild>
                                                                                        </w:div>
                                                                                        <w:div w:id="623929784">
                                                                                          <w:marLeft w:val="0"/>
                                                                                          <w:marRight w:val="0"/>
                                                                                          <w:marTop w:val="0"/>
                                                                                          <w:marBottom w:val="0"/>
                                                                                          <w:divBdr>
                                                                                            <w:top w:val="none" w:sz="0" w:space="0" w:color="auto"/>
                                                                                            <w:left w:val="none" w:sz="0" w:space="0" w:color="auto"/>
                                                                                            <w:bottom w:val="none" w:sz="0" w:space="0" w:color="auto"/>
                                                                                            <w:right w:val="none" w:sz="0" w:space="0" w:color="auto"/>
                                                                                          </w:divBdr>
                                                                                          <w:divsChild>
                                                                                            <w:div w:id="1402018972">
                                                                                              <w:marLeft w:val="0"/>
                                                                                              <w:marRight w:val="0"/>
                                                                                              <w:marTop w:val="0"/>
                                                                                              <w:marBottom w:val="0"/>
                                                                                              <w:divBdr>
                                                                                                <w:top w:val="none" w:sz="0" w:space="0" w:color="auto"/>
                                                                                                <w:left w:val="none" w:sz="0" w:space="0" w:color="auto"/>
                                                                                                <w:bottom w:val="none" w:sz="0" w:space="0" w:color="auto"/>
                                                                                                <w:right w:val="none" w:sz="0" w:space="0" w:color="auto"/>
                                                                                              </w:divBdr>
                                                                                            </w:div>
                                                                                          </w:divsChild>
                                                                                        </w:div>
                                                                                        <w:div w:id="633103272">
                                                                                          <w:marLeft w:val="0"/>
                                                                                          <w:marRight w:val="0"/>
                                                                                          <w:marTop w:val="0"/>
                                                                                          <w:marBottom w:val="0"/>
                                                                                          <w:divBdr>
                                                                                            <w:top w:val="none" w:sz="0" w:space="0" w:color="auto"/>
                                                                                            <w:left w:val="none" w:sz="0" w:space="0" w:color="auto"/>
                                                                                            <w:bottom w:val="none" w:sz="0" w:space="0" w:color="auto"/>
                                                                                            <w:right w:val="none" w:sz="0" w:space="0" w:color="auto"/>
                                                                                          </w:divBdr>
                                                                                          <w:divsChild>
                                                                                            <w:div w:id="137580023">
                                                                                              <w:marLeft w:val="0"/>
                                                                                              <w:marRight w:val="0"/>
                                                                                              <w:marTop w:val="0"/>
                                                                                              <w:marBottom w:val="0"/>
                                                                                              <w:divBdr>
                                                                                                <w:top w:val="none" w:sz="0" w:space="0" w:color="auto"/>
                                                                                                <w:left w:val="none" w:sz="0" w:space="0" w:color="auto"/>
                                                                                                <w:bottom w:val="none" w:sz="0" w:space="0" w:color="auto"/>
                                                                                                <w:right w:val="none" w:sz="0" w:space="0" w:color="auto"/>
                                                                                              </w:divBdr>
                                                                                            </w:div>
                                                                                          </w:divsChild>
                                                                                        </w:div>
                                                                                        <w:div w:id="651837187">
                                                                                          <w:marLeft w:val="0"/>
                                                                                          <w:marRight w:val="0"/>
                                                                                          <w:marTop w:val="0"/>
                                                                                          <w:marBottom w:val="0"/>
                                                                                          <w:divBdr>
                                                                                            <w:top w:val="none" w:sz="0" w:space="0" w:color="auto"/>
                                                                                            <w:left w:val="none" w:sz="0" w:space="0" w:color="auto"/>
                                                                                            <w:bottom w:val="none" w:sz="0" w:space="0" w:color="auto"/>
                                                                                            <w:right w:val="none" w:sz="0" w:space="0" w:color="auto"/>
                                                                                          </w:divBdr>
                                                                                          <w:divsChild>
                                                                                            <w:div w:id="934291800">
                                                                                              <w:marLeft w:val="0"/>
                                                                                              <w:marRight w:val="0"/>
                                                                                              <w:marTop w:val="0"/>
                                                                                              <w:marBottom w:val="0"/>
                                                                                              <w:divBdr>
                                                                                                <w:top w:val="none" w:sz="0" w:space="0" w:color="auto"/>
                                                                                                <w:left w:val="none" w:sz="0" w:space="0" w:color="auto"/>
                                                                                                <w:bottom w:val="none" w:sz="0" w:space="0" w:color="auto"/>
                                                                                                <w:right w:val="none" w:sz="0" w:space="0" w:color="auto"/>
                                                                                              </w:divBdr>
                                                                                            </w:div>
                                                                                          </w:divsChild>
                                                                                        </w:div>
                                                                                        <w:div w:id="677272320">
                                                                                          <w:marLeft w:val="0"/>
                                                                                          <w:marRight w:val="0"/>
                                                                                          <w:marTop w:val="0"/>
                                                                                          <w:marBottom w:val="0"/>
                                                                                          <w:divBdr>
                                                                                            <w:top w:val="none" w:sz="0" w:space="0" w:color="auto"/>
                                                                                            <w:left w:val="none" w:sz="0" w:space="0" w:color="auto"/>
                                                                                            <w:bottom w:val="none" w:sz="0" w:space="0" w:color="auto"/>
                                                                                            <w:right w:val="none" w:sz="0" w:space="0" w:color="auto"/>
                                                                                          </w:divBdr>
                                                                                          <w:divsChild>
                                                                                            <w:div w:id="1862206408">
                                                                                              <w:marLeft w:val="0"/>
                                                                                              <w:marRight w:val="0"/>
                                                                                              <w:marTop w:val="0"/>
                                                                                              <w:marBottom w:val="0"/>
                                                                                              <w:divBdr>
                                                                                                <w:top w:val="none" w:sz="0" w:space="0" w:color="auto"/>
                                                                                                <w:left w:val="none" w:sz="0" w:space="0" w:color="auto"/>
                                                                                                <w:bottom w:val="none" w:sz="0" w:space="0" w:color="auto"/>
                                                                                                <w:right w:val="none" w:sz="0" w:space="0" w:color="auto"/>
                                                                                              </w:divBdr>
                                                                                            </w:div>
                                                                                          </w:divsChild>
                                                                                        </w:div>
                                                                                        <w:div w:id="738358387">
                                                                                          <w:marLeft w:val="0"/>
                                                                                          <w:marRight w:val="0"/>
                                                                                          <w:marTop w:val="0"/>
                                                                                          <w:marBottom w:val="0"/>
                                                                                          <w:divBdr>
                                                                                            <w:top w:val="none" w:sz="0" w:space="0" w:color="auto"/>
                                                                                            <w:left w:val="none" w:sz="0" w:space="0" w:color="auto"/>
                                                                                            <w:bottom w:val="none" w:sz="0" w:space="0" w:color="auto"/>
                                                                                            <w:right w:val="none" w:sz="0" w:space="0" w:color="auto"/>
                                                                                          </w:divBdr>
                                                                                          <w:divsChild>
                                                                                            <w:div w:id="1686441903">
                                                                                              <w:marLeft w:val="0"/>
                                                                                              <w:marRight w:val="0"/>
                                                                                              <w:marTop w:val="0"/>
                                                                                              <w:marBottom w:val="0"/>
                                                                                              <w:divBdr>
                                                                                                <w:top w:val="none" w:sz="0" w:space="0" w:color="auto"/>
                                                                                                <w:left w:val="none" w:sz="0" w:space="0" w:color="auto"/>
                                                                                                <w:bottom w:val="none" w:sz="0" w:space="0" w:color="auto"/>
                                                                                                <w:right w:val="none" w:sz="0" w:space="0" w:color="auto"/>
                                                                                              </w:divBdr>
                                                                                            </w:div>
                                                                                          </w:divsChild>
                                                                                        </w:div>
                                                                                        <w:div w:id="802116685">
                                                                                          <w:marLeft w:val="0"/>
                                                                                          <w:marRight w:val="0"/>
                                                                                          <w:marTop w:val="0"/>
                                                                                          <w:marBottom w:val="0"/>
                                                                                          <w:divBdr>
                                                                                            <w:top w:val="none" w:sz="0" w:space="0" w:color="auto"/>
                                                                                            <w:left w:val="none" w:sz="0" w:space="0" w:color="auto"/>
                                                                                            <w:bottom w:val="none" w:sz="0" w:space="0" w:color="auto"/>
                                                                                            <w:right w:val="none" w:sz="0" w:space="0" w:color="auto"/>
                                                                                          </w:divBdr>
                                                                                          <w:divsChild>
                                                                                            <w:div w:id="1881933786">
                                                                                              <w:marLeft w:val="0"/>
                                                                                              <w:marRight w:val="0"/>
                                                                                              <w:marTop w:val="0"/>
                                                                                              <w:marBottom w:val="0"/>
                                                                                              <w:divBdr>
                                                                                                <w:top w:val="none" w:sz="0" w:space="0" w:color="auto"/>
                                                                                                <w:left w:val="none" w:sz="0" w:space="0" w:color="auto"/>
                                                                                                <w:bottom w:val="none" w:sz="0" w:space="0" w:color="auto"/>
                                                                                                <w:right w:val="none" w:sz="0" w:space="0" w:color="auto"/>
                                                                                              </w:divBdr>
                                                                                            </w:div>
                                                                                          </w:divsChild>
                                                                                        </w:div>
                                                                                        <w:div w:id="804590272">
                                                                                          <w:marLeft w:val="0"/>
                                                                                          <w:marRight w:val="0"/>
                                                                                          <w:marTop w:val="0"/>
                                                                                          <w:marBottom w:val="0"/>
                                                                                          <w:divBdr>
                                                                                            <w:top w:val="none" w:sz="0" w:space="0" w:color="auto"/>
                                                                                            <w:left w:val="none" w:sz="0" w:space="0" w:color="auto"/>
                                                                                            <w:bottom w:val="none" w:sz="0" w:space="0" w:color="auto"/>
                                                                                            <w:right w:val="none" w:sz="0" w:space="0" w:color="auto"/>
                                                                                          </w:divBdr>
                                                                                          <w:divsChild>
                                                                                            <w:div w:id="421417217">
                                                                                              <w:marLeft w:val="0"/>
                                                                                              <w:marRight w:val="0"/>
                                                                                              <w:marTop w:val="0"/>
                                                                                              <w:marBottom w:val="0"/>
                                                                                              <w:divBdr>
                                                                                                <w:top w:val="none" w:sz="0" w:space="0" w:color="auto"/>
                                                                                                <w:left w:val="none" w:sz="0" w:space="0" w:color="auto"/>
                                                                                                <w:bottom w:val="none" w:sz="0" w:space="0" w:color="auto"/>
                                                                                                <w:right w:val="none" w:sz="0" w:space="0" w:color="auto"/>
                                                                                              </w:divBdr>
                                                                                            </w:div>
                                                                                          </w:divsChild>
                                                                                        </w:div>
                                                                                        <w:div w:id="810444523">
                                                                                          <w:marLeft w:val="0"/>
                                                                                          <w:marRight w:val="0"/>
                                                                                          <w:marTop w:val="0"/>
                                                                                          <w:marBottom w:val="0"/>
                                                                                          <w:divBdr>
                                                                                            <w:top w:val="none" w:sz="0" w:space="0" w:color="auto"/>
                                                                                            <w:left w:val="none" w:sz="0" w:space="0" w:color="auto"/>
                                                                                            <w:bottom w:val="none" w:sz="0" w:space="0" w:color="auto"/>
                                                                                            <w:right w:val="none" w:sz="0" w:space="0" w:color="auto"/>
                                                                                          </w:divBdr>
                                                                                          <w:divsChild>
                                                                                            <w:div w:id="1679891816">
                                                                                              <w:marLeft w:val="0"/>
                                                                                              <w:marRight w:val="0"/>
                                                                                              <w:marTop w:val="0"/>
                                                                                              <w:marBottom w:val="0"/>
                                                                                              <w:divBdr>
                                                                                                <w:top w:val="none" w:sz="0" w:space="0" w:color="auto"/>
                                                                                                <w:left w:val="none" w:sz="0" w:space="0" w:color="auto"/>
                                                                                                <w:bottom w:val="none" w:sz="0" w:space="0" w:color="auto"/>
                                                                                                <w:right w:val="none" w:sz="0" w:space="0" w:color="auto"/>
                                                                                              </w:divBdr>
                                                                                            </w:div>
                                                                                          </w:divsChild>
                                                                                        </w:div>
                                                                                        <w:div w:id="871653362">
                                                                                          <w:marLeft w:val="0"/>
                                                                                          <w:marRight w:val="0"/>
                                                                                          <w:marTop w:val="0"/>
                                                                                          <w:marBottom w:val="0"/>
                                                                                          <w:divBdr>
                                                                                            <w:top w:val="none" w:sz="0" w:space="0" w:color="auto"/>
                                                                                            <w:left w:val="none" w:sz="0" w:space="0" w:color="auto"/>
                                                                                            <w:bottom w:val="none" w:sz="0" w:space="0" w:color="auto"/>
                                                                                            <w:right w:val="none" w:sz="0" w:space="0" w:color="auto"/>
                                                                                          </w:divBdr>
                                                                                          <w:divsChild>
                                                                                            <w:div w:id="699745876">
                                                                                              <w:marLeft w:val="0"/>
                                                                                              <w:marRight w:val="0"/>
                                                                                              <w:marTop w:val="0"/>
                                                                                              <w:marBottom w:val="0"/>
                                                                                              <w:divBdr>
                                                                                                <w:top w:val="none" w:sz="0" w:space="0" w:color="auto"/>
                                                                                                <w:left w:val="none" w:sz="0" w:space="0" w:color="auto"/>
                                                                                                <w:bottom w:val="none" w:sz="0" w:space="0" w:color="auto"/>
                                                                                                <w:right w:val="none" w:sz="0" w:space="0" w:color="auto"/>
                                                                                              </w:divBdr>
                                                                                            </w:div>
                                                                                          </w:divsChild>
                                                                                        </w:div>
                                                                                        <w:div w:id="881868568">
                                                                                          <w:marLeft w:val="0"/>
                                                                                          <w:marRight w:val="0"/>
                                                                                          <w:marTop w:val="0"/>
                                                                                          <w:marBottom w:val="0"/>
                                                                                          <w:divBdr>
                                                                                            <w:top w:val="none" w:sz="0" w:space="0" w:color="auto"/>
                                                                                            <w:left w:val="none" w:sz="0" w:space="0" w:color="auto"/>
                                                                                            <w:bottom w:val="none" w:sz="0" w:space="0" w:color="auto"/>
                                                                                            <w:right w:val="none" w:sz="0" w:space="0" w:color="auto"/>
                                                                                          </w:divBdr>
                                                                                          <w:divsChild>
                                                                                            <w:div w:id="389158581">
                                                                                              <w:marLeft w:val="0"/>
                                                                                              <w:marRight w:val="0"/>
                                                                                              <w:marTop w:val="0"/>
                                                                                              <w:marBottom w:val="0"/>
                                                                                              <w:divBdr>
                                                                                                <w:top w:val="none" w:sz="0" w:space="0" w:color="auto"/>
                                                                                                <w:left w:val="none" w:sz="0" w:space="0" w:color="auto"/>
                                                                                                <w:bottom w:val="none" w:sz="0" w:space="0" w:color="auto"/>
                                                                                                <w:right w:val="none" w:sz="0" w:space="0" w:color="auto"/>
                                                                                              </w:divBdr>
                                                                                            </w:div>
                                                                                          </w:divsChild>
                                                                                        </w:div>
                                                                                        <w:div w:id="896087189">
                                                                                          <w:marLeft w:val="0"/>
                                                                                          <w:marRight w:val="0"/>
                                                                                          <w:marTop w:val="0"/>
                                                                                          <w:marBottom w:val="0"/>
                                                                                          <w:divBdr>
                                                                                            <w:top w:val="none" w:sz="0" w:space="0" w:color="auto"/>
                                                                                            <w:left w:val="none" w:sz="0" w:space="0" w:color="auto"/>
                                                                                            <w:bottom w:val="none" w:sz="0" w:space="0" w:color="auto"/>
                                                                                            <w:right w:val="none" w:sz="0" w:space="0" w:color="auto"/>
                                                                                          </w:divBdr>
                                                                                          <w:divsChild>
                                                                                            <w:div w:id="431125323">
                                                                                              <w:marLeft w:val="0"/>
                                                                                              <w:marRight w:val="0"/>
                                                                                              <w:marTop w:val="0"/>
                                                                                              <w:marBottom w:val="0"/>
                                                                                              <w:divBdr>
                                                                                                <w:top w:val="none" w:sz="0" w:space="0" w:color="auto"/>
                                                                                                <w:left w:val="none" w:sz="0" w:space="0" w:color="auto"/>
                                                                                                <w:bottom w:val="none" w:sz="0" w:space="0" w:color="auto"/>
                                                                                                <w:right w:val="none" w:sz="0" w:space="0" w:color="auto"/>
                                                                                              </w:divBdr>
                                                                                            </w:div>
                                                                                          </w:divsChild>
                                                                                        </w:div>
                                                                                        <w:div w:id="902763769">
                                                                                          <w:marLeft w:val="0"/>
                                                                                          <w:marRight w:val="0"/>
                                                                                          <w:marTop w:val="0"/>
                                                                                          <w:marBottom w:val="0"/>
                                                                                          <w:divBdr>
                                                                                            <w:top w:val="none" w:sz="0" w:space="0" w:color="auto"/>
                                                                                            <w:left w:val="none" w:sz="0" w:space="0" w:color="auto"/>
                                                                                            <w:bottom w:val="none" w:sz="0" w:space="0" w:color="auto"/>
                                                                                            <w:right w:val="none" w:sz="0" w:space="0" w:color="auto"/>
                                                                                          </w:divBdr>
                                                                                          <w:divsChild>
                                                                                            <w:div w:id="273680880">
                                                                                              <w:marLeft w:val="0"/>
                                                                                              <w:marRight w:val="0"/>
                                                                                              <w:marTop w:val="0"/>
                                                                                              <w:marBottom w:val="0"/>
                                                                                              <w:divBdr>
                                                                                                <w:top w:val="none" w:sz="0" w:space="0" w:color="auto"/>
                                                                                                <w:left w:val="none" w:sz="0" w:space="0" w:color="auto"/>
                                                                                                <w:bottom w:val="none" w:sz="0" w:space="0" w:color="auto"/>
                                                                                                <w:right w:val="none" w:sz="0" w:space="0" w:color="auto"/>
                                                                                              </w:divBdr>
                                                                                            </w:div>
                                                                                          </w:divsChild>
                                                                                        </w:div>
                                                                                        <w:div w:id="932007622">
                                                                                          <w:marLeft w:val="0"/>
                                                                                          <w:marRight w:val="0"/>
                                                                                          <w:marTop w:val="0"/>
                                                                                          <w:marBottom w:val="0"/>
                                                                                          <w:divBdr>
                                                                                            <w:top w:val="none" w:sz="0" w:space="0" w:color="auto"/>
                                                                                            <w:left w:val="none" w:sz="0" w:space="0" w:color="auto"/>
                                                                                            <w:bottom w:val="none" w:sz="0" w:space="0" w:color="auto"/>
                                                                                            <w:right w:val="none" w:sz="0" w:space="0" w:color="auto"/>
                                                                                          </w:divBdr>
                                                                                          <w:divsChild>
                                                                                            <w:div w:id="1766681158">
                                                                                              <w:marLeft w:val="0"/>
                                                                                              <w:marRight w:val="0"/>
                                                                                              <w:marTop w:val="0"/>
                                                                                              <w:marBottom w:val="0"/>
                                                                                              <w:divBdr>
                                                                                                <w:top w:val="none" w:sz="0" w:space="0" w:color="auto"/>
                                                                                                <w:left w:val="none" w:sz="0" w:space="0" w:color="auto"/>
                                                                                                <w:bottom w:val="none" w:sz="0" w:space="0" w:color="auto"/>
                                                                                                <w:right w:val="none" w:sz="0" w:space="0" w:color="auto"/>
                                                                                              </w:divBdr>
                                                                                            </w:div>
                                                                                          </w:divsChild>
                                                                                        </w:div>
                                                                                        <w:div w:id="937833455">
                                                                                          <w:marLeft w:val="0"/>
                                                                                          <w:marRight w:val="0"/>
                                                                                          <w:marTop w:val="0"/>
                                                                                          <w:marBottom w:val="0"/>
                                                                                          <w:divBdr>
                                                                                            <w:top w:val="none" w:sz="0" w:space="0" w:color="auto"/>
                                                                                            <w:left w:val="none" w:sz="0" w:space="0" w:color="auto"/>
                                                                                            <w:bottom w:val="none" w:sz="0" w:space="0" w:color="auto"/>
                                                                                            <w:right w:val="none" w:sz="0" w:space="0" w:color="auto"/>
                                                                                          </w:divBdr>
                                                                                          <w:divsChild>
                                                                                            <w:div w:id="1781949865">
                                                                                              <w:marLeft w:val="0"/>
                                                                                              <w:marRight w:val="0"/>
                                                                                              <w:marTop w:val="0"/>
                                                                                              <w:marBottom w:val="0"/>
                                                                                              <w:divBdr>
                                                                                                <w:top w:val="none" w:sz="0" w:space="0" w:color="auto"/>
                                                                                                <w:left w:val="none" w:sz="0" w:space="0" w:color="auto"/>
                                                                                                <w:bottom w:val="none" w:sz="0" w:space="0" w:color="auto"/>
                                                                                                <w:right w:val="none" w:sz="0" w:space="0" w:color="auto"/>
                                                                                              </w:divBdr>
                                                                                            </w:div>
                                                                                          </w:divsChild>
                                                                                        </w:div>
                                                                                        <w:div w:id="1071537944">
                                                                                          <w:marLeft w:val="0"/>
                                                                                          <w:marRight w:val="0"/>
                                                                                          <w:marTop w:val="0"/>
                                                                                          <w:marBottom w:val="0"/>
                                                                                          <w:divBdr>
                                                                                            <w:top w:val="none" w:sz="0" w:space="0" w:color="auto"/>
                                                                                            <w:left w:val="none" w:sz="0" w:space="0" w:color="auto"/>
                                                                                            <w:bottom w:val="none" w:sz="0" w:space="0" w:color="auto"/>
                                                                                            <w:right w:val="none" w:sz="0" w:space="0" w:color="auto"/>
                                                                                          </w:divBdr>
                                                                                          <w:divsChild>
                                                                                            <w:div w:id="1660230119">
                                                                                              <w:marLeft w:val="0"/>
                                                                                              <w:marRight w:val="0"/>
                                                                                              <w:marTop w:val="0"/>
                                                                                              <w:marBottom w:val="0"/>
                                                                                              <w:divBdr>
                                                                                                <w:top w:val="none" w:sz="0" w:space="0" w:color="auto"/>
                                                                                                <w:left w:val="none" w:sz="0" w:space="0" w:color="auto"/>
                                                                                                <w:bottom w:val="none" w:sz="0" w:space="0" w:color="auto"/>
                                                                                                <w:right w:val="none" w:sz="0" w:space="0" w:color="auto"/>
                                                                                              </w:divBdr>
                                                                                            </w:div>
                                                                                          </w:divsChild>
                                                                                        </w:div>
                                                                                        <w:div w:id="1166164218">
                                                                                          <w:marLeft w:val="0"/>
                                                                                          <w:marRight w:val="0"/>
                                                                                          <w:marTop w:val="0"/>
                                                                                          <w:marBottom w:val="0"/>
                                                                                          <w:divBdr>
                                                                                            <w:top w:val="none" w:sz="0" w:space="0" w:color="auto"/>
                                                                                            <w:left w:val="none" w:sz="0" w:space="0" w:color="auto"/>
                                                                                            <w:bottom w:val="none" w:sz="0" w:space="0" w:color="auto"/>
                                                                                            <w:right w:val="none" w:sz="0" w:space="0" w:color="auto"/>
                                                                                          </w:divBdr>
                                                                                          <w:divsChild>
                                                                                            <w:div w:id="1051346440">
                                                                                              <w:marLeft w:val="0"/>
                                                                                              <w:marRight w:val="0"/>
                                                                                              <w:marTop w:val="0"/>
                                                                                              <w:marBottom w:val="0"/>
                                                                                              <w:divBdr>
                                                                                                <w:top w:val="none" w:sz="0" w:space="0" w:color="auto"/>
                                                                                                <w:left w:val="none" w:sz="0" w:space="0" w:color="auto"/>
                                                                                                <w:bottom w:val="none" w:sz="0" w:space="0" w:color="auto"/>
                                                                                                <w:right w:val="none" w:sz="0" w:space="0" w:color="auto"/>
                                                                                              </w:divBdr>
                                                                                            </w:div>
                                                                                          </w:divsChild>
                                                                                        </w:div>
                                                                                        <w:div w:id="1207838336">
                                                                                          <w:marLeft w:val="0"/>
                                                                                          <w:marRight w:val="0"/>
                                                                                          <w:marTop w:val="0"/>
                                                                                          <w:marBottom w:val="0"/>
                                                                                          <w:divBdr>
                                                                                            <w:top w:val="none" w:sz="0" w:space="0" w:color="auto"/>
                                                                                            <w:left w:val="none" w:sz="0" w:space="0" w:color="auto"/>
                                                                                            <w:bottom w:val="none" w:sz="0" w:space="0" w:color="auto"/>
                                                                                            <w:right w:val="none" w:sz="0" w:space="0" w:color="auto"/>
                                                                                          </w:divBdr>
                                                                                          <w:divsChild>
                                                                                            <w:div w:id="240023175">
                                                                                              <w:marLeft w:val="0"/>
                                                                                              <w:marRight w:val="0"/>
                                                                                              <w:marTop w:val="0"/>
                                                                                              <w:marBottom w:val="0"/>
                                                                                              <w:divBdr>
                                                                                                <w:top w:val="none" w:sz="0" w:space="0" w:color="auto"/>
                                                                                                <w:left w:val="none" w:sz="0" w:space="0" w:color="auto"/>
                                                                                                <w:bottom w:val="none" w:sz="0" w:space="0" w:color="auto"/>
                                                                                                <w:right w:val="none" w:sz="0" w:space="0" w:color="auto"/>
                                                                                              </w:divBdr>
                                                                                            </w:div>
                                                                                          </w:divsChild>
                                                                                        </w:div>
                                                                                        <w:div w:id="1272320723">
                                                                                          <w:marLeft w:val="0"/>
                                                                                          <w:marRight w:val="0"/>
                                                                                          <w:marTop w:val="0"/>
                                                                                          <w:marBottom w:val="0"/>
                                                                                          <w:divBdr>
                                                                                            <w:top w:val="none" w:sz="0" w:space="0" w:color="auto"/>
                                                                                            <w:left w:val="none" w:sz="0" w:space="0" w:color="auto"/>
                                                                                            <w:bottom w:val="none" w:sz="0" w:space="0" w:color="auto"/>
                                                                                            <w:right w:val="none" w:sz="0" w:space="0" w:color="auto"/>
                                                                                          </w:divBdr>
                                                                                          <w:divsChild>
                                                                                            <w:div w:id="1468819192">
                                                                                              <w:marLeft w:val="0"/>
                                                                                              <w:marRight w:val="0"/>
                                                                                              <w:marTop w:val="0"/>
                                                                                              <w:marBottom w:val="0"/>
                                                                                              <w:divBdr>
                                                                                                <w:top w:val="none" w:sz="0" w:space="0" w:color="auto"/>
                                                                                                <w:left w:val="none" w:sz="0" w:space="0" w:color="auto"/>
                                                                                                <w:bottom w:val="none" w:sz="0" w:space="0" w:color="auto"/>
                                                                                                <w:right w:val="none" w:sz="0" w:space="0" w:color="auto"/>
                                                                                              </w:divBdr>
                                                                                            </w:div>
                                                                                          </w:divsChild>
                                                                                        </w:div>
                                                                                        <w:div w:id="1276135680">
                                                                                          <w:marLeft w:val="0"/>
                                                                                          <w:marRight w:val="0"/>
                                                                                          <w:marTop w:val="0"/>
                                                                                          <w:marBottom w:val="0"/>
                                                                                          <w:divBdr>
                                                                                            <w:top w:val="none" w:sz="0" w:space="0" w:color="auto"/>
                                                                                            <w:left w:val="none" w:sz="0" w:space="0" w:color="auto"/>
                                                                                            <w:bottom w:val="none" w:sz="0" w:space="0" w:color="auto"/>
                                                                                            <w:right w:val="none" w:sz="0" w:space="0" w:color="auto"/>
                                                                                          </w:divBdr>
                                                                                          <w:divsChild>
                                                                                            <w:div w:id="1363095377">
                                                                                              <w:marLeft w:val="0"/>
                                                                                              <w:marRight w:val="0"/>
                                                                                              <w:marTop w:val="0"/>
                                                                                              <w:marBottom w:val="0"/>
                                                                                              <w:divBdr>
                                                                                                <w:top w:val="none" w:sz="0" w:space="0" w:color="auto"/>
                                                                                                <w:left w:val="none" w:sz="0" w:space="0" w:color="auto"/>
                                                                                                <w:bottom w:val="none" w:sz="0" w:space="0" w:color="auto"/>
                                                                                                <w:right w:val="none" w:sz="0" w:space="0" w:color="auto"/>
                                                                                              </w:divBdr>
                                                                                            </w:div>
                                                                                          </w:divsChild>
                                                                                        </w:div>
                                                                                        <w:div w:id="1466503354">
                                                                                          <w:marLeft w:val="0"/>
                                                                                          <w:marRight w:val="0"/>
                                                                                          <w:marTop w:val="0"/>
                                                                                          <w:marBottom w:val="0"/>
                                                                                          <w:divBdr>
                                                                                            <w:top w:val="none" w:sz="0" w:space="0" w:color="auto"/>
                                                                                            <w:left w:val="none" w:sz="0" w:space="0" w:color="auto"/>
                                                                                            <w:bottom w:val="none" w:sz="0" w:space="0" w:color="auto"/>
                                                                                            <w:right w:val="none" w:sz="0" w:space="0" w:color="auto"/>
                                                                                          </w:divBdr>
                                                                                          <w:divsChild>
                                                                                            <w:div w:id="1953896722">
                                                                                              <w:marLeft w:val="0"/>
                                                                                              <w:marRight w:val="0"/>
                                                                                              <w:marTop w:val="0"/>
                                                                                              <w:marBottom w:val="0"/>
                                                                                              <w:divBdr>
                                                                                                <w:top w:val="none" w:sz="0" w:space="0" w:color="auto"/>
                                                                                                <w:left w:val="none" w:sz="0" w:space="0" w:color="auto"/>
                                                                                                <w:bottom w:val="none" w:sz="0" w:space="0" w:color="auto"/>
                                                                                                <w:right w:val="none" w:sz="0" w:space="0" w:color="auto"/>
                                                                                              </w:divBdr>
                                                                                            </w:div>
                                                                                          </w:divsChild>
                                                                                        </w:div>
                                                                                        <w:div w:id="1523741050">
                                                                                          <w:marLeft w:val="0"/>
                                                                                          <w:marRight w:val="0"/>
                                                                                          <w:marTop w:val="0"/>
                                                                                          <w:marBottom w:val="0"/>
                                                                                          <w:divBdr>
                                                                                            <w:top w:val="none" w:sz="0" w:space="0" w:color="auto"/>
                                                                                            <w:left w:val="none" w:sz="0" w:space="0" w:color="auto"/>
                                                                                            <w:bottom w:val="none" w:sz="0" w:space="0" w:color="auto"/>
                                                                                            <w:right w:val="none" w:sz="0" w:space="0" w:color="auto"/>
                                                                                          </w:divBdr>
                                                                                          <w:divsChild>
                                                                                            <w:div w:id="1655909108">
                                                                                              <w:marLeft w:val="0"/>
                                                                                              <w:marRight w:val="0"/>
                                                                                              <w:marTop w:val="0"/>
                                                                                              <w:marBottom w:val="0"/>
                                                                                              <w:divBdr>
                                                                                                <w:top w:val="none" w:sz="0" w:space="0" w:color="auto"/>
                                                                                                <w:left w:val="none" w:sz="0" w:space="0" w:color="auto"/>
                                                                                                <w:bottom w:val="none" w:sz="0" w:space="0" w:color="auto"/>
                                                                                                <w:right w:val="none" w:sz="0" w:space="0" w:color="auto"/>
                                                                                              </w:divBdr>
                                                                                            </w:div>
                                                                                          </w:divsChild>
                                                                                        </w:div>
                                                                                        <w:div w:id="1578978028">
                                                                                          <w:marLeft w:val="0"/>
                                                                                          <w:marRight w:val="0"/>
                                                                                          <w:marTop w:val="0"/>
                                                                                          <w:marBottom w:val="0"/>
                                                                                          <w:divBdr>
                                                                                            <w:top w:val="none" w:sz="0" w:space="0" w:color="auto"/>
                                                                                            <w:left w:val="none" w:sz="0" w:space="0" w:color="auto"/>
                                                                                            <w:bottom w:val="none" w:sz="0" w:space="0" w:color="auto"/>
                                                                                            <w:right w:val="none" w:sz="0" w:space="0" w:color="auto"/>
                                                                                          </w:divBdr>
                                                                                          <w:divsChild>
                                                                                            <w:div w:id="492181031">
                                                                                              <w:marLeft w:val="0"/>
                                                                                              <w:marRight w:val="0"/>
                                                                                              <w:marTop w:val="0"/>
                                                                                              <w:marBottom w:val="0"/>
                                                                                              <w:divBdr>
                                                                                                <w:top w:val="none" w:sz="0" w:space="0" w:color="auto"/>
                                                                                                <w:left w:val="none" w:sz="0" w:space="0" w:color="auto"/>
                                                                                                <w:bottom w:val="none" w:sz="0" w:space="0" w:color="auto"/>
                                                                                                <w:right w:val="none" w:sz="0" w:space="0" w:color="auto"/>
                                                                                              </w:divBdr>
                                                                                            </w:div>
                                                                                          </w:divsChild>
                                                                                        </w:div>
                                                                                        <w:div w:id="1757360081">
                                                                                          <w:marLeft w:val="0"/>
                                                                                          <w:marRight w:val="0"/>
                                                                                          <w:marTop w:val="0"/>
                                                                                          <w:marBottom w:val="0"/>
                                                                                          <w:divBdr>
                                                                                            <w:top w:val="none" w:sz="0" w:space="0" w:color="auto"/>
                                                                                            <w:left w:val="none" w:sz="0" w:space="0" w:color="auto"/>
                                                                                            <w:bottom w:val="none" w:sz="0" w:space="0" w:color="auto"/>
                                                                                            <w:right w:val="none" w:sz="0" w:space="0" w:color="auto"/>
                                                                                          </w:divBdr>
                                                                                          <w:divsChild>
                                                                                            <w:div w:id="105777592">
                                                                                              <w:marLeft w:val="0"/>
                                                                                              <w:marRight w:val="0"/>
                                                                                              <w:marTop w:val="0"/>
                                                                                              <w:marBottom w:val="0"/>
                                                                                              <w:divBdr>
                                                                                                <w:top w:val="none" w:sz="0" w:space="0" w:color="auto"/>
                                                                                                <w:left w:val="none" w:sz="0" w:space="0" w:color="auto"/>
                                                                                                <w:bottom w:val="none" w:sz="0" w:space="0" w:color="auto"/>
                                                                                                <w:right w:val="none" w:sz="0" w:space="0" w:color="auto"/>
                                                                                              </w:divBdr>
                                                                                            </w:div>
                                                                                          </w:divsChild>
                                                                                        </w:div>
                                                                                        <w:div w:id="1760445417">
                                                                                          <w:marLeft w:val="0"/>
                                                                                          <w:marRight w:val="0"/>
                                                                                          <w:marTop w:val="0"/>
                                                                                          <w:marBottom w:val="0"/>
                                                                                          <w:divBdr>
                                                                                            <w:top w:val="none" w:sz="0" w:space="0" w:color="auto"/>
                                                                                            <w:left w:val="none" w:sz="0" w:space="0" w:color="auto"/>
                                                                                            <w:bottom w:val="none" w:sz="0" w:space="0" w:color="auto"/>
                                                                                            <w:right w:val="none" w:sz="0" w:space="0" w:color="auto"/>
                                                                                          </w:divBdr>
                                                                                          <w:divsChild>
                                                                                            <w:div w:id="778069472">
                                                                                              <w:marLeft w:val="0"/>
                                                                                              <w:marRight w:val="0"/>
                                                                                              <w:marTop w:val="0"/>
                                                                                              <w:marBottom w:val="0"/>
                                                                                              <w:divBdr>
                                                                                                <w:top w:val="none" w:sz="0" w:space="0" w:color="auto"/>
                                                                                                <w:left w:val="none" w:sz="0" w:space="0" w:color="auto"/>
                                                                                                <w:bottom w:val="none" w:sz="0" w:space="0" w:color="auto"/>
                                                                                                <w:right w:val="none" w:sz="0" w:space="0" w:color="auto"/>
                                                                                              </w:divBdr>
                                                                                            </w:div>
                                                                                          </w:divsChild>
                                                                                        </w:div>
                                                                                        <w:div w:id="1827210544">
                                                                                          <w:marLeft w:val="0"/>
                                                                                          <w:marRight w:val="0"/>
                                                                                          <w:marTop w:val="0"/>
                                                                                          <w:marBottom w:val="0"/>
                                                                                          <w:divBdr>
                                                                                            <w:top w:val="none" w:sz="0" w:space="0" w:color="auto"/>
                                                                                            <w:left w:val="none" w:sz="0" w:space="0" w:color="auto"/>
                                                                                            <w:bottom w:val="none" w:sz="0" w:space="0" w:color="auto"/>
                                                                                            <w:right w:val="none" w:sz="0" w:space="0" w:color="auto"/>
                                                                                          </w:divBdr>
                                                                                          <w:divsChild>
                                                                                            <w:div w:id="1755584990">
                                                                                              <w:marLeft w:val="0"/>
                                                                                              <w:marRight w:val="0"/>
                                                                                              <w:marTop w:val="0"/>
                                                                                              <w:marBottom w:val="0"/>
                                                                                              <w:divBdr>
                                                                                                <w:top w:val="none" w:sz="0" w:space="0" w:color="auto"/>
                                                                                                <w:left w:val="none" w:sz="0" w:space="0" w:color="auto"/>
                                                                                                <w:bottom w:val="none" w:sz="0" w:space="0" w:color="auto"/>
                                                                                                <w:right w:val="none" w:sz="0" w:space="0" w:color="auto"/>
                                                                                              </w:divBdr>
                                                                                            </w:div>
                                                                                          </w:divsChild>
                                                                                        </w:div>
                                                                                        <w:div w:id="1911227771">
                                                                                          <w:marLeft w:val="0"/>
                                                                                          <w:marRight w:val="0"/>
                                                                                          <w:marTop w:val="0"/>
                                                                                          <w:marBottom w:val="0"/>
                                                                                          <w:divBdr>
                                                                                            <w:top w:val="none" w:sz="0" w:space="0" w:color="auto"/>
                                                                                            <w:left w:val="none" w:sz="0" w:space="0" w:color="auto"/>
                                                                                            <w:bottom w:val="none" w:sz="0" w:space="0" w:color="auto"/>
                                                                                            <w:right w:val="none" w:sz="0" w:space="0" w:color="auto"/>
                                                                                          </w:divBdr>
                                                                                          <w:divsChild>
                                                                                            <w:div w:id="379398130">
                                                                                              <w:marLeft w:val="0"/>
                                                                                              <w:marRight w:val="0"/>
                                                                                              <w:marTop w:val="0"/>
                                                                                              <w:marBottom w:val="0"/>
                                                                                              <w:divBdr>
                                                                                                <w:top w:val="none" w:sz="0" w:space="0" w:color="auto"/>
                                                                                                <w:left w:val="none" w:sz="0" w:space="0" w:color="auto"/>
                                                                                                <w:bottom w:val="none" w:sz="0" w:space="0" w:color="auto"/>
                                                                                                <w:right w:val="none" w:sz="0" w:space="0" w:color="auto"/>
                                                                                              </w:divBdr>
                                                                                            </w:div>
                                                                                          </w:divsChild>
                                                                                        </w:div>
                                                                                        <w:div w:id="1912347113">
                                                                                          <w:marLeft w:val="0"/>
                                                                                          <w:marRight w:val="0"/>
                                                                                          <w:marTop w:val="0"/>
                                                                                          <w:marBottom w:val="0"/>
                                                                                          <w:divBdr>
                                                                                            <w:top w:val="none" w:sz="0" w:space="0" w:color="auto"/>
                                                                                            <w:left w:val="none" w:sz="0" w:space="0" w:color="auto"/>
                                                                                            <w:bottom w:val="none" w:sz="0" w:space="0" w:color="auto"/>
                                                                                            <w:right w:val="none" w:sz="0" w:space="0" w:color="auto"/>
                                                                                          </w:divBdr>
                                                                                          <w:divsChild>
                                                                                            <w:div w:id="1972806">
                                                                                              <w:marLeft w:val="0"/>
                                                                                              <w:marRight w:val="0"/>
                                                                                              <w:marTop w:val="0"/>
                                                                                              <w:marBottom w:val="0"/>
                                                                                              <w:divBdr>
                                                                                                <w:top w:val="none" w:sz="0" w:space="0" w:color="auto"/>
                                                                                                <w:left w:val="none" w:sz="0" w:space="0" w:color="auto"/>
                                                                                                <w:bottom w:val="none" w:sz="0" w:space="0" w:color="auto"/>
                                                                                                <w:right w:val="none" w:sz="0" w:space="0" w:color="auto"/>
                                                                                              </w:divBdr>
                                                                                            </w:div>
                                                                                          </w:divsChild>
                                                                                        </w:div>
                                                                                        <w:div w:id="1914898109">
                                                                                          <w:marLeft w:val="0"/>
                                                                                          <w:marRight w:val="0"/>
                                                                                          <w:marTop w:val="0"/>
                                                                                          <w:marBottom w:val="0"/>
                                                                                          <w:divBdr>
                                                                                            <w:top w:val="none" w:sz="0" w:space="0" w:color="auto"/>
                                                                                            <w:left w:val="none" w:sz="0" w:space="0" w:color="auto"/>
                                                                                            <w:bottom w:val="none" w:sz="0" w:space="0" w:color="auto"/>
                                                                                            <w:right w:val="none" w:sz="0" w:space="0" w:color="auto"/>
                                                                                          </w:divBdr>
                                                                                          <w:divsChild>
                                                                                            <w:div w:id="1464539758">
                                                                                              <w:marLeft w:val="0"/>
                                                                                              <w:marRight w:val="0"/>
                                                                                              <w:marTop w:val="0"/>
                                                                                              <w:marBottom w:val="0"/>
                                                                                              <w:divBdr>
                                                                                                <w:top w:val="none" w:sz="0" w:space="0" w:color="auto"/>
                                                                                                <w:left w:val="none" w:sz="0" w:space="0" w:color="auto"/>
                                                                                                <w:bottom w:val="none" w:sz="0" w:space="0" w:color="auto"/>
                                                                                                <w:right w:val="none" w:sz="0" w:space="0" w:color="auto"/>
                                                                                              </w:divBdr>
                                                                                            </w:div>
                                                                                          </w:divsChild>
                                                                                        </w:div>
                                                                                        <w:div w:id="2001273780">
                                                                                          <w:marLeft w:val="0"/>
                                                                                          <w:marRight w:val="0"/>
                                                                                          <w:marTop w:val="0"/>
                                                                                          <w:marBottom w:val="0"/>
                                                                                          <w:divBdr>
                                                                                            <w:top w:val="none" w:sz="0" w:space="0" w:color="auto"/>
                                                                                            <w:left w:val="none" w:sz="0" w:space="0" w:color="auto"/>
                                                                                            <w:bottom w:val="none" w:sz="0" w:space="0" w:color="auto"/>
                                                                                            <w:right w:val="none" w:sz="0" w:space="0" w:color="auto"/>
                                                                                          </w:divBdr>
                                                                                          <w:divsChild>
                                                                                            <w:div w:id="1948343005">
                                                                                              <w:marLeft w:val="0"/>
                                                                                              <w:marRight w:val="0"/>
                                                                                              <w:marTop w:val="0"/>
                                                                                              <w:marBottom w:val="0"/>
                                                                                              <w:divBdr>
                                                                                                <w:top w:val="none" w:sz="0" w:space="0" w:color="auto"/>
                                                                                                <w:left w:val="none" w:sz="0" w:space="0" w:color="auto"/>
                                                                                                <w:bottom w:val="none" w:sz="0" w:space="0" w:color="auto"/>
                                                                                                <w:right w:val="none" w:sz="0" w:space="0" w:color="auto"/>
                                                                                              </w:divBdr>
                                                                                            </w:div>
                                                                                          </w:divsChild>
                                                                                        </w:div>
                                                                                        <w:div w:id="2006322513">
                                                                                          <w:marLeft w:val="0"/>
                                                                                          <w:marRight w:val="0"/>
                                                                                          <w:marTop w:val="0"/>
                                                                                          <w:marBottom w:val="0"/>
                                                                                          <w:divBdr>
                                                                                            <w:top w:val="none" w:sz="0" w:space="0" w:color="auto"/>
                                                                                            <w:left w:val="none" w:sz="0" w:space="0" w:color="auto"/>
                                                                                            <w:bottom w:val="none" w:sz="0" w:space="0" w:color="auto"/>
                                                                                            <w:right w:val="none" w:sz="0" w:space="0" w:color="auto"/>
                                                                                          </w:divBdr>
                                                                                          <w:divsChild>
                                                                                            <w:div w:id="445464597">
                                                                                              <w:marLeft w:val="0"/>
                                                                                              <w:marRight w:val="0"/>
                                                                                              <w:marTop w:val="0"/>
                                                                                              <w:marBottom w:val="0"/>
                                                                                              <w:divBdr>
                                                                                                <w:top w:val="none" w:sz="0" w:space="0" w:color="auto"/>
                                                                                                <w:left w:val="none" w:sz="0" w:space="0" w:color="auto"/>
                                                                                                <w:bottom w:val="none" w:sz="0" w:space="0" w:color="auto"/>
                                                                                                <w:right w:val="none" w:sz="0" w:space="0" w:color="auto"/>
                                                                                              </w:divBdr>
                                                                                            </w:div>
                                                                                          </w:divsChild>
                                                                                        </w:div>
                                                                                        <w:div w:id="2007854782">
                                                                                          <w:marLeft w:val="0"/>
                                                                                          <w:marRight w:val="0"/>
                                                                                          <w:marTop w:val="0"/>
                                                                                          <w:marBottom w:val="0"/>
                                                                                          <w:divBdr>
                                                                                            <w:top w:val="none" w:sz="0" w:space="0" w:color="auto"/>
                                                                                            <w:left w:val="none" w:sz="0" w:space="0" w:color="auto"/>
                                                                                            <w:bottom w:val="none" w:sz="0" w:space="0" w:color="auto"/>
                                                                                            <w:right w:val="none" w:sz="0" w:space="0" w:color="auto"/>
                                                                                          </w:divBdr>
                                                                                          <w:divsChild>
                                                                                            <w:div w:id="942954292">
                                                                                              <w:marLeft w:val="0"/>
                                                                                              <w:marRight w:val="0"/>
                                                                                              <w:marTop w:val="0"/>
                                                                                              <w:marBottom w:val="0"/>
                                                                                              <w:divBdr>
                                                                                                <w:top w:val="none" w:sz="0" w:space="0" w:color="auto"/>
                                                                                                <w:left w:val="none" w:sz="0" w:space="0" w:color="auto"/>
                                                                                                <w:bottom w:val="none" w:sz="0" w:space="0" w:color="auto"/>
                                                                                                <w:right w:val="none" w:sz="0" w:space="0" w:color="auto"/>
                                                                                              </w:divBdr>
                                                                                            </w:div>
                                                                                          </w:divsChild>
                                                                                        </w:div>
                                                                                        <w:div w:id="2032416593">
                                                                                          <w:marLeft w:val="0"/>
                                                                                          <w:marRight w:val="0"/>
                                                                                          <w:marTop w:val="0"/>
                                                                                          <w:marBottom w:val="0"/>
                                                                                          <w:divBdr>
                                                                                            <w:top w:val="none" w:sz="0" w:space="0" w:color="auto"/>
                                                                                            <w:left w:val="none" w:sz="0" w:space="0" w:color="auto"/>
                                                                                            <w:bottom w:val="none" w:sz="0" w:space="0" w:color="auto"/>
                                                                                            <w:right w:val="none" w:sz="0" w:space="0" w:color="auto"/>
                                                                                          </w:divBdr>
                                                                                          <w:divsChild>
                                                                                            <w:div w:id="214197118">
                                                                                              <w:marLeft w:val="0"/>
                                                                                              <w:marRight w:val="0"/>
                                                                                              <w:marTop w:val="0"/>
                                                                                              <w:marBottom w:val="0"/>
                                                                                              <w:divBdr>
                                                                                                <w:top w:val="none" w:sz="0" w:space="0" w:color="auto"/>
                                                                                                <w:left w:val="none" w:sz="0" w:space="0" w:color="auto"/>
                                                                                                <w:bottom w:val="none" w:sz="0" w:space="0" w:color="auto"/>
                                                                                                <w:right w:val="none" w:sz="0" w:space="0" w:color="auto"/>
                                                                                              </w:divBdr>
                                                                                            </w:div>
                                                                                          </w:divsChild>
                                                                                        </w:div>
                                                                                        <w:div w:id="2049716213">
                                                                                          <w:marLeft w:val="0"/>
                                                                                          <w:marRight w:val="0"/>
                                                                                          <w:marTop w:val="0"/>
                                                                                          <w:marBottom w:val="0"/>
                                                                                          <w:divBdr>
                                                                                            <w:top w:val="none" w:sz="0" w:space="0" w:color="auto"/>
                                                                                            <w:left w:val="none" w:sz="0" w:space="0" w:color="auto"/>
                                                                                            <w:bottom w:val="none" w:sz="0" w:space="0" w:color="auto"/>
                                                                                            <w:right w:val="none" w:sz="0" w:space="0" w:color="auto"/>
                                                                                          </w:divBdr>
                                                                                          <w:divsChild>
                                                                                            <w:div w:id="1225213596">
                                                                                              <w:marLeft w:val="0"/>
                                                                                              <w:marRight w:val="0"/>
                                                                                              <w:marTop w:val="0"/>
                                                                                              <w:marBottom w:val="0"/>
                                                                                              <w:divBdr>
                                                                                                <w:top w:val="none" w:sz="0" w:space="0" w:color="auto"/>
                                                                                                <w:left w:val="none" w:sz="0" w:space="0" w:color="auto"/>
                                                                                                <w:bottom w:val="none" w:sz="0" w:space="0" w:color="auto"/>
                                                                                                <w:right w:val="none" w:sz="0" w:space="0" w:color="auto"/>
                                                                                              </w:divBdr>
                                                                                            </w:div>
                                                                                          </w:divsChild>
                                                                                        </w:div>
                                                                                        <w:div w:id="2094661801">
                                                                                          <w:marLeft w:val="0"/>
                                                                                          <w:marRight w:val="0"/>
                                                                                          <w:marTop w:val="0"/>
                                                                                          <w:marBottom w:val="0"/>
                                                                                          <w:divBdr>
                                                                                            <w:top w:val="none" w:sz="0" w:space="0" w:color="auto"/>
                                                                                            <w:left w:val="none" w:sz="0" w:space="0" w:color="auto"/>
                                                                                            <w:bottom w:val="none" w:sz="0" w:space="0" w:color="auto"/>
                                                                                            <w:right w:val="none" w:sz="0" w:space="0" w:color="auto"/>
                                                                                          </w:divBdr>
                                                                                          <w:divsChild>
                                                                                            <w:div w:id="409236875">
                                                                                              <w:marLeft w:val="0"/>
                                                                                              <w:marRight w:val="0"/>
                                                                                              <w:marTop w:val="0"/>
                                                                                              <w:marBottom w:val="0"/>
                                                                                              <w:divBdr>
                                                                                                <w:top w:val="none" w:sz="0" w:space="0" w:color="auto"/>
                                                                                                <w:left w:val="none" w:sz="0" w:space="0" w:color="auto"/>
                                                                                                <w:bottom w:val="none" w:sz="0" w:space="0" w:color="auto"/>
                                                                                                <w:right w:val="none" w:sz="0" w:space="0" w:color="auto"/>
                                                                                              </w:divBdr>
                                                                                            </w:div>
                                                                                          </w:divsChild>
                                                                                        </w:div>
                                                                                        <w:div w:id="2114979563">
                                                                                          <w:marLeft w:val="0"/>
                                                                                          <w:marRight w:val="0"/>
                                                                                          <w:marTop w:val="0"/>
                                                                                          <w:marBottom w:val="0"/>
                                                                                          <w:divBdr>
                                                                                            <w:top w:val="none" w:sz="0" w:space="0" w:color="auto"/>
                                                                                            <w:left w:val="none" w:sz="0" w:space="0" w:color="auto"/>
                                                                                            <w:bottom w:val="none" w:sz="0" w:space="0" w:color="auto"/>
                                                                                            <w:right w:val="none" w:sz="0" w:space="0" w:color="auto"/>
                                                                                          </w:divBdr>
                                                                                          <w:divsChild>
                                                                                            <w:div w:id="91948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2505">
                                                                                  <w:marLeft w:val="0"/>
                                                                                  <w:marRight w:val="0"/>
                                                                                  <w:marTop w:val="0"/>
                                                                                  <w:marBottom w:val="0"/>
                                                                                  <w:divBdr>
                                                                                    <w:top w:val="none" w:sz="0" w:space="0" w:color="auto"/>
                                                                                    <w:left w:val="none" w:sz="0" w:space="0" w:color="auto"/>
                                                                                    <w:bottom w:val="none" w:sz="0" w:space="0" w:color="auto"/>
                                                                                    <w:right w:val="none" w:sz="0" w:space="0" w:color="auto"/>
                                                                                  </w:divBdr>
                                                                                </w:div>
                                                                                <w:div w:id="1348824522">
                                                                                  <w:marLeft w:val="0"/>
                                                                                  <w:marRight w:val="0"/>
                                                                                  <w:marTop w:val="0"/>
                                                                                  <w:marBottom w:val="0"/>
                                                                                  <w:divBdr>
                                                                                    <w:top w:val="none" w:sz="0" w:space="0" w:color="auto"/>
                                                                                    <w:left w:val="none" w:sz="0" w:space="0" w:color="auto"/>
                                                                                    <w:bottom w:val="none" w:sz="0" w:space="0" w:color="auto"/>
                                                                                    <w:right w:val="none" w:sz="0" w:space="0" w:color="auto"/>
                                                                                  </w:divBdr>
                                                                                </w:div>
                                                                                <w:div w:id="1489787425">
                                                                                  <w:marLeft w:val="0"/>
                                                                                  <w:marRight w:val="0"/>
                                                                                  <w:marTop w:val="0"/>
                                                                                  <w:marBottom w:val="0"/>
                                                                                  <w:divBdr>
                                                                                    <w:top w:val="none" w:sz="0" w:space="0" w:color="auto"/>
                                                                                    <w:left w:val="none" w:sz="0" w:space="0" w:color="auto"/>
                                                                                    <w:bottom w:val="none" w:sz="0" w:space="0" w:color="auto"/>
                                                                                    <w:right w:val="none" w:sz="0" w:space="0" w:color="auto"/>
                                                                                  </w:divBdr>
                                                                                </w:div>
                                                                                <w:div w:id="196715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73907500">
      <w:bodyDiv w:val="1"/>
      <w:marLeft w:val="0"/>
      <w:marRight w:val="0"/>
      <w:marTop w:val="0"/>
      <w:marBottom w:val="0"/>
      <w:divBdr>
        <w:top w:val="none" w:sz="0" w:space="0" w:color="auto"/>
        <w:left w:val="none" w:sz="0" w:space="0" w:color="auto"/>
        <w:bottom w:val="none" w:sz="0" w:space="0" w:color="auto"/>
        <w:right w:val="none" w:sz="0" w:space="0" w:color="auto"/>
      </w:divBdr>
      <w:divsChild>
        <w:div w:id="1695115382">
          <w:marLeft w:val="0"/>
          <w:marRight w:val="0"/>
          <w:marTop w:val="0"/>
          <w:marBottom w:val="0"/>
          <w:divBdr>
            <w:top w:val="none" w:sz="0" w:space="0" w:color="auto"/>
            <w:left w:val="none" w:sz="0" w:space="0" w:color="auto"/>
            <w:bottom w:val="none" w:sz="0" w:space="0" w:color="auto"/>
            <w:right w:val="none" w:sz="0" w:space="0" w:color="auto"/>
          </w:divBdr>
          <w:divsChild>
            <w:div w:id="98598763">
              <w:marLeft w:val="0"/>
              <w:marRight w:val="0"/>
              <w:marTop w:val="0"/>
              <w:marBottom w:val="0"/>
              <w:divBdr>
                <w:top w:val="none" w:sz="0" w:space="0" w:color="auto"/>
                <w:left w:val="none" w:sz="0" w:space="0" w:color="auto"/>
                <w:bottom w:val="none" w:sz="0" w:space="0" w:color="auto"/>
                <w:right w:val="none" w:sz="0" w:space="0" w:color="auto"/>
              </w:divBdr>
              <w:divsChild>
                <w:div w:id="1204824988">
                  <w:marLeft w:val="0"/>
                  <w:marRight w:val="0"/>
                  <w:marTop w:val="0"/>
                  <w:marBottom w:val="0"/>
                  <w:divBdr>
                    <w:top w:val="none" w:sz="0" w:space="0" w:color="auto"/>
                    <w:left w:val="none" w:sz="0" w:space="0" w:color="auto"/>
                    <w:bottom w:val="none" w:sz="0" w:space="0" w:color="auto"/>
                    <w:right w:val="none" w:sz="0" w:space="0" w:color="auto"/>
                  </w:divBdr>
                  <w:divsChild>
                    <w:div w:id="1598362534">
                      <w:marLeft w:val="0"/>
                      <w:marRight w:val="0"/>
                      <w:marTop w:val="0"/>
                      <w:marBottom w:val="0"/>
                      <w:divBdr>
                        <w:top w:val="none" w:sz="0" w:space="0" w:color="auto"/>
                        <w:left w:val="none" w:sz="0" w:space="0" w:color="auto"/>
                        <w:bottom w:val="none" w:sz="0" w:space="0" w:color="auto"/>
                        <w:right w:val="none" w:sz="0" w:space="0" w:color="auto"/>
                      </w:divBdr>
                      <w:divsChild>
                        <w:div w:id="829490412">
                          <w:marLeft w:val="0"/>
                          <w:marRight w:val="0"/>
                          <w:marTop w:val="0"/>
                          <w:marBottom w:val="0"/>
                          <w:divBdr>
                            <w:top w:val="none" w:sz="0" w:space="0" w:color="auto"/>
                            <w:left w:val="none" w:sz="0" w:space="0" w:color="auto"/>
                            <w:bottom w:val="none" w:sz="0" w:space="0" w:color="auto"/>
                            <w:right w:val="none" w:sz="0" w:space="0" w:color="auto"/>
                          </w:divBdr>
                          <w:divsChild>
                            <w:div w:id="228730033">
                              <w:marLeft w:val="0"/>
                              <w:marRight w:val="0"/>
                              <w:marTop w:val="0"/>
                              <w:marBottom w:val="0"/>
                              <w:divBdr>
                                <w:top w:val="none" w:sz="0" w:space="0" w:color="auto"/>
                                <w:left w:val="none" w:sz="0" w:space="0" w:color="auto"/>
                                <w:bottom w:val="none" w:sz="0" w:space="0" w:color="auto"/>
                                <w:right w:val="none" w:sz="0" w:space="0" w:color="auto"/>
                              </w:divBdr>
                              <w:divsChild>
                                <w:div w:id="706107358">
                                  <w:marLeft w:val="0"/>
                                  <w:marRight w:val="0"/>
                                  <w:marTop w:val="0"/>
                                  <w:marBottom w:val="0"/>
                                  <w:divBdr>
                                    <w:top w:val="none" w:sz="0" w:space="0" w:color="auto"/>
                                    <w:left w:val="none" w:sz="0" w:space="0" w:color="auto"/>
                                    <w:bottom w:val="none" w:sz="0" w:space="0" w:color="auto"/>
                                    <w:right w:val="none" w:sz="0" w:space="0" w:color="auto"/>
                                  </w:divBdr>
                                  <w:divsChild>
                                    <w:div w:id="124127467">
                                      <w:marLeft w:val="0"/>
                                      <w:marRight w:val="0"/>
                                      <w:marTop w:val="0"/>
                                      <w:marBottom w:val="0"/>
                                      <w:divBdr>
                                        <w:top w:val="none" w:sz="0" w:space="0" w:color="auto"/>
                                        <w:left w:val="none" w:sz="0" w:space="0" w:color="auto"/>
                                        <w:bottom w:val="none" w:sz="0" w:space="0" w:color="auto"/>
                                        <w:right w:val="none" w:sz="0" w:space="0" w:color="auto"/>
                                      </w:divBdr>
                                      <w:divsChild>
                                        <w:div w:id="456290472">
                                          <w:marLeft w:val="0"/>
                                          <w:marRight w:val="0"/>
                                          <w:marTop w:val="0"/>
                                          <w:marBottom w:val="0"/>
                                          <w:divBdr>
                                            <w:top w:val="none" w:sz="0" w:space="0" w:color="auto"/>
                                            <w:left w:val="none" w:sz="0" w:space="0" w:color="auto"/>
                                            <w:bottom w:val="none" w:sz="0" w:space="0" w:color="auto"/>
                                            <w:right w:val="none" w:sz="0" w:space="0" w:color="auto"/>
                                          </w:divBdr>
                                          <w:divsChild>
                                            <w:div w:id="952130624">
                                              <w:marLeft w:val="0"/>
                                              <w:marRight w:val="0"/>
                                              <w:marTop w:val="0"/>
                                              <w:marBottom w:val="0"/>
                                              <w:divBdr>
                                                <w:top w:val="none" w:sz="0" w:space="0" w:color="auto"/>
                                                <w:left w:val="none" w:sz="0" w:space="0" w:color="auto"/>
                                                <w:bottom w:val="none" w:sz="0" w:space="0" w:color="auto"/>
                                                <w:right w:val="none" w:sz="0" w:space="0" w:color="auto"/>
                                              </w:divBdr>
                                              <w:divsChild>
                                                <w:div w:id="131140480">
                                                  <w:marLeft w:val="0"/>
                                                  <w:marRight w:val="0"/>
                                                  <w:marTop w:val="0"/>
                                                  <w:marBottom w:val="0"/>
                                                  <w:divBdr>
                                                    <w:top w:val="none" w:sz="0" w:space="0" w:color="auto"/>
                                                    <w:left w:val="none" w:sz="0" w:space="0" w:color="auto"/>
                                                    <w:bottom w:val="none" w:sz="0" w:space="0" w:color="auto"/>
                                                    <w:right w:val="none" w:sz="0" w:space="0" w:color="auto"/>
                                                  </w:divBdr>
                                                  <w:divsChild>
                                                    <w:div w:id="285744554">
                                                      <w:marLeft w:val="0"/>
                                                      <w:marRight w:val="0"/>
                                                      <w:marTop w:val="0"/>
                                                      <w:marBottom w:val="0"/>
                                                      <w:divBdr>
                                                        <w:top w:val="single" w:sz="6" w:space="0" w:color="ABABAB"/>
                                                        <w:left w:val="single" w:sz="6" w:space="0" w:color="ABABAB"/>
                                                        <w:bottom w:val="none" w:sz="0" w:space="0" w:color="auto"/>
                                                        <w:right w:val="single" w:sz="6" w:space="0" w:color="ABABAB"/>
                                                      </w:divBdr>
                                                      <w:divsChild>
                                                        <w:div w:id="444739648">
                                                          <w:marLeft w:val="0"/>
                                                          <w:marRight w:val="0"/>
                                                          <w:marTop w:val="0"/>
                                                          <w:marBottom w:val="0"/>
                                                          <w:divBdr>
                                                            <w:top w:val="none" w:sz="0" w:space="0" w:color="auto"/>
                                                            <w:left w:val="none" w:sz="0" w:space="0" w:color="auto"/>
                                                            <w:bottom w:val="none" w:sz="0" w:space="0" w:color="auto"/>
                                                            <w:right w:val="none" w:sz="0" w:space="0" w:color="auto"/>
                                                          </w:divBdr>
                                                          <w:divsChild>
                                                            <w:div w:id="2047021735">
                                                              <w:marLeft w:val="0"/>
                                                              <w:marRight w:val="0"/>
                                                              <w:marTop w:val="0"/>
                                                              <w:marBottom w:val="0"/>
                                                              <w:divBdr>
                                                                <w:top w:val="none" w:sz="0" w:space="0" w:color="auto"/>
                                                                <w:left w:val="none" w:sz="0" w:space="0" w:color="auto"/>
                                                                <w:bottom w:val="none" w:sz="0" w:space="0" w:color="auto"/>
                                                                <w:right w:val="none" w:sz="0" w:space="0" w:color="auto"/>
                                                              </w:divBdr>
                                                              <w:divsChild>
                                                                <w:div w:id="557977831">
                                                                  <w:marLeft w:val="0"/>
                                                                  <w:marRight w:val="0"/>
                                                                  <w:marTop w:val="0"/>
                                                                  <w:marBottom w:val="0"/>
                                                                  <w:divBdr>
                                                                    <w:top w:val="none" w:sz="0" w:space="0" w:color="auto"/>
                                                                    <w:left w:val="none" w:sz="0" w:space="0" w:color="auto"/>
                                                                    <w:bottom w:val="none" w:sz="0" w:space="0" w:color="auto"/>
                                                                    <w:right w:val="none" w:sz="0" w:space="0" w:color="auto"/>
                                                                  </w:divBdr>
                                                                  <w:divsChild>
                                                                    <w:div w:id="221018024">
                                                                      <w:marLeft w:val="0"/>
                                                                      <w:marRight w:val="0"/>
                                                                      <w:marTop w:val="0"/>
                                                                      <w:marBottom w:val="0"/>
                                                                      <w:divBdr>
                                                                        <w:top w:val="none" w:sz="0" w:space="0" w:color="auto"/>
                                                                        <w:left w:val="none" w:sz="0" w:space="0" w:color="auto"/>
                                                                        <w:bottom w:val="none" w:sz="0" w:space="0" w:color="auto"/>
                                                                        <w:right w:val="none" w:sz="0" w:space="0" w:color="auto"/>
                                                                      </w:divBdr>
                                                                      <w:divsChild>
                                                                        <w:div w:id="1926765630">
                                                                          <w:marLeft w:val="0"/>
                                                                          <w:marRight w:val="0"/>
                                                                          <w:marTop w:val="0"/>
                                                                          <w:marBottom w:val="0"/>
                                                                          <w:divBdr>
                                                                            <w:top w:val="none" w:sz="0" w:space="0" w:color="auto"/>
                                                                            <w:left w:val="none" w:sz="0" w:space="0" w:color="auto"/>
                                                                            <w:bottom w:val="none" w:sz="0" w:space="0" w:color="auto"/>
                                                                            <w:right w:val="none" w:sz="0" w:space="0" w:color="auto"/>
                                                                          </w:divBdr>
                                                                          <w:divsChild>
                                                                            <w:div w:id="1413939440">
                                                                              <w:marLeft w:val="0"/>
                                                                              <w:marRight w:val="0"/>
                                                                              <w:marTop w:val="0"/>
                                                                              <w:marBottom w:val="0"/>
                                                                              <w:divBdr>
                                                                                <w:top w:val="none" w:sz="0" w:space="0" w:color="auto"/>
                                                                                <w:left w:val="none" w:sz="0" w:space="0" w:color="auto"/>
                                                                                <w:bottom w:val="none" w:sz="0" w:space="0" w:color="auto"/>
                                                                                <w:right w:val="none" w:sz="0" w:space="0" w:color="auto"/>
                                                                              </w:divBdr>
                                                                              <w:divsChild>
                                                                                <w:div w:id="18626303">
                                                                                  <w:marLeft w:val="0"/>
                                                                                  <w:marRight w:val="0"/>
                                                                                  <w:marTop w:val="0"/>
                                                                                  <w:marBottom w:val="0"/>
                                                                                  <w:divBdr>
                                                                                    <w:top w:val="none" w:sz="0" w:space="0" w:color="auto"/>
                                                                                    <w:left w:val="none" w:sz="0" w:space="0" w:color="auto"/>
                                                                                    <w:bottom w:val="none" w:sz="0" w:space="0" w:color="auto"/>
                                                                                    <w:right w:val="none" w:sz="0" w:space="0" w:color="auto"/>
                                                                                  </w:divBdr>
                                                                                </w:div>
                                                                                <w:div w:id="860436210">
                                                                                  <w:marLeft w:val="0"/>
                                                                                  <w:marRight w:val="0"/>
                                                                                  <w:marTop w:val="0"/>
                                                                                  <w:marBottom w:val="0"/>
                                                                                  <w:divBdr>
                                                                                    <w:top w:val="none" w:sz="0" w:space="0" w:color="auto"/>
                                                                                    <w:left w:val="none" w:sz="0" w:space="0" w:color="auto"/>
                                                                                    <w:bottom w:val="none" w:sz="0" w:space="0" w:color="auto"/>
                                                                                    <w:right w:val="none" w:sz="0" w:space="0" w:color="auto"/>
                                                                                  </w:divBdr>
                                                                                </w:div>
                                                                                <w:div w:id="203923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33425192">
      <w:bodyDiv w:val="1"/>
      <w:marLeft w:val="0"/>
      <w:marRight w:val="0"/>
      <w:marTop w:val="0"/>
      <w:marBottom w:val="0"/>
      <w:divBdr>
        <w:top w:val="none" w:sz="0" w:space="0" w:color="auto"/>
        <w:left w:val="none" w:sz="0" w:space="0" w:color="auto"/>
        <w:bottom w:val="none" w:sz="0" w:space="0" w:color="auto"/>
        <w:right w:val="none" w:sz="0" w:space="0" w:color="auto"/>
      </w:divBdr>
    </w:div>
    <w:div w:id="595331054">
      <w:bodyDiv w:val="1"/>
      <w:marLeft w:val="0"/>
      <w:marRight w:val="0"/>
      <w:marTop w:val="0"/>
      <w:marBottom w:val="0"/>
      <w:divBdr>
        <w:top w:val="none" w:sz="0" w:space="0" w:color="auto"/>
        <w:left w:val="none" w:sz="0" w:space="0" w:color="auto"/>
        <w:bottom w:val="none" w:sz="0" w:space="0" w:color="auto"/>
        <w:right w:val="none" w:sz="0" w:space="0" w:color="auto"/>
      </w:divBdr>
    </w:div>
    <w:div w:id="604843175">
      <w:bodyDiv w:val="1"/>
      <w:marLeft w:val="0"/>
      <w:marRight w:val="0"/>
      <w:marTop w:val="0"/>
      <w:marBottom w:val="0"/>
      <w:divBdr>
        <w:top w:val="none" w:sz="0" w:space="0" w:color="auto"/>
        <w:left w:val="none" w:sz="0" w:space="0" w:color="auto"/>
        <w:bottom w:val="none" w:sz="0" w:space="0" w:color="auto"/>
        <w:right w:val="none" w:sz="0" w:space="0" w:color="auto"/>
      </w:divBdr>
    </w:div>
    <w:div w:id="645933152">
      <w:bodyDiv w:val="1"/>
      <w:marLeft w:val="0"/>
      <w:marRight w:val="0"/>
      <w:marTop w:val="0"/>
      <w:marBottom w:val="0"/>
      <w:divBdr>
        <w:top w:val="none" w:sz="0" w:space="0" w:color="auto"/>
        <w:left w:val="none" w:sz="0" w:space="0" w:color="auto"/>
        <w:bottom w:val="none" w:sz="0" w:space="0" w:color="auto"/>
        <w:right w:val="none" w:sz="0" w:space="0" w:color="auto"/>
      </w:divBdr>
    </w:div>
    <w:div w:id="646788430">
      <w:bodyDiv w:val="1"/>
      <w:marLeft w:val="0"/>
      <w:marRight w:val="0"/>
      <w:marTop w:val="0"/>
      <w:marBottom w:val="0"/>
      <w:divBdr>
        <w:top w:val="none" w:sz="0" w:space="0" w:color="auto"/>
        <w:left w:val="none" w:sz="0" w:space="0" w:color="auto"/>
        <w:bottom w:val="none" w:sz="0" w:space="0" w:color="auto"/>
        <w:right w:val="none" w:sz="0" w:space="0" w:color="auto"/>
      </w:divBdr>
    </w:div>
    <w:div w:id="654146824">
      <w:bodyDiv w:val="1"/>
      <w:marLeft w:val="0"/>
      <w:marRight w:val="0"/>
      <w:marTop w:val="0"/>
      <w:marBottom w:val="0"/>
      <w:divBdr>
        <w:top w:val="none" w:sz="0" w:space="0" w:color="auto"/>
        <w:left w:val="none" w:sz="0" w:space="0" w:color="auto"/>
        <w:bottom w:val="none" w:sz="0" w:space="0" w:color="auto"/>
        <w:right w:val="none" w:sz="0" w:space="0" w:color="auto"/>
      </w:divBdr>
    </w:div>
    <w:div w:id="655307428">
      <w:bodyDiv w:val="1"/>
      <w:marLeft w:val="0"/>
      <w:marRight w:val="0"/>
      <w:marTop w:val="0"/>
      <w:marBottom w:val="0"/>
      <w:divBdr>
        <w:top w:val="none" w:sz="0" w:space="0" w:color="auto"/>
        <w:left w:val="none" w:sz="0" w:space="0" w:color="auto"/>
        <w:bottom w:val="none" w:sz="0" w:space="0" w:color="auto"/>
        <w:right w:val="none" w:sz="0" w:space="0" w:color="auto"/>
      </w:divBdr>
    </w:div>
    <w:div w:id="691422211">
      <w:bodyDiv w:val="1"/>
      <w:marLeft w:val="0"/>
      <w:marRight w:val="0"/>
      <w:marTop w:val="0"/>
      <w:marBottom w:val="0"/>
      <w:divBdr>
        <w:top w:val="none" w:sz="0" w:space="0" w:color="auto"/>
        <w:left w:val="none" w:sz="0" w:space="0" w:color="auto"/>
        <w:bottom w:val="none" w:sz="0" w:space="0" w:color="auto"/>
        <w:right w:val="none" w:sz="0" w:space="0" w:color="auto"/>
      </w:divBdr>
    </w:div>
    <w:div w:id="902982141">
      <w:bodyDiv w:val="1"/>
      <w:marLeft w:val="0"/>
      <w:marRight w:val="0"/>
      <w:marTop w:val="0"/>
      <w:marBottom w:val="0"/>
      <w:divBdr>
        <w:top w:val="none" w:sz="0" w:space="0" w:color="auto"/>
        <w:left w:val="none" w:sz="0" w:space="0" w:color="auto"/>
        <w:bottom w:val="none" w:sz="0" w:space="0" w:color="auto"/>
        <w:right w:val="none" w:sz="0" w:space="0" w:color="auto"/>
      </w:divBdr>
    </w:div>
    <w:div w:id="1015764505">
      <w:bodyDiv w:val="1"/>
      <w:marLeft w:val="0"/>
      <w:marRight w:val="0"/>
      <w:marTop w:val="0"/>
      <w:marBottom w:val="0"/>
      <w:divBdr>
        <w:top w:val="none" w:sz="0" w:space="0" w:color="auto"/>
        <w:left w:val="none" w:sz="0" w:space="0" w:color="auto"/>
        <w:bottom w:val="none" w:sz="0" w:space="0" w:color="auto"/>
        <w:right w:val="none" w:sz="0" w:space="0" w:color="auto"/>
      </w:divBdr>
    </w:div>
    <w:div w:id="1144784337">
      <w:bodyDiv w:val="1"/>
      <w:marLeft w:val="0"/>
      <w:marRight w:val="0"/>
      <w:marTop w:val="0"/>
      <w:marBottom w:val="0"/>
      <w:divBdr>
        <w:top w:val="none" w:sz="0" w:space="0" w:color="auto"/>
        <w:left w:val="none" w:sz="0" w:space="0" w:color="auto"/>
        <w:bottom w:val="none" w:sz="0" w:space="0" w:color="auto"/>
        <w:right w:val="none" w:sz="0" w:space="0" w:color="auto"/>
      </w:divBdr>
    </w:div>
    <w:div w:id="1219584570">
      <w:bodyDiv w:val="1"/>
      <w:marLeft w:val="0"/>
      <w:marRight w:val="0"/>
      <w:marTop w:val="0"/>
      <w:marBottom w:val="0"/>
      <w:divBdr>
        <w:top w:val="none" w:sz="0" w:space="0" w:color="auto"/>
        <w:left w:val="none" w:sz="0" w:space="0" w:color="auto"/>
        <w:bottom w:val="none" w:sz="0" w:space="0" w:color="auto"/>
        <w:right w:val="none" w:sz="0" w:space="0" w:color="auto"/>
      </w:divBdr>
    </w:div>
    <w:div w:id="1252542752">
      <w:bodyDiv w:val="1"/>
      <w:marLeft w:val="0"/>
      <w:marRight w:val="0"/>
      <w:marTop w:val="0"/>
      <w:marBottom w:val="0"/>
      <w:divBdr>
        <w:top w:val="none" w:sz="0" w:space="0" w:color="auto"/>
        <w:left w:val="none" w:sz="0" w:space="0" w:color="auto"/>
        <w:bottom w:val="none" w:sz="0" w:space="0" w:color="auto"/>
        <w:right w:val="none" w:sz="0" w:space="0" w:color="auto"/>
      </w:divBdr>
    </w:div>
    <w:div w:id="1286958618">
      <w:bodyDiv w:val="1"/>
      <w:marLeft w:val="0"/>
      <w:marRight w:val="0"/>
      <w:marTop w:val="0"/>
      <w:marBottom w:val="0"/>
      <w:divBdr>
        <w:top w:val="none" w:sz="0" w:space="0" w:color="auto"/>
        <w:left w:val="none" w:sz="0" w:space="0" w:color="auto"/>
        <w:bottom w:val="none" w:sz="0" w:space="0" w:color="auto"/>
        <w:right w:val="none" w:sz="0" w:space="0" w:color="auto"/>
      </w:divBdr>
    </w:div>
    <w:div w:id="1362902895">
      <w:bodyDiv w:val="1"/>
      <w:marLeft w:val="0"/>
      <w:marRight w:val="0"/>
      <w:marTop w:val="0"/>
      <w:marBottom w:val="0"/>
      <w:divBdr>
        <w:top w:val="none" w:sz="0" w:space="0" w:color="auto"/>
        <w:left w:val="none" w:sz="0" w:space="0" w:color="auto"/>
        <w:bottom w:val="none" w:sz="0" w:space="0" w:color="auto"/>
        <w:right w:val="none" w:sz="0" w:space="0" w:color="auto"/>
      </w:divBdr>
      <w:divsChild>
        <w:div w:id="2014453687">
          <w:marLeft w:val="0"/>
          <w:marRight w:val="0"/>
          <w:marTop w:val="0"/>
          <w:marBottom w:val="0"/>
          <w:divBdr>
            <w:top w:val="none" w:sz="0" w:space="0" w:color="auto"/>
            <w:left w:val="none" w:sz="0" w:space="0" w:color="auto"/>
            <w:bottom w:val="none" w:sz="0" w:space="0" w:color="auto"/>
            <w:right w:val="none" w:sz="0" w:space="0" w:color="auto"/>
          </w:divBdr>
          <w:divsChild>
            <w:div w:id="1997570003">
              <w:marLeft w:val="0"/>
              <w:marRight w:val="0"/>
              <w:marTop w:val="0"/>
              <w:marBottom w:val="0"/>
              <w:divBdr>
                <w:top w:val="none" w:sz="0" w:space="0" w:color="auto"/>
                <w:left w:val="none" w:sz="0" w:space="0" w:color="auto"/>
                <w:bottom w:val="none" w:sz="0" w:space="0" w:color="auto"/>
                <w:right w:val="none" w:sz="0" w:space="0" w:color="auto"/>
              </w:divBdr>
              <w:divsChild>
                <w:div w:id="1400980331">
                  <w:marLeft w:val="0"/>
                  <w:marRight w:val="0"/>
                  <w:marTop w:val="0"/>
                  <w:marBottom w:val="0"/>
                  <w:divBdr>
                    <w:top w:val="none" w:sz="0" w:space="0" w:color="auto"/>
                    <w:left w:val="none" w:sz="0" w:space="0" w:color="auto"/>
                    <w:bottom w:val="none" w:sz="0" w:space="0" w:color="auto"/>
                    <w:right w:val="none" w:sz="0" w:space="0" w:color="auto"/>
                  </w:divBdr>
                  <w:divsChild>
                    <w:div w:id="514272518">
                      <w:marLeft w:val="0"/>
                      <w:marRight w:val="0"/>
                      <w:marTop w:val="0"/>
                      <w:marBottom w:val="0"/>
                      <w:divBdr>
                        <w:top w:val="none" w:sz="0" w:space="0" w:color="auto"/>
                        <w:left w:val="none" w:sz="0" w:space="0" w:color="auto"/>
                        <w:bottom w:val="none" w:sz="0" w:space="0" w:color="auto"/>
                        <w:right w:val="none" w:sz="0" w:space="0" w:color="auto"/>
                      </w:divBdr>
                      <w:divsChild>
                        <w:div w:id="1098525259">
                          <w:marLeft w:val="0"/>
                          <w:marRight w:val="0"/>
                          <w:marTop w:val="0"/>
                          <w:marBottom w:val="0"/>
                          <w:divBdr>
                            <w:top w:val="none" w:sz="0" w:space="0" w:color="auto"/>
                            <w:left w:val="none" w:sz="0" w:space="0" w:color="auto"/>
                            <w:bottom w:val="none" w:sz="0" w:space="0" w:color="auto"/>
                            <w:right w:val="none" w:sz="0" w:space="0" w:color="auto"/>
                          </w:divBdr>
                          <w:divsChild>
                            <w:div w:id="858005898">
                              <w:marLeft w:val="0"/>
                              <w:marRight w:val="0"/>
                              <w:marTop w:val="0"/>
                              <w:marBottom w:val="0"/>
                              <w:divBdr>
                                <w:top w:val="none" w:sz="0" w:space="0" w:color="auto"/>
                                <w:left w:val="none" w:sz="0" w:space="0" w:color="auto"/>
                                <w:bottom w:val="none" w:sz="0" w:space="0" w:color="auto"/>
                                <w:right w:val="none" w:sz="0" w:space="0" w:color="auto"/>
                              </w:divBdr>
                              <w:divsChild>
                                <w:div w:id="18285316">
                                  <w:marLeft w:val="0"/>
                                  <w:marRight w:val="0"/>
                                  <w:marTop w:val="0"/>
                                  <w:marBottom w:val="0"/>
                                  <w:divBdr>
                                    <w:top w:val="none" w:sz="0" w:space="0" w:color="auto"/>
                                    <w:left w:val="none" w:sz="0" w:space="0" w:color="auto"/>
                                    <w:bottom w:val="none" w:sz="0" w:space="0" w:color="auto"/>
                                    <w:right w:val="none" w:sz="0" w:space="0" w:color="auto"/>
                                  </w:divBdr>
                                  <w:divsChild>
                                    <w:div w:id="1771193062">
                                      <w:marLeft w:val="0"/>
                                      <w:marRight w:val="0"/>
                                      <w:marTop w:val="0"/>
                                      <w:marBottom w:val="0"/>
                                      <w:divBdr>
                                        <w:top w:val="none" w:sz="0" w:space="0" w:color="auto"/>
                                        <w:left w:val="none" w:sz="0" w:space="0" w:color="auto"/>
                                        <w:bottom w:val="none" w:sz="0" w:space="0" w:color="auto"/>
                                        <w:right w:val="none" w:sz="0" w:space="0" w:color="auto"/>
                                      </w:divBdr>
                                      <w:divsChild>
                                        <w:div w:id="1740128657">
                                          <w:marLeft w:val="0"/>
                                          <w:marRight w:val="0"/>
                                          <w:marTop w:val="0"/>
                                          <w:marBottom w:val="0"/>
                                          <w:divBdr>
                                            <w:top w:val="none" w:sz="0" w:space="0" w:color="auto"/>
                                            <w:left w:val="none" w:sz="0" w:space="0" w:color="auto"/>
                                            <w:bottom w:val="none" w:sz="0" w:space="0" w:color="auto"/>
                                            <w:right w:val="none" w:sz="0" w:space="0" w:color="auto"/>
                                          </w:divBdr>
                                          <w:divsChild>
                                            <w:div w:id="250478861">
                                              <w:marLeft w:val="0"/>
                                              <w:marRight w:val="0"/>
                                              <w:marTop w:val="0"/>
                                              <w:marBottom w:val="0"/>
                                              <w:divBdr>
                                                <w:top w:val="none" w:sz="0" w:space="0" w:color="auto"/>
                                                <w:left w:val="none" w:sz="0" w:space="0" w:color="auto"/>
                                                <w:bottom w:val="none" w:sz="0" w:space="0" w:color="auto"/>
                                                <w:right w:val="none" w:sz="0" w:space="0" w:color="auto"/>
                                              </w:divBdr>
                                              <w:divsChild>
                                                <w:div w:id="585650392">
                                                  <w:marLeft w:val="0"/>
                                                  <w:marRight w:val="0"/>
                                                  <w:marTop w:val="0"/>
                                                  <w:marBottom w:val="0"/>
                                                  <w:divBdr>
                                                    <w:top w:val="none" w:sz="0" w:space="0" w:color="auto"/>
                                                    <w:left w:val="none" w:sz="0" w:space="0" w:color="auto"/>
                                                    <w:bottom w:val="none" w:sz="0" w:space="0" w:color="auto"/>
                                                    <w:right w:val="none" w:sz="0" w:space="0" w:color="auto"/>
                                                  </w:divBdr>
                                                  <w:divsChild>
                                                    <w:div w:id="1026492020">
                                                      <w:marLeft w:val="0"/>
                                                      <w:marRight w:val="0"/>
                                                      <w:marTop w:val="0"/>
                                                      <w:marBottom w:val="0"/>
                                                      <w:divBdr>
                                                        <w:top w:val="single" w:sz="6" w:space="0" w:color="ABABAB"/>
                                                        <w:left w:val="single" w:sz="6" w:space="0" w:color="ABABAB"/>
                                                        <w:bottom w:val="none" w:sz="0" w:space="0" w:color="auto"/>
                                                        <w:right w:val="single" w:sz="6" w:space="0" w:color="ABABAB"/>
                                                      </w:divBdr>
                                                      <w:divsChild>
                                                        <w:div w:id="287127968">
                                                          <w:marLeft w:val="0"/>
                                                          <w:marRight w:val="0"/>
                                                          <w:marTop w:val="0"/>
                                                          <w:marBottom w:val="0"/>
                                                          <w:divBdr>
                                                            <w:top w:val="none" w:sz="0" w:space="0" w:color="auto"/>
                                                            <w:left w:val="none" w:sz="0" w:space="0" w:color="auto"/>
                                                            <w:bottom w:val="none" w:sz="0" w:space="0" w:color="auto"/>
                                                            <w:right w:val="none" w:sz="0" w:space="0" w:color="auto"/>
                                                          </w:divBdr>
                                                          <w:divsChild>
                                                            <w:div w:id="478766631">
                                                              <w:marLeft w:val="0"/>
                                                              <w:marRight w:val="0"/>
                                                              <w:marTop w:val="0"/>
                                                              <w:marBottom w:val="0"/>
                                                              <w:divBdr>
                                                                <w:top w:val="none" w:sz="0" w:space="0" w:color="auto"/>
                                                                <w:left w:val="none" w:sz="0" w:space="0" w:color="auto"/>
                                                                <w:bottom w:val="none" w:sz="0" w:space="0" w:color="auto"/>
                                                                <w:right w:val="none" w:sz="0" w:space="0" w:color="auto"/>
                                                              </w:divBdr>
                                                              <w:divsChild>
                                                                <w:div w:id="1140612343">
                                                                  <w:marLeft w:val="0"/>
                                                                  <w:marRight w:val="0"/>
                                                                  <w:marTop w:val="0"/>
                                                                  <w:marBottom w:val="0"/>
                                                                  <w:divBdr>
                                                                    <w:top w:val="none" w:sz="0" w:space="0" w:color="auto"/>
                                                                    <w:left w:val="none" w:sz="0" w:space="0" w:color="auto"/>
                                                                    <w:bottom w:val="none" w:sz="0" w:space="0" w:color="auto"/>
                                                                    <w:right w:val="none" w:sz="0" w:space="0" w:color="auto"/>
                                                                  </w:divBdr>
                                                                  <w:divsChild>
                                                                    <w:div w:id="1775634965">
                                                                      <w:marLeft w:val="0"/>
                                                                      <w:marRight w:val="0"/>
                                                                      <w:marTop w:val="0"/>
                                                                      <w:marBottom w:val="0"/>
                                                                      <w:divBdr>
                                                                        <w:top w:val="none" w:sz="0" w:space="0" w:color="auto"/>
                                                                        <w:left w:val="none" w:sz="0" w:space="0" w:color="auto"/>
                                                                        <w:bottom w:val="none" w:sz="0" w:space="0" w:color="auto"/>
                                                                        <w:right w:val="none" w:sz="0" w:space="0" w:color="auto"/>
                                                                      </w:divBdr>
                                                                      <w:divsChild>
                                                                        <w:div w:id="1841382431">
                                                                          <w:marLeft w:val="0"/>
                                                                          <w:marRight w:val="0"/>
                                                                          <w:marTop w:val="0"/>
                                                                          <w:marBottom w:val="0"/>
                                                                          <w:divBdr>
                                                                            <w:top w:val="none" w:sz="0" w:space="0" w:color="auto"/>
                                                                            <w:left w:val="none" w:sz="0" w:space="0" w:color="auto"/>
                                                                            <w:bottom w:val="none" w:sz="0" w:space="0" w:color="auto"/>
                                                                            <w:right w:val="none" w:sz="0" w:space="0" w:color="auto"/>
                                                                          </w:divBdr>
                                                                          <w:divsChild>
                                                                            <w:div w:id="86311051">
                                                                              <w:marLeft w:val="0"/>
                                                                              <w:marRight w:val="0"/>
                                                                              <w:marTop w:val="0"/>
                                                                              <w:marBottom w:val="0"/>
                                                                              <w:divBdr>
                                                                                <w:top w:val="none" w:sz="0" w:space="0" w:color="auto"/>
                                                                                <w:left w:val="none" w:sz="0" w:space="0" w:color="auto"/>
                                                                                <w:bottom w:val="none" w:sz="0" w:space="0" w:color="auto"/>
                                                                                <w:right w:val="none" w:sz="0" w:space="0" w:color="auto"/>
                                                                              </w:divBdr>
                                                                              <w:divsChild>
                                                                                <w:div w:id="215897260">
                                                                                  <w:marLeft w:val="0"/>
                                                                                  <w:marRight w:val="0"/>
                                                                                  <w:marTop w:val="0"/>
                                                                                  <w:marBottom w:val="0"/>
                                                                                  <w:divBdr>
                                                                                    <w:top w:val="none" w:sz="0" w:space="0" w:color="auto"/>
                                                                                    <w:left w:val="none" w:sz="0" w:space="0" w:color="auto"/>
                                                                                    <w:bottom w:val="none" w:sz="0" w:space="0" w:color="auto"/>
                                                                                    <w:right w:val="none" w:sz="0" w:space="0" w:color="auto"/>
                                                                                  </w:divBdr>
                                                                                </w:div>
                                                                                <w:div w:id="1366711703">
                                                                                  <w:marLeft w:val="0"/>
                                                                                  <w:marRight w:val="0"/>
                                                                                  <w:marTop w:val="0"/>
                                                                                  <w:marBottom w:val="0"/>
                                                                                  <w:divBdr>
                                                                                    <w:top w:val="none" w:sz="0" w:space="0" w:color="auto"/>
                                                                                    <w:left w:val="none" w:sz="0" w:space="0" w:color="auto"/>
                                                                                    <w:bottom w:val="none" w:sz="0" w:space="0" w:color="auto"/>
                                                                                    <w:right w:val="none" w:sz="0" w:space="0" w:color="auto"/>
                                                                                  </w:divBdr>
                                                                                </w:div>
                                                                                <w:div w:id="188737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5227073">
      <w:bodyDiv w:val="1"/>
      <w:marLeft w:val="0"/>
      <w:marRight w:val="0"/>
      <w:marTop w:val="0"/>
      <w:marBottom w:val="0"/>
      <w:divBdr>
        <w:top w:val="none" w:sz="0" w:space="0" w:color="auto"/>
        <w:left w:val="none" w:sz="0" w:space="0" w:color="auto"/>
        <w:bottom w:val="none" w:sz="0" w:space="0" w:color="auto"/>
        <w:right w:val="none" w:sz="0" w:space="0" w:color="auto"/>
      </w:divBdr>
    </w:div>
    <w:div w:id="1442728316">
      <w:bodyDiv w:val="1"/>
      <w:marLeft w:val="0"/>
      <w:marRight w:val="0"/>
      <w:marTop w:val="0"/>
      <w:marBottom w:val="0"/>
      <w:divBdr>
        <w:top w:val="none" w:sz="0" w:space="0" w:color="auto"/>
        <w:left w:val="none" w:sz="0" w:space="0" w:color="auto"/>
        <w:bottom w:val="none" w:sz="0" w:space="0" w:color="auto"/>
        <w:right w:val="none" w:sz="0" w:space="0" w:color="auto"/>
      </w:divBdr>
      <w:divsChild>
        <w:div w:id="876090648">
          <w:marLeft w:val="0"/>
          <w:marRight w:val="0"/>
          <w:marTop w:val="0"/>
          <w:marBottom w:val="0"/>
          <w:divBdr>
            <w:top w:val="none" w:sz="0" w:space="0" w:color="auto"/>
            <w:left w:val="none" w:sz="0" w:space="0" w:color="auto"/>
            <w:bottom w:val="none" w:sz="0" w:space="0" w:color="auto"/>
            <w:right w:val="none" w:sz="0" w:space="0" w:color="auto"/>
          </w:divBdr>
          <w:divsChild>
            <w:div w:id="839462530">
              <w:marLeft w:val="0"/>
              <w:marRight w:val="0"/>
              <w:marTop w:val="0"/>
              <w:marBottom w:val="0"/>
              <w:divBdr>
                <w:top w:val="none" w:sz="0" w:space="0" w:color="auto"/>
                <w:left w:val="none" w:sz="0" w:space="0" w:color="auto"/>
                <w:bottom w:val="none" w:sz="0" w:space="0" w:color="auto"/>
                <w:right w:val="none" w:sz="0" w:space="0" w:color="auto"/>
              </w:divBdr>
              <w:divsChild>
                <w:div w:id="1182353878">
                  <w:marLeft w:val="0"/>
                  <w:marRight w:val="0"/>
                  <w:marTop w:val="0"/>
                  <w:marBottom w:val="0"/>
                  <w:divBdr>
                    <w:top w:val="none" w:sz="0" w:space="0" w:color="auto"/>
                    <w:left w:val="none" w:sz="0" w:space="0" w:color="auto"/>
                    <w:bottom w:val="none" w:sz="0" w:space="0" w:color="auto"/>
                    <w:right w:val="none" w:sz="0" w:space="0" w:color="auto"/>
                  </w:divBdr>
                  <w:divsChild>
                    <w:div w:id="1629822600">
                      <w:marLeft w:val="0"/>
                      <w:marRight w:val="0"/>
                      <w:marTop w:val="0"/>
                      <w:marBottom w:val="0"/>
                      <w:divBdr>
                        <w:top w:val="none" w:sz="0" w:space="0" w:color="auto"/>
                        <w:left w:val="none" w:sz="0" w:space="0" w:color="auto"/>
                        <w:bottom w:val="none" w:sz="0" w:space="0" w:color="auto"/>
                        <w:right w:val="none" w:sz="0" w:space="0" w:color="auto"/>
                      </w:divBdr>
                      <w:divsChild>
                        <w:div w:id="747070884">
                          <w:marLeft w:val="0"/>
                          <w:marRight w:val="0"/>
                          <w:marTop w:val="0"/>
                          <w:marBottom w:val="0"/>
                          <w:divBdr>
                            <w:top w:val="none" w:sz="0" w:space="0" w:color="auto"/>
                            <w:left w:val="none" w:sz="0" w:space="0" w:color="auto"/>
                            <w:bottom w:val="none" w:sz="0" w:space="0" w:color="auto"/>
                            <w:right w:val="none" w:sz="0" w:space="0" w:color="auto"/>
                          </w:divBdr>
                          <w:divsChild>
                            <w:div w:id="514852619">
                              <w:marLeft w:val="0"/>
                              <w:marRight w:val="0"/>
                              <w:marTop w:val="0"/>
                              <w:marBottom w:val="0"/>
                              <w:divBdr>
                                <w:top w:val="none" w:sz="0" w:space="0" w:color="auto"/>
                                <w:left w:val="none" w:sz="0" w:space="0" w:color="auto"/>
                                <w:bottom w:val="none" w:sz="0" w:space="0" w:color="auto"/>
                                <w:right w:val="none" w:sz="0" w:space="0" w:color="auto"/>
                              </w:divBdr>
                              <w:divsChild>
                                <w:div w:id="1744058169">
                                  <w:marLeft w:val="0"/>
                                  <w:marRight w:val="0"/>
                                  <w:marTop w:val="0"/>
                                  <w:marBottom w:val="0"/>
                                  <w:divBdr>
                                    <w:top w:val="none" w:sz="0" w:space="0" w:color="auto"/>
                                    <w:left w:val="none" w:sz="0" w:space="0" w:color="auto"/>
                                    <w:bottom w:val="none" w:sz="0" w:space="0" w:color="auto"/>
                                    <w:right w:val="none" w:sz="0" w:space="0" w:color="auto"/>
                                  </w:divBdr>
                                  <w:divsChild>
                                    <w:div w:id="1586450884">
                                      <w:marLeft w:val="0"/>
                                      <w:marRight w:val="0"/>
                                      <w:marTop w:val="0"/>
                                      <w:marBottom w:val="0"/>
                                      <w:divBdr>
                                        <w:top w:val="none" w:sz="0" w:space="0" w:color="auto"/>
                                        <w:left w:val="none" w:sz="0" w:space="0" w:color="auto"/>
                                        <w:bottom w:val="none" w:sz="0" w:space="0" w:color="auto"/>
                                        <w:right w:val="none" w:sz="0" w:space="0" w:color="auto"/>
                                      </w:divBdr>
                                      <w:divsChild>
                                        <w:div w:id="785319632">
                                          <w:marLeft w:val="0"/>
                                          <w:marRight w:val="0"/>
                                          <w:marTop w:val="0"/>
                                          <w:marBottom w:val="0"/>
                                          <w:divBdr>
                                            <w:top w:val="none" w:sz="0" w:space="0" w:color="auto"/>
                                            <w:left w:val="none" w:sz="0" w:space="0" w:color="auto"/>
                                            <w:bottom w:val="none" w:sz="0" w:space="0" w:color="auto"/>
                                            <w:right w:val="none" w:sz="0" w:space="0" w:color="auto"/>
                                          </w:divBdr>
                                          <w:divsChild>
                                            <w:div w:id="173488971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47188944">
      <w:bodyDiv w:val="1"/>
      <w:marLeft w:val="0"/>
      <w:marRight w:val="0"/>
      <w:marTop w:val="0"/>
      <w:marBottom w:val="0"/>
      <w:divBdr>
        <w:top w:val="none" w:sz="0" w:space="0" w:color="auto"/>
        <w:left w:val="none" w:sz="0" w:space="0" w:color="auto"/>
        <w:bottom w:val="none" w:sz="0" w:space="0" w:color="auto"/>
        <w:right w:val="none" w:sz="0" w:space="0" w:color="auto"/>
      </w:divBdr>
    </w:div>
    <w:div w:id="1476948696">
      <w:bodyDiv w:val="1"/>
      <w:marLeft w:val="0"/>
      <w:marRight w:val="0"/>
      <w:marTop w:val="0"/>
      <w:marBottom w:val="0"/>
      <w:divBdr>
        <w:top w:val="none" w:sz="0" w:space="0" w:color="auto"/>
        <w:left w:val="none" w:sz="0" w:space="0" w:color="auto"/>
        <w:bottom w:val="none" w:sz="0" w:space="0" w:color="auto"/>
        <w:right w:val="none" w:sz="0" w:space="0" w:color="auto"/>
      </w:divBdr>
    </w:div>
    <w:div w:id="1631283694">
      <w:bodyDiv w:val="1"/>
      <w:marLeft w:val="0"/>
      <w:marRight w:val="0"/>
      <w:marTop w:val="0"/>
      <w:marBottom w:val="0"/>
      <w:divBdr>
        <w:top w:val="none" w:sz="0" w:space="0" w:color="auto"/>
        <w:left w:val="none" w:sz="0" w:space="0" w:color="auto"/>
        <w:bottom w:val="none" w:sz="0" w:space="0" w:color="auto"/>
        <w:right w:val="none" w:sz="0" w:space="0" w:color="auto"/>
      </w:divBdr>
    </w:div>
    <w:div w:id="1646620817">
      <w:bodyDiv w:val="1"/>
      <w:marLeft w:val="0"/>
      <w:marRight w:val="0"/>
      <w:marTop w:val="0"/>
      <w:marBottom w:val="0"/>
      <w:divBdr>
        <w:top w:val="none" w:sz="0" w:space="0" w:color="auto"/>
        <w:left w:val="none" w:sz="0" w:space="0" w:color="auto"/>
        <w:bottom w:val="none" w:sz="0" w:space="0" w:color="auto"/>
        <w:right w:val="none" w:sz="0" w:space="0" w:color="auto"/>
      </w:divBdr>
      <w:divsChild>
        <w:div w:id="1512144844">
          <w:marLeft w:val="0"/>
          <w:marRight w:val="0"/>
          <w:marTop w:val="100"/>
          <w:marBottom w:val="100"/>
          <w:divBdr>
            <w:top w:val="none" w:sz="0" w:space="0" w:color="auto"/>
            <w:left w:val="none" w:sz="0" w:space="0" w:color="auto"/>
            <w:bottom w:val="none" w:sz="0" w:space="0" w:color="auto"/>
            <w:right w:val="none" w:sz="0" w:space="0" w:color="auto"/>
          </w:divBdr>
          <w:divsChild>
            <w:div w:id="700936235">
              <w:marLeft w:val="0"/>
              <w:marRight w:val="0"/>
              <w:marTop w:val="0"/>
              <w:marBottom w:val="0"/>
              <w:divBdr>
                <w:top w:val="none" w:sz="0" w:space="0" w:color="auto"/>
                <w:left w:val="none" w:sz="0" w:space="0" w:color="auto"/>
                <w:bottom w:val="none" w:sz="0" w:space="0" w:color="auto"/>
                <w:right w:val="none" w:sz="0" w:space="0" w:color="auto"/>
              </w:divBdr>
              <w:divsChild>
                <w:div w:id="1976131745">
                  <w:marLeft w:val="105"/>
                  <w:marRight w:val="105"/>
                  <w:marTop w:val="105"/>
                  <w:marBottom w:val="105"/>
                  <w:divBdr>
                    <w:top w:val="none" w:sz="0" w:space="0" w:color="auto"/>
                    <w:left w:val="none" w:sz="0" w:space="0" w:color="auto"/>
                    <w:bottom w:val="none" w:sz="0" w:space="0" w:color="auto"/>
                    <w:right w:val="none" w:sz="0" w:space="0" w:color="auto"/>
                  </w:divBdr>
                  <w:divsChild>
                    <w:div w:id="1450858365">
                      <w:marLeft w:val="0"/>
                      <w:marRight w:val="0"/>
                      <w:marTop w:val="0"/>
                      <w:marBottom w:val="0"/>
                      <w:divBdr>
                        <w:top w:val="none" w:sz="0" w:space="0" w:color="auto"/>
                        <w:left w:val="none" w:sz="0" w:space="0" w:color="auto"/>
                        <w:bottom w:val="none" w:sz="0" w:space="0" w:color="auto"/>
                        <w:right w:val="none" w:sz="0" w:space="0" w:color="auto"/>
                      </w:divBdr>
                      <w:divsChild>
                        <w:div w:id="1349680573">
                          <w:marLeft w:val="0"/>
                          <w:marRight w:val="0"/>
                          <w:marTop w:val="0"/>
                          <w:marBottom w:val="0"/>
                          <w:divBdr>
                            <w:top w:val="none" w:sz="0" w:space="0" w:color="auto"/>
                            <w:left w:val="none" w:sz="0" w:space="0" w:color="auto"/>
                            <w:bottom w:val="none" w:sz="0" w:space="0" w:color="auto"/>
                            <w:right w:val="none" w:sz="0" w:space="0" w:color="auto"/>
                          </w:divBdr>
                          <w:divsChild>
                            <w:div w:id="438986384">
                              <w:marLeft w:val="0"/>
                              <w:marRight w:val="0"/>
                              <w:marTop w:val="0"/>
                              <w:marBottom w:val="0"/>
                              <w:divBdr>
                                <w:top w:val="none" w:sz="0" w:space="0" w:color="auto"/>
                                <w:left w:val="none" w:sz="0" w:space="0" w:color="auto"/>
                                <w:bottom w:val="none" w:sz="0" w:space="0" w:color="auto"/>
                                <w:right w:val="none" w:sz="0" w:space="0" w:color="auto"/>
                              </w:divBdr>
                              <w:divsChild>
                                <w:div w:id="1279410785">
                                  <w:marLeft w:val="0"/>
                                  <w:marRight w:val="0"/>
                                  <w:marTop w:val="0"/>
                                  <w:marBottom w:val="0"/>
                                  <w:divBdr>
                                    <w:top w:val="none" w:sz="0" w:space="0" w:color="auto"/>
                                    <w:left w:val="none" w:sz="0" w:space="0" w:color="auto"/>
                                    <w:bottom w:val="none" w:sz="0" w:space="0" w:color="auto"/>
                                    <w:right w:val="none" w:sz="0" w:space="0" w:color="auto"/>
                                  </w:divBdr>
                                  <w:divsChild>
                                    <w:div w:id="983238612">
                                      <w:marLeft w:val="105"/>
                                      <w:marRight w:val="105"/>
                                      <w:marTop w:val="105"/>
                                      <w:marBottom w:val="105"/>
                                      <w:divBdr>
                                        <w:top w:val="none" w:sz="0" w:space="0" w:color="auto"/>
                                        <w:left w:val="none" w:sz="0" w:space="0" w:color="auto"/>
                                        <w:bottom w:val="none" w:sz="0" w:space="0" w:color="auto"/>
                                        <w:right w:val="none" w:sz="0" w:space="0" w:color="auto"/>
                                      </w:divBdr>
                                      <w:divsChild>
                                        <w:div w:id="503135301">
                                          <w:marLeft w:val="0"/>
                                          <w:marRight w:val="0"/>
                                          <w:marTop w:val="0"/>
                                          <w:marBottom w:val="0"/>
                                          <w:divBdr>
                                            <w:top w:val="none" w:sz="0" w:space="0" w:color="auto"/>
                                            <w:left w:val="none" w:sz="0" w:space="0" w:color="auto"/>
                                            <w:bottom w:val="none" w:sz="0" w:space="0" w:color="auto"/>
                                            <w:right w:val="none" w:sz="0" w:space="0" w:color="auto"/>
                                          </w:divBdr>
                                          <w:divsChild>
                                            <w:div w:id="1443839862">
                                              <w:marLeft w:val="0"/>
                                              <w:marRight w:val="0"/>
                                              <w:marTop w:val="0"/>
                                              <w:marBottom w:val="0"/>
                                              <w:divBdr>
                                                <w:top w:val="none" w:sz="0" w:space="0" w:color="auto"/>
                                                <w:left w:val="none" w:sz="0" w:space="0" w:color="auto"/>
                                                <w:bottom w:val="none" w:sz="0" w:space="0" w:color="auto"/>
                                                <w:right w:val="none" w:sz="0" w:space="0" w:color="auto"/>
                                              </w:divBdr>
                                              <w:divsChild>
                                                <w:div w:id="1640987912">
                                                  <w:marLeft w:val="0"/>
                                                  <w:marRight w:val="0"/>
                                                  <w:marTop w:val="0"/>
                                                  <w:marBottom w:val="0"/>
                                                  <w:divBdr>
                                                    <w:top w:val="none" w:sz="0" w:space="0" w:color="auto"/>
                                                    <w:left w:val="none" w:sz="0" w:space="0" w:color="auto"/>
                                                    <w:bottom w:val="none" w:sz="0" w:space="0" w:color="auto"/>
                                                    <w:right w:val="none" w:sz="0" w:space="0" w:color="auto"/>
                                                  </w:divBdr>
                                                  <w:divsChild>
                                                    <w:div w:id="1419211246">
                                                      <w:marLeft w:val="0"/>
                                                      <w:marRight w:val="0"/>
                                                      <w:marTop w:val="0"/>
                                                      <w:marBottom w:val="0"/>
                                                      <w:divBdr>
                                                        <w:top w:val="none" w:sz="0" w:space="0" w:color="auto"/>
                                                        <w:left w:val="none" w:sz="0" w:space="0" w:color="auto"/>
                                                        <w:bottom w:val="none" w:sz="0" w:space="0" w:color="auto"/>
                                                        <w:right w:val="none" w:sz="0" w:space="0" w:color="auto"/>
                                                      </w:divBdr>
                                                      <w:divsChild>
                                                        <w:div w:id="658387463">
                                                          <w:marLeft w:val="0"/>
                                                          <w:marRight w:val="0"/>
                                                          <w:marTop w:val="0"/>
                                                          <w:marBottom w:val="0"/>
                                                          <w:divBdr>
                                                            <w:top w:val="none" w:sz="0" w:space="0" w:color="auto"/>
                                                            <w:left w:val="none" w:sz="0" w:space="0" w:color="auto"/>
                                                            <w:bottom w:val="none" w:sz="0" w:space="0" w:color="auto"/>
                                                            <w:right w:val="none" w:sz="0" w:space="0" w:color="auto"/>
                                                          </w:divBdr>
                                                          <w:divsChild>
                                                            <w:div w:id="514656167">
                                                              <w:marLeft w:val="0"/>
                                                              <w:marRight w:val="0"/>
                                                              <w:marTop w:val="0"/>
                                                              <w:marBottom w:val="0"/>
                                                              <w:divBdr>
                                                                <w:top w:val="none" w:sz="0" w:space="0" w:color="auto"/>
                                                                <w:left w:val="none" w:sz="0" w:space="0" w:color="auto"/>
                                                                <w:bottom w:val="none" w:sz="0" w:space="0" w:color="auto"/>
                                                                <w:right w:val="none" w:sz="0" w:space="0" w:color="auto"/>
                                                              </w:divBdr>
                                                              <w:divsChild>
                                                                <w:div w:id="1453095408">
                                                                  <w:marLeft w:val="105"/>
                                                                  <w:marRight w:val="105"/>
                                                                  <w:marTop w:val="105"/>
                                                                  <w:marBottom w:val="105"/>
                                                                  <w:divBdr>
                                                                    <w:top w:val="none" w:sz="0" w:space="0" w:color="auto"/>
                                                                    <w:left w:val="none" w:sz="0" w:space="0" w:color="auto"/>
                                                                    <w:bottom w:val="none" w:sz="0" w:space="0" w:color="auto"/>
                                                                    <w:right w:val="none" w:sz="0" w:space="0" w:color="auto"/>
                                                                  </w:divBdr>
                                                                  <w:divsChild>
                                                                    <w:div w:id="1079862338">
                                                                      <w:marLeft w:val="0"/>
                                                                      <w:marRight w:val="0"/>
                                                                      <w:marTop w:val="0"/>
                                                                      <w:marBottom w:val="0"/>
                                                                      <w:divBdr>
                                                                        <w:top w:val="none" w:sz="0" w:space="0" w:color="auto"/>
                                                                        <w:left w:val="none" w:sz="0" w:space="0" w:color="auto"/>
                                                                        <w:bottom w:val="none" w:sz="0" w:space="0" w:color="auto"/>
                                                                        <w:right w:val="none" w:sz="0" w:space="0" w:color="auto"/>
                                                                      </w:divBdr>
                                                                      <w:divsChild>
                                                                        <w:div w:id="912393421">
                                                                          <w:marLeft w:val="0"/>
                                                                          <w:marRight w:val="0"/>
                                                                          <w:marTop w:val="0"/>
                                                                          <w:marBottom w:val="0"/>
                                                                          <w:divBdr>
                                                                            <w:top w:val="none" w:sz="0" w:space="0" w:color="auto"/>
                                                                            <w:left w:val="none" w:sz="0" w:space="0" w:color="auto"/>
                                                                            <w:bottom w:val="none" w:sz="0" w:space="0" w:color="auto"/>
                                                                            <w:right w:val="none" w:sz="0" w:space="0" w:color="auto"/>
                                                                          </w:divBdr>
                                                                          <w:divsChild>
                                                                            <w:div w:id="1001618559">
                                                                              <w:marLeft w:val="0"/>
                                                                              <w:marRight w:val="0"/>
                                                                              <w:marTop w:val="0"/>
                                                                              <w:marBottom w:val="0"/>
                                                                              <w:divBdr>
                                                                                <w:top w:val="none" w:sz="0" w:space="0" w:color="auto"/>
                                                                                <w:left w:val="none" w:sz="0" w:space="0" w:color="auto"/>
                                                                                <w:bottom w:val="none" w:sz="0" w:space="0" w:color="auto"/>
                                                                                <w:right w:val="none" w:sz="0" w:space="0" w:color="auto"/>
                                                                              </w:divBdr>
                                                                              <w:divsChild>
                                                                                <w:div w:id="1819687638">
                                                                                  <w:marLeft w:val="0"/>
                                                                                  <w:marRight w:val="0"/>
                                                                                  <w:marTop w:val="0"/>
                                                                                  <w:marBottom w:val="0"/>
                                                                                  <w:divBdr>
                                                                                    <w:top w:val="none" w:sz="0" w:space="0" w:color="auto"/>
                                                                                    <w:left w:val="none" w:sz="0" w:space="0" w:color="auto"/>
                                                                                    <w:bottom w:val="none" w:sz="0" w:space="0" w:color="auto"/>
                                                                                    <w:right w:val="none" w:sz="0" w:space="0" w:color="auto"/>
                                                                                  </w:divBdr>
                                                                                  <w:divsChild>
                                                                                    <w:div w:id="1901675841">
                                                                                      <w:marLeft w:val="0"/>
                                                                                      <w:marRight w:val="0"/>
                                                                                      <w:marTop w:val="0"/>
                                                                                      <w:marBottom w:val="0"/>
                                                                                      <w:divBdr>
                                                                                        <w:top w:val="none" w:sz="0" w:space="0" w:color="auto"/>
                                                                                        <w:left w:val="none" w:sz="0" w:space="0" w:color="auto"/>
                                                                                        <w:bottom w:val="none" w:sz="0" w:space="0" w:color="auto"/>
                                                                                        <w:right w:val="none" w:sz="0" w:space="0" w:color="auto"/>
                                                                                      </w:divBdr>
                                                                                      <w:divsChild>
                                                                                        <w:div w:id="74757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6191163">
      <w:bodyDiv w:val="1"/>
      <w:marLeft w:val="0"/>
      <w:marRight w:val="0"/>
      <w:marTop w:val="0"/>
      <w:marBottom w:val="0"/>
      <w:divBdr>
        <w:top w:val="none" w:sz="0" w:space="0" w:color="auto"/>
        <w:left w:val="none" w:sz="0" w:space="0" w:color="auto"/>
        <w:bottom w:val="none" w:sz="0" w:space="0" w:color="auto"/>
        <w:right w:val="none" w:sz="0" w:space="0" w:color="auto"/>
      </w:divBdr>
    </w:div>
    <w:div w:id="1917743954">
      <w:bodyDiv w:val="1"/>
      <w:marLeft w:val="0"/>
      <w:marRight w:val="0"/>
      <w:marTop w:val="0"/>
      <w:marBottom w:val="0"/>
      <w:divBdr>
        <w:top w:val="none" w:sz="0" w:space="0" w:color="auto"/>
        <w:left w:val="none" w:sz="0" w:space="0" w:color="auto"/>
        <w:bottom w:val="none" w:sz="0" w:space="0" w:color="auto"/>
        <w:right w:val="none" w:sz="0" w:space="0" w:color="auto"/>
      </w:divBdr>
    </w:div>
    <w:div w:id="2015379109">
      <w:bodyDiv w:val="1"/>
      <w:marLeft w:val="0"/>
      <w:marRight w:val="0"/>
      <w:marTop w:val="0"/>
      <w:marBottom w:val="0"/>
      <w:divBdr>
        <w:top w:val="none" w:sz="0" w:space="0" w:color="auto"/>
        <w:left w:val="none" w:sz="0" w:space="0" w:color="auto"/>
        <w:bottom w:val="none" w:sz="0" w:space="0" w:color="auto"/>
        <w:right w:val="none" w:sz="0" w:space="0" w:color="auto"/>
      </w:divBdr>
    </w:div>
    <w:div w:id="2052220593">
      <w:bodyDiv w:val="1"/>
      <w:marLeft w:val="0"/>
      <w:marRight w:val="0"/>
      <w:marTop w:val="0"/>
      <w:marBottom w:val="0"/>
      <w:divBdr>
        <w:top w:val="none" w:sz="0" w:space="0" w:color="auto"/>
        <w:left w:val="none" w:sz="0" w:space="0" w:color="auto"/>
        <w:bottom w:val="none" w:sz="0" w:space="0" w:color="auto"/>
        <w:right w:val="none" w:sz="0" w:space="0" w:color="auto"/>
      </w:divBdr>
    </w:div>
    <w:div w:id="2089844323">
      <w:bodyDiv w:val="1"/>
      <w:marLeft w:val="0"/>
      <w:marRight w:val="0"/>
      <w:marTop w:val="0"/>
      <w:marBottom w:val="0"/>
      <w:divBdr>
        <w:top w:val="none" w:sz="0" w:space="0" w:color="auto"/>
        <w:left w:val="none" w:sz="0" w:space="0" w:color="auto"/>
        <w:bottom w:val="none" w:sz="0" w:space="0" w:color="auto"/>
        <w:right w:val="none" w:sz="0" w:space="0" w:color="auto"/>
      </w:divBdr>
    </w:div>
    <w:div w:id="2091535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ns.gov.uk/economy/economicoutputandproductivity/productivitymeasures/articles/foreigndirectinvestmentandlabourproductivityamicrodataperspective/2012to2015" TargetMode="Externa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header" Target="header7.xml"/><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image" Target="media/image6.png"/><Relationship Id="rId27" Type="http://schemas.openxmlformats.org/officeDocument/2006/relationships/footer" Target="footer6.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EA5F52-DA75-4908-B518-EBB335CCC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11703</Words>
  <Characters>66711</Characters>
  <Application>Microsoft Office Word</Application>
  <DocSecurity>0</DocSecurity>
  <Lines>555</Lines>
  <Paragraphs>156</Paragraphs>
  <ScaleCrop>false</ScaleCrop>
  <Company/>
  <LinksUpToDate>false</LinksUpToDate>
  <CharactersWithSpaces>78258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2023-02-06T13:15:00Z</dcterms:created>
  <dcterms:modified xsi:type="dcterms:W3CDTF">2023-02-06T15:09:00Z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http://www.zotero.org/styles/chicago-fullnote-bibliography</vt:lpwstr>
  </property>
  <property fmtid="{D5CDD505-2E9C-101B-9397-08002B2CF9AE}" pid="7" name="Mendeley Recent Style Name 2_1">
    <vt:lpwstr>Chicago Manual of Style 17th edition (full note)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http://www.zotero.org/styles/harvard-manchester-metropolitan-university</vt:lpwstr>
  </property>
  <property fmtid="{D5CDD505-2E9C-101B-9397-08002B2CF9AE}" pid="13" name="Mendeley Recent Style Name 5_1">
    <vt:lpwstr>Manchester Metropolitan University - Harvard</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http://www.zotero.org/styles/sage-harvard</vt:lpwstr>
  </property>
  <property fmtid="{D5CDD505-2E9C-101B-9397-08002B2CF9AE}" pid="21" name="Mendeley Recent Style Name 9_1">
    <vt:lpwstr>SAGE - Harvard</vt:lpwstr>
  </property>
</Properties>
</file>