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A7823B" w14:textId="736DD07B" w:rsidR="00A57FC4" w:rsidRDefault="00F4126F">
      <w:pPr>
        <w:pStyle w:val="Heading1"/>
        <w:rPr>
          <w:sz w:val="24"/>
          <w:szCs w:val="24"/>
        </w:rPr>
      </w:pPr>
      <w:r w:rsidRPr="00F4126F">
        <w:rPr>
          <w:sz w:val="24"/>
          <w:szCs w:val="24"/>
        </w:rPr>
        <w:t xml:space="preserve">Main manuscript file </w:t>
      </w:r>
    </w:p>
    <w:p w14:paraId="6AE17878" w14:textId="77777777" w:rsidR="00281723" w:rsidRDefault="00281723" w:rsidP="00281723">
      <w:pPr>
        <w:pStyle w:val="Default"/>
        <w:rPr>
          <w:rFonts w:asciiTheme="minorHAnsi" w:hAnsiTheme="minorHAnsi" w:cstheme="minorHAnsi"/>
          <w:color w:val="auto"/>
          <w:lang w:eastAsia="en-US"/>
        </w:rPr>
      </w:pPr>
      <w:r w:rsidRPr="00F4126F">
        <w:rPr>
          <w:rFonts w:ascii="Arial" w:hAnsi="Arial" w:cs="Arial"/>
          <w:b/>
        </w:rPr>
        <w:t>Titl</w:t>
      </w:r>
      <w:r>
        <w:rPr>
          <w:rFonts w:ascii="Arial" w:hAnsi="Arial" w:cs="Arial"/>
          <w:b/>
        </w:rPr>
        <w:t xml:space="preserve">e: </w:t>
      </w:r>
      <w:r w:rsidRPr="00281723">
        <w:rPr>
          <w:rFonts w:asciiTheme="minorHAnsi" w:hAnsiTheme="minorHAnsi" w:cstheme="minorHAnsi"/>
          <w:color w:val="auto"/>
          <w:lang w:eastAsia="en-US"/>
        </w:rPr>
        <w:t>Scoping communication training in undergraduate children’s nursing programmes: A mixed method study examining delivery methods and content.</w:t>
      </w:r>
    </w:p>
    <w:p w14:paraId="7FAB4AC4" w14:textId="77777777" w:rsidR="007C6F0D" w:rsidRDefault="007C6F0D" w:rsidP="00281723">
      <w:pPr>
        <w:pStyle w:val="Default"/>
        <w:rPr>
          <w:rFonts w:asciiTheme="minorHAnsi" w:hAnsiTheme="minorHAnsi" w:cstheme="minorHAnsi"/>
          <w:color w:val="auto"/>
          <w:lang w:eastAsia="en-US"/>
        </w:rPr>
      </w:pPr>
    </w:p>
    <w:p w14:paraId="2729F03F" w14:textId="77777777" w:rsidR="00F01FF4" w:rsidRPr="00F4126F" w:rsidRDefault="00F01FF4" w:rsidP="00F01FF4">
      <w:pPr>
        <w:pStyle w:val="Default"/>
        <w:rPr>
          <w:rFonts w:ascii="Arial" w:hAnsi="Arial" w:cs="Arial"/>
        </w:rPr>
      </w:pPr>
    </w:p>
    <w:p w14:paraId="0EF2746F" w14:textId="77777777" w:rsidR="00F01FF4" w:rsidRDefault="00F01FF4" w:rsidP="00F01FF4">
      <w:pPr>
        <w:pStyle w:val="Default"/>
        <w:rPr>
          <w:rFonts w:ascii="Arial" w:hAnsi="Arial" w:cs="Arial"/>
          <w:b/>
          <w:bCs/>
          <w:color w:val="auto"/>
        </w:rPr>
      </w:pPr>
      <w:r w:rsidRPr="00F4126F">
        <w:rPr>
          <w:rFonts w:ascii="Arial" w:hAnsi="Arial" w:cs="Arial"/>
          <w:b/>
          <w:bCs/>
          <w:color w:val="auto"/>
        </w:rPr>
        <w:t>Author names</w:t>
      </w:r>
      <w:r>
        <w:rPr>
          <w:rFonts w:ascii="Arial" w:hAnsi="Arial" w:cs="Arial"/>
          <w:b/>
          <w:bCs/>
          <w:color w:val="auto"/>
        </w:rPr>
        <w:t xml:space="preserve"> &amp; Affiliations</w:t>
      </w:r>
      <w:r w:rsidRPr="00F4126F">
        <w:rPr>
          <w:rFonts w:ascii="Arial" w:hAnsi="Arial" w:cs="Arial"/>
          <w:b/>
          <w:bCs/>
          <w:color w:val="auto"/>
        </w:rPr>
        <w:t>:</w:t>
      </w:r>
    </w:p>
    <w:p w14:paraId="06698E1C" w14:textId="77777777" w:rsidR="00F01FF4" w:rsidRDefault="00F01FF4" w:rsidP="00F01FF4">
      <w:pPr>
        <w:pStyle w:val="Default"/>
        <w:rPr>
          <w:rFonts w:ascii="Arial" w:hAnsi="Arial" w:cs="Arial"/>
          <w:color w:val="auto"/>
        </w:rPr>
      </w:pPr>
    </w:p>
    <w:p w14:paraId="1A7D7C1A" w14:textId="77777777" w:rsidR="00F01FF4" w:rsidRDefault="00F01FF4" w:rsidP="00F01FF4">
      <w:pPr>
        <w:rPr>
          <w:rFonts w:asciiTheme="minorHAnsi" w:hAnsiTheme="minorHAnsi" w:cstheme="minorHAnsi"/>
        </w:rPr>
      </w:pPr>
      <w:r w:rsidRPr="000515B3">
        <w:rPr>
          <w:rFonts w:asciiTheme="minorHAnsi" w:hAnsiTheme="minorHAnsi" w:cstheme="minorHAnsi"/>
          <w:b/>
          <w:bCs/>
        </w:rPr>
        <w:t xml:space="preserve">Martina Kennedy, </w:t>
      </w:r>
      <w:r w:rsidRPr="000515B3">
        <w:rPr>
          <w:rFonts w:asciiTheme="minorHAnsi" w:hAnsiTheme="minorHAnsi" w:cstheme="minorHAnsi"/>
        </w:rPr>
        <w:t xml:space="preserve">BSc General Nursing, </w:t>
      </w:r>
      <w:proofErr w:type="spellStart"/>
      <w:r w:rsidRPr="000515B3">
        <w:rPr>
          <w:rFonts w:asciiTheme="minorHAnsi" w:hAnsiTheme="minorHAnsi" w:cstheme="minorHAnsi"/>
        </w:rPr>
        <w:t>HDip</w:t>
      </w:r>
      <w:proofErr w:type="spellEnd"/>
      <w:r w:rsidRPr="000515B3">
        <w:rPr>
          <w:rFonts w:asciiTheme="minorHAnsi" w:hAnsiTheme="minorHAnsi" w:cstheme="minorHAnsi"/>
        </w:rPr>
        <w:t xml:space="preserve"> Nursing (Children's Nursing), MSc Nursing (Education), PhD Candidate. Lecturer/Assistant Professor in Children’s Nursing, School of Nursing, Midwifery and Health Systems, Health Sciences Centre, University College Dublin, Belfield, Dublin 4, Ireland. </w:t>
      </w:r>
      <w:hyperlink r:id="rId10" w:history="1">
        <w:r w:rsidRPr="00B61929">
          <w:rPr>
            <w:rStyle w:val="Hyperlink"/>
            <w:rFonts w:asciiTheme="minorHAnsi" w:hAnsiTheme="minorHAnsi" w:cstheme="minorHAnsi"/>
          </w:rPr>
          <w:t>Martina.kennedy@ucd.ie</w:t>
        </w:r>
      </w:hyperlink>
      <w:r>
        <w:rPr>
          <w:rFonts w:asciiTheme="minorHAnsi" w:hAnsiTheme="minorHAnsi" w:cstheme="minorHAnsi"/>
        </w:rPr>
        <w:t xml:space="preserve"> Twitter @martina_kennedy. </w:t>
      </w:r>
      <w:proofErr w:type="spellStart"/>
      <w:r w:rsidRPr="000515B3">
        <w:rPr>
          <w:rFonts w:asciiTheme="minorHAnsi" w:hAnsiTheme="minorHAnsi" w:cstheme="minorHAnsi"/>
        </w:rPr>
        <w:t>ORCiD</w:t>
      </w:r>
      <w:proofErr w:type="spellEnd"/>
      <w:r w:rsidRPr="000515B3">
        <w:rPr>
          <w:rFonts w:asciiTheme="minorHAnsi" w:hAnsiTheme="minorHAnsi" w:cstheme="minorHAnsi"/>
        </w:rPr>
        <w:t xml:space="preserve"> - 0000-0001-9188-7652</w:t>
      </w:r>
      <w:r>
        <w:rPr>
          <w:rFonts w:asciiTheme="minorHAnsi" w:hAnsiTheme="minorHAnsi" w:cstheme="minorHAnsi"/>
        </w:rPr>
        <w:t xml:space="preserve"> </w:t>
      </w:r>
    </w:p>
    <w:p w14:paraId="5B0EA033" w14:textId="77777777" w:rsidR="00F01FF4" w:rsidRPr="000515B3" w:rsidRDefault="00F01FF4" w:rsidP="00F01FF4">
      <w:pPr>
        <w:rPr>
          <w:rFonts w:asciiTheme="minorHAnsi" w:hAnsiTheme="minorHAnsi" w:cstheme="minorHAnsi"/>
          <w:b/>
          <w:bCs/>
        </w:rPr>
      </w:pPr>
    </w:p>
    <w:p w14:paraId="5B24AB8D" w14:textId="77777777" w:rsidR="00F01FF4" w:rsidRDefault="00F01FF4" w:rsidP="00F01FF4">
      <w:pPr>
        <w:shd w:val="clear" w:color="auto" w:fill="FFFFFF"/>
        <w:rPr>
          <w:rFonts w:asciiTheme="minorHAnsi" w:hAnsiTheme="minorHAnsi" w:cstheme="minorHAnsi"/>
        </w:rPr>
      </w:pPr>
      <w:r w:rsidRPr="000515B3">
        <w:rPr>
          <w:rFonts w:asciiTheme="minorHAnsi" w:hAnsiTheme="minorHAnsi" w:cstheme="minorHAnsi"/>
          <w:b/>
          <w:bCs/>
        </w:rPr>
        <w:t xml:space="preserve">Professor Lucy Bray, </w:t>
      </w:r>
      <w:r w:rsidRPr="000515B3">
        <w:rPr>
          <w:rFonts w:asciiTheme="minorHAnsi" w:hAnsiTheme="minorHAnsi" w:cstheme="minorHAnsi"/>
        </w:rPr>
        <w:t xml:space="preserve">BA (Hons) Children's Nursing, MSc Nursing (Child), PhD. School of Nursing, Midwifery and Allied Health, Faculty of Health, Social Care and Medicine, Edge Hill University, St Helens Rd, Ormskirk, </w:t>
      </w:r>
      <w:proofErr w:type="spellStart"/>
      <w:r w:rsidRPr="000515B3">
        <w:rPr>
          <w:rFonts w:asciiTheme="minorHAnsi" w:hAnsiTheme="minorHAnsi" w:cstheme="minorHAnsi"/>
        </w:rPr>
        <w:t>Uk</w:t>
      </w:r>
      <w:proofErr w:type="spellEnd"/>
      <w:r w:rsidRPr="000515B3">
        <w:rPr>
          <w:rFonts w:asciiTheme="minorHAnsi" w:hAnsiTheme="minorHAnsi" w:cstheme="minorHAnsi"/>
        </w:rPr>
        <w:t xml:space="preserve"> L39 4QP. </w:t>
      </w:r>
      <w:hyperlink r:id="rId11" w:history="1">
        <w:r w:rsidRPr="00B61929">
          <w:rPr>
            <w:rStyle w:val="Hyperlink"/>
            <w:rFonts w:asciiTheme="minorHAnsi" w:hAnsiTheme="minorHAnsi" w:cstheme="minorHAnsi"/>
          </w:rPr>
          <w:t>brayl@edgehill.ac.uk</w:t>
        </w:r>
      </w:hyperlink>
      <w:r>
        <w:rPr>
          <w:rFonts w:asciiTheme="minorHAnsi" w:hAnsiTheme="minorHAnsi" w:cstheme="minorHAnsi"/>
        </w:rPr>
        <w:t xml:space="preserve"> Twitter @LucyBray9. </w:t>
      </w:r>
      <w:proofErr w:type="spellStart"/>
      <w:r w:rsidRPr="000515B3">
        <w:rPr>
          <w:rFonts w:asciiTheme="minorHAnsi" w:hAnsiTheme="minorHAnsi" w:cstheme="minorHAnsi"/>
        </w:rPr>
        <w:t>ORCiD</w:t>
      </w:r>
      <w:proofErr w:type="spellEnd"/>
      <w:r w:rsidRPr="000515B3">
        <w:rPr>
          <w:rFonts w:asciiTheme="minorHAnsi" w:hAnsiTheme="minorHAnsi" w:cstheme="minorHAnsi"/>
        </w:rPr>
        <w:t xml:space="preserve"> - 0000-0001-8414-3233</w:t>
      </w:r>
    </w:p>
    <w:p w14:paraId="28D63710" w14:textId="77777777" w:rsidR="00F01FF4" w:rsidRPr="000515B3" w:rsidRDefault="00F01FF4" w:rsidP="00F01FF4">
      <w:pPr>
        <w:shd w:val="clear" w:color="auto" w:fill="FFFFFF"/>
        <w:rPr>
          <w:rFonts w:asciiTheme="minorHAnsi" w:hAnsiTheme="minorHAnsi" w:cstheme="minorHAnsi"/>
        </w:rPr>
      </w:pPr>
    </w:p>
    <w:p w14:paraId="3D0B1770" w14:textId="77777777" w:rsidR="00F01FF4" w:rsidRDefault="00F01FF4" w:rsidP="00F01FF4">
      <w:pPr>
        <w:shd w:val="clear" w:color="auto" w:fill="FFFFFF"/>
        <w:rPr>
          <w:rFonts w:asciiTheme="minorHAnsi" w:hAnsiTheme="minorHAnsi" w:cstheme="minorHAnsi"/>
        </w:rPr>
      </w:pPr>
      <w:proofErr w:type="spellStart"/>
      <w:r w:rsidRPr="000515B3">
        <w:rPr>
          <w:rFonts w:asciiTheme="minorHAnsi" w:hAnsiTheme="minorHAnsi" w:cstheme="minorHAnsi"/>
          <w:b/>
          <w:bCs/>
        </w:rPr>
        <w:t>Dr.</w:t>
      </w:r>
      <w:proofErr w:type="spellEnd"/>
      <w:r w:rsidRPr="000515B3">
        <w:rPr>
          <w:rFonts w:asciiTheme="minorHAnsi" w:hAnsiTheme="minorHAnsi" w:cstheme="minorHAnsi"/>
          <w:b/>
          <w:bCs/>
        </w:rPr>
        <w:t xml:space="preserve"> Holly Saron, </w:t>
      </w:r>
      <w:r w:rsidRPr="000515B3">
        <w:rPr>
          <w:rFonts w:asciiTheme="minorHAnsi" w:hAnsiTheme="minorHAnsi" w:cstheme="minorHAnsi"/>
        </w:rPr>
        <w:t xml:space="preserve">BSc (Hons) Geography, MSc Population and Health, PGCert in Higher Education FHEA, PhD. Nurse Education Lecturer and Children, Young People and Families Research Fellow, School of Nursing, Midwifery and Allied Health, Faculty of Health, Social Care and Medicine, Edge Hill University, St Helens Rd, Ormskirk, </w:t>
      </w:r>
      <w:proofErr w:type="spellStart"/>
      <w:r w:rsidRPr="000515B3">
        <w:rPr>
          <w:rFonts w:asciiTheme="minorHAnsi" w:hAnsiTheme="minorHAnsi" w:cstheme="minorHAnsi"/>
        </w:rPr>
        <w:t>Uk</w:t>
      </w:r>
      <w:proofErr w:type="spellEnd"/>
      <w:r w:rsidRPr="000515B3">
        <w:rPr>
          <w:rFonts w:asciiTheme="minorHAnsi" w:hAnsiTheme="minorHAnsi" w:cstheme="minorHAnsi"/>
        </w:rPr>
        <w:t xml:space="preserve"> L39 4QP.</w:t>
      </w:r>
      <w:r>
        <w:rPr>
          <w:rFonts w:asciiTheme="minorHAnsi" w:hAnsiTheme="minorHAnsi" w:cstheme="minorHAnsi"/>
        </w:rPr>
        <w:t xml:space="preserve"> </w:t>
      </w:r>
      <w:hyperlink r:id="rId12" w:history="1">
        <w:r w:rsidRPr="00B61929">
          <w:rPr>
            <w:rStyle w:val="Hyperlink"/>
            <w:rFonts w:asciiTheme="minorHAnsi" w:hAnsiTheme="minorHAnsi" w:cstheme="minorHAnsi"/>
          </w:rPr>
          <w:t>Saronh@edgehill.ac.uk</w:t>
        </w:r>
      </w:hyperlink>
      <w:r>
        <w:rPr>
          <w:rFonts w:asciiTheme="minorHAnsi" w:hAnsiTheme="minorHAnsi" w:cstheme="minorHAnsi"/>
        </w:rPr>
        <w:t xml:space="preserve"> Twitter @DrHolly_Saron. </w:t>
      </w:r>
      <w:proofErr w:type="spellStart"/>
      <w:r w:rsidRPr="000515B3">
        <w:rPr>
          <w:rFonts w:asciiTheme="minorHAnsi" w:hAnsiTheme="minorHAnsi" w:cstheme="minorHAnsi"/>
        </w:rPr>
        <w:t>ORCiD</w:t>
      </w:r>
      <w:proofErr w:type="spellEnd"/>
      <w:r w:rsidRPr="000515B3">
        <w:rPr>
          <w:rFonts w:asciiTheme="minorHAnsi" w:hAnsiTheme="minorHAnsi" w:cstheme="minorHAnsi"/>
        </w:rPr>
        <w:t xml:space="preserve"> - 0000-0001-7563-3409</w:t>
      </w:r>
    </w:p>
    <w:p w14:paraId="6D8EE71F" w14:textId="77777777" w:rsidR="00F01FF4" w:rsidRPr="000515B3" w:rsidRDefault="00F01FF4" w:rsidP="00F01FF4">
      <w:pPr>
        <w:shd w:val="clear" w:color="auto" w:fill="FFFFFF"/>
        <w:rPr>
          <w:rFonts w:asciiTheme="minorHAnsi" w:hAnsiTheme="minorHAnsi" w:cstheme="minorHAnsi"/>
        </w:rPr>
      </w:pPr>
    </w:p>
    <w:p w14:paraId="1E457C63" w14:textId="77777777" w:rsidR="00F01FF4" w:rsidRPr="000515B3" w:rsidRDefault="00F01FF4" w:rsidP="00F01FF4">
      <w:pPr>
        <w:rPr>
          <w:rFonts w:asciiTheme="minorHAnsi" w:hAnsiTheme="minorHAnsi" w:cstheme="minorHAnsi"/>
        </w:rPr>
      </w:pPr>
      <w:proofErr w:type="spellStart"/>
      <w:r w:rsidRPr="000515B3">
        <w:rPr>
          <w:rFonts w:asciiTheme="minorHAnsi" w:hAnsiTheme="minorHAnsi" w:cstheme="minorHAnsi"/>
          <w:b/>
          <w:bCs/>
        </w:rPr>
        <w:t>Dr.</w:t>
      </w:r>
      <w:proofErr w:type="spellEnd"/>
      <w:r w:rsidRPr="000515B3">
        <w:rPr>
          <w:rFonts w:asciiTheme="minorHAnsi" w:hAnsiTheme="minorHAnsi" w:cstheme="minorHAnsi"/>
          <w:b/>
          <w:bCs/>
        </w:rPr>
        <w:t xml:space="preserve"> Louca-Mai Brady, </w:t>
      </w:r>
      <w:r w:rsidRPr="000515B3">
        <w:rPr>
          <w:rFonts w:asciiTheme="minorHAnsi" w:hAnsiTheme="minorHAnsi" w:cstheme="minorHAnsi"/>
        </w:rPr>
        <w:t xml:space="preserve">BA (Hons) Psychology and English Literature, MSc Social Research, PhD. Senior Research Fellow, Centre for Research in Public Health and Community Care, School of Health and Social Work, University of Hertfordshire, Hatfield, Hertfordshire, AL10 9AB. </w:t>
      </w:r>
      <w:hyperlink r:id="rId13" w:history="1">
        <w:r w:rsidRPr="00B61929">
          <w:rPr>
            <w:rStyle w:val="Hyperlink"/>
            <w:rFonts w:asciiTheme="minorHAnsi" w:hAnsiTheme="minorHAnsi" w:cstheme="minorHAnsi"/>
          </w:rPr>
          <w:t>l.m.brady@herts.ac.uk</w:t>
        </w:r>
      </w:hyperlink>
      <w:r>
        <w:rPr>
          <w:rFonts w:asciiTheme="minorHAnsi" w:hAnsiTheme="minorHAnsi" w:cstheme="minorHAnsi"/>
        </w:rPr>
        <w:t xml:space="preserve"> Twitter @Louca_Mai. </w:t>
      </w:r>
      <w:proofErr w:type="spellStart"/>
      <w:r w:rsidRPr="000515B3">
        <w:rPr>
          <w:rFonts w:asciiTheme="minorHAnsi" w:hAnsiTheme="minorHAnsi" w:cstheme="minorHAnsi"/>
        </w:rPr>
        <w:t>ORCiD</w:t>
      </w:r>
      <w:proofErr w:type="spellEnd"/>
      <w:r w:rsidRPr="000515B3">
        <w:rPr>
          <w:rFonts w:asciiTheme="minorHAnsi" w:hAnsiTheme="minorHAnsi" w:cstheme="minorHAnsi"/>
        </w:rPr>
        <w:t xml:space="preserve"> - 0000-0002-2557-8955</w:t>
      </w:r>
    </w:p>
    <w:p w14:paraId="3BDEBC10" w14:textId="77777777" w:rsidR="00281723" w:rsidRPr="00281723" w:rsidRDefault="00281723" w:rsidP="00281723"/>
    <w:p w14:paraId="5C4013F0" w14:textId="77777777" w:rsidR="00F01FF4" w:rsidRDefault="00F01FF4" w:rsidP="00F01FF4"/>
    <w:p w14:paraId="276750B6" w14:textId="77777777" w:rsidR="00F01FF4" w:rsidRDefault="00F01FF4" w:rsidP="00F01FF4"/>
    <w:p w14:paraId="529B268A" w14:textId="77777777" w:rsidR="00F01FF4" w:rsidRDefault="00F01FF4" w:rsidP="00F01FF4"/>
    <w:p w14:paraId="315A425B" w14:textId="77777777" w:rsidR="00F01FF4" w:rsidRDefault="00F01FF4" w:rsidP="00F01FF4"/>
    <w:p w14:paraId="7F0852AD" w14:textId="77777777" w:rsidR="00F01FF4" w:rsidRDefault="00F01FF4" w:rsidP="00F01FF4"/>
    <w:p w14:paraId="306DEF58" w14:textId="77777777" w:rsidR="00F01FF4" w:rsidRDefault="00F01FF4" w:rsidP="00F01FF4"/>
    <w:p w14:paraId="510E4AA1" w14:textId="77777777" w:rsidR="00F01FF4" w:rsidRDefault="00F01FF4" w:rsidP="00F01FF4"/>
    <w:p w14:paraId="70201B4E" w14:textId="77777777" w:rsidR="00F01FF4" w:rsidRDefault="00F01FF4" w:rsidP="00F01FF4"/>
    <w:p w14:paraId="7DB715D0" w14:textId="77777777" w:rsidR="00F01FF4" w:rsidRDefault="00F01FF4" w:rsidP="00F01FF4"/>
    <w:p w14:paraId="11937BA4" w14:textId="77777777" w:rsidR="00F01FF4" w:rsidRDefault="00F01FF4" w:rsidP="00F01FF4"/>
    <w:p w14:paraId="7692A82A" w14:textId="77777777" w:rsidR="00F01FF4" w:rsidRDefault="00F01FF4" w:rsidP="00F01FF4"/>
    <w:p w14:paraId="04F7ED0D" w14:textId="77777777" w:rsidR="00F01FF4" w:rsidRDefault="00F01FF4" w:rsidP="00F01FF4"/>
    <w:p w14:paraId="5DDB2E26" w14:textId="77777777" w:rsidR="00F01FF4" w:rsidRDefault="00F01FF4" w:rsidP="00F01FF4"/>
    <w:p w14:paraId="07D00EC0" w14:textId="77777777" w:rsidR="00F01FF4" w:rsidRDefault="00F01FF4" w:rsidP="00F01FF4"/>
    <w:p w14:paraId="52B31460" w14:textId="77777777" w:rsidR="00F01FF4" w:rsidRDefault="00F01FF4" w:rsidP="00F01FF4"/>
    <w:p w14:paraId="38A7823C" w14:textId="31412BB5" w:rsidR="00D3567B" w:rsidRPr="00F4126F" w:rsidRDefault="00D3567B" w:rsidP="00C14AC6">
      <w:pPr>
        <w:pStyle w:val="Heading1"/>
        <w:tabs>
          <w:tab w:val="left" w:pos="6315"/>
        </w:tabs>
        <w:rPr>
          <w:sz w:val="24"/>
          <w:szCs w:val="24"/>
        </w:rPr>
      </w:pPr>
      <w:r w:rsidRPr="00F4126F">
        <w:rPr>
          <w:sz w:val="24"/>
          <w:szCs w:val="24"/>
        </w:rPr>
        <w:lastRenderedPageBreak/>
        <w:t xml:space="preserve">Abstract </w:t>
      </w:r>
      <w:r w:rsidR="00C14AC6">
        <w:rPr>
          <w:sz w:val="24"/>
          <w:szCs w:val="24"/>
        </w:rPr>
        <w:tab/>
      </w:r>
    </w:p>
    <w:p w14:paraId="38A7823F" w14:textId="77777777" w:rsidR="004054E1" w:rsidRPr="00F4126F" w:rsidRDefault="004054E1" w:rsidP="004054E1">
      <w:pPr>
        <w:pStyle w:val="Default"/>
        <w:rPr>
          <w:rFonts w:ascii="Arial" w:hAnsi="Arial" w:cs="Arial"/>
        </w:rPr>
      </w:pPr>
    </w:p>
    <w:p w14:paraId="4ABBFEA6" w14:textId="3C6D8242" w:rsidR="00AC151B" w:rsidRPr="00E8643C" w:rsidRDefault="00AC151B" w:rsidP="004054E1">
      <w:pPr>
        <w:rPr>
          <w:rFonts w:ascii="Arial" w:hAnsi="Arial" w:cs="Arial"/>
          <w:b/>
          <w:lang w:eastAsia="en-GB"/>
        </w:rPr>
      </w:pPr>
      <w:r w:rsidRPr="00E8643C">
        <w:rPr>
          <w:rFonts w:ascii="Arial" w:hAnsi="Arial" w:cs="Arial"/>
          <w:b/>
          <w:lang w:eastAsia="en-GB"/>
        </w:rPr>
        <w:t>Aim:</w:t>
      </w:r>
    </w:p>
    <w:p w14:paraId="158BDEF8" w14:textId="77777777" w:rsidR="000515B3" w:rsidRPr="00E8643C" w:rsidRDefault="000515B3" w:rsidP="000515B3">
      <w:pPr>
        <w:jc w:val="both"/>
        <w:rPr>
          <w:rFonts w:asciiTheme="minorHAnsi" w:hAnsiTheme="minorHAnsi" w:cstheme="minorHAnsi"/>
        </w:rPr>
      </w:pPr>
      <w:r w:rsidRPr="00E8643C">
        <w:rPr>
          <w:rFonts w:asciiTheme="minorHAnsi" w:hAnsiTheme="minorHAnsi" w:cstheme="minorHAnsi"/>
        </w:rPr>
        <w:t>The aim of this study was to scope communication curriculum reported as currently being delivered within undergraduate children’s nursing programmes across the Republic of Ireland and the United Kingdom.</w:t>
      </w:r>
    </w:p>
    <w:p w14:paraId="43D67679" w14:textId="77777777" w:rsidR="000515B3" w:rsidRDefault="000515B3" w:rsidP="004054E1">
      <w:pPr>
        <w:rPr>
          <w:rFonts w:ascii="Arial" w:hAnsi="Arial" w:cs="Arial"/>
          <w:bCs/>
          <w:lang w:eastAsia="en-GB"/>
        </w:rPr>
      </w:pPr>
    </w:p>
    <w:p w14:paraId="38A78240" w14:textId="31A96608" w:rsidR="004054E1" w:rsidRPr="00E8643C" w:rsidRDefault="004054E1" w:rsidP="004054E1">
      <w:pPr>
        <w:rPr>
          <w:rFonts w:ascii="Arial" w:hAnsi="Arial" w:cs="Arial"/>
          <w:b/>
          <w:lang w:eastAsia="en-GB"/>
        </w:rPr>
      </w:pPr>
      <w:r w:rsidRPr="00E8643C">
        <w:rPr>
          <w:rFonts w:ascii="Arial" w:hAnsi="Arial" w:cs="Arial"/>
          <w:b/>
          <w:lang w:eastAsia="en-GB"/>
        </w:rPr>
        <w:t>Background</w:t>
      </w:r>
      <w:r w:rsidR="00B95CDD" w:rsidRPr="00E8643C">
        <w:rPr>
          <w:rFonts w:ascii="Arial" w:hAnsi="Arial" w:cs="Arial"/>
          <w:b/>
          <w:lang w:eastAsia="en-GB"/>
        </w:rPr>
        <w:t>:</w:t>
      </w:r>
    </w:p>
    <w:p w14:paraId="10561908" w14:textId="77777777" w:rsidR="000515B3" w:rsidRPr="00E8643C" w:rsidRDefault="000515B3" w:rsidP="00E8643C">
      <w:pPr>
        <w:jc w:val="both"/>
        <w:rPr>
          <w:rFonts w:asciiTheme="minorHAnsi" w:hAnsiTheme="minorHAnsi" w:cstheme="minorHAnsi"/>
        </w:rPr>
      </w:pPr>
      <w:r w:rsidRPr="00E8643C">
        <w:rPr>
          <w:rFonts w:asciiTheme="minorHAnsi" w:hAnsiTheme="minorHAnsi" w:cstheme="minorHAnsi"/>
        </w:rPr>
        <w:t>Communication between a children’s nurse and a child/young person influences a child/young person’s healthcare experience. Despite an identified need for a comprehensive and effective communication curriculum within undergraduate nursing, there is a notable gap of understanding of the delivery and content of communication training within children’s nursing curricula.</w:t>
      </w:r>
    </w:p>
    <w:p w14:paraId="115E6C4E" w14:textId="77777777" w:rsidR="000515B3" w:rsidRPr="00F4126F" w:rsidRDefault="000515B3" w:rsidP="004054E1">
      <w:pPr>
        <w:rPr>
          <w:rFonts w:ascii="Arial" w:hAnsi="Arial" w:cs="Arial"/>
          <w:bCs/>
          <w:lang w:eastAsia="en-GB"/>
        </w:rPr>
      </w:pPr>
    </w:p>
    <w:p w14:paraId="38A78242" w14:textId="77777777" w:rsidR="004054E1" w:rsidRPr="00E8643C" w:rsidRDefault="004054E1" w:rsidP="004054E1">
      <w:pPr>
        <w:rPr>
          <w:rFonts w:ascii="Arial" w:hAnsi="Arial" w:cs="Arial"/>
          <w:b/>
          <w:lang w:eastAsia="en-GB"/>
        </w:rPr>
      </w:pPr>
      <w:r w:rsidRPr="00E8643C">
        <w:rPr>
          <w:rFonts w:ascii="Arial" w:hAnsi="Arial" w:cs="Arial"/>
          <w:b/>
          <w:lang w:eastAsia="en-GB"/>
        </w:rPr>
        <w:t>Design</w:t>
      </w:r>
      <w:r w:rsidR="00B95CDD" w:rsidRPr="00E8643C">
        <w:rPr>
          <w:rFonts w:ascii="Arial" w:hAnsi="Arial" w:cs="Arial"/>
          <w:b/>
          <w:lang w:eastAsia="en-GB"/>
        </w:rPr>
        <w:t>:</w:t>
      </w:r>
      <w:r w:rsidRPr="00E8643C">
        <w:rPr>
          <w:rFonts w:ascii="Arial" w:hAnsi="Arial" w:cs="Arial"/>
          <w:b/>
          <w:lang w:eastAsia="en-GB"/>
        </w:rPr>
        <w:t xml:space="preserve"> </w:t>
      </w:r>
    </w:p>
    <w:p w14:paraId="28A1E2D0" w14:textId="5DE12F1F" w:rsidR="000515B3" w:rsidRPr="00E8643C" w:rsidRDefault="000515B3" w:rsidP="000515B3">
      <w:pPr>
        <w:jc w:val="both"/>
        <w:rPr>
          <w:rFonts w:asciiTheme="minorHAnsi" w:hAnsiTheme="minorHAnsi" w:cstheme="minorHAnsi"/>
        </w:rPr>
      </w:pPr>
      <w:r w:rsidRPr="00E8643C">
        <w:rPr>
          <w:rFonts w:asciiTheme="minorHAnsi" w:hAnsiTheme="minorHAnsi" w:cstheme="minorHAnsi"/>
        </w:rPr>
        <w:t xml:space="preserve">A mixed method, online anonymous self-report survey design was adopted. </w:t>
      </w:r>
    </w:p>
    <w:p w14:paraId="0F897D8A" w14:textId="77777777" w:rsidR="000515B3" w:rsidRPr="00F4126F" w:rsidRDefault="000515B3" w:rsidP="004054E1">
      <w:pPr>
        <w:rPr>
          <w:rFonts w:ascii="Arial" w:hAnsi="Arial" w:cs="Arial"/>
          <w:bCs/>
          <w:lang w:eastAsia="en-GB"/>
        </w:rPr>
      </w:pPr>
    </w:p>
    <w:p w14:paraId="38A78245" w14:textId="77777777" w:rsidR="004054E1" w:rsidRPr="00E8643C" w:rsidRDefault="004054E1" w:rsidP="004054E1">
      <w:pPr>
        <w:rPr>
          <w:rFonts w:ascii="Arial" w:hAnsi="Arial" w:cs="Arial"/>
          <w:b/>
          <w:lang w:eastAsia="en-GB"/>
        </w:rPr>
      </w:pPr>
      <w:r w:rsidRPr="00E8643C">
        <w:rPr>
          <w:rFonts w:ascii="Arial" w:hAnsi="Arial" w:cs="Arial"/>
          <w:b/>
          <w:lang w:eastAsia="en-GB"/>
        </w:rPr>
        <w:t>Methods</w:t>
      </w:r>
      <w:r w:rsidR="00B95CDD" w:rsidRPr="00E8643C">
        <w:rPr>
          <w:rFonts w:ascii="Arial" w:hAnsi="Arial" w:cs="Arial"/>
          <w:b/>
          <w:lang w:eastAsia="en-GB"/>
        </w:rPr>
        <w:t>:</w:t>
      </w:r>
    </w:p>
    <w:p w14:paraId="10F1B3AC" w14:textId="238679EB" w:rsidR="000515B3" w:rsidRPr="00E8643C" w:rsidRDefault="000515B3" w:rsidP="00E8643C">
      <w:pPr>
        <w:jc w:val="both"/>
        <w:rPr>
          <w:rFonts w:asciiTheme="minorHAnsi" w:hAnsiTheme="minorHAnsi" w:cstheme="minorHAnsi"/>
        </w:rPr>
      </w:pPr>
      <w:r w:rsidRPr="00E8643C">
        <w:rPr>
          <w:rFonts w:asciiTheme="minorHAnsi" w:hAnsiTheme="minorHAnsi" w:cstheme="minorHAnsi"/>
        </w:rPr>
        <w:t>Programme Leads of undergraduate children’s nursing programmes in the Republic of Ireland and the United Kingdom were asked to report on how communication training is delivered to students on undergraduate children's nursing programmes. The Checklist for Reporting of Survey Studies (CROSS) was used for the reporting of this study.</w:t>
      </w:r>
    </w:p>
    <w:p w14:paraId="0F548A4E" w14:textId="77777777" w:rsidR="000515B3" w:rsidRPr="00F4126F" w:rsidRDefault="000515B3" w:rsidP="004054E1">
      <w:pPr>
        <w:rPr>
          <w:rFonts w:ascii="Arial" w:hAnsi="Arial" w:cs="Arial"/>
          <w:bCs/>
          <w:lang w:eastAsia="en-GB"/>
        </w:rPr>
      </w:pPr>
    </w:p>
    <w:p w14:paraId="38A78246" w14:textId="77777777" w:rsidR="004054E1" w:rsidRPr="00E8643C" w:rsidRDefault="004054E1" w:rsidP="004054E1">
      <w:pPr>
        <w:rPr>
          <w:rFonts w:ascii="Arial" w:hAnsi="Arial" w:cs="Arial"/>
          <w:b/>
          <w:lang w:eastAsia="en-GB"/>
        </w:rPr>
      </w:pPr>
      <w:r w:rsidRPr="00E8643C">
        <w:rPr>
          <w:rFonts w:ascii="Arial" w:hAnsi="Arial" w:cs="Arial"/>
          <w:b/>
          <w:lang w:eastAsia="en-GB"/>
        </w:rPr>
        <w:t>Results</w:t>
      </w:r>
      <w:r w:rsidR="00B95CDD" w:rsidRPr="00E8643C">
        <w:rPr>
          <w:rFonts w:ascii="Arial" w:hAnsi="Arial" w:cs="Arial"/>
          <w:b/>
          <w:lang w:eastAsia="en-GB"/>
        </w:rPr>
        <w:t>:</w:t>
      </w:r>
    </w:p>
    <w:p w14:paraId="1DA6E421" w14:textId="77777777" w:rsidR="000515B3" w:rsidRPr="00E8643C" w:rsidRDefault="000515B3" w:rsidP="000515B3">
      <w:pPr>
        <w:jc w:val="both"/>
        <w:rPr>
          <w:rFonts w:asciiTheme="minorHAnsi" w:hAnsiTheme="minorHAnsi" w:cstheme="minorHAnsi"/>
        </w:rPr>
      </w:pPr>
      <w:r w:rsidRPr="00E8643C">
        <w:rPr>
          <w:rFonts w:asciiTheme="minorHAnsi" w:hAnsiTheme="minorHAnsi" w:cstheme="minorHAnsi"/>
        </w:rPr>
        <w:t>Thirty-two programme leads completed the survey (51% response rate). Findings show variability in the delivery and content of communication training across Higher Educational Institutions. Core communication modules featured across all nursing programmes, however, only two programme leads reported delivering standalone child-centred communication modules. Communication training was not always delivered by an educator with professional experience of children and young people in healthcare. Curriculum capacity impacted on the delivery of communication training, with clinical practice being relied on to supplement child specific communication training. Programme leads highlighted the need for greater inclusion of child voice in shaping and delivering undergraduate children’s nurse education.</w:t>
      </w:r>
    </w:p>
    <w:p w14:paraId="79BA5CB7" w14:textId="77777777" w:rsidR="000515B3" w:rsidRPr="00F4126F" w:rsidRDefault="000515B3" w:rsidP="004054E1">
      <w:pPr>
        <w:rPr>
          <w:rFonts w:ascii="Arial" w:hAnsi="Arial" w:cs="Arial"/>
          <w:bCs/>
          <w:lang w:eastAsia="en-GB"/>
        </w:rPr>
      </w:pPr>
    </w:p>
    <w:p w14:paraId="38A78247" w14:textId="77777777" w:rsidR="00A57FC4" w:rsidRPr="00E8643C" w:rsidRDefault="004054E1" w:rsidP="00A57FC4">
      <w:pPr>
        <w:rPr>
          <w:rFonts w:ascii="Arial" w:hAnsi="Arial" w:cs="Arial"/>
          <w:b/>
          <w:lang w:eastAsia="en-GB"/>
        </w:rPr>
      </w:pPr>
      <w:r w:rsidRPr="00E8643C">
        <w:rPr>
          <w:rFonts w:ascii="Arial" w:hAnsi="Arial" w:cs="Arial"/>
          <w:b/>
          <w:lang w:eastAsia="en-GB"/>
        </w:rPr>
        <w:t>Conclusions</w:t>
      </w:r>
      <w:r w:rsidR="00B95CDD" w:rsidRPr="00E8643C">
        <w:rPr>
          <w:rFonts w:ascii="Arial" w:hAnsi="Arial" w:cs="Arial"/>
          <w:b/>
          <w:lang w:eastAsia="en-GB"/>
        </w:rPr>
        <w:t>:</w:t>
      </w:r>
    </w:p>
    <w:p w14:paraId="7D84E391" w14:textId="77777777" w:rsidR="000515B3" w:rsidRPr="00E8643C" w:rsidRDefault="000515B3" w:rsidP="000515B3">
      <w:pPr>
        <w:jc w:val="both"/>
        <w:rPr>
          <w:rFonts w:asciiTheme="minorHAnsi" w:hAnsiTheme="minorHAnsi" w:cstheme="minorHAnsi"/>
        </w:rPr>
      </w:pPr>
      <w:r w:rsidRPr="00E8643C">
        <w:rPr>
          <w:rFonts w:asciiTheme="minorHAnsi" w:hAnsiTheme="minorHAnsi" w:cstheme="minorHAnsi"/>
        </w:rPr>
        <w:t>This study shows that while communication is covered as a core part of the undergraduate nursing curriculum across the Republic of Ireland and the United Kingdom, it generally lacks a focus on children and young people and is not always supported by educators with professional experience of children and young people in healthcare. More work needs to focus on equipping undergraduate children’s nurses with the unique skills needed to communicate effectively with children and young people and incorporate learnings into nursing pedagogy.</w:t>
      </w:r>
    </w:p>
    <w:p w14:paraId="38A78253" w14:textId="77777777" w:rsidR="00276C1C" w:rsidRPr="00F4126F" w:rsidRDefault="00276C1C" w:rsidP="00276C1C">
      <w:pPr>
        <w:pStyle w:val="Heading1"/>
        <w:rPr>
          <w:sz w:val="24"/>
          <w:szCs w:val="24"/>
        </w:rPr>
      </w:pPr>
      <w:r w:rsidRPr="00F4126F">
        <w:rPr>
          <w:sz w:val="24"/>
          <w:szCs w:val="24"/>
        </w:rPr>
        <w:lastRenderedPageBreak/>
        <w:t>Keywords</w:t>
      </w:r>
    </w:p>
    <w:p w14:paraId="56C12CD2" w14:textId="67E77C84" w:rsidR="00C1479A" w:rsidRDefault="00C1479A" w:rsidP="00276C1C">
      <w:pPr>
        <w:pStyle w:val="Heading1"/>
        <w:rPr>
          <w:b w:val="0"/>
          <w:i/>
          <w:sz w:val="24"/>
          <w:szCs w:val="24"/>
        </w:rPr>
      </w:pPr>
      <w:r w:rsidRPr="00C1479A">
        <w:rPr>
          <w:b w:val="0"/>
          <w:i/>
          <w:sz w:val="24"/>
          <w:szCs w:val="24"/>
        </w:rPr>
        <w:t>Chil</w:t>
      </w:r>
      <w:r w:rsidR="00E954C2">
        <w:rPr>
          <w:b w:val="0"/>
          <w:i/>
          <w:sz w:val="24"/>
          <w:szCs w:val="24"/>
        </w:rPr>
        <w:t>d</w:t>
      </w:r>
      <w:r w:rsidRPr="00C1479A">
        <w:rPr>
          <w:b w:val="0"/>
          <w:i/>
          <w:sz w:val="24"/>
          <w:szCs w:val="24"/>
        </w:rPr>
        <w:t xml:space="preserve">, </w:t>
      </w:r>
      <w:r w:rsidR="006B7DFA">
        <w:rPr>
          <w:b w:val="0"/>
          <w:i/>
          <w:sz w:val="24"/>
          <w:szCs w:val="24"/>
        </w:rPr>
        <w:t>C</w:t>
      </w:r>
      <w:r w:rsidRPr="00C1479A">
        <w:rPr>
          <w:b w:val="0"/>
          <w:i/>
          <w:sz w:val="24"/>
          <w:szCs w:val="24"/>
        </w:rPr>
        <w:t xml:space="preserve">ommunication, </w:t>
      </w:r>
      <w:r w:rsidR="00150B62">
        <w:rPr>
          <w:b w:val="0"/>
          <w:i/>
          <w:sz w:val="24"/>
          <w:szCs w:val="24"/>
        </w:rPr>
        <w:t>E</w:t>
      </w:r>
      <w:r w:rsidR="00150B62" w:rsidRPr="00C1479A">
        <w:rPr>
          <w:b w:val="0"/>
          <w:i/>
          <w:sz w:val="24"/>
          <w:szCs w:val="24"/>
        </w:rPr>
        <w:t xml:space="preserve">ducation, </w:t>
      </w:r>
      <w:r w:rsidR="00DA4898">
        <w:rPr>
          <w:b w:val="0"/>
          <w:i/>
          <w:sz w:val="24"/>
          <w:szCs w:val="24"/>
        </w:rPr>
        <w:t>Nurses</w:t>
      </w:r>
      <w:r w:rsidRPr="00C1479A">
        <w:rPr>
          <w:b w:val="0"/>
          <w:i/>
          <w:sz w:val="24"/>
          <w:szCs w:val="24"/>
        </w:rPr>
        <w:t xml:space="preserve">, </w:t>
      </w:r>
      <w:r w:rsidR="00DA4898">
        <w:rPr>
          <w:b w:val="0"/>
          <w:i/>
          <w:sz w:val="24"/>
          <w:szCs w:val="24"/>
        </w:rPr>
        <w:t>C</w:t>
      </w:r>
      <w:r w:rsidRPr="00C1479A">
        <w:rPr>
          <w:b w:val="0"/>
          <w:i/>
          <w:sz w:val="24"/>
          <w:szCs w:val="24"/>
        </w:rPr>
        <w:t xml:space="preserve">urriculum, </w:t>
      </w:r>
      <w:r w:rsidR="00DA4898">
        <w:rPr>
          <w:b w:val="0"/>
          <w:i/>
          <w:sz w:val="24"/>
          <w:szCs w:val="24"/>
        </w:rPr>
        <w:t>P</w:t>
      </w:r>
      <w:r w:rsidR="003D14A6">
        <w:rPr>
          <w:b w:val="0"/>
          <w:i/>
          <w:sz w:val="24"/>
          <w:szCs w:val="24"/>
        </w:rPr>
        <w:t xml:space="preserve">ediatric </w:t>
      </w:r>
      <w:r w:rsidR="00DA4898">
        <w:rPr>
          <w:b w:val="0"/>
          <w:i/>
          <w:sz w:val="24"/>
          <w:szCs w:val="24"/>
        </w:rPr>
        <w:t>N</w:t>
      </w:r>
      <w:r w:rsidR="003D14A6">
        <w:rPr>
          <w:b w:val="0"/>
          <w:i/>
          <w:sz w:val="24"/>
          <w:szCs w:val="24"/>
        </w:rPr>
        <w:t>urses</w:t>
      </w:r>
      <w:r w:rsidRPr="00C1479A">
        <w:rPr>
          <w:b w:val="0"/>
          <w:i/>
          <w:sz w:val="24"/>
          <w:szCs w:val="24"/>
        </w:rPr>
        <w:t>,</w:t>
      </w:r>
      <w:r w:rsidR="00150B62">
        <w:rPr>
          <w:b w:val="0"/>
          <w:i/>
          <w:sz w:val="24"/>
          <w:szCs w:val="24"/>
        </w:rPr>
        <w:t xml:space="preserve"> </w:t>
      </w:r>
      <w:r w:rsidR="006B7DFA">
        <w:rPr>
          <w:b w:val="0"/>
          <w:i/>
          <w:sz w:val="24"/>
          <w:szCs w:val="24"/>
        </w:rPr>
        <w:t>Students, U</w:t>
      </w:r>
      <w:r w:rsidRPr="00C1479A">
        <w:rPr>
          <w:b w:val="0"/>
          <w:i/>
          <w:sz w:val="24"/>
          <w:szCs w:val="24"/>
        </w:rPr>
        <w:t>ndergraduate</w:t>
      </w:r>
    </w:p>
    <w:p w14:paraId="38A78255" w14:textId="77777777" w:rsidR="002C76E2" w:rsidRPr="00F4126F" w:rsidRDefault="002C76E2" w:rsidP="004054E1">
      <w:pPr>
        <w:rPr>
          <w:rFonts w:ascii="Arial" w:hAnsi="Arial" w:cs="Arial"/>
          <w:b/>
          <w:bCs/>
          <w:kern w:val="32"/>
        </w:rPr>
      </w:pPr>
      <w:r w:rsidRPr="00F4126F">
        <w:rPr>
          <w:rFonts w:ascii="Arial" w:hAnsi="Arial" w:cs="Arial"/>
        </w:rPr>
        <w:br w:type="page"/>
      </w:r>
    </w:p>
    <w:p w14:paraId="3572EFF8" w14:textId="061FF64F" w:rsidR="00907FAC" w:rsidRDefault="00506DA5">
      <w:pPr>
        <w:pStyle w:val="Heading1"/>
        <w:rPr>
          <w:sz w:val="24"/>
          <w:szCs w:val="24"/>
        </w:rPr>
      </w:pPr>
      <w:r>
        <w:rPr>
          <w:sz w:val="24"/>
          <w:szCs w:val="24"/>
        </w:rPr>
        <w:lastRenderedPageBreak/>
        <w:t>Introduction</w:t>
      </w:r>
    </w:p>
    <w:p w14:paraId="2619CBD1" w14:textId="71CD8FEF" w:rsidR="00097929" w:rsidRDefault="00097929" w:rsidP="00097929">
      <w:pPr>
        <w:jc w:val="both"/>
        <w:rPr>
          <w:rFonts w:asciiTheme="minorHAnsi" w:hAnsiTheme="minorHAnsi" w:cstheme="minorHAnsi"/>
        </w:rPr>
      </w:pPr>
      <w:r w:rsidRPr="00097929">
        <w:rPr>
          <w:rFonts w:asciiTheme="minorHAnsi" w:hAnsiTheme="minorHAnsi" w:cstheme="minorHAnsi"/>
        </w:rPr>
        <w:t>Communication forms the foundation in establishing effective, safe, patient-centred care (Kerr, 2022), building meaningful relationships between children’s nurses, children and young people (CYP) and their families (Coad et al., 2018). For the purposes of this study, CYP are defined as individuals under the age of 18 (UNCRC, 1989). Good communication, as a core component to nursing practice (Kerr, 2020), is integral to multiple aspects of a CYP’s experience of healthcare environments (Shorey et al., 2018). An ability to actively listen, acknowledge and address CYP’s concerns as well as tailoring information at an appropriate level (Jepsen et al., 2019) positively impacts on children’s physiological function, with improvements to symptoms (Clarke, 2019) such as blood pressures, reporting of pain (Coad et al., 2018), and adherence with medication (Clarke, 2019). CYP characterise their positive communication experiences with children’s nurses using words such as ‘cheerful’ (Clarke, 2021), ‘fun’ (Petronio-Coia and Schwartz-Barcott, 2020), ‘nice’ (Coyne &amp; Kirwan, 2012), ‘playful’ (Clarke, 2021), ‘smiles’ (Petronio-Coia and Schwartz-Barcott, 2020), ‘gentle’ (Coyne &amp; Kirwan, 2012), and ‘children friendly’ (Clarke, 2022; Petronio-Coia and Schwartz-Barcott, 2020). Aligning with Article 12 of the United Nations Convention on the Rights of the Child (UNCRC, 1989) and recognised within National Institute of Clinical Excellence (NICE) guidance (2021), good communication is essential to promote children’s voices and control in an unfamiliar environment (Reid-Searl et al., 2021) and facilitate their involvement in choices and decision-making about their care (Bray et al 2023; Jacobs et al., 2023). This is important in healthcare as CYP are predominately perceived as needing protection rather than asserting their autonomy (Coyne et al., 2018; Koller, 2016). Children’s nurses can empower CYP through child-centred communication that is tailored to CYP’s preferences and communication styles (Navein et al. 2022; Koller, 2016), promoting an environment where CYP can elicit their perspectives (Bray et al., 2023) and safeguard their voice in the decision-making process (Sheehan and Fealy, 2020). Frequently cited as a recurring complaint within healthcare systems (Wray et al., 2022; O’Hara et al., 2018), poor communication, such as a failure to listen and respond to CYP’s questions (Coad et al., 2018), using medical jargon (Coyne and Kirwan, 2012), excluding CYP from their own care (Bray et al., 2021), can cause an irrevocable breakdown in relationships between the children’s nurse(s), the CYP, and their families (Coad et al., 2018).</w:t>
      </w:r>
    </w:p>
    <w:p w14:paraId="0A0FAE68" w14:textId="77777777" w:rsidR="00BD165E" w:rsidRPr="00097929" w:rsidRDefault="00BD165E" w:rsidP="00097929">
      <w:pPr>
        <w:jc w:val="both"/>
        <w:rPr>
          <w:rFonts w:asciiTheme="minorHAnsi" w:hAnsiTheme="minorHAnsi" w:cstheme="minorHAnsi"/>
        </w:rPr>
      </w:pPr>
    </w:p>
    <w:p w14:paraId="38A78258" w14:textId="2C9965BD" w:rsidR="00D3567B" w:rsidRDefault="00D3567B" w:rsidP="00907FAC">
      <w:pPr>
        <w:pStyle w:val="Heading1"/>
        <w:rPr>
          <w:sz w:val="24"/>
          <w:szCs w:val="24"/>
        </w:rPr>
      </w:pPr>
      <w:r w:rsidRPr="00F4126F">
        <w:rPr>
          <w:sz w:val="24"/>
          <w:szCs w:val="24"/>
        </w:rPr>
        <w:t xml:space="preserve">Background </w:t>
      </w:r>
    </w:p>
    <w:p w14:paraId="302C5A50" w14:textId="49A6DB8D" w:rsidR="00BD165E" w:rsidRPr="00BD165E" w:rsidRDefault="00BD165E" w:rsidP="00BD165E">
      <w:pPr>
        <w:jc w:val="both"/>
        <w:rPr>
          <w:rFonts w:asciiTheme="minorHAnsi" w:hAnsiTheme="minorHAnsi" w:cstheme="minorHAnsi"/>
        </w:rPr>
      </w:pPr>
      <w:r w:rsidRPr="00BD165E">
        <w:rPr>
          <w:rFonts w:asciiTheme="minorHAnsi" w:hAnsiTheme="minorHAnsi" w:cstheme="minorHAnsi"/>
        </w:rPr>
        <w:t xml:space="preserve">Despite there being an identified need for a comprehensive and effective communication curriculum (Bachmann et al., 2013) which is standardised across academic and clinical practice (Li et al., 2023), there continues to be disparity and variability in how communication skills are taught within undergraduate nursing communication curricula (Li et al., 2023; Ferrández-Antón et al., 2020). Children’s nursing students spend a substantial amount of time interacting and engaging with CYP and their families and therefore can have considerable influence in determining a child’s healthcare experience (Clarke, 2019). However, children’s nursing students report varying levels of anxiety and worry when communicating and caring for children and their families (Gibson-Young et al., 2023), referring to difficulties understanding the unique facets and nuances associated with communicating with </w:t>
      </w:r>
      <w:r w:rsidRPr="00BD165E">
        <w:rPr>
          <w:rFonts w:asciiTheme="minorHAnsi" w:hAnsiTheme="minorHAnsi" w:cstheme="minorHAnsi"/>
        </w:rPr>
        <w:lastRenderedPageBreak/>
        <w:t xml:space="preserve">CYP in comparison with adults (Kürtüncü et al., 2017). While children’s nursing students will possess their own natural communication skills, influenced by familial and cultural communication styles (Beaird et al., 2017), it has been increasingly recognised that communication skills for nursing students still need to be formally taught (Li et al., 2023) in addition to being modelled through experience in clinical practice (Kerr et al., 2022). </w:t>
      </w:r>
      <w:r w:rsidR="00475F56" w:rsidRPr="00783CF0">
        <w:rPr>
          <w:rFonts w:asciiTheme="minorHAnsi" w:hAnsiTheme="minorHAnsi" w:cstheme="minorHAnsi"/>
        </w:rPr>
        <w:t xml:space="preserve">Clinical practice is recognised as an essential component of undergraduate nursing programmes (Chen et al., 2023). It enables nursing students to link and translate their theoretical knowledge back to real-world clinical environments (Moroney et al., 2022), offering them an opportunity to develop their knowledge, nursing skills, confidence and values (Chen et al., 2023). </w:t>
      </w:r>
      <w:r w:rsidR="00223A0E" w:rsidRPr="00783CF0">
        <w:rPr>
          <w:rFonts w:asciiTheme="minorHAnsi" w:hAnsiTheme="minorHAnsi" w:cstheme="minorHAnsi"/>
        </w:rPr>
        <w:t xml:space="preserve">However, children’s nursing students reported that a lack of child-centred communication training leads to feelings of uncertainty, fearfulness and self-doubt when attending paediatric clinical placements (Chang et al., 2024). </w:t>
      </w:r>
      <w:r w:rsidRPr="00BD165E">
        <w:rPr>
          <w:rFonts w:asciiTheme="minorHAnsi" w:hAnsiTheme="minorHAnsi" w:cstheme="minorHAnsi"/>
        </w:rPr>
        <w:t>Communication is recognised by the nursing regulatory authorities as a skill that children’s nursing students must be able to demonstrate effectively through theoretical and practical components and assessment (Nursing and Midwifery Board of Ireland, 20</w:t>
      </w:r>
      <w:r w:rsidR="00C14AC6">
        <w:rPr>
          <w:rFonts w:asciiTheme="minorHAnsi" w:hAnsiTheme="minorHAnsi" w:cstheme="minorHAnsi"/>
        </w:rPr>
        <w:t>23</w:t>
      </w:r>
      <w:r w:rsidRPr="00BD165E">
        <w:rPr>
          <w:rFonts w:asciiTheme="minorHAnsi" w:hAnsiTheme="minorHAnsi" w:cstheme="minorHAnsi"/>
        </w:rPr>
        <w:t>), displaying appropriate communication techniques and abilities to support CYP, their families as well as members of the multi-disciplinary team throughout their degree (Nursing and Midwifery Council, 2023).</w:t>
      </w:r>
    </w:p>
    <w:p w14:paraId="309187EE" w14:textId="77777777" w:rsidR="00BD165E" w:rsidRPr="00BD165E" w:rsidRDefault="00BD165E" w:rsidP="00BD165E">
      <w:pPr>
        <w:jc w:val="both"/>
        <w:rPr>
          <w:rFonts w:asciiTheme="minorHAnsi" w:hAnsiTheme="minorHAnsi" w:cstheme="minorHAnsi"/>
        </w:rPr>
      </w:pPr>
    </w:p>
    <w:p w14:paraId="5A187945" w14:textId="4A1809B7" w:rsidR="00BD165E" w:rsidRPr="00BD165E" w:rsidRDefault="00BD165E" w:rsidP="00BD165E">
      <w:pPr>
        <w:jc w:val="both"/>
        <w:rPr>
          <w:rFonts w:asciiTheme="minorHAnsi" w:hAnsiTheme="minorHAnsi" w:cstheme="minorHAnsi"/>
        </w:rPr>
      </w:pPr>
      <w:r w:rsidRPr="00BD165E">
        <w:rPr>
          <w:rFonts w:asciiTheme="minorHAnsi" w:hAnsiTheme="minorHAnsi" w:cstheme="minorHAnsi"/>
        </w:rPr>
        <w:t xml:space="preserve">Children’s nursing students are required to demonstrate core and additional child-centred communication skills to achieve competence in clinical practice (Gibson-Young et al., 2023). Core communication skills refer to general communication principles (Bachmnann et al., 2013) which can be applicable across adults and CYP, in contrast to child specific skills which can incorporate more fun and playful aspects (Clarke, 2021). The development of these core and child-centred communication skills requires a diverse use of innovative teaching and learning strategies (Coad et al., 2018) which are reported as including didactic lectures (Shorey and Ng, 2021; Kerr et al., 2020), role play (Gutiérrez-Puertas et al., 2020; Kerr et al., 2020), blended learning, co-operative learning, and case-based learning (Gutiérrez-Puertas et al., 2020). Simulation-based education is a frequently cited teaching and learning strategy in adult-centred communication training of nursing students, incorporating role play as well as using standardised patients (Gutiérrez-Puertas et al., 2020; Kerr et al., 2020). Simulation-based education can replicate and augment real world experiences in a safe and controlled learning environment, guided by trained experts (Shorey and Ng, 2021). </w:t>
      </w:r>
      <w:r w:rsidR="00AF68B9" w:rsidRPr="00783CF0">
        <w:rPr>
          <w:rFonts w:asciiTheme="minorHAnsi" w:hAnsiTheme="minorHAnsi" w:cstheme="minorHAnsi"/>
        </w:rPr>
        <w:t>This realism has the advantage of linking theory to practice in a physically and psychologically safe environment for nursing students (Carrero-</w:t>
      </w:r>
      <w:proofErr w:type="spellStart"/>
      <w:r w:rsidR="00AF68B9" w:rsidRPr="00783CF0">
        <w:rPr>
          <w:rFonts w:asciiTheme="minorHAnsi" w:hAnsiTheme="minorHAnsi" w:cstheme="minorHAnsi"/>
        </w:rPr>
        <w:t>Planells</w:t>
      </w:r>
      <w:proofErr w:type="spellEnd"/>
      <w:r w:rsidR="00AF68B9" w:rsidRPr="00783CF0">
        <w:rPr>
          <w:rFonts w:asciiTheme="minorHAnsi" w:hAnsiTheme="minorHAnsi" w:cstheme="minorHAnsi"/>
        </w:rPr>
        <w:t xml:space="preserve"> et al., 2021)</w:t>
      </w:r>
      <w:r w:rsidR="00084BF0" w:rsidRPr="00783CF0">
        <w:rPr>
          <w:rFonts w:asciiTheme="minorHAnsi" w:hAnsiTheme="minorHAnsi" w:cstheme="minorHAnsi"/>
        </w:rPr>
        <w:t xml:space="preserve">. Here, </w:t>
      </w:r>
      <w:r w:rsidR="00AF68B9" w:rsidRPr="00783CF0">
        <w:rPr>
          <w:rFonts w:asciiTheme="minorHAnsi" w:hAnsiTheme="minorHAnsi" w:cstheme="minorHAnsi"/>
        </w:rPr>
        <w:t>nursing students can practice and develop skills such as decision-making, critical thinking, communication and leadership (</w:t>
      </w:r>
      <w:proofErr w:type="spellStart"/>
      <w:r w:rsidR="00AF68B9" w:rsidRPr="00783CF0">
        <w:rPr>
          <w:rFonts w:asciiTheme="minorHAnsi" w:hAnsiTheme="minorHAnsi" w:cstheme="minorHAnsi"/>
        </w:rPr>
        <w:t>Chabrera</w:t>
      </w:r>
      <w:proofErr w:type="spellEnd"/>
      <w:r w:rsidR="00AF68B9" w:rsidRPr="00783CF0">
        <w:rPr>
          <w:rFonts w:asciiTheme="minorHAnsi" w:hAnsiTheme="minorHAnsi" w:cstheme="minorHAnsi"/>
        </w:rPr>
        <w:t xml:space="preserve"> et al., 2021). This teaching and learning strategy is significant in undergraduate </w:t>
      </w:r>
      <w:r w:rsidR="003E1444" w:rsidRPr="00783CF0">
        <w:rPr>
          <w:rFonts w:asciiTheme="minorHAnsi" w:hAnsiTheme="minorHAnsi" w:cstheme="minorHAnsi"/>
        </w:rPr>
        <w:t xml:space="preserve">children’s </w:t>
      </w:r>
      <w:r w:rsidR="00AF68B9" w:rsidRPr="00783CF0">
        <w:rPr>
          <w:rFonts w:asciiTheme="minorHAnsi" w:hAnsiTheme="minorHAnsi" w:cstheme="minorHAnsi"/>
        </w:rPr>
        <w:t xml:space="preserve">nursing communication curricula as </w:t>
      </w:r>
      <w:proofErr w:type="gramStart"/>
      <w:r w:rsidR="00AF68B9" w:rsidRPr="00783CF0">
        <w:rPr>
          <w:rFonts w:asciiTheme="minorHAnsi" w:hAnsiTheme="minorHAnsi" w:cstheme="minorHAnsi"/>
        </w:rPr>
        <w:t>through the use of</w:t>
      </w:r>
      <w:proofErr w:type="gramEnd"/>
      <w:r w:rsidR="00AF68B9" w:rsidRPr="00783CF0">
        <w:rPr>
          <w:rFonts w:asciiTheme="minorHAnsi" w:hAnsiTheme="minorHAnsi" w:cstheme="minorHAnsi"/>
        </w:rPr>
        <w:t xml:space="preserve"> simulation-based education, nursing students have reported increased self-confidence and self-efficacy before attending their paediatric clinical placements (Zengin and </w:t>
      </w:r>
      <w:proofErr w:type="spellStart"/>
      <w:r w:rsidR="00AF68B9" w:rsidRPr="00783CF0">
        <w:rPr>
          <w:rFonts w:asciiTheme="minorHAnsi" w:hAnsiTheme="minorHAnsi" w:cstheme="minorHAnsi"/>
        </w:rPr>
        <w:t>Fudanci</w:t>
      </w:r>
      <w:proofErr w:type="spellEnd"/>
      <w:r w:rsidR="00AF68B9" w:rsidRPr="00783CF0">
        <w:rPr>
          <w:rFonts w:asciiTheme="minorHAnsi" w:hAnsiTheme="minorHAnsi" w:cstheme="minorHAnsi"/>
        </w:rPr>
        <w:t xml:space="preserve">, 2024). </w:t>
      </w:r>
      <w:r w:rsidRPr="00783CF0">
        <w:rPr>
          <w:rFonts w:asciiTheme="minorHAnsi" w:hAnsiTheme="minorHAnsi" w:cstheme="minorHAnsi"/>
        </w:rPr>
        <w:t>However</w:t>
      </w:r>
      <w:r w:rsidRPr="00BD165E">
        <w:rPr>
          <w:rFonts w:asciiTheme="minorHAnsi" w:hAnsiTheme="minorHAnsi" w:cstheme="minorHAnsi"/>
        </w:rPr>
        <w:t xml:space="preserve">, it is not known how often simulation-based education is used within communication curricula for children’s nursing students as research is sparse in this area. </w:t>
      </w:r>
    </w:p>
    <w:p w14:paraId="77F134AA" w14:textId="77777777" w:rsidR="00BD165E" w:rsidRPr="00BD165E" w:rsidRDefault="00BD165E" w:rsidP="00BD165E">
      <w:pPr>
        <w:jc w:val="both"/>
        <w:rPr>
          <w:rFonts w:asciiTheme="minorHAnsi" w:hAnsiTheme="minorHAnsi" w:cstheme="minorHAnsi"/>
        </w:rPr>
      </w:pPr>
    </w:p>
    <w:p w14:paraId="7B7E4D79" w14:textId="77777777" w:rsidR="00BD165E" w:rsidRPr="00BD165E" w:rsidRDefault="00BD165E" w:rsidP="00BD165E">
      <w:pPr>
        <w:jc w:val="both"/>
        <w:rPr>
          <w:rFonts w:asciiTheme="minorHAnsi" w:hAnsiTheme="minorHAnsi" w:cstheme="minorHAnsi"/>
        </w:rPr>
      </w:pPr>
      <w:r w:rsidRPr="00BD165E">
        <w:rPr>
          <w:rFonts w:asciiTheme="minorHAnsi" w:hAnsiTheme="minorHAnsi" w:cstheme="minorHAnsi"/>
        </w:rPr>
        <w:lastRenderedPageBreak/>
        <w:t>There is also a notable gap in current understandings of the delivery and content of undergraduate communication curriculum specifically for children’s nursing. This is understandable as only a few countries, such as Italy, Germany, the Republic of Ireland (ROI) and the United Kingdom (UK) provide undergraduate children’s nursing degree programmes (Glasper, 2020). The ROI and the UK, the countries of focus for this study, have a unique perspective providing both undergraduate and post-graduate children’s nursing programmes with the ability to register as a children’s nurse (Nursing and Midwifery Council, 2023; Nursing and Midwifery Board of Ireland, 2018).</w:t>
      </w:r>
    </w:p>
    <w:p w14:paraId="376F1491" w14:textId="77777777" w:rsidR="00BD165E" w:rsidRPr="00BD165E" w:rsidRDefault="00BD165E" w:rsidP="00BD165E">
      <w:pPr>
        <w:jc w:val="both"/>
        <w:rPr>
          <w:rFonts w:asciiTheme="minorHAnsi" w:hAnsiTheme="minorHAnsi" w:cstheme="minorHAnsi"/>
        </w:rPr>
      </w:pPr>
    </w:p>
    <w:p w14:paraId="3B74D106" w14:textId="77777777" w:rsidR="00BD165E" w:rsidRPr="00BD165E" w:rsidRDefault="00BD165E" w:rsidP="00BD165E">
      <w:pPr>
        <w:jc w:val="both"/>
        <w:rPr>
          <w:rFonts w:asciiTheme="minorHAnsi" w:hAnsiTheme="minorHAnsi" w:cstheme="minorHAnsi"/>
        </w:rPr>
      </w:pPr>
      <w:r w:rsidRPr="00BD165E">
        <w:rPr>
          <w:rFonts w:asciiTheme="minorHAnsi" w:hAnsiTheme="minorHAnsi" w:cstheme="minorHAnsi"/>
        </w:rPr>
        <w:t xml:space="preserve">While the nursing regulatory authorities in the UK and the ROI stipulate that Higher Educational Institutions (HEI’s) must provide an undergraduate nursing curriculum delivered by appropriately qualified and experienced educators for programme delivery (Nursing and Midwifery Council, 2023; Nursing and Midwifery Board of Ireland, 2023), they do not provide a standardised framework or curriculum development plan on how communication training should be taught and delivered (Nursing and Midwifery Council, 2023; Nursing and Midwifery Board of Ireland, 2023; Jestico and Finlay, 2017). </w:t>
      </w:r>
    </w:p>
    <w:p w14:paraId="0B839E90" w14:textId="77777777" w:rsidR="00BD165E" w:rsidRPr="00BD165E" w:rsidRDefault="00BD165E" w:rsidP="00BD165E">
      <w:pPr>
        <w:jc w:val="both"/>
        <w:rPr>
          <w:rFonts w:asciiTheme="minorHAnsi" w:hAnsiTheme="minorHAnsi" w:cstheme="minorHAnsi"/>
        </w:rPr>
      </w:pPr>
    </w:p>
    <w:p w14:paraId="4414B67A" w14:textId="66EFDB79" w:rsidR="00BD165E" w:rsidRDefault="00BD165E" w:rsidP="00BD165E">
      <w:pPr>
        <w:jc w:val="both"/>
        <w:rPr>
          <w:rFonts w:asciiTheme="minorHAnsi" w:hAnsiTheme="minorHAnsi" w:cstheme="minorHAnsi"/>
        </w:rPr>
      </w:pPr>
      <w:r w:rsidRPr="00BD165E">
        <w:rPr>
          <w:rFonts w:asciiTheme="minorHAnsi" w:hAnsiTheme="minorHAnsi" w:cstheme="minorHAnsi"/>
        </w:rPr>
        <w:t xml:space="preserve">With a lack of transparency on the delivery and content of </w:t>
      </w:r>
      <w:r w:rsidR="00D46189">
        <w:rPr>
          <w:rFonts w:asciiTheme="minorHAnsi" w:hAnsiTheme="minorHAnsi" w:cstheme="minorHAnsi"/>
        </w:rPr>
        <w:t>placement</w:t>
      </w:r>
      <w:r w:rsidRPr="00BD165E">
        <w:rPr>
          <w:rFonts w:asciiTheme="minorHAnsi" w:hAnsiTheme="minorHAnsi" w:cstheme="minorHAnsi"/>
        </w:rPr>
        <w:t xml:space="preserve"> within undergraduate curriculum, the aim of this study was to scope and map out information about communication curriculum currently being delivered in undergraduate children’s nursing programmes across the ROI and the UK.</w:t>
      </w:r>
    </w:p>
    <w:p w14:paraId="332E3160" w14:textId="77777777" w:rsidR="002605F5" w:rsidRPr="00BD165E" w:rsidRDefault="002605F5" w:rsidP="00BD165E">
      <w:pPr>
        <w:jc w:val="both"/>
        <w:rPr>
          <w:rFonts w:asciiTheme="minorHAnsi" w:hAnsiTheme="minorHAnsi" w:cstheme="minorHAnsi"/>
        </w:rPr>
      </w:pPr>
    </w:p>
    <w:p w14:paraId="38A78259" w14:textId="77777777" w:rsidR="00B95CDD" w:rsidRPr="00F4126F" w:rsidRDefault="00B95CDD">
      <w:pPr>
        <w:pStyle w:val="Heading1"/>
        <w:rPr>
          <w:sz w:val="24"/>
          <w:szCs w:val="24"/>
        </w:rPr>
      </w:pPr>
      <w:r w:rsidRPr="00F4126F">
        <w:rPr>
          <w:sz w:val="24"/>
          <w:szCs w:val="24"/>
        </w:rPr>
        <w:t>Methods</w:t>
      </w:r>
    </w:p>
    <w:p w14:paraId="4D2A698A" w14:textId="77777777" w:rsidR="003C0B80" w:rsidRPr="003C0B80" w:rsidRDefault="003C0B80" w:rsidP="003C0B80">
      <w:pPr>
        <w:rPr>
          <w:rFonts w:asciiTheme="minorHAnsi" w:hAnsiTheme="minorHAnsi" w:cstheme="minorHAnsi"/>
        </w:rPr>
      </w:pPr>
      <w:bookmarkStart w:id="0" w:name="_Hlk156224113"/>
      <w:r w:rsidRPr="003C0B80">
        <w:rPr>
          <w:rFonts w:asciiTheme="minorHAnsi" w:hAnsiTheme="minorHAnsi" w:cstheme="minorHAnsi"/>
          <w:b/>
          <w:bCs/>
        </w:rPr>
        <w:t>3.1 Study design</w:t>
      </w:r>
      <w:r w:rsidRPr="003C0B80">
        <w:rPr>
          <w:rFonts w:asciiTheme="minorHAnsi" w:hAnsiTheme="minorHAnsi" w:cstheme="minorHAnsi"/>
        </w:rPr>
        <w:t xml:space="preserve"> </w:t>
      </w:r>
    </w:p>
    <w:bookmarkEnd w:id="0"/>
    <w:p w14:paraId="6F1FAF97" w14:textId="77777777" w:rsidR="003C0B80" w:rsidRPr="003C0B80" w:rsidRDefault="003C0B80" w:rsidP="003C0B80">
      <w:pPr>
        <w:jc w:val="both"/>
        <w:rPr>
          <w:rFonts w:asciiTheme="minorHAnsi" w:hAnsiTheme="minorHAnsi" w:cstheme="minorHAnsi"/>
        </w:rPr>
      </w:pPr>
      <w:r w:rsidRPr="003C0B80">
        <w:rPr>
          <w:rFonts w:asciiTheme="minorHAnsi" w:hAnsiTheme="minorHAnsi" w:cstheme="minorHAnsi"/>
        </w:rPr>
        <w:t>An online anonymous self-report survey consisting of three closed-ended and five open-ended questions (supplementary file 1), collected both open-ended and closed-ended data on how communication training in undergraduate children’s nursing programmes is currently delivered. Integration of qualitative and quantitative forms of data has become a central feature of mixed methods research (Creswell and Hirose, 2019), incorporating attributes from both methodologies to deliver a diverse and expanded view of a topic (Creswell and Creswell, 2023). The survey was administered between December 2022 and March 2023. The Checklist for Reporting Of Survey Studies (CROSS) (Sharma et al., 2021) was used for the reporting of this study.</w:t>
      </w:r>
    </w:p>
    <w:p w14:paraId="2DA0399B" w14:textId="77777777" w:rsidR="003C0B80" w:rsidRPr="003C0B80" w:rsidRDefault="003C0B80" w:rsidP="003C0B80">
      <w:pPr>
        <w:jc w:val="both"/>
        <w:rPr>
          <w:rFonts w:asciiTheme="minorHAnsi" w:hAnsiTheme="minorHAnsi" w:cstheme="minorHAnsi"/>
        </w:rPr>
      </w:pPr>
    </w:p>
    <w:p w14:paraId="76CEAB9F" w14:textId="77777777" w:rsidR="003C0B80" w:rsidRPr="003C0B80" w:rsidRDefault="003C0B80" w:rsidP="003C0B80">
      <w:pPr>
        <w:rPr>
          <w:rFonts w:asciiTheme="minorHAnsi" w:hAnsiTheme="minorHAnsi" w:cstheme="minorHAnsi"/>
          <w:b/>
          <w:bCs/>
        </w:rPr>
      </w:pPr>
      <w:bookmarkStart w:id="1" w:name="_Hlk156226935"/>
      <w:r w:rsidRPr="003C0B80">
        <w:rPr>
          <w:rFonts w:asciiTheme="minorHAnsi" w:hAnsiTheme="minorHAnsi" w:cstheme="minorHAnsi"/>
          <w:b/>
          <w:bCs/>
        </w:rPr>
        <w:t>3.2 Participants and recruitment</w:t>
      </w:r>
    </w:p>
    <w:bookmarkEnd w:id="1"/>
    <w:p w14:paraId="719AFB6E" w14:textId="77777777" w:rsidR="003C0B80" w:rsidRPr="003C0B80" w:rsidRDefault="003C0B80" w:rsidP="003C0B80">
      <w:pPr>
        <w:jc w:val="both"/>
        <w:rPr>
          <w:rFonts w:asciiTheme="minorHAnsi" w:hAnsiTheme="minorHAnsi" w:cstheme="minorHAnsi"/>
        </w:rPr>
      </w:pPr>
      <w:r w:rsidRPr="003C0B80">
        <w:rPr>
          <w:rFonts w:asciiTheme="minorHAnsi" w:hAnsiTheme="minorHAnsi" w:cstheme="minorHAnsi"/>
        </w:rPr>
        <w:t>A total population sample of 63 HEIs, who offer an undergraduate children’s nursing programme in ROI (n=4) and the UK (n=59), were invited to participate in this study. HEIs were identified through their country’s respective nursing regulation board’s website. Programme leads of undergraduate children’s nursing programmes, and their contact details, were acquired from their public profiles on their associated HEI’s websites. An invitation email to participate, containing a weblink to the survey as well as a weblink to a detailed information sheet, was sent to programme leads at the 63 HEIs in</w:t>
      </w:r>
      <w:r w:rsidRPr="003C0B80">
        <w:rPr>
          <w:rStyle w:val="cf01"/>
          <w:rFonts w:asciiTheme="minorHAnsi" w:hAnsiTheme="minorHAnsi" w:cstheme="minorHAnsi"/>
        </w:rPr>
        <w:t xml:space="preserve"> </w:t>
      </w:r>
      <w:r w:rsidRPr="003C0B80">
        <w:rPr>
          <w:rFonts w:asciiTheme="minorHAnsi" w:hAnsiTheme="minorHAnsi" w:cstheme="minorHAnsi"/>
        </w:rPr>
        <w:t>December 2022. Reminder emails were sent out to all programme leads in January and February 2023.</w:t>
      </w:r>
    </w:p>
    <w:p w14:paraId="61AC90C9" w14:textId="77777777" w:rsidR="003C0B80" w:rsidRPr="003C0B80" w:rsidRDefault="003C0B80" w:rsidP="003C0B80">
      <w:pPr>
        <w:jc w:val="both"/>
        <w:rPr>
          <w:rFonts w:asciiTheme="minorHAnsi" w:hAnsiTheme="minorHAnsi" w:cstheme="minorHAnsi"/>
        </w:rPr>
      </w:pPr>
    </w:p>
    <w:p w14:paraId="343B6987" w14:textId="77777777" w:rsidR="003C0B80" w:rsidRPr="003C0B80" w:rsidRDefault="003C0B80" w:rsidP="003C0B80">
      <w:pPr>
        <w:rPr>
          <w:rFonts w:asciiTheme="minorHAnsi" w:hAnsiTheme="minorHAnsi" w:cstheme="minorHAnsi"/>
          <w:b/>
          <w:bCs/>
        </w:rPr>
      </w:pPr>
      <w:bookmarkStart w:id="2" w:name="_Hlk156227705"/>
      <w:r w:rsidRPr="003C0B80">
        <w:rPr>
          <w:rFonts w:asciiTheme="minorHAnsi" w:hAnsiTheme="minorHAnsi" w:cstheme="minorHAnsi"/>
          <w:b/>
          <w:bCs/>
        </w:rPr>
        <w:lastRenderedPageBreak/>
        <w:t>3.3 Data collection</w:t>
      </w:r>
    </w:p>
    <w:bookmarkEnd w:id="2"/>
    <w:p w14:paraId="5F09C7F0" w14:textId="1BAF2A4E" w:rsidR="00591A1E" w:rsidRPr="00591A1E" w:rsidRDefault="003C0B80" w:rsidP="003C0B80">
      <w:pPr>
        <w:jc w:val="both"/>
        <w:rPr>
          <w:rFonts w:asciiTheme="minorHAnsi" w:hAnsiTheme="minorHAnsi" w:cstheme="minorHAnsi"/>
          <w:color w:val="FF0000"/>
        </w:rPr>
      </w:pPr>
      <w:r w:rsidRPr="003C0B80">
        <w:rPr>
          <w:rFonts w:asciiTheme="minorHAnsi" w:hAnsiTheme="minorHAnsi" w:cstheme="minorHAnsi"/>
        </w:rPr>
        <w:t>Programme leads were invited to complete an anonymous self-report survey through an online survey platform (Qualtrics). The survey was designed for this study by the lead author in consultation with the research team and informed by the literature. Content validity of the survey (Sharma et al., 2021) was checked by two expert children’s nursing academics, based in the ROI and the UK. As the focus of the survey was only relevant to a very niche sample, it was not feasible to conduct a pilot test. The survey had a completion time of 15-20 minutes. Three closed-ended questions, requiring yes/no/other answers, gathered information concerning communication curriculum such as enrolled class size and identification and delivery of child-centred communication modules. Five open-ended questions were used to gather programme leads’ perceptions of current communication training, seeking their views on teaching and learning practices that work well, areas for improvement and challenges to facilitating communication training in their undergraduate children’s nursing programmes</w:t>
      </w:r>
      <w:r w:rsidR="00C96496">
        <w:rPr>
          <w:rFonts w:asciiTheme="minorHAnsi" w:hAnsiTheme="minorHAnsi" w:cstheme="minorHAnsi"/>
        </w:rPr>
        <w:t xml:space="preserve">. </w:t>
      </w:r>
      <w:r w:rsidRPr="003C0B80">
        <w:rPr>
          <w:rFonts w:asciiTheme="minorHAnsi" w:hAnsiTheme="minorHAnsi" w:cstheme="minorHAnsi"/>
        </w:rPr>
        <w:t>No identifying demographics, related to the individuals or their respective institutions, were requested from programme leads. Anonymity was prioritised over the possibility of multiple participation as we felt the subject matter may have been viewed as professionally sensitive. Additionally, the qualitative nature of the survey itself made it unlikely for repeated responses</w:t>
      </w:r>
      <w:r w:rsidRPr="00783CF0">
        <w:rPr>
          <w:rFonts w:asciiTheme="minorHAnsi" w:hAnsiTheme="minorHAnsi" w:cstheme="minorHAnsi"/>
        </w:rPr>
        <w:t>.</w:t>
      </w:r>
      <w:r w:rsidR="005C75F8" w:rsidRPr="00783CF0">
        <w:rPr>
          <w:rFonts w:asciiTheme="minorHAnsi" w:hAnsiTheme="minorHAnsi" w:cstheme="minorHAnsi"/>
        </w:rPr>
        <w:t xml:space="preserve"> </w:t>
      </w:r>
      <w:r w:rsidR="00C73C7D" w:rsidRPr="00783CF0">
        <w:rPr>
          <w:rFonts w:asciiTheme="minorHAnsi" w:hAnsiTheme="minorHAnsi" w:cstheme="minorHAnsi"/>
        </w:rPr>
        <w:t xml:space="preserve">Data security was ensured by storing it on secure </w:t>
      </w:r>
      <w:r w:rsidR="00FB31D9" w:rsidRPr="00783CF0">
        <w:rPr>
          <w:rFonts w:asciiTheme="minorHAnsi" w:hAnsiTheme="minorHAnsi" w:cstheme="minorHAnsi"/>
        </w:rPr>
        <w:t xml:space="preserve">online </w:t>
      </w:r>
      <w:r w:rsidR="00C73C7D" w:rsidRPr="00783CF0">
        <w:rPr>
          <w:rFonts w:asciiTheme="minorHAnsi" w:hAnsiTheme="minorHAnsi" w:cstheme="minorHAnsi"/>
        </w:rPr>
        <w:t>servers</w:t>
      </w:r>
      <w:r w:rsidR="00FB31D9" w:rsidRPr="00783CF0">
        <w:rPr>
          <w:rFonts w:asciiTheme="minorHAnsi" w:hAnsiTheme="minorHAnsi" w:cstheme="minorHAnsi"/>
        </w:rPr>
        <w:t xml:space="preserve"> managed by Qualtrics</w:t>
      </w:r>
      <w:r w:rsidR="00C73C7D" w:rsidRPr="00783CF0">
        <w:rPr>
          <w:rFonts w:asciiTheme="minorHAnsi" w:hAnsiTheme="minorHAnsi" w:cstheme="minorHAnsi"/>
        </w:rPr>
        <w:t>.</w:t>
      </w:r>
    </w:p>
    <w:p w14:paraId="153B85F1" w14:textId="77777777" w:rsidR="003C0B80" w:rsidRPr="003C0B80" w:rsidRDefault="003C0B80" w:rsidP="003C0B80">
      <w:pPr>
        <w:jc w:val="both"/>
        <w:rPr>
          <w:rFonts w:asciiTheme="minorHAnsi" w:hAnsiTheme="minorHAnsi" w:cstheme="minorHAnsi"/>
        </w:rPr>
      </w:pPr>
    </w:p>
    <w:p w14:paraId="278E204E" w14:textId="77777777" w:rsidR="003C0B80" w:rsidRPr="003C0B80" w:rsidRDefault="003C0B80" w:rsidP="003C0B80">
      <w:pPr>
        <w:rPr>
          <w:rFonts w:asciiTheme="minorHAnsi" w:hAnsiTheme="minorHAnsi" w:cstheme="minorHAnsi"/>
          <w:b/>
          <w:bCs/>
        </w:rPr>
      </w:pPr>
      <w:r w:rsidRPr="003C0B80">
        <w:rPr>
          <w:rFonts w:asciiTheme="minorHAnsi" w:hAnsiTheme="minorHAnsi" w:cstheme="minorHAnsi"/>
          <w:b/>
          <w:bCs/>
        </w:rPr>
        <w:t>3.4 Data analysis</w:t>
      </w:r>
    </w:p>
    <w:p w14:paraId="127A1B31" w14:textId="4DE5B11D" w:rsidR="003C0B80" w:rsidRPr="003C0B80" w:rsidRDefault="003C0B80" w:rsidP="003C0B80">
      <w:pPr>
        <w:jc w:val="both"/>
        <w:rPr>
          <w:rFonts w:asciiTheme="minorHAnsi" w:hAnsiTheme="minorHAnsi" w:cstheme="minorHAnsi"/>
        </w:rPr>
      </w:pPr>
      <w:r w:rsidRPr="003C0B80">
        <w:rPr>
          <w:rFonts w:asciiTheme="minorHAnsi" w:hAnsiTheme="minorHAnsi" w:cstheme="minorHAnsi"/>
        </w:rPr>
        <w:t xml:space="preserve">Numerical data from the closed response questions were summarised descriptively, using frequencies and percentages. Responses to the five open-ended questions were analysed inductively using a process of conventional content analysis, categorising the frequency of responses derived directly from the text data, and identifying coding during analysis (Hsieh and Shannon, 2005). Conventional content analysis was appropriate for this study as although the open-ended questions allowed for expansive insights, some of the responses were generally brief and concise (Vears and Gillam, 2022). Analysis was initially conducted by the lead author </w:t>
      </w:r>
      <w:r w:rsidR="00783CF0">
        <w:rPr>
          <w:rFonts w:asciiTheme="minorHAnsi" w:hAnsiTheme="minorHAnsi" w:cstheme="minorHAnsi"/>
        </w:rPr>
        <w:t>(M.K.)</w:t>
      </w:r>
      <w:r w:rsidRPr="003C0B80">
        <w:rPr>
          <w:rFonts w:asciiTheme="minorHAnsi" w:hAnsiTheme="minorHAnsi" w:cstheme="minorHAnsi"/>
        </w:rPr>
        <w:t xml:space="preserve"> and checked and discussed between the rest of the team</w:t>
      </w:r>
      <w:r w:rsidR="00783CF0">
        <w:rPr>
          <w:rFonts w:asciiTheme="minorHAnsi" w:hAnsiTheme="minorHAnsi" w:cstheme="minorHAnsi"/>
        </w:rPr>
        <w:t xml:space="preserve"> (L.B., H.S. &amp; L-M.B.)</w:t>
      </w:r>
      <w:r w:rsidRPr="003C0B80">
        <w:rPr>
          <w:rFonts w:asciiTheme="minorHAnsi" w:hAnsiTheme="minorHAnsi" w:cstheme="minorHAnsi"/>
        </w:rPr>
        <w:t xml:space="preserve"> to confirm interpretation and presentation of results.</w:t>
      </w:r>
    </w:p>
    <w:p w14:paraId="7171EBE2" w14:textId="77777777" w:rsidR="003C0B80" w:rsidRPr="003C0B80" w:rsidRDefault="003C0B80" w:rsidP="003C0B80">
      <w:pPr>
        <w:jc w:val="both"/>
        <w:rPr>
          <w:rFonts w:asciiTheme="minorHAnsi" w:hAnsiTheme="minorHAnsi" w:cstheme="minorHAnsi"/>
        </w:rPr>
      </w:pPr>
    </w:p>
    <w:p w14:paraId="3A732913" w14:textId="77777777" w:rsidR="003C0B80" w:rsidRPr="003C0B80" w:rsidRDefault="003C0B80" w:rsidP="003C0B80">
      <w:pPr>
        <w:rPr>
          <w:rFonts w:asciiTheme="minorHAnsi" w:hAnsiTheme="minorHAnsi" w:cstheme="minorHAnsi"/>
          <w:b/>
          <w:bCs/>
        </w:rPr>
      </w:pPr>
      <w:bookmarkStart w:id="3" w:name="_Hlk156229418"/>
      <w:r w:rsidRPr="003C0B80">
        <w:rPr>
          <w:rFonts w:asciiTheme="minorHAnsi" w:hAnsiTheme="minorHAnsi" w:cstheme="minorHAnsi"/>
          <w:b/>
          <w:bCs/>
        </w:rPr>
        <w:t>3.5 Ethical consideration</w:t>
      </w:r>
    </w:p>
    <w:bookmarkEnd w:id="3"/>
    <w:p w14:paraId="6EFB8E00" w14:textId="0026E95F" w:rsidR="003C0B80" w:rsidRDefault="003C0B80" w:rsidP="003C0B80">
      <w:pPr>
        <w:jc w:val="both"/>
        <w:rPr>
          <w:rFonts w:asciiTheme="minorHAnsi" w:hAnsiTheme="minorHAnsi" w:cstheme="minorHAnsi"/>
        </w:rPr>
      </w:pPr>
      <w:r w:rsidRPr="003C0B80">
        <w:rPr>
          <w:rFonts w:asciiTheme="minorHAnsi" w:hAnsiTheme="minorHAnsi" w:cstheme="minorHAnsi"/>
        </w:rPr>
        <w:t xml:space="preserve">Ethical approval was granted by the University Health-related Ethics Committee </w:t>
      </w:r>
      <w:r w:rsidR="00F3342C">
        <w:rPr>
          <w:rFonts w:asciiTheme="minorHAnsi" w:hAnsiTheme="minorHAnsi" w:cstheme="minorHAnsi"/>
        </w:rPr>
        <w:t>(</w:t>
      </w:r>
      <w:r w:rsidR="00446CC2" w:rsidRPr="00446CC2">
        <w:rPr>
          <w:rFonts w:asciiTheme="minorHAnsi" w:hAnsiTheme="minorHAnsi" w:cstheme="minorHAnsi"/>
        </w:rPr>
        <w:t>ETH2223-0020</w:t>
      </w:r>
      <w:r w:rsidR="00446CC2">
        <w:rPr>
          <w:rFonts w:asciiTheme="minorHAnsi" w:hAnsiTheme="minorHAnsi" w:cstheme="minorHAnsi"/>
        </w:rPr>
        <w:t>).</w:t>
      </w:r>
      <w:r w:rsidRPr="003C0B80">
        <w:rPr>
          <w:rFonts w:asciiTheme="minorHAnsi" w:hAnsiTheme="minorHAnsi" w:cstheme="minorHAnsi"/>
        </w:rPr>
        <w:t xml:space="preserve"> Programme leads provided informed consent online by ticking a box to confirm they had read the study information and agreed to participate in the study prior to commencing the survey. Programme leads were informed that once they had submitted the online survey, they would not be able to withdraw their data.  The ‘anonymise response’ was selected within Qualtrics, preventing the survey platform from collecting contact information or IP addresses. Due to the small sample size, careful consideration was made in reporting the data as the provision of undergraduate children’s nursing programmes varies slightly in the ROI and the UK (table 1). HEIs in ROI could be identified if reference was made to year 4 or year 4.5 in the survey, so data related to the final years of the undergraduate nursing programme is classified as ‘year 3-4.5’.</w:t>
      </w:r>
    </w:p>
    <w:p w14:paraId="2605839E" w14:textId="77777777" w:rsidR="001B0D23" w:rsidRDefault="001B0D23" w:rsidP="003C0B80">
      <w:pPr>
        <w:jc w:val="both"/>
        <w:rPr>
          <w:rFonts w:asciiTheme="minorHAnsi" w:hAnsiTheme="minorHAnsi" w:cstheme="minorHAnsi"/>
        </w:rPr>
      </w:pPr>
    </w:p>
    <w:p w14:paraId="0BEBA1C9" w14:textId="1EF658B2" w:rsidR="001B0D23" w:rsidRDefault="001B0D23" w:rsidP="003C0B80">
      <w:pPr>
        <w:jc w:val="both"/>
        <w:rPr>
          <w:rFonts w:asciiTheme="minorHAnsi" w:hAnsiTheme="minorHAnsi" w:cstheme="minorHAnsi"/>
          <w:b/>
          <w:bCs/>
          <w:sz w:val="20"/>
          <w:szCs w:val="20"/>
        </w:rPr>
      </w:pPr>
      <w:r w:rsidRPr="001B0D23">
        <w:rPr>
          <w:rFonts w:asciiTheme="minorHAnsi" w:hAnsiTheme="minorHAnsi" w:cstheme="minorHAnsi"/>
          <w:b/>
          <w:bCs/>
          <w:sz w:val="20"/>
          <w:szCs w:val="20"/>
        </w:rPr>
        <w:lastRenderedPageBreak/>
        <w:t>Table 1: Description of undergraduate children’s nursing programmes in the Republic of Ireland and the United Kingdom.</w:t>
      </w:r>
    </w:p>
    <w:p w14:paraId="239E7FCD" w14:textId="77777777" w:rsidR="001B0D23" w:rsidRDefault="001B0D23" w:rsidP="003C0B80">
      <w:pPr>
        <w:jc w:val="both"/>
        <w:rPr>
          <w:rFonts w:asciiTheme="minorHAnsi" w:hAnsiTheme="minorHAnsi" w:cstheme="minorHAnsi"/>
          <w:b/>
          <w:bCs/>
          <w:sz w:val="20"/>
          <w:szCs w:val="20"/>
        </w:rPr>
      </w:pPr>
    </w:p>
    <w:tbl>
      <w:tblPr>
        <w:tblStyle w:val="TableGrid"/>
        <w:tblW w:w="9067" w:type="dxa"/>
        <w:tblLook w:val="04A0" w:firstRow="1" w:lastRow="0" w:firstColumn="1" w:lastColumn="0" w:noHBand="0" w:noVBand="1"/>
      </w:tblPr>
      <w:tblGrid>
        <w:gridCol w:w="1199"/>
        <w:gridCol w:w="4041"/>
        <w:gridCol w:w="1276"/>
        <w:gridCol w:w="2551"/>
      </w:tblGrid>
      <w:tr w:rsidR="00E07359" w:rsidRPr="00805F67" w14:paraId="52AAD5E7" w14:textId="77777777" w:rsidTr="00814450">
        <w:tc>
          <w:tcPr>
            <w:tcW w:w="1199" w:type="dxa"/>
          </w:tcPr>
          <w:p w14:paraId="67D30E6C" w14:textId="77777777" w:rsidR="00E07359" w:rsidRPr="00E07359" w:rsidRDefault="00E07359" w:rsidP="00814450">
            <w:pPr>
              <w:spacing w:before="120" w:after="120"/>
              <w:jc w:val="center"/>
              <w:rPr>
                <w:b/>
                <w:bCs/>
                <w:sz w:val="22"/>
                <w:szCs w:val="22"/>
              </w:rPr>
            </w:pPr>
            <w:r w:rsidRPr="00E07359">
              <w:rPr>
                <w:b/>
                <w:bCs/>
                <w:sz w:val="22"/>
                <w:szCs w:val="22"/>
              </w:rPr>
              <w:t>Country</w:t>
            </w:r>
          </w:p>
        </w:tc>
        <w:tc>
          <w:tcPr>
            <w:tcW w:w="4041" w:type="dxa"/>
          </w:tcPr>
          <w:p w14:paraId="26DD2D76" w14:textId="77777777" w:rsidR="00E07359" w:rsidRPr="00E07359" w:rsidRDefault="00E07359" w:rsidP="00814450">
            <w:pPr>
              <w:spacing w:before="120" w:after="120"/>
              <w:jc w:val="center"/>
              <w:rPr>
                <w:b/>
                <w:bCs/>
                <w:sz w:val="22"/>
                <w:szCs w:val="22"/>
              </w:rPr>
            </w:pPr>
            <w:r w:rsidRPr="00E07359">
              <w:rPr>
                <w:b/>
                <w:bCs/>
                <w:sz w:val="22"/>
                <w:szCs w:val="22"/>
              </w:rPr>
              <w:t>Undergraduate children’s nursing programme</w:t>
            </w:r>
          </w:p>
        </w:tc>
        <w:tc>
          <w:tcPr>
            <w:tcW w:w="1276" w:type="dxa"/>
          </w:tcPr>
          <w:p w14:paraId="0E25D4BF" w14:textId="77777777" w:rsidR="00E07359" w:rsidRPr="00E07359" w:rsidRDefault="00E07359" w:rsidP="00814450">
            <w:pPr>
              <w:spacing w:before="120" w:after="120"/>
              <w:jc w:val="center"/>
              <w:rPr>
                <w:b/>
                <w:bCs/>
                <w:sz w:val="22"/>
                <w:szCs w:val="22"/>
              </w:rPr>
            </w:pPr>
            <w:r w:rsidRPr="00E07359">
              <w:rPr>
                <w:b/>
                <w:bCs/>
                <w:sz w:val="22"/>
                <w:szCs w:val="22"/>
              </w:rPr>
              <w:t>Duration</w:t>
            </w:r>
          </w:p>
        </w:tc>
        <w:tc>
          <w:tcPr>
            <w:tcW w:w="2551" w:type="dxa"/>
          </w:tcPr>
          <w:p w14:paraId="5C5F64CC" w14:textId="77777777" w:rsidR="00E07359" w:rsidRPr="00E07359" w:rsidRDefault="00E07359" w:rsidP="00814450">
            <w:pPr>
              <w:spacing w:before="120" w:after="120"/>
              <w:jc w:val="center"/>
              <w:rPr>
                <w:b/>
                <w:bCs/>
                <w:sz w:val="22"/>
                <w:szCs w:val="22"/>
              </w:rPr>
            </w:pPr>
            <w:r w:rsidRPr="00E07359">
              <w:rPr>
                <w:b/>
                <w:bCs/>
                <w:sz w:val="22"/>
                <w:szCs w:val="22"/>
              </w:rPr>
              <w:t>Nursing regulatory body</w:t>
            </w:r>
          </w:p>
        </w:tc>
      </w:tr>
      <w:tr w:rsidR="00E07359" w:rsidRPr="00805F67" w14:paraId="2E2A6436" w14:textId="77777777" w:rsidTr="00814450">
        <w:tc>
          <w:tcPr>
            <w:tcW w:w="1199" w:type="dxa"/>
          </w:tcPr>
          <w:p w14:paraId="7EDCD90E" w14:textId="77777777" w:rsidR="00E07359" w:rsidRPr="00E07359" w:rsidRDefault="00E07359" w:rsidP="00814450">
            <w:pPr>
              <w:spacing w:before="120" w:after="120"/>
              <w:rPr>
                <w:b/>
                <w:bCs/>
                <w:sz w:val="22"/>
                <w:szCs w:val="22"/>
              </w:rPr>
            </w:pPr>
            <w:r w:rsidRPr="00E07359">
              <w:rPr>
                <w:b/>
                <w:bCs/>
                <w:sz w:val="22"/>
                <w:szCs w:val="22"/>
              </w:rPr>
              <w:t>Republic of Ireland (ROI)</w:t>
            </w:r>
          </w:p>
        </w:tc>
        <w:tc>
          <w:tcPr>
            <w:tcW w:w="4041" w:type="dxa"/>
          </w:tcPr>
          <w:p w14:paraId="797FDBA1" w14:textId="77777777" w:rsidR="00E07359" w:rsidRPr="00E07359" w:rsidRDefault="00E07359" w:rsidP="00814450">
            <w:pPr>
              <w:spacing w:before="120" w:after="120"/>
              <w:rPr>
                <w:sz w:val="22"/>
                <w:szCs w:val="22"/>
              </w:rPr>
            </w:pPr>
            <w:r w:rsidRPr="00E07359">
              <w:rPr>
                <w:sz w:val="22"/>
                <w:szCs w:val="22"/>
              </w:rPr>
              <w:t>Integrated Children’s &amp; General Nursing degree programme</w:t>
            </w:r>
          </w:p>
        </w:tc>
        <w:tc>
          <w:tcPr>
            <w:tcW w:w="1276" w:type="dxa"/>
          </w:tcPr>
          <w:p w14:paraId="39199EE8" w14:textId="77777777" w:rsidR="00E07359" w:rsidRPr="00E07359" w:rsidRDefault="00E07359" w:rsidP="00814450">
            <w:pPr>
              <w:spacing w:before="120" w:after="120"/>
              <w:rPr>
                <w:sz w:val="22"/>
                <w:szCs w:val="22"/>
              </w:rPr>
            </w:pPr>
            <w:r w:rsidRPr="00E07359">
              <w:rPr>
                <w:sz w:val="22"/>
                <w:szCs w:val="22"/>
              </w:rPr>
              <w:t>4.5 years full-time</w:t>
            </w:r>
          </w:p>
        </w:tc>
        <w:tc>
          <w:tcPr>
            <w:tcW w:w="2551" w:type="dxa"/>
          </w:tcPr>
          <w:p w14:paraId="26F20805" w14:textId="77777777" w:rsidR="00E07359" w:rsidRPr="00E07359" w:rsidRDefault="00E07359" w:rsidP="00814450">
            <w:pPr>
              <w:spacing w:before="120" w:after="120"/>
              <w:rPr>
                <w:sz w:val="22"/>
                <w:szCs w:val="22"/>
              </w:rPr>
            </w:pPr>
            <w:r w:rsidRPr="00E07359">
              <w:rPr>
                <w:sz w:val="22"/>
                <w:szCs w:val="22"/>
              </w:rPr>
              <w:t>Nursing and Midwifery Board of Ireland (NMBI)</w:t>
            </w:r>
          </w:p>
        </w:tc>
      </w:tr>
      <w:tr w:rsidR="00E07359" w:rsidRPr="00805F67" w14:paraId="00BF34F4" w14:textId="77777777" w:rsidTr="00814450">
        <w:tc>
          <w:tcPr>
            <w:tcW w:w="1199" w:type="dxa"/>
          </w:tcPr>
          <w:p w14:paraId="2B532E88" w14:textId="77777777" w:rsidR="00E07359" w:rsidRPr="00E07359" w:rsidRDefault="00E07359" w:rsidP="00814450">
            <w:pPr>
              <w:spacing w:before="120" w:after="120"/>
              <w:rPr>
                <w:b/>
                <w:bCs/>
                <w:sz w:val="22"/>
                <w:szCs w:val="22"/>
              </w:rPr>
            </w:pPr>
            <w:r w:rsidRPr="00E07359">
              <w:rPr>
                <w:b/>
                <w:bCs/>
                <w:sz w:val="22"/>
                <w:szCs w:val="22"/>
              </w:rPr>
              <w:t>United Kingdom (UK)</w:t>
            </w:r>
          </w:p>
        </w:tc>
        <w:tc>
          <w:tcPr>
            <w:tcW w:w="4041" w:type="dxa"/>
          </w:tcPr>
          <w:p w14:paraId="312CD2C0" w14:textId="77777777" w:rsidR="00E07359" w:rsidRPr="00E07359" w:rsidRDefault="00E07359" w:rsidP="00814450">
            <w:pPr>
              <w:spacing w:before="120" w:after="120"/>
              <w:rPr>
                <w:sz w:val="22"/>
                <w:szCs w:val="22"/>
              </w:rPr>
            </w:pPr>
            <w:r w:rsidRPr="00E07359">
              <w:rPr>
                <w:sz w:val="22"/>
                <w:szCs w:val="22"/>
              </w:rPr>
              <w:t>Children’s nursing degree programme</w:t>
            </w:r>
          </w:p>
        </w:tc>
        <w:tc>
          <w:tcPr>
            <w:tcW w:w="1276" w:type="dxa"/>
          </w:tcPr>
          <w:p w14:paraId="1F9DE432" w14:textId="77777777" w:rsidR="00E07359" w:rsidRPr="00E07359" w:rsidRDefault="00E07359" w:rsidP="00814450">
            <w:pPr>
              <w:spacing w:before="120" w:after="120"/>
              <w:rPr>
                <w:sz w:val="22"/>
                <w:szCs w:val="22"/>
              </w:rPr>
            </w:pPr>
            <w:r w:rsidRPr="00E07359">
              <w:rPr>
                <w:sz w:val="22"/>
                <w:szCs w:val="22"/>
              </w:rPr>
              <w:t>3 years</w:t>
            </w:r>
          </w:p>
          <w:p w14:paraId="074820D8" w14:textId="77777777" w:rsidR="00E07359" w:rsidRPr="00E07359" w:rsidRDefault="00E07359" w:rsidP="00814450">
            <w:pPr>
              <w:spacing w:before="120" w:after="120"/>
              <w:rPr>
                <w:sz w:val="22"/>
                <w:szCs w:val="22"/>
              </w:rPr>
            </w:pPr>
            <w:r w:rsidRPr="00E07359">
              <w:rPr>
                <w:sz w:val="22"/>
                <w:szCs w:val="22"/>
              </w:rPr>
              <w:t>full-time</w:t>
            </w:r>
          </w:p>
        </w:tc>
        <w:tc>
          <w:tcPr>
            <w:tcW w:w="2551" w:type="dxa"/>
          </w:tcPr>
          <w:p w14:paraId="7520A74D" w14:textId="77777777" w:rsidR="00E07359" w:rsidRPr="00E07359" w:rsidRDefault="00E07359" w:rsidP="00814450">
            <w:pPr>
              <w:spacing w:before="120" w:after="120"/>
              <w:rPr>
                <w:sz w:val="22"/>
                <w:szCs w:val="22"/>
              </w:rPr>
            </w:pPr>
            <w:r w:rsidRPr="00E07359">
              <w:rPr>
                <w:sz w:val="22"/>
                <w:szCs w:val="22"/>
              </w:rPr>
              <w:t>Nursing and Midwifery Council (NMC)</w:t>
            </w:r>
          </w:p>
        </w:tc>
      </w:tr>
    </w:tbl>
    <w:p w14:paraId="28640E12" w14:textId="77777777" w:rsidR="001B0D23" w:rsidRPr="001B0D23" w:rsidRDefault="001B0D23" w:rsidP="003C0B80">
      <w:pPr>
        <w:jc w:val="both"/>
        <w:rPr>
          <w:rFonts w:asciiTheme="minorHAnsi" w:hAnsiTheme="minorHAnsi" w:cstheme="minorHAnsi"/>
          <w:b/>
          <w:bCs/>
          <w:sz w:val="20"/>
          <w:szCs w:val="20"/>
        </w:rPr>
      </w:pPr>
    </w:p>
    <w:p w14:paraId="168A8A46" w14:textId="77777777" w:rsidR="003C0B80" w:rsidRPr="003C0B80" w:rsidRDefault="003C0B80" w:rsidP="003C0B80">
      <w:pPr>
        <w:jc w:val="both"/>
        <w:rPr>
          <w:rFonts w:asciiTheme="minorHAnsi" w:hAnsiTheme="minorHAnsi" w:cstheme="minorHAnsi"/>
        </w:rPr>
      </w:pPr>
    </w:p>
    <w:p w14:paraId="38A7825C" w14:textId="77777777" w:rsidR="00D3567B" w:rsidRDefault="00D3567B">
      <w:pPr>
        <w:pStyle w:val="Heading1"/>
        <w:rPr>
          <w:sz w:val="24"/>
          <w:szCs w:val="24"/>
        </w:rPr>
      </w:pPr>
      <w:r w:rsidRPr="00F4126F">
        <w:rPr>
          <w:sz w:val="24"/>
          <w:szCs w:val="24"/>
        </w:rPr>
        <w:t xml:space="preserve">Results </w:t>
      </w:r>
    </w:p>
    <w:p w14:paraId="6F75E1F8" w14:textId="77777777" w:rsidR="00724CC3" w:rsidRPr="00724CC3" w:rsidRDefault="00724CC3" w:rsidP="00724CC3">
      <w:pPr>
        <w:jc w:val="both"/>
        <w:rPr>
          <w:rFonts w:asciiTheme="minorHAnsi" w:hAnsiTheme="minorHAnsi" w:cstheme="minorHAnsi"/>
          <w:b/>
          <w:bCs/>
        </w:rPr>
      </w:pPr>
      <w:r w:rsidRPr="00724CC3">
        <w:rPr>
          <w:rFonts w:asciiTheme="minorHAnsi" w:hAnsiTheme="minorHAnsi" w:cstheme="minorHAnsi"/>
        </w:rPr>
        <w:t xml:space="preserve">Of the 63 undergraduate children’s nursing programme leads invited to participate from the ROI and the UK, 32 completed the survey (response rate 51%). Programme leads were asked to report their average annual student intake over the last five years, with most programmes reporting an intake of between 30-51 students (n=16, 50%), followed by 0-30 students (n=10, 31%), 61-90 students (n=4, 13%) and 91+ students (n=2, 6%). Results of the closed and open-ended responses will be reported alongside each other under the following headings: (1) Reported </w:t>
      </w:r>
      <w:r w:rsidRPr="00724CC3">
        <w:rPr>
          <w:rFonts w:asciiTheme="minorHAnsi" w:hAnsiTheme="minorHAnsi" w:cstheme="minorHAnsi"/>
          <w:i/>
          <w:iCs/>
        </w:rPr>
        <w:t xml:space="preserve">delivery </w:t>
      </w:r>
      <w:r w:rsidRPr="00724CC3">
        <w:rPr>
          <w:rFonts w:asciiTheme="minorHAnsi" w:hAnsiTheme="minorHAnsi" w:cstheme="minorHAnsi"/>
        </w:rPr>
        <w:t>(how)</w:t>
      </w:r>
      <w:r w:rsidRPr="00724CC3">
        <w:rPr>
          <w:rFonts w:asciiTheme="minorHAnsi" w:hAnsiTheme="minorHAnsi" w:cstheme="minorHAnsi"/>
          <w:i/>
          <w:iCs/>
        </w:rPr>
        <w:t xml:space="preserve"> </w:t>
      </w:r>
      <w:r w:rsidRPr="00724CC3">
        <w:rPr>
          <w:rFonts w:asciiTheme="minorHAnsi" w:hAnsiTheme="minorHAnsi" w:cstheme="minorHAnsi"/>
        </w:rPr>
        <w:t>and (2)</w:t>
      </w:r>
      <w:r w:rsidRPr="00724CC3">
        <w:rPr>
          <w:rFonts w:asciiTheme="minorHAnsi" w:hAnsiTheme="minorHAnsi" w:cstheme="minorHAnsi"/>
          <w:i/>
          <w:iCs/>
        </w:rPr>
        <w:t xml:space="preserve"> content</w:t>
      </w:r>
      <w:r w:rsidRPr="00724CC3">
        <w:rPr>
          <w:rFonts w:asciiTheme="minorHAnsi" w:hAnsiTheme="minorHAnsi" w:cstheme="minorHAnsi"/>
        </w:rPr>
        <w:t xml:space="preserve"> (what) of communication training within the undergraduate children’s nursing programme.</w:t>
      </w:r>
    </w:p>
    <w:p w14:paraId="186ADD69" w14:textId="77777777" w:rsidR="00724CC3" w:rsidRPr="00724CC3" w:rsidRDefault="00724CC3" w:rsidP="00724CC3">
      <w:pPr>
        <w:jc w:val="both"/>
        <w:rPr>
          <w:rFonts w:asciiTheme="minorHAnsi" w:hAnsiTheme="minorHAnsi" w:cstheme="minorHAnsi"/>
        </w:rPr>
      </w:pPr>
    </w:p>
    <w:p w14:paraId="56BCB16D" w14:textId="77777777" w:rsidR="00724CC3" w:rsidRPr="00724CC3" w:rsidRDefault="00724CC3" w:rsidP="00724CC3">
      <w:pPr>
        <w:jc w:val="both"/>
        <w:rPr>
          <w:rFonts w:asciiTheme="minorHAnsi" w:hAnsiTheme="minorHAnsi" w:cstheme="minorHAnsi"/>
        </w:rPr>
      </w:pPr>
      <w:r w:rsidRPr="00724CC3">
        <w:rPr>
          <w:rFonts w:asciiTheme="minorHAnsi" w:hAnsiTheme="minorHAnsi" w:cstheme="minorHAnsi"/>
          <w:b/>
          <w:bCs/>
        </w:rPr>
        <w:t>4.1 Delivery of communication teaching and training: the ‘how’ in undergraduate nursing programmes.</w:t>
      </w:r>
    </w:p>
    <w:p w14:paraId="1FEF89DA" w14:textId="77777777" w:rsidR="00724CC3" w:rsidRDefault="00724CC3" w:rsidP="00724CC3">
      <w:pPr>
        <w:jc w:val="both"/>
        <w:rPr>
          <w:rFonts w:asciiTheme="minorHAnsi" w:hAnsiTheme="minorHAnsi" w:cstheme="minorHAnsi"/>
        </w:rPr>
      </w:pPr>
      <w:r w:rsidRPr="00724CC3">
        <w:rPr>
          <w:rFonts w:asciiTheme="minorHAnsi" w:hAnsiTheme="minorHAnsi" w:cstheme="minorHAnsi"/>
        </w:rPr>
        <w:t>Programme leads were asked to provide details about how communication training was currently delivered within their undergraduate children’s nursing programme (Figure 1), with reports of distinct communication focused sessions and delivery being interwoven across various modules and academic and clinical assessments.</w:t>
      </w:r>
    </w:p>
    <w:p w14:paraId="4BD12807" w14:textId="77777777" w:rsidR="00861F7E" w:rsidRDefault="00861F7E" w:rsidP="00724CC3">
      <w:pPr>
        <w:jc w:val="both"/>
        <w:rPr>
          <w:rFonts w:asciiTheme="minorHAnsi" w:hAnsiTheme="minorHAnsi" w:cstheme="minorHAnsi"/>
        </w:rPr>
      </w:pPr>
    </w:p>
    <w:p w14:paraId="3E0F2995" w14:textId="77777777" w:rsidR="00CE2E32" w:rsidRPr="00724CC3" w:rsidRDefault="00CE2E32" w:rsidP="00CE2E32">
      <w:pPr>
        <w:jc w:val="both"/>
        <w:rPr>
          <w:rFonts w:asciiTheme="minorHAnsi" w:hAnsiTheme="minorHAnsi" w:cstheme="minorHAnsi"/>
        </w:rPr>
      </w:pPr>
      <w:r w:rsidRPr="00724CC3">
        <w:rPr>
          <w:rFonts w:asciiTheme="minorHAnsi" w:hAnsiTheme="minorHAnsi" w:cstheme="minorHAnsi"/>
        </w:rPr>
        <w:t xml:space="preserve">Over half of programme leads reported (n=19, 59%) that specific modules or sessions </w:t>
      </w:r>
      <w:r w:rsidRPr="00724CC3">
        <w:rPr>
          <w:rFonts w:asciiTheme="minorHAnsi" w:hAnsiTheme="minorHAnsi" w:cstheme="minorHAnsi"/>
          <w:i/>
          <w:iCs/>
        </w:rPr>
        <w:t>dedicated to communication training</w:t>
      </w:r>
      <w:r w:rsidRPr="00724CC3">
        <w:rPr>
          <w:rFonts w:asciiTheme="minorHAnsi" w:hAnsiTheme="minorHAnsi" w:cstheme="minorHAnsi"/>
        </w:rPr>
        <w:t xml:space="preserve"> were delivered. Ten programme leads (31%) responded that specific modules on communication were not delivered and three (9%) selected ‘other’, stating that communication training was a part of core modules shared across nursing disciplines in year 1 of undergraduate programmes. </w:t>
      </w:r>
    </w:p>
    <w:p w14:paraId="5F64287A" w14:textId="77777777" w:rsidR="00CE2E32" w:rsidRDefault="00CE2E32" w:rsidP="00724CC3">
      <w:pPr>
        <w:jc w:val="both"/>
        <w:rPr>
          <w:rFonts w:asciiTheme="minorHAnsi" w:hAnsiTheme="minorHAnsi" w:cstheme="minorHAnsi"/>
        </w:rPr>
      </w:pPr>
    </w:p>
    <w:p w14:paraId="3A34B142" w14:textId="77777777" w:rsidR="00CE2E32" w:rsidRDefault="00CE2E32" w:rsidP="00724CC3">
      <w:pPr>
        <w:jc w:val="both"/>
        <w:rPr>
          <w:rFonts w:asciiTheme="minorHAnsi" w:hAnsiTheme="minorHAnsi" w:cstheme="minorHAnsi"/>
        </w:rPr>
      </w:pPr>
      <w:r w:rsidRPr="00724CC3">
        <w:rPr>
          <w:rFonts w:asciiTheme="minorHAnsi" w:hAnsiTheme="minorHAnsi" w:cstheme="minorHAnsi"/>
        </w:rPr>
        <w:t>The majority of programme leads (n=26, 81%) reported that communication training was ‘integrated throughout other modules or sessions’ within the undergraduate children’s nursing programme. Four programme leads (13%) responded that communication training was not integrated through other modules and two (6%) selected ‘other’, noting that communication training was provided in general nursing modules as well as modules specific to children’s nursing.</w:t>
      </w:r>
    </w:p>
    <w:p w14:paraId="7A60B2EA" w14:textId="77777777" w:rsidR="00CE2E32" w:rsidRDefault="00CE2E32" w:rsidP="00724CC3">
      <w:pPr>
        <w:jc w:val="both"/>
        <w:rPr>
          <w:rFonts w:asciiTheme="minorHAnsi" w:hAnsiTheme="minorHAnsi" w:cstheme="minorHAnsi"/>
        </w:rPr>
      </w:pPr>
    </w:p>
    <w:p w14:paraId="496E32E0" w14:textId="1281031A" w:rsidR="00861F7E" w:rsidRDefault="00AE45B5" w:rsidP="00724CC3">
      <w:pPr>
        <w:jc w:val="both"/>
        <w:rPr>
          <w:rFonts w:asciiTheme="minorHAnsi" w:hAnsiTheme="minorHAnsi" w:cstheme="minorHAnsi"/>
          <w:b/>
          <w:bCs/>
          <w:sz w:val="20"/>
          <w:szCs w:val="20"/>
        </w:rPr>
      </w:pPr>
      <w:r w:rsidRPr="00AE45B5">
        <w:rPr>
          <w:rFonts w:asciiTheme="minorHAnsi" w:hAnsiTheme="minorHAnsi" w:cstheme="minorHAnsi"/>
          <w:b/>
          <w:bCs/>
          <w:sz w:val="20"/>
          <w:szCs w:val="20"/>
        </w:rPr>
        <w:lastRenderedPageBreak/>
        <w:t>Figure 1: Overview of reported communication training within undergraduate nursing provision for children’s nurses.</w:t>
      </w:r>
    </w:p>
    <w:p w14:paraId="693A5CE9" w14:textId="77777777" w:rsidR="00CE2E32" w:rsidRPr="00CE2E32" w:rsidRDefault="00CE2E32" w:rsidP="00724CC3">
      <w:pPr>
        <w:jc w:val="both"/>
        <w:rPr>
          <w:rFonts w:asciiTheme="minorHAnsi" w:hAnsiTheme="minorHAnsi" w:cstheme="minorHAnsi"/>
        </w:rPr>
      </w:pPr>
    </w:p>
    <w:p w14:paraId="5BBD9D10" w14:textId="2B72A2CD" w:rsidR="00AE45B5" w:rsidRPr="00AE45B5" w:rsidRDefault="00CE2E32" w:rsidP="00724CC3">
      <w:pPr>
        <w:jc w:val="both"/>
        <w:rPr>
          <w:rFonts w:asciiTheme="minorHAnsi" w:hAnsiTheme="minorHAnsi" w:cstheme="minorHAnsi"/>
          <w:b/>
          <w:bCs/>
          <w:sz w:val="20"/>
          <w:szCs w:val="20"/>
        </w:rPr>
      </w:pPr>
      <w:r>
        <w:rPr>
          <w:noProof/>
          <w14:ligatures w14:val="standardContextual"/>
        </w:rPr>
        <w:drawing>
          <wp:inline distT="0" distB="0" distL="0" distR="0" wp14:anchorId="67DC67D0" wp14:editId="4E118702">
            <wp:extent cx="5274945" cy="6465471"/>
            <wp:effectExtent l="0" t="19050" r="0" b="12065"/>
            <wp:docPr id="205928279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2DBE3E16" w14:textId="77777777" w:rsidR="00724CC3" w:rsidRPr="00724CC3" w:rsidRDefault="00724CC3" w:rsidP="00724CC3">
      <w:pPr>
        <w:jc w:val="both"/>
        <w:rPr>
          <w:rFonts w:asciiTheme="minorHAnsi" w:hAnsiTheme="minorHAnsi" w:cstheme="minorHAnsi"/>
        </w:rPr>
      </w:pPr>
    </w:p>
    <w:p w14:paraId="711530F1" w14:textId="77777777" w:rsidR="00724CC3" w:rsidRPr="00724CC3" w:rsidRDefault="00724CC3" w:rsidP="00724CC3">
      <w:pPr>
        <w:jc w:val="both"/>
        <w:rPr>
          <w:rFonts w:asciiTheme="minorHAnsi" w:hAnsiTheme="minorHAnsi" w:cstheme="minorHAnsi"/>
        </w:rPr>
      </w:pPr>
    </w:p>
    <w:p w14:paraId="55038AE8" w14:textId="77777777" w:rsidR="00724CC3" w:rsidRPr="00724CC3" w:rsidRDefault="00724CC3" w:rsidP="00724CC3">
      <w:pPr>
        <w:jc w:val="both"/>
        <w:rPr>
          <w:rFonts w:asciiTheme="minorHAnsi" w:hAnsiTheme="minorHAnsi" w:cstheme="minorHAnsi"/>
        </w:rPr>
      </w:pPr>
      <w:r w:rsidRPr="00724CC3">
        <w:rPr>
          <w:rFonts w:asciiTheme="minorHAnsi" w:hAnsiTheme="minorHAnsi" w:cstheme="minorHAnsi"/>
        </w:rPr>
        <w:t xml:space="preserve">Addressing where communication training features in undergraduate children’s nursing curriculum, 16 programme leads (50%) reported its inclusion within core communication modules delivered to all nursing disciplines (not solely undergraduate children’s nursing) within the first year. With a strong focus on core principles of communication in year 1, programme leads observed that child-centred communication training is expanded on in year 2 and years 3-4.5. Communication training was reported as covered within specialised modules such as leadership, end of life care and module specific child-centred nursing care (n=7, 22%). </w:t>
      </w:r>
    </w:p>
    <w:p w14:paraId="03F4BBC7" w14:textId="77777777" w:rsidR="00724CC3" w:rsidRPr="00724CC3" w:rsidRDefault="00724CC3" w:rsidP="00724CC3">
      <w:pPr>
        <w:jc w:val="both"/>
        <w:rPr>
          <w:rFonts w:asciiTheme="minorHAnsi" w:hAnsiTheme="minorHAnsi" w:cstheme="minorHAnsi"/>
        </w:rPr>
      </w:pPr>
    </w:p>
    <w:p w14:paraId="5ED47E6F" w14:textId="77777777" w:rsidR="00724CC3" w:rsidRPr="00724CC3" w:rsidRDefault="00724CC3" w:rsidP="00724CC3">
      <w:pPr>
        <w:jc w:val="both"/>
        <w:rPr>
          <w:rFonts w:asciiTheme="minorHAnsi" w:hAnsiTheme="minorHAnsi" w:cstheme="minorHAnsi"/>
        </w:rPr>
      </w:pPr>
      <w:r w:rsidRPr="00724CC3">
        <w:rPr>
          <w:rFonts w:asciiTheme="minorHAnsi" w:hAnsiTheme="minorHAnsi" w:cstheme="minorHAnsi"/>
        </w:rPr>
        <w:t>The responses show that child-centred modules are not always facilitated each year of the undergraduate children’s nursing programme, with one programme lead stating that ‘</w:t>
      </w:r>
      <w:r w:rsidRPr="00724CC3">
        <w:rPr>
          <w:rFonts w:asciiTheme="minorHAnsi" w:hAnsiTheme="minorHAnsi" w:cstheme="minorHAnsi"/>
          <w:i/>
          <w:iCs/>
        </w:rPr>
        <w:t>the importance of teaching child centred communication from the first year through to the third year - this is what our students are not getting’</w:t>
      </w:r>
      <w:r w:rsidRPr="00724CC3">
        <w:rPr>
          <w:rFonts w:asciiTheme="minorHAnsi" w:hAnsiTheme="minorHAnsi" w:cstheme="minorHAnsi"/>
        </w:rPr>
        <w:t xml:space="preserve"> (P6). Out of 32 programme leads, only two (6%) identified a communication module which exclusively focused on communication with CYP and families in first year of the undergraduate children’s nursing programme.</w:t>
      </w:r>
    </w:p>
    <w:p w14:paraId="19034A8F" w14:textId="77777777" w:rsidR="00724CC3" w:rsidRPr="00724CC3" w:rsidRDefault="00724CC3" w:rsidP="00724CC3">
      <w:pPr>
        <w:jc w:val="both"/>
        <w:rPr>
          <w:rFonts w:asciiTheme="minorHAnsi" w:hAnsiTheme="minorHAnsi" w:cstheme="minorHAnsi"/>
        </w:rPr>
      </w:pPr>
    </w:p>
    <w:p w14:paraId="2E500872" w14:textId="77777777" w:rsidR="00724CC3" w:rsidRPr="00724CC3" w:rsidRDefault="00724CC3" w:rsidP="00724CC3">
      <w:pPr>
        <w:jc w:val="both"/>
        <w:rPr>
          <w:rFonts w:asciiTheme="minorHAnsi" w:hAnsiTheme="minorHAnsi" w:cstheme="minorHAnsi"/>
        </w:rPr>
      </w:pPr>
      <w:r w:rsidRPr="00724CC3">
        <w:rPr>
          <w:rFonts w:asciiTheme="minorHAnsi" w:hAnsiTheme="minorHAnsi" w:cstheme="minorHAnsi"/>
        </w:rPr>
        <w:t>A variety of teaching and learning strategies were reported as being used to provide communication training (Figure 2). Simulation-based education was the most widely reported teaching and learning strategy (n=20, 63%) with sixteen (50%) programme leads acknowledging simulation-based education as the preferred mode of delivery for communication training which ‘</w:t>
      </w:r>
      <w:r w:rsidRPr="00724CC3">
        <w:rPr>
          <w:rFonts w:asciiTheme="minorHAnsi" w:hAnsiTheme="minorHAnsi" w:cstheme="minorHAnsi"/>
          <w:i/>
          <w:iCs/>
        </w:rPr>
        <w:t>enable more practice and honing of skills. Especially where in clinical practice the opportunities are not available’</w:t>
      </w:r>
      <w:r w:rsidRPr="00724CC3">
        <w:rPr>
          <w:rFonts w:asciiTheme="minorHAnsi" w:hAnsiTheme="minorHAnsi" w:cstheme="minorHAnsi"/>
        </w:rPr>
        <w:t xml:space="preserve"> (P28). Programme leads reported the benefits of incorporating simulation-based education into their communication training, noting that children’s nursing students can ‘</w:t>
      </w:r>
      <w:r w:rsidRPr="00724CC3">
        <w:rPr>
          <w:rFonts w:asciiTheme="minorHAnsi" w:hAnsiTheme="minorHAnsi" w:cstheme="minorHAnsi"/>
          <w:i/>
          <w:iCs/>
        </w:rPr>
        <w:t>put concepts into practice and consider how they may feel or other things that may influence their communication’</w:t>
      </w:r>
      <w:r w:rsidRPr="00724CC3">
        <w:rPr>
          <w:rFonts w:asciiTheme="minorHAnsi" w:hAnsiTheme="minorHAnsi" w:cstheme="minorHAnsi"/>
        </w:rPr>
        <w:t xml:space="preserve"> (P7), allowing them ‘</w:t>
      </w:r>
      <w:r w:rsidRPr="00724CC3">
        <w:rPr>
          <w:rFonts w:asciiTheme="minorHAnsi" w:hAnsiTheme="minorHAnsi" w:cstheme="minorHAnsi"/>
          <w:i/>
          <w:iCs/>
        </w:rPr>
        <w:t>to understand themselves and the impact on others’</w:t>
      </w:r>
      <w:r w:rsidRPr="00724CC3">
        <w:rPr>
          <w:rFonts w:asciiTheme="minorHAnsi" w:hAnsiTheme="minorHAnsi" w:cstheme="minorHAnsi"/>
        </w:rPr>
        <w:t xml:space="preserve"> (P18). </w:t>
      </w:r>
    </w:p>
    <w:p w14:paraId="4F60D59B" w14:textId="77777777" w:rsidR="00724CC3" w:rsidRDefault="00724CC3" w:rsidP="00724CC3">
      <w:pPr>
        <w:jc w:val="both"/>
        <w:rPr>
          <w:rFonts w:asciiTheme="minorHAnsi" w:hAnsiTheme="minorHAnsi" w:cstheme="minorHAnsi"/>
        </w:rPr>
      </w:pPr>
    </w:p>
    <w:p w14:paraId="6C4FAB35" w14:textId="7B804913" w:rsidR="00CE2E32" w:rsidRDefault="00681C1D" w:rsidP="00724CC3">
      <w:pPr>
        <w:jc w:val="both"/>
        <w:rPr>
          <w:rFonts w:asciiTheme="minorHAnsi" w:hAnsiTheme="minorHAnsi" w:cstheme="minorHAnsi"/>
          <w:b/>
          <w:bCs/>
          <w:sz w:val="20"/>
          <w:szCs w:val="20"/>
        </w:rPr>
      </w:pPr>
      <w:r w:rsidRPr="00681C1D">
        <w:rPr>
          <w:rFonts w:asciiTheme="minorHAnsi" w:hAnsiTheme="minorHAnsi" w:cstheme="minorHAnsi"/>
          <w:b/>
          <w:bCs/>
          <w:sz w:val="20"/>
          <w:szCs w:val="20"/>
        </w:rPr>
        <w:t>Figure 2: Reported teaching and assessment methods used to deliver communication training organised according to (Hughes and Quinn, 2013) categories.</w:t>
      </w:r>
    </w:p>
    <w:p w14:paraId="6AF7C6B5" w14:textId="77777777" w:rsidR="00681C1D" w:rsidRDefault="00681C1D" w:rsidP="00724CC3">
      <w:pPr>
        <w:jc w:val="both"/>
        <w:rPr>
          <w:rFonts w:asciiTheme="minorHAnsi" w:hAnsiTheme="minorHAnsi" w:cstheme="minorHAnsi"/>
          <w:b/>
          <w:bCs/>
          <w:sz w:val="20"/>
          <w:szCs w:val="20"/>
        </w:rPr>
      </w:pPr>
    </w:p>
    <w:p w14:paraId="4EE88E8E" w14:textId="4AB1C643" w:rsidR="001655B6" w:rsidRPr="00681C1D" w:rsidRDefault="001655B6" w:rsidP="00724CC3">
      <w:pPr>
        <w:jc w:val="both"/>
        <w:rPr>
          <w:rFonts w:asciiTheme="minorHAnsi" w:hAnsiTheme="minorHAnsi" w:cstheme="minorHAnsi"/>
          <w:b/>
          <w:bCs/>
          <w:sz w:val="20"/>
          <w:szCs w:val="20"/>
        </w:rPr>
      </w:pPr>
      <w:r>
        <w:rPr>
          <w:noProof/>
          <w14:ligatures w14:val="standardContextual"/>
        </w:rPr>
        <w:drawing>
          <wp:inline distT="0" distB="0" distL="0" distR="0" wp14:anchorId="210FC8AA" wp14:editId="1A330551">
            <wp:extent cx="5274945" cy="2301433"/>
            <wp:effectExtent l="38100" t="0" r="40005" b="3810"/>
            <wp:docPr id="343337777" name="Diagram 34333777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52C65DA2" w14:textId="77777777" w:rsidR="00681C1D" w:rsidRDefault="00681C1D" w:rsidP="00724CC3">
      <w:pPr>
        <w:jc w:val="both"/>
        <w:rPr>
          <w:rFonts w:asciiTheme="minorHAnsi" w:hAnsiTheme="minorHAnsi" w:cstheme="minorHAnsi"/>
        </w:rPr>
      </w:pPr>
    </w:p>
    <w:p w14:paraId="27E7A0C6" w14:textId="77777777" w:rsidR="001655B6" w:rsidRPr="00724CC3" w:rsidRDefault="001655B6" w:rsidP="00724CC3">
      <w:pPr>
        <w:jc w:val="both"/>
        <w:rPr>
          <w:rFonts w:asciiTheme="minorHAnsi" w:hAnsiTheme="minorHAnsi" w:cstheme="minorHAnsi"/>
        </w:rPr>
      </w:pPr>
    </w:p>
    <w:p w14:paraId="50EF6D21" w14:textId="77777777" w:rsidR="00724CC3" w:rsidRPr="00724CC3" w:rsidRDefault="00724CC3" w:rsidP="00724CC3">
      <w:pPr>
        <w:jc w:val="both"/>
        <w:rPr>
          <w:rFonts w:asciiTheme="minorHAnsi" w:hAnsiTheme="minorHAnsi" w:cstheme="minorHAnsi"/>
        </w:rPr>
      </w:pPr>
      <w:r w:rsidRPr="00724CC3">
        <w:rPr>
          <w:rFonts w:asciiTheme="minorHAnsi" w:hAnsiTheme="minorHAnsi" w:cstheme="minorHAnsi"/>
        </w:rPr>
        <w:t>Programme leads (n=8, 25%) identified a need for further integration of simulation-based education into their communication training, incorporating more scenarios, role play and the use of CYP as standardised patients. Three (9%) programme leads stated that they are currently using standardised patients, however only one programme lead detailed that these involved CYP. Programme leads acknowledged that while there is ‘</w:t>
      </w:r>
      <w:r w:rsidRPr="00724CC3">
        <w:rPr>
          <w:rFonts w:asciiTheme="minorHAnsi" w:hAnsiTheme="minorHAnsi" w:cstheme="minorHAnsi"/>
          <w:i/>
          <w:iCs/>
        </w:rPr>
        <w:t>limited opportunity for simulated practice with CYP (due to the nature of the client group)</w:t>
      </w:r>
      <w:r w:rsidRPr="00724CC3">
        <w:rPr>
          <w:rFonts w:asciiTheme="minorHAnsi" w:hAnsiTheme="minorHAnsi" w:cstheme="minorHAnsi"/>
        </w:rPr>
        <w:t>’ (P15), there is a growing desire to include CYP in simulation-based education.</w:t>
      </w:r>
    </w:p>
    <w:p w14:paraId="0C3A7251" w14:textId="77777777" w:rsidR="00724CC3" w:rsidRPr="00724CC3" w:rsidRDefault="00724CC3" w:rsidP="00724CC3">
      <w:pPr>
        <w:jc w:val="both"/>
        <w:rPr>
          <w:rFonts w:asciiTheme="minorHAnsi" w:hAnsiTheme="minorHAnsi" w:cstheme="minorHAnsi"/>
        </w:rPr>
      </w:pPr>
    </w:p>
    <w:p w14:paraId="39405369" w14:textId="77777777" w:rsidR="00724CC3" w:rsidRPr="00724CC3" w:rsidRDefault="00724CC3" w:rsidP="00724CC3">
      <w:pPr>
        <w:rPr>
          <w:rFonts w:asciiTheme="minorHAnsi" w:hAnsiTheme="minorHAnsi" w:cstheme="minorHAnsi"/>
        </w:rPr>
      </w:pPr>
      <w:r w:rsidRPr="00724CC3">
        <w:rPr>
          <w:rFonts w:asciiTheme="minorHAnsi" w:hAnsiTheme="minorHAnsi" w:cstheme="minorHAnsi"/>
        </w:rPr>
        <w:lastRenderedPageBreak/>
        <w:t>“</w:t>
      </w:r>
      <w:r w:rsidRPr="00724CC3">
        <w:rPr>
          <w:rFonts w:asciiTheme="minorHAnsi" w:hAnsiTheme="minorHAnsi" w:cstheme="minorHAnsi"/>
          <w:i/>
          <w:iCs/>
        </w:rPr>
        <w:t>It is easy to practice communication with adults by role play but further exposure to communication 'sim' [Simulation-based education] sessions with real children would be good</w:t>
      </w:r>
      <w:r w:rsidRPr="00724CC3">
        <w:rPr>
          <w:rFonts w:asciiTheme="minorHAnsi" w:hAnsiTheme="minorHAnsi" w:cstheme="minorHAnsi"/>
        </w:rPr>
        <w:t>” (P17).</w:t>
      </w:r>
    </w:p>
    <w:p w14:paraId="73CCAFA5" w14:textId="77777777" w:rsidR="00724CC3" w:rsidRPr="00724CC3" w:rsidRDefault="00724CC3" w:rsidP="00724CC3">
      <w:pPr>
        <w:jc w:val="both"/>
        <w:rPr>
          <w:rFonts w:asciiTheme="minorHAnsi" w:hAnsiTheme="minorHAnsi" w:cstheme="minorHAnsi"/>
        </w:rPr>
      </w:pPr>
    </w:p>
    <w:p w14:paraId="0E7B383E" w14:textId="77777777" w:rsidR="00724CC3" w:rsidRPr="00724CC3" w:rsidRDefault="00724CC3" w:rsidP="00724CC3">
      <w:pPr>
        <w:jc w:val="both"/>
        <w:rPr>
          <w:rFonts w:asciiTheme="minorHAnsi" w:hAnsiTheme="minorHAnsi" w:cstheme="minorHAnsi"/>
        </w:rPr>
      </w:pPr>
      <w:r w:rsidRPr="00724CC3">
        <w:rPr>
          <w:rFonts w:asciiTheme="minorHAnsi" w:hAnsiTheme="minorHAnsi" w:cstheme="minorHAnsi"/>
        </w:rPr>
        <w:t>Programme leads cited logistical challenges in recruiting CYP to be involved in communication training (n=3, 9%) as well as ethical concerns (n=4, 13%).</w:t>
      </w:r>
    </w:p>
    <w:p w14:paraId="28295A32" w14:textId="77777777" w:rsidR="00724CC3" w:rsidRPr="00724CC3" w:rsidRDefault="00724CC3" w:rsidP="00724CC3">
      <w:pPr>
        <w:jc w:val="both"/>
        <w:rPr>
          <w:rFonts w:asciiTheme="minorHAnsi" w:hAnsiTheme="minorHAnsi" w:cstheme="minorHAnsi"/>
        </w:rPr>
      </w:pPr>
    </w:p>
    <w:p w14:paraId="5576086E" w14:textId="77777777" w:rsidR="00724CC3" w:rsidRPr="00724CC3" w:rsidRDefault="00724CC3" w:rsidP="00724CC3">
      <w:pPr>
        <w:rPr>
          <w:rFonts w:asciiTheme="minorHAnsi" w:hAnsiTheme="minorHAnsi" w:cstheme="minorHAnsi"/>
        </w:rPr>
      </w:pPr>
      <w:r w:rsidRPr="00724CC3">
        <w:rPr>
          <w:rFonts w:asciiTheme="minorHAnsi" w:hAnsiTheme="minorHAnsi" w:cstheme="minorHAnsi"/>
          <w:i/>
          <w:iCs/>
        </w:rPr>
        <w:t>“To involve lived experience but is challenging with young person age group but is an area we are aiming to address and have commenced enquires”</w:t>
      </w:r>
      <w:r w:rsidRPr="00724CC3">
        <w:rPr>
          <w:rFonts w:asciiTheme="minorHAnsi" w:hAnsiTheme="minorHAnsi" w:cstheme="minorHAnsi"/>
        </w:rPr>
        <w:t xml:space="preserve"> (P29).</w:t>
      </w:r>
    </w:p>
    <w:p w14:paraId="2C2E3CC1" w14:textId="77777777" w:rsidR="00724CC3" w:rsidRPr="00724CC3" w:rsidRDefault="00724CC3" w:rsidP="00724CC3">
      <w:pPr>
        <w:jc w:val="both"/>
        <w:rPr>
          <w:rFonts w:asciiTheme="minorHAnsi" w:hAnsiTheme="minorHAnsi" w:cstheme="minorHAnsi"/>
        </w:rPr>
      </w:pPr>
    </w:p>
    <w:p w14:paraId="04DD74F6" w14:textId="77777777" w:rsidR="00724CC3" w:rsidRPr="00724CC3" w:rsidRDefault="00724CC3" w:rsidP="00724CC3">
      <w:pPr>
        <w:jc w:val="both"/>
        <w:rPr>
          <w:rFonts w:asciiTheme="minorHAnsi" w:hAnsiTheme="minorHAnsi" w:cstheme="minorHAnsi"/>
        </w:rPr>
      </w:pPr>
      <w:r w:rsidRPr="00724CC3">
        <w:rPr>
          <w:rFonts w:asciiTheme="minorHAnsi" w:hAnsiTheme="minorHAnsi" w:cstheme="minorHAnsi"/>
        </w:rPr>
        <w:t>Additionally, programme leads referred to factors affecting how child-centred communication training was currently delivered in their undergraduate children’s nursing programme. Curriculum capacity (n=11, 34%), cost of resources (n=3, 9%), time (n=5, 16%) and nursing registration body’s standards (n=3, 9%) were all noted to impact on the delivery of child-centred communication training in HEIs. Programme leads noted that with programmes ‘</w:t>
      </w:r>
      <w:r w:rsidRPr="00724CC3">
        <w:rPr>
          <w:rFonts w:asciiTheme="minorHAnsi" w:hAnsiTheme="minorHAnsi" w:cstheme="minorHAnsi"/>
          <w:i/>
          <w:iCs/>
        </w:rPr>
        <w:t xml:space="preserve">very tightly packed … most of the students develop their communication skills in practice’ </w:t>
      </w:r>
      <w:r w:rsidRPr="00724CC3">
        <w:rPr>
          <w:rFonts w:asciiTheme="minorHAnsi" w:hAnsiTheme="minorHAnsi" w:cstheme="minorHAnsi"/>
        </w:rPr>
        <w:t>(P14). Clinical practice placement was perceived as an appropriate substitute for teaching child-centred communication within an academic environment (n=10, 31%), understanding that practical experience of communication training ‘</w:t>
      </w:r>
      <w:r w:rsidRPr="00724CC3">
        <w:rPr>
          <w:rFonts w:asciiTheme="minorHAnsi" w:hAnsiTheme="minorHAnsi" w:cstheme="minorHAnsi"/>
          <w:i/>
          <w:iCs/>
        </w:rPr>
        <w:t xml:space="preserve">would tend to take place on placement when students will be communicating with children of all ages’ </w:t>
      </w:r>
      <w:r w:rsidRPr="00724CC3">
        <w:rPr>
          <w:rFonts w:asciiTheme="minorHAnsi" w:hAnsiTheme="minorHAnsi" w:cstheme="minorHAnsi"/>
        </w:rPr>
        <w:t>(P27).</w:t>
      </w:r>
    </w:p>
    <w:p w14:paraId="3EDCA15D" w14:textId="77777777" w:rsidR="00724CC3" w:rsidRPr="00724CC3" w:rsidRDefault="00724CC3" w:rsidP="00724CC3">
      <w:pPr>
        <w:jc w:val="both"/>
        <w:rPr>
          <w:rFonts w:asciiTheme="minorHAnsi" w:hAnsiTheme="minorHAnsi" w:cstheme="minorHAnsi"/>
        </w:rPr>
      </w:pPr>
    </w:p>
    <w:p w14:paraId="312735C4" w14:textId="77777777" w:rsidR="00724CC3" w:rsidRPr="00724CC3" w:rsidRDefault="00724CC3" w:rsidP="00724CC3">
      <w:pPr>
        <w:rPr>
          <w:rFonts w:asciiTheme="minorHAnsi" w:hAnsiTheme="minorHAnsi" w:cstheme="minorHAnsi"/>
        </w:rPr>
      </w:pPr>
      <w:r w:rsidRPr="00724CC3">
        <w:rPr>
          <w:rFonts w:asciiTheme="minorHAnsi" w:hAnsiTheme="minorHAnsi" w:cstheme="minorHAnsi"/>
        </w:rPr>
        <w:t>“</w:t>
      </w:r>
      <w:r w:rsidRPr="00724CC3">
        <w:rPr>
          <w:rFonts w:asciiTheme="minorHAnsi" w:hAnsiTheme="minorHAnsi" w:cstheme="minorHAnsi"/>
          <w:i/>
          <w:iCs/>
        </w:rPr>
        <w:t>This [</w:t>
      </w:r>
      <w:r w:rsidRPr="00724CC3">
        <w:rPr>
          <w:rFonts w:asciiTheme="minorHAnsi" w:hAnsiTheme="minorHAnsi" w:cstheme="minorHAnsi"/>
        </w:rPr>
        <w:t>communicating in clinical practice placement</w:t>
      </w:r>
      <w:r w:rsidRPr="00724CC3">
        <w:rPr>
          <w:rFonts w:asciiTheme="minorHAnsi" w:hAnsiTheme="minorHAnsi" w:cstheme="minorHAnsi"/>
          <w:i/>
          <w:iCs/>
        </w:rPr>
        <w:t>] is pretty much learning on the job</w:t>
      </w:r>
      <w:r w:rsidRPr="00724CC3">
        <w:rPr>
          <w:rFonts w:asciiTheme="minorHAnsi" w:hAnsiTheme="minorHAnsi" w:cstheme="minorHAnsi"/>
        </w:rPr>
        <w:t>” (P1).</w:t>
      </w:r>
    </w:p>
    <w:p w14:paraId="484676E5" w14:textId="77777777" w:rsidR="00724CC3" w:rsidRPr="00724CC3" w:rsidRDefault="00724CC3" w:rsidP="00724CC3">
      <w:pPr>
        <w:jc w:val="both"/>
        <w:rPr>
          <w:rFonts w:asciiTheme="minorHAnsi" w:hAnsiTheme="minorHAnsi" w:cstheme="minorHAnsi"/>
        </w:rPr>
      </w:pPr>
    </w:p>
    <w:p w14:paraId="524C0F19" w14:textId="77777777" w:rsidR="00724CC3" w:rsidRPr="00724CC3" w:rsidRDefault="00724CC3" w:rsidP="00724CC3">
      <w:pPr>
        <w:jc w:val="both"/>
        <w:rPr>
          <w:rFonts w:asciiTheme="minorHAnsi" w:hAnsiTheme="minorHAnsi" w:cstheme="minorHAnsi"/>
        </w:rPr>
      </w:pPr>
      <w:r w:rsidRPr="00724CC3">
        <w:rPr>
          <w:rFonts w:asciiTheme="minorHAnsi" w:hAnsiTheme="minorHAnsi" w:cstheme="minorHAnsi"/>
        </w:rPr>
        <w:t>Another factor, concerning how child-centred communication training was delivered, related to the experience of the educators. If educators, who had experience with CYP in healthcare, were not leading the sessions, ‘</w:t>
      </w:r>
      <w:r w:rsidRPr="00724CC3">
        <w:rPr>
          <w:rFonts w:asciiTheme="minorHAnsi" w:hAnsiTheme="minorHAnsi" w:cstheme="minorHAnsi"/>
          <w:i/>
          <w:iCs/>
        </w:rPr>
        <w:t>the information is all adult based’</w:t>
      </w:r>
      <w:r w:rsidRPr="00724CC3">
        <w:rPr>
          <w:rFonts w:asciiTheme="minorHAnsi" w:hAnsiTheme="minorHAnsi" w:cstheme="minorHAnsi"/>
        </w:rPr>
        <w:t xml:space="preserve"> (P15) and child focused communication was seen as overlooked and not addressed.</w:t>
      </w:r>
    </w:p>
    <w:p w14:paraId="4AEC1F1A" w14:textId="77777777" w:rsidR="00724CC3" w:rsidRPr="00724CC3" w:rsidRDefault="00724CC3" w:rsidP="00724CC3">
      <w:pPr>
        <w:jc w:val="center"/>
        <w:rPr>
          <w:rFonts w:asciiTheme="minorHAnsi" w:hAnsiTheme="minorHAnsi" w:cstheme="minorHAnsi"/>
        </w:rPr>
      </w:pPr>
    </w:p>
    <w:p w14:paraId="5F720D4C" w14:textId="77777777" w:rsidR="00724CC3" w:rsidRDefault="00724CC3" w:rsidP="00724CC3">
      <w:pPr>
        <w:rPr>
          <w:rFonts w:asciiTheme="minorHAnsi" w:hAnsiTheme="minorHAnsi" w:cstheme="minorHAnsi"/>
        </w:rPr>
      </w:pPr>
      <w:r w:rsidRPr="00724CC3">
        <w:rPr>
          <w:rFonts w:asciiTheme="minorHAnsi" w:hAnsiTheme="minorHAnsi" w:cstheme="minorHAnsi"/>
        </w:rPr>
        <w:t>“</w:t>
      </w:r>
      <w:r w:rsidRPr="00724CC3">
        <w:rPr>
          <w:rFonts w:asciiTheme="minorHAnsi" w:hAnsiTheme="minorHAnsi" w:cstheme="minorHAnsi"/>
          <w:i/>
          <w:iCs/>
        </w:rPr>
        <w:t>Many adult lecturers refuse to talk about CYP in general in class - students have told me this in verbal feedback, so they want field specificity they are not getting.”</w:t>
      </w:r>
      <w:r w:rsidRPr="00724CC3">
        <w:rPr>
          <w:rFonts w:asciiTheme="minorHAnsi" w:hAnsiTheme="minorHAnsi" w:cstheme="minorHAnsi"/>
        </w:rPr>
        <w:t xml:space="preserve"> (P13).</w:t>
      </w:r>
    </w:p>
    <w:p w14:paraId="2989FC12" w14:textId="77777777" w:rsidR="00705F6B" w:rsidRPr="00724CC3" w:rsidRDefault="00705F6B" w:rsidP="00724CC3">
      <w:pPr>
        <w:rPr>
          <w:rFonts w:asciiTheme="minorHAnsi" w:hAnsiTheme="minorHAnsi" w:cstheme="minorHAnsi"/>
        </w:rPr>
      </w:pPr>
    </w:p>
    <w:p w14:paraId="3575092E" w14:textId="77777777" w:rsidR="00724CC3" w:rsidRPr="00724CC3" w:rsidRDefault="00724CC3" w:rsidP="00724CC3">
      <w:pPr>
        <w:jc w:val="both"/>
        <w:rPr>
          <w:rFonts w:asciiTheme="minorHAnsi" w:hAnsiTheme="minorHAnsi" w:cstheme="minorHAnsi"/>
        </w:rPr>
      </w:pPr>
    </w:p>
    <w:p w14:paraId="65EE0B1E" w14:textId="77777777" w:rsidR="00724CC3" w:rsidRPr="00724CC3" w:rsidRDefault="00724CC3" w:rsidP="00724CC3">
      <w:pPr>
        <w:jc w:val="both"/>
        <w:rPr>
          <w:rFonts w:asciiTheme="minorHAnsi" w:hAnsiTheme="minorHAnsi" w:cstheme="minorHAnsi"/>
        </w:rPr>
      </w:pPr>
      <w:r w:rsidRPr="00724CC3">
        <w:rPr>
          <w:rFonts w:asciiTheme="minorHAnsi" w:hAnsiTheme="minorHAnsi" w:cstheme="minorHAnsi"/>
          <w:b/>
          <w:bCs/>
        </w:rPr>
        <w:t>4.2 Content included in communication teaching and training: the ‘what’ in undergraduate nursing programmes.</w:t>
      </w:r>
    </w:p>
    <w:p w14:paraId="782D5CD4" w14:textId="77777777" w:rsidR="00724CC3" w:rsidRPr="00724CC3" w:rsidRDefault="00724CC3" w:rsidP="00724CC3">
      <w:pPr>
        <w:jc w:val="both"/>
        <w:rPr>
          <w:rFonts w:asciiTheme="minorHAnsi" w:hAnsiTheme="minorHAnsi" w:cstheme="minorHAnsi"/>
        </w:rPr>
      </w:pPr>
      <w:r w:rsidRPr="00724CC3">
        <w:rPr>
          <w:rFonts w:asciiTheme="minorHAnsi" w:hAnsiTheme="minorHAnsi" w:cstheme="minorHAnsi"/>
        </w:rPr>
        <w:t xml:space="preserve">Programme leads provided a limited insight into what communication training content was currently being taught in their undergraduate children’s nursing programme. </w:t>
      </w:r>
    </w:p>
    <w:p w14:paraId="7F4F3689" w14:textId="77777777" w:rsidR="00724CC3" w:rsidRPr="00724CC3" w:rsidRDefault="00724CC3" w:rsidP="00724CC3">
      <w:pPr>
        <w:jc w:val="both"/>
        <w:rPr>
          <w:rFonts w:asciiTheme="minorHAnsi" w:hAnsiTheme="minorHAnsi" w:cstheme="minorHAnsi"/>
        </w:rPr>
      </w:pPr>
    </w:p>
    <w:p w14:paraId="1CEC19FC" w14:textId="77777777" w:rsidR="00724CC3" w:rsidRPr="00724CC3" w:rsidRDefault="00724CC3" w:rsidP="00724CC3">
      <w:pPr>
        <w:jc w:val="both"/>
        <w:rPr>
          <w:rFonts w:asciiTheme="minorHAnsi" w:hAnsiTheme="minorHAnsi" w:cstheme="minorHAnsi"/>
        </w:rPr>
      </w:pPr>
      <w:r w:rsidRPr="00724CC3">
        <w:rPr>
          <w:rFonts w:asciiTheme="minorHAnsi" w:hAnsiTheme="minorHAnsi" w:cstheme="minorHAnsi"/>
        </w:rPr>
        <w:t>However, programme leads described core communication content, delivered in year 1, as providing a foundation for general communication principles and practices in healthcare (n=9, n=28%). Programme leads felt the delivery of core communication modules to all nursing disciplines (n=20, 63%) worked particularly well, reporting that focusing communication training solely on CYP could ‘</w:t>
      </w:r>
      <w:r w:rsidRPr="00724CC3">
        <w:rPr>
          <w:rFonts w:asciiTheme="minorHAnsi" w:hAnsiTheme="minorHAnsi" w:cstheme="minorHAnsi"/>
          <w:i/>
          <w:iCs/>
        </w:rPr>
        <w:t>potentially limit this exposure and subsequent benefit</w:t>
      </w:r>
      <w:r w:rsidRPr="00724CC3">
        <w:rPr>
          <w:rFonts w:asciiTheme="minorHAnsi" w:hAnsiTheme="minorHAnsi" w:cstheme="minorHAnsi"/>
        </w:rPr>
        <w:t>’ (P16). The importance of interprofessional communication training was seen as helpful as ‘</w:t>
      </w:r>
      <w:r w:rsidRPr="00724CC3">
        <w:rPr>
          <w:rFonts w:asciiTheme="minorHAnsi" w:hAnsiTheme="minorHAnsi" w:cstheme="minorHAnsi"/>
          <w:i/>
          <w:iCs/>
        </w:rPr>
        <w:t xml:space="preserve">there is a need to have a range of communication strategies given that there is a need to deal with children, young people and their </w:t>
      </w:r>
      <w:r w:rsidRPr="00724CC3">
        <w:rPr>
          <w:rFonts w:asciiTheme="minorHAnsi" w:hAnsiTheme="minorHAnsi" w:cstheme="minorHAnsi"/>
          <w:i/>
          <w:iCs/>
        </w:rPr>
        <w:lastRenderedPageBreak/>
        <w:t xml:space="preserve">families from a range of backgrounds and cultures’ </w:t>
      </w:r>
      <w:r w:rsidRPr="00724CC3">
        <w:rPr>
          <w:rFonts w:asciiTheme="minorHAnsi" w:hAnsiTheme="minorHAnsi" w:cstheme="minorHAnsi"/>
        </w:rPr>
        <w:t>(P16). However, one programme lead reported that core communication delivered to all nursing disciplines lacked ‘</w:t>
      </w:r>
      <w:r w:rsidRPr="00724CC3">
        <w:rPr>
          <w:rFonts w:asciiTheme="minorHAnsi" w:hAnsiTheme="minorHAnsi" w:cstheme="minorHAnsi"/>
          <w:i/>
          <w:iCs/>
        </w:rPr>
        <w:t>child specific</w:t>
      </w:r>
      <w:r w:rsidRPr="00724CC3">
        <w:rPr>
          <w:rFonts w:asciiTheme="minorHAnsi" w:hAnsiTheme="minorHAnsi" w:cstheme="minorHAnsi"/>
        </w:rPr>
        <w:t>’ content as nursing regulatory authorities’ standards and requirements informing this ‘</w:t>
      </w:r>
      <w:r w:rsidRPr="00724CC3">
        <w:rPr>
          <w:rFonts w:asciiTheme="minorHAnsi" w:hAnsiTheme="minorHAnsi" w:cstheme="minorHAnsi"/>
          <w:i/>
          <w:iCs/>
        </w:rPr>
        <w:t>are so generic’</w:t>
      </w:r>
      <w:r w:rsidRPr="00724CC3">
        <w:rPr>
          <w:rFonts w:asciiTheme="minorHAnsi" w:hAnsiTheme="minorHAnsi" w:cstheme="minorHAnsi"/>
        </w:rPr>
        <w:t xml:space="preserve"> (P24). With an understanding that CYP will use a broad spectrum of healthcare services, it was identified as ‘</w:t>
      </w:r>
      <w:r w:rsidRPr="00724CC3">
        <w:rPr>
          <w:rFonts w:asciiTheme="minorHAnsi" w:hAnsiTheme="minorHAnsi" w:cstheme="minorHAnsi"/>
          <w:i/>
          <w:iCs/>
        </w:rPr>
        <w:t xml:space="preserve">probably essential that communication with CYP should be delivered to all fields’ </w:t>
      </w:r>
      <w:r w:rsidRPr="00724CC3">
        <w:rPr>
          <w:rFonts w:asciiTheme="minorHAnsi" w:hAnsiTheme="minorHAnsi" w:cstheme="minorHAnsi"/>
        </w:rPr>
        <w:t>(P1) of nursing, further noting ‘</w:t>
      </w:r>
      <w:r w:rsidRPr="00724CC3">
        <w:rPr>
          <w:rFonts w:asciiTheme="minorHAnsi" w:hAnsiTheme="minorHAnsi" w:cstheme="minorHAnsi"/>
          <w:i/>
          <w:iCs/>
        </w:rPr>
        <w:t xml:space="preserve">possibly more so as their connection with CYP will not be as frequent as CYP trained nurses’ </w:t>
      </w:r>
      <w:r w:rsidRPr="00724CC3">
        <w:rPr>
          <w:rFonts w:asciiTheme="minorHAnsi" w:hAnsiTheme="minorHAnsi" w:cstheme="minorHAnsi"/>
        </w:rPr>
        <w:t>(P1).</w:t>
      </w:r>
    </w:p>
    <w:p w14:paraId="28ADA7E6" w14:textId="77777777" w:rsidR="00724CC3" w:rsidRPr="00724CC3" w:rsidRDefault="00724CC3" w:rsidP="00724CC3">
      <w:pPr>
        <w:jc w:val="both"/>
        <w:rPr>
          <w:rFonts w:asciiTheme="minorHAnsi" w:hAnsiTheme="minorHAnsi" w:cstheme="minorHAnsi"/>
        </w:rPr>
      </w:pPr>
    </w:p>
    <w:p w14:paraId="290EE3BE" w14:textId="77777777" w:rsidR="00724CC3" w:rsidRPr="00724CC3" w:rsidRDefault="00724CC3" w:rsidP="00724CC3">
      <w:pPr>
        <w:jc w:val="both"/>
        <w:rPr>
          <w:rFonts w:asciiTheme="minorHAnsi" w:hAnsiTheme="minorHAnsi" w:cstheme="minorHAnsi"/>
        </w:rPr>
      </w:pPr>
      <w:r w:rsidRPr="00724CC3">
        <w:rPr>
          <w:rFonts w:asciiTheme="minorHAnsi" w:hAnsiTheme="minorHAnsi" w:cstheme="minorHAnsi"/>
        </w:rPr>
        <w:t>In relation to child-centred modules, some programme leads (n=12, 38%) noted that communication training was facilitated primarily alongside content such as stages of child development, child and family centred care as well as content relating to augmentative and alternative communication such as Makaton and Sign Language. Delivery of augmentative and alternative communication content in undergraduate children’s nursing programmes was noted by programme leads as an aspect of their communication training that they feel works well (n=6, 19%). When asked how communication training could be improved, a few programme leads (n=3, 9%) drew attention to augmentative and alternative communication, noting that implementation comes down to ‘funding and space in the curriculum’ (P20). Communicating with CYP with mental health and ‘</w:t>
      </w:r>
      <w:r w:rsidRPr="00724CC3">
        <w:rPr>
          <w:rFonts w:asciiTheme="minorHAnsi" w:hAnsiTheme="minorHAnsi" w:cstheme="minorHAnsi"/>
          <w:i/>
          <w:iCs/>
        </w:rPr>
        <w:t>challenging behaviours’</w:t>
      </w:r>
      <w:r w:rsidRPr="00724CC3">
        <w:rPr>
          <w:rFonts w:asciiTheme="minorHAnsi" w:hAnsiTheme="minorHAnsi" w:cstheme="minorHAnsi"/>
        </w:rPr>
        <w:t xml:space="preserve"> (n=3, 9%) and inclusion of the voice of the child (n=5, 15.6%), was also identified as content that some programme leads felt could be improved in undergraduate communication training.</w:t>
      </w:r>
    </w:p>
    <w:p w14:paraId="3B43CAE9" w14:textId="77777777" w:rsidR="00724CC3" w:rsidRPr="00724CC3" w:rsidRDefault="00724CC3" w:rsidP="00724CC3">
      <w:pPr>
        <w:jc w:val="center"/>
        <w:rPr>
          <w:rFonts w:asciiTheme="minorHAnsi" w:hAnsiTheme="minorHAnsi" w:cstheme="minorHAnsi"/>
        </w:rPr>
      </w:pPr>
    </w:p>
    <w:p w14:paraId="32CC3326" w14:textId="77777777" w:rsidR="00724CC3" w:rsidRPr="00724CC3" w:rsidRDefault="00724CC3" w:rsidP="00724CC3">
      <w:pPr>
        <w:rPr>
          <w:rFonts w:asciiTheme="minorHAnsi" w:hAnsiTheme="minorHAnsi" w:cstheme="minorHAnsi"/>
        </w:rPr>
      </w:pPr>
      <w:r w:rsidRPr="00724CC3">
        <w:rPr>
          <w:rFonts w:asciiTheme="minorHAnsi" w:hAnsiTheme="minorHAnsi" w:cstheme="minorHAnsi"/>
          <w:i/>
          <w:iCs/>
        </w:rPr>
        <w:t>“I think we need to develop this further to include communicating with CYP as if we don't communicate with them then we can’t capture the voice</w:t>
      </w:r>
      <w:r w:rsidRPr="00724CC3">
        <w:rPr>
          <w:rFonts w:asciiTheme="minorHAnsi" w:hAnsiTheme="minorHAnsi" w:cstheme="minorHAnsi"/>
        </w:rPr>
        <w:t>” (P27).</w:t>
      </w:r>
    </w:p>
    <w:p w14:paraId="5ED2FEDC" w14:textId="77777777" w:rsidR="00724CC3" w:rsidRPr="00724CC3" w:rsidRDefault="00724CC3" w:rsidP="00724CC3">
      <w:pPr>
        <w:jc w:val="both"/>
        <w:rPr>
          <w:rFonts w:asciiTheme="minorHAnsi" w:hAnsiTheme="minorHAnsi" w:cstheme="minorHAnsi"/>
        </w:rPr>
      </w:pPr>
    </w:p>
    <w:p w14:paraId="5F8837C1" w14:textId="77777777" w:rsidR="00724CC3" w:rsidRPr="00724CC3" w:rsidRDefault="00724CC3" w:rsidP="00724CC3">
      <w:pPr>
        <w:jc w:val="both"/>
        <w:rPr>
          <w:rFonts w:asciiTheme="minorHAnsi" w:hAnsiTheme="minorHAnsi" w:cstheme="minorHAnsi"/>
        </w:rPr>
      </w:pPr>
      <w:r w:rsidRPr="00724CC3">
        <w:rPr>
          <w:rFonts w:asciiTheme="minorHAnsi" w:hAnsiTheme="minorHAnsi" w:cstheme="minorHAnsi"/>
        </w:rPr>
        <w:t>While not the direct voice of the child, one programme lead shared that they support the delivery of parent-led lectures, with parents discussing their experience of having a child in hospital, while another programme lead shared the facilitation of sessions where children’s nursing students receive feedback on their communication abilities from young adult actors with learning disabilities.</w:t>
      </w:r>
    </w:p>
    <w:p w14:paraId="77A77D11" w14:textId="77777777" w:rsidR="00724CC3" w:rsidRPr="00724CC3" w:rsidRDefault="00724CC3" w:rsidP="00724CC3"/>
    <w:p w14:paraId="38A7825D" w14:textId="77777777" w:rsidR="00D3567B" w:rsidRPr="00F4126F" w:rsidRDefault="00D3567B">
      <w:pPr>
        <w:rPr>
          <w:rFonts w:ascii="Arial" w:hAnsi="Arial" w:cs="Arial"/>
        </w:rPr>
      </w:pPr>
    </w:p>
    <w:p w14:paraId="38A7825E" w14:textId="77777777" w:rsidR="00D3567B" w:rsidRPr="00F4126F" w:rsidRDefault="00D3567B">
      <w:pPr>
        <w:pStyle w:val="Heading1"/>
        <w:rPr>
          <w:sz w:val="24"/>
          <w:szCs w:val="24"/>
        </w:rPr>
      </w:pPr>
      <w:r w:rsidRPr="00F4126F">
        <w:rPr>
          <w:sz w:val="24"/>
          <w:szCs w:val="24"/>
        </w:rPr>
        <w:t xml:space="preserve">Discussion </w:t>
      </w:r>
    </w:p>
    <w:p w14:paraId="7F8AC64D" w14:textId="77777777" w:rsidR="00CC30A9" w:rsidRPr="00CC30A9" w:rsidRDefault="00CC30A9" w:rsidP="00CC30A9">
      <w:pPr>
        <w:jc w:val="both"/>
        <w:rPr>
          <w:rFonts w:asciiTheme="minorHAnsi" w:hAnsiTheme="minorHAnsi" w:cstheme="minorHAnsi"/>
        </w:rPr>
      </w:pPr>
      <w:r w:rsidRPr="00CC30A9">
        <w:rPr>
          <w:rFonts w:asciiTheme="minorHAnsi" w:hAnsiTheme="minorHAnsi" w:cstheme="minorHAnsi"/>
        </w:rPr>
        <w:t xml:space="preserve">The aim of this study has been to explore and scope out the current reported delivery and content of communication training in undergraduate children’s nursing programmes across the ROI and the UK. Programme leads provided insight on current communication curricula, highlighting examples of innovative teaching and learning strategies, but also tensions and gaps in the delivery and content of child-centred communication curricula. The findings re-enforce that communication training continues to be an important element within undergraduate children’s nursing programmes (Reid-Searl et al., 2021). This is important as good communication can underpin every interaction of nursing practice in healthcare (Kerr et al., 2020). </w:t>
      </w:r>
    </w:p>
    <w:p w14:paraId="09E664C6" w14:textId="77777777" w:rsidR="00CC30A9" w:rsidRPr="00CC30A9" w:rsidRDefault="00CC30A9" w:rsidP="00CC30A9">
      <w:pPr>
        <w:jc w:val="both"/>
        <w:rPr>
          <w:rFonts w:asciiTheme="minorHAnsi" w:hAnsiTheme="minorHAnsi" w:cstheme="minorHAnsi"/>
        </w:rPr>
      </w:pPr>
    </w:p>
    <w:p w14:paraId="66B4A983" w14:textId="77777777" w:rsidR="00CC30A9" w:rsidRPr="00CC30A9" w:rsidRDefault="00CC30A9" w:rsidP="00CC30A9">
      <w:pPr>
        <w:jc w:val="both"/>
        <w:rPr>
          <w:rFonts w:asciiTheme="minorHAnsi" w:hAnsiTheme="minorHAnsi" w:cstheme="minorHAnsi"/>
        </w:rPr>
      </w:pPr>
      <w:r w:rsidRPr="00CC30A9">
        <w:rPr>
          <w:rFonts w:asciiTheme="minorHAnsi" w:hAnsiTheme="minorHAnsi" w:cstheme="minorHAnsi"/>
        </w:rPr>
        <w:lastRenderedPageBreak/>
        <w:t>Whilst core communication modules were reported as being delivered within the first year of some undergraduate children’s nursing programmes, there was variability across programmes and reports of generic communication modules not meeting the specific needs of children’s nurses or being blended and dispersed across multiple modules. There is an international drive for the implementation of core communication curriculum across healthcare disciplines (Bachmann et al., 2013), with recognition that the content needs to be adaptable and responsive to changing population, societal needs (Kerr et al., 2022) and with the ability to address discipline specific skills (Wittenberg et al., 2021). This is important to address as without consensus or guidelines on a communication framework for delivery in undergraduate nursing programmes (Cannity et al., 2021), governed by nursing regulatory board standards and requirements, children’s nursing students will continue to graduate from HEI’s with varying levels of ability in communicating with CYP in healthcare (Kerr et al., 2022; Jestico and Finlay, 2017). To date, research on core communication curricula is primarily focused on undergraduate general nurse education (Bachmann et al., 2022),</w:t>
      </w:r>
      <w:r w:rsidRPr="00CC30A9">
        <w:rPr>
          <w:rFonts w:asciiTheme="minorHAnsi" w:hAnsiTheme="minorHAnsi" w:cstheme="minorHAnsi"/>
          <w:b/>
          <w:bCs/>
        </w:rPr>
        <w:t xml:space="preserve"> </w:t>
      </w:r>
      <w:r w:rsidRPr="00CC30A9">
        <w:rPr>
          <w:rFonts w:asciiTheme="minorHAnsi" w:hAnsiTheme="minorHAnsi" w:cstheme="minorHAnsi"/>
        </w:rPr>
        <w:t>highlighting a need for research dedicated to children’s nurse education.</w:t>
      </w:r>
    </w:p>
    <w:p w14:paraId="3BD7FF86" w14:textId="77777777" w:rsidR="00CC30A9" w:rsidRPr="00CC30A9" w:rsidRDefault="00CC30A9" w:rsidP="00CC30A9">
      <w:pPr>
        <w:jc w:val="both"/>
        <w:rPr>
          <w:rFonts w:asciiTheme="minorHAnsi" w:hAnsiTheme="minorHAnsi" w:cstheme="minorHAnsi"/>
        </w:rPr>
      </w:pPr>
    </w:p>
    <w:p w14:paraId="2BD1322C" w14:textId="504B700D" w:rsidR="00C0061B" w:rsidRDefault="00C0061B" w:rsidP="00C0061B">
      <w:pPr>
        <w:jc w:val="both"/>
        <w:rPr>
          <w:rFonts w:asciiTheme="minorHAnsi" w:hAnsiTheme="minorHAnsi" w:cstheme="minorHAnsi"/>
          <w:color w:val="FF0000"/>
        </w:rPr>
      </w:pPr>
      <w:r w:rsidRPr="00CC30A9">
        <w:rPr>
          <w:rFonts w:asciiTheme="minorHAnsi" w:hAnsiTheme="minorHAnsi" w:cstheme="minorHAnsi"/>
        </w:rPr>
        <w:t>The findings also highlight that programme leads encounter a lack of resources and time within the curriculum to deliver communication training in undergraduate children’s nursing programmes, with some relying on clinical practice to supplement children’s nursing students’ communication training with CYP. These challenges are already acknowledged within recent literature, showing the pressures within curriculum delivery (Wittenberg et al., 2021; Fawaz et al., 2018).</w:t>
      </w:r>
      <w:r>
        <w:rPr>
          <w:rFonts w:asciiTheme="minorHAnsi" w:hAnsiTheme="minorHAnsi" w:cstheme="minorHAnsi"/>
        </w:rPr>
        <w:t xml:space="preserve"> </w:t>
      </w:r>
      <w:r w:rsidRPr="002A3749">
        <w:rPr>
          <w:rFonts w:asciiTheme="minorHAnsi" w:hAnsiTheme="minorHAnsi" w:cstheme="minorHAnsi"/>
          <w:lang w:val="en-IE"/>
        </w:rPr>
        <w:t xml:space="preserve">Whilst clinical </w:t>
      </w:r>
      <w:r w:rsidR="00506C9D">
        <w:rPr>
          <w:rFonts w:asciiTheme="minorHAnsi" w:hAnsiTheme="minorHAnsi" w:cstheme="minorHAnsi"/>
          <w:lang w:val="en-IE"/>
        </w:rPr>
        <w:t xml:space="preserve">practice </w:t>
      </w:r>
      <w:r w:rsidRPr="002A3749">
        <w:rPr>
          <w:rFonts w:asciiTheme="minorHAnsi" w:hAnsiTheme="minorHAnsi" w:cstheme="minorHAnsi"/>
          <w:lang w:val="en-IE"/>
        </w:rPr>
        <w:t>placements observing real-world communication skills by experienced clinical nurse mentors are valuable (Slater and Herbert, 2023), it is important to acknowledge that a reliance on clinical practice only guarantees children’s nursing students will learn to mimic communication styles (Kerr et al., 2022).</w:t>
      </w:r>
      <w:r w:rsidRPr="00446CC2">
        <w:rPr>
          <w:rFonts w:asciiTheme="minorHAnsi" w:hAnsiTheme="minorHAnsi" w:cstheme="minorHAnsi"/>
          <w:lang w:val="en-IE"/>
        </w:rPr>
        <w:t xml:space="preserve"> </w:t>
      </w:r>
      <w:r w:rsidRPr="00446CC2">
        <w:rPr>
          <w:rFonts w:asciiTheme="minorHAnsi" w:hAnsiTheme="minorHAnsi" w:cstheme="minorHAnsi"/>
        </w:rPr>
        <w:t>Furthermore, multiple factors can affect nursing student’s experiences of clinical practice such as a lack of a supportive learning environment (</w:t>
      </w:r>
      <w:r w:rsidRPr="00446CC2">
        <w:rPr>
          <w:rFonts w:asciiTheme="minorHAnsi" w:hAnsiTheme="minorHAnsi" w:cstheme="minorHAnsi"/>
          <w:lang w:val="en-IE"/>
        </w:rPr>
        <w:t>González-García et al., 2021</w:t>
      </w:r>
      <w:r w:rsidRPr="00446CC2">
        <w:rPr>
          <w:rFonts w:asciiTheme="minorHAnsi" w:hAnsiTheme="minorHAnsi" w:cstheme="minorHAnsi"/>
        </w:rPr>
        <w:t>), attitudes of multidisciplinary team members, lack of collaboration and poor communication skills (Panda et al., 2021). There are also inconsistencies concerning the abilities of clinical nurse mentors to apply undergraduate nursing education to clinical practice (</w:t>
      </w:r>
      <w:r w:rsidRPr="00446CC2">
        <w:rPr>
          <w:rFonts w:asciiTheme="minorHAnsi" w:hAnsiTheme="minorHAnsi" w:cstheme="minorHAnsi"/>
          <w:lang w:val="en-IE"/>
        </w:rPr>
        <w:t>González-García et al., 2021</w:t>
      </w:r>
      <w:r w:rsidRPr="00446CC2">
        <w:rPr>
          <w:rFonts w:asciiTheme="minorHAnsi" w:hAnsiTheme="minorHAnsi" w:cstheme="minorHAnsi"/>
        </w:rPr>
        <w:t>). However, this aspect remains underexplored in the literature (Panda et al., 2021).</w:t>
      </w:r>
    </w:p>
    <w:p w14:paraId="137E92E9" w14:textId="77777777" w:rsidR="00C0061B" w:rsidRDefault="00C0061B" w:rsidP="00C0061B">
      <w:pPr>
        <w:jc w:val="both"/>
        <w:rPr>
          <w:rFonts w:asciiTheme="minorHAnsi" w:hAnsiTheme="minorHAnsi" w:cstheme="minorHAnsi"/>
          <w:color w:val="FF0000"/>
        </w:rPr>
      </w:pPr>
    </w:p>
    <w:p w14:paraId="79D6AEB6" w14:textId="77777777" w:rsidR="00C0061B" w:rsidRDefault="00C0061B" w:rsidP="00C0061B">
      <w:pPr>
        <w:jc w:val="both"/>
        <w:rPr>
          <w:rFonts w:asciiTheme="minorHAnsi" w:hAnsiTheme="minorHAnsi" w:cstheme="minorHAnsi"/>
        </w:rPr>
      </w:pPr>
      <w:r w:rsidRPr="00446CC2">
        <w:rPr>
          <w:rFonts w:asciiTheme="minorHAnsi" w:hAnsiTheme="minorHAnsi" w:cstheme="minorHAnsi"/>
        </w:rPr>
        <w:t>Positive clinical learning experiences are influenced by clinical nurse support, supervision, guidance, and motivation (Panda et al., 2021). This form of peer learning enhances the student nurses’ experience (Panda et al., 2021) and provides opportunities to meet their learning needs (Pedregosa et al., 2021). However</w:t>
      </w:r>
      <w:r>
        <w:rPr>
          <w:rFonts w:asciiTheme="minorHAnsi" w:hAnsiTheme="minorHAnsi" w:cstheme="minorHAnsi"/>
        </w:rPr>
        <w:t xml:space="preserve">, </w:t>
      </w:r>
      <w:r w:rsidRPr="002A3749">
        <w:rPr>
          <w:rFonts w:asciiTheme="minorHAnsi" w:hAnsiTheme="minorHAnsi" w:cstheme="minorHAnsi"/>
          <w:lang w:val="en-IE"/>
        </w:rPr>
        <w:t>with a global shortage of an experienced nurse workforce, it cannot be assumed that children’s nursing students will be able to benefit from the experience of clinical nurse mentors (Jassim et al., 2022).</w:t>
      </w:r>
    </w:p>
    <w:p w14:paraId="3BF9738E" w14:textId="77777777" w:rsidR="00C0061B" w:rsidRDefault="00C0061B" w:rsidP="00C0061B">
      <w:pPr>
        <w:jc w:val="both"/>
        <w:rPr>
          <w:rFonts w:asciiTheme="minorHAnsi" w:hAnsiTheme="minorHAnsi" w:cstheme="minorHAnsi"/>
        </w:rPr>
      </w:pPr>
    </w:p>
    <w:p w14:paraId="6BD2D6BD" w14:textId="059E4615" w:rsidR="00C0061B" w:rsidRPr="00446CC2" w:rsidRDefault="00C0061B" w:rsidP="00C0061B">
      <w:pPr>
        <w:jc w:val="both"/>
        <w:rPr>
          <w:rFonts w:asciiTheme="minorHAnsi" w:hAnsiTheme="minorHAnsi" w:cstheme="minorHAnsi"/>
        </w:rPr>
      </w:pPr>
      <w:r w:rsidRPr="002D3CD8">
        <w:rPr>
          <w:rFonts w:asciiTheme="minorHAnsi" w:hAnsiTheme="minorHAnsi" w:cstheme="minorHAnsi"/>
        </w:rPr>
        <w:t xml:space="preserve">It has been suggested that </w:t>
      </w:r>
      <w:proofErr w:type="gramStart"/>
      <w:r w:rsidRPr="002D3CD8">
        <w:rPr>
          <w:rFonts w:asciiTheme="minorHAnsi" w:hAnsiTheme="minorHAnsi" w:cstheme="minorHAnsi"/>
        </w:rPr>
        <w:t>in order to</w:t>
      </w:r>
      <w:proofErr w:type="gramEnd"/>
      <w:r w:rsidRPr="002D3CD8">
        <w:rPr>
          <w:rFonts w:asciiTheme="minorHAnsi" w:hAnsiTheme="minorHAnsi" w:cstheme="minorHAnsi"/>
        </w:rPr>
        <w:t xml:space="preserve"> develop children’s nursing students’ communication skills, training must take place in HEI’s, providing a foundation in theoretical knowledge and practical skills (O’Connor and Andrews, 2018) before consolidation within clinical practice (Gamble, 2017). </w:t>
      </w:r>
      <w:r w:rsidRPr="00446CC2">
        <w:rPr>
          <w:rFonts w:asciiTheme="minorHAnsi" w:hAnsiTheme="minorHAnsi" w:cstheme="minorHAnsi"/>
        </w:rPr>
        <w:t xml:space="preserve">Demonstration of effective </w:t>
      </w:r>
      <w:r w:rsidRPr="00446CC2">
        <w:rPr>
          <w:rFonts w:asciiTheme="minorHAnsi" w:hAnsiTheme="minorHAnsi" w:cstheme="minorHAnsi"/>
        </w:rPr>
        <w:lastRenderedPageBreak/>
        <w:t>communication skills, as established by regulatory bodies for nursing and midwifery professions in all HEIs delivering education and training programmes (Nursing and Midwifery Board of Ireland, 2023; Nursing and Midwifery Council, 2023), is only possible when theoretical knowledge is successfully applied to clinical practice (</w:t>
      </w:r>
      <w:proofErr w:type="spellStart"/>
      <w:r w:rsidRPr="00446CC2">
        <w:rPr>
          <w:rFonts w:asciiTheme="minorHAnsi" w:hAnsiTheme="minorHAnsi" w:cstheme="minorHAnsi"/>
        </w:rPr>
        <w:t>Flinkman</w:t>
      </w:r>
      <w:proofErr w:type="spellEnd"/>
      <w:r w:rsidRPr="00446CC2">
        <w:rPr>
          <w:rFonts w:asciiTheme="minorHAnsi" w:hAnsiTheme="minorHAnsi" w:cstheme="minorHAnsi"/>
        </w:rPr>
        <w:t xml:space="preserve"> et al., 2017). Additionally, nursing students self-report satisfaction with their ability to integrate theory and practice, which in turn positively impacts their experience of clinical </w:t>
      </w:r>
      <w:r w:rsidR="0038589C" w:rsidRPr="00446CC2">
        <w:rPr>
          <w:rFonts w:asciiTheme="minorHAnsi" w:hAnsiTheme="minorHAnsi" w:cstheme="minorHAnsi"/>
        </w:rPr>
        <w:t xml:space="preserve">practice </w:t>
      </w:r>
      <w:r w:rsidRPr="00446CC2">
        <w:rPr>
          <w:rFonts w:asciiTheme="minorHAnsi" w:hAnsiTheme="minorHAnsi" w:cstheme="minorHAnsi"/>
        </w:rPr>
        <w:t>placements (</w:t>
      </w:r>
      <w:proofErr w:type="gramStart"/>
      <w:r w:rsidRPr="00446CC2">
        <w:rPr>
          <w:rFonts w:asciiTheme="minorHAnsi" w:hAnsiTheme="minorHAnsi" w:cstheme="minorHAnsi"/>
        </w:rPr>
        <w:t>Cant</w:t>
      </w:r>
      <w:proofErr w:type="gramEnd"/>
      <w:r w:rsidRPr="00446CC2">
        <w:rPr>
          <w:rFonts w:asciiTheme="minorHAnsi" w:hAnsiTheme="minorHAnsi" w:cstheme="minorHAnsi"/>
        </w:rPr>
        <w:t xml:space="preserve"> et al., 2021).</w:t>
      </w:r>
    </w:p>
    <w:p w14:paraId="0F3CA1DF" w14:textId="77777777" w:rsidR="00CC30A9" w:rsidRPr="00CC30A9" w:rsidRDefault="00CC30A9" w:rsidP="00CC30A9">
      <w:pPr>
        <w:jc w:val="both"/>
        <w:rPr>
          <w:rFonts w:asciiTheme="minorHAnsi" w:hAnsiTheme="minorHAnsi" w:cstheme="minorHAnsi"/>
        </w:rPr>
      </w:pPr>
    </w:p>
    <w:p w14:paraId="241A91E6" w14:textId="77777777" w:rsidR="00CC30A9" w:rsidRPr="00CC30A9" w:rsidRDefault="00CC30A9" w:rsidP="00CC30A9">
      <w:pPr>
        <w:jc w:val="both"/>
        <w:rPr>
          <w:rFonts w:asciiTheme="minorHAnsi" w:hAnsiTheme="minorHAnsi" w:cstheme="minorHAnsi"/>
        </w:rPr>
      </w:pPr>
      <w:r w:rsidRPr="00CC30A9">
        <w:rPr>
          <w:rFonts w:asciiTheme="minorHAnsi" w:hAnsiTheme="minorHAnsi" w:cstheme="minorHAnsi"/>
        </w:rPr>
        <w:t>Quality delivery of communication training within HEIs requires well-trained and experienced nurse educators, with the ability to combine evidence-based educational strategies and practical experience (Fawaz et al., 2018) providing nursing students with a strong foundation in communication skills and training (Whittenberg et al., 2021). Notably, some programme leads reported that not all communication modules were delivered by educators with professional experience of CYP in healthcare. It was suggested that the lack of specialised communication training delivered by experienced educators leads to communication training that was not representative of CYP’s experience of their healthcare journey (Clarke, 2019). With most countries not having a standalone undergraduate children’s nursing programme, there has never been more of an opportunity for HEI’s that do, to lead and innovate communication training within children’s nursing education.</w:t>
      </w:r>
    </w:p>
    <w:p w14:paraId="2A5BECA3" w14:textId="77777777" w:rsidR="00CC30A9" w:rsidRPr="00CC30A9" w:rsidRDefault="00CC30A9" w:rsidP="00CC30A9">
      <w:pPr>
        <w:rPr>
          <w:rFonts w:asciiTheme="minorHAnsi" w:hAnsiTheme="minorHAnsi" w:cstheme="minorHAnsi"/>
        </w:rPr>
      </w:pPr>
    </w:p>
    <w:p w14:paraId="2391F904" w14:textId="77777777" w:rsidR="00CC30A9" w:rsidRPr="00CC30A9" w:rsidRDefault="00CC30A9" w:rsidP="00CC30A9">
      <w:pPr>
        <w:jc w:val="both"/>
        <w:rPr>
          <w:rFonts w:asciiTheme="minorHAnsi" w:hAnsiTheme="minorHAnsi" w:cstheme="minorHAnsi"/>
        </w:rPr>
      </w:pPr>
      <w:r w:rsidRPr="00CC30A9">
        <w:rPr>
          <w:rFonts w:asciiTheme="minorHAnsi" w:hAnsiTheme="minorHAnsi" w:cstheme="minorHAnsi"/>
        </w:rPr>
        <w:t>Development of undergraduate children’s nursing communication training requires nurse educators to implement diverse and innovative teaching and learning strategies (Clarke and Lippe, 2022). Corresponding with recent literature (Gutiérrez-Puertas et al., 2020; Kerr et al., 2020), programme leads stated that they are using a blended approach when delivering communication training, ranging from didactic lectures, case studies, workshops and objective structured clinical examination (OSCE). Simulation-based education was the most identified teaching strategy in this study and programme leads reported looking for more opportunities to incorporate it into their undergraduate children’s nursing curriculum. This is unsurprising as simulation-based education has been established as an impactful teaching strategy to help nursing students improve not only their communication skills but also their critical thinking skills, clinical competence (Gibson-Young et al., 2023) teamwork and self-confidence (Chabrera et al., 2021) especially when clinical opportunities with CYP are limited (Clarke and Lippe, 2022).</w:t>
      </w:r>
    </w:p>
    <w:p w14:paraId="320AD317" w14:textId="77777777" w:rsidR="00CC30A9" w:rsidRPr="00CC30A9" w:rsidRDefault="00CC30A9" w:rsidP="00CC30A9">
      <w:pPr>
        <w:jc w:val="both"/>
        <w:rPr>
          <w:rFonts w:asciiTheme="minorHAnsi" w:hAnsiTheme="minorHAnsi" w:cstheme="minorHAnsi"/>
        </w:rPr>
      </w:pPr>
    </w:p>
    <w:p w14:paraId="6450DB84" w14:textId="56ADEA59" w:rsidR="00CC30A9" w:rsidRPr="00CC30A9" w:rsidRDefault="00CC30A9" w:rsidP="00CC30A9">
      <w:pPr>
        <w:jc w:val="both"/>
        <w:rPr>
          <w:rFonts w:asciiTheme="minorHAnsi" w:hAnsiTheme="minorHAnsi" w:cstheme="minorHAnsi"/>
        </w:rPr>
      </w:pPr>
      <w:r w:rsidRPr="00CC30A9">
        <w:rPr>
          <w:rFonts w:asciiTheme="minorHAnsi" w:hAnsiTheme="minorHAnsi" w:cstheme="minorHAnsi"/>
        </w:rPr>
        <w:t xml:space="preserve">Programme leads expressed an interest in the use of standardised patients, particularly looking at how to involve CYP in their simulation-based education. Involving CYP as standardised patients in simulation-based education is relatively new </w:t>
      </w:r>
      <w:r w:rsidRPr="00446CC2">
        <w:rPr>
          <w:rFonts w:asciiTheme="minorHAnsi" w:hAnsiTheme="minorHAnsi" w:cstheme="minorHAnsi"/>
        </w:rPr>
        <w:t>(</w:t>
      </w:r>
      <w:r w:rsidR="00EF0D32" w:rsidRPr="00446CC2">
        <w:rPr>
          <w:rFonts w:asciiTheme="minorHAnsi" w:hAnsiTheme="minorHAnsi" w:cstheme="minorHAnsi"/>
        </w:rPr>
        <w:t xml:space="preserve">Zengin and </w:t>
      </w:r>
      <w:proofErr w:type="spellStart"/>
      <w:r w:rsidR="00EF0D32" w:rsidRPr="00446CC2">
        <w:rPr>
          <w:rFonts w:asciiTheme="minorHAnsi" w:hAnsiTheme="minorHAnsi" w:cstheme="minorHAnsi"/>
        </w:rPr>
        <w:t>Fudanci</w:t>
      </w:r>
      <w:proofErr w:type="spellEnd"/>
      <w:r w:rsidR="00EF0D32" w:rsidRPr="00446CC2">
        <w:rPr>
          <w:rFonts w:asciiTheme="minorHAnsi" w:hAnsiTheme="minorHAnsi" w:cstheme="minorHAnsi"/>
        </w:rPr>
        <w:t>, 2024</w:t>
      </w:r>
      <w:r w:rsidR="00EF0D32" w:rsidRPr="00446CC2">
        <w:rPr>
          <w:rFonts w:cstheme="minorHAnsi"/>
        </w:rPr>
        <w:t xml:space="preserve">; </w:t>
      </w:r>
      <w:r w:rsidRPr="00CC30A9">
        <w:rPr>
          <w:rFonts w:asciiTheme="minorHAnsi" w:hAnsiTheme="minorHAnsi" w:cstheme="minorHAnsi"/>
        </w:rPr>
        <w:t xml:space="preserve">Reid-Searl et al., 2021; Kubin and Wilson, 2017; Gamble et al., 2016) but where possible should be considered where benefit clearly outweighs any possible negative outcomes (Gamble et al., 2016). One programme lead explicitly stated that they are using this teaching strategy, involving children when educating children’s nursing students on how to obtain children’s vital signs. Nurse educators, clinical faculty members and nursing students simulating children in clinical scenarios is not considered best practice (Wittenberg et al., 2021), presenting experiences of </w:t>
      </w:r>
      <w:r w:rsidRPr="00CC30A9">
        <w:rPr>
          <w:rFonts w:asciiTheme="minorHAnsi" w:hAnsiTheme="minorHAnsi" w:cstheme="minorHAnsi"/>
        </w:rPr>
        <w:lastRenderedPageBreak/>
        <w:t>communication in children’s healthcare through an adult frame of reference (Tisdall, 2017).</w:t>
      </w:r>
    </w:p>
    <w:p w14:paraId="0D023FB5" w14:textId="77777777" w:rsidR="00CC30A9" w:rsidRPr="00CC30A9" w:rsidRDefault="00CC30A9" w:rsidP="00CC30A9">
      <w:pPr>
        <w:jc w:val="both"/>
        <w:rPr>
          <w:rFonts w:asciiTheme="minorHAnsi" w:hAnsiTheme="minorHAnsi" w:cstheme="minorHAnsi"/>
        </w:rPr>
      </w:pPr>
    </w:p>
    <w:p w14:paraId="2A52B3AF" w14:textId="1B580C07" w:rsidR="00CC30A9" w:rsidRDefault="00CC30A9" w:rsidP="00CC30A9">
      <w:pPr>
        <w:jc w:val="both"/>
        <w:rPr>
          <w:rFonts w:asciiTheme="minorHAnsi" w:hAnsiTheme="minorHAnsi" w:cstheme="minorHAnsi"/>
        </w:rPr>
      </w:pPr>
      <w:r w:rsidRPr="00CC30A9">
        <w:rPr>
          <w:rFonts w:asciiTheme="minorHAnsi" w:hAnsiTheme="minorHAnsi" w:cstheme="minorHAnsi"/>
        </w:rPr>
        <w:t xml:space="preserve">While one HEI reported involving children in simulation-based education, incorporating the voice of CYP in developing or delivering communication training was limited. Programme leads cited uncertainty about the best way to meaningfully involve CYP. In many cases ‘child voice’ was represented by proxies such as through parents or young actors. The findings from this study show that despite research highlighting the benefits of co-design in nursing education (Hardie et al., 2022) and examples of CYP being included in the design and delivery of children’s nurse education (Allan et al., 2021; Clarke, 2019; Coyne et al., 2018), there is still a lack of involvement of CYP in communication curriculum. </w:t>
      </w:r>
      <w:r w:rsidR="00A1040A" w:rsidRPr="00446CC2">
        <w:rPr>
          <w:rFonts w:asciiTheme="minorHAnsi" w:hAnsiTheme="minorHAnsi" w:cstheme="minorHAnsi"/>
        </w:rPr>
        <w:t>Despite a growing interest in incorporating the voice of CYP, the</w:t>
      </w:r>
      <w:r w:rsidR="00E83E83" w:rsidRPr="00446CC2">
        <w:rPr>
          <w:rFonts w:asciiTheme="minorHAnsi" w:hAnsiTheme="minorHAnsi" w:cstheme="minorHAnsi"/>
        </w:rPr>
        <w:t xml:space="preserve">ir voice </w:t>
      </w:r>
      <w:r w:rsidR="00A1040A" w:rsidRPr="00446CC2">
        <w:rPr>
          <w:rFonts w:asciiTheme="minorHAnsi" w:hAnsiTheme="minorHAnsi" w:cstheme="minorHAnsi"/>
        </w:rPr>
        <w:t>continue</w:t>
      </w:r>
      <w:r w:rsidR="00E83E83" w:rsidRPr="00446CC2">
        <w:rPr>
          <w:rFonts w:asciiTheme="minorHAnsi" w:hAnsiTheme="minorHAnsi" w:cstheme="minorHAnsi"/>
        </w:rPr>
        <w:t>s</w:t>
      </w:r>
      <w:r w:rsidR="00A1040A" w:rsidRPr="00446CC2">
        <w:rPr>
          <w:rFonts w:asciiTheme="minorHAnsi" w:hAnsiTheme="minorHAnsi" w:cstheme="minorHAnsi"/>
        </w:rPr>
        <w:t xml:space="preserve"> to be underrepresented in research (Foster et al., 2023). </w:t>
      </w:r>
      <w:r w:rsidRPr="00CC30A9">
        <w:rPr>
          <w:rFonts w:asciiTheme="minorHAnsi" w:hAnsiTheme="minorHAnsi" w:cstheme="minorHAnsi"/>
        </w:rPr>
        <w:t>The United Nation's Convention on the Rights of the Child (UNCRC) Article 12 states a child’s right to be heard and express their own viewpoints in all matters affecting them, with Article 14 addressing a child’s right to the enjoyment of the highest achievable standard of healthcare (Convention on the Rights of the Child, 1989). To fulfil this promise, assessment, planning, development and improvement of children’s health care services requires meaningful collaboration with CYP (Bray et al., 2023; Brady et al., 2022). Recognition of the importance of children’s unique perspectives on their view of interactions in healthcare (Coyne and Carter, 2018) is acknowledged in Irish and English nursing authorities’ regulatory standards and frameworks for undergraduate nursing education. In the ROI, NMBI specifically address that children’s nursing students must be responsive and adaptive to CYP’s unique experience of health (Nursing and Midwifery Board of Ireland, 2023) while in the UK, the NMC state that HEI’s must ensure nursing curricula co-produced with stakeholders who have experience relevant to the programme (Nursing and Midwifery Council, 2023). With an ever-changing landscape of childhood experiences worldwide, it's important, as gatekeepers of the profession, that nurse educators listen and engage with CYP, advocating for their voice to be a prominent feature of children’s higher education (Allan et al., 2021).</w:t>
      </w:r>
    </w:p>
    <w:p w14:paraId="5FC02B6B" w14:textId="77777777" w:rsidR="00256793" w:rsidRDefault="00256793" w:rsidP="00CC30A9">
      <w:pPr>
        <w:jc w:val="both"/>
        <w:rPr>
          <w:rFonts w:asciiTheme="minorHAnsi" w:hAnsiTheme="minorHAnsi" w:cstheme="minorHAnsi"/>
        </w:rPr>
      </w:pPr>
    </w:p>
    <w:p w14:paraId="1931F833" w14:textId="77777777" w:rsidR="00256793" w:rsidRPr="00256793" w:rsidRDefault="00256793" w:rsidP="00256793">
      <w:pPr>
        <w:pStyle w:val="Heading1"/>
        <w:rPr>
          <w:sz w:val="24"/>
          <w:szCs w:val="24"/>
        </w:rPr>
      </w:pPr>
      <w:r w:rsidRPr="00256793">
        <w:rPr>
          <w:sz w:val="24"/>
          <w:szCs w:val="24"/>
        </w:rPr>
        <w:t>Limitations</w:t>
      </w:r>
    </w:p>
    <w:p w14:paraId="2AF1D9CE" w14:textId="0D5C537D" w:rsidR="00F0433E" w:rsidRPr="00231F4D" w:rsidRDefault="00256793" w:rsidP="00CC30A9">
      <w:pPr>
        <w:jc w:val="both"/>
        <w:rPr>
          <w:rFonts w:asciiTheme="minorHAnsi" w:hAnsiTheme="minorHAnsi" w:cstheme="minorHAnsi"/>
          <w:color w:val="FF0000"/>
        </w:rPr>
      </w:pPr>
      <w:r w:rsidRPr="00256793">
        <w:rPr>
          <w:rFonts w:asciiTheme="minorHAnsi" w:hAnsiTheme="minorHAnsi" w:cstheme="minorHAnsi"/>
        </w:rPr>
        <w:t>This research represents a scoping of communication curriculum reported as delivered in HEIs in the ROI and the UK, however the response rate of 51% (n=32) incurs the risk of missing potential insights from those who chose not to complete a survey. UK universities engaged in strike action through part of the data collection phase, possibly affecting response rates. Some responses from programmes leads were brief and due to the survey being anonymous, it was impossible to follow up responses for clarity and elaboration.</w:t>
      </w:r>
      <w:r w:rsidR="00231F4D">
        <w:rPr>
          <w:rFonts w:asciiTheme="minorHAnsi" w:hAnsiTheme="minorHAnsi" w:cstheme="minorHAnsi"/>
        </w:rPr>
        <w:t xml:space="preserve"> </w:t>
      </w:r>
      <w:r w:rsidR="00F46956" w:rsidRPr="00446CC2">
        <w:rPr>
          <w:rFonts w:asciiTheme="minorHAnsi" w:hAnsiTheme="minorHAnsi" w:cstheme="minorHAnsi"/>
        </w:rPr>
        <w:t>While this study included a comprehensive sample of HEIs delivering undergraduate children’s nursing programs in the ROI and the UK, it’s important to note that these findings may not be universally applicable internationally, given the limited number of countries with standalone undergraduate children’s nursing programs.</w:t>
      </w:r>
    </w:p>
    <w:p w14:paraId="791469B0" w14:textId="77777777" w:rsidR="00F46956" w:rsidRDefault="00F46956" w:rsidP="00CC30A9">
      <w:pPr>
        <w:jc w:val="both"/>
        <w:rPr>
          <w:rFonts w:asciiTheme="minorHAnsi" w:hAnsiTheme="minorHAnsi" w:cstheme="minorHAnsi"/>
        </w:rPr>
      </w:pPr>
    </w:p>
    <w:p w14:paraId="38A78260" w14:textId="77777777" w:rsidR="00D3567B" w:rsidRPr="00F4126F" w:rsidRDefault="00D3567B">
      <w:pPr>
        <w:pStyle w:val="Heading1"/>
        <w:rPr>
          <w:sz w:val="24"/>
          <w:szCs w:val="24"/>
        </w:rPr>
      </w:pPr>
      <w:r w:rsidRPr="00F4126F">
        <w:rPr>
          <w:sz w:val="24"/>
          <w:szCs w:val="24"/>
        </w:rPr>
        <w:lastRenderedPageBreak/>
        <w:t xml:space="preserve">Conclusions </w:t>
      </w:r>
    </w:p>
    <w:p w14:paraId="2DEB1960" w14:textId="4A084D6A" w:rsidR="00AF65A2" w:rsidRPr="00446CC2" w:rsidRDefault="0038526C" w:rsidP="00AF65A2">
      <w:pPr>
        <w:jc w:val="both"/>
        <w:rPr>
          <w:rFonts w:asciiTheme="minorHAnsi" w:hAnsiTheme="minorHAnsi" w:cstheme="minorHAnsi"/>
        </w:rPr>
      </w:pPr>
      <w:r w:rsidRPr="0038526C">
        <w:rPr>
          <w:rFonts w:asciiTheme="minorHAnsi" w:hAnsiTheme="minorHAnsi" w:cstheme="minorHAnsi"/>
        </w:rPr>
        <w:t>Good communication is fundamental to providing CYP with positive experiences of their interactions with nurses and facilitating them to build meaningful relationships within an unfamiliar environment. Despite the importance and impact of good communication, this study has shown that formal education on the topic of communicating with CYP in undergraduate children’s nursing programmes continues to vary across HEIs. Robust children’s communication training appears to be impeded by an absence of a standardised framework, dense curriculum, teaching sessions shared with other disciplines and lack of nurse educators with experience of CYP.</w:t>
      </w:r>
      <w:r w:rsidR="00BE07C8">
        <w:rPr>
          <w:rFonts w:asciiTheme="minorHAnsi" w:hAnsiTheme="minorHAnsi" w:cstheme="minorHAnsi"/>
        </w:rPr>
        <w:t xml:space="preserve"> </w:t>
      </w:r>
      <w:r w:rsidR="00AF65A2" w:rsidRPr="00446CC2">
        <w:rPr>
          <w:rFonts w:asciiTheme="minorHAnsi" w:hAnsiTheme="minorHAnsi" w:cstheme="minorHAnsi"/>
        </w:rPr>
        <w:t>Future research should focus on the development of a standardised framework for communication training within undergraduate children’s nursing curricula, achieved through meaningful collaboration with CYP and nurse educators. This research focused on the viewpoints of nurse educators. Subsequent research should investigate the experiences of undergraduate children’s nursing students regarding child-centred communication training.</w:t>
      </w:r>
    </w:p>
    <w:p w14:paraId="3D9FB577" w14:textId="2F39553D" w:rsidR="0038526C" w:rsidRPr="0038526C" w:rsidRDefault="0038526C" w:rsidP="0038526C">
      <w:pPr>
        <w:jc w:val="both"/>
        <w:rPr>
          <w:rFonts w:asciiTheme="minorHAnsi" w:hAnsiTheme="minorHAnsi" w:cstheme="minorHAnsi"/>
        </w:rPr>
      </w:pPr>
    </w:p>
    <w:p w14:paraId="38A78264" w14:textId="77777777" w:rsidR="00D3567B" w:rsidRPr="00F4126F" w:rsidRDefault="00436850">
      <w:pPr>
        <w:pStyle w:val="Heading1"/>
        <w:rPr>
          <w:sz w:val="24"/>
          <w:szCs w:val="24"/>
        </w:rPr>
      </w:pPr>
      <w:r w:rsidRPr="00F4126F">
        <w:rPr>
          <w:sz w:val="24"/>
          <w:szCs w:val="24"/>
        </w:rPr>
        <w:t>Conflict of interest</w:t>
      </w:r>
    </w:p>
    <w:p w14:paraId="38A78265" w14:textId="0EAC34F5" w:rsidR="00436850" w:rsidRPr="00B54C23" w:rsidRDefault="00E365E8" w:rsidP="00B54C23">
      <w:pPr>
        <w:jc w:val="both"/>
        <w:rPr>
          <w:rFonts w:asciiTheme="minorHAnsi" w:hAnsiTheme="minorHAnsi" w:cstheme="minorHAnsi"/>
        </w:rPr>
      </w:pPr>
      <w:r w:rsidRPr="00B54C23">
        <w:rPr>
          <w:rFonts w:asciiTheme="minorHAnsi" w:hAnsiTheme="minorHAnsi" w:cstheme="minorHAnsi"/>
        </w:rPr>
        <w:t>None</w:t>
      </w:r>
    </w:p>
    <w:p w14:paraId="38A78266" w14:textId="77777777" w:rsidR="00D3567B" w:rsidRPr="00F4126F" w:rsidRDefault="00F4126F">
      <w:pPr>
        <w:pStyle w:val="Heading1"/>
        <w:rPr>
          <w:sz w:val="24"/>
          <w:szCs w:val="24"/>
        </w:rPr>
      </w:pPr>
      <w:r>
        <w:rPr>
          <w:sz w:val="24"/>
          <w:szCs w:val="24"/>
        </w:rPr>
        <w:t>Funding sources</w:t>
      </w:r>
      <w:r w:rsidR="00D3567B" w:rsidRPr="00F4126F">
        <w:rPr>
          <w:sz w:val="24"/>
          <w:szCs w:val="24"/>
        </w:rPr>
        <w:t xml:space="preserve"> </w:t>
      </w:r>
    </w:p>
    <w:p w14:paraId="7A8E259B" w14:textId="77777777" w:rsidR="00B54C23" w:rsidRDefault="00B54C23" w:rsidP="00B54C23">
      <w:pPr>
        <w:jc w:val="both"/>
        <w:rPr>
          <w:rFonts w:asciiTheme="minorHAnsi" w:hAnsiTheme="minorHAnsi" w:cstheme="minorHAnsi"/>
        </w:rPr>
      </w:pPr>
      <w:r w:rsidRPr="00B54C23">
        <w:rPr>
          <w:rFonts w:asciiTheme="minorHAnsi" w:hAnsiTheme="minorHAnsi" w:cstheme="minorHAnsi"/>
        </w:rPr>
        <w:t>This research did not receive any specific grant from funding agencies in the public, commercial or not-for-profit sector.</w:t>
      </w:r>
    </w:p>
    <w:p w14:paraId="42C44C39" w14:textId="77777777" w:rsidR="00B54C23" w:rsidRPr="00B54C23" w:rsidRDefault="00B54C23" w:rsidP="00B54C23">
      <w:pPr>
        <w:jc w:val="both"/>
        <w:rPr>
          <w:rFonts w:asciiTheme="minorHAnsi" w:hAnsiTheme="minorHAnsi" w:cstheme="minorHAnsi"/>
        </w:rPr>
      </w:pPr>
    </w:p>
    <w:p w14:paraId="38A78268" w14:textId="77777777" w:rsidR="00D3567B" w:rsidRPr="00F4126F" w:rsidRDefault="00D3567B">
      <w:pPr>
        <w:pStyle w:val="Heading1"/>
        <w:rPr>
          <w:sz w:val="24"/>
          <w:szCs w:val="24"/>
        </w:rPr>
      </w:pPr>
      <w:r w:rsidRPr="00F4126F">
        <w:rPr>
          <w:sz w:val="24"/>
          <w:szCs w:val="24"/>
        </w:rPr>
        <w:t>References</w:t>
      </w:r>
    </w:p>
    <w:p w14:paraId="1148DCE0"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Allan, E. and Luders, S. (2021) ‘Giving children a voice through partnership: a child rights-based approach to the co-design of postgraduate nurse education’, </w:t>
      </w:r>
      <w:r w:rsidRPr="00BE29A4">
        <w:rPr>
          <w:rFonts w:asciiTheme="minorHAnsi" w:hAnsiTheme="minorHAnsi" w:cstheme="minorHAnsi"/>
          <w:i/>
          <w:iCs/>
        </w:rPr>
        <w:t>British Journal of Child Health</w:t>
      </w:r>
      <w:r w:rsidRPr="00BE29A4">
        <w:rPr>
          <w:rFonts w:asciiTheme="minorHAnsi" w:hAnsiTheme="minorHAnsi" w:cstheme="minorHAnsi"/>
        </w:rPr>
        <w:t xml:space="preserve">, 2(4), pp. 171-178. DOI: </w:t>
      </w:r>
      <w:hyperlink r:id="rId24" w:history="1">
        <w:r w:rsidRPr="00BE29A4">
          <w:rPr>
            <w:rStyle w:val="Hyperlink"/>
            <w:rFonts w:asciiTheme="minorHAnsi" w:hAnsiTheme="minorHAnsi" w:cstheme="minorHAnsi"/>
          </w:rPr>
          <w:t>https://doi.org/10.12968/chhe.2021.2.4.171</w:t>
        </w:r>
      </w:hyperlink>
      <w:r w:rsidRPr="00BE29A4">
        <w:rPr>
          <w:rFonts w:asciiTheme="minorHAnsi" w:hAnsiTheme="minorHAnsi" w:cstheme="minorHAnsi"/>
        </w:rPr>
        <w:t xml:space="preserve"> </w:t>
      </w:r>
    </w:p>
    <w:p w14:paraId="334E33D9"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Bachmann, C., Pettit, J. and Rosenbaum, M. (2022) ‘Developing communication curricula in healthcare education: An evidence-based guide’, </w:t>
      </w:r>
      <w:r w:rsidRPr="00BE29A4">
        <w:rPr>
          <w:rFonts w:asciiTheme="minorHAnsi" w:hAnsiTheme="minorHAnsi" w:cstheme="minorHAnsi"/>
          <w:i/>
          <w:iCs/>
        </w:rPr>
        <w:t>Patient Education and Counseling</w:t>
      </w:r>
      <w:r w:rsidRPr="00BE29A4">
        <w:rPr>
          <w:rFonts w:asciiTheme="minorHAnsi" w:hAnsiTheme="minorHAnsi" w:cstheme="minorHAnsi"/>
        </w:rPr>
        <w:t xml:space="preserve">, 105(7), PP. 2320-2327. DOI: </w:t>
      </w:r>
      <w:hyperlink r:id="rId25" w:history="1">
        <w:r w:rsidRPr="00BE29A4">
          <w:rPr>
            <w:rStyle w:val="Hyperlink"/>
            <w:rFonts w:asciiTheme="minorHAnsi" w:hAnsiTheme="minorHAnsi" w:cstheme="minorHAnsi"/>
          </w:rPr>
          <w:t>https://doi.org/10.1016/j.pec.2021.11.016</w:t>
        </w:r>
      </w:hyperlink>
      <w:r w:rsidRPr="00BE29A4">
        <w:rPr>
          <w:rFonts w:asciiTheme="minorHAnsi" w:hAnsiTheme="minorHAnsi" w:cstheme="minorHAnsi"/>
        </w:rPr>
        <w:t xml:space="preserve"> </w:t>
      </w:r>
    </w:p>
    <w:p w14:paraId="5A27E7B1" w14:textId="17C2473E"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Bachmann, C., Abramovitch, H., Barbu, C.G., Cavaco, A.M., Elorza, R.D., Haak, R., Loureiro, E., Ratajska, A., Silverman, J., Winterburn, S. and Rosenbaum, M. (2013) ‘A European consensus on learning objectives for a core communication curriculum in health care professions’,</w:t>
      </w:r>
      <w:r w:rsidRPr="00DB5781">
        <w:rPr>
          <w:rFonts w:asciiTheme="minorHAnsi" w:hAnsiTheme="minorHAnsi" w:cstheme="minorHAnsi"/>
        </w:rPr>
        <w:t xml:space="preserve"> </w:t>
      </w:r>
      <w:r w:rsidRPr="00DB5781">
        <w:rPr>
          <w:rFonts w:asciiTheme="minorHAnsi" w:hAnsiTheme="minorHAnsi" w:cstheme="minorHAnsi"/>
          <w:i/>
          <w:iCs/>
        </w:rPr>
        <w:t>Patient Education and Counseling</w:t>
      </w:r>
      <w:r w:rsidRPr="00BE29A4">
        <w:rPr>
          <w:rFonts w:asciiTheme="minorHAnsi" w:hAnsiTheme="minorHAnsi" w:cstheme="minorHAnsi"/>
        </w:rPr>
        <w:t xml:space="preserve">, 93(1), pp. 18-26. DOI: </w:t>
      </w:r>
      <w:hyperlink r:id="rId26" w:history="1">
        <w:r w:rsidRPr="00DB5781">
          <w:rPr>
            <w:rStyle w:val="Hyperlink"/>
            <w:rFonts w:asciiTheme="minorHAnsi" w:hAnsiTheme="minorHAnsi" w:cstheme="minorHAnsi"/>
          </w:rPr>
          <w:t>https://doi.org/10.1016/j.pec.2012.10.016</w:t>
        </w:r>
      </w:hyperlink>
      <w:r w:rsidRPr="00BE29A4">
        <w:rPr>
          <w:rFonts w:asciiTheme="minorHAnsi" w:hAnsiTheme="minorHAnsi" w:cstheme="minorHAnsi"/>
        </w:rPr>
        <w:t xml:space="preserve"> </w:t>
      </w:r>
    </w:p>
    <w:p w14:paraId="47F065AA"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Beaird, G., Nye, C. and Thacker, L.R. (2017) ‘The Use of Video Recording and Standardized Patient Feedback to Improve Communication Performance in Undergraduate Nursing Students’, </w:t>
      </w:r>
      <w:r w:rsidRPr="00DB5781">
        <w:rPr>
          <w:rFonts w:asciiTheme="minorHAnsi" w:hAnsiTheme="minorHAnsi" w:cstheme="minorHAnsi"/>
          <w:i/>
          <w:iCs/>
        </w:rPr>
        <w:t>Clinical Simulation in Nursing</w:t>
      </w:r>
      <w:r w:rsidRPr="00BE29A4">
        <w:rPr>
          <w:rFonts w:asciiTheme="minorHAnsi" w:hAnsiTheme="minorHAnsi" w:cstheme="minorHAnsi"/>
        </w:rPr>
        <w:t xml:space="preserve">, 13(4), PP.176-185. DOI: </w:t>
      </w:r>
      <w:hyperlink r:id="rId27" w:history="1">
        <w:r w:rsidRPr="00DB5781">
          <w:rPr>
            <w:rStyle w:val="Hyperlink"/>
            <w:rFonts w:asciiTheme="minorHAnsi" w:hAnsiTheme="minorHAnsi" w:cstheme="minorHAnsi"/>
          </w:rPr>
          <w:t>https://doi.org/10.1016/j.ecns.2016.12.005</w:t>
        </w:r>
      </w:hyperlink>
      <w:r w:rsidRPr="00BE29A4">
        <w:rPr>
          <w:rFonts w:asciiTheme="minorHAnsi" w:hAnsiTheme="minorHAnsi" w:cstheme="minorHAnsi"/>
        </w:rPr>
        <w:t xml:space="preserve"> </w:t>
      </w:r>
    </w:p>
    <w:p w14:paraId="6C7907F7"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Brady, L.-M., Bray, L., Beeden, E., Davies, S., Evans, K. and Feltham, A. (2022), ‘Participation at the Heart: Lessons From Child-Centred Practice in UK Healthcare </w:t>
      </w:r>
      <w:r w:rsidRPr="00BE29A4">
        <w:rPr>
          <w:rFonts w:asciiTheme="minorHAnsi" w:hAnsiTheme="minorHAnsi" w:cstheme="minorHAnsi"/>
        </w:rPr>
        <w:lastRenderedPageBreak/>
        <w:t xml:space="preserve">During and Beyond COVID-19’, in Frankel, S. (Ed.) </w:t>
      </w:r>
      <w:r w:rsidRPr="00DB5781">
        <w:rPr>
          <w:rFonts w:asciiTheme="minorHAnsi" w:hAnsiTheme="minorHAnsi" w:cstheme="minorHAnsi"/>
          <w:i/>
          <w:iCs/>
        </w:rPr>
        <w:t>Establishing Child Centred Practice in a Changing World, Part A (Emerald Studies in Child Centred Practice).</w:t>
      </w:r>
      <w:r w:rsidRPr="00BE29A4">
        <w:rPr>
          <w:rFonts w:asciiTheme="minorHAnsi" w:hAnsiTheme="minorHAnsi" w:cstheme="minorHAnsi"/>
        </w:rPr>
        <w:t xml:space="preserve"> Bingley: Emerald Publishing Limited. pp. 61-75. </w:t>
      </w:r>
    </w:p>
    <w:p w14:paraId="26C5BB29" w14:textId="752562E1" w:rsidR="00BE29A4" w:rsidRPr="00DB5781"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Bray, L., Carter, B., Kiernan, J., Horowicz, E., Dixon, K., Ridley, J., Robinson, C., Simmons, A., Craske, J., Sinha, S. and Morton, L. (2023) ‘Developing rights-based standards for children having tests, treatments, examinations and interventions: using a collaborative, multi-phased, multi-method and multi-stakeholder approach to build consensus’, </w:t>
      </w:r>
      <w:r w:rsidRPr="00D826CA">
        <w:rPr>
          <w:rFonts w:asciiTheme="minorHAnsi" w:hAnsiTheme="minorHAnsi" w:cstheme="minorHAnsi"/>
          <w:i/>
          <w:iCs/>
        </w:rPr>
        <w:t xml:space="preserve">European </w:t>
      </w:r>
      <w:r w:rsidR="00D826CA">
        <w:rPr>
          <w:rFonts w:asciiTheme="minorHAnsi" w:hAnsiTheme="minorHAnsi" w:cstheme="minorHAnsi"/>
          <w:i/>
          <w:iCs/>
        </w:rPr>
        <w:t>J</w:t>
      </w:r>
      <w:r w:rsidRPr="00D826CA">
        <w:rPr>
          <w:rFonts w:asciiTheme="minorHAnsi" w:hAnsiTheme="minorHAnsi" w:cstheme="minorHAnsi"/>
          <w:i/>
          <w:iCs/>
        </w:rPr>
        <w:t xml:space="preserve">ournal of </w:t>
      </w:r>
      <w:r w:rsidR="00D826CA">
        <w:rPr>
          <w:rFonts w:asciiTheme="minorHAnsi" w:hAnsiTheme="minorHAnsi" w:cstheme="minorHAnsi"/>
          <w:i/>
          <w:iCs/>
        </w:rPr>
        <w:t>P</w:t>
      </w:r>
      <w:r w:rsidRPr="00D826CA">
        <w:rPr>
          <w:rFonts w:asciiTheme="minorHAnsi" w:hAnsiTheme="minorHAnsi" w:cstheme="minorHAnsi"/>
          <w:i/>
          <w:iCs/>
        </w:rPr>
        <w:t>ediatrics</w:t>
      </w:r>
      <w:r w:rsidRPr="00BE29A4">
        <w:rPr>
          <w:rFonts w:asciiTheme="minorHAnsi" w:hAnsiTheme="minorHAnsi" w:cstheme="minorHAnsi"/>
        </w:rPr>
        <w:t xml:space="preserve">, pp.1-15. DOI: </w:t>
      </w:r>
      <w:hyperlink r:id="rId28" w:history="1">
        <w:r w:rsidRPr="00D826CA">
          <w:rPr>
            <w:rStyle w:val="Hyperlink"/>
            <w:rFonts w:asciiTheme="minorHAnsi" w:hAnsiTheme="minorHAnsi" w:cstheme="minorHAnsi"/>
          </w:rPr>
          <w:t>https://doi.org/10.1007/s00431-023-05131-9</w:t>
        </w:r>
      </w:hyperlink>
      <w:r w:rsidRPr="00DB5781">
        <w:rPr>
          <w:rFonts w:asciiTheme="minorHAnsi" w:hAnsiTheme="minorHAnsi" w:cstheme="minorHAnsi"/>
        </w:rPr>
        <w:t xml:space="preserve"> </w:t>
      </w:r>
    </w:p>
    <w:p w14:paraId="0AA9D3A9"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Bray, L., Blake, L., Protheroe, J., Nafria, B., Garcia de Avila, M.A., Ångström-Brännström, C., Forsner, M., Campbell, S., Ford, K., Rullander, A.C., Robichaud, F., Jenholt Nolbris, M., Saron, H., Kirton, J.A. and Carter, B. (2021) ‘Children’s pictures of COVID-19 and measures to mitigate its spread: An international qualitative study’, </w:t>
      </w:r>
      <w:r w:rsidRPr="00D826CA">
        <w:rPr>
          <w:rFonts w:asciiTheme="minorHAnsi" w:hAnsiTheme="minorHAnsi" w:cstheme="minorHAnsi"/>
          <w:i/>
          <w:iCs/>
        </w:rPr>
        <w:t>Health Education Journal</w:t>
      </w:r>
      <w:r w:rsidRPr="00DB5781">
        <w:rPr>
          <w:rFonts w:asciiTheme="minorHAnsi" w:hAnsiTheme="minorHAnsi" w:cstheme="minorHAnsi"/>
        </w:rPr>
        <w:t>,</w:t>
      </w:r>
      <w:r w:rsidRPr="00BE29A4">
        <w:rPr>
          <w:rFonts w:asciiTheme="minorHAnsi" w:hAnsiTheme="minorHAnsi" w:cstheme="minorHAnsi"/>
        </w:rPr>
        <w:t xml:space="preserve"> 80(7), pp. 811-832. DOI: </w:t>
      </w:r>
      <w:hyperlink r:id="rId29" w:history="1">
        <w:r w:rsidRPr="00D826CA">
          <w:rPr>
            <w:rStyle w:val="Hyperlink"/>
            <w:rFonts w:asciiTheme="minorHAnsi" w:hAnsiTheme="minorHAnsi" w:cstheme="minorHAnsi"/>
          </w:rPr>
          <w:t>https://doi.org/10.1177/00178969211019459</w:t>
        </w:r>
      </w:hyperlink>
      <w:r w:rsidRPr="00BE29A4">
        <w:rPr>
          <w:rFonts w:asciiTheme="minorHAnsi" w:hAnsiTheme="minorHAnsi" w:cstheme="minorHAnsi"/>
        </w:rPr>
        <w:t xml:space="preserve"> </w:t>
      </w:r>
    </w:p>
    <w:p w14:paraId="3029C3FA" w14:textId="77777777" w:rsid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Cannity, K.M., Banerjee, S.C., Hichenberg, S., Leon-Nastasi, A.D., Howell, F., Coyle, N., Zaider, T. and Parker, P.A. (2021) ‘Acceptability and efficacy of a communication skills training for nursing students: building empathy and discussing complex situations’, </w:t>
      </w:r>
      <w:r w:rsidRPr="00016529">
        <w:rPr>
          <w:rFonts w:asciiTheme="minorHAnsi" w:hAnsiTheme="minorHAnsi" w:cstheme="minorHAnsi"/>
          <w:i/>
          <w:iCs/>
        </w:rPr>
        <w:t>Nurse Education in Practice</w:t>
      </w:r>
      <w:r w:rsidRPr="00BE29A4">
        <w:rPr>
          <w:rFonts w:asciiTheme="minorHAnsi" w:hAnsiTheme="minorHAnsi" w:cstheme="minorHAnsi"/>
        </w:rPr>
        <w:t xml:space="preserve">, 50. DOI: </w:t>
      </w:r>
      <w:hyperlink r:id="rId30" w:history="1">
        <w:r w:rsidRPr="00016529">
          <w:rPr>
            <w:rStyle w:val="Hyperlink"/>
            <w:rFonts w:asciiTheme="minorHAnsi" w:hAnsiTheme="minorHAnsi" w:cstheme="minorHAnsi"/>
          </w:rPr>
          <w:t>https://doi.org/10.1016/j.nepr.2020.102928</w:t>
        </w:r>
      </w:hyperlink>
      <w:r w:rsidRPr="00BE29A4">
        <w:rPr>
          <w:rFonts w:asciiTheme="minorHAnsi" w:hAnsiTheme="minorHAnsi" w:cstheme="minorHAnsi"/>
        </w:rPr>
        <w:t xml:space="preserve"> </w:t>
      </w:r>
    </w:p>
    <w:p w14:paraId="50B3392A" w14:textId="0800CFA2" w:rsidR="00107A4F" w:rsidRPr="00446CC2" w:rsidRDefault="001C2A6B" w:rsidP="00DB5781">
      <w:pPr>
        <w:spacing w:after="160" w:line="259" w:lineRule="auto"/>
        <w:jc w:val="both"/>
        <w:rPr>
          <w:rFonts w:asciiTheme="minorHAnsi" w:hAnsiTheme="minorHAnsi" w:cstheme="minorHAnsi"/>
        </w:rPr>
      </w:pPr>
      <w:proofErr w:type="gramStart"/>
      <w:r w:rsidRPr="00446CC2">
        <w:rPr>
          <w:rFonts w:asciiTheme="minorHAnsi" w:hAnsiTheme="minorHAnsi" w:cstheme="minorHAnsi"/>
        </w:rPr>
        <w:t>Cant</w:t>
      </w:r>
      <w:proofErr w:type="gramEnd"/>
      <w:r w:rsidRPr="00446CC2">
        <w:rPr>
          <w:rFonts w:asciiTheme="minorHAnsi" w:hAnsiTheme="minorHAnsi" w:cstheme="minorHAnsi"/>
        </w:rPr>
        <w:t>, R., Ryan, C. and Cooper, S. (2021) ‘</w:t>
      </w:r>
      <w:r w:rsidR="00910AE2" w:rsidRPr="00446CC2">
        <w:rPr>
          <w:rFonts w:asciiTheme="minorHAnsi" w:hAnsiTheme="minorHAnsi" w:cstheme="minorHAnsi"/>
        </w:rPr>
        <w:t xml:space="preserve">Nursing students' evaluation of clinical practice placements using the Clinical Learning Environment, Supervision and Nurse Teacher scale – A systematic review’, </w:t>
      </w:r>
      <w:r w:rsidR="00910AE2" w:rsidRPr="00446CC2">
        <w:rPr>
          <w:rFonts w:asciiTheme="minorHAnsi" w:hAnsiTheme="minorHAnsi" w:cstheme="minorHAnsi"/>
          <w:i/>
          <w:iCs/>
        </w:rPr>
        <w:t xml:space="preserve">Nurse Education Today, </w:t>
      </w:r>
      <w:r w:rsidR="00910AE2" w:rsidRPr="00446CC2">
        <w:rPr>
          <w:rFonts w:asciiTheme="minorHAnsi" w:hAnsiTheme="minorHAnsi" w:cstheme="minorHAnsi"/>
        </w:rPr>
        <w:t xml:space="preserve">104. DOI: </w:t>
      </w:r>
      <w:hyperlink r:id="rId31" w:history="1">
        <w:r w:rsidR="00910AE2" w:rsidRPr="00446CC2">
          <w:rPr>
            <w:rStyle w:val="Hyperlink"/>
            <w:rFonts w:asciiTheme="minorHAnsi" w:hAnsiTheme="minorHAnsi" w:cstheme="minorHAnsi"/>
          </w:rPr>
          <w:t>https://doi.org/10.1016/j.nedt.2021.104983</w:t>
        </w:r>
      </w:hyperlink>
      <w:r w:rsidR="00910AE2" w:rsidRPr="00446CC2">
        <w:rPr>
          <w:rFonts w:asciiTheme="minorHAnsi" w:hAnsiTheme="minorHAnsi" w:cstheme="minorHAnsi"/>
        </w:rPr>
        <w:t xml:space="preserve"> </w:t>
      </w:r>
    </w:p>
    <w:p w14:paraId="7DCB98F8" w14:textId="315C6207" w:rsidR="00100475" w:rsidRPr="00446CC2" w:rsidRDefault="00947859" w:rsidP="00DB5781">
      <w:pPr>
        <w:spacing w:after="160" w:line="259" w:lineRule="auto"/>
        <w:jc w:val="both"/>
        <w:rPr>
          <w:rFonts w:asciiTheme="minorHAnsi" w:hAnsiTheme="minorHAnsi" w:cstheme="minorHAnsi"/>
        </w:rPr>
      </w:pPr>
      <w:r w:rsidRPr="00446CC2">
        <w:rPr>
          <w:rFonts w:asciiTheme="minorHAnsi" w:hAnsiTheme="minorHAnsi" w:cstheme="minorHAnsi"/>
        </w:rPr>
        <w:t>Carrer-</w:t>
      </w:r>
      <w:proofErr w:type="spellStart"/>
      <w:r w:rsidRPr="00446CC2">
        <w:rPr>
          <w:rFonts w:asciiTheme="minorHAnsi" w:hAnsiTheme="minorHAnsi" w:cstheme="minorHAnsi"/>
        </w:rPr>
        <w:t>Planells</w:t>
      </w:r>
      <w:proofErr w:type="spellEnd"/>
      <w:r w:rsidRPr="00446CC2">
        <w:rPr>
          <w:rFonts w:asciiTheme="minorHAnsi" w:hAnsiTheme="minorHAnsi" w:cstheme="minorHAnsi"/>
        </w:rPr>
        <w:t xml:space="preserve">, A., Sandra Pol-Castañeda, </w:t>
      </w:r>
      <w:r w:rsidR="00740EE5" w:rsidRPr="00446CC2">
        <w:rPr>
          <w:rFonts w:asciiTheme="minorHAnsi" w:hAnsiTheme="minorHAnsi" w:cstheme="minorHAnsi"/>
        </w:rPr>
        <w:t xml:space="preserve">S., </w:t>
      </w:r>
      <w:proofErr w:type="spellStart"/>
      <w:r w:rsidR="00740EE5" w:rsidRPr="00446CC2">
        <w:rPr>
          <w:rFonts w:asciiTheme="minorHAnsi" w:hAnsiTheme="minorHAnsi" w:cstheme="minorHAnsi"/>
        </w:rPr>
        <w:t>Ala</w:t>
      </w:r>
      <w:r w:rsidRPr="00446CC2">
        <w:rPr>
          <w:rFonts w:asciiTheme="minorHAnsi" w:hAnsiTheme="minorHAnsi" w:cstheme="minorHAnsi"/>
        </w:rPr>
        <w:t>millos</w:t>
      </w:r>
      <w:proofErr w:type="spellEnd"/>
      <w:r w:rsidRPr="00446CC2">
        <w:rPr>
          <w:rFonts w:asciiTheme="minorHAnsi" w:hAnsiTheme="minorHAnsi" w:cstheme="minorHAnsi"/>
        </w:rPr>
        <w:t>-Guardiola</w:t>
      </w:r>
      <w:r w:rsidR="00740EE5" w:rsidRPr="00446CC2">
        <w:rPr>
          <w:rFonts w:asciiTheme="minorHAnsi" w:hAnsiTheme="minorHAnsi" w:cstheme="minorHAnsi"/>
        </w:rPr>
        <w:t>, M.C.,</w:t>
      </w:r>
      <w:r w:rsidR="00BA4151" w:rsidRPr="00446CC2">
        <w:rPr>
          <w:rFonts w:asciiTheme="minorHAnsi" w:hAnsiTheme="minorHAnsi" w:cstheme="minorHAnsi"/>
        </w:rPr>
        <w:t xml:space="preserve"> </w:t>
      </w:r>
      <w:r w:rsidRPr="00446CC2">
        <w:rPr>
          <w:rFonts w:asciiTheme="minorHAnsi" w:hAnsiTheme="minorHAnsi" w:cstheme="minorHAnsi"/>
        </w:rPr>
        <w:t>Prieto-Alomar</w:t>
      </w:r>
      <w:r w:rsidR="00740EE5" w:rsidRPr="00446CC2">
        <w:rPr>
          <w:rFonts w:asciiTheme="minorHAnsi" w:hAnsiTheme="minorHAnsi" w:cstheme="minorHAnsi"/>
        </w:rPr>
        <w:t>, A.,</w:t>
      </w:r>
      <w:r w:rsidR="00BA4151" w:rsidRPr="00446CC2">
        <w:rPr>
          <w:rFonts w:asciiTheme="minorHAnsi" w:hAnsiTheme="minorHAnsi" w:cstheme="minorHAnsi"/>
        </w:rPr>
        <w:t xml:space="preserve"> </w:t>
      </w:r>
      <w:r w:rsidRPr="00446CC2">
        <w:rPr>
          <w:rFonts w:asciiTheme="minorHAnsi" w:hAnsiTheme="minorHAnsi" w:cstheme="minorHAnsi"/>
        </w:rPr>
        <w:t>Tomás-Sánchez</w:t>
      </w:r>
      <w:r w:rsidR="00BA4151" w:rsidRPr="00446CC2">
        <w:rPr>
          <w:rFonts w:asciiTheme="minorHAnsi" w:hAnsiTheme="minorHAnsi" w:cstheme="minorHAnsi"/>
        </w:rPr>
        <w:t xml:space="preserve">, M. and </w:t>
      </w:r>
      <w:r w:rsidRPr="00446CC2">
        <w:rPr>
          <w:rFonts w:asciiTheme="minorHAnsi" w:hAnsiTheme="minorHAnsi" w:cstheme="minorHAnsi"/>
        </w:rPr>
        <w:t>Moreno-Mulet</w:t>
      </w:r>
      <w:r w:rsidR="00BA4151" w:rsidRPr="00446CC2">
        <w:rPr>
          <w:rFonts w:asciiTheme="minorHAnsi" w:hAnsiTheme="minorHAnsi" w:cstheme="minorHAnsi"/>
        </w:rPr>
        <w:t xml:space="preserve">, C. (2021) ‘Students and teachers' satisfaction and perspectives on high-fidelity simulation for learning fundamental nursing procedures: A mixed-method study’, </w:t>
      </w:r>
      <w:r w:rsidR="00BA4151" w:rsidRPr="00446CC2">
        <w:rPr>
          <w:rFonts w:asciiTheme="minorHAnsi" w:hAnsiTheme="minorHAnsi" w:cstheme="minorHAnsi"/>
          <w:i/>
          <w:iCs/>
        </w:rPr>
        <w:t xml:space="preserve">Nurse Education Today, </w:t>
      </w:r>
      <w:r w:rsidR="00BA4151" w:rsidRPr="00446CC2">
        <w:rPr>
          <w:rFonts w:asciiTheme="minorHAnsi" w:hAnsiTheme="minorHAnsi" w:cstheme="minorHAnsi"/>
        </w:rPr>
        <w:t xml:space="preserve">104. DOI: </w:t>
      </w:r>
      <w:hyperlink r:id="rId32" w:history="1">
        <w:r w:rsidR="00641F4E" w:rsidRPr="00446CC2">
          <w:rPr>
            <w:rStyle w:val="Hyperlink"/>
            <w:rFonts w:asciiTheme="minorHAnsi" w:hAnsiTheme="minorHAnsi" w:cstheme="minorHAnsi"/>
          </w:rPr>
          <w:t>https://doi.org/10.1016/j.nedt.2021.104981</w:t>
        </w:r>
      </w:hyperlink>
      <w:r w:rsidR="00641F4E" w:rsidRPr="00446CC2">
        <w:rPr>
          <w:rFonts w:asciiTheme="minorHAnsi" w:hAnsiTheme="minorHAnsi" w:cstheme="minorHAnsi"/>
        </w:rPr>
        <w:t xml:space="preserve"> </w:t>
      </w:r>
    </w:p>
    <w:p w14:paraId="4D500F88" w14:textId="77777777" w:rsidR="00BE29A4" w:rsidRDefault="00BE29A4" w:rsidP="00DB5781">
      <w:pPr>
        <w:spacing w:after="160" w:line="259" w:lineRule="auto"/>
        <w:jc w:val="both"/>
        <w:rPr>
          <w:rFonts w:asciiTheme="minorHAnsi" w:hAnsiTheme="minorHAnsi" w:cstheme="minorHAnsi"/>
        </w:rPr>
      </w:pPr>
      <w:proofErr w:type="spellStart"/>
      <w:r w:rsidRPr="00BE29A4">
        <w:rPr>
          <w:rFonts w:asciiTheme="minorHAnsi" w:hAnsiTheme="minorHAnsi" w:cstheme="minorHAnsi"/>
        </w:rPr>
        <w:t>Chabrera</w:t>
      </w:r>
      <w:proofErr w:type="spellEnd"/>
      <w:r w:rsidRPr="00BE29A4">
        <w:rPr>
          <w:rFonts w:asciiTheme="minorHAnsi" w:hAnsiTheme="minorHAnsi" w:cstheme="minorHAnsi"/>
        </w:rPr>
        <w:t xml:space="preserve">, C., Jackson, C., Kasimovskaya, N. and Treslova, M. (2021) ‘Simulation in Nursing Education Programs: Findings from an International Exploratory Study’, </w:t>
      </w:r>
      <w:r w:rsidRPr="00016529">
        <w:rPr>
          <w:rFonts w:asciiTheme="minorHAnsi" w:hAnsiTheme="minorHAnsi" w:cstheme="minorHAnsi"/>
          <w:i/>
          <w:iCs/>
        </w:rPr>
        <w:t>Clinical Simulation in Nursing</w:t>
      </w:r>
      <w:r w:rsidRPr="00BE29A4">
        <w:rPr>
          <w:rFonts w:asciiTheme="minorHAnsi" w:hAnsiTheme="minorHAnsi" w:cstheme="minorHAnsi"/>
        </w:rPr>
        <w:t xml:space="preserve">, 59, pp. 23-31. DOI: </w:t>
      </w:r>
      <w:hyperlink r:id="rId33" w:history="1">
        <w:r w:rsidRPr="00016529">
          <w:rPr>
            <w:rStyle w:val="Hyperlink"/>
            <w:rFonts w:asciiTheme="minorHAnsi" w:hAnsiTheme="minorHAnsi" w:cstheme="minorHAnsi"/>
          </w:rPr>
          <w:t>https://doi.org/10.1016/j.ecns.2021.05.004</w:t>
        </w:r>
      </w:hyperlink>
      <w:r w:rsidRPr="00BE29A4">
        <w:rPr>
          <w:rFonts w:asciiTheme="minorHAnsi" w:hAnsiTheme="minorHAnsi" w:cstheme="minorHAnsi"/>
        </w:rPr>
        <w:t xml:space="preserve"> </w:t>
      </w:r>
    </w:p>
    <w:p w14:paraId="6CC2C78D" w14:textId="39962A53" w:rsidR="00D600A5" w:rsidRPr="00446CC2" w:rsidRDefault="00D600A5" w:rsidP="00DB5781">
      <w:pPr>
        <w:spacing w:after="160" w:line="259" w:lineRule="auto"/>
        <w:jc w:val="both"/>
        <w:rPr>
          <w:rFonts w:asciiTheme="minorHAnsi" w:hAnsiTheme="minorHAnsi" w:cstheme="minorHAnsi"/>
        </w:rPr>
      </w:pPr>
      <w:r w:rsidRPr="00446CC2">
        <w:rPr>
          <w:rFonts w:asciiTheme="minorHAnsi" w:hAnsiTheme="minorHAnsi" w:cstheme="minorHAnsi"/>
          <w:lang w:val="en-IE"/>
        </w:rPr>
        <w:t xml:space="preserve">Chang, L-C., Chen, C-J., </w:t>
      </w:r>
      <w:r w:rsidR="000C6132" w:rsidRPr="00446CC2">
        <w:rPr>
          <w:rFonts w:asciiTheme="minorHAnsi" w:hAnsiTheme="minorHAnsi" w:cstheme="minorHAnsi"/>
          <w:lang w:val="en-IE"/>
        </w:rPr>
        <w:t xml:space="preserve">Chen, C-I and Sun, F-K. (2024) ‘The initial experiences of junior nursing college students when communicating with children during </w:t>
      </w:r>
      <w:proofErr w:type="spellStart"/>
      <w:r w:rsidR="000C6132" w:rsidRPr="00446CC2">
        <w:rPr>
          <w:rFonts w:asciiTheme="minorHAnsi" w:hAnsiTheme="minorHAnsi" w:cstheme="minorHAnsi"/>
          <w:lang w:val="en-IE"/>
        </w:rPr>
        <w:t>pediatric</w:t>
      </w:r>
      <w:proofErr w:type="spellEnd"/>
      <w:r w:rsidR="000C6132" w:rsidRPr="00446CC2">
        <w:rPr>
          <w:rFonts w:asciiTheme="minorHAnsi" w:hAnsiTheme="minorHAnsi" w:cstheme="minorHAnsi"/>
          <w:lang w:val="en-IE"/>
        </w:rPr>
        <w:t xml:space="preserve"> clinical practicum: A phenomenological study’, </w:t>
      </w:r>
      <w:r w:rsidR="00600CC0" w:rsidRPr="00446CC2">
        <w:rPr>
          <w:rFonts w:asciiTheme="minorHAnsi" w:hAnsiTheme="minorHAnsi" w:cstheme="minorHAnsi"/>
          <w:i/>
          <w:iCs/>
          <w:lang w:val="en-IE"/>
        </w:rPr>
        <w:t xml:space="preserve">Journal of </w:t>
      </w:r>
      <w:proofErr w:type="spellStart"/>
      <w:r w:rsidR="00600CC0" w:rsidRPr="00446CC2">
        <w:rPr>
          <w:rFonts w:asciiTheme="minorHAnsi" w:hAnsiTheme="minorHAnsi" w:cstheme="minorHAnsi"/>
          <w:i/>
          <w:iCs/>
          <w:lang w:val="en-IE"/>
        </w:rPr>
        <w:t>Pediatric</w:t>
      </w:r>
      <w:proofErr w:type="spellEnd"/>
      <w:r w:rsidR="00600CC0" w:rsidRPr="00446CC2">
        <w:rPr>
          <w:rFonts w:asciiTheme="minorHAnsi" w:hAnsiTheme="minorHAnsi" w:cstheme="minorHAnsi"/>
          <w:i/>
          <w:iCs/>
          <w:lang w:val="en-IE"/>
        </w:rPr>
        <w:t xml:space="preserve"> Nursing</w:t>
      </w:r>
      <w:r w:rsidR="00394FFF" w:rsidRPr="00446CC2">
        <w:rPr>
          <w:rFonts w:asciiTheme="minorHAnsi" w:hAnsiTheme="minorHAnsi" w:cstheme="minorHAnsi"/>
          <w:lang w:val="en-IE"/>
        </w:rPr>
        <w:t xml:space="preserve">. DOI: </w:t>
      </w:r>
      <w:hyperlink r:id="rId34" w:history="1">
        <w:r w:rsidR="00394FFF" w:rsidRPr="00446CC2">
          <w:rPr>
            <w:rStyle w:val="Hyperlink"/>
            <w:rFonts w:asciiTheme="minorHAnsi" w:hAnsiTheme="minorHAnsi" w:cstheme="minorHAnsi"/>
          </w:rPr>
          <w:t>https://doi.org/10.1016/j.pedn.2024.01.022</w:t>
        </w:r>
      </w:hyperlink>
      <w:r w:rsidR="00446CC2">
        <w:rPr>
          <w:rStyle w:val="Hyperlink"/>
          <w:rFonts w:asciiTheme="minorHAnsi" w:hAnsiTheme="minorHAnsi" w:cstheme="minorHAnsi"/>
          <w:color w:val="auto"/>
          <w:lang w:val="en-IE"/>
        </w:rPr>
        <w:t xml:space="preserve"> </w:t>
      </w:r>
    </w:p>
    <w:p w14:paraId="20679D9A" w14:textId="3626B095" w:rsidR="00107A4F" w:rsidRPr="00446CC2" w:rsidRDefault="00107A4F" w:rsidP="00DB5781">
      <w:pPr>
        <w:spacing w:after="160" w:line="259" w:lineRule="auto"/>
        <w:jc w:val="both"/>
        <w:rPr>
          <w:rFonts w:asciiTheme="minorHAnsi" w:hAnsiTheme="minorHAnsi" w:cstheme="minorHAnsi"/>
        </w:rPr>
      </w:pPr>
      <w:r w:rsidRPr="00446CC2">
        <w:rPr>
          <w:rFonts w:asciiTheme="minorHAnsi" w:hAnsiTheme="minorHAnsi" w:cstheme="minorHAnsi"/>
          <w:lang w:val="en-IE"/>
        </w:rPr>
        <w:t>Chen, J., Yang, Y., Shen, L., Zhang, X. and Hu, R. (2023) ‘</w:t>
      </w:r>
      <w:r w:rsidR="00E57AA7" w:rsidRPr="00446CC2">
        <w:rPr>
          <w:rFonts w:asciiTheme="minorHAnsi" w:hAnsiTheme="minorHAnsi" w:cstheme="minorHAnsi"/>
          <w:lang w:val="en-IE"/>
        </w:rPr>
        <w:t xml:space="preserve">Nursing students’ expectations and career preferences before clinical placement in mainland China: A qualitative exploration’, </w:t>
      </w:r>
      <w:r w:rsidR="00E57AA7" w:rsidRPr="00446CC2">
        <w:rPr>
          <w:rFonts w:asciiTheme="minorHAnsi" w:hAnsiTheme="minorHAnsi" w:cstheme="minorHAnsi"/>
          <w:i/>
          <w:iCs/>
          <w:lang w:val="en-IE"/>
        </w:rPr>
        <w:t>Nurse Education in Practice</w:t>
      </w:r>
      <w:r w:rsidR="00E57AA7" w:rsidRPr="00446CC2">
        <w:rPr>
          <w:rFonts w:asciiTheme="minorHAnsi" w:hAnsiTheme="minorHAnsi" w:cstheme="minorHAnsi"/>
          <w:lang w:val="en-IE"/>
        </w:rPr>
        <w:t xml:space="preserve">, 67. DOI: </w:t>
      </w:r>
      <w:hyperlink r:id="rId35" w:history="1">
        <w:r w:rsidR="00E57AA7" w:rsidRPr="00446CC2">
          <w:rPr>
            <w:rStyle w:val="Hyperlink"/>
            <w:rFonts w:asciiTheme="minorHAnsi" w:hAnsiTheme="minorHAnsi" w:cstheme="minorHAnsi"/>
          </w:rPr>
          <w:t>https://doi.org/10.1016/j.nepr.2023.103552</w:t>
        </w:r>
      </w:hyperlink>
      <w:r w:rsidR="00E57AA7" w:rsidRPr="00446CC2">
        <w:rPr>
          <w:rFonts w:asciiTheme="minorHAnsi" w:hAnsiTheme="minorHAnsi" w:cstheme="minorHAnsi"/>
          <w:lang w:val="en-IE"/>
        </w:rPr>
        <w:t xml:space="preserve"> </w:t>
      </w:r>
    </w:p>
    <w:p w14:paraId="1370B9B6"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lastRenderedPageBreak/>
        <w:t xml:space="preserve">Clarke, S. (2021) ‘An Exploration of the Child's Experience of Staying in Hospital from the Perspectives of Children and Children's Nurses using Child-Centered Methodology’, </w:t>
      </w:r>
      <w:r w:rsidRPr="00643811">
        <w:rPr>
          <w:rFonts w:asciiTheme="minorHAnsi" w:hAnsiTheme="minorHAnsi" w:cstheme="minorHAnsi"/>
          <w:i/>
          <w:iCs/>
        </w:rPr>
        <w:t>Comprehensive Child and Adolescent Nursing</w:t>
      </w:r>
      <w:r w:rsidRPr="00DB5781">
        <w:rPr>
          <w:rFonts w:asciiTheme="minorHAnsi" w:hAnsiTheme="minorHAnsi" w:cstheme="minorHAnsi"/>
        </w:rPr>
        <w:t xml:space="preserve">, </w:t>
      </w:r>
      <w:r w:rsidRPr="00BE29A4">
        <w:rPr>
          <w:rFonts w:asciiTheme="minorHAnsi" w:hAnsiTheme="minorHAnsi" w:cstheme="minorHAnsi"/>
        </w:rPr>
        <w:t xml:space="preserve">45(1), pp. 105-118. DOI: </w:t>
      </w:r>
      <w:hyperlink r:id="rId36" w:history="1">
        <w:r w:rsidRPr="00643811">
          <w:rPr>
            <w:rStyle w:val="Hyperlink"/>
            <w:rFonts w:asciiTheme="minorHAnsi" w:hAnsiTheme="minorHAnsi" w:cstheme="minorHAnsi"/>
          </w:rPr>
          <w:t>https://doi.org/10.1080/24694193.2021.1876786</w:t>
        </w:r>
      </w:hyperlink>
      <w:r w:rsidRPr="00BE29A4">
        <w:rPr>
          <w:rFonts w:asciiTheme="minorHAnsi" w:hAnsiTheme="minorHAnsi" w:cstheme="minorHAnsi"/>
        </w:rPr>
        <w:t xml:space="preserve"> </w:t>
      </w:r>
    </w:p>
    <w:p w14:paraId="669144C5"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Clarke, S. (2019) ‘Children’s experiences of staying in hospital from the perspectives of children and children’s’ nurses: A narrative review’, </w:t>
      </w:r>
      <w:r w:rsidRPr="00DB5781">
        <w:rPr>
          <w:rFonts w:asciiTheme="minorHAnsi" w:hAnsiTheme="minorHAnsi" w:cstheme="minorHAnsi"/>
        </w:rPr>
        <w:t>Nursing and Health Care</w:t>
      </w:r>
      <w:r w:rsidRPr="00BE29A4">
        <w:rPr>
          <w:rFonts w:asciiTheme="minorHAnsi" w:hAnsiTheme="minorHAnsi" w:cstheme="minorHAnsi"/>
        </w:rPr>
        <w:t xml:space="preserve">, 4(1), pp. 62-70. DOI: </w:t>
      </w:r>
      <w:hyperlink r:id="rId37" w:history="1">
        <w:r w:rsidRPr="00643811">
          <w:rPr>
            <w:rStyle w:val="Hyperlink"/>
            <w:rFonts w:asciiTheme="minorHAnsi" w:hAnsiTheme="minorHAnsi" w:cstheme="minorHAnsi"/>
          </w:rPr>
          <w:t>https://doi.org/10.33805/2573.3877.141</w:t>
        </w:r>
      </w:hyperlink>
      <w:r w:rsidRPr="00BE29A4">
        <w:rPr>
          <w:rFonts w:asciiTheme="minorHAnsi" w:hAnsiTheme="minorHAnsi" w:cstheme="minorHAnsi"/>
        </w:rPr>
        <w:t xml:space="preserve"> </w:t>
      </w:r>
    </w:p>
    <w:p w14:paraId="6E08289C"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Clarke, S.B. and Lippe, M.P. (2022) ‘Vicarious learning and communication self-efficacy: A pediatric end-of-life simulation for pre-licensure nursing students’, </w:t>
      </w:r>
      <w:r w:rsidRPr="00643811">
        <w:rPr>
          <w:rFonts w:asciiTheme="minorHAnsi" w:hAnsiTheme="minorHAnsi" w:cstheme="minorHAnsi"/>
          <w:i/>
          <w:iCs/>
        </w:rPr>
        <w:t>Journal of Professional Nursing</w:t>
      </w:r>
      <w:r w:rsidRPr="00BE29A4">
        <w:rPr>
          <w:rFonts w:asciiTheme="minorHAnsi" w:hAnsiTheme="minorHAnsi" w:cstheme="minorHAnsi"/>
        </w:rPr>
        <w:t xml:space="preserve">, 43, pp. 107-116. DOI: </w:t>
      </w:r>
      <w:hyperlink r:id="rId38" w:history="1">
        <w:r w:rsidRPr="00AD6A73">
          <w:rPr>
            <w:rStyle w:val="Hyperlink"/>
            <w:rFonts w:asciiTheme="minorHAnsi" w:hAnsiTheme="minorHAnsi" w:cstheme="minorHAnsi"/>
          </w:rPr>
          <w:t>https://doi.org/10.1016/j.profnurs.2022.09.008</w:t>
        </w:r>
      </w:hyperlink>
      <w:r w:rsidRPr="00BE29A4">
        <w:rPr>
          <w:rFonts w:asciiTheme="minorHAnsi" w:hAnsiTheme="minorHAnsi" w:cstheme="minorHAnsi"/>
        </w:rPr>
        <w:t xml:space="preserve"> </w:t>
      </w:r>
    </w:p>
    <w:p w14:paraId="4A0AC9DB"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Coad, J., Smith, J., Pontin, D. and Gibson, F. (2018) ‘Consult, Negotiate, and Involve: Evaluation of an Advanced Communication Skills Program for Health Care Professionals’, </w:t>
      </w:r>
      <w:r w:rsidRPr="00AD6A73">
        <w:rPr>
          <w:rFonts w:asciiTheme="minorHAnsi" w:hAnsiTheme="minorHAnsi" w:cstheme="minorHAnsi"/>
          <w:i/>
          <w:iCs/>
        </w:rPr>
        <w:t>Journal of Paediatric Oncology Nursing</w:t>
      </w:r>
      <w:r w:rsidRPr="00BE29A4">
        <w:rPr>
          <w:rFonts w:asciiTheme="minorHAnsi" w:hAnsiTheme="minorHAnsi" w:cstheme="minorHAnsi"/>
        </w:rPr>
        <w:t xml:space="preserve">, 35(4), pp. 296-307. DOI: </w:t>
      </w:r>
      <w:hyperlink r:id="rId39" w:history="1">
        <w:r w:rsidRPr="00AD6A73">
          <w:rPr>
            <w:rStyle w:val="Hyperlink"/>
            <w:rFonts w:asciiTheme="minorHAnsi" w:hAnsiTheme="minorHAnsi" w:cstheme="minorHAnsi"/>
          </w:rPr>
          <w:t>https://doi.org/10.1177/104345421876513</w:t>
        </w:r>
      </w:hyperlink>
      <w:r w:rsidRPr="00BE29A4">
        <w:rPr>
          <w:rFonts w:asciiTheme="minorHAnsi" w:hAnsiTheme="minorHAnsi" w:cstheme="minorHAnsi"/>
        </w:rPr>
        <w:t xml:space="preserve"> </w:t>
      </w:r>
    </w:p>
    <w:p w14:paraId="4F9665E2"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Coyne, I. and Carter, B. (2018) ‘Participatory Research in the Past, Present and Future’, in Coyne, I. and Carter, B. (Eds) </w:t>
      </w:r>
      <w:r w:rsidRPr="00AD6A73">
        <w:rPr>
          <w:rFonts w:asciiTheme="minorHAnsi" w:hAnsiTheme="minorHAnsi" w:cstheme="minorHAnsi"/>
          <w:i/>
          <w:iCs/>
        </w:rPr>
        <w:t>Being Participatory: Researching with Children and Young People Co-constructing Knowledge Using Creative Techniques</w:t>
      </w:r>
      <w:r w:rsidRPr="00BE29A4">
        <w:rPr>
          <w:rFonts w:asciiTheme="minorHAnsi" w:hAnsiTheme="minorHAnsi" w:cstheme="minorHAnsi"/>
        </w:rPr>
        <w:t>. Switzerland: Springer International Publishing. pp. 1-14.</w:t>
      </w:r>
    </w:p>
    <w:p w14:paraId="57CF7DEB"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Coyne I., Hallström I. and Söderbäck M. (2018) ‘Centeredness in Healthcare: A Concept Synthesis of Family-centered Care, Person-centered Care and Child-centered Care’, </w:t>
      </w:r>
      <w:r w:rsidRPr="00AD6A73">
        <w:rPr>
          <w:rFonts w:asciiTheme="minorHAnsi" w:hAnsiTheme="minorHAnsi" w:cstheme="minorHAnsi"/>
          <w:i/>
          <w:iCs/>
        </w:rPr>
        <w:t>Journal of Pediatric Nursing</w:t>
      </w:r>
      <w:r w:rsidRPr="00BE29A4">
        <w:rPr>
          <w:rFonts w:asciiTheme="minorHAnsi" w:hAnsiTheme="minorHAnsi" w:cstheme="minorHAnsi"/>
        </w:rPr>
        <w:t xml:space="preserve">, 42, pp. 45-56. DOI: </w:t>
      </w:r>
      <w:hyperlink r:id="rId40" w:history="1">
        <w:r w:rsidRPr="00AD6A73">
          <w:rPr>
            <w:rStyle w:val="Hyperlink"/>
            <w:rFonts w:asciiTheme="minorHAnsi" w:hAnsiTheme="minorHAnsi" w:cstheme="minorHAnsi"/>
          </w:rPr>
          <w:t>https://doi.org/10.1016/j.pedn.2018.07.001</w:t>
        </w:r>
      </w:hyperlink>
      <w:r w:rsidRPr="00BE29A4">
        <w:rPr>
          <w:rFonts w:asciiTheme="minorHAnsi" w:hAnsiTheme="minorHAnsi" w:cstheme="minorHAnsi"/>
        </w:rPr>
        <w:t xml:space="preserve"> </w:t>
      </w:r>
    </w:p>
    <w:p w14:paraId="4E1E9303"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Coyne, I. and Kirwan, L. (2012) ‘Ascertaining children's wishes and feelings about hospital life’, </w:t>
      </w:r>
      <w:r w:rsidRPr="00AD6A73">
        <w:rPr>
          <w:rFonts w:asciiTheme="minorHAnsi" w:hAnsiTheme="minorHAnsi" w:cstheme="minorHAnsi"/>
          <w:i/>
          <w:iCs/>
        </w:rPr>
        <w:t>Journal of Child Health Care</w:t>
      </w:r>
      <w:r w:rsidRPr="00BE29A4">
        <w:rPr>
          <w:rFonts w:asciiTheme="minorHAnsi" w:hAnsiTheme="minorHAnsi" w:cstheme="minorHAnsi"/>
        </w:rPr>
        <w:t xml:space="preserve">, 16(3), PP. 293-304. DOI: </w:t>
      </w:r>
      <w:hyperlink r:id="rId41" w:history="1">
        <w:r w:rsidRPr="00AD6A73">
          <w:rPr>
            <w:rStyle w:val="Hyperlink"/>
            <w:rFonts w:asciiTheme="minorHAnsi" w:hAnsiTheme="minorHAnsi" w:cstheme="minorHAnsi"/>
          </w:rPr>
          <w:t>https://doi.org/10.1177/1367493512443905</w:t>
        </w:r>
      </w:hyperlink>
      <w:r w:rsidRPr="00BE29A4">
        <w:rPr>
          <w:rFonts w:asciiTheme="minorHAnsi" w:hAnsiTheme="minorHAnsi" w:cstheme="minorHAnsi"/>
        </w:rPr>
        <w:t xml:space="preserve"> </w:t>
      </w:r>
    </w:p>
    <w:p w14:paraId="05FAB07C"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Creswell, J.W. and Creswell, J.D. (2023) </w:t>
      </w:r>
      <w:r w:rsidRPr="00AD6A73">
        <w:rPr>
          <w:rFonts w:asciiTheme="minorHAnsi" w:hAnsiTheme="minorHAnsi" w:cstheme="minorHAnsi"/>
          <w:i/>
          <w:iCs/>
        </w:rPr>
        <w:t>Research Design: Qualitative, Quantitative, and Mixed Methods Approaches</w:t>
      </w:r>
      <w:r w:rsidRPr="00BE29A4">
        <w:rPr>
          <w:rFonts w:asciiTheme="minorHAnsi" w:hAnsiTheme="minorHAnsi" w:cstheme="minorHAnsi"/>
        </w:rPr>
        <w:t>, 6</w:t>
      </w:r>
      <w:r w:rsidRPr="00DB5781">
        <w:rPr>
          <w:rFonts w:asciiTheme="minorHAnsi" w:hAnsiTheme="minorHAnsi" w:cstheme="minorHAnsi"/>
        </w:rPr>
        <w:t>th</w:t>
      </w:r>
      <w:r w:rsidRPr="00BE29A4">
        <w:rPr>
          <w:rFonts w:asciiTheme="minorHAnsi" w:hAnsiTheme="minorHAnsi" w:cstheme="minorHAnsi"/>
        </w:rPr>
        <w:t xml:space="preserve"> edn. London: SAGE Publications Ltd.</w:t>
      </w:r>
    </w:p>
    <w:p w14:paraId="7D514914"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Creswell, J.W. and Hirose, M. (2019) ‘Mixed methods and survey research in family medicine and community health’, </w:t>
      </w:r>
      <w:r w:rsidRPr="00AD6A73">
        <w:rPr>
          <w:rFonts w:asciiTheme="minorHAnsi" w:hAnsiTheme="minorHAnsi" w:cstheme="minorHAnsi"/>
          <w:i/>
          <w:iCs/>
        </w:rPr>
        <w:t>Family Medicine and Community Health</w:t>
      </w:r>
      <w:r w:rsidRPr="00DB5781">
        <w:rPr>
          <w:rFonts w:asciiTheme="minorHAnsi" w:hAnsiTheme="minorHAnsi" w:cstheme="minorHAnsi"/>
        </w:rPr>
        <w:t>,</w:t>
      </w:r>
      <w:r w:rsidRPr="00BE29A4">
        <w:rPr>
          <w:rFonts w:asciiTheme="minorHAnsi" w:hAnsiTheme="minorHAnsi" w:cstheme="minorHAnsi"/>
        </w:rPr>
        <w:t xml:space="preserve"> 7(2). DOI: </w:t>
      </w:r>
      <w:hyperlink r:id="rId42" w:history="1">
        <w:r w:rsidRPr="00AD6A73">
          <w:rPr>
            <w:rStyle w:val="Hyperlink"/>
            <w:rFonts w:asciiTheme="minorHAnsi" w:hAnsiTheme="minorHAnsi" w:cstheme="minorHAnsi"/>
          </w:rPr>
          <w:t>http://dx.doi.org/10.1136/fmch-2018-000086</w:t>
        </w:r>
      </w:hyperlink>
      <w:r w:rsidRPr="00BE29A4">
        <w:rPr>
          <w:rFonts w:asciiTheme="minorHAnsi" w:hAnsiTheme="minorHAnsi" w:cstheme="minorHAnsi"/>
        </w:rPr>
        <w:t xml:space="preserve"> </w:t>
      </w:r>
    </w:p>
    <w:p w14:paraId="2E1845FF"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Fawaz, M.A., Hamdan-Mansour, A.M. and Tassi, A. (2018) ‘Challenges facing nursing education in the advanced healthcare environment’, </w:t>
      </w:r>
      <w:r w:rsidRPr="00BC5730">
        <w:rPr>
          <w:rFonts w:asciiTheme="minorHAnsi" w:hAnsiTheme="minorHAnsi" w:cstheme="minorHAnsi"/>
          <w:i/>
          <w:iCs/>
        </w:rPr>
        <w:t>International Journal of Africa Nursing Sciences</w:t>
      </w:r>
      <w:r w:rsidRPr="00DB5781">
        <w:rPr>
          <w:rFonts w:asciiTheme="minorHAnsi" w:hAnsiTheme="minorHAnsi" w:cstheme="minorHAnsi"/>
        </w:rPr>
        <w:t>,</w:t>
      </w:r>
      <w:r w:rsidRPr="00BE29A4">
        <w:rPr>
          <w:rFonts w:asciiTheme="minorHAnsi" w:hAnsiTheme="minorHAnsi" w:cstheme="minorHAnsi"/>
        </w:rPr>
        <w:t xml:space="preserve"> 9, pp. 105-110. DOI: </w:t>
      </w:r>
      <w:hyperlink r:id="rId43" w:history="1">
        <w:r w:rsidRPr="00BC5730">
          <w:rPr>
            <w:rStyle w:val="Hyperlink"/>
            <w:rFonts w:asciiTheme="minorHAnsi" w:hAnsiTheme="minorHAnsi" w:cstheme="minorHAnsi"/>
          </w:rPr>
          <w:t>https://doi.org/10.1016/j.ijans.2018.10.005</w:t>
        </w:r>
      </w:hyperlink>
      <w:r w:rsidRPr="00BE29A4">
        <w:rPr>
          <w:rFonts w:asciiTheme="minorHAnsi" w:hAnsiTheme="minorHAnsi" w:cstheme="minorHAnsi"/>
        </w:rPr>
        <w:t xml:space="preserve"> </w:t>
      </w:r>
    </w:p>
    <w:p w14:paraId="744222E6" w14:textId="77777777" w:rsid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Ferrández-Antón, T., Ferreira-Padilla, G., del-Pino-Casado, R., Ferrández-Antón, P., Baleriola-Júlvez, J., and Martínez-Riera, J.R. (2020) ‘Communication skills training in undergraduate nursing programs in Spain’, </w:t>
      </w:r>
      <w:r w:rsidRPr="00AD71AC">
        <w:rPr>
          <w:rFonts w:asciiTheme="minorHAnsi" w:hAnsiTheme="minorHAnsi" w:cstheme="minorHAnsi"/>
          <w:i/>
          <w:iCs/>
        </w:rPr>
        <w:t>Nurse Education in Practice</w:t>
      </w:r>
      <w:r w:rsidRPr="00BE29A4">
        <w:rPr>
          <w:rFonts w:asciiTheme="minorHAnsi" w:hAnsiTheme="minorHAnsi" w:cstheme="minorHAnsi"/>
        </w:rPr>
        <w:t xml:space="preserve">, 42. DOI: </w:t>
      </w:r>
      <w:hyperlink r:id="rId44" w:history="1">
        <w:r w:rsidRPr="00AD71AC">
          <w:rPr>
            <w:rStyle w:val="Hyperlink"/>
            <w:rFonts w:asciiTheme="minorHAnsi" w:hAnsiTheme="minorHAnsi" w:cstheme="minorHAnsi"/>
          </w:rPr>
          <w:t>https://doi.org/10.1016/j.nepr.2019.102653</w:t>
        </w:r>
      </w:hyperlink>
      <w:r w:rsidRPr="00BE29A4">
        <w:rPr>
          <w:rFonts w:asciiTheme="minorHAnsi" w:hAnsiTheme="minorHAnsi" w:cstheme="minorHAnsi"/>
        </w:rPr>
        <w:t xml:space="preserve"> </w:t>
      </w:r>
    </w:p>
    <w:p w14:paraId="1AA11827" w14:textId="66ABEABC" w:rsidR="00234CF5" w:rsidRPr="00446CC2" w:rsidRDefault="00234CF5" w:rsidP="00DB5781">
      <w:pPr>
        <w:spacing w:after="160" w:line="259" w:lineRule="auto"/>
        <w:jc w:val="both"/>
        <w:rPr>
          <w:rFonts w:asciiTheme="minorHAnsi" w:hAnsiTheme="minorHAnsi" w:cstheme="minorHAnsi"/>
        </w:rPr>
      </w:pPr>
      <w:proofErr w:type="spellStart"/>
      <w:r w:rsidRPr="00446CC2">
        <w:rPr>
          <w:rFonts w:asciiTheme="minorHAnsi" w:hAnsiTheme="minorHAnsi" w:cstheme="minorHAnsi"/>
        </w:rPr>
        <w:lastRenderedPageBreak/>
        <w:t>Flinkman</w:t>
      </w:r>
      <w:proofErr w:type="spellEnd"/>
      <w:r w:rsidRPr="00446CC2">
        <w:rPr>
          <w:rFonts w:asciiTheme="minorHAnsi" w:hAnsiTheme="minorHAnsi" w:cstheme="minorHAnsi"/>
        </w:rPr>
        <w:t>, M., Leino-</w:t>
      </w:r>
      <w:proofErr w:type="spellStart"/>
      <w:r w:rsidRPr="00446CC2">
        <w:rPr>
          <w:rFonts w:asciiTheme="minorHAnsi" w:hAnsiTheme="minorHAnsi" w:cstheme="minorHAnsi"/>
        </w:rPr>
        <w:t>Kilpi</w:t>
      </w:r>
      <w:proofErr w:type="spellEnd"/>
      <w:r w:rsidRPr="00446CC2">
        <w:rPr>
          <w:rFonts w:asciiTheme="minorHAnsi" w:hAnsiTheme="minorHAnsi" w:cstheme="minorHAnsi"/>
        </w:rPr>
        <w:t xml:space="preserve">, H., Numminen, O., Jeon, Y., Kuokkanen, L. and </w:t>
      </w:r>
      <w:proofErr w:type="spellStart"/>
      <w:r w:rsidRPr="00446CC2">
        <w:rPr>
          <w:rFonts w:asciiTheme="minorHAnsi" w:hAnsiTheme="minorHAnsi" w:cstheme="minorHAnsi"/>
        </w:rPr>
        <w:t>Meretoja</w:t>
      </w:r>
      <w:proofErr w:type="spellEnd"/>
      <w:r w:rsidRPr="00446CC2">
        <w:rPr>
          <w:rFonts w:asciiTheme="minorHAnsi" w:hAnsiTheme="minorHAnsi" w:cstheme="minorHAnsi"/>
        </w:rPr>
        <w:t xml:space="preserve">, R. (2017) ‘Nurse competence scale: A systematic and psychometric review’, </w:t>
      </w:r>
      <w:r w:rsidRPr="00446CC2">
        <w:rPr>
          <w:rFonts w:asciiTheme="minorHAnsi" w:hAnsiTheme="minorHAnsi" w:cstheme="minorHAnsi"/>
          <w:i/>
          <w:iCs/>
        </w:rPr>
        <w:t xml:space="preserve">Journal of Advanced Nursing, </w:t>
      </w:r>
      <w:r w:rsidRPr="00446CC2">
        <w:rPr>
          <w:rFonts w:asciiTheme="minorHAnsi" w:hAnsiTheme="minorHAnsi" w:cstheme="minorHAnsi"/>
        </w:rPr>
        <w:t>73(5), pp. 1035–1050.</w:t>
      </w:r>
      <w:r w:rsidR="002C5A64" w:rsidRPr="00446CC2">
        <w:rPr>
          <w:rFonts w:asciiTheme="minorHAnsi" w:hAnsiTheme="minorHAnsi" w:cstheme="minorHAnsi"/>
        </w:rPr>
        <w:t xml:space="preserve"> DOI: </w:t>
      </w:r>
      <w:hyperlink r:id="rId45" w:history="1">
        <w:r w:rsidR="002C5A64" w:rsidRPr="00446CC2">
          <w:rPr>
            <w:rStyle w:val="Hyperlink"/>
            <w:rFonts w:asciiTheme="minorHAnsi" w:hAnsiTheme="minorHAnsi" w:cstheme="minorHAnsi"/>
          </w:rPr>
          <w:t>https://doi.org/10.1111/jan.13183</w:t>
        </w:r>
      </w:hyperlink>
      <w:r w:rsidR="002C5A64" w:rsidRPr="00446CC2">
        <w:rPr>
          <w:rFonts w:asciiTheme="minorHAnsi" w:hAnsiTheme="minorHAnsi" w:cstheme="minorHAnsi"/>
        </w:rPr>
        <w:t xml:space="preserve"> </w:t>
      </w:r>
    </w:p>
    <w:p w14:paraId="1799F3FD" w14:textId="42E0FADA" w:rsidR="002C3E7F" w:rsidRPr="00446CC2" w:rsidRDefault="002C3E7F" w:rsidP="00DB5781">
      <w:pPr>
        <w:spacing w:after="160" w:line="259" w:lineRule="auto"/>
        <w:jc w:val="both"/>
        <w:rPr>
          <w:rFonts w:asciiTheme="minorHAnsi" w:hAnsiTheme="minorHAnsi" w:cstheme="minorHAnsi"/>
          <w:lang w:val="en-IE"/>
        </w:rPr>
      </w:pPr>
      <w:r w:rsidRPr="00446CC2">
        <w:rPr>
          <w:rFonts w:asciiTheme="minorHAnsi" w:hAnsiTheme="minorHAnsi" w:cstheme="minorHAnsi"/>
          <w:lang w:val="en-IE"/>
        </w:rPr>
        <w:t>Foster, M., Blamires, J.,</w:t>
      </w:r>
      <w:r w:rsidR="00F64D81" w:rsidRPr="00446CC2">
        <w:rPr>
          <w:rFonts w:asciiTheme="minorHAnsi" w:hAnsiTheme="minorHAnsi" w:cstheme="minorHAnsi"/>
          <w:lang w:val="en-IE"/>
        </w:rPr>
        <w:t xml:space="preserve"> Moir, C., Jones, V., Shrestha-Ranjit, J.</w:t>
      </w:r>
      <w:r w:rsidR="00C7651F" w:rsidRPr="00446CC2">
        <w:rPr>
          <w:rFonts w:asciiTheme="minorHAnsi" w:hAnsiTheme="minorHAnsi" w:cstheme="minorHAnsi"/>
          <w:lang w:val="en-IE"/>
        </w:rPr>
        <w:t>, Fenton, B. and</w:t>
      </w:r>
      <w:r w:rsidRPr="00446CC2">
        <w:rPr>
          <w:rFonts w:asciiTheme="minorHAnsi" w:hAnsiTheme="minorHAnsi" w:cstheme="minorHAnsi"/>
          <w:lang w:val="en-IE"/>
        </w:rPr>
        <w:t xml:space="preserve"> Dickinson, A.</w:t>
      </w:r>
      <w:r w:rsidR="00F64D81" w:rsidRPr="00446CC2">
        <w:rPr>
          <w:rFonts w:asciiTheme="minorHAnsi" w:hAnsiTheme="minorHAnsi" w:cstheme="minorHAnsi"/>
          <w:lang w:val="en-IE"/>
        </w:rPr>
        <w:t xml:space="preserve"> (2023)</w:t>
      </w:r>
      <w:r w:rsidR="00C7651F" w:rsidRPr="00446CC2">
        <w:rPr>
          <w:rFonts w:asciiTheme="minorHAnsi" w:hAnsiTheme="minorHAnsi" w:cstheme="minorHAnsi"/>
          <w:lang w:val="en-IE"/>
        </w:rPr>
        <w:t xml:space="preserve"> ‘Children and young people’s participation in decision-making within healthcare organisations in New Zealand: An integrative review’, </w:t>
      </w:r>
      <w:r w:rsidR="00C7651F" w:rsidRPr="00446CC2">
        <w:rPr>
          <w:rFonts w:asciiTheme="minorHAnsi" w:hAnsiTheme="minorHAnsi" w:cstheme="minorHAnsi"/>
          <w:i/>
          <w:iCs/>
          <w:lang w:val="en-IE"/>
        </w:rPr>
        <w:t>Journal of Child Health Care</w:t>
      </w:r>
      <w:r w:rsidR="00A75D08" w:rsidRPr="00446CC2">
        <w:rPr>
          <w:rFonts w:asciiTheme="minorHAnsi" w:hAnsiTheme="minorHAnsi" w:cstheme="minorHAnsi"/>
          <w:i/>
          <w:iCs/>
          <w:lang w:val="en-IE"/>
        </w:rPr>
        <w:t xml:space="preserve">. </w:t>
      </w:r>
      <w:r w:rsidR="00A75D08" w:rsidRPr="00446CC2">
        <w:rPr>
          <w:rFonts w:asciiTheme="minorHAnsi" w:hAnsiTheme="minorHAnsi" w:cstheme="minorHAnsi"/>
          <w:lang w:val="en-IE"/>
        </w:rPr>
        <w:t xml:space="preserve">DOI: </w:t>
      </w:r>
      <w:hyperlink r:id="rId46" w:history="1">
        <w:r w:rsidR="00A75D08" w:rsidRPr="00446CC2">
          <w:rPr>
            <w:rStyle w:val="Hyperlink"/>
            <w:rFonts w:asciiTheme="minorHAnsi" w:hAnsiTheme="minorHAnsi" w:cstheme="minorHAnsi"/>
          </w:rPr>
          <w:t>https://doi.org/10.1177/13674935231153430</w:t>
        </w:r>
      </w:hyperlink>
      <w:r w:rsidR="00A75D08" w:rsidRPr="00446CC2">
        <w:rPr>
          <w:rFonts w:asciiTheme="minorHAnsi" w:hAnsiTheme="minorHAnsi" w:cstheme="minorHAnsi"/>
          <w:lang w:val="en-IE"/>
        </w:rPr>
        <w:t xml:space="preserve"> </w:t>
      </w:r>
    </w:p>
    <w:p w14:paraId="2841B489"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Gamble, A. (2017) ‘Simulation in undergraduate paediatric nursing curriculum: Evaluation of a complex ‘ward for a day’ education program’, </w:t>
      </w:r>
      <w:r w:rsidRPr="00696A63">
        <w:rPr>
          <w:rFonts w:asciiTheme="minorHAnsi" w:hAnsiTheme="minorHAnsi" w:cstheme="minorHAnsi"/>
          <w:i/>
          <w:iCs/>
        </w:rPr>
        <w:t>Nurse Education in Practice</w:t>
      </w:r>
      <w:r w:rsidRPr="00BE29A4">
        <w:rPr>
          <w:rFonts w:asciiTheme="minorHAnsi" w:hAnsiTheme="minorHAnsi" w:cstheme="minorHAnsi"/>
        </w:rPr>
        <w:t xml:space="preserve">, 23, pp. 40-47. DOI: </w:t>
      </w:r>
      <w:hyperlink r:id="rId47" w:history="1">
        <w:r w:rsidRPr="00696A63">
          <w:rPr>
            <w:rStyle w:val="Hyperlink"/>
            <w:rFonts w:asciiTheme="minorHAnsi" w:hAnsiTheme="minorHAnsi" w:cstheme="minorHAnsi"/>
          </w:rPr>
          <w:t>https://doi.org/10.1016/j.nepr.2017.02.001</w:t>
        </w:r>
      </w:hyperlink>
      <w:r w:rsidRPr="00BE29A4">
        <w:rPr>
          <w:rFonts w:asciiTheme="minorHAnsi" w:hAnsiTheme="minorHAnsi" w:cstheme="minorHAnsi"/>
        </w:rPr>
        <w:t xml:space="preserve"> </w:t>
      </w:r>
    </w:p>
    <w:p w14:paraId="7BB7C3A8"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Gamble, A., Bearmann, M. and Nestel, D. (2016) ‘A systematic review: Children &amp; Adolescents as simulated patients in health professional education’, </w:t>
      </w:r>
      <w:r w:rsidRPr="00696A63">
        <w:rPr>
          <w:rFonts w:asciiTheme="minorHAnsi" w:hAnsiTheme="minorHAnsi" w:cstheme="minorHAnsi"/>
          <w:i/>
          <w:iCs/>
        </w:rPr>
        <w:t>Advances in Simulation</w:t>
      </w:r>
      <w:r w:rsidRPr="00BE29A4">
        <w:rPr>
          <w:rFonts w:asciiTheme="minorHAnsi" w:hAnsiTheme="minorHAnsi" w:cstheme="minorHAnsi"/>
        </w:rPr>
        <w:t xml:space="preserve">, 1(1). DOI: </w:t>
      </w:r>
      <w:hyperlink r:id="rId48" w:history="1">
        <w:r w:rsidRPr="00696A63">
          <w:rPr>
            <w:rStyle w:val="Hyperlink"/>
            <w:rFonts w:asciiTheme="minorHAnsi" w:hAnsiTheme="minorHAnsi" w:cstheme="minorHAnsi"/>
          </w:rPr>
          <w:t>https://doi.org/10.1186/s41077-015-0003-9</w:t>
        </w:r>
      </w:hyperlink>
      <w:r w:rsidRPr="00BE29A4">
        <w:rPr>
          <w:rFonts w:asciiTheme="minorHAnsi" w:hAnsiTheme="minorHAnsi" w:cstheme="minorHAnsi"/>
        </w:rPr>
        <w:t xml:space="preserve"> </w:t>
      </w:r>
    </w:p>
    <w:p w14:paraId="53DA06B5"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Gibson-Young, L., Lambert, A.W., Yordy, M. and Wang, C-H. (2023) ‘Exploring outcomes from an innovative, pediatric-focused intervention with undergraduate nursing students’, </w:t>
      </w:r>
      <w:r w:rsidRPr="00696A63">
        <w:rPr>
          <w:rFonts w:asciiTheme="minorHAnsi" w:hAnsiTheme="minorHAnsi" w:cstheme="minorHAnsi"/>
          <w:i/>
          <w:iCs/>
        </w:rPr>
        <w:t>Journal of Pediatric Nursing,</w:t>
      </w:r>
      <w:r w:rsidRPr="00BE29A4">
        <w:rPr>
          <w:rFonts w:asciiTheme="minorHAnsi" w:hAnsiTheme="minorHAnsi" w:cstheme="minorHAnsi"/>
        </w:rPr>
        <w:t xml:space="preserve"> 68, pp. 30-34. DOI: </w:t>
      </w:r>
      <w:hyperlink r:id="rId49" w:history="1">
        <w:r w:rsidRPr="00696A63">
          <w:rPr>
            <w:rStyle w:val="Hyperlink"/>
            <w:rFonts w:asciiTheme="minorHAnsi" w:hAnsiTheme="minorHAnsi" w:cstheme="minorHAnsi"/>
          </w:rPr>
          <w:t>https://doi.org/10.1016/j.pedn.2022.09.002</w:t>
        </w:r>
      </w:hyperlink>
      <w:r w:rsidRPr="00BE29A4">
        <w:rPr>
          <w:rFonts w:asciiTheme="minorHAnsi" w:hAnsiTheme="minorHAnsi" w:cstheme="minorHAnsi"/>
        </w:rPr>
        <w:t xml:space="preserve"> </w:t>
      </w:r>
    </w:p>
    <w:p w14:paraId="6E401F33" w14:textId="77777777" w:rsid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Glasper, E.A. (2020) ‘Celebrating a Century of State Regulation of Children’s and Young People’s Nurses in the UK (1919–2019)’, </w:t>
      </w:r>
      <w:r w:rsidRPr="0009423E">
        <w:rPr>
          <w:rFonts w:asciiTheme="minorHAnsi" w:hAnsiTheme="minorHAnsi" w:cstheme="minorHAnsi"/>
          <w:i/>
          <w:iCs/>
        </w:rPr>
        <w:t>Comprehensive Child and Adolescent Nursing</w:t>
      </w:r>
      <w:r w:rsidRPr="00DB5781">
        <w:rPr>
          <w:rFonts w:asciiTheme="minorHAnsi" w:hAnsiTheme="minorHAnsi" w:cstheme="minorHAnsi"/>
        </w:rPr>
        <w:t xml:space="preserve">, </w:t>
      </w:r>
      <w:r w:rsidRPr="00BE29A4">
        <w:rPr>
          <w:rFonts w:asciiTheme="minorHAnsi" w:hAnsiTheme="minorHAnsi" w:cstheme="minorHAnsi"/>
        </w:rPr>
        <w:t xml:space="preserve">43(1), PP.1-9. DOI: </w:t>
      </w:r>
      <w:hyperlink r:id="rId50" w:history="1">
        <w:r w:rsidRPr="0009423E">
          <w:rPr>
            <w:rStyle w:val="Hyperlink"/>
            <w:rFonts w:asciiTheme="minorHAnsi" w:hAnsiTheme="minorHAnsi" w:cstheme="minorHAnsi"/>
          </w:rPr>
          <w:t>https://doi.org/10.1080/24694193.2019.1707594</w:t>
        </w:r>
      </w:hyperlink>
      <w:r w:rsidRPr="00BE29A4">
        <w:rPr>
          <w:rFonts w:asciiTheme="minorHAnsi" w:hAnsiTheme="minorHAnsi" w:cstheme="minorHAnsi"/>
        </w:rPr>
        <w:t xml:space="preserve"> </w:t>
      </w:r>
    </w:p>
    <w:p w14:paraId="7F2309E6" w14:textId="294C45A7" w:rsidR="00845A57" w:rsidRPr="00A71002" w:rsidRDefault="00845A57" w:rsidP="00DB5781">
      <w:pPr>
        <w:spacing w:after="160" w:line="259" w:lineRule="auto"/>
        <w:jc w:val="both"/>
        <w:rPr>
          <w:rFonts w:asciiTheme="minorHAnsi" w:hAnsiTheme="minorHAnsi" w:cstheme="minorHAnsi"/>
        </w:rPr>
      </w:pPr>
      <w:r w:rsidRPr="00845A57">
        <w:rPr>
          <w:rFonts w:asciiTheme="minorHAnsi" w:hAnsiTheme="minorHAnsi" w:cstheme="minorHAnsi"/>
        </w:rPr>
        <w:t>Gonzalez-García</w:t>
      </w:r>
      <w:r>
        <w:rPr>
          <w:rFonts w:asciiTheme="minorHAnsi" w:hAnsiTheme="minorHAnsi" w:cstheme="minorHAnsi"/>
        </w:rPr>
        <w:t xml:space="preserve">, A., </w:t>
      </w:r>
      <w:proofErr w:type="spellStart"/>
      <w:r w:rsidRPr="00845A57">
        <w:rPr>
          <w:rFonts w:asciiTheme="minorHAnsi" w:hAnsiTheme="minorHAnsi" w:cstheme="minorHAnsi"/>
        </w:rPr>
        <w:t>Díez</w:t>
      </w:r>
      <w:proofErr w:type="spellEnd"/>
      <w:r w:rsidRPr="00845A57">
        <w:rPr>
          <w:rFonts w:asciiTheme="minorHAnsi" w:hAnsiTheme="minorHAnsi" w:cstheme="minorHAnsi"/>
        </w:rPr>
        <w:t>-Fernandez</w:t>
      </w:r>
      <w:r>
        <w:rPr>
          <w:rFonts w:asciiTheme="minorHAnsi" w:hAnsiTheme="minorHAnsi" w:cstheme="minorHAnsi"/>
        </w:rPr>
        <w:t xml:space="preserve">, A., </w:t>
      </w:r>
      <w:r w:rsidRPr="00845A57">
        <w:rPr>
          <w:rFonts w:asciiTheme="minorHAnsi" w:hAnsiTheme="minorHAnsi" w:cstheme="minorHAnsi"/>
        </w:rPr>
        <w:t>Leino-</w:t>
      </w:r>
      <w:proofErr w:type="spellStart"/>
      <w:r w:rsidRPr="00845A57">
        <w:rPr>
          <w:rFonts w:asciiTheme="minorHAnsi" w:hAnsiTheme="minorHAnsi" w:cstheme="minorHAnsi"/>
        </w:rPr>
        <w:t>Kilpi</w:t>
      </w:r>
      <w:proofErr w:type="spellEnd"/>
      <w:r>
        <w:rPr>
          <w:rFonts w:asciiTheme="minorHAnsi" w:hAnsiTheme="minorHAnsi" w:cstheme="minorHAnsi"/>
        </w:rPr>
        <w:t>, H., M</w:t>
      </w:r>
      <w:r w:rsidRPr="00845A57">
        <w:rPr>
          <w:rFonts w:asciiTheme="minorHAnsi" w:hAnsiTheme="minorHAnsi" w:cstheme="minorHAnsi"/>
        </w:rPr>
        <w:t>artínez-</w:t>
      </w:r>
      <w:proofErr w:type="spellStart"/>
      <w:r w:rsidRPr="00845A57">
        <w:rPr>
          <w:rFonts w:asciiTheme="minorHAnsi" w:hAnsiTheme="minorHAnsi" w:cstheme="minorHAnsi"/>
        </w:rPr>
        <w:t>Vizcaíno</w:t>
      </w:r>
      <w:proofErr w:type="spellEnd"/>
      <w:r>
        <w:rPr>
          <w:rFonts w:asciiTheme="minorHAnsi" w:hAnsiTheme="minorHAnsi" w:cstheme="minorHAnsi"/>
        </w:rPr>
        <w:t xml:space="preserve">, </w:t>
      </w:r>
      <w:r w:rsidR="00A71002">
        <w:rPr>
          <w:rFonts w:asciiTheme="minorHAnsi" w:hAnsiTheme="minorHAnsi" w:cstheme="minorHAnsi"/>
        </w:rPr>
        <w:t xml:space="preserve">V. and </w:t>
      </w:r>
      <w:r w:rsidRPr="00845A57">
        <w:rPr>
          <w:rFonts w:asciiTheme="minorHAnsi" w:hAnsiTheme="minorHAnsi" w:cstheme="minorHAnsi"/>
        </w:rPr>
        <w:t>Strandell-Laine</w:t>
      </w:r>
      <w:r w:rsidR="00A71002">
        <w:rPr>
          <w:rFonts w:asciiTheme="minorHAnsi" w:hAnsiTheme="minorHAnsi" w:cstheme="minorHAnsi"/>
        </w:rPr>
        <w:t>, C. (2021) ‘</w:t>
      </w:r>
      <w:r w:rsidR="00A71002" w:rsidRPr="00A71002">
        <w:rPr>
          <w:rFonts w:asciiTheme="minorHAnsi" w:hAnsiTheme="minorHAnsi" w:cstheme="minorHAnsi"/>
        </w:rPr>
        <w:t>The relationship between clinical placement duration and</w:t>
      </w:r>
      <w:r w:rsidR="00A71002">
        <w:rPr>
          <w:rFonts w:asciiTheme="minorHAnsi" w:hAnsiTheme="minorHAnsi" w:cstheme="minorHAnsi"/>
        </w:rPr>
        <w:t xml:space="preserve"> </w:t>
      </w:r>
      <w:r w:rsidR="00A71002" w:rsidRPr="00A71002">
        <w:rPr>
          <w:rFonts w:asciiTheme="minorHAnsi" w:hAnsiTheme="minorHAnsi" w:cstheme="minorHAnsi"/>
        </w:rPr>
        <w:t>students' satisfaction with the quality of supervision and</w:t>
      </w:r>
      <w:r w:rsidR="00A71002">
        <w:rPr>
          <w:rFonts w:asciiTheme="minorHAnsi" w:hAnsiTheme="minorHAnsi" w:cstheme="minorHAnsi"/>
        </w:rPr>
        <w:t xml:space="preserve"> </w:t>
      </w:r>
      <w:r w:rsidR="00A71002" w:rsidRPr="00A71002">
        <w:rPr>
          <w:rFonts w:asciiTheme="minorHAnsi" w:hAnsiTheme="minorHAnsi" w:cstheme="minorHAnsi"/>
        </w:rPr>
        <w:t>learning environment: A mediation analysi</w:t>
      </w:r>
      <w:r w:rsidR="00A71002">
        <w:rPr>
          <w:rFonts w:asciiTheme="minorHAnsi" w:hAnsiTheme="minorHAnsi" w:cstheme="minorHAnsi"/>
        </w:rPr>
        <w:t xml:space="preserve">s’, </w:t>
      </w:r>
      <w:r w:rsidR="00A71002">
        <w:rPr>
          <w:rFonts w:asciiTheme="minorHAnsi" w:hAnsiTheme="minorHAnsi" w:cstheme="minorHAnsi"/>
          <w:i/>
          <w:iCs/>
        </w:rPr>
        <w:t xml:space="preserve">Nursing and Health Sciences, </w:t>
      </w:r>
      <w:r w:rsidR="00A71002">
        <w:rPr>
          <w:rFonts w:asciiTheme="minorHAnsi" w:hAnsiTheme="minorHAnsi" w:cstheme="minorHAnsi"/>
        </w:rPr>
        <w:t>23, pp. 688-697. DOI:</w:t>
      </w:r>
      <w:r w:rsidR="00E118A0">
        <w:rPr>
          <w:rFonts w:asciiTheme="minorHAnsi" w:hAnsiTheme="minorHAnsi" w:cstheme="minorHAnsi"/>
        </w:rPr>
        <w:t xml:space="preserve"> </w:t>
      </w:r>
      <w:hyperlink r:id="rId51" w:history="1">
        <w:r w:rsidR="00E118A0" w:rsidRPr="00120BC6">
          <w:rPr>
            <w:rStyle w:val="Hyperlink"/>
            <w:rFonts w:asciiTheme="minorHAnsi" w:hAnsiTheme="minorHAnsi" w:cstheme="minorHAnsi"/>
          </w:rPr>
          <w:t>https://doi.org/10.1111/nhs.12855</w:t>
        </w:r>
      </w:hyperlink>
      <w:r w:rsidR="00E118A0">
        <w:rPr>
          <w:rFonts w:asciiTheme="minorHAnsi" w:hAnsiTheme="minorHAnsi" w:cstheme="minorHAnsi"/>
        </w:rPr>
        <w:t xml:space="preserve"> </w:t>
      </w:r>
    </w:p>
    <w:p w14:paraId="2CF9D260" w14:textId="105D27DF" w:rsidR="00BE29A4" w:rsidRPr="00170356" w:rsidRDefault="00BE29A4" w:rsidP="00DB5781">
      <w:pPr>
        <w:spacing w:after="160" w:line="259" w:lineRule="auto"/>
        <w:jc w:val="both"/>
        <w:rPr>
          <w:rFonts w:asciiTheme="minorHAnsi" w:hAnsiTheme="minorHAnsi" w:cstheme="minorHAnsi"/>
          <w:lang w:val="fr-FR"/>
        </w:rPr>
      </w:pPr>
      <w:r w:rsidRPr="00BE29A4">
        <w:rPr>
          <w:rFonts w:asciiTheme="minorHAnsi" w:hAnsiTheme="minorHAnsi" w:cstheme="minorHAnsi"/>
        </w:rPr>
        <w:t xml:space="preserve">Gutiérrez-Puertas, L., Márquez-Hernández, V.V., Gutiérrez-Puertas, V., Granados-Gámez, G. and Aguilera-Manrique, G. (2020) ‘Educational Interventions for Nursing Students to Develop Communication Skills with Patients: A Systematic Review’, </w:t>
      </w:r>
      <w:r w:rsidRPr="00716D32">
        <w:rPr>
          <w:rFonts w:asciiTheme="minorHAnsi" w:hAnsiTheme="minorHAnsi" w:cstheme="minorHAnsi"/>
          <w:i/>
          <w:iCs/>
        </w:rPr>
        <w:t>International Journal of Environmental Research and Public Health</w:t>
      </w:r>
      <w:r w:rsidRPr="00DB5781">
        <w:rPr>
          <w:rFonts w:asciiTheme="minorHAnsi" w:hAnsiTheme="minorHAnsi" w:cstheme="minorHAnsi"/>
        </w:rPr>
        <w:t>,</w:t>
      </w:r>
      <w:r w:rsidRPr="00BE29A4">
        <w:rPr>
          <w:rFonts w:asciiTheme="minorHAnsi" w:hAnsiTheme="minorHAnsi" w:cstheme="minorHAnsi"/>
        </w:rPr>
        <w:t xml:space="preserve"> 17(7), pp. 2241.</w:t>
      </w:r>
      <w:r w:rsidR="00716D32">
        <w:rPr>
          <w:rFonts w:asciiTheme="minorHAnsi" w:hAnsiTheme="minorHAnsi" w:cstheme="minorHAnsi"/>
        </w:rPr>
        <w:t xml:space="preserve"> </w:t>
      </w:r>
      <w:proofErr w:type="gramStart"/>
      <w:r w:rsidRPr="00170356">
        <w:rPr>
          <w:rFonts w:asciiTheme="minorHAnsi" w:hAnsiTheme="minorHAnsi" w:cstheme="minorHAnsi"/>
          <w:lang w:val="fr-FR"/>
        </w:rPr>
        <w:t>DOI:</w:t>
      </w:r>
      <w:proofErr w:type="gramEnd"/>
      <w:r w:rsidRPr="00170356">
        <w:rPr>
          <w:rFonts w:asciiTheme="minorHAnsi" w:hAnsiTheme="minorHAnsi" w:cstheme="minorHAnsi"/>
          <w:lang w:val="fr-FR"/>
        </w:rPr>
        <w:t xml:space="preserve"> </w:t>
      </w:r>
      <w:hyperlink r:id="rId52" w:history="1">
        <w:r w:rsidRPr="00170356">
          <w:rPr>
            <w:rStyle w:val="Hyperlink"/>
            <w:rFonts w:asciiTheme="minorHAnsi" w:hAnsiTheme="minorHAnsi" w:cstheme="minorHAnsi"/>
            <w:lang w:val="fr-FR"/>
          </w:rPr>
          <w:t>https://doi.org/10.3390/ijerph17072241</w:t>
        </w:r>
      </w:hyperlink>
      <w:r w:rsidRPr="00170356">
        <w:rPr>
          <w:rFonts w:asciiTheme="minorHAnsi" w:hAnsiTheme="minorHAnsi" w:cstheme="minorHAnsi"/>
          <w:lang w:val="fr-FR"/>
        </w:rPr>
        <w:t xml:space="preserve"> </w:t>
      </w:r>
    </w:p>
    <w:p w14:paraId="0708879E" w14:textId="77777777" w:rsidR="00BE29A4" w:rsidRPr="00BE29A4" w:rsidRDefault="00BE29A4" w:rsidP="00DB5781">
      <w:pPr>
        <w:spacing w:after="160" w:line="259" w:lineRule="auto"/>
        <w:jc w:val="both"/>
        <w:rPr>
          <w:rFonts w:asciiTheme="minorHAnsi" w:hAnsiTheme="minorHAnsi" w:cstheme="minorHAnsi"/>
        </w:rPr>
      </w:pPr>
      <w:r w:rsidRPr="00170356">
        <w:rPr>
          <w:rFonts w:asciiTheme="minorHAnsi" w:hAnsiTheme="minorHAnsi" w:cstheme="minorHAnsi"/>
          <w:lang w:val="fr-FR"/>
        </w:rPr>
        <w:t xml:space="preserve">Hardie, P., Murray, A., Jarvis, S. et al. </w:t>
      </w:r>
      <w:r w:rsidRPr="00BE29A4">
        <w:rPr>
          <w:rFonts w:asciiTheme="minorHAnsi" w:hAnsiTheme="minorHAnsi" w:cstheme="minorHAnsi"/>
        </w:rPr>
        <w:t xml:space="preserve">(2022) ‘Experienced based co design: nursing preceptorship educational programme’, </w:t>
      </w:r>
      <w:r w:rsidRPr="00716D32">
        <w:rPr>
          <w:rFonts w:asciiTheme="minorHAnsi" w:hAnsiTheme="minorHAnsi" w:cstheme="minorHAnsi"/>
          <w:i/>
          <w:iCs/>
        </w:rPr>
        <w:t>Research Involvement and Engagement</w:t>
      </w:r>
      <w:r w:rsidRPr="00BE29A4">
        <w:rPr>
          <w:rFonts w:asciiTheme="minorHAnsi" w:hAnsiTheme="minorHAnsi" w:cstheme="minorHAnsi"/>
        </w:rPr>
        <w:t xml:space="preserve">, 8(53). DOI: </w:t>
      </w:r>
      <w:hyperlink r:id="rId53" w:history="1">
        <w:r w:rsidRPr="00716D32">
          <w:rPr>
            <w:rStyle w:val="Hyperlink"/>
            <w:rFonts w:asciiTheme="minorHAnsi" w:hAnsiTheme="minorHAnsi" w:cstheme="minorHAnsi"/>
          </w:rPr>
          <w:t>https://doi.org/10.1186/s40900-022-00385-3</w:t>
        </w:r>
      </w:hyperlink>
      <w:r w:rsidRPr="00BE29A4">
        <w:rPr>
          <w:rFonts w:asciiTheme="minorHAnsi" w:hAnsiTheme="minorHAnsi" w:cstheme="minorHAnsi"/>
        </w:rPr>
        <w:t xml:space="preserve"> </w:t>
      </w:r>
    </w:p>
    <w:p w14:paraId="6D476A99"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Hughes, S. and Quinn, F. (2013) </w:t>
      </w:r>
      <w:r w:rsidRPr="00AD53B2">
        <w:rPr>
          <w:rFonts w:asciiTheme="minorHAnsi" w:hAnsiTheme="minorHAnsi" w:cstheme="minorHAnsi"/>
          <w:i/>
          <w:iCs/>
        </w:rPr>
        <w:t>Quinn's Principles and Practice of Nurse Education</w:t>
      </w:r>
      <w:r w:rsidRPr="00BE29A4">
        <w:rPr>
          <w:rFonts w:asciiTheme="minorHAnsi" w:hAnsiTheme="minorHAnsi" w:cstheme="minorHAnsi"/>
        </w:rPr>
        <w:t>. 6</w:t>
      </w:r>
      <w:r w:rsidRPr="00DB5781">
        <w:rPr>
          <w:rFonts w:asciiTheme="minorHAnsi" w:hAnsiTheme="minorHAnsi" w:cstheme="minorHAnsi"/>
        </w:rPr>
        <w:t>th</w:t>
      </w:r>
      <w:r w:rsidRPr="00BE29A4">
        <w:rPr>
          <w:rFonts w:asciiTheme="minorHAnsi" w:hAnsiTheme="minorHAnsi" w:cstheme="minorHAnsi"/>
        </w:rPr>
        <w:t xml:space="preserve"> edn. England: Cengage Learning EMEA.</w:t>
      </w:r>
    </w:p>
    <w:p w14:paraId="67D1643E"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Hsieh, H-F. and Shannon, S.E. (2005) ‘Three Approaches to Qualitative Content Analysis’, </w:t>
      </w:r>
      <w:r w:rsidRPr="002F4D79">
        <w:rPr>
          <w:rFonts w:asciiTheme="minorHAnsi" w:hAnsiTheme="minorHAnsi" w:cstheme="minorHAnsi"/>
          <w:i/>
          <w:iCs/>
        </w:rPr>
        <w:t>Qualitative Health Research</w:t>
      </w:r>
      <w:r w:rsidRPr="00DB5781">
        <w:rPr>
          <w:rFonts w:asciiTheme="minorHAnsi" w:hAnsiTheme="minorHAnsi" w:cstheme="minorHAnsi"/>
        </w:rPr>
        <w:t xml:space="preserve">, </w:t>
      </w:r>
      <w:r w:rsidRPr="00BE29A4">
        <w:rPr>
          <w:rFonts w:asciiTheme="minorHAnsi" w:hAnsiTheme="minorHAnsi" w:cstheme="minorHAnsi"/>
        </w:rPr>
        <w:t xml:space="preserve">15(9), pp. 1147-1288. DOI: </w:t>
      </w:r>
      <w:hyperlink r:id="rId54" w:history="1">
        <w:r w:rsidRPr="002F4D79">
          <w:rPr>
            <w:rStyle w:val="Hyperlink"/>
            <w:rFonts w:asciiTheme="minorHAnsi" w:hAnsiTheme="minorHAnsi" w:cstheme="minorHAnsi"/>
          </w:rPr>
          <w:t>https://doi.org/10.1177/1049732305276687</w:t>
        </w:r>
      </w:hyperlink>
      <w:r w:rsidRPr="00BE29A4">
        <w:rPr>
          <w:rFonts w:asciiTheme="minorHAnsi" w:hAnsiTheme="minorHAnsi" w:cstheme="minorHAnsi"/>
        </w:rPr>
        <w:t xml:space="preserve">  </w:t>
      </w:r>
    </w:p>
    <w:p w14:paraId="66FF97AE"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lastRenderedPageBreak/>
        <w:t xml:space="preserve">Jacobs, S., Davies, N., Butterick, K.L., Oswell, J.L., Siapka, K. and Smith, C.H. (2023) ‘Shared decision-making for children with medical complexity in community health services: a scoping review’, </w:t>
      </w:r>
      <w:r w:rsidRPr="002F4D79">
        <w:rPr>
          <w:rFonts w:asciiTheme="minorHAnsi" w:hAnsiTheme="minorHAnsi" w:cstheme="minorHAnsi"/>
          <w:i/>
          <w:iCs/>
        </w:rPr>
        <w:t>BMJ Paediatrics Open</w:t>
      </w:r>
      <w:r w:rsidRPr="00DB5781">
        <w:rPr>
          <w:rFonts w:asciiTheme="minorHAnsi" w:hAnsiTheme="minorHAnsi" w:cstheme="minorHAnsi"/>
        </w:rPr>
        <w:t xml:space="preserve">, </w:t>
      </w:r>
      <w:r w:rsidRPr="00BE29A4">
        <w:rPr>
          <w:rFonts w:asciiTheme="minorHAnsi" w:hAnsiTheme="minorHAnsi" w:cstheme="minorHAnsi"/>
        </w:rPr>
        <w:t xml:space="preserve">7(1). DOI: </w:t>
      </w:r>
      <w:r w:rsidRPr="001A367C">
        <w:rPr>
          <w:rStyle w:val="Hyperlink"/>
          <w:rFonts w:asciiTheme="minorHAnsi" w:hAnsiTheme="minorHAnsi" w:cstheme="minorHAnsi"/>
        </w:rPr>
        <w:t>10.1136/bmjpo-2023-001866</w:t>
      </w:r>
    </w:p>
    <w:p w14:paraId="766AE365" w14:textId="77777777" w:rsid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Jassim, T., Carlson, E. and Bengtsson, M. (2022) ‘Preceptors’ and nursing students’ experiences of using peer learning in primary healthcare settings: a qualitative study’, </w:t>
      </w:r>
      <w:r w:rsidRPr="001A367C">
        <w:rPr>
          <w:rFonts w:asciiTheme="minorHAnsi" w:hAnsiTheme="minorHAnsi" w:cstheme="minorHAnsi"/>
          <w:i/>
          <w:iCs/>
        </w:rPr>
        <w:t>BMC Nursing</w:t>
      </w:r>
      <w:r w:rsidRPr="00BE29A4">
        <w:rPr>
          <w:rFonts w:asciiTheme="minorHAnsi" w:hAnsiTheme="minorHAnsi" w:cstheme="minorHAnsi"/>
        </w:rPr>
        <w:t xml:space="preserve">, 21(66). DOI: </w:t>
      </w:r>
      <w:hyperlink r:id="rId55" w:history="1">
        <w:r w:rsidRPr="001A367C">
          <w:rPr>
            <w:rStyle w:val="Hyperlink"/>
            <w:rFonts w:asciiTheme="minorHAnsi" w:hAnsiTheme="minorHAnsi" w:cstheme="minorHAnsi"/>
          </w:rPr>
          <w:t>https://doi.org/10.1186/s12912-022-00844-y</w:t>
        </w:r>
      </w:hyperlink>
      <w:r w:rsidRPr="00BE29A4">
        <w:rPr>
          <w:rFonts w:asciiTheme="minorHAnsi" w:hAnsiTheme="minorHAnsi" w:cstheme="minorHAnsi"/>
        </w:rPr>
        <w:t xml:space="preserve"> </w:t>
      </w:r>
    </w:p>
    <w:p w14:paraId="516F6047" w14:textId="791F981E" w:rsidR="00C14AC6" w:rsidRPr="00BE29A4" w:rsidRDefault="00C14AC6" w:rsidP="00C14AC6">
      <w:pPr>
        <w:spacing w:after="160" w:line="259" w:lineRule="auto"/>
        <w:jc w:val="both"/>
        <w:rPr>
          <w:rFonts w:asciiTheme="minorHAnsi" w:hAnsiTheme="minorHAnsi" w:cstheme="minorHAnsi"/>
        </w:rPr>
      </w:pPr>
      <w:r w:rsidRPr="00C14AC6">
        <w:rPr>
          <w:rFonts w:asciiTheme="minorHAnsi" w:hAnsiTheme="minorHAnsi" w:cstheme="minorHAnsi"/>
        </w:rPr>
        <w:t xml:space="preserve">Jepsen, S.L., Haahr, A., </w:t>
      </w:r>
      <w:proofErr w:type="spellStart"/>
      <w:r w:rsidRPr="00C14AC6">
        <w:rPr>
          <w:rFonts w:asciiTheme="minorHAnsi" w:hAnsiTheme="minorHAnsi" w:cstheme="minorHAnsi"/>
        </w:rPr>
        <w:t>Eg</w:t>
      </w:r>
      <w:proofErr w:type="spellEnd"/>
      <w:r w:rsidRPr="00C14AC6">
        <w:rPr>
          <w:rFonts w:asciiTheme="minorHAnsi" w:hAnsiTheme="minorHAnsi" w:cstheme="minorHAnsi"/>
        </w:rPr>
        <w:t>, M. and Jorgensen, L. (2019) ‘Coping with the unfamiliar: How do children cope with hospitalization in relation to acute and/or critical illness? A qualitative</w:t>
      </w:r>
      <w:r>
        <w:rPr>
          <w:rFonts w:asciiTheme="minorHAnsi" w:hAnsiTheme="minorHAnsi" w:cstheme="minorHAnsi"/>
        </w:rPr>
        <w:t xml:space="preserve"> </w:t>
      </w:r>
      <w:proofErr w:type="spellStart"/>
      <w:r w:rsidRPr="00C14AC6">
        <w:rPr>
          <w:rFonts w:asciiTheme="minorHAnsi" w:hAnsiTheme="minorHAnsi" w:cstheme="minorHAnsi"/>
        </w:rPr>
        <w:t>metasynthesis</w:t>
      </w:r>
      <w:proofErr w:type="spellEnd"/>
      <w:r w:rsidRPr="00C14AC6">
        <w:rPr>
          <w:rFonts w:asciiTheme="minorHAnsi" w:hAnsiTheme="minorHAnsi" w:cstheme="minorHAnsi"/>
        </w:rPr>
        <w:t>’, Journal of Child Health Care, 23(4), pp. 534-550. DOI:</w:t>
      </w:r>
      <w:r>
        <w:rPr>
          <w:rFonts w:asciiTheme="minorHAnsi" w:hAnsiTheme="minorHAnsi" w:cstheme="minorHAnsi"/>
        </w:rPr>
        <w:t xml:space="preserve"> </w:t>
      </w:r>
      <w:hyperlink r:id="rId56" w:history="1">
        <w:r w:rsidRPr="00341DB0">
          <w:rPr>
            <w:rStyle w:val="Hyperlink"/>
            <w:rFonts w:asciiTheme="minorHAnsi" w:hAnsiTheme="minorHAnsi" w:cstheme="minorHAnsi"/>
          </w:rPr>
          <w:t>https://doi.org/10.1177/1367493518804097</w:t>
        </w:r>
      </w:hyperlink>
      <w:r>
        <w:rPr>
          <w:rFonts w:asciiTheme="minorHAnsi" w:hAnsiTheme="minorHAnsi" w:cstheme="minorHAnsi"/>
        </w:rPr>
        <w:t xml:space="preserve"> </w:t>
      </w:r>
    </w:p>
    <w:p w14:paraId="7DA29D30" w14:textId="77777777" w:rsidR="00BE29A4" w:rsidRPr="00DB5781"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Jestico, E. and Finlay, T. (2017) ‘“A stressful and frightening experience”? Children's nurses’ perceived readiness to care for children with cancer following pre-registration nurse education: A qualitative study’, </w:t>
      </w:r>
      <w:r w:rsidRPr="001470EE">
        <w:rPr>
          <w:rFonts w:asciiTheme="minorHAnsi" w:hAnsiTheme="minorHAnsi" w:cstheme="minorHAnsi"/>
          <w:i/>
          <w:iCs/>
        </w:rPr>
        <w:t>Nurse Education Today</w:t>
      </w:r>
      <w:r w:rsidRPr="00BE29A4">
        <w:rPr>
          <w:rFonts w:asciiTheme="minorHAnsi" w:hAnsiTheme="minorHAnsi" w:cstheme="minorHAnsi"/>
        </w:rPr>
        <w:t xml:space="preserve">, 48, pp. 62-66. </w:t>
      </w:r>
      <w:r w:rsidRPr="00DB5781">
        <w:rPr>
          <w:rFonts w:asciiTheme="minorHAnsi" w:hAnsiTheme="minorHAnsi" w:cstheme="minorHAnsi"/>
        </w:rPr>
        <w:t xml:space="preserve">DOI: </w:t>
      </w:r>
      <w:hyperlink r:id="rId57" w:history="1">
        <w:r w:rsidRPr="001470EE">
          <w:rPr>
            <w:rStyle w:val="Hyperlink"/>
            <w:rFonts w:asciiTheme="minorHAnsi" w:hAnsiTheme="minorHAnsi" w:cstheme="minorHAnsi"/>
          </w:rPr>
          <w:t>https://doi.org/10.1016/j.nedt.2016.09.019</w:t>
        </w:r>
      </w:hyperlink>
      <w:r w:rsidRPr="00DB5781">
        <w:rPr>
          <w:rFonts w:asciiTheme="minorHAnsi" w:hAnsiTheme="minorHAnsi" w:cstheme="minorHAnsi"/>
        </w:rPr>
        <w:t xml:space="preserve"> </w:t>
      </w:r>
    </w:p>
    <w:p w14:paraId="6275323F"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Kerr, D., Martin, P., Furber, L., Winterburn, S., Milnes, S., Nielson, A. and Strachan, P. (2022) ‘Communication skills training for nurses: Is it time for a standardised nursing model?’, </w:t>
      </w:r>
      <w:r w:rsidRPr="001470EE">
        <w:rPr>
          <w:rFonts w:asciiTheme="minorHAnsi" w:hAnsiTheme="minorHAnsi" w:cstheme="minorHAnsi"/>
          <w:i/>
          <w:iCs/>
        </w:rPr>
        <w:t>Patient Education and Counseling</w:t>
      </w:r>
      <w:r w:rsidRPr="00BE29A4">
        <w:rPr>
          <w:rFonts w:asciiTheme="minorHAnsi" w:hAnsiTheme="minorHAnsi" w:cstheme="minorHAnsi"/>
        </w:rPr>
        <w:t xml:space="preserve">, 105(7), pp. 1970-1975. DOI: </w:t>
      </w:r>
      <w:hyperlink r:id="rId58" w:history="1">
        <w:r w:rsidRPr="001470EE">
          <w:rPr>
            <w:rStyle w:val="Hyperlink"/>
            <w:rFonts w:asciiTheme="minorHAnsi" w:hAnsiTheme="minorHAnsi" w:cstheme="minorHAnsi"/>
          </w:rPr>
          <w:t>https://doi.org/10.1016/j.pec.2022.03.008</w:t>
        </w:r>
      </w:hyperlink>
    </w:p>
    <w:p w14:paraId="451585CF"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Kerr, D., Ostaszkiewicz, J., Dunning, T. and Martina, P. (2020) ‘The effectiveness of training interventions on nurses' communication skills: A systematic review’, Nurse Education Today, 89. DOI: </w:t>
      </w:r>
      <w:hyperlink r:id="rId59" w:history="1">
        <w:r w:rsidRPr="00FE18E9">
          <w:rPr>
            <w:rStyle w:val="Hyperlink"/>
            <w:rFonts w:asciiTheme="minorHAnsi" w:hAnsiTheme="minorHAnsi" w:cstheme="minorHAnsi"/>
          </w:rPr>
          <w:t>https://doi.org/10.1016/j.nedt.2020.104405</w:t>
        </w:r>
      </w:hyperlink>
      <w:r w:rsidRPr="00BE29A4">
        <w:rPr>
          <w:rFonts w:asciiTheme="minorHAnsi" w:hAnsiTheme="minorHAnsi" w:cstheme="minorHAnsi"/>
        </w:rPr>
        <w:t xml:space="preserve"> </w:t>
      </w:r>
    </w:p>
    <w:p w14:paraId="65BB37C1"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Koller, D. (2016) ‘‘Kids need to talk too’: inclusive practices for children’s health care education and participation’, </w:t>
      </w:r>
      <w:r w:rsidRPr="00FE18E9">
        <w:rPr>
          <w:rFonts w:asciiTheme="minorHAnsi" w:hAnsiTheme="minorHAnsi" w:cstheme="minorHAnsi"/>
          <w:i/>
          <w:iCs/>
        </w:rPr>
        <w:t>Journal of Clinical Nursing</w:t>
      </w:r>
      <w:r w:rsidRPr="00BE29A4">
        <w:rPr>
          <w:rFonts w:asciiTheme="minorHAnsi" w:hAnsiTheme="minorHAnsi" w:cstheme="minorHAnsi"/>
        </w:rPr>
        <w:t xml:space="preserve">, 26, pp. 2657-2668. DOI: </w:t>
      </w:r>
      <w:r w:rsidRPr="00FE18E9">
        <w:rPr>
          <w:rStyle w:val="Hyperlink"/>
          <w:rFonts w:asciiTheme="minorHAnsi" w:hAnsiTheme="minorHAnsi" w:cstheme="minorHAnsi"/>
        </w:rPr>
        <w:t>10.1111/jocn.13703</w:t>
      </w:r>
    </w:p>
    <w:p w14:paraId="5A56D3FC"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Kubin, L. and Wilson, C.E. (2017) ‘Effects of Community Volunteer Children on Student Pediatric Assessment Behaviors’, </w:t>
      </w:r>
      <w:r w:rsidRPr="000336F6">
        <w:rPr>
          <w:rFonts w:asciiTheme="minorHAnsi" w:hAnsiTheme="minorHAnsi" w:cstheme="minorHAnsi"/>
          <w:i/>
          <w:iCs/>
        </w:rPr>
        <w:t>Clinical Simulation in Nursing</w:t>
      </w:r>
      <w:r w:rsidRPr="00BE29A4">
        <w:rPr>
          <w:rFonts w:asciiTheme="minorHAnsi" w:hAnsiTheme="minorHAnsi" w:cstheme="minorHAnsi"/>
        </w:rPr>
        <w:t xml:space="preserve">, 13(7), pp. 303-308. DOI: </w:t>
      </w:r>
      <w:hyperlink r:id="rId60" w:history="1">
        <w:r w:rsidRPr="00FE18E9">
          <w:rPr>
            <w:rStyle w:val="Hyperlink"/>
            <w:rFonts w:asciiTheme="minorHAnsi" w:hAnsiTheme="minorHAnsi" w:cstheme="minorHAnsi"/>
          </w:rPr>
          <w:t>https://doi.org/10.1016/j.ecns.2017.04.011</w:t>
        </w:r>
      </w:hyperlink>
      <w:r w:rsidRPr="00FE18E9">
        <w:rPr>
          <w:rStyle w:val="Hyperlink"/>
        </w:rPr>
        <w:t xml:space="preserve"> </w:t>
      </w:r>
    </w:p>
    <w:p w14:paraId="500F4177"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Kürtüncü, M., Çınar, N., Kahraman, İ. and Demirbağ, B.C. (2017) ‘Experience in Clinical Pediatric Oncology Nursing Students: Qualitative Study’, </w:t>
      </w:r>
      <w:r w:rsidRPr="000336F6">
        <w:rPr>
          <w:rFonts w:asciiTheme="minorHAnsi" w:hAnsiTheme="minorHAnsi" w:cstheme="minorHAnsi"/>
          <w:i/>
          <w:iCs/>
        </w:rPr>
        <w:t>Journal of Health Science and Profession</w:t>
      </w:r>
      <w:r w:rsidRPr="00BE29A4">
        <w:rPr>
          <w:rFonts w:asciiTheme="minorHAnsi" w:hAnsiTheme="minorHAnsi" w:cstheme="minorHAnsi"/>
        </w:rPr>
        <w:t xml:space="preserve">, 4(1), pp. 8-15. DOI: </w:t>
      </w:r>
      <w:hyperlink r:id="rId61" w:history="1">
        <w:r w:rsidRPr="000336F6">
          <w:rPr>
            <w:rStyle w:val="Hyperlink"/>
            <w:rFonts w:asciiTheme="minorHAnsi" w:hAnsiTheme="minorHAnsi" w:cstheme="minorHAnsi"/>
          </w:rPr>
          <w:t>https://doi.org/10.17681/hsp.287510</w:t>
        </w:r>
      </w:hyperlink>
      <w:r w:rsidRPr="000336F6">
        <w:rPr>
          <w:rStyle w:val="Hyperlink"/>
        </w:rPr>
        <w:t xml:space="preserve"> </w:t>
      </w:r>
    </w:p>
    <w:p w14:paraId="744F40AD" w14:textId="2ABDFE97" w:rsid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Li, X., Ding, L., Ning, P., Li, Y., Wei, H. and Meng, Q. (2023) ‘Construction of a nurses' interpersonal communication knowledge system: A Delphi study’, </w:t>
      </w:r>
      <w:r w:rsidRPr="000336F6">
        <w:rPr>
          <w:rFonts w:asciiTheme="minorHAnsi" w:hAnsiTheme="minorHAnsi" w:cstheme="minorHAnsi"/>
          <w:i/>
          <w:iCs/>
        </w:rPr>
        <w:t xml:space="preserve">Nurse Education Today, </w:t>
      </w:r>
      <w:r w:rsidRPr="00BE29A4">
        <w:rPr>
          <w:rFonts w:asciiTheme="minorHAnsi" w:hAnsiTheme="minorHAnsi" w:cstheme="minorHAnsi"/>
        </w:rPr>
        <w:t>120. DOI:</w:t>
      </w:r>
      <w:r w:rsidR="00DF1632">
        <w:rPr>
          <w:rStyle w:val="Hyperlink"/>
          <w:u w:val="none"/>
        </w:rPr>
        <w:t xml:space="preserve"> </w:t>
      </w:r>
      <w:hyperlink r:id="rId62" w:history="1">
        <w:r w:rsidR="00DF1632" w:rsidRPr="00B61929">
          <w:rPr>
            <w:rStyle w:val="Hyperlink"/>
            <w:rFonts w:asciiTheme="minorHAnsi" w:hAnsiTheme="minorHAnsi" w:cstheme="minorHAnsi"/>
          </w:rPr>
          <w:t>https://doi.org/10.1016/j.nedt.2022.105630</w:t>
        </w:r>
      </w:hyperlink>
      <w:r w:rsidRPr="00BE29A4">
        <w:rPr>
          <w:rFonts w:asciiTheme="minorHAnsi" w:hAnsiTheme="minorHAnsi" w:cstheme="minorHAnsi"/>
        </w:rPr>
        <w:t xml:space="preserve"> </w:t>
      </w:r>
    </w:p>
    <w:p w14:paraId="32579246" w14:textId="5ED9FE10" w:rsidR="008F6372" w:rsidRDefault="008F6372" w:rsidP="00DB5781">
      <w:pPr>
        <w:spacing w:after="160" w:line="259" w:lineRule="auto"/>
        <w:jc w:val="both"/>
        <w:rPr>
          <w:rFonts w:asciiTheme="minorHAnsi" w:hAnsiTheme="minorHAnsi" w:cstheme="minorHAnsi"/>
        </w:rPr>
      </w:pPr>
      <w:r w:rsidRPr="008F6372">
        <w:rPr>
          <w:rFonts w:asciiTheme="minorHAnsi" w:hAnsiTheme="minorHAnsi" w:cstheme="minorHAnsi"/>
        </w:rPr>
        <w:t>Moroney</w:t>
      </w:r>
      <w:r>
        <w:rPr>
          <w:rFonts w:asciiTheme="minorHAnsi" w:hAnsiTheme="minorHAnsi" w:cstheme="minorHAnsi"/>
        </w:rPr>
        <w:t>, T.,</w:t>
      </w:r>
      <w:r w:rsidRPr="008F6372">
        <w:rPr>
          <w:rFonts w:asciiTheme="minorHAnsi" w:hAnsiTheme="minorHAnsi" w:cstheme="minorHAnsi"/>
        </w:rPr>
        <w:t xml:space="preserve"> </w:t>
      </w:r>
      <w:proofErr w:type="spellStart"/>
      <w:r w:rsidRPr="008F6372">
        <w:rPr>
          <w:rFonts w:asciiTheme="minorHAnsi" w:hAnsiTheme="minorHAnsi" w:cstheme="minorHAnsi"/>
        </w:rPr>
        <w:t>Gerdtz</w:t>
      </w:r>
      <w:proofErr w:type="spellEnd"/>
      <w:r>
        <w:rPr>
          <w:rFonts w:asciiTheme="minorHAnsi" w:hAnsiTheme="minorHAnsi" w:cstheme="minorHAnsi"/>
        </w:rPr>
        <w:t>, M.,</w:t>
      </w:r>
      <w:r w:rsidRPr="008F6372">
        <w:rPr>
          <w:rFonts w:asciiTheme="minorHAnsi" w:hAnsiTheme="minorHAnsi" w:cstheme="minorHAnsi"/>
        </w:rPr>
        <w:t xml:space="preserve"> Brockenshire</w:t>
      </w:r>
      <w:r>
        <w:rPr>
          <w:rFonts w:asciiTheme="minorHAnsi" w:hAnsiTheme="minorHAnsi" w:cstheme="minorHAnsi"/>
        </w:rPr>
        <w:t xml:space="preserve">, N., </w:t>
      </w:r>
      <w:r w:rsidRPr="008F6372">
        <w:rPr>
          <w:rFonts w:asciiTheme="minorHAnsi" w:hAnsiTheme="minorHAnsi" w:cstheme="minorHAnsi"/>
        </w:rPr>
        <w:t>Maude</w:t>
      </w:r>
      <w:r>
        <w:rPr>
          <w:rFonts w:asciiTheme="minorHAnsi" w:hAnsiTheme="minorHAnsi" w:cstheme="minorHAnsi"/>
        </w:rPr>
        <w:t xml:space="preserve">, P., </w:t>
      </w:r>
      <w:r w:rsidRPr="008F6372">
        <w:rPr>
          <w:rFonts w:asciiTheme="minorHAnsi" w:hAnsiTheme="minorHAnsi" w:cstheme="minorHAnsi"/>
        </w:rPr>
        <w:t>Weller-Newton</w:t>
      </w:r>
      <w:r>
        <w:rPr>
          <w:rFonts w:asciiTheme="minorHAnsi" w:hAnsiTheme="minorHAnsi" w:cstheme="minorHAnsi"/>
        </w:rPr>
        <w:t xml:space="preserve">, J., </w:t>
      </w:r>
      <w:r w:rsidRPr="008F6372">
        <w:rPr>
          <w:rFonts w:asciiTheme="minorHAnsi" w:hAnsiTheme="minorHAnsi" w:cstheme="minorHAnsi"/>
        </w:rPr>
        <w:t>Hatcher</w:t>
      </w:r>
      <w:r>
        <w:rPr>
          <w:rFonts w:asciiTheme="minorHAnsi" w:hAnsiTheme="minorHAnsi" w:cstheme="minorHAnsi"/>
        </w:rPr>
        <w:t xml:space="preserve">, D., </w:t>
      </w:r>
      <w:r w:rsidRPr="008F6372">
        <w:rPr>
          <w:rFonts w:asciiTheme="minorHAnsi" w:hAnsiTheme="minorHAnsi" w:cstheme="minorHAnsi"/>
        </w:rPr>
        <w:t>Molloy</w:t>
      </w:r>
      <w:r>
        <w:rPr>
          <w:rFonts w:asciiTheme="minorHAnsi" w:hAnsiTheme="minorHAnsi" w:cstheme="minorHAnsi"/>
        </w:rPr>
        <w:t>, L., W</w:t>
      </w:r>
      <w:r w:rsidRPr="008F6372">
        <w:rPr>
          <w:rFonts w:asciiTheme="minorHAnsi" w:hAnsiTheme="minorHAnsi" w:cstheme="minorHAnsi"/>
        </w:rPr>
        <w:t>illiamson</w:t>
      </w:r>
      <w:r>
        <w:rPr>
          <w:rFonts w:asciiTheme="minorHAnsi" w:hAnsiTheme="minorHAnsi" w:cstheme="minorHAnsi"/>
        </w:rPr>
        <w:t xml:space="preserve">, </w:t>
      </w:r>
      <w:r w:rsidR="00F559AE">
        <w:rPr>
          <w:rFonts w:asciiTheme="minorHAnsi" w:hAnsiTheme="minorHAnsi" w:cstheme="minorHAnsi"/>
        </w:rPr>
        <w:t xml:space="preserve">M., </w:t>
      </w:r>
      <w:r w:rsidRPr="008F6372">
        <w:rPr>
          <w:rFonts w:asciiTheme="minorHAnsi" w:hAnsiTheme="minorHAnsi" w:cstheme="minorHAnsi"/>
        </w:rPr>
        <w:t>Woodward-Kron</w:t>
      </w:r>
      <w:r w:rsidR="00F559AE">
        <w:rPr>
          <w:rFonts w:asciiTheme="minorHAnsi" w:hAnsiTheme="minorHAnsi" w:cstheme="minorHAnsi"/>
        </w:rPr>
        <w:t xml:space="preserve">, R. and </w:t>
      </w:r>
      <w:r w:rsidRPr="008F6372">
        <w:rPr>
          <w:rFonts w:asciiTheme="minorHAnsi" w:hAnsiTheme="minorHAnsi" w:cstheme="minorHAnsi"/>
        </w:rPr>
        <w:t>Molloy</w:t>
      </w:r>
      <w:r w:rsidR="00F559AE">
        <w:rPr>
          <w:rFonts w:asciiTheme="minorHAnsi" w:hAnsiTheme="minorHAnsi" w:cstheme="minorHAnsi"/>
        </w:rPr>
        <w:t>, E. (2022) ‘</w:t>
      </w:r>
      <w:r w:rsidR="00F559AE" w:rsidRPr="00F559AE">
        <w:rPr>
          <w:rFonts w:asciiTheme="minorHAnsi" w:hAnsiTheme="minorHAnsi" w:cstheme="minorHAnsi"/>
        </w:rPr>
        <w:t>Exploring the contribution of clinical placement to student learning: A sequential mixed methods study</w:t>
      </w:r>
      <w:r w:rsidR="00F559AE">
        <w:rPr>
          <w:rFonts w:asciiTheme="minorHAnsi" w:hAnsiTheme="minorHAnsi" w:cstheme="minorHAnsi"/>
        </w:rPr>
        <w:t>’, 113. DOI:</w:t>
      </w:r>
      <w:r w:rsidR="00B221AE">
        <w:rPr>
          <w:rFonts w:asciiTheme="minorHAnsi" w:hAnsiTheme="minorHAnsi" w:cstheme="minorHAnsi"/>
        </w:rPr>
        <w:t xml:space="preserve"> </w:t>
      </w:r>
      <w:hyperlink r:id="rId63" w:history="1">
        <w:r w:rsidR="00B221AE" w:rsidRPr="00120BC6">
          <w:rPr>
            <w:rStyle w:val="Hyperlink"/>
            <w:rFonts w:asciiTheme="minorHAnsi" w:hAnsiTheme="minorHAnsi" w:cstheme="minorHAnsi"/>
          </w:rPr>
          <w:t>https://doi.org/10.1016/j.nedt.2022.105379</w:t>
        </w:r>
      </w:hyperlink>
      <w:r w:rsidR="00B221AE">
        <w:rPr>
          <w:rFonts w:asciiTheme="minorHAnsi" w:hAnsiTheme="minorHAnsi" w:cstheme="minorHAnsi"/>
        </w:rPr>
        <w:t xml:space="preserve"> </w:t>
      </w:r>
    </w:p>
    <w:p w14:paraId="1F7133DF" w14:textId="165ABED4"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lastRenderedPageBreak/>
        <w:t xml:space="preserve">National Institute for Health and Care Excellence (NICE) (2021) </w:t>
      </w:r>
      <w:r w:rsidRPr="00DF1632">
        <w:rPr>
          <w:rFonts w:asciiTheme="minorHAnsi" w:hAnsiTheme="minorHAnsi" w:cstheme="minorHAnsi"/>
          <w:i/>
          <w:iCs/>
        </w:rPr>
        <w:t>Babies, children and young people’s experience of healthcare (</w:t>
      </w:r>
      <w:r w:rsidRPr="00DB5781">
        <w:rPr>
          <w:rFonts w:asciiTheme="minorHAnsi" w:hAnsiTheme="minorHAnsi" w:cstheme="minorHAnsi"/>
        </w:rPr>
        <w:t>Clinical Guideline [NG204]).</w:t>
      </w:r>
      <w:r w:rsidRPr="00BE29A4">
        <w:rPr>
          <w:rFonts w:asciiTheme="minorHAnsi" w:hAnsiTheme="minorHAnsi" w:cstheme="minorHAnsi"/>
        </w:rPr>
        <w:t xml:space="preserve"> Available at </w:t>
      </w:r>
      <w:hyperlink r:id="rId64" w:history="1">
        <w:r w:rsidRPr="00DF1632">
          <w:rPr>
            <w:rStyle w:val="Hyperlink"/>
            <w:rFonts w:asciiTheme="minorHAnsi" w:hAnsiTheme="minorHAnsi" w:cstheme="minorHAnsi"/>
          </w:rPr>
          <w:t>https://www.nice.org.uk/guidance/ng204</w:t>
        </w:r>
      </w:hyperlink>
      <w:r w:rsidRPr="00BE29A4">
        <w:rPr>
          <w:rFonts w:asciiTheme="minorHAnsi" w:hAnsiTheme="minorHAnsi" w:cstheme="minorHAnsi"/>
        </w:rPr>
        <w:t xml:space="preserve"> </w:t>
      </w:r>
    </w:p>
    <w:p w14:paraId="54DFB1C6"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Navein A, McTaggart J, Hodgson, X., Shaw, J., Hargreaves, D. Gonzalez-Viana, E. and Mehmeti, A. (2022) ‘Effective healthcare communication with children and young people: a systematic review of barriers and facilitators’, </w:t>
      </w:r>
      <w:r w:rsidRPr="00DF1632">
        <w:rPr>
          <w:rFonts w:asciiTheme="minorHAnsi" w:hAnsiTheme="minorHAnsi" w:cstheme="minorHAnsi"/>
          <w:i/>
          <w:iCs/>
        </w:rPr>
        <w:t>Archives of Disease in Childhood</w:t>
      </w:r>
      <w:r w:rsidRPr="00BE29A4">
        <w:rPr>
          <w:rFonts w:asciiTheme="minorHAnsi" w:hAnsiTheme="minorHAnsi" w:cstheme="minorHAnsi"/>
        </w:rPr>
        <w:t xml:space="preserve">, 107, pp. 1111-1116. DOI: </w:t>
      </w:r>
      <w:hyperlink r:id="rId65" w:history="1">
        <w:r w:rsidRPr="00DF1632">
          <w:rPr>
            <w:rStyle w:val="Hyperlink"/>
            <w:rFonts w:asciiTheme="minorHAnsi" w:hAnsiTheme="minorHAnsi" w:cstheme="minorHAnsi"/>
          </w:rPr>
          <w:t>https://doi.org/10.1136/archdischild-2022-324132</w:t>
        </w:r>
      </w:hyperlink>
      <w:r w:rsidRPr="00DF1632">
        <w:rPr>
          <w:rStyle w:val="Hyperlink"/>
        </w:rPr>
        <w:t xml:space="preserve"> </w:t>
      </w:r>
    </w:p>
    <w:p w14:paraId="24B3E8E0" w14:textId="74653F7A"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Nursing and Midwifery Board of Ireland (2023) </w:t>
      </w:r>
      <w:r w:rsidRPr="009E2C9B">
        <w:rPr>
          <w:rFonts w:asciiTheme="minorHAnsi" w:hAnsiTheme="minorHAnsi" w:cstheme="minorHAnsi"/>
          <w:i/>
          <w:iCs/>
        </w:rPr>
        <w:t>Professional Standards Nursing: Nurse Registration Programmes Standards and Requirements.</w:t>
      </w:r>
      <w:r w:rsidRPr="00BE29A4">
        <w:rPr>
          <w:rFonts w:asciiTheme="minorHAnsi" w:hAnsiTheme="minorHAnsi" w:cstheme="minorHAnsi"/>
        </w:rPr>
        <w:t xml:space="preserve"> 5</w:t>
      </w:r>
      <w:r w:rsidRPr="00DB5781">
        <w:rPr>
          <w:rFonts w:asciiTheme="minorHAnsi" w:hAnsiTheme="minorHAnsi" w:cstheme="minorHAnsi"/>
        </w:rPr>
        <w:t>th</w:t>
      </w:r>
      <w:r w:rsidRPr="00BE29A4">
        <w:rPr>
          <w:rFonts w:asciiTheme="minorHAnsi" w:hAnsiTheme="minorHAnsi" w:cstheme="minorHAnsi"/>
        </w:rPr>
        <w:t xml:space="preserve"> edn. Available at: </w:t>
      </w:r>
      <w:hyperlink r:id="rId66" w:history="1">
        <w:r w:rsidRPr="009E2C9B">
          <w:rPr>
            <w:rStyle w:val="Hyperlink"/>
            <w:rFonts w:asciiTheme="minorHAnsi" w:hAnsiTheme="minorHAnsi" w:cstheme="minorHAnsi"/>
          </w:rPr>
          <w:t>https://www.nmbi.ie/NMBI/media/NMBI/NMBI-Nurse-Registration-Programmes-Standards-and-Requirements-Fifth-Edition_1.pdf?ext=.pdf</w:t>
        </w:r>
      </w:hyperlink>
      <w:r w:rsidR="009E2C9B">
        <w:t xml:space="preserve"> </w:t>
      </w:r>
      <w:r w:rsidRPr="00BE29A4">
        <w:rPr>
          <w:rFonts w:asciiTheme="minorHAnsi" w:hAnsiTheme="minorHAnsi" w:cstheme="minorHAnsi"/>
        </w:rPr>
        <w:t xml:space="preserve"> </w:t>
      </w:r>
    </w:p>
    <w:p w14:paraId="24F99B17"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Nursing and Midwifery Board of Ireland. (2018) </w:t>
      </w:r>
      <w:r w:rsidRPr="009E2C9B">
        <w:rPr>
          <w:rFonts w:asciiTheme="minorHAnsi" w:hAnsiTheme="minorHAnsi" w:cstheme="minorHAnsi"/>
          <w:i/>
          <w:iCs/>
        </w:rPr>
        <w:t xml:space="preserve">Children’s Nurse Post Registration Education Programme. </w:t>
      </w:r>
      <w:r w:rsidRPr="00BE29A4">
        <w:rPr>
          <w:rFonts w:asciiTheme="minorHAnsi" w:hAnsiTheme="minorHAnsi" w:cstheme="minorHAnsi"/>
        </w:rPr>
        <w:t>2</w:t>
      </w:r>
      <w:r w:rsidRPr="00DB5781">
        <w:rPr>
          <w:rFonts w:asciiTheme="minorHAnsi" w:hAnsiTheme="minorHAnsi" w:cstheme="minorHAnsi"/>
        </w:rPr>
        <w:t>nd</w:t>
      </w:r>
      <w:r w:rsidRPr="00BE29A4">
        <w:rPr>
          <w:rFonts w:asciiTheme="minorHAnsi" w:hAnsiTheme="minorHAnsi" w:cstheme="minorHAnsi"/>
        </w:rPr>
        <w:t xml:space="preserve"> edn. Available at: </w:t>
      </w:r>
      <w:hyperlink r:id="rId67" w:history="1">
        <w:r w:rsidRPr="009E2C9B">
          <w:rPr>
            <w:rStyle w:val="Hyperlink"/>
            <w:rFonts w:asciiTheme="minorHAnsi" w:hAnsiTheme="minorHAnsi" w:cstheme="minorHAnsi"/>
          </w:rPr>
          <w:t>https://www.nmbi.ie/NMBI/media/NMBI/Forms/Childrens-Nurse-Post-Registration-SR_FINAL_Revised.pdf?ext=.pdf</w:t>
        </w:r>
      </w:hyperlink>
      <w:r w:rsidRPr="00BE29A4">
        <w:rPr>
          <w:rFonts w:asciiTheme="minorHAnsi" w:hAnsiTheme="minorHAnsi" w:cstheme="minorHAnsi"/>
        </w:rPr>
        <w:t xml:space="preserve"> </w:t>
      </w:r>
    </w:p>
    <w:p w14:paraId="16BF804C"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Nursing and Midwifery Council (2023) </w:t>
      </w:r>
      <w:r w:rsidRPr="009E2C9B">
        <w:rPr>
          <w:rFonts w:asciiTheme="minorHAnsi" w:hAnsiTheme="minorHAnsi" w:cstheme="minorHAnsi"/>
          <w:i/>
          <w:iCs/>
        </w:rPr>
        <w:t>Standards for education and training Part 3: Standards for pre-registration nursing programmes.</w:t>
      </w:r>
      <w:r w:rsidRPr="00DB5781">
        <w:rPr>
          <w:rFonts w:asciiTheme="minorHAnsi" w:hAnsiTheme="minorHAnsi" w:cstheme="minorHAnsi"/>
        </w:rPr>
        <w:t xml:space="preserve"> </w:t>
      </w:r>
      <w:r w:rsidRPr="00BE29A4">
        <w:rPr>
          <w:rFonts w:asciiTheme="minorHAnsi" w:hAnsiTheme="minorHAnsi" w:cstheme="minorHAnsi"/>
        </w:rPr>
        <w:t xml:space="preserve">Available at: </w:t>
      </w:r>
      <w:hyperlink r:id="rId68" w:history="1">
        <w:r w:rsidRPr="009E2C9B">
          <w:rPr>
            <w:rStyle w:val="Hyperlink"/>
            <w:rFonts w:asciiTheme="minorHAnsi" w:hAnsiTheme="minorHAnsi" w:cstheme="minorHAnsi"/>
          </w:rPr>
          <w:t>https://www.nmc.org.uk/globalassets/sitedocuments/standards/2023-pre-reg-standards/new-vi/standards-for-pre-registration-nursing-programmes.pdf</w:t>
        </w:r>
      </w:hyperlink>
      <w:r w:rsidRPr="00BE29A4">
        <w:rPr>
          <w:rFonts w:asciiTheme="minorHAnsi" w:hAnsiTheme="minorHAnsi" w:cstheme="minorHAnsi"/>
        </w:rPr>
        <w:t xml:space="preserve"> </w:t>
      </w:r>
    </w:p>
    <w:p w14:paraId="4BA9AD43"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Nursing and Midwifery Council (2023) </w:t>
      </w:r>
      <w:r w:rsidRPr="009E2C9B">
        <w:rPr>
          <w:rFonts w:asciiTheme="minorHAnsi" w:hAnsiTheme="minorHAnsi" w:cstheme="minorHAnsi"/>
          <w:i/>
          <w:iCs/>
        </w:rPr>
        <w:t>Standards for post-registration programmes</w:t>
      </w:r>
      <w:r w:rsidRPr="00DB5781">
        <w:rPr>
          <w:rFonts w:asciiTheme="minorHAnsi" w:hAnsiTheme="minorHAnsi" w:cstheme="minorHAnsi"/>
        </w:rPr>
        <w:t>.</w:t>
      </w:r>
      <w:r w:rsidRPr="00BE29A4">
        <w:rPr>
          <w:rFonts w:asciiTheme="minorHAnsi" w:hAnsiTheme="minorHAnsi" w:cstheme="minorHAnsi"/>
        </w:rPr>
        <w:t xml:space="preserve"> Available at: </w:t>
      </w:r>
      <w:r w:rsidRPr="00153908">
        <w:rPr>
          <w:rStyle w:val="Hyperlink"/>
          <w:rFonts w:asciiTheme="minorHAnsi" w:hAnsiTheme="minorHAnsi" w:cstheme="minorHAnsi"/>
        </w:rPr>
        <w:t>https://www.nmc.org.uk/globalassets/sitedocuments/standards/2023-pre-reg-standards/new-vi/standards-for-post-registration-programmes.pdf</w:t>
      </w:r>
    </w:p>
    <w:p w14:paraId="4768D262"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O’Connor, S. and Andrews, T. (2018) ‘Smartphones and mobile applications (apps) in clinical nursing education: A student perspective’, </w:t>
      </w:r>
      <w:r w:rsidRPr="00153908">
        <w:rPr>
          <w:rFonts w:asciiTheme="minorHAnsi" w:hAnsiTheme="minorHAnsi" w:cstheme="minorHAnsi"/>
          <w:i/>
          <w:iCs/>
        </w:rPr>
        <w:t>Nurse Education Today</w:t>
      </w:r>
      <w:r w:rsidRPr="00DB5781">
        <w:rPr>
          <w:rFonts w:asciiTheme="minorHAnsi" w:hAnsiTheme="minorHAnsi" w:cstheme="minorHAnsi"/>
        </w:rPr>
        <w:t>,</w:t>
      </w:r>
      <w:r w:rsidRPr="00BE29A4">
        <w:rPr>
          <w:rFonts w:asciiTheme="minorHAnsi" w:hAnsiTheme="minorHAnsi" w:cstheme="minorHAnsi"/>
        </w:rPr>
        <w:t xml:space="preserve"> 69, pp. 172-178. DOI: </w:t>
      </w:r>
      <w:hyperlink r:id="rId69" w:history="1">
        <w:r w:rsidRPr="00153908">
          <w:rPr>
            <w:rStyle w:val="Hyperlink"/>
            <w:rFonts w:asciiTheme="minorHAnsi" w:hAnsiTheme="minorHAnsi" w:cstheme="minorHAnsi"/>
          </w:rPr>
          <w:t>https://doi.org/10.1016/j.nedt.2018.07.013</w:t>
        </w:r>
      </w:hyperlink>
      <w:r w:rsidRPr="00BE29A4">
        <w:rPr>
          <w:rFonts w:asciiTheme="minorHAnsi" w:hAnsiTheme="minorHAnsi" w:cstheme="minorHAnsi"/>
        </w:rPr>
        <w:t xml:space="preserve"> </w:t>
      </w:r>
    </w:p>
    <w:p w14:paraId="1B5BDAC9" w14:textId="77777777" w:rsid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O’Hara, J.K., Reynolds, C., Moore, S., Armitage, G., Sheard, L., Marsh, CL., Watt, I., Wright, J. and Lawton, R. (2018) ‘What can patients tell us about the quality and safety of hospital care? Findings from a UK multicentre survey study’, </w:t>
      </w:r>
      <w:r w:rsidRPr="00B37DA1">
        <w:rPr>
          <w:rFonts w:asciiTheme="minorHAnsi" w:hAnsiTheme="minorHAnsi" w:cstheme="minorHAnsi"/>
          <w:i/>
          <w:iCs/>
        </w:rPr>
        <w:t>BMJ Quality and Safety</w:t>
      </w:r>
      <w:r w:rsidRPr="00BE29A4">
        <w:rPr>
          <w:rFonts w:asciiTheme="minorHAnsi" w:hAnsiTheme="minorHAnsi" w:cstheme="minorHAnsi"/>
        </w:rPr>
        <w:t xml:space="preserve">, 27, pp. 673-682. DOI: </w:t>
      </w:r>
      <w:r w:rsidRPr="00B37DA1">
        <w:rPr>
          <w:rStyle w:val="Hyperlink"/>
          <w:rFonts w:asciiTheme="minorHAnsi" w:hAnsiTheme="minorHAnsi" w:cstheme="minorHAnsi"/>
        </w:rPr>
        <w:t>http:// dx. doi. org// 10. 1136/ bmjqs- 2018- 008106</w:t>
      </w:r>
      <w:r w:rsidRPr="00BE29A4">
        <w:rPr>
          <w:rFonts w:asciiTheme="minorHAnsi" w:hAnsiTheme="minorHAnsi" w:cstheme="minorHAnsi"/>
        </w:rPr>
        <w:t xml:space="preserve"> </w:t>
      </w:r>
    </w:p>
    <w:p w14:paraId="6B5B112F" w14:textId="6B458007" w:rsidR="005A7C0F" w:rsidRDefault="005A7C0F" w:rsidP="00DB5781">
      <w:pPr>
        <w:spacing w:after="160" w:line="259" w:lineRule="auto"/>
        <w:jc w:val="both"/>
        <w:rPr>
          <w:rFonts w:asciiTheme="minorHAnsi" w:hAnsiTheme="minorHAnsi" w:cstheme="minorHAnsi"/>
        </w:rPr>
      </w:pPr>
      <w:r>
        <w:rPr>
          <w:rFonts w:asciiTheme="minorHAnsi" w:hAnsiTheme="minorHAnsi" w:cstheme="minorHAnsi"/>
        </w:rPr>
        <w:t xml:space="preserve">Panda, S., </w:t>
      </w:r>
      <w:r w:rsidR="008519B5">
        <w:rPr>
          <w:rFonts w:asciiTheme="minorHAnsi" w:hAnsiTheme="minorHAnsi" w:cstheme="minorHAnsi"/>
        </w:rPr>
        <w:t xml:space="preserve">Dash, M., John, J., Rath, K., </w:t>
      </w:r>
      <w:proofErr w:type="spellStart"/>
      <w:r w:rsidR="008519B5">
        <w:rPr>
          <w:rFonts w:asciiTheme="minorHAnsi" w:hAnsiTheme="minorHAnsi" w:cstheme="minorHAnsi"/>
        </w:rPr>
        <w:t>Debata</w:t>
      </w:r>
      <w:proofErr w:type="spellEnd"/>
      <w:r w:rsidR="008519B5">
        <w:rPr>
          <w:rFonts w:asciiTheme="minorHAnsi" w:hAnsiTheme="minorHAnsi" w:cstheme="minorHAnsi"/>
        </w:rPr>
        <w:t>, A., Swain, D., Mohanty, K. and Eustace-</w:t>
      </w:r>
      <w:r w:rsidR="00DD1108">
        <w:rPr>
          <w:rFonts w:asciiTheme="minorHAnsi" w:hAnsiTheme="minorHAnsi" w:cstheme="minorHAnsi"/>
        </w:rPr>
        <w:t>Cook, J., (2021) ‘</w:t>
      </w:r>
      <w:r w:rsidR="00DD1108" w:rsidRPr="00DD1108">
        <w:rPr>
          <w:rFonts w:asciiTheme="minorHAnsi" w:hAnsiTheme="minorHAnsi" w:cstheme="minorHAnsi"/>
        </w:rPr>
        <w:t>Challenges faced by student nurses and midwives in clinical learning environment – A systematic review and meta-synthesis</w:t>
      </w:r>
      <w:r w:rsidR="00DD1108">
        <w:rPr>
          <w:rFonts w:asciiTheme="minorHAnsi" w:hAnsiTheme="minorHAnsi" w:cstheme="minorHAnsi"/>
        </w:rPr>
        <w:t xml:space="preserve">’, </w:t>
      </w:r>
      <w:r w:rsidR="00DD1108">
        <w:rPr>
          <w:rFonts w:asciiTheme="minorHAnsi" w:hAnsiTheme="minorHAnsi" w:cstheme="minorHAnsi"/>
          <w:i/>
          <w:iCs/>
        </w:rPr>
        <w:t xml:space="preserve">Nurse Education Today, </w:t>
      </w:r>
      <w:r w:rsidR="00DD1108">
        <w:rPr>
          <w:rFonts w:asciiTheme="minorHAnsi" w:hAnsiTheme="minorHAnsi" w:cstheme="minorHAnsi"/>
        </w:rPr>
        <w:t>101</w:t>
      </w:r>
      <w:r w:rsidR="009B2184">
        <w:rPr>
          <w:rFonts w:asciiTheme="minorHAnsi" w:hAnsiTheme="minorHAnsi" w:cstheme="minorHAnsi"/>
        </w:rPr>
        <w:t xml:space="preserve">. DOI: </w:t>
      </w:r>
      <w:hyperlink r:id="rId70" w:history="1">
        <w:r w:rsidR="009B2184" w:rsidRPr="00120BC6">
          <w:rPr>
            <w:rStyle w:val="Hyperlink"/>
            <w:rFonts w:asciiTheme="minorHAnsi" w:hAnsiTheme="minorHAnsi" w:cstheme="minorHAnsi"/>
          </w:rPr>
          <w:t>https://doi.org/10.1016/j.nedt.2021.104875</w:t>
        </w:r>
      </w:hyperlink>
      <w:r w:rsidR="009B2184">
        <w:rPr>
          <w:rFonts w:asciiTheme="minorHAnsi" w:hAnsiTheme="minorHAnsi" w:cstheme="minorHAnsi"/>
        </w:rPr>
        <w:t xml:space="preserve"> </w:t>
      </w:r>
    </w:p>
    <w:p w14:paraId="71FD3423" w14:textId="55EA4AEF" w:rsidR="0026390A" w:rsidRPr="00FA1E88" w:rsidRDefault="0026390A" w:rsidP="00DB5781">
      <w:pPr>
        <w:spacing w:after="160" w:line="259" w:lineRule="auto"/>
        <w:jc w:val="both"/>
        <w:rPr>
          <w:rFonts w:asciiTheme="minorHAnsi" w:hAnsiTheme="minorHAnsi" w:cstheme="minorHAnsi"/>
          <w:lang w:val="en-IE"/>
        </w:rPr>
      </w:pPr>
      <w:r w:rsidRPr="00FA1E88">
        <w:rPr>
          <w:rFonts w:asciiTheme="minorHAnsi" w:hAnsiTheme="minorHAnsi" w:cstheme="minorHAnsi"/>
          <w:lang w:val="en-IE"/>
        </w:rPr>
        <w:t xml:space="preserve">Pedregosa, S., </w:t>
      </w:r>
      <w:proofErr w:type="spellStart"/>
      <w:r w:rsidRPr="00FA1E88">
        <w:rPr>
          <w:rFonts w:asciiTheme="minorHAnsi" w:hAnsiTheme="minorHAnsi" w:cstheme="minorHAnsi"/>
          <w:lang w:val="en-IE"/>
        </w:rPr>
        <w:t>Fabrellas</w:t>
      </w:r>
      <w:proofErr w:type="spellEnd"/>
      <w:r w:rsidRPr="00FA1E88">
        <w:rPr>
          <w:rFonts w:asciiTheme="minorHAnsi" w:hAnsiTheme="minorHAnsi" w:cstheme="minorHAnsi"/>
          <w:lang w:val="en-IE"/>
        </w:rPr>
        <w:t>, N., Risco, E., Pereira, M</w:t>
      </w:r>
      <w:r w:rsidR="00812903" w:rsidRPr="00FA1E88">
        <w:rPr>
          <w:rFonts w:asciiTheme="minorHAnsi" w:hAnsiTheme="minorHAnsi" w:cstheme="minorHAnsi"/>
          <w:lang w:val="en-IE"/>
        </w:rPr>
        <w:t>.,</w:t>
      </w:r>
      <w:r w:rsidRPr="00FA1E88">
        <w:rPr>
          <w:rFonts w:asciiTheme="minorHAnsi" w:hAnsiTheme="minorHAnsi" w:cstheme="minorHAnsi"/>
          <w:lang w:val="en-IE"/>
        </w:rPr>
        <w:t xml:space="preserve"> Stefaniak, </w:t>
      </w:r>
      <w:r w:rsidR="00812903" w:rsidRPr="00FA1E88">
        <w:rPr>
          <w:rFonts w:asciiTheme="minorHAnsi" w:hAnsiTheme="minorHAnsi" w:cstheme="minorHAnsi"/>
          <w:lang w:val="en-IE"/>
        </w:rPr>
        <w:t xml:space="preserve">M., </w:t>
      </w:r>
      <w:proofErr w:type="spellStart"/>
      <w:r w:rsidRPr="00FA1E88">
        <w:rPr>
          <w:rFonts w:asciiTheme="minorHAnsi" w:hAnsiTheme="minorHAnsi" w:cstheme="minorHAnsi"/>
          <w:lang w:val="en-IE"/>
        </w:rPr>
        <w:t>Şenuzun</w:t>
      </w:r>
      <w:proofErr w:type="spellEnd"/>
      <w:r w:rsidRPr="00FA1E88">
        <w:rPr>
          <w:rFonts w:asciiTheme="minorHAnsi" w:hAnsiTheme="minorHAnsi" w:cstheme="minorHAnsi"/>
          <w:lang w:val="en-IE"/>
        </w:rPr>
        <w:t>,</w:t>
      </w:r>
      <w:r w:rsidR="00812903" w:rsidRPr="00FA1E88">
        <w:rPr>
          <w:rFonts w:asciiTheme="minorHAnsi" w:hAnsiTheme="minorHAnsi" w:cstheme="minorHAnsi"/>
          <w:lang w:val="en-IE"/>
        </w:rPr>
        <w:t xml:space="preserve"> F., </w:t>
      </w:r>
      <w:r w:rsidRPr="00FA1E88">
        <w:rPr>
          <w:rFonts w:asciiTheme="minorHAnsi" w:hAnsiTheme="minorHAnsi" w:cstheme="minorHAnsi"/>
          <w:lang w:val="en-IE"/>
        </w:rPr>
        <w:t>Martin</w:t>
      </w:r>
      <w:r w:rsidR="00812903" w:rsidRPr="00FA1E88">
        <w:rPr>
          <w:rFonts w:asciiTheme="minorHAnsi" w:hAnsiTheme="minorHAnsi" w:cstheme="minorHAnsi"/>
          <w:lang w:val="en-IE"/>
        </w:rPr>
        <w:t>, S.</w:t>
      </w:r>
      <w:r w:rsidRPr="00FA1E88">
        <w:rPr>
          <w:rFonts w:asciiTheme="minorHAnsi" w:hAnsiTheme="minorHAnsi" w:cstheme="minorHAnsi"/>
          <w:lang w:val="en-IE"/>
        </w:rPr>
        <w:t xml:space="preserve"> </w:t>
      </w:r>
      <w:r w:rsidR="00812903" w:rsidRPr="00FA1E88">
        <w:rPr>
          <w:rFonts w:asciiTheme="minorHAnsi" w:hAnsiTheme="minorHAnsi" w:cstheme="minorHAnsi"/>
          <w:lang w:val="en-IE"/>
        </w:rPr>
        <w:t>and</w:t>
      </w:r>
      <w:r w:rsidRPr="00FA1E88">
        <w:rPr>
          <w:rFonts w:asciiTheme="minorHAnsi" w:hAnsiTheme="minorHAnsi" w:cstheme="minorHAnsi"/>
          <w:lang w:val="en-IE"/>
        </w:rPr>
        <w:t xml:space="preserve"> </w:t>
      </w:r>
      <w:proofErr w:type="spellStart"/>
      <w:r w:rsidRPr="00FA1E88">
        <w:rPr>
          <w:rFonts w:asciiTheme="minorHAnsi" w:hAnsiTheme="minorHAnsi" w:cstheme="minorHAnsi"/>
          <w:lang w:val="en-IE"/>
        </w:rPr>
        <w:t>Zabalegui</w:t>
      </w:r>
      <w:proofErr w:type="spellEnd"/>
      <w:r w:rsidR="00812903" w:rsidRPr="00FA1E88">
        <w:rPr>
          <w:rFonts w:asciiTheme="minorHAnsi" w:hAnsiTheme="minorHAnsi" w:cstheme="minorHAnsi"/>
          <w:lang w:val="en-IE"/>
        </w:rPr>
        <w:t>, A. (</w:t>
      </w:r>
      <w:r w:rsidR="00FA1E88" w:rsidRPr="00FA1E88">
        <w:rPr>
          <w:rFonts w:asciiTheme="minorHAnsi" w:hAnsiTheme="minorHAnsi" w:cstheme="minorHAnsi"/>
          <w:lang w:val="en-IE"/>
        </w:rPr>
        <w:t xml:space="preserve">2021) ‘Implementing dedicated education units in 6 European undergraduate nursing and midwifery </w:t>
      </w:r>
      <w:proofErr w:type="gramStart"/>
      <w:r w:rsidR="00FA1E88" w:rsidRPr="00FA1E88">
        <w:rPr>
          <w:rFonts w:asciiTheme="minorHAnsi" w:hAnsiTheme="minorHAnsi" w:cstheme="minorHAnsi"/>
          <w:lang w:val="en-IE"/>
        </w:rPr>
        <w:t>students</w:t>
      </w:r>
      <w:proofErr w:type="gramEnd"/>
      <w:r w:rsidR="00FA1E88" w:rsidRPr="00FA1E88">
        <w:rPr>
          <w:rFonts w:asciiTheme="minorHAnsi" w:hAnsiTheme="minorHAnsi" w:cstheme="minorHAnsi"/>
          <w:lang w:val="en-IE"/>
        </w:rPr>
        <w:t xml:space="preserve"> clinical placements</w:t>
      </w:r>
      <w:r w:rsidR="00FA1E88">
        <w:rPr>
          <w:rFonts w:asciiTheme="minorHAnsi" w:hAnsiTheme="minorHAnsi" w:cstheme="minorHAnsi"/>
          <w:lang w:val="en-IE"/>
        </w:rPr>
        <w:t xml:space="preserve">’, </w:t>
      </w:r>
      <w:r w:rsidR="00981193" w:rsidRPr="00981193">
        <w:rPr>
          <w:rFonts w:asciiTheme="minorHAnsi" w:hAnsiTheme="minorHAnsi" w:cstheme="minorHAnsi"/>
          <w:i/>
          <w:iCs/>
          <w:lang w:val="en-IE"/>
        </w:rPr>
        <w:t>BMC Nursing</w:t>
      </w:r>
      <w:r w:rsidR="00981193">
        <w:rPr>
          <w:rFonts w:asciiTheme="minorHAnsi" w:hAnsiTheme="minorHAnsi" w:cstheme="minorHAnsi"/>
          <w:lang w:val="en-IE"/>
        </w:rPr>
        <w:t xml:space="preserve">, 20(61). DOI: </w:t>
      </w:r>
      <w:hyperlink r:id="rId71" w:history="1">
        <w:r w:rsidR="00981193" w:rsidRPr="00120BC6">
          <w:rPr>
            <w:rStyle w:val="Hyperlink"/>
            <w:rFonts w:asciiTheme="minorHAnsi" w:hAnsiTheme="minorHAnsi" w:cstheme="minorHAnsi"/>
            <w:lang w:val="en-IE"/>
          </w:rPr>
          <w:t>https://doi.org/10.1186/s12912-021-00576-5</w:t>
        </w:r>
      </w:hyperlink>
      <w:r w:rsidR="00981193">
        <w:rPr>
          <w:rFonts w:asciiTheme="minorHAnsi" w:hAnsiTheme="minorHAnsi" w:cstheme="minorHAnsi"/>
          <w:lang w:val="en-IE"/>
        </w:rPr>
        <w:t xml:space="preserve"> </w:t>
      </w:r>
    </w:p>
    <w:p w14:paraId="2DE51B0D"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lastRenderedPageBreak/>
        <w:t xml:space="preserve">Petronio-Coia, B. and Schwartz-Barcott, D. (2020) ‘A description of approachable nurses: An exploratory study, the voice of the hospitalized child’, </w:t>
      </w:r>
      <w:r w:rsidRPr="00B37DA1">
        <w:rPr>
          <w:rFonts w:asciiTheme="minorHAnsi" w:hAnsiTheme="minorHAnsi" w:cstheme="minorHAnsi"/>
          <w:i/>
          <w:iCs/>
        </w:rPr>
        <w:t>Journal of Pediatric Nursing</w:t>
      </w:r>
      <w:r w:rsidRPr="00BE29A4">
        <w:rPr>
          <w:rFonts w:asciiTheme="minorHAnsi" w:hAnsiTheme="minorHAnsi" w:cstheme="minorHAnsi"/>
        </w:rPr>
        <w:t xml:space="preserve">, 54, pp. 18- 23. DOI: </w:t>
      </w:r>
      <w:hyperlink r:id="rId72" w:history="1">
        <w:r w:rsidRPr="00B37DA1">
          <w:rPr>
            <w:rStyle w:val="Hyperlink"/>
            <w:rFonts w:asciiTheme="minorHAnsi" w:hAnsiTheme="minorHAnsi" w:cstheme="minorHAnsi"/>
          </w:rPr>
          <w:t>https://doi.org/10.1016/j.pedn.2020.05.011</w:t>
        </w:r>
      </w:hyperlink>
      <w:r w:rsidRPr="00BE29A4">
        <w:rPr>
          <w:rFonts w:asciiTheme="minorHAnsi" w:hAnsiTheme="minorHAnsi" w:cstheme="minorHAnsi"/>
        </w:rPr>
        <w:t xml:space="preserve"> </w:t>
      </w:r>
    </w:p>
    <w:p w14:paraId="718258AD" w14:textId="77777777" w:rsid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Reid-Searl, K., Crowley, K., Anderson, C., Blunt, N., Cole, R. and Suraweera, D. (2021) ‘A medical play experience: Preparing undergraduate nursing students for clinical practice’, </w:t>
      </w:r>
      <w:r w:rsidRPr="00987601">
        <w:rPr>
          <w:rFonts w:asciiTheme="minorHAnsi" w:hAnsiTheme="minorHAnsi" w:cstheme="minorHAnsi"/>
          <w:i/>
          <w:iCs/>
        </w:rPr>
        <w:t>Nurse Education Today</w:t>
      </w:r>
      <w:r w:rsidRPr="00BE29A4">
        <w:rPr>
          <w:rFonts w:asciiTheme="minorHAnsi" w:hAnsiTheme="minorHAnsi" w:cstheme="minorHAnsi"/>
        </w:rPr>
        <w:t xml:space="preserve">, 100. DOI: </w:t>
      </w:r>
      <w:hyperlink r:id="rId73" w:history="1">
        <w:r w:rsidRPr="0049490F">
          <w:rPr>
            <w:rStyle w:val="Hyperlink"/>
            <w:rFonts w:asciiTheme="minorHAnsi" w:hAnsiTheme="minorHAnsi" w:cstheme="minorHAnsi"/>
          </w:rPr>
          <w:t>https://doi.org/10.1016/j.nedt.2021.104821</w:t>
        </w:r>
      </w:hyperlink>
      <w:r w:rsidRPr="00BE29A4">
        <w:rPr>
          <w:rFonts w:asciiTheme="minorHAnsi" w:hAnsiTheme="minorHAnsi" w:cstheme="minorHAnsi"/>
        </w:rPr>
        <w:t xml:space="preserve"> </w:t>
      </w:r>
    </w:p>
    <w:p w14:paraId="06CFE6F3" w14:textId="0E4CA0FF" w:rsidR="001B15A0" w:rsidRPr="00BE29A4" w:rsidRDefault="001B15A0" w:rsidP="001B15A0">
      <w:pPr>
        <w:spacing w:after="160" w:line="259" w:lineRule="auto"/>
        <w:jc w:val="both"/>
        <w:rPr>
          <w:rFonts w:asciiTheme="minorHAnsi" w:hAnsiTheme="minorHAnsi" w:cstheme="minorHAnsi"/>
        </w:rPr>
      </w:pPr>
      <w:r w:rsidRPr="00BE29A4">
        <w:rPr>
          <w:rFonts w:asciiTheme="minorHAnsi" w:hAnsiTheme="minorHAnsi" w:cstheme="minorHAnsi"/>
        </w:rPr>
        <w:t xml:space="preserve">Sharma, A., Minh Duc, N.T., Luu Lam Thang, T., Nam, N.H., Ng, S.J., Abbas, K.S., Huy, N.T., Marušić, A., Paul, C.L., Kwok, J., Karbwang, J., de Waure, C., Drummond, F.J., Kizawa, Y., Taal, E., Vermeulen, J., Lee, G.H.M., Gyedu, A., To, K.G., Verra, M.L., Jacqz-Aigrain, E.M., Leclercq, W.K.G., Salminen, S.T., Donald Sherbourne, G., Mintzes, B., Lozano, S., Tran, U.S., Matsui, M. and Karamouzian, M. (2021) </w:t>
      </w:r>
      <w:r w:rsidR="00735BA5">
        <w:rPr>
          <w:rFonts w:asciiTheme="minorHAnsi" w:hAnsiTheme="minorHAnsi" w:cstheme="minorHAnsi"/>
        </w:rPr>
        <w:t>‘</w:t>
      </w:r>
      <w:r w:rsidRPr="00BE29A4">
        <w:rPr>
          <w:rFonts w:asciiTheme="minorHAnsi" w:hAnsiTheme="minorHAnsi" w:cstheme="minorHAnsi"/>
        </w:rPr>
        <w:t>A Consensus-Based Checklist for Reporting of Survey Studies (CROSS)</w:t>
      </w:r>
      <w:r w:rsidR="00735BA5">
        <w:rPr>
          <w:rFonts w:asciiTheme="minorHAnsi" w:hAnsiTheme="minorHAnsi" w:cstheme="minorHAnsi"/>
        </w:rPr>
        <w:t>’</w:t>
      </w:r>
      <w:r w:rsidRPr="00BE29A4">
        <w:rPr>
          <w:rFonts w:asciiTheme="minorHAnsi" w:hAnsiTheme="minorHAnsi" w:cstheme="minorHAnsi"/>
        </w:rPr>
        <w:t xml:space="preserve">, </w:t>
      </w:r>
      <w:r w:rsidRPr="00BC5730">
        <w:rPr>
          <w:rFonts w:asciiTheme="minorHAnsi" w:hAnsiTheme="minorHAnsi" w:cstheme="minorHAnsi"/>
          <w:i/>
          <w:iCs/>
        </w:rPr>
        <w:t>Journal of General Internal Medicine,</w:t>
      </w:r>
      <w:r w:rsidRPr="00BE29A4">
        <w:rPr>
          <w:rFonts w:asciiTheme="minorHAnsi" w:hAnsiTheme="minorHAnsi" w:cstheme="minorHAnsi"/>
        </w:rPr>
        <w:t xml:space="preserve"> 36, pp. 3179-3187. DOI: </w:t>
      </w:r>
      <w:r w:rsidRPr="00BC5730">
        <w:rPr>
          <w:rStyle w:val="Hyperlink"/>
          <w:rFonts w:asciiTheme="minorHAnsi" w:hAnsiTheme="minorHAnsi" w:cstheme="minorHAnsi"/>
        </w:rPr>
        <w:t>https://doi.org/10.1007/s11606-021-06737-1</w:t>
      </w:r>
    </w:p>
    <w:p w14:paraId="3090D71D"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Slater, P.J. and Herbert, A.R. (2023) ‘Education and Mentoring of Specialist Pediatric Palliative Care Medical and Nursing Trainees: The Quality of Care Collaborative Australia’, </w:t>
      </w:r>
      <w:r w:rsidRPr="00854627">
        <w:rPr>
          <w:rFonts w:asciiTheme="minorHAnsi" w:hAnsiTheme="minorHAnsi" w:cstheme="minorHAnsi"/>
          <w:i/>
          <w:iCs/>
        </w:rPr>
        <w:t>Advances in Medical Education and Practice</w:t>
      </w:r>
      <w:r w:rsidRPr="00BE29A4">
        <w:rPr>
          <w:rFonts w:asciiTheme="minorHAnsi" w:hAnsiTheme="minorHAnsi" w:cstheme="minorHAnsi"/>
        </w:rPr>
        <w:t xml:space="preserve">, 2023(14), pp. 43-60. DOI: </w:t>
      </w:r>
      <w:hyperlink r:id="rId74" w:history="1">
        <w:r w:rsidRPr="00854627">
          <w:rPr>
            <w:rStyle w:val="Hyperlink"/>
            <w:rFonts w:asciiTheme="minorHAnsi" w:hAnsiTheme="minorHAnsi" w:cstheme="minorHAnsi"/>
          </w:rPr>
          <w:t>https://doi.org/10.2147/AMEP.S393051</w:t>
        </w:r>
      </w:hyperlink>
      <w:r w:rsidRPr="00BE29A4">
        <w:rPr>
          <w:rFonts w:asciiTheme="minorHAnsi" w:hAnsiTheme="minorHAnsi" w:cstheme="minorHAnsi"/>
        </w:rPr>
        <w:t xml:space="preserve"> </w:t>
      </w:r>
    </w:p>
    <w:p w14:paraId="3F994D86"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Sheehan, R. and Fealy, G. (2020) ‘Trust in the Nurse: Findings from a survey of hospitalised children’, </w:t>
      </w:r>
      <w:r w:rsidRPr="00854627">
        <w:rPr>
          <w:rFonts w:asciiTheme="minorHAnsi" w:hAnsiTheme="minorHAnsi" w:cstheme="minorHAnsi"/>
          <w:i/>
          <w:iCs/>
        </w:rPr>
        <w:t>Journal of Clinical Nursing</w:t>
      </w:r>
      <w:r w:rsidRPr="00BE29A4">
        <w:rPr>
          <w:rFonts w:asciiTheme="minorHAnsi" w:hAnsiTheme="minorHAnsi" w:cstheme="minorHAnsi"/>
        </w:rPr>
        <w:t xml:space="preserve">, 29, pp.4289-4299. DOI: </w:t>
      </w:r>
      <w:hyperlink r:id="rId75" w:history="1">
        <w:r w:rsidRPr="00854627">
          <w:rPr>
            <w:rStyle w:val="Hyperlink"/>
            <w:rFonts w:asciiTheme="minorHAnsi" w:hAnsiTheme="minorHAnsi" w:cstheme="minorHAnsi"/>
          </w:rPr>
          <w:t>https://doi.org/10.1111/jocn.15466</w:t>
        </w:r>
      </w:hyperlink>
      <w:r w:rsidRPr="00BE29A4">
        <w:rPr>
          <w:rFonts w:asciiTheme="minorHAnsi" w:hAnsiTheme="minorHAnsi" w:cstheme="minorHAnsi"/>
        </w:rPr>
        <w:t xml:space="preserve"> </w:t>
      </w:r>
    </w:p>
    <w:p w14:paraId="773FED49"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Shorey, S. and Ng, E. (2021) ‘The use of virtual reality simulation among nursing students and registered nurses: A systematic review’, </w:t>
      </w:r>
      <w:r w:rsidRPr="00483526">
        <w:rPr>
          <w:rFonts w:asciiTheme="minorHAnsi" w:hAnsiTheme="minorHAnsi" w:cstheme="minorHAnsi"/>
          <w:i/>
          <w:iCs/>
        </w:rPr>
        <w:t>Nurse Education Today</w:t>
      </w:r>
      <w:r w:rsidRPr="00BE29A4">
        <w:rPr>
          <w:rFonts w:asciiTheme="minorHAnsi" w:hAnsiTheme="minorHAnsi" w:cstheme="minorHAnsi"/>
        </w:rPr>
        <w:t xml:space="preserve">, 98, pp. 104662. DOI: </w:t>
      </w:r>
      <w:hyperlink r:id="rId76" w:history="1">
        <w:r w:rsidRPr="00483526">
          <w:rPr>
            <w:rStyle w:val="Hyperlink"/>
            <w:rFonts w:asciiTheme="minorHAnsi" w:hAnsiTheme="minorHAnsi" w:cstheme="minorHAnsi"/>
          </w:rPr>
          <w:t>https://doi.org/10.1016/j.nedt.2020.104662</w:t>
        </w:r>
      </w:hyperlink>
      <w:r w:rsidRPr="00BE29A4">
        <w:rPr>
          <w:rFonts w:asciiTheme="minorHAnsi" w:hAnsiTheme="minorHAnsi" w:cstheme="minorHAnsi"/>
        </w:rPr>
        <w:t xml:space="preserve"> </w:t>
      </w:r>
    </w:p>
    <w:p w14:paraId="6A7F0107"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Shorey, S., Kowitlawakula, Y., Devia, M.K., Chena, H-C., Soong, S.K.A. and Ang, E (2018) ‘Blended learning pedagogy designed for communication module among undergraduate nursing students: A quasi-experimental study’, </w:t>
      </w:r>
      <w:r w:rsidRPr="00DB5781">
        <w:rPr>
          <w:rFonts w:asciiTheme="minorHAnsi" w:hAnsiTheme="minorHAnsi" w:cstheme="minorHAnsi"/>
        </w:rPr>
        <w:t>Nurse Education Today</w:t>
      </w:r>
      <w:r w:rsidRPr="00BE29A4">
        <w:rPr>
          <w:rFonts w:asciiTheme="minorHAnsi" w:hAnsiTheme="minorHAnsi" w:cstheme="minorHAnsi"/>
        </w:rPr>
        <w:t xml:space="preserve">, 61, pp. 120-126. DOI: </w:t>
      </w:r>
      <w:hyperlink r:id="rId77" w:history="1">
        <w:r w:rsidRPr="00483526">
          <w:rPr>
            <w:rStyle w:val="Hyperlink"/>
            <w:rFonts w:asciiTheme="minorHAnsi" w:hAnsiTheme="minorHAnsi" w:cstheme="minorHAnsi"/>
          </w:rPr>
          <w:t>https://doi.org/10.1016/j.nedt.2017.11.011</w:t>
        </w:r>
      </w:hyperlink>
      <w:r w:rsidRPr="00BE29A4">
        <w:rPr>
          <w:rFonts w:asciiTheme="minorHAnsi" w:hAnsiTheme="minorHAnsi" w:cstheme="minorHAnsi"/>
        </w:rPr>
        <w:t xml:space="preserve"> </w:t>
      </w:r>
    </w:p>
    <w:p w14:paraId="25575EF5" w14:textId="77777777" w:rsid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Tisdall, E.K.M. (2017) ‘Conceptualising children and young people’s participation: examining vulnerability, social accountability and co-production’, </w:t>
      </w:r>
      <w:r w:rsidRPr="00517F8E">
        <w:rPr>
          <w:rFonts w:asciiTheme="minorHAnsi" w:hAnsiTheme="minorHAnsi" w:cstheme="minorHAnsi"/>
          <w:i/>
          <w:iCs/>
        </w:rPr>
        <w:t>The International Journal of Human Rights</w:t>
      </w:r>
      <w:r w:rsidRPr="00BE29A4">
        <w:rPr>
          <w:rFonts w:asciiTheme="minorHAnsi" w:hAnsiTheme="minorHAnsi" w:cstheme="minorHAnsi"/>
        </w:rPr>
        <w:t xml:space="preserve">, 21(1), 59–75. DOI: </w:t>
      </w:r>
      <w:hyperlink r:id="rId78" w:history="1">
        <w:r w:rsidRPr="00517F8E">
          <w:rPr>
            <w:rStyle w:val="Hyperlink"/>
            <w:rFonts w:asciiTheme="minorHAnsi" w:hAnsiTheme="minorHAnsi" w:cstheme="minorHAnsi"/>
          </w:rPr>
          <w:t>https://doi.org/10.1080/13642987.2016.1248125</w:t>
        </w:r>
      </w:hyperlink>
      <w:r w:rsidRPr="00BE29A4">
        <w:rPr>
          <w:rFonts w:asciiTheme="minorHAnsi" w:hAnsiTheme="minorHAnsi" w:cstheme="minorHAnsi"/>
        </w:rPr>
        <w:t xml:space="preserve"> </w:t>
      </w:r>
    </w:p>
    <w:p w14:paraId="0011EF09" w14:textId="3F625BCB" w:rsidR="000B6C11" w:rsidRPr="00BE29A4" w:rsidRDefault="000B6C11" w:rsidP="00DB5781">
      <w:pPr>
        <w:spacing w:after="160" w:line="259" w:lineRule="auto"/>
        <w:jc w:val="both"/>
        <w:rPr>
          <w:rFonts w:asciiTheme="minorHAnsi" w:hAnsiTheme="minorHAnsi" w:cstheme="minorHAnsi"/>
        </w:rPr>
      </w:pPr>
      <w:r w:rsidRPr="000B6C11">
        <w:rPr>
          <w:rFonts w:asciiTheme="minorHAnsi" w:hAnsiTheme="minorHAnsi" w:cstheme="minorHAnsi"/>
        </w:rPr>
        <w:t>United Nations</w:t>
      </w:r>
      <w:r w:rsidR="001B15A0">
        <w:rPr>
          <w:rFonts w:asciiTheme="minorHAnsi" w:hAnsiTheme="minorHAnsi" w:cstheme="minorHAnsi"/>
        </w:rPr>
        <w:t xml:space="preserve"> </w:t>
      </w:r>
      <w:r w:rsidR="001B15A0" w:rsidRPr="001B15A0">
        <w:rPr>
          <w:rFonts w:asciiTheme="minorHAnsi" w:hAnsiTheme="minorHAnsi" w:cstheme="minorHAnsi"/>
        </w:rPr>
        <w:t xml:space="preserve">Convention on the Rights of the Child </w:t>
      </w:r>
      <w:r w:rsidR="001B15A0">
        <w:rPr>
          <w:rFonts w:asciiTheme="minorHAnsi" w:hAnsiTheme="minorHAnsi" w:cstheme="minorHAnsi"/>
        </w:rPr>
        <w:t xml:space="preserve">(UNCRC) </w:t>
      </w:r>
      <w:r w:rsidR="001B15A0" w:rsidRPr="001B15A0">
        <w:rPr>
          <w:rFonts w:asciiTheme="minorHAnsi" w:hAnsiTheme="minorHAnsi" w:cstheme="minorHAnsi"/>
        </w:rPr>
        <w:t xml:space="preserve">(1989) Treaty no. 27531. United Nations Treaty Series, 1577, pp. 3-178. Available at: </w:t>
      </w:r>
      <w:r w:rsidR="001B15A0" w:rsidRPr="001B15A0">
        <w:rPr>
          <w:rStyle w:val="Hyperlink"/>
          <w:rFonts w:asciiTheme="minorHAnsi" w:hAnsiTheme="minorHAnsi" w:cstheme="minorHAnsi"/>
        </w:rPr>
        <w:t>https://treaties.un.org/doc/Treaties/1990/09/19900902%2003-14%20AM/Ch_IV_11p.pdf</w:t>
      </w:r>
    </w:p>
    <w:p w14:paraId="23E2A8AF" w14:textId="77777777" w:rsid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Wittenberg, E., Goldsmith, J., Prince-Paul, M. and Beltran, E. (2021) ‘Communication and Competencies across Undergraduate BSN Programs and Curricula’, </w:t>
      </w:r>
      <w:r w:rsidRPr="00CE1A03">
        <w:rPr>
          <w:rFonts w:asciiTheme="minorHAnsi" w:hAnsiTheme="minorHAnsi" w:cstheme="minorHAnsi"/>
          <w:i/>
          <w:iCs/>
        </w:rPr>
        <w:t xml:space="preserve">Journal of </w:t>
      </w:r>
      <w:r w:rsidRPr="00CE1A03">
        <w:rPr>
          <w:rFonts w:asciiTheme="minorHAnsi" w:hAnsiTheme="minorHAnsi" w:cstheme="minorHAnsi"/>
          <w:i/>
          <w:iCs/>
        </w:rPr>
        <w:lastRenderedPageBreak/>
        <w:t>Nursing Education</w:t>
      </w:r>
      <w:r w:rsidRPr="00BE29A4">
        <w:rPr>
          <w:rFonts w:asciiTheme="minorHAnsi" w:hAnsiTheme="minorHAnsi" w:cstheme="minorHAnsi"/>
        </w:rPr>
        <w:t xml:space="preserve">, 60(11), pp. 618-624. DOI: </w:t>
      </w:r>
      <w:hyperlink r:id="rId79" w:history="1">
        <w:r w:rsidRPr="00CE1A03">
          <w:rPr>
            <w:rStyle w:val="Hyperlink"/>
            <w:rFonts w:asciiTheme="minorHAnsi" w:hAnsiTheme="minorHAnsi" w:cstheme="minorHAnsi"/>
          </w:rPr>
          <w:t>https://doi.org/10.3928/01484834-20210913-03</w:t>
        </w:r>
      </w:hyperlink>
      <w:r w:rsidRPr="00BE29A4">
        <w:rPr>
          <w:rFonts w:asciiTheme="minorHAnsi" w:hAnsiTheme="minorHAnsi" w:cstheme="minorHAnsi"/>
        </w:rPr>
        <w:t xml:space="preserve"> </w:t>
      </w:r>
    </w:p>
    <w:p w14:paraId="54E9F4D8" w14:textId="77777777" w:rsidR="00CF3AF0" w:rsidRPr="00BE29A4" w:rsidRDefault="00CF3AF0" w:rsidP="00CF3AF0">
      <w:pPr>
        <w:spacing w:after="160" w:line="259" w:lineRule="auto"/>
        <w:jc w:val="both"/>
        <w:rPr>
          <w:rFonts w:asciiTheme="minorHAnsi" w:hAnsiTheme="minorHAnsi" w:cstheme="minorHAnsi"/>
        </w:rPr>
      </w:pPr>
      <w:proofErr w:type="spellStart"/>
      <w:r w:rsidRPr="00BE29A4">
        <w:rPr>
          <w:rFonts w:asciiTheme="minorHAnsi" w:hAnsiTheme="minorHAnsi" w:cstheme="minorHAnsi"/>
        </w:rPr>
        <w:t>Vears</w:t>
      </w:r>
      <w:proofErr w:type="spellEnd"/>
      <w:r w:rsidRPr="00BE29A4">
        <w:rPr>
          <w:rFonts w:asciiTheme="minorHAnsi" w:hAnsiTheme="minorHAnsi" w:cstheme="minorHAnsi"/>
        </w:rPr>
        <w:t xml:space="preserve">, D.F. and Gillam, L. (2022) ‘Inductive content analysis: A guide for beginning qualitative researchers’, </w:t>
      </w:r>
      <w:r w:rsidRPr="00DB5781">
        <w:rPr>
          <w:rFonts w:asciiTheme="minorHAnsi" w:hAnsiTheme="minorHAnsi" w:cstheme="minorHAnsi"/>
        </w:rPr>
        <w:t>Focus on Health Professional Education</w:t>
      </w:r>
      <w:r w:rsidRPr="00BE29A4">
        <w:rPr>
          <w:rFonts w:asciiTheme="minorHAnsi" w:hAnsiTheme="minorHAnsi" w:cstheme="minorHAnsi"/>
        </w:rPr>
        <w:t>, 23(1), PP. 111-127. DOI:</w:t>
      </w:r>
      <w:r w:rsidRPr="00856F32">
        <w:rPr>
          <w:rStyle w:val="Hyperlink"/>
        </w:rPr>
        <w:t xml:space="preserve"> </w:t>
      </w:r>
      <w:hyperlink r:id="rId80" w:history="1">
        <w:r w:rsidRPr="00856F32">
          <w:rPr>
            <w:rStyle w:val="Hyperlink"/>
            <w:rFonts w:asciiTheme="minorHAnsi" w:hAnsiTheme="minorHAnsi" w:cstheme="minorHAnsi"/>
          </w:rPr>
          <w:t>https://doi.org/10.11157/fohpe.v23i1.544</w:t>
        </w:r>
      </w:hyperlink>
    </w:p>
    <w:p w14:paraId="496E0695" w14:textId="77777777" w:rsidR="00BE29A4" w:rsidRPr="00BE29A4" w:rsidRDefault="00BE29A4" w:rsidP="00DB5781">
      <w:pPr>
        <w:spacing w:after="160" w:line="259" w:lineRule="auto"/>
        <w:jc w:val="both"/>
        <w:rPr>
          <w:rFonts w:asciiTheme="minorHAnsi" w:hAnsiTheme="minorHAnsi" w:cstheme="minorHAnsi"/>
        </w:rPr>
      </w:pPr>
      <w:r w:rsidRPr="00BE29A4">
        <w:rPr>
          <w:rFonts w:asciiTheme="minorHAnsi" w:hAnsiTheme="minorHAnsi" w:cstheme="minorHAnsi"/>
        </w:rPr>
        <w:t xml:space="preserve">Wray, J., Williams, C. and Oldham, G. (2022) ‘Testing the Healthcare Complaints Analysis Tool in a Specialist Pediatric Hospital to Assess Potential Utility for Organizational Learning from Complaints’, </w:t>
      </w:r>
      <w:r w:rsidRPr="00856F32">
        <w:rPr>
          <w:rFonts w:asciiTheme="minorHAnsi" w:hAnsiTheme="minorHAnsi" w:cstheme="minorHAnsi"/>
          <w:i/>
          <w:iCs/>
        </w:rPr>
        <w:t>Journal of Patient Experience</w:t>
      </w:r>
      <w:r w:rsidRPr="00BE29A4">
        <w:rPr>
          <w:rFonts w:asciiTheme="minorHAnsi" w:hAnsiTheme="minorHAnsi" w:cstheme="minorHAnsi"/>
        </w:rPr>
        <w:t xml:space="preserve">, 9. DOI: </w:t>
      </w:r>
      <w:hyperlink r:id="rId81" w:history="1">
        <w:r w:rsidRPr="00856F32">
          <w:rPr>
            <w:rStyle w:val="Hyperlink"/>
            <w:rFonts w:asciiTheme="minorHAnsi" w:hAnsiTheme="minorHAnsi" w:cstheme="minorHAnsi"/>
          </w:rPr>
          <w:t>https://doi.org/10.1177/23743735221106594</w:t>
        </w:r>
      </w:hyperlink>
      <w:r w:rsidRPr="00BE29A4">
        <w:rPr>
          <w:rFonts w:asciiTheme="minorHAnsi" w:hAnsiTheme="minorHAnsi" w:cstheme="minorHAnsi"/>
        </w:rPr>
        <w:t xml:space="preserve"> </w:t>
      </w:r>
    </w:p>
    <w:p w14:paraId="38A7826A" w14:textId="707D05DA" w:rsidR="00D3567B" w:rsidRPr="00446CC2" w:rsidRDefault="00CF3AF0">
      <w:pPr>
        <w:rPr>
          <w:rStyle w:val="Hyperlink"/>
          <w:rFonts w:asciiTheme="minorHAnsi" w:hAnsiTheme="minorHAnsi" w:cstheme="minorHAnsi"/>
        </w:rPr>
      </w:pPr>
      <w:r w:rsidRPr="00446CC2">
        <w:rPr>
          <w:rFonts w:asciiTheme="minorHAnsi" w:hAnsiTheme="minorHAnsi" w:cstheme="minorHAnsi"/>
        </w:rPr>
        <w:t xml:space="preserve">Zengin, H. and </w:t>
      </w:r>
      <w:proofErr w:type="spellStart"/>
      <w:r w:rsidRPr="00446CC2">
        <w:rPr>
          <w:rFonts w:asciiTheme="minorHAnsi" w:hAnsiTheme="minorHAnsi" w:cstheme="minorHAnsi"/>
        </w:rPr>
        <w:t>Fidanci</w:t>
      </w:r>
      <w:proofErr w:type="spellEnd"/>
      <w:r w:rsidRPr="00446CC2">
        <w:rPr>
          <w:rFonts w:asciiTheme="minorHAnsi" w:hAnsiTheme="minorHAnsi" w:cstheme="minorHAnsi"/>
        </w:rPr>
        <w:t>, B.E. (2024) ‘</w:t>
      </w:r>
      <w:r w:rsidR="005B7818" w:rsidRPr="00446CC2">
        <w:rPr>
          <w:rFonts w:asciiTheme="minorHAnsi" w:hAnsiTheme="minorHAnsi" w:cstheme="minorHAnsi"/>
        </w:rPr>
        <w:t xml:space="preserve">Effect of Working with a Standardized </w:t>
      </w:r>
      <w:proofErr w:type="spellStart"/>
      <w:r w:rsidR="005B7818" w:rsidRPr="00446CC2">
        <w:rPr>
          <w:rFonts w:asciiTheme="minorHAnsi" w:hAnsiTheme="minorHAnsi" w:cstheme="minorHAnsi"/>
        </w:rPr>
        <w:t>Pediatric</w:t>
      </w:r>
      <w:proofErr w:type="spellEnd"/>
      <w:r w:rsidR="005B7818" w:rsidRPr="00446CC2">
        <w:rPr>
          <w:rFonts w:asciiTheme="minorHAnsi" w:hAnsiTheme="minorHAnsi" w:cstheme="minorHAnsi"/>
        </w:rPr>
        <w:t xml:space="preserve"> Patient on the Skills of Nursing Students in Preparing Children for a Medical Procedure’, </w:t>
      </w:r>
      <w:r w:rsidR="005B7818" w:rsidRPr="00446CC2">
        <w:rPr>
          <w:rFonts w:asciiTheme="minorHAnsi" w:hAnsiTheme="minorHAnsi" w:cstheme="minorHAnsi"/>
          <w:i/>
          <w:iCs/>
        </w:rPr>
        <w:t xml:space="preserve">Clinical Simulation in Nursing, </w:t>
      </w:r>
      <w:r w:rsidR="005B7818" w:rsidRPr="00446CC2">
        <w:rPr>
          <w:rFonts w:asciiTheme="minorHAnsi" w:hAnsiTheme="minorHAnsi" w:cstheme="minorHAnsi"/>
        </w:rPr>
        <w:t xml:space="preserve">87. DOI: </w:t>
      </w:r>
      <w:hyperlink r:id="rId82" w:history="1">
        <w:r w:rsidR="00EA0F14" w:rsidRPr="00446CC2">
          <w:rPr>
            <w:rStyle w:val="Hyperlink"/>
            <w:rFonts w:asciiTheme="minorHAnsi" w:hAnsiTheme="minorHAnsi" w:cstheme="minorHAnsi"/>
          </w:rPr>
          <w:t>https://doi.org/10.1016/j.ecns.2023.101485</w:t>
        </w:r>
      </w:hyperlink>
      <w:r w:rsidR="00EA0F14" w:rsidRPr="00446CC2">
        <w:rPr>
          <w:rStyle w:val="Hyperlink"/>
        </w:rPr>
        <w:t xml:space="preserve"> </w:t>
      </w:r>
    </w:p>
    <w:p w14:paraId="38A7826B" w14:textId="77777777" w:rsidR="00D3567B" w:rsidRPr="00F4126F" w:rsidRDefault="00D3567B">
      <w:pPr>
        <w:rPr>
          <w:rFonts w:ascii="Arial" w:hAnsi="Arial" w:cs="Arial"/>
        </w:rPr>
      </w:pPr>
    </w:p>
    <w:p w14:paraId="38A7826C" w14:textId="77777777" w:rsidR="00D3567B" w:rsidRDefault="00D3567B">
      <w:pPr>
        <w:rPr>
          <w:rFonts w:ascii="Arial" w:hAnsi="Arial" w:cs="Arial"/>
        </w:rPr>
      </w:pPr>
    </w:p>
    <w:p w14:paraId="4846E317" w14:textId="77777777" w:rsidR="005F3686" w:rsidRDefault="005F3686">
      <w:pPr>
        <w:rPr>
          <w:rFonts w:ascii="Arial" w:hAnsi="Arial" w:cs="Arial"/>
        </w:rPr>
      </w:pPr>
    </w:p>
    <w:p w14:paraId="4C95B1B3" w14:textId="77777777" w:rsidR="005F3686" w:rsidRDefault="005F3686">
      <w:pPr>
        <w:rPr>
          <w:rFonts w:ascii="Arial" w:hAnsi="Arial" w:cs="Arial"/>
        </w:rPr>
      </w:pPr>
    </w:p>
    <w:p w14:paraId="1065CA8C" w14:textId="77777777" w:rsidR="005F3686" w:rsidRDefault="005F3686">
      <w:pPr>
        <w:rPr>
          <w:rFonts w:ascii="Arial" w:hAnsi="Arial" w:cs="Arial"/>
        </w:rPr>
      </w:pPr>
    </w:p>
    <w:p w14:paraId="34316E27" w14:textId="77777777" w:rsidR="005F3686" w:rsidRDefault="005F3686">
      <w:pPr>
        <w:rPr>
          <w:rFonts w:ascii="Arial" w:hAnsi="Arial" w:cs="Arial"/>
        </w:rPr>
      </w:pPr>
    </w:p>
    <w:p w14:paraId="42C1E0F8" w14:textId="77777777" w:rsidR="005F3686" w:rsidRDefault="005F3686">
      <w:pPr>
        <w:rPr>
          <w:rFonts w:ascii="Arial" w:hAnsi="Arial" w:cs="Arial"/>
        </w:rPr>
      </w:pPr>
    </w:p>
    <w:p w14:paraId="12643C29" w14:textId="77777777" w:rsidR="005F3686" w:rsidRDefault="005F3686">
      <w:pPr>
        <w:rPr>
          <w:rFonts w:ascii="Arial" w:hAnsi="Arial" w:cs="Arial"/>
        </w:rPr>
      </w:pPr>
    </w:p>
    <w:p w14:paraId="70BAF0ED" w14:textId="77777777" w:rsidR="005F3686" w:rsidRDefault="005F3686">
      <w:pPr>
        <w:rPr>
          <w:rFonts w:ascii="Arial" w:hAnsi="Arial" w:cs="Arial"/>
        </w:rPr>
      </w:pPr>
    </w:p>
    <w:p w14:paraId="40DFF26A" w14:textId="77777777" w:rsidR="005F3686" w:rsidRDefault="005F3686">
      <w:pPr>
        <w:rPr>
          <w:rFonts w:ascii="Arial" w:hAnsi="Arial" w:cs="Arial"/>
        </w:rPr>
      </w:pPr>
    </w:p>
    <w:p w14:paraId="0D8C8384" w14:textId="77777777" w:rsidR="005F3686" w:rsidRDefault="005F3686">
      <w:pPr>
        <w:rPr>
          <w:rFonts w:ascii="Arial" w:hAnsi="Arial" w:cs="Arial"/>
        </w:rPr>
      </w:pPr>
    </w:p>
    <w:p w14:paraId="6310D055" w14:textId="77777777" w:rsidR="005F3686" w:rsidRDefault="005F3686">
      <w:pPr>
        <w:rPr>
          <w:rFonts w:ascii="Arial" w:hAnsi="Arial" w:cs="Arial"/>
        </w:rPr>
      </w:pPr>
    </w:p>
    <w:p w14:paraId="2463B106" w14:textId="77777777" w:rsidR="005F3686" w:rsidRDefault="005F3686">
      <w:pPr>
        <w:rPr>
          <w:rFonts w:ascii="Arial" w:hAnsi="Arial" w:cs="Arial"/>
        </w:rPr>
      </w:pPr>
    </w:p>
    <w:p w14:paraId="2FB3E1B6" w14:textId="77777777" w:rsidR="005F3686" w:rsidRDefault="005F3686">
      <w:pPr>
        <w:rPr>
          <w:rFonts w:ascii="Arial" w:hAnsi="Arial" w:cs="Arial"/>
        </w:rPr>
      </w:pPr>
    </w:p>
    <w:p w14:paraId="0CE59E1F" w14:textId="77777777" w:rsidR="005F3686" w:rsidRDefault="005F3686">
      <w:pPr>
        <w:rPr>
          <w:rFonts w:ascii="Arial" w:hAnsi="Arial" w:cs="Arial"/>
        </w:rPr>
      </w:pPr>
    </w:p>
    <w:p w14:paraId="0A7B1596" w14:textId="77777777" w:rsidR="005F3686" w:rsidRDefault="005F3686">
      <w:pPr>
        <w:rPr>
          <w:rFonts w:ascii="Arial" w:hAnsi="Arial" w:cs="Arial"/>
        </w:rPr>
      </w:pPr>
    </w:p>
    <w:p w14:paraId="75B75BA6" w14:textId="77777777" w:rsidR="005F3686" w:rsidRDefault="005F3686">
      <w:pPr>
        <w:rPr>
          <w:rFonts w:ascii="Arial" w:hAnsi="Arial" w:cs="Arial"/>
        </w:rPr>
      </w:pPr>
    </w:p>
    <w:p w14:paraId="4517991E" w14:textId="77777777" w:rsidR="005F3686" w:rsidRDefault="005F3686">
      <w:pPr>
        <w:rPr>
          <w:rFonts w:ascii="Arial" w:hAnsi="Arial" w:cs="Arial"/>
        </w:rPr>
      </w:pPr>
    </w:p>
    <w:p w14:paraId="55A36199" w14:textId="77777777" w:rsidR="005F3686" w:rsidRDefault="005F3686">
      <w:pPr>
        <w:rPr>
          <w:rFonts w:ascii="Arial" w:hAnsi="Arial" w:cs="Arial"/>
        </w:rPr>
      </w:pPr>
    </w:p>
    <w:p w14:paraId="049B319B" w14:textId="77777777" w:rsidR="005F3686" w:rsidRDefault="005F3686">
      <w:pPr>
        <w:rPr>
          <w:rFonts w:ascii="Arial" w:hAnsi="Arial" w:cs="Arial"/>
        </w:rPr>
      </w:pPr>
    </w:p>
    <w:p w14:paraId="0A7E18F0" w14:textId="77777777" w:rsidR="005F3686" w:rsidRDefault="005F3686">
      <w:pPr>
        <w:rPr>
          <w:rFonts w:ascii="Arial" w:hAnsi="Arial" w:cs="Arial"/>
        </w:rPr>
      </w:pPr>
    </w:p>
    <w:p w14:paraId="747506A6" w14:textId="77777777" w:rsidR="005F3686" w:rsidRDefault="005F3686">
      <w:pPr>
        <w:rPr>
          <w:rFonts w:ascii="Arial" w:hAnsi="Arial" w:cs="Arial"/>
        </w:rPr>
      </w:pPr>
    </w:p>
    <w:p w14:paraId="631F8941" w14:textId="77777777" w:rsidR="005F3686" w:rsidRDefault="005F3686">
      <w:pPr>
        <w:rPr>
          <w:rFonts w:ascii="Arial" w:hAnsi="Arial" w:cs="Arial"/>
        </w:rPr>
      </w:pPr>
    </w:p>
    <w:p w14:paraId="1F73C203" w14:textId="77777777" w:rsidR="005F3686" w:rsidRDefault="005F3686">
      <w:pPr>
        <w:rPr>
          <w:rFonts w:ascii="Arial" w:hAnsi="Arial" w:cs="Arial"/>
        </w:rPr>
      </w:pPr>
    </w:p>
    <w:p w14:paraId="4D59566B" w14:textId="77777777" w:rsidR="005F3686" w:rsidRDefault="005F3686">
      <w:pPr>
        <w:rPr>
          <w:rFonts w:ascii="Arial" w:hAnsi="Arial" w:cs="Arial"/>
        </w:rPr>
      </w:pPr>
    </w:p>
    <w:p w14:paraId="18F14AFD" w14:textId="77777777" w:rsidR="005F3686" w:rsidRDefault="005F3686">
      <w:pPr>
        <w:rPr>
          <w:rFonts w:ascii="Arial" w:hAnsi="Arial" w:cs="Arial"/>
        </w:rPr>
      </w:pPr>
    </w:p>
    <w:p w14:paraId="70ECF319" w14:textId="77777777" w:rsidR="005F3686" w:rsidRDefault="005F3686">
      <w:pPr>
        <w:rPr>
          <w:rFonts w:ascii="Arial" w:hAnsi="Arial" w:cs="Arial"/>
        </w:rPr>
      </w:pPr>
    </w:p>
    <w:p w14:paraId="4FBD1583" w14:textId="77777777" w:rsidR="005F3686" w:rsidRDefault="005F3686">
      <w:pPr>
        <w:rPr>
          <w:rFonts w:ascii="Arial" w:hAnsi="Arial" w:cs="Arial"/>
        </w:rPr>
      </w:pPr>
    </w:p>
    <w:p w14:paraId="27C09286" w14:textId="77777777" w:rsidR="005F3686" w:rsidRDefault="005F3686">
      <w:pPr>
        <w:rPr>
          <w:rFonts w:ascii="Arial" w:hAnsi="Arial" w:cs="Arial"/>
        </w:rPr>
      </w:pPr>
    </w:p>
    <w:p w14:paraId="241DF4E7" w14:textId="77777777" w:rsidR="005F3686" w:rsidRDefault="005F3686">
      <w:pPr>
        <w:rPr>
          <w:rFonts w:ascii="Arial" w:hAnsi="Arial" w:cs="Arial"/>
        </w:rPr>
      </w:pPr>
    </w:p>
    <w:p w14:paraId="09566EB3" w14:textId="77777777" w:rsidR="005F3686" w:rsidRDefault="005F3686">
      <w:pPr>
        <w:rPr>
          <w:rFonts w:ascii="Arial" w:hAnsi="Arial" w:cs="Arial"/>
        </w:rPr>
      </w:pPr>
    </w:p>
    <w:p w14:paraId="0BB19B34" w14:textId="77777777" w:rsidR="005F3686" w:rsidRDefault="005F3686">
      <w:pPr>
        <w:rPr>
          <w:rFonts w:ascii="Arial" w:hAnsi="Arial" w:cs="Arial"/>
        </w:rPr>
      </w:pPr>
    </w:p>
    <w:p w14:paraId="70337488" w14:textId="77777777" w:rsidR="005F3686" w:rsidRDefault="005F3686">
      <w:pPr>
        <w:rPr>
          <w:rFonts w:ascii="Arial" w:hAnsi="Arial" w:cs="Arial"/>
        </w:rPr>
      </w:pPr>
    </w:p>
    <w:p w14:paraId="0A7571B4" w14:textId="77777777" w:rsidR="005F3686" w:rsidRDefault="005F3686">
      <w:pPr>
        <w:rPr>
          <w:rFonts w:ascii="Arial" w:hAnsi="Arial" w:cs="Arial"/>
        </w:rPr>
      </w:pPr>
    </w:p>
    <w:p w14:paraId="1540FCA5" w14:textId="77777777" w:rsidR="005F3686" w:rsidRDefault="005F3686">
      <w:pPr>
        <w:rPr>
          <w:rFonts w:ascii="Arial" w:hAnsi="Arial" w:cs="Arial"/>
        </w:rPr>
      </w:pPr>
    </w:p>
    <w:p w14:paraId="352321F7" w14:textId="77777777" w:rsidR="005F3686" w:rsidRDefault="005F3686">
      <w:pPr>
        <w:rPr>
          <w:rFonts w:ascii="Arial" w:hAnsi="Arial" w:cs="Arial"/>
        </w:rPr>
      </w:pPr>
    </w:p>
    <w:p w14:paraId="285677DA" w14:textId="77777777" w:rsidR="005F3686" w:rsidRDefault="005F3686">
      <w:pPr>
        <w:rPr>
          <w:rFonts w:ascii="Arial" w:hAnsi="Arial" w:cs="Arial"/>
        </w:rPr>
      </w:pPr>
    </w:p>
    <w:p w14:paraId="066D3272" w14:textId="7E1BB51D" w:rsidR="005F3686" w:rsidRDefault="00BE41C3">
      <w:pPr>
        <w:rPr>
          <w:rFonts w:asciiTheme="minorHAnsi" w:hAnsiTheme="minorHAnsi" w:cstheme="minorHAnsi"/>
          <w:b/>
          <w:bCs/>
        </w:rPr>
      </w:pPr>
      <w:r w:rsidRPr="00BE41C3">
        <w:rPr>
          <w:rFonts w:asciiTheme="minorHAnsi" w:hAnsiTheme="minorHAnsi" w:cstheme="minorHAnsi"/>
          <w:b/>
          <w:bCs/>
        </w:rPr>
        <w:t>Supplementary file 1: BSc undergraduate children’s nursing programme communication training survey questions</w:t>
      </w:r>
    </w:p>
    <w:p w14:paraId="0C7DEC3E" w14:textId="77777777" w:rsidR="00BE41C3" w:rsidRDefault="00BE41C3">
      <w:pPr>
        <w:rPr>
          <w:rFonts w:asciiTheme="minorHAnsi" w:hAnsiTheme="minorHAnsi" w:cstheme="minorHAnsi"/>
          <w:b/>
          <w:bCs/>
        </w:rPr>
      </w:pPr>
    </w:p>
    <w:p w14:paraId="10AD1A1B" w14:textId="77777777" w:rsidR="00BE41C3" w:rsidRDefault="00BE41C3">
      <w:pPr>
        <w:rPr>
          <w:rFonts w:asciiTheme="minorHAnsi" w:hAnsiTheme="minorHAnsi" w:cstheme="minorHAnsi"/>
          <w:b/>
          <w:bCs/>
        </w:rPr>
      </w:pPr>
    </w:p>
    <w:tbl>
      <w:tblPr>
        <w:tblW w:w="9064" w:type="dxa"/>
        <w:jc w:val="center"/>
        <w:tblCellMar>
          <w:top w:w="15" w:type="dxa"/>
          <w:left w:w="15" w:type="dxa"/>
          <w:bottom w:w="15" w:type="dxa"/>
          <w:right w:w="15" w:type="dxa"/>
        </w:tblCellMar>
        <w:tblLook w:val="04A0" w:firstRow="1" w:lastRow="0" w:firstColumn="1" w:lastColumn="0" w:noHBand="0" w:noVBand="1"/>
      </w:tblPr>
      <w:tblGrid>
        <w:gridCol w:w="1064"/>
        <w:gridCol w:w="8000"/>
      </w:tblGrid>
      <w:tr w:rsidR="00AC60DA" w:rsidRPr="001B1D97" w14:paraId="760E1722" w14:textId="77777777" w:rsidTr="001C6274">
        <w:trPr>
          <w:trHeight w:val="305"/>
          <w:tblHeader/>
          <w:jc w:val="center"/>
        </w:trPr>
        <w:tc>
          <w:tcPr>
            <w:tcW w:w="9064" w:type="dxa"/>
            <w:gridSpan w:val="2"/>
            <w:tcBorders>
              <w:top w:val="single" w:sz="6" w:space="0" w:color="CCCCCC"/>
              <w:left w:val="single" w:sz="6" w:space="0" w:color="CCCCCC"/>
              <w:bottom w:val="single" w:sz="6" w:space="0" w:color="CCCCCC"/>
              <w:right w:val="single" w:sz="6" w:space="0" w:color="CCCCCC"/>
            </w:tcBorders>
            <w:shd w:val="clear" w:color="auto" w:fill="545555"/>
            <w:tcMar>
              <w:top w:w="150" w:type="dxa"/>
              <w:left w:w="150" w:type="dxa"/>
              <w:bottom w:w="150" w:type="dxa"/>
              <w:right w:w="150" w:type="dxa"/>
            </w:tcMar>
            <w:vAlign w:val="center"/>
            <w:hideMark/>
          </w:tcPr>
          <w:p w14:paraId="2566DBE1" w14:textId="77777777" w:rsidR="00AC60DA" w:rsidRPr="001B1D97" w:rsidRDefault="00AC60DA" w:rsidP="00814450">
            <w:pPr>
              <w:rPr>
                <w:b/>
                <w:bCs/>
                <w:lang w:eastAsia="en-IE"/>
              </w:rPr>
            </w:pPr>
            <w:r>
              <w:rPr>
                <w:rFonts w:ascii="Arial" w:hAnsi="Arial" w:cs="Arial"/>
                <w:b/>
                <w:bCs/>
                <w:color w:val="FFFFFF"/>
                <w:sz w:val="21"/>
                <w:szCs w:val="21"/>
                <w:lang w:eastAsia="en-IE"/>
              </w:rPr>
              <w:t>Q</w:t>
            </w:r>
            <w:r w:rsidRPr="001B1D97">
              <w:rPr>
                <w:rFonts w:ascii="Arial" w:hAnsi="Arial" w:cs="Arial"/>
                <w:b/>
                <w:bCs/>
                <w:color w:val="FFFFFF"/>
                <w:sz w:val="21"/>
                <w:szCs w:val="21"/>
                <w:lang w:eastAsia="en-IE"/>
              </w:rPr>
              <w:t>1. On average, over the last 5 years, what has been the yearly class intake of children’s nursing students on your undergraduate children’s nursing programme?</w:t>
            </w:r>
          </w:p>
        </w:tc>
      </w:tr>
      <w:tr w:rsidR="00AC60DA" w:rsidRPr="001B1D97" w14:paraId="60BD46DA" w14:textId="77777777" w:rsidTr="001C6274">
        <w:trPr>
          <w:trHeight w:val="305"/>
          <w:jc w:val="center"/>
        </w:trPr>
        <w:tc>
          <w:tcPr>
            <w:tcW w:w="9064" w:type="dxa"/>
            <w:gridSpan w:val="2"/>
            <w:tcBorders>
              <w:top w:val="single" w:sz="6" w:space="0" w:color="CCCCCC"/>
              <w:left w:val="single" w:sz="6" w:space="0" w:color="CCCCCC"/>
              <w:bottom w:val="single" w:sz="6" w:space="0" w:color="CCCCCC"/>
              <w:right w:val="single" w:sz="6" w:space="0" w:color="CCCCCC"/>
            </w:tcBorders>
            <w:shd w:val="clear" w:color="auto" w:fill="F5F5F3"/>
            <w:tcMar>
              <w:top w:w="75" w:type="dxa"/>
              <w:left w:w="150" w:type="dxa"/>
              <w:bottom w:w="75" w:type="dxa"/>
              <w:right w:w="75" w:type="dxa"/>
            </w:tcMar>
            <w:vAlign w:val="center"/>
            <w:hideMark/>
          </w:tcPr>
          <w:p w14:paraId="159A6FBC" w14:textId="77777777" w:rsidR="00AC60DA" w:rsidRPr="001B1D97" w:rsidRDefault="00AC60DA" w:rsidP="00814450">
            <w:pPr>
              <w:rPr>
                <w:lang w:eastAsia="en-IE"/>
              </w:rPr>
            </w:pPr>
            <w:r w:rsidRPr="001B1D97">
              <w:rPr>
                <w:rFonts w:ascii="Arial" w:hAnsi="Arial" w:cs="Arial"/>
                <w:b/>
                <w:bCs/>
                <w:color w:val="000000"/>
                <w:sz w:val="18"/>
                <w:szCs w:val="18"/>
                <w:lang w:eastAsia="en-IE"/>
              </w:rPr>
              <w:t>Answer Choices</w:t>
            </w:r>
          </w:p>
        </w:tc>
      </w:tr>
      <w:tr w:rsidR="00AC60DA" w:rsidRPr="001B1D97" w14:paraId="1E9FDFD0" w14:textId="77777777" w:rsidTr="001C6274">
        <w:trPr>
          <w:trHeight w:val="305"/>
          <w:jc w:val="center"/>
        </w:trPr>
        <w:tc>
          <w:tcPr>
            <w:tcW w:w="1064" w:type="dxa"/>
            <w:tcBorders>
              <w:top w:val="single" w:sz="6" w:space="0" w:color="CCCCCC"/>
              <w:left w:val="single" w:sz="6" w:space="0" w:color="CCCCCC"/>
              <w:bottom w:val="single" w:sz="6" w:space="0" w:color="CCCCCC"/>
              <w:right w:val="single" w:sz="6" w:space="0" w:color="CCCCCC"/>
            </w:tcBorders>
            <w:shd w:val="clear" w:color="auto" w:fill="F5F5F4"/>
            <w:tcMar>
              <w:top w:w="60" w:type="dxa"/>
              <w:left w:w="60" w:type="dxa"/>
              <w:bottom w:w="60" w:type="dxa"/>
              <w:right w:w="60" w:type="dxa"/>
            </w:tcMar>
            <w:vAlign w:val="center"/>
            <w:hideMark/>
          </w:tcPr>
          <w:p w14:paraId="585404F1" w14:textId="77777777" w:rsidR="00AC60DA" w:rsidRPr="001B1D97" w:rsidRDefault="00AC60DA" w:rsidP="00814450">
            <w:pPr>
              <w:jc w:val="center"/>
              <w:rPr>
                <w:lang w:eastAsia="en-IE"/>
              </w:rPr>
            </w:pPr>
            <w:r w:rsidRPr="001B1D97">
              <w:rPr>
                <w:rFonts w:ascii="Arial" w:hAnsi="Arial" w:cs="Arial"/>
                <w:color w:val="000000"/>
                <w:sz w:val="18"/>
                <w:szCs w:val="18"/>
                <w:lang w:eastAsia="en-IE"/>
              </w:rPr>
              <w:t>1</w:t>
            </w:r>
          </w:p>
        </w:tc>
        <w:tc>
          <w:tcPr>
            <w:tcW w:w="8000" w:type="dxa"/>
            <w:tcBorders>
              <w:top w:val="single" w:sz="6" w:space="0" w:color="CCCCCC"/>
              <w:left w:val="single" w:sz="6" w:space="0" w:color="CCCCCC"/>
              <w:bottom w:val="single" w:sz="6" w:space="0" w:color="CCCCCC"/>
              <w:right w:val="single" w:sz="6" w:space="0" w:color="CCCCCC"/>
            </w:tcBorders>
            <w:shd w:val="clear" w:color="auto" w:fill="FFFFFF"/>
            <w:tcMar>
              <w:top w:w="60" w:type="dxa"/>
              <w:left w:w="105" w:type="dxa"/>
              <w:bottom w:w="60" w:type="dxa"/>
              <w:right w:w="60" w:type="dxa"/>
            </w:tcMar>
            <w:vAlign w:val="center"/>
            <w:hideMark/>
          </w:tcPr>
          <w:p w14:paraId="2A4E7309" w14:textId="77777777" w:rsidR="00AC60DA" w:rsidRPr="001B1D97" w:rsidRDefault="00AC60DA" w:rsidP="00814450">
            <w:pPr>
              <w:rPr>
                <w:lang w:eastAsia="en-IE"/>
              </w:rPr>
            </w:pPr>
            <w:r>
              <w:rPr>
                <w:rFonts w:ascii="Arial" w:hAnsi="Arial" w:cs="Arial"/>
                <w:color w:val="000000"/>
                <w:sz w:val="18"/>
                <w:szCs w:val="18"/>
                <w:lang w:eastAsia="en-IE"/>
              </w:rPr>
              <w:t>0 – 30</w:t>
            </w:r>
          </w:p>
        </w:tc>
      </w:tr>
      <w:tr w:rsidR="00AC60DA" w:rsidRPr="001B1D97" w14:paraId="5A250720" w14:textId="77777777" w:rsidTr="001C6274">
        <w:trPr>
          <w:trHeight w:val="305"/>
          <w:jc w:val="center"/>
        </w:trPr>
        <w:tc>
          <w:tcPr>
            <w:tcW w:w="1064" w:type="dxa"/>
            <w:tcBorders>
              <w:top w:val="single" w:sz="6" w:space="0" w:color="CCCCCC"/>
              <w:left w:val="single" w:sz="6" w:space="0" w:color="CCCCCC"/>
              <w:bottom w:val="single" w:sz="6" w:space="0" w:color="CCCCCC"/>
              <w:right w:val="single" w:sz="6" w:space="0" w:color="CCCCCC"/>
            </w:tcBorders>
            <w:shd w:val="clear" w:color="auto" w:fill="F5F5F4"/>
            <w:tcMar>
              <w:top w:w="60" w:type="dxa"/>
              <w:left w:w="60" w:type="dxa"/>
              <w:bottom w:w="60" w:type="dxa"/>
              <w:right w:w="60" w:type="dxa"/>
            </w:tcMar>
            <w:vAlign w:val="center"/>
            <w:hideMark/>
          </w:tcPr>
          <w:p w14:paraId="7659E33C" w14:textId="77777777" w:rsidR="00AC60DA" w:rsidRPr="001B1D97" w:rsidRDefault="00AC60DA" w:rsidP="00814450">
            <w:pPr>
              <w:jc w:val="center"/>
              <w:rPr>
                <w:lang w:eastAsia="en-IE"/>
              </w:rPr>
            </w:pPr>
            <w:r w:rsidRPr="001B1D97">
              <w:rPr>
                <w:rFonts w:ascii="Arial" w:hAnsi="Arial" w:cs="Arial"/>
                <w:color w:val="000000"/>
                <w:sz w:val="18"/>
                <w:szCs w:val="18"/>
                <w:lang w:eastAsia="en-IE"/>
              </w:rPr>
              <w:t>2</w:t>
            </w:r>
          </w:p>
        </w:tc>
        <w:tc>
          <w:tcPr>
            <w:tcW w:w="8000" w:type="dxa"/>
            <w:tcBorders>
              <w:top w:val="single" w:sz="6" w:space="0" w:color="CCCCCC"/>
              <w:left w:val="single" w:sz="6" w:space="0" w:color="CCCCCC"/>
              <w:bottom w:val="single" w:sz="6" w:space="0" w:color="CCCCCC"/>
              <w:right w:val="single" w:sz="6" w:space="0" w:color="CCCCCC"/>
            </w:tcBorders>
            <w:shd w:val="clear" w:color="auto" w:fill="FFFFFF"/>
            <w:tcMar>
              <w:top w:w="60" w:type="dxa"/>
              <w:left w:w="105" w:type="dxa"/>
              <w:bottom w:w="60" w:type="dxa"/>
              <w:right w:w="60" w:type="dxa"/>
            </w:tcMar>
            <w:vAlign w:val="center"/>
            <w:hideMark/>
          </w:tcPr>
          <w:p w14:paraId="716F693C" w14:textId="77777777" w:rsidR="00AC60DA" w:rsidRPr="001B1D97" w:rsidRDefault="00AC60DA" w:rsidP="00814450">
            <w:pPr>
              <w:rPr>
                <w:lang w:eastAsia="en-IE"/>
              </w:rPr>
            </w:pPr>
            <w:r>
              <w:rPr>
                <w:rFonts w:ascii="Arial" w:hAnsi="Arial" w:cs="Arial"/>
                <w:color w:val="000000"/>
                <w:sz w:val="18"/>
                <w:szCs w:val="18"/>
                <w:lang w:eastAsia="en-IE"/>
              </w:rPr>
              <w:t>31 – 60</w:t>
            </w:r>
          </w:p>
        </w:tc>
      </w:tr>
      <w:tr w:rsidR="00AC60DA" w:rsidRPr="001B1D97" w14:paraId="18A0C910" w14:textId="77777777" w:rsidTr="001C6274">
        <w:trPr>
          <w:trHeight w:val="305"/>
          <w:jc w:val="center"/>
        </w:trPr>
        <w:tc>
          <w:tcPr>
            <w:tcW w:w="1064" w:type="dxa"/>
            <w:tcBorders>
              <w:top w:val="single" w:sz="6" w:space="0" w:color="CCCCCC"/>
              <w:left w:val="single" w:sz="6" w:space="0" w:color="CCCCCC"/>
              <w:bottom w:val="single" w:sz="6" w:space="0" w:color="CCCCCC"/>
              <w:right w:val="single" w:sz="6" w:space="0" w:color="CCCCCC"/>
            </w:tcBorders>
            <w:shd w:val="clear" w:color="auto" w:fill="F5F5F4"/>
            <w:tcMar>
              <w:top w:w="60" w:type="dxa"/>
              <w:left w:w="60" w:type="dxa"/>
              <w:bottom w:w="60" w:type="dxa"/>
              <w:right w:w="60" w:type="dxa"/>
            </w:tcMar>
            <w:vAlign w:val="center"/>
            <w:hideMark/>
          </w:tcPr>
          <w:p w14:paraId="598F38DB" w14:textId="77777777" w:rsidR="00AC60DA" w:rsidRPr="001B1D97" w:rsidRDefault="00AC60DA" w:rsidP="00814450">
            <w:pPr>
              <w:jc w:val="center"/>
              <w:rPr>
                <w:lang w:eastAsia="en-IE"/>
              </w:rPr>
            </w:pPr>
            <w:r w:rsidRPr="001B1D97">
              <w:rPr>
                <w:rFonts w:ascii="Arial" w:hAnsi="Arial" w:cs="Arial"/>
                <w:color w:val="000000"/>
                <w:sz w:val="18"/>
                <w:szCs w:val="18"/>
                <w:lang w:eastAsia="en-IE"/>
              </w:rPr>
              <w:t>3</w:t>
            </w:r>
          </w:p>
        </w:tc>
        <w:tc>
          <w:tcPr>
            <w:tcW w:w="8000" w:type="dxa"/>
            <w:tcBorders>
              <w:top w:val="single" w:sz="6" w:space="0" w:color="CCCCCC"/>
              <w:left w:val="single" w:sz="6" w:space="0" w:color="CCCCCC"/>
              <w:bottom w:val="single" w:sz="6" w:space="0" w:color="CCCCCC"/>
              <w:right w:val="single" w:sz="6" w:space="0" w:color="CCCCCC"/>
            </w:tcBorders>
            <w:shd w:val="clear" w:color="auto" w:fill="FFFFFF"/>
            <w:tcMar>
              <w:top w:w="60" w:type="dxa"/>
              <w:left w:w="105" w:type="dxa"/>
              <w:bottom w:w="60" w:type="dxa"/>
              <w:right w:w="60" w:type="dxa"/>
            </w:tcMar>
            <w:vAlign w:val="center"/>
            <w:hideMark/>
          </w:tcPr>
          <w:p w14:paraId="6685086A" w14:textId="77777777" w:rsidR="00AC60DA" w:rsidRPr="001B1D97" w:rsidRDefault="00AC60DA" w:rsidP="00814450">
            <w:pPr>
              <w:rPr>
                <w:lang w:eastAsia="en-IE"/>
              </w:rPr>
            </w:pPr>
            <w:r>
              <w:rPr>
                <w:rFonts w:ascii="Arial" w:hAnsi="Arial" w:cs="Arial"/>
                <w:color w:val="000000"/>
                <w:sz w:val="18"/>
                <w:szCs w:val="18"/>
                <w:lang w:eastAsia="en-IE"/>
              </w:rPr>
              <w:t>61 – 90</w:t>
            </w:r>
          </w:p>
        </w:tc>
      </w:tr>
      <w:tr w:rsidR="00AC60DA" w:rsidRPr="001B1D97" w14:paraId="43227CC5" w14:textId="77777777" w:rsidTr="001C6274">
        <w:trPr>
          <w:trHeight w:val="305"/>
          <w:jc w:val="center"/>
        </w:trPr>
        <w:tc>
          <w:tcPr>
            <w:tcW w:w="1064" w:type="dxa"/>
            <w:tcBorders>
              <w:top w:val="single" w:sz="6" w:space="0" w:color="CCCCCC"/>
              <w:left w:val="single" w:sz="6" w:space="0" w:color="CCCCCC"/>
              <w:bottom w:val="single" w:sz="6" w:space="0" w:color="CCCCCC"/>
              <w:right w:val="single" w:sz="6" w:space="0" w:color="CCCCCC"/>
            </w:tcBorders>
            <w:shd w:val="clear" w:color="auto" w:fill="F5F5F4"/>
            <w:tcMar>
              <w:top w:w="60" w:type="dxa"/>
              <w:left w:w="60" w:type="dxa"/>
              <w:bottom w:w="60" w:type="dxa"/>
              <w:right w:w="60" w:type="dxa"/>
            </w:tcMar>
            <w:vAlign w:val="center"/>
            <w:hideMark/>
          </w:tcPr>
          <w:p w14:paraId="6B4E3CA2" w14:textId="77777777" w:rsidR="00AC60DA" w:rsidRPr="001B1D97" w:rsidRDefault="00AC60DA" w:rsidP="00814450">
            <w:pPr>
              <w:jc w:val="center"/>
              <w:rPr>
                <w:lang w:eastAsia="en-IE"/>
              </w:rPr>
            </w:pPr>
            <w:r w:rsidRPr="001B1D97">
              <w:rPr>
                <w:rFonts w:ascii="Arial" w:hAnsi="Arial" w:cs="Arial"/>
                <w:color w:val="000000"/>
                <w:sz w:val="18"/>
                <w:szCs w:val="18"/>
                <w:lang w:eastAsia="en-IE"/>
              </w:rPr>
              <w:t>4</w:t>
            </w:r>
          </w:p>
        </w:tc>
        <w:tc>
          <w:tcPr>
            <w:tcW w:w="8000" w:type="dxa"/>
            <w:tcBorders>
              <w:top w:val="single" w:sz="6" w:space="0" w:color="CCCCCC"/>
              <w:left w:val="single" w:sz="6" w:space="0" w:color="CCCCCC"/>
              <w:bottom w:val="single" w:sz="6" w:space="0" w:color="CCCCCC"/>
              <w:right w:val="single" w:sz="6" w:space="0" w:color="CCCCCC"/>
            </w:tcBorders>
            <w:shd w:val="clear" w:color="auto" w:fill="FFFFFF"/>
            <w:tcMar>
              <w:top w:w="60" w:type="dxa"/>
              <w:left w:w="105" w:type="dxa"/>
              <w:bottom w:w="60" w:type="dxa"/>
              <w:right w:w="60" w:type="dxa"/>
            </w:tcMar>
            <w:vAlign w:val="center"/>
            <w:hideMark/>
          </w:tcPr>
          <w:p w14:paraId="3378FA2E" w14:textId="77777777" w:rsidR="00AC60DA" w:rsidRPr="001B1D97" w:rsidRDefault="00AC60DA" w:rsidP="00814450">
            <w:pPr>
              <w:rPr>
                <w:lang w:eastAsia="en-IE"/>
              </w:rPr>
            </w:pPr>
            <w:r>
              <w:rPr>
                <w:rFonts w:ascii="Arial" w:hAnsi="Arial" w:cs="Arial"/>
                <w:color w:val="000000"/>
                <w:sz w:val="18"/>
                <w:szCs w:val="18"/>
                <w:lang w:eastAsia="en-IE"/>
              </w:rPr>
              <w:t>91+</w:t>
            </w:r>
          </w:p>
        </w:tc>
      </w:tr>
    </w:tbl>
    <w:p w14:paraId="4EE795B3" w14:textId="77777777" w:rsidR="00AC60DA" w:rsidRDefault="00AC60DA">
      <w:pPr>
        <w:rPr>
          <w:rFonts w:asciiTheme="minorHAnsi" w:hAnsiTheme="minorHAnsi" w:cstheme="minorHAnsi"/>
          <w:b/>
          <w:bCs/>
        </w:rPr>
      </w:pPr>
    </w:p>
    <w:p w14:paraId="641CF4E7" w14:textId="77777777" w:rsidR="00AC60DA" w:rsidRDefault="00AC60DA">
      <w:pPr>
        <w:rPr>
          <w:rFonts w:asciiTheme="minorHAnsi" w:hAnsiTheme="minorHAnsi" w:cstheme="minorHAnsi"/>
          <w:b/>
          <w:bCs/>
        </w:rPr>
      </w:pPr>
    </w:p>
    <w:tbl>
      <w:tblPr>
        <w:tblW w:w="9064" w:type="dxa"/>
        <w:jc w:val="center"/>
        <w:tblCellMar>
          <w:top w:w="15" w:type="dxa"/>
          <w:left w:w="15" w:type="dxa"/>
          <w:bottom w:w="15" w:type="dxa"/>
          <w:right w:w="15" w:type="dxa"/>
        </w:tblCellMar>
        <w:tblLook w:val="04A0" w:firstRow="1" w:lastRow="0" w:firstColumn="1" w:lastColumn="0" w:noHBand="0" w:noVBand="1"/>
      </w:tblPr>
      <w:tblGrid>
        <w:gridCol w:w="701"/>
        <w:gridCol w:w="8363"/>
      </w:tblGrid>
      <w:tr w:rsidR="001C6274" w:rsidRPr="001B1D97" w14:paraId="1F6F4F95" w14:textId="77777777" w:rsidTr="00814450">
        <w:trPr>
          <w:trHeight w:val="330"/>
          <w:tblHeader/>
          <w:jc w:val="center"/>
        </w:trPr>
        <w:tc>
          <w:tcPr>
            <w:tcW w:w="9064" w:type="dxa"/>
            <w:gridSpan w:val="2"/>
            <w:tcBorders>
              <w:top w:val="single" w:sz="6" w:space="0" w:color="CCCCCC"/>
              <w:left w:val="single" w:sz="6" w:space="0" w:color="CCCCCC"/>
              <w:bottom w:val="single" w:sz="6" w:space="0" w:color="CCCCCC"/>
              <w:right w:val="single" w:sz="6" w:space="0" w:color="CCCCCC"/>
            </w:tcBorders>
            <w:shd w:val="clear" w:color="auto" w:fill="545555"/>
            <w:tcMar>
              <w:top w:w="150" w:type="dxa"/>
              <w:left w:w="150" w:type="dxa"/>
              <w:bottom w:w="150" w:type="dxa"/>
              <w:right w:w="150" w:type="dxa"/>
            </w:tcMar>
            <w:vAlign w:val="center"/>
            <w:hideMark/>
          </w:tcPr>
          <w:p w14:paraId="20D17B2E" w14:textId="77777777" w:rsidR="001C6274" w:rsidRPr="001B1D97" w:rsidRDefault="001C6274" w:rsidP="00814450">
            <w:pPr>
              <w:rPr>
                <w:b/>
                <w:bCs/>
                <w:lang w:eastAsia="en-IE"/>
              </w:rPr>
            </w:pPr>
            <w:r>
              <w:rPr>
                <w:rFonts w:ascii="Arial" w:hAnsi="Arial" w:cs="Arial"/>
                <w:b/>
                <w:bCs/>
                <w:color w:val="FFFFFF"/>
                <w:sz w:val="21"/>
                <w:szCs w:val="21"/>
                <w:lang w:eastAsia="en-IE"/>
              </w:rPr>
              <w:t>Q</w:t>
            </w:r>
            <w:r w:rsidRPr="001B1D97">
              <w:rPr>
                <w:rFonts w:ascii="Arial" w:hAnsi="Arial" w:cs="Arial"/>
                <w:b/>
                <w:bCs/>
                <w:color w:val="FFFFFF"/>
                <w:sz w:val="21"/>
                <w:szCs w:val="21"/>
                <w:lang w:eastAsia="en-IE"/>
              </w:rPr>
              <w:t xml:space="preserve">2. </w:t>
            </w:r>
            <w:r w:rsidRPr="00127300">
              <w:rPr>
                <w:rFonts w:ascii="Arial" w:hAnsi="Arial" w:cs="Arial"/>
                <w:b/>
                <w:bCs/>
                <w:color w:val="FFFFFF"/>
                <w:sz w:val="21"/>
                <w:szCs w:val="21"/>
                <w:lang w:eastAsia="en-IE"/>
              </w:rPr>
              <w:t>Do you have specific modules or sessions dedicated to communication with children and young people in your undergraduate children’s nursing programme?</w:t>
            </w:r>
          </w:p>
        </w:tc>
      </w:tr>
      <w:tr w:rsidR="001C6274" w:rsidRPr="001B1D97" w14:paraId="77603550" w14:textId="77777777" w:rsidTr="00814450">
        <w:trPr>
          <w:trHeight w:val="330"/>
          <w:jc w:val="center"/>
        </w:trPr>
        <w:tc>
          <w:tcPr>
            <w:tcW w:w="9064" w:type="dxa"/>
            <w:gridSpan w:val="2"/>
            <w:tcBorders>
              <w:top w:val="single" w:sz="6" w:space="0" w:color="CCCCCC"/>
              <w:left w:val="single" w:sz="6" w:space="0" w:color="CCCCCC"/>
              <w:bottom w:val="single" w:sz="6" w:space="0" w:color="CCCCCC"/>
              <w:right w:val="single" w:sz="6" w:space="0" w:color="CCCCCC"/>
            </w:tcBorders>
            <w:shd w:val="clear" w:color="auto" w:fill="F5F5F3"/>
            <w:tcMar>
              <w:top w:w="75" w:type="dxa"/>
              <w:left w:w="150" w:type="dxa"/>
              <w:bottom w:w="75" w:type="dxa"/>
              <w:right w:w="75" w:type="dxa"/>
            </w:tcMar>
            <w:vAlign w:val="center"/>
            <w:hideMark/>
          </w:tcPr>
          <w:p w14:paraId="0C4CBFA1" w14:textId="77777777" w:rsidR="001C6274" w:rsidRPr="001B1D97" w:rsidRDefault="001C6274" w:rsidP="00814450">
            <w:pPr>
              <w:rPr>
                <w:lang w:eastAsia="en-IE"/>
              </w:rPr>
            </w:pPr>
            <w:r w:rsidRPr="001B1D97">
              <w:rPr>
                <w:rFonts w:ascii="Arial" w:hAnsi="Arial" w:cs="Arial"/>
                <w:b/>
                <w:bCs/>
                <w:color w:val="000000"/>
                <w:sz w:val="18"/>
                <w:szCs w:val="18"/>
                <w:lang w:eastAsia="en-IE"/>
              </w:rPr>
              <w:t>Answer Choices</w:t>
            </w:r>
          </w:p>
        </w:tc>
      </w:tr>
      <w:tr w:rsidR="001C6274" w:rsidRPr="001B1D97" w14:paraId="6F0561F6" w14:textId="77777777" w:rsidTr="00814450">
        <w:trPr>
          <w:trHeight w:val="330"/>
          <w:jc w:val="center"/>
        </w:trPr>
        <w:tc>
          <w:tcPr>
            <w:tcW w:w="701" w:type="dxa"/>
            <w:tcBorders>
              <w:top w:val="single" w:sz="6" w:space="0" w:color="CCCCCC"/>
              <w:left w:val="single" w:sz="6" w:space="0" w:color="CCCCCC"/>
              <w:bottom w:val="single" w:sz="6" w:space="0" w:color="CCCCCC"/>
              <w:right w:val="single" w:sz="6" w:space="0" w:color="CCCCCC"/>
            </w:tcBorders>
            <w:shd w:val="clear" w:color="auto" w:fill="F5F5F4"/>
            <w:tcMar>
              <w:top w:w="60" w:type="dxa"/>
              <w:left w:w="60" w:type="dxa"/>
              <w:bottom w:w="60" w:type="dxa"/>
              <w:right w:w="60" w:type="dxa"/>
            </w:tcMar>
            <w:vAlign w:val="center"/>
            <w:hideMark/>
          </w:tcPr>
          <w:p w14:paraId="40EA363F" w14:textId="77777777" w:rsidR="001C6274" w:rsidRPr="001B1D97" w:rsidRDefault="001C6274" w:rsidP="00814450">
            <w:pPr>
              <w:jc w:val="center"/>
              <w:rPr>
                <w:lang w:eastAsia="en-IE"/>
              </w:rPr>
            </w:pPr>
            <w:r w:rsidRPr="001B1D97">
              <w:rPr>
                <w:rFonts w:ascii="Arial" w:hAnsi="Arial" w:cs="Arial"/>
                <w:color w:val="000000"/>
                <w:sz w:val="18"/>
                <w:szCs w:val="18"/>
                <w:lang w:eastAsia="en-IE"/>
              </w:rPr>
              <w:t>1</w:t>
            </w:r>
          </w:p>
        </w:tc>
        <w:tc>
          <w:tcPr>
            <w:tcW w:w="8363" w:type="dxa"/>
            <w:tcBorders>
              <w:top w:val="single" w:sz="6" w:space="0" w:color="CCCCCC"/>
              <w:left w:val="single" w:sz="6" w:space="0" w:color="CCCCCC"/>
              <w:bottom w:val="single" w:sz="6" w:space="0" w:color="CCCCCC"/>
              <w:right w:val="single" w:sz="6" w:space="0" w:color="CCCCCC"/>
            </w:tcBorders>
            <w:shd w:val="clear" w:color="auto" w:fill="FFFFFF"/>
            <w:tcMar>
              <w:top w:w="60" w:type="dxa"/>
              <w:left w:w="105" w:type="dxa"/>
              <w:bottom w:w="60" w:type="dxa"/>
              <w:right w:w="60" w:type="dxa"/>
            </w:tcMar>
            <w:vAlign w:val="center"/>
            <w:hideMark/>
          </w:tcPr>
          <w:p w14:paraId="742FF636" w14:textId="77777777" w:rsidR="001C6274" w:rsidRPr="001B1D97" w:rsidRDefault="001C6274" w:rsidP="00814450">
            <w:pPr>
              <w:rPr>
                <w:lang w:eastAsia="en-IE"/>
              </w:rPr>
            </w:pPr>
            <w:r w:rsidRPr="001B1D97">
              <w:rPr>
                <w:rFonts w:ascii="Arial" w:hAnsi="Arial" w:cs="Arial"/>
                <w:color w:val="000000"/>
                <w:sz w:val="18"/>
                <w:szCs w:val="18"/>
                <w:lang w:eastAsia="en-IE"/>
              </w:rPr>
              <w:t>Yes</w:t>
            </w:r>
          </w:p>
        </w:tc>
      </w:tr>
      <w:tr w:rsidR="001C6274" w:rsidRPr="001B1D97" w14:paraId="2BFB469F" w14:textId="77777777" w:rsidTr="00814450">
        <w:trPr>
          <w:trHeight w:val="330"/>
          <w:jc w:val="center"/>
        </w:trPr>
        <w:tc>
          <w:tcPr>
            <w:tcW w:w="701" w:type="dxa"/>
            <w:tcBorders>
              <w:top w:val="single" w:sz="6" w:space="0" w:color="CCCCCC"/>
              <w:left w:val="single" w:sz="6" w:space="0" w:color="CCCCCC"/>
              <w:bottom w:val="single" w:sz="6" w:space="0" w:color="CCCCCC"/>
              <w:right w:val="single" w:sz="6" w:space="0" w:color="CCCCCC"/>
            </w:tcBorders>
            <w:shd w:val="clear" w:color="auto" w:fill="F5F5F4"/>
            <w:tcMar>
              <w:top w:w="60" w:type="dxa"/>
              <w:left w:w="60" w:type="dxa"/>
              <w:bottom w:w="60" w:type="dxa"/>
              <w:right w:w="60" w:type="dxa"/>
            </w:tcMar>
            <w:vAlign w:val="center"/>
            <w:hideMark/>
          </w:tcPr>
          <w:p w14:paraId="3C8C0D62" w14:textId="77777777" w:rsidR="001C6274" w:rsidRPr="001B1D97" w:rsidRDefault="001C6274" w:rsidP="00814450">
            <w:pPr>
              <w:jc w:val="center"/>
              <w:rPr>
                <w:lang w:eastAsia="en-IE"/>
              </w:rPr>
            </w:pPr>
            <w:r w:rsidRPr="001B1D97">
              <w:rPr>
                <w:rFonts w:ascii="Arial" w:hAnsi="Arial" w:cs="Arial"/>
                <w:color w:val="000000"/>
                <w:sz w:val="18"/>
                <w:szCs w:val="18"/>
                <w:lang w:eastAsia="en-IE"/>
              </w:rPr>
              <w:t>2</w:t>
            </w:r>
          </w:p>
        </w:tc>
        <w:tc>
          <w:tcPr>
            <w:tcW w:w="8363" w:type="dxa"/>
            <w:tcBorders>
              <w:top w:val="single" w:sz="6" w:space="0" w:color="CCCCCC"/>
              <w:left w:val="single" w:sz="6" w:space="0" w:color="CCCCCC"/>
              <w:bottom w:val="single" w:sz="6" w:space="0" w:color="CCCCCC"/>
              <w:right w:val="single" w:sz="6" w:space="0" w:color="CCCCCC"/>
            </w:tcBorders>
            <w:shd w:val="clear" w:color="auto" w:fill="FFFFFF"/>
            <w:tcMar>
              <w:top w:w="60" w:type="dxa"/>
              <w:left w:w="105" w:type="dxa"/>
              <w:bottom w:w="60" w:type="dxa"/>
              <w:right w:w="60" w:type="dxa"/>
            </w:tcMar>
            <w:vAlign w:val="center"/>
            <w:hideMark/>
          </w:tcPr>
          <w:p w14:paraId="63EA3B8C" w14:textId="77777777" w:rsidR="001C6274" w:rsidRPr="001B1D97" w:rsidRDefault="001C6274" w:rsidP="00814450">
            <w:pPr>
              <w:rPr>
                <w:lang w:eastAsia="en-IE"/>
              </w:rPr>
            </w:pPr>
            <w:r w:rsidRPr="002B32CA">
              <w:rPr>
                <w:rFonts w:ascii="Arial" w:hAnsi="Arial" w:cs="Arial"/>
                <w:color w:val="000000"/>
                <w:sz w:val="18"/>
                <w:szCs w:val="18"/>
                <w:lang w:eastAsia="en-IE"/>
              </w:rPr>
              <w:t>No</w:t>
            </w:r>
          </w:p>
        </w:tc>
      </w:tr>
      <w:tr w:rsidR="001C6274" w:rsidRPr="001B1D97" w14:paraId="30229E01" w14:textId="77777777" w:rsidTr="00814450">
        <w:trPr>
          <w:trHeight w:val="330"/>
          <w:jc w:val="center"/>
        </w:trPr>
        <w:tc>
          <w:tcPr>
            <w:tcW w:w="701" w:type="dxa"/>
            <w:tcBorders>
              <w:top w:val="single" w:sz="6" w:space="0" w:color="CCCCCC"/>
              <w:left w:val="single" w:sz="6" w:space="0" w:color="CCCCCC"/>
              <w:bottom w:val="single" w:sz="6" w:space="0" w:color="CCCCCC"/>
              <w:right w:val="single" w:sz="6" w:space="0" w:color="CCCCCC"/>
            </w:tcBorders>
            <w:shd w:val="clear" w:color="auto" w:fill="F5F5F4"/>
            <w:tcMar>
              <w:top w:w="60" w:type="dxa"/>
              <w:left w:w="60" w:type="dxa"/>
              <w:bottom w:w="60" w:type="dxa"/>
              <w:right w:w="60" w:type="dxa"/>
            </w:tcMar>
            <w:vAlign w:val="center"/>
            <w:hideMark/>
          </w:tcPr>
          <w:p w14:paraId="61D116A7" w14:textId="77777777" w:rsidR="001C6274" w:rsidRPr="001B1D97" w:rsidRDefault="001C6274" w:rsidP="00814450">
            <w:pPr>
              <w:jc w:val="center"/>
              <w:rPr>
                <w:lang w:eastAsia="en-IE"/>
              </w:rPr>
            </w:pPr>
            <w:r w:rsidRPr="001B1D97">
              <w:rPr>
                <w:rFonts w:ascii="Arial" w:hAnsi="Arial" w:cs="Arial"/>
                <w:color w:val="000000"/>
                <w:sz w:val="18"/>
                <w:szCs w:val="18"/>
                <w:lang w:eastAsia="en-IE"/>
              </w:rPr>
              <w:t>3</w:t>
            </w:r>
          </w:p>
        </w:tc>
        <w:tc>
          <w:tcPr>
            <w:tcW w:w="8363" w:type="dxa"/>
            <w:tcBorders>
              <w:top w:val="single" w:sz="6" w:space="0" w:color="CCCCCC"/>
              <w:left w:val="single" w:sz="6" w:space="0" w:color="CCCCCC"/>
              <w:bottom w:val="single" w:sz="6" w:space="0" w:color="CCCCCC"/>
              <w:right w:val="single" w:sz="6" w:space="0" w:color="CCCCCC"/>
            </w:tcBorders>
            <w:shd w:val="clear" w:color="auto" w:fill="FFFFFF"/>
            <w:tcMar>
              <w:top w:w="60" w:type="dxa"/>
              <w:left w:w="105" w:type="dxa"/>
              <w:bottom w:w="60" w:type="dxa"/>
              <w:right w:w="60" w:type="dxa"/>
            </w:tcMar>
            <w:vAlign w:val="center"/>
            <w:hideMark/>
          </w:tcPr>
          <w:p w14:paraId="2D5EFD27" w14:textId="77777777" w:rsidR="001C6274" w:rsidRPr="001B1D97" w:rsidRDefault="001C6274" w:rsidP="00814450">
            <w:r w:rsidRPr="00C00547">
              <w:rPr>
                <w:rFonts w:ascii="Arial" w:hAnsi="Arial" w:cs="Arial"/>
                <w:color w:val="000000"/>
                <w:sz w:val="18"/>
                <w:szCs w:val="18"/>
                <w:lang w:eastAsia="en-IE"/>
              </w:rPr>
              <w:t>Other (With free text box)</w:t>
            </w:r>
          </w:p>
        </w:tc>
      </w:tr>
    </w:tbl>
    <w:p w14:paraId="107B55ED" w14:textId="77777777" w:rsidR="00AC60DA" w:rsidRDefault="00AC60DA">
      <w:pPr>
        <w:rPr>
          <w:rFonts w:asciiTheme="minorHAnsi" w:hAnsiTheme="minorHAnsi" w:cstheme="minorHAnsi"/>
          <w:b/>
          <w:bCs/>
        </w:rPr>
      </w:pPr>
    </w:p>
    <w:p w14:paraId="6F2D31DD" w14:textId="77777777" w:rsidR="001C6274" w:rsidRDefault="001C6274">
      <w:pPr>
        <w:rPr>
          <w:rFonts w:asciiTheme="minorHAnsi" w:hAnsiTheme="minorHAnsi" w:cstheme="minorHAnsi"/>
          <w:b/>
          <w:bCs/>
        </w:rPr>
      </w:pPr>
    </w:p>
    <w:tbl>
      <w:tblPr>
        <w:tblW w:w="9064" w:type="dxa"/>
        <w:jc w:val="center"/>
        <w:tblCellMar>
          <w:top w:w="15" w:type="dxa"/>
          <w:left w:w="15" w:type="dxa"/>
          <w:bottom w:w="15" w:type="dxa"/>
          <w:right w:w="15" w:type="dxa"/>
        </w:tblCellMar>
        <w:tblLook w:val="04A0" w:firstRow="1" w:lastRow="0" w:firstColumn="1" w:lastColumn="0" w:noHBand="0" w:noVBand="1"/>
      </w:tblPr>
      <w:tblGrid>
        <w:gridCol w:w="701"/>
        <w:gridCol w:w="8363"/>
      </w:tblGrid>
      <w:tr w:rsidR="0004489F" w:rsidRPr="001B1D97" w14:paraId="67657DC2" w14:textId="77777777" w:rsidTr="00814450">
        <w:trPr>
          <w:trHeight w:val="330"/>
          <w:tblHeader/>
          <w:jc w:val="center"/>
        </w:trPr>
        <w:tc>
          <w:tcPr>
            <w:tcW w:w="9064" w:type="dxa"/>
            <w:gridSpan w:val="2"/>
            <w:tcBorders>
              <w:top w:val="single" w:sz="6" w:space="0" w:color="CCCCCC"/>
              <w:left w:val="single" w:sz="6" w:space="0" w:color="CCCCCC"/>
              <w:bottom w:val="single" w:sz="6" w:space="0" w:color="CCCCCC"/>
              <w:right w:val="single" w:sz="6" w:space="0" w:color="CCCCCC"/>
            </w:tcBorders>
            <w:shd w:val="clear" w:color="auto" w:fill="545555"/>
            <w:tcMar>
              <w:top w:w="150" w:type="dxa"/>
              <w:left w:w="150" w:type="dxa"/>
              <w:bottom w:w="150" w:type="dxa"/>
              <w:right w:w="150" w:type="dxa"/>
            </w:tcMar>
            <w:vAlign w:val="center"/>
            <w:hideMark/>
          </w:tcPr>
          <w:p w14:paraId="2FEE6355" w14:textId="77777777" w:rsidR="0004489F" w:rsidRPr="001B1D97" w:rsidRDefault="0004489F" w:rsidP="00814450">
            <w:pPr>
              <w:rPr>
                <w:b/>
                <w:bCs/>
                <w:lang w:eastAsia="en-IE"/>
              </w:rPr>
            </w:pPr>
            <w:r>
              <w:rPr>
                <w:rFonts w:ascii="Arial" w:hAnsi="Arial" w:cs="Arial"/>
                <w:b/>
                <w:bCs/>
                <w:color w:val="FFFFFF"/>
                <w:sz w:val="21"/>
                <w:szCs w:val="21"/>
                <w:lang w:eastAsia="en-IE"/>
              </w:rPr>
              <w:t>Q3</w:t>
            </w:r>
            <w:r w:rsidRPr="001B1D97">
              <w:rPr>
                <w:rFonts w:ascii="Arial" w:hAnsi="Arial" w:cs="Arial"/>
                <w:b/>
                <w:bCs/>
                <w:color w:val="FFFFFF"/>
                <w:sz w:val="21"/>
                <w:szCs w:val="21"/>
                <w:lang w:eastAsia="en-IE"/>
              </w:rPr>
              <w:t xml:space="preserve">. </w:t>
            </w:r>
            <w:r w:rsidRPr="00C00547">
              <w:rPr>
                <w:rFonts w:ascii="Arial" w:hAnsi="Arial" w:cs="Arial"/>
                <w:b/>
                <w:bCs/>
                <w:color w:val="FFFFFF"/>
                <w:sz w:val="21"/>
                <w:szCs w:val="21"/>
                <w:lang w:eastAsia="en-IE"/>
              </w:rPr>
              <w:t>Is communication training with children and young people integrated throughout other modules or sessions in your undergraduate children’s nursing programme?</w:t>
            </w:r>
          </w:p>
        </w:tc>
      </w:tr>
      <w:tr w:rsidR="0004489F" w:rsidRPr="001B1D97" w14:paraId="11E38FA2" w14:textId="77777777" w:rsidTr="00814450">
        <w:trPr>
          <w:trHeight w:val="330"/>
          <w:jc w:val="center"/>
        </w:trPr>
        <w:tc>
          <w:tcPr>
            <w:tcW w:w="9064" w:type="dxa"/>
            <w:gridSpan w:val="2"/>
            <w:tcBorders>
              <w:top w:val="single" w:sz="6" w:space="0" w:color="CCCCCC"/>
              <w:left w:val="single" w:sz="6" w:space="0" w:color="CCCCCC"/>
              <w:bottom w:val="single" w:sz="6" w:space="0" w:color="CCCCCC"/>
              <w:right w:val="single" w:sz="6" w:space="0" w:color="CCCCCC"/>
            </w:tcBorders>
            <w:shd w:val="clear" w:color="auto" w:fill="F5F5F3"/>
            <w:tcMar>
              <w:top w:w="75" w:type="dxa"/>
              <w:left w:w="150" w:type="dxa"/>
              <w:bottom w:w="75" w:type="dxa"/>
              <w:right w:w="75" w:type="dxa"/>
            </w:tcMar>
            <w:vAlign w:val="center"/>
            <w:hideMark/>
          </w:tcPr>
          <w:p w14:paraId="3B965910" w14:textId="77777777" w:rsidR="0004489F" w:rsidRPr="001B1D97" w:rsidRDefault="0004489F" w:rsidP="00814450">
            <w:pPr>
              <w:rPr>
                <w:lang w:eastAsia="en-IE"/>
              </w:rPr>
            </w:pPr>
            <w:r w:rsidRPr="001B1D97">
              <w:rPr>
                <w:rFonts w:ascii="Arial" w:hAnsi="Arial" w:cs="Arial"/>
                <w:b/>
                <w:bCs/>
                <w:color w:val="000000"/>
                <w:sz w:val="18"/>
                <w:szCs w:val="18"/>
                <w:lang w:eastAsia="en-IE"/>
              </w:rPr>
              <w:t>Answer Choices</w:t>
            </w:r>
          </w:p>
        </w:tc>
      </w:tr>
      <w:tr w:rsidR="0004489F" w:rsidRPr="001B1D97" w14:paraId="786D9D46" w14:textId="77777777" w:rsidTr="00814450">
        <w:trPr>
          <w:trHeight w:val="330"/>
          <w:jc w:val="center"/>
        </w:trPr>
        <w:tc>
          <w:tcPr>
            <w:tcW w:w="701" w:type="dxa"/>
            <w:tcBorders>
              <w:top w:val="single" w:sz="6" w:space="0" w:color="CCCCCC"/>
              <w:left w:val="single" w:sz="6" w:space="0" w:color="CCCCCC"/>
              <w:bottom w:val="single" w:sz="6" w:space="0" w:color="CCCCCC"/>
              <w:right w:val="single" w:sz="6" w:space="0" w:color="CCCCCC"/>
            </w:tcBorders>
            <w:shd w:val="clear" w:color="auto" w:fill="F5F5F4"/>
            <w:tcMar>
              <w:top w:w="60" w:type="dxa"/>
              <w:left w:w="60" w:type="dxa"/>
              <w:bottom w:w="60" w:type="dxa"/>
              <w:right w:w="60" w:type="dxa"/>
            </w:tcMar>
            <w:vAlign w:val="center"/>
            <w:hideMark/>
          </w:tcPr>
          <w:p w14:paraId="620A0501" w14:textId="77777777" w:rsidR="0004489F" w:rsidRPr="001B1D97" w:rsidRDefault="0004489F" w:rsidP="00814450">
            <w:pPr>
              <w:jc w:val="center"/>
              <w:rPr>
                <w:lang w:eastAsia="en-IE"/>
              </w:rPr>
            </w:pPr>
            <w:r w:rsidRPr="001B1D97">
              <w:rPr>
                <w:rFonts w:ascii="Arial" w:hAnsi="Arial" w:cs="Arial"/>
                <w:color w:val="000000"/>
                <w:sz w:val="18"/>
                <w:szCs w:val="18"/>
                <w:lang w:eastAsia="en-IE"/>
              </w:rPr>
              <w:t>1</w:t>
            </w:r>
          </w:p>
        </w:tc>
        <w:tc>
          <w:tcPr>
            <w:tcW w:w="8363" w:type="dxa"/>
            <w:tcBorders>
              <w:top w:val="single" w:sz="6" w:space="0" w:color="CCCCCC"/>
              <w:left w:val="single" w:sz="6" w:space="0" w:color="CCCCCC"/>
              <w:bottom w:val="single" w:sz="6" w:space="0" w:color="CCCCCC"/>
              <w:right w:val="single" w:sz="6" w:space="0" w:color="CCCCCC"/>
            </w:tcBorders>
            <w:shd w:val="clear" w:color="auto" w:fill="FFFFFF"/>
            <w:tcMar>
              <w:top w:w="60" w:type="dxa"/>
              <w:left w:w="105" w:type="dxa"/>
              <w:bottom w:w="60" w:type="dxa"/>
              <w:right w:w="60" w:type="dxa"/>
            </w:tcMar>
            <w:vAlign w:val="center"/>
            <w:hideMark/>
          </w:tcPr>
          <w:p w14:paraId="356ED852" w14:textId="77777777" w:rsidR="0004489F" w:rsidRPr="001B1D97" w:rsidRDefault="0004489F" w:rsidP="00814450">
            <w:pPr>
              <w:rPr>
                <w:lang w:eastAsia="en-IE"/>
              </w:rPr>
            </w:pPr>
            <w:r w:rsidRPr="001B1D97">
              <w:rPr>
                <w:rFonts w:ascii="Arial" w:hAnsi="Arial" w:cs="Arial"/>
                <w:color w:val="000000"/>
                <w:sz w:val="18"/>
                <w:szCs w:val="18"/>
                <w:lang w:eastAsia="en-IE"/>
              </w:rPr>
              <w:t>Yes</w:t>
            </w:r>
          </w:p>
        </w:tc>
      </w:tr>
      <w:tr w:rsidR="0004489F" w:rsidRPr="001B1D97" w14:paraId="6C28F234" w14:textId="77777777" w:rsidTr="00814450">
        <w:trPr>
          <w:trHeight w:val="330"/>
          <w:jc w:val="center"/>
        </w:trPr>
        <w:tc>
          <w:tcPr>
            <w:tcW w:w="701" w:type="dxa"/>
            <w:tcBorders>
              <w:top w:val="single" w:sz="6" w:space="0" w:color="CCCCCC"/>
              <w:left w:val="single" w:sz="6" w:space="0" w:color="CCCCCC"/>
              <w:bottom w:val="single" w:sz="6" w:space="0" w:color="CCCCCC"/>
              <w:right w:val="single" w:sz="6" w:space="0" w:color="CCCCCC"/>
            </w:tcBorders>
            <w:shd w:val="clear" w:color="auto" w:fill="F5F5F4"/>
            <w:tcMar>
              <w:top w:w="60" w:type="dxa"/>
              <w:left w:w="60" w:type="dxa"/>
              <w:bottom w:w="60" w:type="dxa"/>
              <w:right w:w="60" w:type="dxa"/>
            </w:tcMar>
            <w:vAlign w:val="center"/>
            <w:hideMark/>
          </w:tcPr>
          <w:p w14:paraId="20377E51" w14:textId="77777777" w:rsidR="0004489F" w:rsidRPr="001B1D97" w:rsidRDefault="0004489F" w:rsidP="00814450">
            <w:pPr>
              <w:jc w:val="center"/>
              <w:rPr>
                <w:lang w:eastAsia="en-IE"/>
              </w:rPr>
            </w:pPr>
            <w:r w:rsidRPr="001B1D97">
              <w:rPr>
                <w:rFonts w:ascii="Arial" w:hAnsi="Arial" w:cs="Arial"/>
                <w:color w:val="000000"/>
                <w:sz w:val="18"/>
                <w:szCs w:val="18"/>
                <w:lang w:eastAsia="en-IE"/>
              </w:rPr>
              <w:t>2</w:t>
            </w:r>
          </w:p>
        </w:tc>
        <w:tc>
          <w:tcPr>
            <w:tcW w:w="8363" w:type="dxa"/>
            <w:tcBorders>
              <w:top w:val="single" w:sz="6" w:space="0" w:color="CCCCCC"/>
              <w:left w:val="single" w:sz="6" w:space="0" w:color="CCCCCC"/>
              <w:bottom w:val="single" w:sz="6" w:space="0" w:color="CCCCCC"/>
              <w:right w:val="single" w:sz="6" w:space="0" w:color="CCCCCC"/>
            </w:tcBorders>
            <w:shd w:val="clear" w:color="auto" w:fill="FFFFFF"/>
            <w:tcMar>
              <w:top w:w="60" w:type="dxa"/>
              <w:left w:w="105" w:type="dxa"/>
              <w:bottom w:w="60" w:type="dxa"/>
              <w:right w:w="60" w:type="dxa"/>
            </w:tcMar>
            <w:vAlign w:val="center"/>
            <w:hideMark/>
          </w:tcPr>
          <w:p w14:paraId="0BF5B4E2" w14:textId="77777777" w:rsidR="0004489F" w:rsidRPr="001B1D97" w:rsidRDefault="0004489F" w:rsidP="00814450">
            <w:pPr>
              <w:rPr>
                <w:lang w:eastAsia="en-IE"/>
              </w:rPr>
            </w:pPr>
            <w:r w:rsidRPr="002B32CA">
              <w:rPr>
                <w:rFonts w:ascii="Arial" w:hAnsi="Arial" w:cs="Arial"/>
                <w:color w:val="000000"/>
                <w:sz w:val="18"/>
                <w:szCs w:val="18"/>
                <w:lang w:eastAsia="en-IE"/>
              </w:rPr>
              <w:t>No</w:t>
            </w:r>
          </w:p>
        </w:tc>
      </w:tr>
      <w:tr w:rsidR="0004489F" w:rsidRPr="001B1D97" w14:paraId="376A6E50" w14:textId="77777777" w:rsidTr="00814450">
        <w:trPr>
          <w:trHeight w:val="330"/>
          <w:jc w:val="center"/>
        </w:trPr>
        <w:tc>
          <w:tcPr>
            <w:tcW w:w="701" w:type="dxa"/>
            <w:tcBorders>
              <w:top w:val="single" w:sz="6" w:space="0" w:color="CCCCCC"/>
              <w:left w:val="single" w:sz="6" w:space="0" w:color="CCCCCC"/>
              <w:bottom w:val="single" w:sz="6" w:space="0" w:color="CCCCCC"/>
              <w:right w:val="single" w:sz="6" w:space="0" w:color="CCCCCC"/>
            </w:tcBorders>
            <w:shd w:val="clear" w:color="auto" w:fill="F5F5F4"/>
            <w:tcMar>
              <w:top w:w="60" w:type="dxa"/>
              <w:left w:w="60" w:type="dxa"/>
              <w:bottom w:w="60" w:type="dxa"/>
              <w:right w:w="60" w:type="dxa"/>
            </w:tcMar>
            <w:vAlign w:val="center"/>
            <w:hideMark/>
          </w:tcPr>
          <w:p w14:paraId="79E0A641" w14:textId="77777777" w:rsidR="0004489F" w:rsidRPr="001B1D97" w:rsidRDefault="0004489F" w:rsidP="00814450">
            <w:pPr>
              <w:jc w:val="center"/>
              <w:rPr>
                <w:lang w:eastAsia="en-IE"/>
              </w:rPr>
            </w:pPr>
            <w:r w:rsidRPr="001B1D97">
              <w:rPr>
                <w:rFonts w:ascii="Arial" w:hAnsi="Arial" w:cs="Arial"/>
                <w:color w:val="000000"/>
                <w:sz w:val="18"/>
                <w:szCs w:val="18"/>
                <w:lang w:eastAsia="en-IE"/>
              </w:rPr>
              <w:t>3</w:t>
            </w:r>
          </w:p>
        </w:tc>
        <w:tc>
          <w:tcPr>
            <w:tcW w:w="8363" w:type="dxa"/>
            <w:tcBorders>
              <w:top w:val="single" w:sz="6" w:space="0" w:color="CCCCCC"/>
              <w:left w:val="single" w:sz="6" w:space="0" w:color="CCCCCC"/>
              <w:bottom w:val="single" w:sz="6" w:space="0" w:color="CCCCCC"/>
              <w:right w:val="single" w:sz="6" w:space="0" w:color="CCCCCC"/>
            </w:tcBorders>
            <w:shd w:val="clear" w:color="auto" w:fill="FFFFFF"/>
            <w:tcMar>
              <w:top w:w="60" w:type="dxa"/>
              <w:left w:w="105" w:type="dxa"/>
              <w:bottom w:w="60" w:type="dxa"/>
              <w:right w:w="60" w:type="dxa"/>
            </w:tcMar>
            <w:vAlign w:val="center"/>
            <w:hideMark/>
          </w:tcPr>
          <w:p w14:paraId="3A570513" w14:textId="77777777" w:rsidR="0004489F" w:rsidRPr="001B1D97" w:rsidRDefault="0004489F" w:rsidP="00814450">
            <w:r w:rsidRPr="00C00547">
              <w:rPr>
                <w:rFonts w:ascii="Arial" w:hAnsi="Arial" w:cs="Arial"/>
                <w:color w:val="000000"/>
                <w:sz w:val="18"/>
                <w:szCs w:val="18"/>
                <w:lang w:eastAsia="en-IE"/>
              </w:rPr>
              <w:t>Other (With free text box)</w:t>
            </w:r>
          </w:p>
        </w:tc>
      </w:tr>
    </w:tbl>
    <w:p w14:paraId="0BBE2438" w14:textId="77777777" w:rsidR="00AC60DA" w:rsidRDefault="00AC60DA">
      <w:pPr>
        <w:rPr>
          <w:rFonts w:asciiTheme="minorHAnsi" w:hAnsiTheme="minorHAnsi" w:cstheme="minorHAnsi"/>
          <w:b/>
          <w:bCs/>
        </w:rPr>
      </w:pPr>
    </w:p>
    <w:p w14:paraId="6D25AB74" w14:textId="77777777" w:rsidR="0004489F" w:rsidRDefault="0004489F">
      <w:pPr>
        <w:rPr>
          <w:rFonts w:asciiTheme="minorHAnsi" w:hAnsiTheme="minorHAnsi" w:cstheme="minorHAnsi"/>
          <w:b/>
          <w:bCs/>
        </w:rPr>
      </w:pPr>
    </w:p>
    <w:tbl>
      <w:tblPr>
        <w:tblW w:w="9110" w:type="dxa"/>
        <w:jc w:val="center"/>
        <w:tblCellMar>
          <w:top w:w="15" w:type="dxa"/>
          <w:left w:w="15" w:type="dxa"/>
          <w:bottom w:w="15" w:type="dxa"/>
          <w:right w:w="15" w:type="dxa"/>
        </w:tblCellMar>
        <w:tblLook w:val="04A0" w:firstRow="1" w:lastRow="0" w:firstColumn="1" w:lastColumn="0" w:noHBand="0" w:noVBand="1"/>
      </w:tblPr>
      <w:tblGrid>
        <w:gridCol w:w="9060"/>
        <w:gridCol w:w="50"/>
      </w:tblGrid>
      <w:tr w:rsidR="00926637" w:rsidRPr="001B1D97" w14:paraId="03E172E9" w14:textId="77777777" w:rsidTr="00926637">
        <w:trPr>
          <w:gridAfter w:val="1"/>
          <w:wAfter w:w="50" w:type="dxa"/>
          <w:trHeight w:val="483"/>
          <w:tblHeader/>
          <w:jc w:val="center"/>
        </w:trPr>
        <w:tc>
          <w:tcPr>
            <w:tcW w:w="9060" w:type="dxa"/>
            <w:tcBorders>
              <w:top w:val="single" w:sz="6" w:space="0" w:color="CCCCCC"/>
              <w:left w:val="single" w:sz="6" w:space="0" w:color="CCCCCC"/>
              <w:bottom w:val="single" w:sz="6" w:space="0" w:color="CCCCCC"/>
              <w:right w:val="single" w:sz="6" w:space="0" w:color="CCCCCC"/>
            </w:tcBorders>
            <w:shd w:val="clear" w:color="auto" w:fill="545555"/>
            <w:tcMar>
              <w:top w:w="150" w:type="dxa"/>
              <w:left w:w="150" w:type="dxa"/>
              <w:bottom w:w="150" w:type="dxa"/>
              <w:right w:w="150" w:type="dxa"/>
            </w:tcMar>
            <w:vAlign w:val="center"/>
            <w:hideMark/>
          </w:tcPr>
          <w:p w14:paraId="4332833C" w14:textId="77777777" w:rsidR="00926637" w:rsidRPr="001B1D97" w:rsidRDefault="00926637" w:rsidP="00814450">
            <w:pPr>
              <w:rPr>
                <w:b/>
                <w:bCs/>
                <w:lang w:eastAsia="en-IE"/>
              </w:rPr>
            </w:pPr>
            <w:r w:rsidRPr="003842C0">
              <w:rPr>
                <w:rFonts w:ascii="Arial" w:hAnsi="Arial" w:cs="Arial"/>
                <w:b/>
                <w:bCs/>
                <w:color w:val="FFFFFF"/>
                <w:sz w:val="21"/>
                <w:szCs w:val="21"/>
                <w:lang w:eastAsia="en-IE"/>
              </w:rPr>
              <w:t>Q4. Can you describe in detail how communication training with children and young people is currently taught in your undergraduate children’s nursing programme?</w:t>
            </w:r>
          </w:p>
        </w:tc>
      </w:tr>
      <w:tr w:rsidR="00926637" w:rsidRPr="001B1D97" w14:paraId="18CD55A0" w14:textId="77777777" w:rsidTr="00926637">
        <w:trPr>
          <w:gridAfter w:val="1"/>
          <w:wAfter w:w="50" w:type="dxa"/>
          <w:trHeight w:val="483"/>
          <w:jc w:val="center"/>
        </w:trPr>
        <w:tc>
          <w:tcPr>
            <w:tcW w:w="9060" w:type="dxa"/>
            <w:vMerge w:val="restart"/>
            <w:tcBorders>
              <w:top w:val="single" w:sz="6" w:space="0" w:color="CCCCCC"/>
              <w:bottom w:val="single" w:sz="6" w:space="0" w:color="CCCCCC"/>
              <w:right w:val="single" w:sz="6" w:space="0" w:color="CCCCCC"/>
            </w:tcBorders>
            <w:shd w:val="clear" w:color="auto" w:fill="DDDDDD"/>
            <w:tcMar>
              <w:top w:w="75" w:type="dxa"/>
              <w:left w:w="75" w:type="dxa"/>
              <w:bottom w:w="75" w:type="dxa"/>
              <w:right w:w="75" w:type="dxa"/>
            </w:tcMar>
            <w:vAlign w:val="center"/>
            <w:hideMark/>
          </w:tcPr>
          <w:p w14:paraId="7B020D83" w14:textId="77777777" w:rsidR="00926637" w:rsidRPr="001B1D97" w:rsidRDefault="00926637" w:rsidP="00814450">
            <w:pPr>
              <w:rPr>
                <w:lang w:eastAsia="en-IE"/>
              </w:rPr>
            </w:pPr>
          </w:p>
        </w:tc>
      </w:tr>
      <w:tr w:rsidR="00926637" w:rsidRPr="001B1D97" w14:paraId="136ACF5C" w14:textId="77777777" w:rsidTr="00926637">
        <w:trPr>
          <w:trHeight w:val="483"/>
          <w:jc w:val="center"/>
        </w:trPr>
        <w:tc>
          <w:tcPr>
            <w:tcW w:w="9060" w:type="dxa"/>
            <w:vMerge/>
            <w:tcBorders>
              <w:top w:val="single" w:sz="6" w:space="0" w:color="CCCCCC"/>
              <w:bottom w:val="single" w:sz="6" w:space="0" w:color="CCCCCC"/>
              <w:right w:val="single" w:sz="6" w:space="0" w:color="CCCCCC"/>
            </w:tcBorders>
            <w:vAlign w:val="center"/>
            <w:hideMark/>
          </w:tcPr>
          <w:p w14:paraId="185A987E" w14:textId="77777777" w:rsidR="00926637" w:rsidRPr="001B1D97" w:rsidRDefault="00926637" w:rsidP="00814450">
            <w:pPr>
              <w:rPr>
                <w:lang w:eastAsia="en-IE"/>
              </w:rPr>
            </w:pPr>
          </w:p>
        </w:tc>
        <w:tc>
          <w:tcPr>
            <w:tcW w:w="50" w:type="dxa"/>
            <w:vAlign w:val="center"/>
            <w:hideMark/>
          </w:tcPr>
          <w:p w14:paraId="6698EA8B" w14:textId="77777777" w:rsidR="00926637" w:rsidRPr="001B1D97" w:rsidRDefault="00926637" w:rsidP="00814450">
            <w:pPr>
              <w:rPr>
                <w:lang w:eastAsia="en-IE"/>
              </w:rPr>
            </w:pPr>
          </w:p>
        </w:tc>
      </w:tr>
    </w:tbl>
    <w:p w14:paraId="0EB87C56" w14:textId="77777777" w:rsidR="0004489F" w:rsidRDefault="0004489F">
      <w:pPr>
        <w:rPr>
          <w:rFonts w:asciiTheme="minorHAnsi" w:hAnsiTheme="minorHAnsi" w:cstheme="minorHAnsi"/>
          <w:b/>
          <w:bCs/>
        </w:rPr>
      </w:pPr>
    </w:p>
    <w:p w14:paraId="07E649F5" w14:textId="77777777" w:rsidR="0004489F" w:rsidRDefault="0004489F">
      <w:pPr>
        <w:rPr>
          <w:rFonts w:asciiTheme="minorHAnsi" w:hAnsiTheme="minorHAnsi" w:cstheme="minorHAnsi"/>
          <w:b/>
          <w:bCs/>
        </w:rPr>
      </w:pPr>
    </w:p>
    <w:tbl>
      <w:tblPr>
        <w:tblW w:w="9114" w:type="dxa"/>
        <w:jc w:val="center"/>
        <w:tblCellMar>
          <w:top w:w="15" w:type="dxa"/>
          <w:left w:w="15" w:type="dxa"/>
          <w:bottom w:w="15" w:type="dxa"/>
          <w:right w:w="15" w:type="dxa"/>
        </w:tblCellMar>
        <w:tblLook w:val="04A0" w:firstRow="1" w:lastRow="0" w:firstColumn="1" w:lastColumn="0" w:noHBand="0" w:noVBand="1"/>
      </w:tblPr>
      <w:tblGrid>
        <w:gridCol w:w="9064"/>
        <w:gridCol w:w="50"/>
      </w:tblGrid>
      <w:tr w:rsidR="00426161" w:rsidRPr="001B1D97" w14:paraId="3EBC36A7" w14:textId="77777777" w:rsidTr="00F46373">
        <w:trPr>
          <w:gridAfter w:val="1"/>
          <w:wAfter w:w="50" w:type="dxa"/>
          <w:trHeight w:val="483"/>
          <w:tblHeader/>
          <w:jc w:val="center"/>
        </w:trPr>
        <w:tc>
          <w:tcPr>
            <w:tcW w:w="9064" w:type="dxa"/>
            <w:tcBorders>
              <w:top w:val="single" w:sz="6" w:space="0" w:color="CCCCCC"/>
              <w:left w:val="single" w:sz="6" w:space="0" w:color="CCCCCC"/>
              <w:bottom w:val="single" w:sz="6" w:space="0" w:color="CCCCCC"/>
              <w:right w:val="single" w:sz="6" w:space="0" w:color="CCCCCC"/>
            </w:tcBorders>
            <w:shd w:val="clear" w:color="auto" w:fill="545555"/>
            <w:tcMar>
              <w:top w:w="150" w:type="dxa"/>
              <w:left w:w="150" w:type="dxa"/>
              <w:bottom w:w="150" w:type="dxa"/>
              <w:right w:w="150" w:type="dxa"/>
            </w:tcMar>
            <w:vAlign w:val="center"/>
            <w:hideMark/>
          </w:tcPr>
          <w:p w14:paraId="4640CB18" w14:textId="77777777" w:rsidR="00426161" w:rsidRPr="001B1D97" w:rsidRDefault="00426161" w:rsidP="00814450">
            <w:pPr>
              <w:rPr>
                <w:b/>
                <w:bCs/>
                <w:lang w:eastAsia="en-IE"/>
              </w:rPr>
            </w:pPr>
            <w:r w:rsidRPr="003842C0">
              <w:rPr>
                <w:rFonts w:ascii="Arial" w:hAnsi="Arial" w:cs="Arial"/>
                <w:b/>
                <w:bCs/>
                <w:color w:val="FFFFFF"/>
                <w:sz w:val="21"/>
                <w:szCs w:val="21"/>
                <w:lang w:eastAsia="en-IE"/>
              </w:rPr>
              <w:t>Q5. Are there any parts of the communication training with children and young people in your institution that you feel work particularly well?</w:t>
            </w:r>
          </w:p>
        </w:tc>
      </w:tr>
      <w:tr w:rsidR="00426161" w:rsidRPr="001B1D97" w14:paraId="179329B8" w14:textId="77777777" w:rsidTr="00F46373">
        <w:trPr>
          <w:gridAfter w:val="1"/>
          <w:wAfter w:w="50" w:type="dxa"/>
          <w:trHeight w:val="483"/>
          <w:jc w:val="center"/>
        </w:trPr>
        <w:tc>
          <w:tcPr>
            <w:tcW w:w="9064" w:type="dxa"/>
            <w:vMerge w:val="restart"/>
            <w:tcBorders>
              <w:top w:val="single" w:sz="6" w:space="0" w:color="CCCCCC"/>
              <w:bottom w:val="single" w:sz="6" w:space="0" w:color="CCCCCC"/>
              <w:right w:val="single" w:sz="6" w:space="0" w:color="CCCCCC"/>
            </w:tcBorders>
            <w:shd w:val="clear" w:color="auto" w:fill="DDDDDD"/>
            <w:tcMar>
              <w:top w:w="75" w:type="dxa"/>
              <w:left w:w="75" w:type="dxa"/>
              <w:bottom w:w="75" w:type="dxa"/>
              <w:right w:w="75" w:type="dxa"/>
            </w:tcMar>
            <w:vAlign w:val="center"/>
            <w:hideMark/>
          </w:tcPr>
          <w:p w14:paraId="558983D3" w14:textId="77777777" w:rsidR="00426161" w:rsidRPr="001B1D97" w:rsidRDefault="00426161" w:rsidP="00814450">
            <w:pPr>
              <w:rPr>
                <w:lang w:eastAsia="en-IE"/>
              </w:rPr>
            </w:pPr>
          </w:p>
        </w:tc>
      </w:tr>
      <w:tr w:rsidR="00426161" w:rsidRPr="001B1D97" w14:paraId="5F56A007" w14:textId="77777777" w:rsidTr="00F46373">
        <w:trPr>
          <w:trHeight w:val="483"/>
          <w:jc w:val="center"/>
        </w:trPr>
        <w:tc>
          <w:tcPr>
            <w:tcW w:w="9064" w:type="dxa"/>
            <w:vMerge/>
            <w:tcBorders>
              <w:top w:val="single" w:sz="6" w:space="0" w:color="CCCCCC"/>
              <w:bottom w:val="single" w:sz="6" w:space="0" w:color="CCCCCC"/>
              <w:right w:val="single" w:sz="6" w:space="0" w:color="CCCCCC"/>
            </w:tcBorders>
            <w:vAlign w:val="center"/>
            <w:hideMark/>
          </w:tcPr>
          <w:p w14:paraId="03B4392F" w14:textId="77777777" w:rsidR="00426161" w:rsidRPr="001B1D97" w:rsidRDefault="00426161" w:rsidP="00814450">
            <w:pPr>
              <w:rPr>
                <w:lang w:eastAsia="en-IE"/>
              </w:rPr>
            </w:pPr>
          </w:p>
        </w:tc>
        <w:tc>
          <w:tcPr>
            <w:tcW w:w="50" w:type="dxa"/>
            <w:vAlign w:val="center"/>
            <w:hideMark/>
          </w:tcPr>
          <w:p w14:paraId="34028289" w14:textId="77777777" w:rsidR="00426161" w:rsidRPr="001B1D97" w:rsidRDefault="00426161" w:rsidP="00814450">
            <w:pPr>
              <w:rPr>
                <w:lang w:eastAsia="en-IE"/>
              </w:rPr>
            </w:pPr>
          </w:p>
        </w:tc>
      </w:tr>
    </w:tbl>
    <w:p w14:paraId="7FFBF96E" w14:textId="77777777" w:rsidR="0004489F" w:rsidRDefault="0004489F">
      <w:pPr>
        <w:rPr>
          <w:rFonts w:asciiTheme="minorHAnsi" w:hAnsiTheme="minorHAnsi" w:cstheme="minorHAnsi"/>
          <w:b/>
          <w:bCs/>
        </w:rPr>
      </w:pPr>
    </w:p>
    <w:p w14:paraId="32B7409A" w14:textId="77777777" w:rsidR="00426161" w:rsidRDefault="00426161">
      <w:pPr>
        <w:rPr>
          <w:rFonts w:asciiTheme="minorHAnsi" w:hAnsiTheme="minorHAnsi" w:cstheme="minorHAnsi"/>
          <w:b/>
          <w:bCs/>
        </w:rPr>
      </w:pPr>
    </w:p>
    <w:tbl>
      <w:tblPr>
        <w:tblW w:w="9114" w:type="dxa"/>
        <w:jc w:val="center"/>
        <w:tblCellMar>
          <w:top w:w="15" w:type="dxa"/>
          <w:left w:w="15" w:type="dxa"/>
          <w:bottom w:w="15" w:type="dxa"/>
          <w:right w:w="15" w:type="dxa"/>
        </w:tblCellMar>
        <w:tblLook w:val="04A0" w:firstRow="1" w:lastRow="0" w:firstColumn="1" w:lastColumn="0" w:noHBand="0" w:noVBand="1"/>
      </w:tblPr>
      <w:tblGrid>
        <w:gridCol w:w="9064"/>
        <w:gridCol w:w="50"/>
      </w:tblGrid>
      <w:tr w:rsidR="00FA2D77" w:rsidRPr="001B1D97" w14:paraId="6D73336D" w14:textId="77777777" w:rsidTr="00F46373">
        <w:trPr>
          <w:gridAfter w:val="1"/>
          <w:wAfter w:w="50" w:type="dxa"/>
          <w:trHeight w:val="415"/>
          <w:tblHeader/>
          <w:jc w:val="center"/>
        </w:trPr>
        <w:tc>
          <w:tcPr>
            <w:tcW w:w="9064" w:type="dxa"/>
            <w:tcBorders>
              <w:top w:val="single" w:sz="6" w:space="0" w:color="CCCCCC"/>
              <w:left w:val="single" w:sz="6" w:space="0" w:color="CCCCCC"/>
              <w:bottom w:val="single" w:sz="6" w:space="0" w:color="CCCCCC"/>
              <w:right w:val="single" w:sz="6" w:space="0" w:color="CCCCCC"/>
            </w:tcBorders>
            <w:shd w:val="clear" w:color="auto" w:fill="545555"/>
            <w:tcMar>
              <w:top w:w="150" w:type="dxa"/>
              <w:left w:w="150" w:type="dxa"/>
              <w:bottom w:w="150" w:type="dxa"/>
              <w:right w:w="150" w:type="dxa"/>
            </w:tcMar>
            <w:vAlign w:val="center"/>
            <w:hideMark/>
          </w:tcPr>
          <w:p w14:paraId="603F0A18" w14:textId="77777777" w:rsidR="00FA2D77" w:rsidRPr="001B1D97" w:rsidRDefault="00FA2D77" w:rsidP="00814450">
            <w:pPr>
              <w:rPr>
                <w:b/>
                <w:bCs/>
                <w:lang w:eastAsia="en-IE"/>
              </w:rPr>
            </w:pPr>
            <w:r w:rsidRPr="003842C0">
              <w:rPr>
                <w:rFonts w:ascii="Arial" w:hAnsi="Arial" w:cs="Arial"/>
                <w:b/>
                <w:bCs/>
                <w:color w:val="FFFFFF"/>
                <w:sz w:val="21"/>
                <w:szCs w:val="21"/>
                <w:lang w:eastAsia="en-IE"/>
              </w:rPr>
              <w:t>Q6. How do you think the communication training in your institution could be improved, in undergraduate children’s nursing programme?</w:t>
            </w:r>
          </w:p>
        </w:tc>
      </w:tr>
      <w:tr w:rsidR="00FA2D77" w:rsidRPr="001B1D97" w14:paraId="5660AF41" w14:textId="77777777" w:rsidTr="00F46373">
        <w:trPr>
          <w:gridAfter w:val="1"/>
          <w:wAfter w:w="50" w:type="dxa"/>
          <w:trHeight w:val="450"/>
          <w:jc w:val="center"/>
        </w:trPr>
        <w:tc>
          <w:tcPr>
            <w:tcW w:w="9064" w:type="dxa"/>
            <w:vMerge w:val="restart"/>
            <w:tcBorders>
              <w:top w:val="single" w:sz="6" w:space="0" w:color="CCCCCC"/>
              <w:bottom w:val="single" w:sz="6" w:space="0" w:color="CCCCCC"/>
              <w:right w:val="single" w:sz="6" w:space="0" w:color="CCCCCC"/>
            </w:tcBorders>
            <w:shd w:val="clear" w:color="auto" w:fill="DDDDDD"/>
            <w:tcMar>
              <w:top w:w="75" w:type="dxa"/>
              <w:left w:w="75" w:type="dxa"/>
              <w:bottom w:w="75" w:type="dxa"/>
              <w:right w:w="75" w:type="dxa"/>
            </w:tcMar>
            <w:vAlign w:val="center"/>
            <w:hideMark/>
          </w:tcPr>
          <w:p w14:paraId="7788CE56" w14:textId="77777777" w:rsidR="00FA2D77" w:rsidRPr="001B1D97" w:rsidRDefault="00FA2D77" w:rsidP="00814450">
            <w:pPr>
              <w:rPr>
                <w:lang w:eastAsia="en-IE"/>
              </w:rPr>
            </w:pPr>
          </w:p>
        </w:tc>
      </w:tr>
      <w:tr w:rsidR="00FA2D77" w:rsidRPr="001B1D97" w14:paraId="75A3B923" w14:textId="77777777" w:rsidTr="00F46373">
        <w:trPr>
          <w:trHeight w:val="415"/>
          <w:jc w:val="center"/>
        </w:trPr>
        <w:tc>
          <w:tcPr>
            <w:tcW w:w="9064" w:type="dxa"/>
            <w:vMerge/>
            <w:tcBorders>
              <w:top w:val="single" w:sz="6" w:space="0" w:color="CCCCCC"/>
              <w:bottom w:val="single" w:sz="6" w:space="0" w:color="CCCCCC"/>
              <w:right w:val="single" w:sz="6" w:space="0" w:color="CCCCCC"/>
            </w:tcBorders>
            <w:vAlign w:val="center"/>
            <w:hideMark/>
          </w:tcPr>
          <w:p w14:paraId="56302DC0" w14:textId="77777777" w:rsidR="00FA2D77" w:rsidRPr="001B1D97" w:rsidRDefault="00FA2D77" w:rsidP="00814450">
            <w:pPr>
              <w:rPr>
                <w:lang w:eastAsia="en-IE"/>
              </w:rPr>
            </w:pPr>
          </w:p>
        </w:tc>
        <w:tc>
          <w:tcPr>
            <w:tcW w:w="50" w:type="dxa"/>
            <w:vAlign w:val="center"/>
            <w:hideMark/>
          </w:tcPr>
          <w:p w14:paraId="1157F020" w14:textId="77777777" w:rsidR="00FA2D77" w:rsidRPr="001B1D97" w:rsidRDefault="00FA2D77" w:rsidP="00814450">
            <w:pPr>
              <w:rPr>
                <w:lang w:eastAsia="en-IE"/>
              </w:rPr>
            </w:pPr>
          </w:p>
        </w:tc>
      </w:tr>
    </w:tbl>
    <w:p w14:paraId="2698DFF0" w14:textId="77777777" w:rsidR="00426161" w:rsidRDefault="00426161">
      <w:pPr>
        <w:rPr>
          <w:rFonts w:asciiTheme="minorHAnsi" w:hAnsiTheme="minorHAnsi" w:cstheme="minorHAnsi"/>
          <w:b/>
          <w:bCs/>
        </w:rPr>
      </w:pPr>
    </w:p>
    <w:p w14:paraId="02127D1D" w14:textId="77777777" w:rsidR="00FA2D77" w:rsidRDefault="00FA2D77">
      <w:pPr>
        <w:rPr>
          <w:rFonts w:asciiTheme="minorHAnsi" w:hAnsiTheme="minorHAnsi" w:cstheme="minorHAnsi"/>
          <w:b/>
          <w:bCs/>
        </w:rPr>
      </w:pPr>
    </w:p>
    <w:tbl>
      <w:tblPr>
        <w:tblW w:w="9064" w:type="dxa"/>
        <w:jc w:val="center"/>
        <w:tblCellMar>
          <w:top w:w="15" w:type="dxa"/>
          <w:left w:w="15" w:type="dxa"/>
          <w:bottom w:w="15" w:type="dxa"/>
          <w:right w:w="15" w:type="dxa"/>
        </w:tblCellMar>
        <w:tblLook w:val="04A0" w:firstRow="1" w:lastRow="0" w:firstColumn="1" w:lastColumn="0" w:noHBand="0" w:noVBand="1"/>
      </w:tblPr>
      <w:tblGrid>
        <w:gridCol w:w="9064"/>
      </w:tblGrid>
      <w:tr w:rsidR="00385B1C" w:rsidRPr="001B1D97" w14:paraId="62E27A2B" w14:textId="77777777" w:rsidTr="00F46373">
        <w:trPr>
          <w:trHeight w:val="415"/>
          <w:tblHeader/>
          <w:jc w:val="center"/>
        </w:trPr>
        <w:tc>
          <w:tcPr>
            <w:tcW w:w="9064" w:type="dxa"/>
            <w:tcBorders>
              <w:top w:val="single" w:sz="6" w:space="0" w:color="CCCCCC"/>
              <w:left w:val="single" w:sz="6" w:space="0" w:color="CCCCCC"/>
              <w:bottom w:val="single" w:sz="6" w:space="0" w:color="CCCCCC"/>
              <w:right w:val="single" w:sz="6" w:space="0" w:color="CCCCCC"/>
            </w:tcBorders>
            <w:shd w:val="clear" w:color="auto" w:fill="545555"/>
            <w:tcMar>
              <w:top w:w="150" w:type="dxa"/>
              <w:left w:w="150" w:type="dxa"/>
              <w:bottom w:w="150" w:type="dxa"/>
              <w:right w:w="150" w:type="dxa"/>
            </w:tcMar>
            <w:vAlign w:val="center"/>
            <w:hideMark/>
          </w:tcPr>
          <w:p w14:paraId="0E0EA527" w14:textId="77777777" w:rsidR="00385B1C" w:rsidRPr="001B1D97" w:rsidRDefault="00385B1C" w:rsidP="00814450">
            <w:pPr>
              <w:rPr>
                <w:b/>
                <w:bCs/>
                <w:lang w:eastAsia="en-IE"/>
              </w:rPr>
            </w:pPr>
            <w:r w:rsidRPr="003842C0">
              <w:rPr>
                <w:rFonts w:ascii="Arial" w:hAnsi="Arial" w:cs="Arial"/>
                <w:b/>
                <w:bCs/>
                <w:color w:val="FFFFFF"/>
                <w:sz w:val="21"/>
                <w:szCs w:val="21"/>
                <w:lang w:eastAsia="en-IE"/>
              </w:rPr>
              <w:t>Q7. Are there any challenges or barriers, at any level, you face in delivering communication training with children and young people within undergraduate children’s nursing programmes?</w:t>
            </w:r>
          </w:p>
        </w:tc>
      </w:tr>
      <w:tr w:rsidR="00385B1C" w:rsidRPr="001B1D97" w14:paraId="30B59509" w14:textId="77777777" w:rsidTr="00F46373">
        <w:trPr>
          <w:trHeight w:val="450"/>
          <w:jc w:val="center"/>
        </w:trPr>
        <w:tc>
          <w:tcPr>
            <w:tcW w:w="9064" w:type="dxa"/>
            <w:vMerge w:val="restart"/>
            <w:tcBorders>
              <w:top w:val="single" w:sz="6" w:space="0" w:color="CCCCCC"/>
              <w:bottom w:val="single" w:sz="6" w:space="0" w:color="CCCCCC"/>
              <w:right w:val="single" w:sz="6" w:space="0" w:color="CCCCCC"/>
            </w:tcBorders>
            <w:shd w:val="clear" w:color="auto" w:fill="DDDDDD"/>
            <w:tcMar>
              <w:top w:w="75" w:type="dxa"/>
              <w:left w:w="75" w:type="dxa"/>
              <w:bottom w:w="75" w:type="dxa"/>
              <w:right w:w="75" w:type="dxa"/>
            </w:tcMar>
            <w:vAlign w:val="center"/>
            <w:hideMark/>
          </w:tcPr>
          <w:p w14:paraId="2575BBE2" w14:textId="77777777" w:rsidR="00385B1C" w:rsidRPr="001B1D97" w:rsidRDefault="00385B1C" w:rsidP="00814450">
            <w:pPr>
              <w:rPr>
                <w:lang w:eastAsia="en-IE"/>
              </w:rPr>
            </w:pPr>
          </w:p>
        </w:tc>
      </w:tr>
      <w:tr w:rsidR="00385B1C" w:rsidRPr="001B1D97" w14:paraId="7FC6B139" w14:textId="77777777" w:rsidTr="00F46373">
        <w:trPr>
          <w:trHeight w:val="415"/>
          <w:jc w:val="center"/>
        </w:trPr>
        <w:tc>
          <w:tcPr>
            <w:tcW w:w="9064" w:type="dxa"/>
            <w:vMerge/>
            <w:tcBorders>
              <w:top w:val="single" w:sz="6" w:space="0" w:color="CCCCCC"/>
              <w:bottom w:val="single" w:sz="6" w:space="0" w:color="CCCCCC"/>
              <w:right w:val="single" w:sz="6" w:space="0" w:color="CCCCCC"/>
            </w:tcBorders>
            <w:vAlign w:val="center"/>
            <w:hideMark/>
          </w:tcPr>
          <w:p w14:paraId="41233C22" w14:textId="77777777" w:rsidR="00385B1C" w:rsidRPr="001B1D97" w:rsidRDefault="00385B1C" w:rsidP="00814450">
            <w:pPr>
              <w:rPr>
                <w:lang w:eastAsia="en-IE"/>
              </w:rPr>
            </w:pPr>
          </w:p>
        </w:tc>
      </w:tr>
    </w:tbl>
    <w:p w14:paraId="7F6121F4" w14:textId="77777777" w:rsidR="00FA2D77" w:rsidRDefault="00FA2D77">
      <w:pPr>
        <w:rPr>
          <w:rFonts w:asciiTheme="minorHAnsi" w:hAnsiTheme="minorHAnsi" w:cstheme="minorHAnsi"/>
          <w:b/>
          <w:bCs/>
        </w:rPr>
      </w:pPr>
    </w:p>
    <w:p w14:paraId="2F3708E7" w14:textId="77777777" w:rsidR="00FA2D77" w:rsidRDefault="00FA2D77">
      <w:pPr>
        <w:rPr>
          <w:rFonts w:asciiTheme="minorHAnsi" w:hAnsiTheme="minorHAnsi" w:cstheme="minorHAnsi"/>
          <w:b/>
          <w:bCs/>
        </w:rPr>
      </w:pPr>
    </w:p>
    <w:tbl>
      <w:tblPr>
        <w:tblW w:w="9064" w:type="dxa"/>
        <w:jc w:val="center"/>
        <w:tblCellMar>
          <w:top w:w="15" w:type="dxa"/>
          <w:left w:w="15" w:type="dxa"/>
          <w:bottom w:w="15" w:type="dxa"/>
          <w:right w:w="15" w:type="dxa"/>
        </w:tblCellMar>
        <w:tblLook w:val="04A0" w:firstRow="1" w:lastRow="0" w:firstColumn="1" w:lastColumn="0" w:noHBand="0" w:noVBand="1"/>
      </w:tblPr>
      <w:tblGrid>
        <w:gridCol w:w="9064"/>
      </w:tblGrid>
      <w:tr w:rsidR="009B6881" w:rsidRPr="001B1D97" w14:paraId="4463A47D" w14:textId="77777777" w:rsidTr="00F46373">
        <w:trPr>
          <w:trHeight w:val="415"/>
          <w:tblHeader/>
          <w:jc w:val="center"/>
        </w:trPr>
        <w:tc>
          <w:tcPr>
            <w:tcW w:w="9064" w:type="dxa"/>
            <w:tcBorders>
              <w:top w:val="single" w:sz="6" w:space="0" w:color="CCCCCC"/>
              <w:left w:val="single" w:sz="6" w:space="0" w:color="CCCCCC"/>
              <w:bottom w:val="single" w:sz="6" w:space="0" w:color="CCCCCC"/>
              <w:right w:val="single" w:sz="6" w:space="0" w:color="CCCCCC"/>
            </w:tcBorders>
            <w:shd w:val="clear" w:color="auto" w:fill="545555"/>
            <w:tcMar>
              <w:top w:w="150" w:type="dxa"/>
              <w:left w:w="150" w:type="dxa"/>
              <w:bottom w:w="150" w:type="dxa"/>
              <w:right w:w="150" w:type="dxa"/>
            </w:tcMar>
            <w:vAlign w:val="center"/>
            <w:hideMark/>
          </w:tcPr>
          <w:p w14:paraId="6EC98797" w14:textId="77777777" w:rsidR="009B6881" w:rsidRPr="001B1D97" w:rsidRDefault="009B6881" w:rsidP="00814450">
            <w:pPr>
              <w:rPr>
                <w:b/>
                <w:bCs/>
                <w:lang w:eastAsia="en-IE"/>
              </w:rPr>
            </w:pPr>
            <w:r w:rsidRPr="003842C0">
              <w:rPr>
                <w:rFonts w:ascii="Arial" w:hAnsi="Arial" w:cs="Arial"/>
                <w:b/>
                <w:bCs/>
                <w:color w:val="FFFFFF"/>
                <w:sz w:val="21"/>
                <w:szCs w:val="21"/>
                <w:lang w:eastAsia="en-IE"/>
              </w:rPr>
              <w:t>Q8. Is there anything you think that is important about communication training in undergraduate children’s nursing programmes that we haven’t asked? If so, please tell us in the box below.</w:t>
            </w:r>
          </w:p>
        </w:tc>
      </w:tr>
      <w:tr w:rsidR="009B6881" w:rsidRPr="001B1D97" w14:paraId="468CB06F" w14:textId="77777777" w:rsidTr="00F46373">
        <w:trPr>
          <w:trHeight w:val="450"/>
          <w:jc w:val="center"/>
        </w:trPr>
        <w:tc>
          <w:tcPr>
            <w:tcW w:w="9064" w:type="dxa"/>
            <w:vMerge w:val="restart"/>
            <w:tcBorders>
              <w:top w:val="single" w:sz="6" w:space="0" w:color="CCCCCC"/>
              <w:bottom w:val="single" w:sz="6" w:space="0" w:color="CCCCCC"/>
              <w:right w:val="single" w:sz="6" w:space="0" w:color="CCCCCC"/>
            </w:tcBorders>
            <w:shd w:val="clear" w:color="auto" w:fill="DDDDDD"/>
            <w:tcMar>
              <w:top w:w="75" w:type="dxa"/>
              <w:left w:w="75" w:type="dxa"/>
              <w:bottom w:w="75" w:type="dxa"/>
              <w:right w:w="75" w:type="dxa"/>
            </w:tcMar>
            <w:vAlign w:val="center"/>
            <w:hideMark/>
          </w:tcPr>
          <w:p w14:paraId="3DAA3A55" w14:textId="77777777" w:rsidR="009B6881" w:rsidRPr="001B1D97" w:rsidRDefault="009B6881" w:rsidP="00814450">
            <w:pPr>
              <w:rPr>
                <w:lang w:eastAsia="en-IE"/>
              </w:rPr>
            </w:pPr>
          </w:p>
        </w:tc>
      </w:tr>
      <w:tr w:rsidR="009B6881" w:rsidRPr="001B1D97" w14:paraId="6A717814" w14:textId="77777777" w:rsidTr="00F46373">
        <w:trPr>
          <w:trHeight w:val="415"/>
          <w:jc w:val="center"/>
        </w:trPr>
        <w:tc>
          <w:tcPr>
            <w:tcW w:w="9064" w:type="dxa"/>
            <w:vMerge/>
            <w:tcBorders>
              <w:top w:val="single" w:sz="6" w:space="0" w:color="CCCCCC"/>
              <w:bottom w:val="single" w:sz="6" w:space="0" w:color="CCCCCC"/>
              <w:right w:val="single" w:sz="6" w:space="0" w:color="CCCCCC"/>
            </w:tcBorders>
            <w:vAlign w:val="center"/>
            <w:hideMark/>
          </w:tcPr>
          <w:p w14:paraId="1E597F33" w14:textId="77777777" w:rsidR="009B6881" w:rsidRPr="001B1D97" w:rsidRDefault="009B6881" w:rsidP="00814450">
            <w:pPr>
              <w:rPr>
                <w:lang w:eastAsia="en-IE"/>
              </w:rPr>
            </w:pPr>
          </w:p>
        </w:tc>
      </w:tr>
    </w:tbl>
    <w:p w14:paraId="325A8536" w14:textId="77777777" w:rsidR="00FA2D77" w:rsidRDefault="00FA2D77" w:rsidP="00F46373">
      <w:pPr>
        <w:rPr>
          <w:rFonts w:asciiTheme="minorHAnsi" w:hAnsiTheme="minorHAnsi" w:cstheme="minorHAnsi"/>
          <w:b/>
          <w:bCs/>
        </w:rPr>
      </w:pPr>
    </w:p>
    <w:p w14:paraId="07EF1E11" w14:textId="77777777" w:rsidR="00810E60" w:rsidRDefault="00810E60" w:rsidP="00F46373">
      <w:pPr>
        <w:rPr>
          <w:rFonts w:asciiTheme="minorHAnsi" w:hAnsiTheme="minorHAnsi" w:cstheme="minorHAnsi"/>
          <w:b/>
          <w:bCs/>
        </w:rPr>
      </w:pPr>
    </w:p>
    <w:p w14:paraId="5BCE283B" w14:textId="77777777" w:rsidR="00810E60" w:rsidRDefault="00810E60" w:rsidP="00F46373">
      <w:pPr>
        <w:rPr>
          <w:rFonts w:asciiTheme="minorHAnsi" w:hAnsiTheme="minorHAnsi" w:cstheme="minorHAnsi"/>
          <w:b/>
          <w:bCs/>
        </w:rPr>
      </w:pPr>
    </w:p>
    <w:p w14:paraId="4D786383" w14:textId="77777777" w:rsidR="00810E60" w:rsidRDefault="00810E60" w:rsidP="00F46373">
      <w:pPr>
        <w:rPr>
          <w:rFonts w:asciiTheme="minorHAnsi" w:hAnsiTheme="minorHAnsi" w:cstheme="minorHAnsi"/>
          <w:b/>
          <w:bCs/>
        </w:rPr>
      </w:pPr>
    </w:p>
    <w:p w14:paraId="594FFD10" w14:textId="77777777" w:rsidR="00810E60" w:rsidRDefault="00810E60" w:rsidP="00F46373">
      <w:pPr>
        <w:rPr>
          <w:rFonts w:asciiTheme="minorHAnsi" w:hAnsiTheme="minorHAnsi" w:cstheme="minorHAnsi"/>
          <w:b/>
          <w:bCs/>
        </w:rPr>
      </w:pPr>
    </w:p>
    <w:p w14:paraId="26803F3C" w14:textId="77777777" w:rsidR="00810E60" w:rsidRDefault="00810E60" w:rsidP="00F46373">
      <w:pPr>
        <w:rPr>
          <w:rFonts w:asciiTheme="minorHAnsi" w:hAnsiTheme="minorHAnsi" w:cstheme="minorHAnsi"/>
          <w:b/>
          <w:bCs/>
        </w:rPr>
      </w:pPr>
    </w:p>
    <w:p w14:paraId="17477284" w14:textId="77777777" w:rsidR="00810E60" w:rsidRDefault="00810E60" w:rsidP="00F46373">
      <w:pPr>
        <w:rPr>
          <w:rFonts w:asciiTheme="minorHAnsi" w:hAnsiTheme="minorHAnsi" w:cstheme="minorHAnsi"/>
          <w:b/>
          <w:bCs/>
        </w:rPr>
      </w:pPr>
    </w:p>
    <w:p w14:paraId="5BF5C410" w14:textId="77777777" w:rsidR="00810E60" w:rsidRDefault="00810E60" w:rsidP="00F46373">
      <w:pPr>
        <w:rPr>
          <w:rFonts w:asciiTheme="minorHAnsi" w:hAnsiTheme="minorHAnsi" w:cstheme="minorHAnsi"/>
          <w:b/>
          <w:bCs/>
        </w:rPr>
      </w:pPr>
    </w:p>
    <w:p w14:paraId="17947E3C" w14:textId="77777777" w:rsidR="00810E60" w:rsidRDefault="00810E60" w:rsidP="00F46373">
      <w:pPr>
        <w:rPr>
          <w:rFonts w:asciiTheme="minorHAnsi" w:hAnsiTheme="minorHAnsi" w:cstheme="minorHAnsi"/>
          <w:b/>
          <w:bCs/>
        </w:rPr>
      </w:pPr>
    </w:p>
    <w:p w14:paraId="53AFE983" w14:textId="77777777" w:rsidR="00810E60" w:rsidRDefault="00810E60" w:rsidP="00F46373">
      <w:pPr>
        <w:rPr>
          <w:rFonts w:asciiTheme="minorHAnsi" w:hAnsiTheme="minorHAnsi" w:cstheme="minorHAnsi"/>
          <w:b/>
          <w:bCs/>
        </w:rPr>
      </w:pPr>
    </w:p>
    <w:p w14:paraId="32D63311" w14:textId="77777777" w:rsidR="00810E60" w:rsidRDefault="00810E60" w:rsidP="00F46373">
      <w:pPr>
        <w:rPr>
          <w:rFonts w:asciiTheme="minorHAnsi" w:hAnsiTheme="minorHAnsi" w:cstheme="minorHAnsi"/>
          <w:b/>
          <w:bCs/>
        </w:rPr>
      </w:pPr>
    </w:p>
    <w:p w14:paraId="50BEA53B" w14:textId="77777777" w:rsidR="00810E60" w:rsidRDefault="00810E60" w:rsidP="00F46373">
      <w:pPr>
        <w:rPr>
          <w:rFonts w:asciiTheme="minorHAnsi" w:hAnsiTheme="minorHAnsi" w:cstheme="minorHAnsi"/>
          <w:b/>
          <w:bCs/>
        </w:rPr>
      </w:pPr>
    </w:p>
    <w:p w14:paraId="6D8DC8C5" w14:textId="77777777" w:rsidR="00810E60" w:rsidRDefault="00810E60" w:rsidP="00F46373">
      <w:pPr>
        <w:rPr>
          <w:rFonts w:asciiTheme="minorHAnsi" w:hAnsiTheme="minorHAnsi" w:cstheme="minorHAnsi"/>
          <w:b/>
          <w:bCs/>
        </w:rPr>
      </w:pPr>
    </w:p>
    <w:p w14:paraId="33DD260B" w14:textId="10C3CC73" w:rsidR="00810E60" w:rsidRDefault="00810E60" w:rsidP="00810E60">
      <w:pPr>
        <w:rPr>
          <w:rFonts w:asciiTheme="minorHAnsi" w:hAnsiTheme="minorHAnsi" w:cstheme="minorHAnsi"/>
          <w:b/>
          <w:bCs/>
        </w:rPr>
      </w:pPr>
      <w:r w:rsidRPr="00BE41C3">
        <w:rPr>
          <w:rFonts w:asciiTheme="minorHAnsi" w:hAnsiTheme="minorHAnsi" w:cstheme="minorHAnsi"/>
          <w:b/>
          <w:bCs/>
        </w:rPr>
        <w:t xml:space="preserve">Supplementary file </w:t>
      </w:r>
      <w:r>
        <w:rPr>
          <w:rFonts w:asciiTheme="minorHAnsi" w:hAnsiTheme="minorHAnsi" w:cstheme="minorHAnsi"/>
          <w:b/>
          <w:bCs/>
        </w:rPr>
        <w:t>2</w:t>
      </w:r>
      <w:r w:rsidRPr="00BE41C3">
        <w:rPr>
          <w:rFonts w:asciiTheme="minorHAnsi" w:hAnsiTheme="minorHAnsi" w:cstheme="minorHAnsi"/>
          <w:b/>
          <w:bCs/>
        </w:rPr>
        <w:t xml:space="preserve">: </w:t>
      </w:r>
      <w:r w:rsidR="00045219" w:rsidRPr="00045219">
        <w:rPr>
          <w:rFonts w:asciiTheme="minorHAnsi" w:hAnsiTheme="minorHAnsi" w:cstheme="minorHAnsi"/>
          <w:b/>
          <w:bCs/>
        </w:rPr>
        <w:t xml:space="preserve">Checklist for Reporting </w:t>
      </w:r>
      <w:proofErr w:type="gramStart"/>
      <w:r w:rsidR="00045219" w:rsidRPr="00045219">
        <w:rPr>
          <w:rFonts w:asciiTheme="minorHAnsi" w:hAnsiTheme="minorHAnsi" w:cstheme="minorHAnsi"/>
          <w:b/>
          <w:bCs/>
        </w:rPr>
        <w:t>Of</w:t>
      </w:r>
      <w:proofErr w:type="gramEnd"/>
      <w:r w:rsidR="00045219" w:rsidRPr="00045219">
        <w:rPr>
          <w:rFonts w:asciiTheme="minorHAnsi" w:hAnsiTheme="minorHAnsi" w:cstheme="minorHAnsi"/>
          <w:b/>
          <w:bCs/>
        </w:rPr>
        <w:t xml:space="preserve"> Survey Studies (CROSS) (Sharma et al. (2021) ‘A Consensus-Based Checklist for Reporting of Survey Studies (CROSS)’, </w:t>
      </w:r>
      <w:r w:rsidR="00045219" w:rsidRPr="00045219">
        <w:rPr>
          <w:rFonts w:asciiTheme="minorHAnsi" w:hAnsiTheme="minorHAnsi" w:cstheme="minorHAnsi"/>
          <w:b/>
          <w:bCs/>
          <w:i/>
          <w:iCs/>
        </w:rPr>
        <w:t>Journal of General Internal Medicine,</w:t>
      </w:r>
      <w:r w:rsidR="00045219" w:rsidRPr="00045219">
        <w:rPr>
          <w:rFonts w:asciiTheme="minorHAnsi" w:hAnsiTheme="minorHAnsi" w:cstheme="minorHAnsi"/>
          <w:b/>
          <w:bCs/>
        </w:rPr>
        <w:t xml:space="preserve"> 36, pp. 3179-3187. DOI: </w:t>
      </w:r>
      <w:hyperlink r:id="rId83" w:history="1">
        <w:r w:rsidR="00045219" w:rsidRPr="00534FF4">
          <w:rPr>
            <w:rStyle w:val="Hyperlink"/>
            <w:rFonts w:asciiTheme="minorHAnsi" w:hAnsiTheme="minorHAnsi" w:cstheme="minorHAnsi"/>
          </w:rPr>
          <w:t>https://doi.org/10.1007/s11606-021-06737-1</w:t>
        </w:r>
      </w:hyperlink>
      <w:r w:rsidR="00045219" w:rsidRPr="00045219">
        <w:rPr>
          <w:rFonts w:asciiTheme="minorHAnsi" w:hAnsiTheme="minorHAnsi" w:cstheme="minorHAnsi"/>
        </w:rPr>
        <w:t>)</w:t>
      </w:r>
      <w:r w:rsidR="00045219">
        <w:rPr>
          <w:rFonts w:asciiTheme="minorHAnsi" w:hAnsiTheme="minorHAnsi" w:cstheme="minorHAnsi"/>
        </w:rPr>
        <w:t xml:space="preserve"> </w:t>
      </w:r>
    </w:p>
    <w:p w14:paraId="2D5869BC" w14:textId="77777777" w:rsidR="00810E60" w:rsidRDefault="00810E60" w:rsidP="00F46373">
      <w:pPr>
        <w:rPr>
          <w:rFonts w:asciiTheme="minorHAnsi" w:hAnsiTheme="minorHAnsi" w:cstheme="minorHAnsi"/>
          <w:b/>
          <w:bCs/>
        </w:rPr>
      </w:pPr>
    </w:p>
    <w:tbl>
      <w:tblPr>
        <w:tblpPr w:leftFromText="180" w:rightFromText="180" w:vertAnchor="text" w:tblpXSpec="center" w:tblpY="1"/>
        <w:tblOverlap w:val="never"/>
        <w:tblW w:w="10309" w:type="dxa"/>
        <w:jc w:val="center"/>
        <w:tblLayout w:type="fixed"/>
        <w:tblCellMar>
          <w:left w:w="0" w:type="dxa"/>
          <w:right w:w="0" w:type="dxa"/>
        </w:tblCellMar>
        <w:tblLook w:val="0000" w:firstRow="0" w:lastRow="0" w:firstColumn="0" w:lastColumn="0" w:noHBand="0" w:noVBand="0"/>
      </w:tblPr>
      <w:tblGrid>
        <w:gridCol w:w="1946"/>
        <w:gridCol w:w="425"/>
        <w:gridCol w:w="7088"/>
        <w:gridCol w:w="850"/>
      </w:tblGrid>
      <w:tr w:rsidR="009C4C5E" w:rsidRPr="009E29E8" w14:paraId="0B2F2F81" w14:textId="77777777" w:rsidTr="00BE7425">
        <w:trPr>
          <w:trHeight w:val="583"/>
          <w:jc w:val="center"/>
        </w:trPr>
        <w:tc>
          <w:tcPr>
            <w:tcW w:w="1946" w:type="dxa"/>
            <w:tcBorders>
              <w:top w:val="single" w:sz="4" w:space="0" w:color="auto"/>
              <w:bottom w:val="single" w:sz="4" w:space="0" w:color="auto"/>
            </w:tcBorders>
            <w:vAlign w:val="center"/>
          </w:tcPr>
          <w:p w14:paraId="1D67BE4D" w14:textId="77777777" w:rsidR="009C4C5E" w:rsidRPr="009E29E8" w:rsidRDefault="009C4C5E" w:rsidP="00BE7425">
            <w:pPr>
              <w:widowControl w:val="0"/>
              <w:rPr>
                <w:rFonts w:asciiTheme="minorHAnsi" w:hAnsiTheme="minorHAnsi" w:cstheme="minorHAnsi"/>
                <w:b/>
                <w:sz w:val="20"/>
                <w:szCs w:val="20"/>
              </w:rPr>
            </w:pPr>
            <w:r w:rsidRPr="009E29E8">
              <w:rPr>
                <w:rFonts w:asciiTheme="minorHAnsi" w:hAnsiTheme="minorHAnsi" w:cstheme="minorHAnsi"/>
                <w:b/>
                <w:sz w:val="20"/>
                <w:szCs w:val="20"/>
              </w:rPr>
              <w:t xml:space="preserve">Section/topic </w:t>
            </w:r>
          </w:p>
        </w:tc>
        <w:tc>
          <w:tcPr>
            <w:tcW w:w="425" w:type="dxa"/>
            <w:tcBorders>
              <w:top w:val="single" w:sz="4" w:space="0" w:color="auto"/>
              <w:bottom w:val="single" w:sz="4" w:space="0" w:color="auto"/>
            </w:tcBorders>
            <w:vAlign w:val="center"/>
          </w:tcPr>
          <w:p w14:paraId="2FFC532F" w14:textId="77777777" w:rsidR="009C4C5E" w:rsidRPr="009E29E8" w:rsidRDefault="009C4C5E" w:rsidP="00BE7425">
            <w:pPr>
              <w:widowControl w:val="0"/>
              <w:rPr>
                <w:rFonts w:asciiTheme="minorHAnsi" w:hAnsiTheme="minorHAnsi" w:cstheme="minorHAnsi"/>
                <w:b/>
                <w:sz w:val="20"/>
                <w:szCs w:val="20"/>
              </w:rPr>
            </w:pPr>
            <w:r w:rsidRPr="009E29E8">
              <w:rPr>
                <w:rFonts w:asciiTheme="minorHAnsi" w:hAnsiTheme="minorHAnsi" w:cstheme="minorHAnsi"/>
                <w:b/>
                <w:sz w:val="20"/>
                <w:szCs w:val="20"/>
              </w:rPr>
              <w:t>Item</w:t>
            </w:r>
          </w:p>
        </w:tc>
        <w:tc>
          <w:tcPr>
            <w:tcW w:w="7088" w:type="dxa"/>
            <w:tcBorders>
              <w:top w:val="single" w:sz="4" w:space="0" w:color="auto"/>
              <w:bottom w:val="single" w:sz="4" w:space="0" w:color="auto"/>
            </w:tcBorders>
            <w:vAlign w:val="center"/>
          </w:tcPr>
          <w:p w14:paraId="7E10094A" w14:textId="77777777" w:rsidR="009C4C5E" w:rsidRPr="009E29E8" w:rsidRDefault="009C4C5E" w:rsidP="00BE7425">
            <w:pPr>
              <w:widowControl w:val="0"/>
              <w:jc w:val="center"/>
              <w:rPr>
                <w:rFonts w:asciiTheme="minorHAnsi" w:hAnsiTheme="minorHAnsi" w:cstheme="minorHAnsi"/>
                <w:b/>
                <w:sz w:val="20"/>
                <w:szCs w:val="20"/>
              </w:rPr>
            </w:pPr>
            <w:r w:rsidRPr="009E29E8">
              <w:rPr>
                <w:rFonts w:asciiTheme="minorHAnsi" w:hAnsiTheme="minorHAnsi" w:cstheme="minorHAnsi"/>
                <w:b/>
                <w:sz w:val="20"/>
                <w:szCs w:val="20"/>
              </w:rPr>
              <w:t>Item description</w:t>
            </w:r>
          </w:p>
        </w:tc>
        <w:tc>
          <w:tcPr>
            <w:tcW w:w="850" w:type="dxa"/>
            <w:tcBorders>
              <w:top w:val="single" w:sz="4" w:space="0" w:color="auto"/>
              <w:bottom w:val="single" w:sz="4" w:space="0" w:color="auto"/>
            </w:tcBorders>
            <w:vAlign w:val="center"/>
          </w:tcPr>
          <w:p w14:paraId="48414635" w14:textId="77777777" w:rsidR="009C4C5E" w:rsidRPr="009E29E8" w:rsidDel="002142BE" w:rsidRDefault="009C4C5E" w:rsidP="00BE7425">
            <w:pPr>
              <w:widowControl w:val="0"/>
              <w:rPr>
                <w:rFonts w:asciiTheme="minorHAnsi" w:hAnsiTheme="minorHAnsi" w:cstheme="minorHAnsi"/>
                <w:b/>
                <w:sz w:val="20"/>
                <w:szCs w:val="20"/>
              </w:rPr>
            </w:pPr>
            <w:r w:rsidRPr="009E29E8">
              <w:rPr>
                <w:rFonts w:asciiTheme="minorHAnsi" w:hAnsiTheme="minorHAnsi" w:cstheme="minorHAnsi"/>
                <w:b/>
                <w:sz w:val="20"/>
                <w:szCs w:val="20"/>
              </w:rPr>
              <w:t>Reported on page #</w:t>
            </w:r>
          </w:p>
        </w:tc>
      </w:tr>
      <w:tr w:rsidR="009C4C5E" w:rsidRPr="009E29E8" w14:paraId="7B53FF1D" w14:textId="77777777" w:rsidTr="00BE7425">
        <w:trPr>
          <w:trHeight w:val="290"/>
          <w:jc w:val="center"/>
        </w:trPr>
        <w:tc>
          <w:tcPr>
            <w:tcW w:w="9459" w:type="dxa"/>
            <w:gridSpan w:val="3"/>
            <w:tcBorders>
              <w:top w:val="single" w:sz="4" w:space="0" w:color="auto"/>
              <w:bottom w:val="single" w:sz="4" w:space="0" w:color="auto"/>
            </w:tcBorders>
            <w:vAlign w:val="center"/>
          </w:tcPr>
          <w:p w14:paraId="2C3E2FF2"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b/>
                <w:sz w:val="20"/>
                <w:szCs w:val="20"/>
              </w:rPr>
              <w:t>Title and abstract</w:t>
            </w:r>
          </w:p>
        </w:tc>
        <w:tc>
          <w:tcPr>
            <w:tcW w:w="850" w:type="dxa"/>
            <w:tcBorders>
              <w:top w:val="single" w:sz="4" w:space="0" w:color="auto"/>
              <w:bottom w:val="single" w:sz="4" w:space="0" w:color="auto"/>
            </w:tcBorders>
          </w:tcPr>
          <w:p w14:paraId="68C226B6" w14:textId="77777777" w:rsidR="009C4C5E" w:rsidRPr="009E29E8" w:rsidRDefault="009C4C5E" w:rsidP="00BE7425">
            <w:pPr>
              <w:widowControl w:val="0"/>
              <w:rPr>
                <w:rFonts w:asciiTheme="minorHAnsi" w:hAnsiTheme="minorHAnsi" w:cstheme="minorHAnsi"/>
                <w:b/>
                <w:sz w:val="20"/>
                <w:szCs w:val="20"/>
              </w:rPr>
            </w:pPr>
          </w:p>
        </w:tc>
      </w:tr>
      <w:tr w:rsidR="009C4C5E" w:rsidRPr="009E29E8" w14:paraId="651B5699" w14:textId="77777777" w:rsidTr="00BE7425">
        <w:trPr>
          <w:trHeight w:val="510"/>
          <w:jc w:val="center"/>
        </w:trPr>
        <w:tc>
          <w:tcPr>
            <w:tcW w:w="1946" w:type="dxa"/>
            <w:vMerge w:val="restart"/>
            <w:tcBorders>
              <w:top w:val="single" w:sz="4" w:space="0" w:color="auto"/>
            </w:tcBorders>
            <w:vAlign w:val="center"/>
          </w:tcPr>
          <w:p w14:paraId="606EE40F"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Title and abstract</w:t>
            </w:r>
          </w:p>
        </w:tc>
        <w:tc>
          <w:tcPr>
            <w:tcW w:w="425" w:type="dxa"/>
            <w:tcBorders>
              <w:top w:val="single" w:sz="4" w:space="0" w:color="auto"/>
            </w:tcBorders>
            <w:vAlign w:val="center"/>
          </w:tcPr>
          <w:p w14:paraId="192FFC47"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1a</w:t>
            </w:r>
          </w:p>
        </w:tc>
        <w:tc>
          <w:tcPr>
            <w:tcW w:w="7088" w:type="dxa"/>
            <w:tcBorders>
              <w:top w:val="single" w:sz="4" w:space="0" w:color="auto"/>
            </w:tcBorders>
            <w:vAlign w:val="center"/>
          </w:tcPr>
          <w:p w14:paraId="60EDE7B0"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State the word “survey” along with a commonly used term in title or abstract to introduce the study’s design.</w:t>
            </w:r>
          </w:p>
        </w:tc>
        <w:tc>
          <w:tcPr>
            <w:tcW w:w="850" w:type="dxa"/>
            <w:tcBorders>
              <w:top w:val="single" w:sz="4" w:space="0" w:color="auto"/>
            </w:tcBorders>
          </w:tcPr>
          <w:p w14:paraId="21DE381C"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1</w:t>
            </w:r>
          </w:p>
        </w:tc>
      </w:tr>
      <w:tr w:rsidR="009C4C5E" w:rsidRPr="009E29E8" w14:paraId="32B30E9C" w14:textId="77777777" w:rsidTr="00BE7425">
        <w:trPr>
          <w:trHeight w:val="475"/>
          <w:jc w:val="center"/>
        </w:trPr>
        <w:tc>
          <w:tcPr>
            <w:tcW w:w="1946" w:type="dxa"/>
            <w:vMerge/>
            <w:tcBorders>
              <w:bottom w:val="single" w:sz="4" w:space="0" w:color="auto"/>
            </w:tcBorders>
            <w:vAlign w:val="center"/>
          </w:tcPr>
          <w:p w14:paraId="64D60FE9"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tcBorders>
              <w:bottom w:val="single" w:sz="4" w:space="0" w:color="auto"/>
            </w:tcBorders>
            <w:vAlign w:val="center"/>
          </w:tcPr>
          <w:p w14:paraId="032D3FCE"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1b</w:t>
            </w:r>
          </w:p>
        </w:tc>
        <w:tc>
          <w:tcPr>
            <w:tcW w:w="7088" w:type="dxa"/>
            <w:tcBorders>
              <w:bottom w:val="single" w:sz="4" w:space="0" w:color="auto"/>
            </w:tcBorders>
            <w:vAlign w:val="center"/>
          </w:tcPr>
          <w:p w14:paraId="79F5735C"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Provide an informative summary in the abstract, covering background, objectives, methods, findings/results, interpretation/discussion, and conclusions.</w:t>
            </w:r>
          </w:p>
        </w:tc>
        <w:tc>
          <w:tcPr>
            <w:tcW w:w="850" w:type="dxa"/>
            <w:tcBorders>
              <w:bottom w:val="single" w:sz="4" w:space="0" w:color="auto"/>
            </w:tcBorders>
          </w:tcPr>
          <w:p w14:paraId="58579319"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1    </w:t>
            </w:r>
          </w:p>
        </w:tc>
      </w:tr>
      <w:tr w:rsidR="009C4C5E" w:rsidRPr="009E29E8" w14:paraId="318E02F4" w14:textId="77777777" w:rsidTr="00BE7425">
        <w:trPr>
          <w:trHeight w:val="290"/>
          <w:jc w:val="center"/>
        </w:trPr>
        <w:tc>
          <w:tcPr>
            <w:tcW w:w="9459" w:type="dxa"/>
            <w:gridSpan w:val="3"/>
            <w:tcBorders>
              <w:top w:val="single" w:sz="4" w:space="0" w:color="auto"/>
              <w:bottom w:val="single" w:sz="4" w:space="0" w:color="auto"/>
            </w:tcBorders>
            <w:vAlign w:val="center"/>
          </w:tcPr>
          <w:p w14:paraId="1A443910"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b/>
                <w:sz w:val="20"/>
                <w:szCs w:val="20"/>
              </w:rPr>
              <w:t>Introduction</w:t>
            </w:r>
          </w:p>
        </w:tc>
        <w:tc>
          <w:tcPr>
            <w:tcW w:w="850" w:type="dxa"/>
            <w:tcBorders>
              <w:top w:val="single" w:sz="4" w:space="0" w:color="auto"/>
              <w:bottom w:val="single" w:sz="4" w:space="0" w:color="auto"/>
            </w:tcBorders>
          </w:tcPr>
          <w:p w14:paraId="464DCBBE" w14:textId="77777777" w:rsidR="009C4C5E" w:rsidRPr="009E29E8" w:rsidRDefault="009C4C5E" w:rsidP="00BE7425">
            <w:pPr>
              <w:widowControl w:val="0"/>
              <w:rPr>
                <w:rFonts w:asciiTheme="minorHAnsi" w:hAnsiTheme="minorHAnsi" w:cstheme="minorHAnsi"/>
                <w:b/>
                <w:sz w:val="20"/>
                <w:szCs w:val="20"/>
              </w:rPr>
            </w:pPr>
          </w:p>
        </w:tc>
      </w:tr>
      <w:tr w:rsidR="009C4C5E" w:rsidRPr="009E29E8" w14:paraId="0CB8C839" w14:textId="77777777" w:rsidTr="00BE7425">
        <w:trPr>
          <w:trHeight w:val="454"/>
          <w:jc w:val="center"/>
        </w:trPr>
        <w:tc>
          <w:tcPr>
            <w:tcW w:w="1946" w:type="dxa"/>
            <w:tcBorders>
              <w:top w:val="single" w:sz="4" w:space="0" w:color="auto"/>
            </w:tcBorders>
            <w:vAlign w:val="center"/>
          </w:tcPr>
          <w:p w14:paraId="301416B2"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Background</w:t>
            </w:r>
          </w:p>
        </w:tc>
        <w:tc>
          <w:tcPr>
            <w:tcW w:w="425" w:type="dxa"/>
            <w:tcBorders>
              <w:top w:val="single" w:sz="4" w:space="0" w:color="auto"/>
            </w:tcBorders>
            <w:vAlign w:val="center"/>
          </w:tcPr>
          <w:p w14:paraId="0DB76C28"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2</w:t>
            </w:r>
          </w:p>
        </w:tc>
        <w:tc>
          <w:tcPr>
            <w:tcW w:w="7088" w:type="dxa"/>
            <w:tcBorders>
              <w:top w:val="single" w:sz="4" w:space="0" w:color="auto"/>
            </w:tcBorders>
            <w:vAlign w:val="center"/>
          </w:tcPr>
          <w:p w14:paraId="50BCE491"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Provide a background about the rationale of study, what has been previously done, and why this survey is needed.</w:t>
            </w:r>
          </w:p>
        </w:tc>
        <w:tc>
          <w:tcPr>
            <w:tcW w:w="850" w:type="dxa"/>
            <w:tcBorders>
              <w:top w:val="single" w:sz="4" w:space="0" w:color="auto"/>
            </w:tcBorders>
          </w:tcPr>
          <w:p w14:paraId="799964B1"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3  </w:t>
            </w:r>
          </w:p>
        </w:tc>
      </w:tr>
      <w:tr w:rsidR="009C4C5E" w:rsidRPr="009E29E8" w14:paraId="2ECC0CA1" w14:textId="77777777" w:rsidTr="00BE7425">
        <w:trPr>
          <w:trHeight w:val="372"/>
          <w:jc w:val="center"/>
        </w:trPr>
        <w:tc>
          <w:tcPr>
            <w:tcW w:w="1946" w:type="dxa"/>
            <w:tcBorders>
              <w:bottom w:val="single" w:sz="4" w:space="0" w:color="auto"/>
            </w:tcBorders>
            <w:vAlign w:val="center"/>
          </w:tcPr>
          <w:p w14:paraId="27E5F82B"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Purpose/aim</w:t>
            </w:r>
          </w:p>
        </w:tc>
        <w:tc>
          <w:tcPr>
            <w:tcW w:w="425" w:type="dxa"/>
            <w:tcBorders>
              <w:bottom w:val="single" w:sz="4" w:space="0" w:color="auto"/>
            </w:tcBorders>
            <w:vAlign w:val="center"/>
          </w:tcPr>
          <w:p w14:paraId="3C6E4BB5"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3</w:t>
            </w:r>
          </w:p>
        </w:tc>
        <w:tc>
          <w:tcPr>
            <w:tcW w:w="7088" w:type="dxa"/>
            <w:tcBorders>
              <w:bottom w:val="single" w:sz="4" w:space="0" w:color="auto"/>
            </w:tcBorders>
            <w:vAlign w:val="center"/>
          </w:tcPr>
          <w:p w14:paraId="6E5B4088"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Identify specific purposes, aims, goals, or objectives of the study.</w:t>
            </w:r>
          </w:p>
        </w:tc>
        <w:tc>
          <w:tcPr>
            <w:tcW w:w="850" w:type="dxa"/>
            <w:tcBorders>
              <w:bottom w:val="single" w:sz="4" w:space="0" w:color="auto"/>
            </w:tcBorders>
          </w:tcPr>
          <w:p w14:paraId="3DC7A32F"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3       </w:t>
            </w:r>
          </w:p>
        </w:tc>
      </w:tr>
      <w:tr w:rsidR="009C4C5E" w:rsidRPr="009E29E8" w14:paraId="0F06ADCF" w14:textId="77777777" w:rsidTr="00BE7425">
        <w:trPr>
          <w:trHeight w:val="290"/>
          <w:jc w:val="center"/>
        </w:trPr>
        <w:tc>
          <w:tcPr>
            <w:tcW w:w="9459" w:type="dxa"/>
            <w:gridSpan w:val="3"/>
            <w:tcBorders>
              <w:top w:val="single" w:sz="4" w:space="0" w:color="auto"/>
              <w:bottom w:val="single" w:sz="4" w:space="0" w:color="auto"/>
            </w:tcBorders>
            <w:vAlign w:val="center"/>
          </w:tcPr>
          <w:p w14:paraId="650D4C0F"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b/>
                <w:sz w:val="20"/>
                <w:szCs w:val="20"/>
              </w:rPr>
              <w:t>Methods</w:t>
            </w:r>
          </w:p>
        </w:tc>
        <w:tc>
          <w:tcPr>
            <w:tcW w:w="850" w:type="dxa"/>
            <w:tcBorders>
              <w:top w:val="single" w:sz="4" w:space="0" w:color="auto"/>
              <w:bottom w:val="single" w:sz="4" w:space="0" w:color="auto"/>
            </w:tcBorders>
          </w:tcPr>
          <w:p w14:paraId="4A2BD7E8" w14:textId="77777777" w:rsidR="009C4C5E" w:rsidRPr="009E29E8" w:rsidRDefault="009C4C5E" w:rsidP="00BE7425">
            <w:pPr>
              <w:widowControl w:val="0"/>
              <w:rPr>
                <w:rFonts w:asciiTheme="minorHAnsi" w:hAnsiTheme="minorHAnsi" w:cstheme="minorHAnsi"/>
                <w:b/>
                <w:sz w:val="20"/>
                <w:szCs w:val="20"/>
              </w:rPr>
            </w:pPr>
          </w:p>
        </w:tc>
      </w:tr>
      <w:tr w:rsidR="009C4C5E" w:rsidRPr="009E29E8" w14:paraId="3448A3D5" w14:textId="77777777" w:rsidTr="00BE7425">
        <w:trPr>
          <w:trHeight w:val="558"/>
          <w:jc w:val="center"/>
        </w:trPr>
        <w:tc>
          <w:tcPr>
            <w:tcW w:w="1946" w:type="dxa"/>
            <w:tcBorders>
              <w:top w:val="single" w:sz="4" w:space="0" w:color="auto"/>
            </w:tcBorders>
            <w:vAlign w:val="center"/>
          </w:tcPr>
          <w:p w14:paraId="0E469F77"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Study design</w:t>
            </w:r>
          </w:p>
        </w:tc>
        <w:tc>
          <w:tcPr>
            <w:tcW w:w="425" w:type="dxa"/>
            <w:tcBorders>
              <w:top w:val="single" w:sz="4" w:space="0" w:color="auto"/>
            </w:tcBorders>
            <w:vAlign w:val="center"/>
          </w:tcPr>
          <w:p w14:paraId="466053B9"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4</w:t>
            </w:r>
          </w:p>
        </w:tc>
        <w:tc>
          <w:tcPr>
            <w:tcW w:w="7088" w:type="dxa"/>
            <w:tcBorders>
              <w:top w:val="single" w:sz="4" w:space="0" w:color="auto"/>
            </w:tcBorders>
            <w:vAlign w:val="center"/>
          </w:tcPr>
          <w:p w14:paraId="7878C296"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Specify the study design in the methods section with a commonly used term (e.g., cross-sectional or longitudinal).</w:t>
            </w:r>
          </w:p>
        </w:tc>
        <w:tc>
          <w:tcPr>
            <w:tcW w:w="850" w:type="dxa"/>
            <w:tcBorders>
              <w:top w:val="single" w:sz="4" w:space="0" w:color="auto"/>
            </w:tcBorders>
          </w:tcPr>
          <w:p w14:paraId="4BCDE14A"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5        </w:t>
            </w:r>
          </w:p>
        </w:tc>
      </w:tr>
      <w:tr w:rsidR="009C4C5E" w:rsidRPr="009E29E8" w14:paraId="5C3C259F" w14:textId="77777777" w:rsidTr="00BE7425">
        <w:trPr>
          <w:trHeight w:val="613"/>
          <w:jc w:val="center"/>
        </w:trPr>
        <w:tc>
          <w:tcPr>
            <w:tcW w:w="1946" w:type="dxa"/>
            <w:vAlign w:val="center"/>
          </w:tcPr>
          <w:p w14:paraId="61C1F4F3" w14:textId="77777777" w:rsidR="009C4C5E" w:rsidRPr="009E29E8" w:rsidRDefault="009C4C5E" w:rsidP="00BE7425">
            <w:pPr>
              <w:widowControl w:val="0"/>
              <w:rPr>
                <w:rFonts w:asciiTheme="minorHAnsi" w:hAnsiTheme="minorHAnsi" w:cstheme="minorHAnsi"/>
                <w:sz w:val="20"/>
                <w:szCs w:val="20"/>
              </w:rPr>
            </w:pPr>
          </w:p>
        </w:tc>
        <w:tc>
          <w:tcPr>
            <w:tcW w:w="425" w:type="dxa"/>
            <w:vAlign w:val="center"/>
          </w:tcPr>
          <w:p w14:paraId="68DEEE8F"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5a</w:t>
            </w:r>
          </w:p>
        </w:tc>
        <w:tc>
          <w:tcPr>
            <w:tcW w:w="7088" w:type="dxa"/>
            <w:vAlign w:val="center"/>
          </w:tcPr>
          <w:p w14:paraId="4B72CD73"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Describe the questionnaire (e.g., number of sections, number of questions, number and names of instruments used).</w:t>
            </w:r>
          </w:p>
        </w:tc>
        <w:tc>
          <w:tcPr>
            <w:tcW w:w="850" w:type="dxa"/>
          </w:tcPr>
          <w:p w14:paraId="0E408507"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5          </w:t>
            </w:r>
          </w:p>
        </w:tc>
      </w:tr>
      <w:tr w:rsidR="009C4C5E" w:rsidRPr="009E29E8" w14:paraId="79B741E7" w14:textId="77777777" w:rsidTr="00BE7425">
        <w:trPr>
          <w:trHeight w:val="889"/>
          <w:jc w:val="center"/>
        </w:trPr>
        <w:tc>
          <w:tcPr>
            <w:tcW w:w="1946" w:type="dxa"/>
            <w:vMerge w:val="restart"/>
            <w:vAlign w:val="center"/>
          </w:tcPr>
          <w:p w14:paraId="0A7C3AED"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Data collection methods</w:t>
            </w:r>
          </w:p>
        </w:tc>
        <w:tc>
          <w:tcPr>
            <w:tcW w:w="425" w:type="dxa"/>
            <w:vAlign w:val="center"/>
          </w:tcPr>
          <w:p w14:paraId="5AED5ABB"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5b</w:t>
            </w:r>
          </w:p>
        </w:tc>
        <w:tc>
          <w:tcPr>
            <w:tcW w:w="7088" w:type="dxa"/>
            <w:vAlign w:val="center"/>
          </w:tcPr>
          <w:p w14:paraId="5EBEA075"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Describe all questionnaire instruments that were used in the survey to measure </w:t>
            </w:r>
            <w:proofErr w:type="gramStart"/>
            <w:r w:rsidRPr="009E29E8">
              <w:rPr>
                <w:rFonts w:asciiTheme="minorHAnsi" w:hAnsiTheme="minorHAnsi" w:cstheme="minorHAnsi"/>
                <w:sz w:val="20"/>
                <w:szCs w:val="20"/>
              </w:rPr>
              <w:t>particular concepts</w:t>
            </w:r>
            <w:proofErr w:type="gramEnd"/>
            <w:r w:rsidRPr="009E29E8">
              <w:rPr>
                <w:rFonts w:asciiTheme="minorHAnsi" w:hAnsiTheme="minorHAnsi" w:cstheme="minorHAnsi"/>
                <w:sz w:val="20"/>
                <w:szCs w:val="20"/>
              </w:rPr>
              <w:t>. Report target population, reported validity and reliability information, scoring/classification procedure, and reference links (if any).</w:t>
            </w:r>
          </w:p>
        </w:tc>
        <w:tc>
          <w:tcPr>
            <w:tcW w:w="850" w:type="dxa"/>
          </w:tcPr>
          <w:p w14:paraId="521E9141"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5        </w:t>
            </w:r>
          </w:p>
        </w:tc>
      </w:tr>
      <w:tr w:rsidR="009C4C5E" w:rsidRPr="009E29E8" w14:paraId="7F8EA193" w14:textId="77777777" w:rsidTr="00BE7425">
        <w:trPr>
          <w:trHeight w:val="959"/>
          <w:jc w:val="center"/>
        </w:trPr>
        <w:tc>
          <w:tcPr>
            <w:tcW w:w="1946" w:type="dxa"/>
            <w:vMerge/>
            <w:vAlign w:val="center"/>
          </w:tcPr>
          <w:p w14:paraId="06682C37"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vAlign w:val="center"/>
          </w:tcPr>
          <w:p w14:paraId="6574DFAB"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5c</w:t>
            </w:r>
          </w:p>
        </w:tc>
        <w:tc>
          <w:tcPr>
            <w:tcW w:w="7088" w:type="dxa"/>
            <w:vAlign w:val="center"/>
          </w:tcPr>
          <w:p w14:paraId="4FB58AF9"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Provide information on pretesting of the questionnaire, if performed (in the article or in an online supplement). Report the method of pretesting, number of times questionnaire was pre-tested, number and demographics of participants used for pretesting, and the level of similarity of demographics between pre-testing participants and sample population.</w:t>
            </w:r>
          </w:p>
        </w:tc>
        <w:tc>
          <w:tcPr>
            <w:tcW w:w="850" w:type="dxa"/>
          </w:tcPr>
          <w:p w14:paraId="02A142DC"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5        </w:t>
            </w:r>
          </w:p>
        </w:tc>
      </w:tr>
      <w:tr w:rsidR="009C4C5E" w:rsidRPr="009E29E8" w14:paraId="0F5AD675" w14:textId="77777777" w:rsidTr="00BE7425">
        <w:trPr>
          <w:trHeight w:val="544"/>
          <w:jc w:val="center"/>
        </w:trPr>
        <w:tc>
          <w:tcPr>
            <w:tcW w:w="1946" w:type="dxa"/>
            <w:vMerge/>
            <w:vAlign w:val="center"/>
          </w:tcPr>
          <w:p w14:paraId="1DD97254"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vAlign w:val="center"/>
          </w:tcPr>
          <w:p w14:paraId="3A03B68A"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5d</w:t>
            </w:r>
          </w:p>
        </w:tc>
        <w:tc>
          <w:tcPr>
            <w:tcW w:w="7088" w:type="dxa"/>
            <w:vAlign w:val="center"/>
          </w:tcPr>
          <w:p w14:paraId="3B7EA48C"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Questionnaire if possible, should be fully provided (in the article, or as appendices or as an online supplement). </w:t>
            </w:r>
          </w:p>
        </w:tc>
        <w:tc>
          <w:tcPr>
            <w:tcW w:w="850" w:type="dxa"/>
          </w:tcPr>
          <w:p w14:paraId="00CEDE1F" w14:textId="77777777" w:rsidR="00592FE4"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5/Supplementary file 1     </w:t>
            </w:r>
          </w:p>
          <w:p w14:paraId="047B7597" w14:textId="0781275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w:t>
            </w:r>
          </w:p>
        </w:tc>
      </w:tr>
      <w:tr w:rsidR="009C4C5E" w:rsidRPr="009E29E8" w14:paraId="40672FDD" w14:textId="77777777" w:rsidTr="00BE7425">
        <w:trPr>
          <w:trHeight w:val="544"/>
          <w:jc w:val="center"/>
        </w:trPr>
        <w:tc>
          <w:tcPr>
            <w:tcW w:w="1946" w:type="dxa"/>
            <w:vMerge w:val="restart"/>
            <w:vAlign w:val="center"/>
          </w:tcPr>
          <w:p w14:paraId="2AE20D9D"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Sample characteristics</w:t>
            </w:r>
          </w:p>
          <w:p w14:paraId="3D3101F9" w14:textId="77777777" w:rsidR="009C4C5E" w:rsidRPr="009E29E8" w:rsidRDefault="009C4C5E" w:rsidP="00BE7425">
            <w:pPr>
              <w:widowControl w:val="0"/>
              <w:rPr>
                <w:rFonts w:asciiTheme="minorHAnsi" w:hAnsiTheme="minorHAnsi" w:cstheme="minorHAnsi"/>
                <w:sz w:val="20"/>
                <w:szCs w:val="20"/>
              </w:rPr>
            </w:pPr>
          </w:p>
        </w:tc>
        <w:tc>
          <w:tcPr>
            <w:tcW w:w="425" w:type="dxa"/>
            <w:vAlign w:val="center"/>
          </w:tcPr>
          <w:p w14:paraId="1C25814E"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6a</w:t>
            </w:r>
          </w:p>
        </w:tc>
        <w:tc>
          <w:tcPr>
            <w:tcW w:w="7088" w:type="dxa"/>
            <w:vAlign w:val="center"/>
          </w:tcPr>
          <w:p w14:paraId="65DE4AA0"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Describe the study population (i.e., background, locations, eligibility criteria for participant inclusion in survey, exclusion criteria).</w:t>
            </w:r>
          </w:p>
        </w:tc>
        <w:tc>
          <w:tcPr>
            <w:tcW w:w="850" w:type="dxa"/>
          </w:tcPr>
          <w:p w14:paraId="012D9622" w14:textId="77777777" w:rsidR="007653B6"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5   </w:t>
            </w:r>
          </w:p>
          <w:p w14:paraId="137C199F" w14:textId="77777777" w:rsidR="007653B6" w:rsidRPr="009E29E8" w:rsidRDefault="007653B6" w:rsidP="00BE7425">
            <w:pPr>
              <w:widowControl w:val="0"/>
              <w:rPr>
                <w:rFonts w:asciiTheme="minorHAnsi" w:hAnsiTheme="minorHAnsi" w:cstheme="minorHAnsi"/>
                <w:sz w:val="20"/>
                <w:szCs w:val="20"/>
              </w:rPr>
            </w:pPr>
          </w:p>
          <w:p w14:paraId="788E1C32" w14:textId="77777777" w:rsidR="007653B6" w:rsidRPr="009E29E8" w:rsidRDefault="007653B6" w:rsidP="00BE7425">
            <w:pPr>
              <w:widowControl w:val="0"/>
              <w:rPr>
                <w:rFonts w:asciiTheme="minorHAnsi" w:hAnsiTheme="minorHAnsi" w:cstheme="minorHAnsi"/>
                <w:sz w:val="20"/>
                <w:szCs w:val="20"/>
              </w:rPr>
            </w:pPr>
          </w:p>
          <w:p w14:paraId="1BE1CC4C" w14:textId="1AEFB20B"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w:t>
            </w:r>
          </w:p>
        </w:tc>
      </w:tr>
      <w:tr w:rsidR="009C4C5E" w:rsidRPr="009E29E8" w14:paraId="6C312B64" w14:textId="77777777" w:rsidTr="00BE7425">
        <w:trPr>
          <w:trHeight w:val="1028"/>
          <w:jc w:val="center"/>
        </w:trPr>
        <w:tc>
          <w:tcPr>
            <w:tcW w:w="1946" w:type="dxa"/>
            <w:vMerge/>
            <w:vAlign w:val="center"/>
          </w:tcPr>
          <w:p w14:paraId="51A40A39"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vAlign w:val="center"/>
          </w:tcPr>
          <w:p w14:paraId="1D291DDA"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6b</w:t>
            </w:r>
          </w:p>
        </w:tc>
        <w:tc>
          <w:tcPr>
            <w:tcW w:w="7088" w:type="dxa"/>
            <w:vAlign w:val="center"/>
          </w:tcPr>
          <w:p w14:paraId="4D6AF24F"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Describe the sampling techniques used (e.g., single stage or multistage sampling, simple random sampling, stratified sampling, cluster sampling, convenience sampling). Specify the locations of sample participants whenever clustered sampling was applied.</w:t>
            </w:r>
          </w:p>
        </w:tc>
        <w:tc>
          <w:tcPr>
            <w:tcW w:w="850" w:type="dxa"/>
          </w:tcPr>
          <w:p w14:paraId="1ADEB0CB"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5          </w:t>
            </w:r>
          </w:p>
        </w:tc>
      </w:tr>
      <w:tr w:rsidR="009C4C5E" w:rsidRPr="009E29E8" w14:paraId="3C838DBE" w14:textId="77777777" w:rsidTr="00BE7425">
        <w:trPr>
          <w:trHeight w:val="544"/>
          <w:jc w:val="center"/>
        </w:trPr>
        <w:tc>
          <w:tcPr>
            <w:tcW w:w="1946" w:type="dxa"/>
            <w:vMerge/>
            <w:vAlign w:val="center"/>
          </w:tcPr>
          <w:p w14:paraId="355A9EC1"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vAlign w:val="center"/>
          </w:tcPr>
          <w:p w14:paraId="70891CAA"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6c</w:t>
            </w:r>
          </w:p>
        </w:tc>
        <w:tc>
          <w:tcPr>
            <w:tcW w:w="7088" w:type="dxa"/>
            <w:vAlign w:val="center"/>
          </w:tcPr>
          <w:p w14:paraId="571D9BB2"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Provide information on sample size, along with details of sample size calculation.</w:t>
            </w:r>
          </w:p>
        </w:tc>
        <w:tc>
          <w:tcPr>
            <w:tcW w:w="850" w:type="dxa"/>
          </w:tcPr>
          <w:p w14:paraId="41C1FE7A" w14:textId="77777777" w:rsidR="007653B6"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w:t>
            </w:r>
          </w:p>
          <w:p w14:paraId="25EAD1E9" w14:textId="44764CBB" w:rsidR="009C4C5E" w:rsidRPr="009E29E8" w:rsidRDefault="007653B6"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w:t>
            </w:r>
            <w:r w:rsidR="009C4C5E" w:rsidRPr="009E29E8">
              <w:rPr>
                <w:rFonts w:asciiTheme="minorHAnsi" w:hAnsiTheme="minorHAnsi" w:cstheme="minorHAnsi"/>
                <w:sz w:val="20"/>
                <w:szCs w:val="20"/>
              </w:rPr>
              <w:t xml:space="preserve">5              </w:t>
            </w:r>
          </w:p>
        </w:tc>
      </w:tr>
      <w:tr w:rsidR="009C4C5E" w:rsidRPr="009E29E8" w14:paraId="515E8A4D" w14:textId="77777777" w:rsidTr="00BE7425">
        <w:trPr>
          <w:trHeight w:val="558"/>
          <w:jc w:val="center"/>
        </w:trPr>
        <w:tc>
          <w:tcPr>
            <w:tcW w:w="1946" w:type="dxa"/>
            <w:vMerge/>
            <w:vAlign w:val="center"/>
          </w:tcPr>
          <w:p w14:paraId="1DE19169"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vAlign w:val="center"/>
          </w:tcPr>
          <w:p w14:paraId="71942562"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6d</w:t>
            </w:r>
          </w:p>
        </w:tc>
        <w:tc>
          <w:tcPr>
            <w:tcW w:w="7088" w:type="dxa"/>
            <w:vAlign w:val="center"/>
          </w:tcPr>
          <w:p w14:paraId="5B6B224D"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Describe how representative the sample is of the study population (or target population if possible), particularly for population-based surveys.</w:t>
            </w:r>
          </w:p>
        </w:tc>
        <w:tc>
          <w:tcPr>
            <w:tcW w:w="850" w:type="dxa"/>
          </w:tcPr>
          <w:p w14:paraId="380FCDFF" w14:textId="293ED534"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w:t>
            </w:r>
            <w:r w:rsidR="007653B6" w:rsidRPr="009E29E8">
              <w:rPr>
                <w:rFonts w:asciiTheme="minorHAnsi" w:hAnsiTheme="minorHAnsi" w:cstheme="minorHAnsi"/>
                <w:sz w:val="20"/>
                <w:szCs w:val="20"/>
              </w:rPr>
              <w:t>5</w:t>
            </w:r>
            <w:r w:rsidRPr="009E29E8">
              <w:rPr>
                <w:rFonts w:asciiTheme="minorHAnsi" w:hAnsiTheme="minorHAnsi" w:cstheme="minorHAnsi"/>
                <w:sz w:val="20"/>
                <w:szCs w:val="20"/>
              </w:rPr>
              <w:t xml:space="preserve">         </w:t>
            </w:r>
            <w:r w:rsidR="007653B6" w:rsidRPr="009E29E8">
              <w:rPr>
                <w:rFonts w:asciiTheme="minorHAnsi" w:hAnsiTheme="minorHAnsi" w:cstheme="minorHAnsi"/>
                <w:sz w:val="20"/>
                <w:szCs w:val="20"/>
              </w:rPr>
              <w:t xml:space="preserve">           </w:t>
            </w:r>
          </w:p>
        </w:tc>
      </w:tr>
      <w:tr w:rsidR="009C4C5E" w:rsidRPr="009E29E8" w14:paraId="5C0D9699" w14:textId="77777777" w:rsidTr="00BE7425">
        <w:trPr>
          <w:trHeight w:val="544"/>
          <w:jc w:val="center"/>
        </w:trPr>
        <w:tc>
          <w:tcPr>
            <w:tcW w:w="1946" w:type="dxa"/>
            <w:vMerge w:val="restart"/>
            <w:vAlign w:val="center"/>
          </w:tcPr>
          <w:p w14:paraId="32EC7D92" w14:textId="77777777" w:rsidR="009C4C5E" w:rsidRPr="009E29E8" w:rsidRDefault="009C4C5E" w:rsidP="00BE7425">
            <w:pPr>
              <w:rPr>
                <w:rFonts w:asciiTheme="minorHAnsi" w:hAnsiTheme="minorHAnsi" w:cstheme="minorHAnsi"/>
                <w:sz w:val="20"/>
                <w:szCs w:val="20"/>
              </w:rPr>
            </w:pPr>
            <w:r w:rsidRPr="009E29E8">
              <w:rPr>
                <w:rFonts w:asciiTheme="minorHAnsi" w:hAnsiTheme="minorHAnsi" w:cstheme="minorHAnsi"/>
                <w:sz w:val="20"/>
                <w:szCs w:val="20"/>
              </w:rPr>
              <w:t xml:space="preserve">Survey </w:t>
            </w:r>
          </w:p>
          <w:p w14:paraId="359A1C76" w14:textId="77777777" w:rsidR="009C4C5E" w:rsidRPr="009E29E8" w:rsidRDefault="009C4C5E" w:rsidP="00BE7425">
            <w:pPr>
              <w:rPr>
                <w:rFonts w:asciiTheme="minorHAnsi" w:hAnsiTheme="minorHAnsi" w:cstheme="minorHAnsi"/>
                <w:sz w:val="20"/>
                <w:szCs w:val="20"/>
              </w:rPr>
            </w:pPr>
            <w:r w:rsidRPr="009E29E8">
              <w:rPr>
                <w:rFonts w:asciiTheme="minorHAnsi" w:hAnsiTheme="minorHAnsi" w:cstheme="minorHAnsi"/>
                <w:sz w:val="20"/>
                <w:szCs w:val="20"/>
              </w:rPr>
              <w:t>administration</w:t>
            </w:r>
          </w:p>
        </w:tc>
        <w:tc>
          <w:tcPr>
            <w:tcW w:w="425" w:type="dxa"/>
            <w:vAlign w:val="center"/>
          </w:tcPr>
          <w:p w14:paraId="7442AD36"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7a</w:t>
            </w:r>
          </w:p>
        </w:tc>
        <w:tc>
          <w:tcPr>
            <w:tcW w:w="7088" w:type="dxa"/>
            <w:vAlign w:val="center"/>
          </w:tcPr>
          <w:p w14:paraId="3CFBE25C"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Provide information on modes of questionnaire administration, including the type and number of contacts, the location where the survey was conducted (e.g., outpatient room or by use of online tools, such as SurveyMonkey). </w:t>
            </w:r>
          </w:p>
        </w:tc>
        <w:tc>
          <w:tcPr>
            <w:tcW w:w="850" w:type="dxa"/>
          </w:tcPr>
          <w:p w14:paraId="2627B313" w14:textId="1318BE55" w:rsidR="009C4C5E" w:rsidRPr="009E29E8" w:rsidDel="00C9596E"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w:t>
            </w:r>
            <w:r w:rsidR="007653B6" w:rsidRPr="009E29E8">
              <w:rPr>
                <w:rFonts w:asciiTheme="minorHAnsi" w:hAnsiTheme="minorHAnsi" w:cstheme="minorHAnsi"/>
                <w:sz w:val="20"/>
                <w:szCs w:val="20"/>
              </w:rPr>
              <w:t>5</w:t>
            </w:r>
            <w:r w:rsidRPr="009E29E8">
              <w:rPr>
                <w:rFonts w:asciiTheme="minorHAnsi" w:hAnsiTheme="minorHAnsi" w:cstheme="minorHAnsi"/>
                <w:sz w:val="20"/>
                <w:szCs w:val="20"/>
              </w:rPr>
              <w:t xml:space="preserve">            </w:t>
            </w:r>
          </w:p>
        </w:tc>
      </w:tr>
      <w:tr w:rsidR="009C4C5E" w:rsidRPr="009E29E8" w14:paraId="0443F5CA" w14:textId="77777777" w:rsidTr="00BE7425">
        <w:trPr>
          <w:trHeight w:val="558"/>
          <w:jc w:val="center"/>
        </w:trPr>
        <w:tc>
          <w:tcPr>
            <w:tcW w:w="1946" w:type="dxa"/>
            <w:vMerge/>
            <w:vAlign w:val="center"/>
          </w:tcPr>
          <w:p w14:paraId="10575C5A"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vAlign w:val="center"/>
          </w:tcPr>
          <w:p w14:paraId="027EAA56"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7b</w:t>
            </w:r>
          </w:p>
        </w:tc>
        <w:tc>
          <w:tcPr>
            <w:tcW w:w="7088" w:type="dxa"/>
            <w:vAlign w:val="center"/>
          </w:tcPr>
          <w:p w14:paraId="50595D37"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Provide information of survey’s time frame, such as periods of recruitment, exposure, and follow-up days.</w:t>
            </w:r>
          </w:p>
        </w:tc>
        <w:tc>
          <w:tcPr>
            <w:tcW w:w="850" w:type="dxa"/>
          </w:tcPr>
          <w:p w14:paraId="0F59D4C3" w14:textId="73B83D44"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w:t>
            </w:r>
            <w:r w:rsidR="007653B6" w:rsidRPr="009E29E8">
              <w:rPr>
                <w:rFonts w:asciiTheme="minorHAnsi" w:hAnsiTheme="minorHAnsi" w:cstheme="minorHAnsi"/>
                <w:sz w:val="20"/>
                <w:szCs w:val="20"/>
              </w:rPr>
              <w:t>5</w:t>
            </w:r>
            <w:r w:rsidRPr="009E29E8">
              <w:rPr>
                <w:rFonts w:asciiTheme="minorHAnsi" w:hAnsiTheme="minorHAnsi" w:cstheme="minorHAnsi"/>
                <w:sz w:val="20"/>
                <w:szCs w:val="20"/>
              </w:rPr>
              <w:t xml:space="preserve">             </w:t>
            </w:r>
          </w:p>
        </w:tc>
      </w:tr>
      <w:tr w:rsidR="009C4C5E" w:rsidRPr="009E29E8" w14:paraId="33A43270" w14:textId="77777777" w:rsidTr="00BE7425">
        <w:trPr>
          <w:trHeight w:val="1152"/>
          <w:jc w:val="center"/>
        </w:trPr>
        <w:tc>
          <w:tcPr>
            <w:tcW w:w="1946" w:type="dxa"/>
            <w:vMerge/>
            <w:vAlign w:val="center"/>
          </w:tcPr>
          <w:p w14:paraId="3E38FBA8"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vAlign w:val="center"/>
          </w:tcPr>
          <w:p w14:paraId="2B1B3B7E"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7c</w:t>
            </w:r>
          </w:p>
        </w:tc>
        <w:tc>
          <w:tcPr>
            <w:tcW w:w="7088" w:type="dxa"/>
            <w:vAlign w:val="center"/>
          </w:tcPr>
          <w:p w14:paraId="4EC613FC"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Provide information on the entry process:</w:t>
            </w:r>
          </w:p>
          <w:p w14:paraId="1FF981C4" w14:textId="4DC67D3B"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–&gt;For non-web-based surveys, provide approaches to minimize human error in data entry.</w:t>
            </w:r>
            <w:r w:rsidR="00997624">
              <w:rPr>
                <w:rFonts w:asciiTheme="minorHAnsi" w:hAnsiTheme="minorHAnsi" w:cstheme="minorHAnsi"/>
                <w:sz w:val="20"/>
                <w:szCs w:val="20"/>
              </w:rPr>
              <w:t xml:space="preserve">                                                                                                                                                             </w:t>
            </w:r>
          </w:p>
          <w:p w14:paraId="41F4002A" w14:textId="6813E71C" w:rsidR="009C4C5E" w:rsidRPr="009E29E8" w:rsidRDefault="009C4C5E" w:rsidP="00BE7425">
            <w:pPr>
              <w:widowControl w:val="0"/>
              <w:rPr>
                <w:rFonts w:asciiTheme="minorHAnsi" w:hAnsiTheme="minorHAnsi" w:cstheme="minorHAnsi"/>
                <w:b/>
                <w:bCs/>
                <w:sz w:val="20"/>
                <w:szCs w:val="20"/>
              </w:rPr>
            </w:pPr>
            <w:r w:rsidRPr="009E29E8">
              <w:rPr>
                <w:rFonts w:asciiTheme="minorHAnsi" w:hAnsiTheme="minorHAnsi" w:cstheme="minorHAnsi"/>
                <w:b/>
                <w:bCs/>
                <w:sz w:val="20"/>
                <w:szCs w:val="20"/>
              </w:rPr>
              <w:t>–&gt;For web-based surveys, provide approaches to prevent “multiple participation” of participants.</w:t>
            </w:r>
            <w:r w:rsidR="0070579D">
              <w:rPr>
                <w:rFonts w:asciiTheme="minorHAnsi" w:hAnsiTheme="minorHAnsi" w:cstheme="minorHAnsi"/>
                <w:b/>
                <w:bCs/>
                <w:sz w:val="20"/>
                <w:szCs w:val="20"/>
              </w:rPr>
              <w:t xml:space="preserve">                                                                                                                                                      </w:t>
            </w:r>
          </w:p>
        </w:tc>
        <w:tc>
          <w:tcPr>
            <w:tcW w:w="850" w:type="dxa"/>
          </w:tcPr>
          <w:p w14:paraId="69C38B2C" w14:textId="1B055093" w:rsidR="0070579D"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w:t>
            </w:r>
            <w:r w:rsidR="00997624">
              <w:rPr>
                <w:rFonts w:asciiTheme="minorHAnsi" w:hAnsiTheme="minorHAnsi" w:cstheme="minorHAnsi"/>
                <w:sz w:val="20"/>
                <w:szCs w:val="20"/>
              </w:rPr>
              <w:t xml:space="preserve">   </w:t>
            </w:r>
            <w:r w:rsidR="0070579D">
              <w:rPr>
                <w:rFonts w:asciiTheme="minorHAnsi" w:hAnsiTheme="minorHAnsi" w:cstheme="minorHAnsi"/>
                <w:sz w:val="20"/>
                <w:szCs w:val="20"/>
              </w:rPr>
              <w:t xml:space="preserve">         </w:t>
            </w:r>
            <w:r w:rsidR="00997624">
              <w:rPr>
                <w:rFonts w:asciiTheme="minorHAnsi" w:hAnsiTheme="minorHAnsi" w:cstheme="minorHAnsi"/>
                <w:sz w:val="20"/>
                <w:szCs w:val="20"/>
              </w:rPr>
              <w:t xml:space="preserve">              </w:t>
            </w:r>
            <w:r w:rsidRPr="009E29E8">
              <w:rPr>
                <w:rFonts w:asciiTheme="minorHAnsi" w:hAnsiTheme="minorHAnsi" w:cstheme="minorHAnsi"/>
                <w:sz w:val="20"/>
                <w:szCs w:val="20"/>
              </w:rPr>
              <w:t xml:space="preserve">          </w:t>
            </w:r>
            <w:r w:rsidR="007653B6" w:rsidRPr="009E29E8">
              <w:rPr>
                <w:rFonts w:asciiTheme="minorHAnsi" w:hAnsiTheme="minorHAnsi" w:cstheme="minorHAnsi"/>
                <w:sz w:val="20"/>
                <w:szCs w:val="20"/>
              </w:rPr>
              <w:t xml:space="preserve"> </w:t>
            </w:r>
            <w:r w:rsidR="00997624">
              <w:rPr>
                <w:rFonts w:asciiTheme="minorHAnsi" w:hAnsiTheme="minorHAnsi" w:cstheme="minorHAnsi"/>
                <w:sz w:val="20"/>
                <w:szCs w:val="20"/>
              </w:rPr>
              <w:t xml:space="preserve">   </w:t>
            </w:r>
            <w:r w:rsidR="009E29E8">
              <w:rPr>
                <w:rFonts w:asciiTheme="minorHAnsi" w:hAnsiTheme="minorHAnsi" w:cstheme="minorHAnsi"/>
                <w:sz w:val="20"/>
                <w:szCs w:val="20"/>
              </w:rPr>
              <w:t xml:space="preserve">     </w:t>
            </w:r>
            <w:r w:rsidR="007653B6" w:rsidRPr="009E29E8">
              <w:rPr>
                <w:rFonts w:asciiTheme="minorHAnsi" w:hAnsiTheme="minorHAnsi" w:cstheme="minorHAnsi"/>
                <w:sz w:val="20"/>
                <w:szCs w:val="20"/>
              </w:rPr>
              <w:t xml:space="preserve">      </w:t>
            </w:r>
            <w:r w:rsidR="0070579D">
              <w:rPr>
                <w:rFonts w:asciiTheme="minorHAnsi" w:hAnsiTheme="minorHAnsi" w:cstheme="minorHAnsi"/>
                <w:sz w:val="20"/>
                <w:szCs w:val="20"/>
              </w:rPr>
              <w:t xml:space="preserve">                       5</w:t>
            </w:r>
          </w:p>
          <w:p w14:paraId="48B71B6E" w14:textId="3C6AD6E9"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w:t>
            </w:r>
            <w:r w:rsidR="007653B6" w:rsidRPr="009E29E8">
              <w:rPr>
                <w:rFonts w:asciiTheme="minorHAnsi" w:hAnsiTheme="minorHAnsi" w:cstheme="minorHAnsi"/>
                <w:sz w:val="20"/>
                <w:szCs w:val="20"/>
              </w:rPr>
              <w:t xml:space="preserve">  </w:t>
            </w:r>
            <w:r w:rsidR="009E29E8">
              <w:rPr>
                <w:rFonts w:asciiTheme="minorHAnsi" w:hAnsiTheme="minorHAnsi" w:cstheme="minorHAnsi"/>
                <w:sz w:val="20"/>
                <w:szCs w:val="20"/>
              </w:rPr>
              <w:t xml:space="preserve">                   </w:t>
            </w:r>
            <w:r w:rsidR="007653B6" w:rsidRPr="009E29E8">
              <w:rPr>
                <w:rFonts w:asciiTheme="minorHAnsi" w:hAnsiTheme="minorHAnsi" w:cstheme="minorHAnsi"/>
                <w:sz w:val="20"/>
                <w:szCs w:val="20"/>
              </w:rPr>
              <w:t xml:space="preserve">  </w:t>
            </w:r>
            <w:r w:rsidRPr="009E29E8">
              <w:rPr>
                <w:rFonts w:asciiTheme="minorHAnsi" w:hAnsiTheme="minorHAnsi" w:cstheme="minorHAnsi"/>
                <w:sz w:val="20"/>
                <w:szCs w:val="20"/>
              </w:rPr>
              <w:t xml:space="preserve">     </w:t>
            </w:r>
            <w:r w:rsidR="007653B6" w:rsidRPr="009E29E8">
              <w:rPr>
                <w:rFonts w:asciiTheme="minorHAnsi" w:hAnsiTheme="minorHAnsi" w:cstheme="minorHAnsi"/>
                <w:sz w:val="20"/>
                <w:szCs w:val="20"/>
              </w:rPr>
              <w:t xml:space="preserve">            </w:t>
            </w:r>
            <w:r w:rsidRPr="009E29E8">
              <w:rPr>
                <w:rFonts w:asciiTheme="minorHAnsi" w:hAnsiTheme="minorHAnsi" w:cstheme="minorHAnsi"/>
                <w:sz w:val="20"/>
                <w:szCs w:val="20"/>
              </w:rPr>
              <w:t xml:space="preserve"> </w:t>
            </w:r>
          </w:p>
        </w:tc>
      </w:tr>
      <w:tr w:rsidR="009C4C5E" w:rsidRPr="009E29E8" w14:paraId="4067E381" w14:textId="77777777" w:rsidTr="00BE7425">
        <w:trPr>
          <w:trHeight w:val="583"/>
          <w:jc w:val="center"/>
        </w:trPr>
        <w:tc>
          <w:tcPr>
            <w:tcW w:w="1946" w:type="dxa"/>
            <w:vAlign w:val="center"/>
          </w:tcPr>
          <w:p w14:paraId="3D2FC69C" w14:textId="6E27D3A1"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Study preparation</w:t>
            </w:r>
          </w:p>
        </w:tc>
        <w:tc>
          <w:tcPr>
            <w:tcW w:w="425" w:type="dxa"/>
            <w:vAlign w:val="center"/>
          </w:tcPr>
          <w:p w14:paraId="6CE312EE"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8</w:t>
            </w:r>
          </w:p>
        </w:tc>
        <w:tc>
          <w:tcPr>
            <w:tcW w:w="7088" w:type="dxa"/>
            <w:vAlign w:val="center"/>
          </w:tcPr>
          <w:p w14:paraId="5E5A2082"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Describe any preparation process before conducting the survey (e.g., interviewers’ training process, advertising the survey).</w:t>
            </w:r>
          </w:p>
        </w:tc>
        <w:tc>
          <w:tcPr>
            <w:tcW w:w="850" w:type="dxa"/>
          </w:tcPr>
          <w:p w14:paraId="429DF25E"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5  </w:t>
            </w:r>
          </w:p>
        </w:tc>
      </w:tr>
      <w:tr w:rsidR="009C4C5E" w:rsidRPr="009E29E8" w14:paraId="42D13592" w14:textId="77777777" w:rsidTr="00BE7425">
        <w:trPr>
          <w:trHeight w:val="583"/>
          <w:jc w:val="center"/>
        </w:trPr>
        <w:tc>
          <w:tcPr>
            <w:tcW w:w="1946" w:type="dxa"/>
            <w:vMerge w:val="restart"/>
            <w:vAlign w:val="center"/>
          </w:tcPr>
          <w:p w14:paraId="6C8FA028"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Ethical considerations</w:t>
            </w:r>
          </w:p>
          <w:p w14:paraId="5D0005A2" w14:textId="77777777" w:rsidR="009C4C5E" w:rsidRPr="009E29E8" w:rsidRDefault="009C4C5E" w:rsidP="00BE7425">
            <w:pPr>
              <w:widowControl w:val="0"/>
              <w:rPr>
                <w:rFonts w:asciiTheme="minorHAnsi" w:hAnsiTheme="minorHAnsi" w:cstheme="minorHAnsi"/>
                <w:sz w:val="20"/>
                <w:szCs w:val="20"/>
              </w:rPr>
            </w:pPr>
          </w:p>
        </w:tc>
        <w:tc>
          <w:tcPr>
            <w:tcW w:w="425" w:type="dxa"/>
            <w:vAlign w:val="center"/>
          </w:tcPr>
          <w:p w14:paraId="64E4EF4A"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9a</w:t>
            </w:r>
          </w:p>
        </w:tc>
        <w:tc>
          <w:tcPr>
            <w:tcW w:w="7088" w:type="dxa"/>
            <w:vAlign w:val="center"/>
          </w:tcPr>
          <w:p w14:paraId="3DBCE91D"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Provide information on ethical approval for the survey if obtained, including informed consent, institutional review board [IRB] approval, Helsinki declaration, and good clinical practice [GCP] declaration (as appropriate).</w:t>
            </w:r>
          </w:p>
        </w:tc>
        <w:tc>
          <w:tcPr>
            <w:tcW w:w="850" w:type="dxa"/>
          </w:tcPr>
          <w:p w14:paraId="1347C159"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6       </w:t>
            </w:r>
          </w:p>
        </w:tc>
      </w:tr>
      <w:tr w:rsidR="009C4C5E" w:rsidRPr="009E29E8" w14:paraId="546D36FE" w14:textId="77777777" w:rsidTr="00BE7425">
        <w:trPr>
          <w:trHeight w:val="583"/>
          <w:jc w:val="center"/>
        </w:trPr>
        <w:tc>
          <w:tcPr>
            <w:tcW w:w="1946" w:type="dxa"/>
            <w:vMerge/>
            <w:vAlign w:val="center"/>
          </w:tcPr>
          <w:p w14:paraId="6F00EB64"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vAlign w:val="center"/>
          </w:tcPr>
          <w:p w14:paraId="115354DD"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9b</w:t>
            </w:r>
          </w:p>
        </w:tc>
        <w:tc>
          <w:tcPr>
            <w:tcW w:w="7088" w:type="dxa"/>
            <w:vAlign w:val="center"/>
          </w:tcPr>
          <w:p w14:paraId="44EB6DBD"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Provide information about survey anonymity and confidentiality and describe what mechanisms were used to protect unauthorized access.</w:t>
            </w:r>
          </w:p>
        </w:tc>
        <w:tc>
          <w:tcPr>
            <w:tcW w:w="850" w:type="dxa"/>
          </w:tcPr>
          <w:p w14:paraId="16DDC221"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6    </w:t>
            </w:r>
          </w:p>
        </w:tc>
      </w:tr>
      <w:tr w:rsidR="009C4C5E" w:rsidRPr="009E29E8" w14:paraId="3B9ECB92" w14:textId="77777777" w:rsidTr="00BE7425">
        <w:trPr>
          <w:trHeight w:val="583"/>
          <w:jc w:val="center"/>
        </w:trPr>
        <w:tc>
          <w:tcPr>
            <w:tcW w:w="1946" w:type="dxa"/>
            <w:vMerge w:val="restart"/>
            <w:vAlign w:val="center"/>
          </w:tcPr>
          <w:p w14:paraId="7CE3814A"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Statistical</w:t>
            </w:r>
          </w:p>
          <w:p w14:paraId="3EE3FDFA"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analysis</w:t>
            </w:r>
          </w:p>
        </w:tc>
        <w:tc>
          <w:tcPr>
            <w:tcW w:w="425" w:type="dxa"/>
            <w:vAlign w:val="center"/>
          </w:tcPr>
          <w:p w14:paraId="4B9330AB"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10a</w:t>
            </w:r>
          </w:p>
        </w:tc>
        <w:tc>
          <w:tcPr>
            <w:tcW w:w="7088" w:type="dxa"/>
            <w:vAlign w:val="center"/>
          </w:tcPr>
          <w:p w14:paraId="68BEE995"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Describe statistical methods and analytical approach. Report the statistical software that was used for data analysis.</w:t>
            </w:r>
          </w:p>
        </w:tc>
        <w:tc>
          <w:tcPr>
            <w:tcW w:w="850" w:type="dxa"/>
          </w:tcPr>
          <w:p w14:paraId="7F13F4AF"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N/A   </w:t>
            </w:r>
          </w:p>
        </w:tc>
      </w:tr>
      <w:tr w:rsidR="009C4C5E" w:rsidRPr="009E29E8" w14:paraId="457DE7F8" w14:textId="77777777" w:rsidTr="00BE7425">
        <w:trPr>
          <w:trHeight w:val="489"/>
          <w:jc w:val="center"/>
        </w:trPr>
        <w:tc>
          <w:tcPr>
            <w:tcW w:w="1946" w:type="dxa"/>
            <w:vMerge/>
            <w:vAlign w:val="center"/>
          </w:tcPr>
          <w:p w14:paraId="55F46C64"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vAlign w:val="center"/>
          </w:tcPr>
          <w:p w14:paraId="1CEF15B1"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10b</w:t>
            </w:r>
          </w:p>
        </w:tc>
        <w:tc>
          <w:tcPr>
            <w:tcW w:w="7088" w:type="dxa"/>
            <w:vAlign w:val="center"/>
          </w:tcPr>
          <w:p w14:paraId="1B1FE738"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Report any modification of variables used in the analysis, along with reference (if available).</w:t>
            </w:r>
          </w:p>
        </w:tc>
        <w:tc>
          <w:tcPr>
            <w:tcW w:w="850" w:type="dxa"/>
          </w:tcPr>
          <w:p w14:paraId="31F6007F"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N/A       </w:t>
            </w:r>
          </w:p>
        </w:tc>
      </w:tr>
      <w:tr w:rsidR="009C4C5E" w:rsidRPr="009E29E8" w14:paraId="56BAA9F7" w14:textId="77777777" w:rsidTr="00BE7425">
        <w:trPr>
          <w:trHeight w:val="583"/>
          <w:jc w:val="center"/>
        </w:trPr>
        <w:tc>
          <w:tcPr>
            <w:tcW w:w="1946" w:type="dxa"/>
            <w:vMerge/>
            <w:vAlign w:val="center"/>
          </w:tcPr>
          <w:p w14:paraId="0A38FB26"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vAlign w:val="center"/>
          </w:tcPr>
          <w:p w14:paraId="4707A36A"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10c</w:t>
            </w:r>
          </w:p>
        </w:tc>
        <w:tc>
          <w:tcPr>
            <w:tcW w:w="7088" w:type="dxa"/>
            <w:vAlign w:val="center"/>
          </w:tcPr>
          <w:p w14:paraId="0B1505B5"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Report details about how missing data was handled. Include rate of missing items, missing data mechanism (i.e., missing completely at random [MCAR], missing at random [MAR] or missing not at random [MNAR]) and methods used to deal with missing data (e.g., multiple imputation).</w:t>
            </w:r>
          </w:p>
        </w:tc>
        <w:tc>
          <w:tcPr>
            <w:tcW w:w="850" w:type="dxa"/>
          </w:tcPr>
          <w:p w14:paraId="4088AF52"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N/A              </w:t>
            </w:r>
          </w:p>
        </w:tc>
      </w:tr>
      <w:tr w:rsidR="009C4C5E" w:rsidRPr="009E29E8" w14:paraId="7D4118DD" w14:textId="77777777" w:rsidTr="00BE7425">
        <w:trPr>
          <w:trHeight w:val="583"/>
          <w:jc w:val="center"/>
        </w:trPr>
        <w:tc>
          <w:tcPr>
            <w:tcW w:w="1946" w:type="dxa"/>
            <w:vMerge/>
            <w:vAlign w:val="center"/>
          </w:tcPr>
          <w:p w14:paraId="52174604"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vAlign w:val="center"/>
          </w:tcPr>
          <w:p w14:paraId="61E5E6C3"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10d</w:t>
            </w:r>
          </w:p>
        </w:tc>
        <w:tc>
          <w:tcPr>
            <w:tcW w:w="7088" w:type="dxa"/>
            <w:vAlign w:val="center"/>
          </w:tcPr>
          <w:p w14:paraId="4BD2A27A"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State how non-response error was addressed.</w:t>
            </w:r>
          </w:p>
        </w:tc>
        <w:tc>
          <w:tcPr>
            <w:tcW w:w="850" w:type="dxa"/>
          </w:tcPr>
          <w:p w14:paraId="6AB001C7"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N/A     </w:t>
            </w:r>
          </w:p>
        </w:tc>
      </w:tr>
      <w:tr w:rsidR="009C4C5E" w:rsidRPr="009E29E8" w14:paraId="504543E8" w14:textId="77777777" w:rsidTr="00BE7425">
        <w:trPr>
          <w:trHeight w:val="583"/>
          <w:jc w:val="center"/>
        </w:trPr>
        <w:tc>
          <w:tcPr>
            <w:tcW w:w="1946" w:type="dxa"/>
            <w:vMerge/>
            <w:vAlign w:val="center"/>
          </w:tcPr>
          <w:p w14:paraId="4563D3DD"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vAlign w:val="center"/>
          </w:tcPr>
          <w:p w14:paraId="21C3AF9C"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10e</w:t>
            </w:r>
          </w:p>
        </w:tc>
        <w:tc>
          <w:tcPr>
            <w:tcW w:w="7088" w:type="dxa"/>
            <w:vAlign w:val="center"/>
          </w:tcPr>
          <w:p w14:paraId="6B34C3D8"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For longitudinal surveys, state how loss to follow-up was addressed.</w:t>
            </w:r>
          </w:p>
        </w:tc>
        <w:tc>
          <w:tcPr>
            <w:tcW w:w="850" w:type="dxa"/>
          </w:tcPr>
          <w:p w14:paraId="624A1CF1"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N/A        </w:t>
            </w:r>
          </w:p>
        </w:tc>
      </w:tr>
      <w:tr w:rsidR="009C4C5E" w:rsidRPr="009E29E8" w14:paraId="22B095FB" w14:textId="77777777" w:rsidTr="00BE7425">
        <w:trPr>
          <w:trHeight w:val="351"/>
          <w:jc w:val="center"/>
        </w:trPr>
        <w:tc>
          <w:tcPr>
            <w:tcW w:w="1946" w:type="dxa"/>
            <w:vMerge/>
            <w:vAlign w:val="center"/>
          </w:tcPr>
          <w:p w14:paraId="0C4B0CE0"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vAlign w:val="center"/>
          </w:tcPr>
          <w:p w14:paraId="3639AEF0"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10f</w:t>
            </w:r>
          </w:p>
        </w:tc>
        <w:tc>
          <w:tcPr>
            <w:tcW w:w="7088" w:type="dxa"/>
            <w:vAlign w:val="center"/>
          </w:tcPr>
          <w:p w14:paraId="5DF9048D"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Indicate whether any methods such as weighting of items or propensity scores have been used to adjust for non-representativeness of the sample.</w:t>
            </w:r>
          </w:p>
        </w:tc>
        <w:tc>
          <w:tcPr>
            <w:tcW w:w="850" w:type="dxa"/>
          </w:tcPr>
          <w:p w14:paraId="35308D7C"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N/A          </w:t>
            </w:r>
          </w:p>
        </w:tc>
      </w:tr>
      <w:tr w:rsidR="009C4C5E" w:rsidRPr="009E29E8" w14:paraId="3A907373" w14:textId="77777777" w:rsidTr="00BE7425">
        <w:trPr>
          <w:trHeight w:val="583"/>
          <w:jc w:val="center"/>
        </w:trPr>
        <w:tc>
          <w:tcPr>
            <w:tcW w:w="1946" w:type="dxa"/>
            <w:vMerge/>
            <w:tcBorders>
              <w:bottom w:val="single" w:sz="4" w:space="0" w:color="auto"/>
            </w:tcBorders>
            <w:vAlign w:val="center"/>
          </w:tcPr>
          <w:p w14:paraId="6B76800B"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tcBorders>
              <w:bottom w:val="single" w:sz="4" w:space="0" w:color="auto"/>
            </w:tcBorders>
            <w:vAlign w:val="center"/>
          </w:tcPr>
          <w:p w14:paraId="3C1B193D"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10g</w:t>
            </w:r>
          </w:p>
        </w:tc>
        <w:tc>
          <w:tcPr>
            <w:tcW w:w="7088" w:type="dxa"/>
            <w:tcBorders>
              <w:bottom w:val="single" w:sz="4" w:space="0" w:color="auto"/>
            </w:tcBorders>
            <w:vAlign w:val="center"/>
          </w:tcPr>
          <w:p w14:paraId="76A3FAB8"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Describe any sensitivity analysis conducted.</w:t>
            </w:r>
          </w:p>
        </w:tc>
        <w:tc>
          <w:tcPr>
            <w:tcW w:w="850" w:type="dxa"/>
            <w:tcBorders>
              <w:bottom w:val="single" w:sz="4" w:space="0" w:color="auto"/>
            </w:tcBorders>
          </w:tcPr>
          <w:p w14:paraId="0BD66294"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N/A        </w:t>
            </w:r>
          </w:p>
        </w:tc>
      </w:tr>
      <w:tr w:rsidR="009C4C5E" w:rsidRPr="009E29E8" w14:paraId="00617EBA" w14:textId="77777777" w:rsidTr="00BE7425">
        <w:trPr>
          <w:trHeight w:val="420"/>
          <w:jc w:val="center"/>
        </w:trPr>
        <w:tc>
          <w:tcPr>
            <w:tcW w:w="9459" w:type="dxa"/>
            <w:gridSpan w:val="3"/>
            <w:tcBorders>
              <w:top w:val="single" w:sz="4" w:space="0" w:color="auto"/>
              <w:bottom w:val="single" w:sz="4" w:space="0" w:color="auto"/>
            </w:tcBorders>
            <w:vAlign w:val="center"/>
          </w:tcPr>
          <w:p w14:paraId="52A9D8A5"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b/>
                <w:sz w:val="20"/>
                <w:szCs w:val="20"/>
              </w:rPr>
              <w:t>Results</w:t>
            </w:r>
          </w:p>
        </w:tc>
        <w:tc>
          <w:tcPr>
            <w:tcW w:w="850" w:type="dxa"/>
            <w:tcBorders>
              <w:top w:val="single" w:sz="4" w:space="0" w:color="auto"/>
              <w:bottom w:val="single" w:sz="4" w:space="0" w:color="auto"/>
            </w:tcBorders>
          </w:tcPr>
          <w:p w14:paraId="58E911EC" w14:textId="77777777" w:rsidR="009C4C5E" w:rsidRPr="009E29E8" w:rsidRDefault="009C4C5E" w:rsidP="00BE7425">
            <w:pPr>
              <w:widowControl w:val="0"/>
              <w:rPr>
                <w:rFonts w:asciiTheme="minorHAnsi" w:hAnsiTheme="minorHAnsi" w:cstheme="minorHAnsi"/>
                <w:b/>
                <w:sz w:val="20"/>
                <w:szCs w:val="20"/>
              </w:rPr>
            </w:pPr>
          </w:p>
        </w:tc>
      </w:tr>
      <w:tr w:rsidR="009C4C5E" w:rsidRPr="009E29E8" w14:paraId="7FF2676F" w14:textId="77777777" w:rsidTr="00BE7425">
        <w:trPr>
          <w:trHeight w:val="583"/>
          <w:jc w:val="center"/>
        </w:trPr>
        <w:tc>
          <w:tcPr>
            <w:tcW w:w="1946" w:type="dxa"/>
            <w:vMerge w:val="restart"/>
            <w:tcBorders>
              <w:top w:val="single" w:sz="4" w:space="0" w:color="auto"/>
            </w:tcBorders>
            <w:vAlign w:val="center"/>
          </w:tcPr>
          <w:p w14:paraId="37475FF1"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Respondent characteristics</w:t>
            </w:r>
          </w:p>
          <w:p w14:paraId="48386722" w14:textId="77777777" w:rsidR="009C4C5E" w:rsidRPr="009E29E8" w:rsidRDefault="009C4C5E" w:rsidP="00BE7425">
            <w:pPr>
              <w:widowControl w:val="0"/>
              <w:rPr>
                <w:rFonts w:asciiTheme="minorHAnsi" w:hAnsiTheme="minorHAnsi" w:cstheme="minorHAnsi"/>
                <w:sz w:val="20"/>
                <w:szCs w:val="20"/>
              </w:rPr>
            </w:pPr>
          </w:p>
        </w:tc>
        <w:tc>
          <w:tcPr>
            <w:tcW w:w="425" w:type="dxa"/>
            <w:tcBorders>
              <w:top w:val="single" w:sz="4" w:space="0" w:color="auto"/>
            </w:tcBorders>
            <w:vAlign w:val="center"/>
          </w:tcPr>
          <w:p w14:paraId="36D96FA0"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11a</w:t>
            </w:r>
          </w:p>
        </w:tc>
        <w:tc>
          <w:tcPr>
            <w:tcW w:w="7088" w:type="dxa"/>
            <w:tcBorders>
              <w:top w:val="single" w:sz="4" w:space="0" w:color="auto"/>
            </w:tcBorders>
            <w:vAlign w:val="center"/>
          </w:tcPr>
          <w:p w14:paraId="4E9C12A8"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Report numbers of individuals at each stage of the study. Consider using a flow diagram, if possible.</w:t>
            </w:r>
          </w:p>
        </w:tc>
        <w:tc>
          <w:tcPr>
            <w:tcW w:w="850" w:type="dxa"/>
            <w:tcBorders>
              <w:top w:val="single" w:sz="4" w:space="0" w:color="auto"/>
            </w:tcBorders>
          </w:tcPr>
          <w:p w14:paraId="5484A673"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N/A</w:t>
            </w:r>
          </w:p>
        </w:tc>
      </w:tr>
      <w:tr w:rsidR="009C4C5E" w:rsidRPr="009E29E8" w14:paraId="14F9DAB6" w14:textId="77777777" w:rsidTr="00BE7425">
        <w:trPr>
          <w:trHeight w:val="441"/>
          <w:jc w:val="center"/>
        </w:trPr>
        <w:tc>
          <w:tcPr>
            <w:tcW w:w="1946" w:type="dxa"/>
            <w:vMerge/>
            <w:vAlign w:val="center"/>
          </w:tcPr>
          <w:p w14:paraId="11770F7A"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vAlign w:val="center"/>
          </w:tcPr>
          <w:p w14:paraId="1F99826E"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11b</w:t>
            </w:r>
          </w:p>
        </w:tc>
        <w:tc>
          <w:tcPr>
            <w:tcW w:w="7088" w:type="dxa"/>
            <w:vAlign w:val="center"/>
          </w:tcPr>
          <w:p w14:paraId="5F2D77E5"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Provide reasons for non-participation at each stage, if possible.</w:t>
            </w:r>
          </w:p>
        </w:tc>
        <w:tc>
          <w:tcPr>
            <w:tcW w:w="850" w:type="dxa"/>
          </w:tcPr>
          <w:p w14:paraId="6E5D8666" w14:textId="77777777" w:rsidR="009C4C5E" w:rsidRPr="009E29E8" w:rsidDel="005F5180"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N/A     </w:t>
            </w:r>
          </w:p>
        </w:tc>
      </w:tr>
      <w:tr w:rsidR="009C4C5E" w:rsidRPr="009E29E8" w14:paraId="7849505C" w14:textId="77777777" w:rsidTr="00BE7425">
        <w:trPr>
          <w:trHeight w:val="682"/>
          <w:jc w:val="center"/>
        </w:trPr>
        <w:tc>
          <w:tcPr>
            <w:tcW w:w="1946" w:type="dxa"/>
            <w:vMerge/>
            <w:vAlign w:val="center"/>
          </w:tcPr>
          <w:p w14:paraId="50484212"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vAlign w:val="center"/>
          </w:tcPr>
          <w:p w14:paraId="7F1B9117"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11c</w:t>
            </w:r>
          </w:p>
        </w:tc>
        <w:tc>
          <w:tcPr>
            <w:tcW w:w="7088" w:type="dxa"/>
            <w:vAlign w:val="center"/>
          </w:tcPr>
          <w:p w14:paraId="5F9A166A"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Report response rate, present the definition of response rate or the formula used to calculate response rate.</w:t>
            </w:r>
          </w:p>
        </w:tc>
        <w:tc>
          <w:tcPr>
            <w:tcW w:w="850" w:type="dxa"/>
          </w:tcPr>
          <w:p w14:paraId="355AD27A"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6      </w:t>
            </w:r>
          </w:p>
        </w:tc>
      </w:tr>
      <w:tr w:rsidR="009C4C5E" w:rsidRPr="009E29E8" w14:paraId="28BA8CE0" w14:textId="77777777" w:rsidTr="00BE7425">
        <w:trPr>
          <w:trHeight w:val="841"/>
          <w:jc w:val="center"/>
        </w:trPr>
        <w:tc>
          <w:tcPr>
            <w:tcW w:w="1946" w:type="dxa"/>
            <w:vMerge/>
            <w:vAlign w:val="center"/>
          </w:tcPr>
          <w:p w14:paraId="2F9CC28C"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vAlign w:val="center"/>
          </w:tcPr>
          <w:p w14:paraId="2BE048B5"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11d</w:t>
            </w:r>
          </w:p>
        </w:tc>
        <w:tc>
          <w:tcPr>
            <w:tcW w:w="7088" w:type="dxa"/>
            <w:vAlign w:val="center"/>
          </w:tcPr>
          <w:p w14:paraId="5652050B"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Provide information to define how unique visitors are determined. Report number of unique visitors along with relevant proportions (e.g., view proportion, participation proportion, completion proportion).</w:t>
            </w:r>
          </w:p>
        </w:tc>
        <w:tc>
          <w:tcPr>
            <w:tcW w:w="850" w:type="dxa"/>
          </w:tcPr>
          <w:p w14:paraId="2398672A"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N/A        </w:t>
            </w:r>
          </w:p>
        </w:tc>
      </w:tr>
      <w:tr w:rsidR="009C4C5E" w:rsidRPr="009E29E8" w14:paraId="57A0240B" w14:textId="77777777" w:rsidTr="00BE7425">
        <w:trPr>
          <w:trHeight w:val="583"/>
          <w:jc w:val="center"/>
        </w:trPr>
        <w:tc>
          <w:tcPr>
            <w:tcW w:w="1946" w:type="dxa"/>
            <w:vAlign w:val="center"/>
          </w:tcPr>
          <w:p w14:paraId="17BB4651"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Descriptive</w:t>
            </w:r>
          </w:p>
          <w:p w14:paraId="06855C35"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results</w:t>
            </w:r>
          </w:p>
        </w:tc>
        <w:tc>
          <w:tcPr>
            <w:tcW w:w="425" w:type="dxa"/>
            <w:vAlign w:val="center"/>
          </w:tcPr>
          <w:p w14:paraId="452F1B5F"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12</w:t>
            </w:r>
          </w:p>
        </w:tc>
        <w:tc>
          <w:tcPr>
            <w:tcW w:w="7088" w:type="dxa"/>
            <w:vAlign w:val="center"/>
          </w:tcPr>
          <w:p w14:paraId="3B39D53E"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Provide characteristics of study participants, as well as information on potential confounders and assessed outcomes.</w:t>
            </w:r>
          </w:p>
        </w:tc>
        <w:tc>
          <w:tcPr>
            <w:tcW w:w="850" w:type="dxa"/>
          </w:tcPr>
          <w:p w14:paraId="34B67B2C"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5   </w:t>
            </w:r>
          </w:p>
        </w:tc>
      </w:tr>
      <w:tr w:rsidR="009C4C5E" w:rsidRPr="009E29E8" w14:paraId="204F6932" w14:textId="77777777" w:rsidTr="00BE7425">
        <w:trPr>
          <w:trHeight w:val="583"/>
          <w:jc w:val="center"/>
        </w:trPr>
        <w:tc>
          <w:tcPr>
            <w:tcW w:w="1946" w:type="dxa"/>
            <w:vMerge w:val="restart"/>
            <w:vAlign w:val="center"/>
          </w:tcPr>
          <w:p w14:paraId="3593AAC4"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Main findings</w:t>
            </w:r>
          </w:p>
        </w:tc>
        <w:tc>
          <w:tcPr>
            <w:tcW w:w="425" w:type="dxa"/>
            <w:vAlign w:val="center"/>
          </w:tcPr>
          <w:p w14:paraId="7D0AE2D6"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13a</w:t>
            </w:r>
          </w:p>
        </w:tc>
        <w:tc>
          <w:tcPr>
            <w:tcW w:w="7088" w:type="dxa"/>
            <w:vAlign w:val="center"/>
          </w:tcPr>
          <w:p w14:paraId="25AD3071"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Give unadjusted estimates and, if applicable, confounder-adjusted estimates along with 95% confidence intervals and p-values.</w:t>
            </w:r>
          </w:p>
        </w:tc>
        <w:tc>
          <w:tcPr>
            <w:tcW w:w="850" w:type="dxa"/>
          </w:tcPr>
          <w:p w14:paraId="00282CE8"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N/A       </w:t>
            </w:r>
          </w:p>
        </w:tc>
      </w:tr>
      <w:tr w:rsidR="009C4C5E" w:rsidRPr="009E29E8" w14:paraId="28B1E4BB" w14:textId="77777777" w:rsidTr="00BE7425">
        <w:trPr>
          <w:trHeight w:val="903"/>
          <w:jc w:val="center"/>
        </w:trPr>
        <w:tc>
          <w:tcPr>
            <w:tcW w:w="1946" w:type="dxa"/>
            <w:vMerge/>
            <w:vAlign w:val="center"/>
          </w:tcPr>
          <w:p w14:paraId="21835D63"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vAlign w:val="center"/>
          </w:tcPr>
          <w:p w14:paraId="47A265FF"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13b</w:t>
            </w:r>
          </w:p>
        </w:tc>
        <w:tc>
          <w:tcPr>
            <w:tcW w:w="7088" w:type="dxa"/>
            <w:vAlign w:val="center"/>
          </w:tcPr>
          <w:p w14:paraId="3C2FC8F8"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For multivariable analysis, provide information on the model building process, model fit statistics, and model assumptions (as appropriate). </w:t>
            </w:r>
          </w:p>
        </w:tc>
        <w:tc>
          <w:tcPr>
            <w:tcW w:w="850" w:type="dxa"/>
          </w:tcPr>
          <w:p w14:paraId="103DAA10"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N/A          </w:t>
            </w:r>
          </w:p>
        </w:tc>
      </w:tr>
      <w:tr w:rsidR="009C4C5E" w:rsidRPr="009E29E8" w14:paraId="1FB4FE78" w14:textId="77777777" w:rsidTr="00BE7425">
        <w:trPr>
          <w:trHeight w:val="406"/>
          <w:jc w:val="center"/>
        </w:trPr>
        <w:tc>
          <w:tcPr>
            <w:tcW w:w="1946" w:type="dxa"/>
            <w:vMerge/>
            <w:tcBorders>
              <w:bottom w:val="single" w:sz="4" w:space="0" w:color="auto"/>
            </w:tcBorders>
            <w:vAlign w:val="center"/>
          </w:tcPr>
          <w:p w14:paraId="4BA0A742" w14:textId="77777777" w:rsidR="009C4C5E" w:rsidRPr="009E29E8" w:rsidRDefault="009C4C5E" w:rsidP="00BE7425">
            <w:pPr>
              <w:widowControl w:val="0"/>
              <w:pBdr>
                <w:top w:val="single" w:sz="0" w:space="0" w:color="auto"/>
                <w:left w:val="single" w:sz="0" w:space="0" w:color="auto"/>
                <w:bottom w:val="single" w:sz="0" w:space="0" w:color="auto"/>
                <w:right w:val="single" w:sz="0" w:space="0" w:color="auto"/>
                <w:between w:val="single" w:sz="0" w:space="0" w:color="auto"/>
              </w:pBdr>
              <w:shd w:val="clear" w:color="040000" w:fill="auto"/>
              <w:spacing w:line="276" w:lineRule="auto"/>
              <w:rPr>
                <w:rFonts w:asciiTheme="minorHAnsi" w:hAnsiTheme="minorHAnsi" w:cstheme="minorHAnsi"/>
                <w:sz w:val="20"/>
                <w:szCs w:val="20"/>
              </w:rPr>
            </w:pPr>
          </w:p>
        </w:tc>
        <w:tc>
          <w:tcPr>
            <w:tcW w:w="425" w:type="dxa"/>
            <w:tcBorders>
              <w:bottom w:val="single" w:sz="4" w:space="0" w:color="auto"/>
            </w:tcBorders>
            <w:vAlign w:val="center"/>
          </w:tcPr>
          <w:p w14:paraId="6D3D7A32"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13c</w:t>
            </w:r>
          </w:p>
        </w:tc>
        <w:tc>
          <w:tcPr>
            <w:tcW w:w="7088" w:type="dxa"/>
            <w:tcBorders>
              <w:bottom w:val="single" w:sz="4" w:space="0" w:color="auto"/>
            </w:tcBorders>
            <w:vAlign w:val="center"/>
          </w:tcPr>
          <w:p w14:paraId="6A85CD97"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Provide details about any sensitivity analysis performed. If there are considerable amount of missing data, report sensitivity analyses comparing the results of complete cases with that of the imputed dataset (if possible).</w:t>
            </w:r>
          </w:p>
        </w:tc>
        <w:tc>
          <w:tcPr>
            <w:tcW w:w="850" w:type="dxa"/>
            <w:tcBorders>
              <w:bottom w:val="single" w:sz="4" w:space="0" w:color="auto"/>
            </w:tcBorders>
          </w:tcPr>
          <w:p w14:paraId="2A2D1CC2"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N/A       </w:t>
            </w:r>
          </w:p>
        </w:tc>
      </w:tr>
      <w:tr w:rsidR="009C4C5E" w:rsidRPr="009E29E8" w14:paraId="54A0E73A" w14:textId="77777777" w:rsidTr="00BE7425">
        <w:trPr>
          <w:trHeight w:val="406"/>
          <w:jc w:val="center"/>
        </w:trPr>
        <w:tc>
          <w:tcPr>
            <w:tcW w:w="9459" w:type="dxa"/>
            <w:gridSpan w:val="3"/>
            <w:tcBorders>
              <w:top w:val="single" w:sz="4" w:space="0" w:color="auto"/>
              <w:bottom w:val="single" w:sz="4" w:space="0" w:color="auto"/>
            </w:tcBorders>
            <w:vAlign w:val="center"/>
          </w:tcPr>
          <w:p w14:paraId="7D92F9B6"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b/>
                <w:sz w:val="20"/>
                <w:szCs w:val="20"/>
              </w:rPr>
              <w:t>Discussion</w:t>
            </w:r>
          </w:p>
        </w:tc>
        <w:tc>
          <w:tcPr>
            <w:tcW w:w="850" w:type="dxa"/>
            <w:tcBorders>
              <w:top w:val="single" w:sz="4" w:space="0" w:color="auto"/>
              <w:bottom w:val="single" w:sz="4" w:space="0" w:color="auto"/>
            </w:tcBorders>
          </w:tcPr>
          <w:p w14:paraId="0A82BD32" w14:textId="77777777" w:rsidR="009C4C5E" w:rsidRPr="009E29E8" w:rsidRDefault="009C4C5E" w:rsidP="00BE7425">
            <w:pPr>
              <w:widowControl w:val="0"/>
              <w:rPr>
                <w:rFonts w:asciiTheme="minorHAnsi" w:hAnsiTheme="minorHAnsi" w:cstheme="minorHAnsi"/>
                <w:b/>
                <w:sz w:val="20"/>
                <w:szCs w:val="20"/>
              </w:rPr>
            </w:pPr>
          </w:p>
        </w:tc>
      </w:tr>
      <w:tr w:rsidR="009C4C5E" w:rsidRPr="009E29E8" w14:paraId="196AB71E" w14:textId="77777777" w:rsidTr="00BE7425">
        <w:trPr>
          <w:trHeight w:val="406"/>
          <w:jc w:val="center"/>
        </w:trPr>
        <w:tc>
          <w:tcPr>
            <w:tcW w:w="1946" w:type="dxa"/>
            <w:tcBorders>
              <w:top w:val="single" w:sz="4" w:space="0" w:color="auto"/>
            </w:tcBorders>
            <w:vAlign w:val="center"/>
          </w:tcPr>
          <w:p w14:paraId="3BD38186"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Limitations</w:t>
            </w:r>
          </w:p>
        </w:tc>
        <w:tc>
          <w:tcPr>
            <w:tcW w:w="425" w:type="dxa"/>
            <w:tcBorders>
              <w:top w:val="single" w:sz="4" w:space="0" w:color="auto"/>
            </w:tcBorders>
            <w:vAlign w:val="center"/>
          </w:tcPr>
          <w:p w14:paraId="3C1CC945"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14</w:t>
            </w:r>
          </w:p>
        </w:tc>
        <w:tc>
          <w:tcPr>
            <w:tcW w:w="7088" w:type="dxa"/>
            <w:tcBorders>
              <w:top w:val="single" w:sz="4" w:space="0" w:color="auto"/>
            </w:tcBorders>
            <w:vAlign w:val="center"/>
          </w:tcPr>
          <w:p w14:paraId="376242DE"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Discuss the limitations of the study, considering sources of potential biases and imprecisions, such as non-representativeness of sample, study design, important uncontrolled confounders.</w:t>
            </w:r>
          </w:p>
        </w:tc>
        <w:tc>
          <w:tcPr>
            <w:tcW w:w="850" w:type="dxa"/>
            <w:tcBorders>
              <w:top w:val="single" w:sz="4" w:space="0" w:color="auto"/>
            </w:tcBorders>
          </w:tcPr>
          <w:p w14:paraId="4FAC2094"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12</w:t>
            </w:r>
          </w:p>
        </w:tc>
      </w:tr>
      <w:tr w:rsidR="009C4C5E" w:rsidRPr="009E29E8" w14:paraId="09390D23" w14:textId="77777777" w:rsidTr="00BE7425">
        <w:trPr>
          <w:trHeight w:val="406"/>
          <w:jc w:val="center"/>
        </w:trPr>
        <w:tc>
          <w:tcPr>
            <w:tcW w:w="1946" w:type="dxa"/>
            <w:vAlign w:val="center"/>
          </w:tcPr>
          <w:p w14:paraId="2DFFBC36"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Interpretations</w:t>
            </w:r>
          </w:p>
        </w:tc>
        <w:tc>
          <w:tcPr>
            <w:tcW w:w="425" w:type="dxa"/>
            <w:vAlign w:val="center"/>
          </w:tcPr>
          <w:p w14:paraId="46E433F1"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15</w:t>
            </w:r>
          </w:p>
        </w:tc>
        <w:tc>
          <w:tcPr>
            <w:tcW w:w="7088" w:type="dxa"/>
            <w:vAlign w:val="center"/>
          </w:tcPr>
          <w:p w14:paraId="3BA9739A"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Give a cautious overall interpretation of results, based on potential biases and                  imprecisions and suggest areas for future research.</w:t>
            </w:r>
          </w:p>
        </w:tc>
        <w:tc>
          <w:tcPr>
            <w:tcW w:w="850" w:type="dxa"/>
          </w:tcPr>
          <w:p w14:paraId="6EC4A69F"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10-12</w:t>
            </w:r>
          </w:p>
        </w:tc>
      </w:tr>
      <w:tr w:rsidR="009C4C5E" w:rsidRPr="009E29E8" w14:paraId="10A7FA0E" w14:textId="77777777" w:rsidTr="00BE7425">
        <w:trPr>
          <w:trHeight w:val="406"/>
          <w:jc w:val="center"/>
        </w:trPr>
        <w:tc>
          <w:tcPr>
            <w:tcW w:w="1946" w:type="dxa"/>
            <w:tcBorders>
              <w:bottom w:val="single" w:sz="4" w:space="0" w:color="auto"/>
            </w:tcBorders>
            <w:vAlign w:val="center"/>
          </w:tcPr>
          <w:p w14:paraId="6CB9B66D"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Generalizability</w:t>
            </w:r>
          </w:p>
        </w:tc>
        <w:tc>
          <w:tcPr>
            <w:tcW w:w="425" w:type="dxa"/>
            <w:tcBorders>
              <w:bottom w:val="single" w:sz="4" w:space="0" w:color="auto"/>
            </w:tcBorders>
            <w:vAlign w:val="center"/>
          </w:tcPr>
          <w:p w14:paraId="2B987513"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16</w:t>
            </w:r>
          </w:p>
        </w:tc>
        <w:tc>
          <w:tcPr>
            <w:tcW w:w="7088" w:type="dxa"/>
            <w:tcBorders>
              <w:bottom w:val="single" w:sz="4" w:space="0" w:color="auto"/>
            </w:tcBorders>
            <w:vAlign w:val="center"/>
          </w:tcPr>
          <w:p w14:paraId="12D02EF3"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Discuss the external validity of the results.                                                                                                               </w:t>
            </w:r>
          </w:p>
        </w:tc>
        <w:tc>
          <w:tcPr>
            <w:tcW w:w="850" w:type="dxa"/>
            <w:tcBorders>
              <w:bottom w:val="single" w:sz="4" w:space="0" w:color="auto"/>
            </w:tcBorders>
          </w:tcPr>
          <w:p w14:paraId="57A5D9F9"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5/10-12            </w:t>
            </w:r>
          </w:p>
        </w:tc>
      </w:tr>
      <w:tr w:rsidR="009C4C5E" w:rsidRPr="009E29E8" w14:paraId="7DAEA9E3" w14:textId="77777777" w:rsidTr="00BE7425">
        <w:trPr>
          <w:trHeight w:val="406"/>
          <w:jc w:val="center"/>
        </w:trPr>
        <w:tc>
          <w:tcPr>
            <w:tcW w:w="9459" w:type="dxa"/>
            <w:gridSpan w:val="3"/>
            <w:tcBorders>
              <w:top w:val="single" w:sz="4" w:space="0" w:color="auto"/>
              <w:bottom w:val="single" w:sz="4" w:space="0" w:color="auto"/>
            </w:tcBorders>
            <w:vAlign w:val="center"/>
          </w:tcPr>
          <w:p w14:paraId="1730A156"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b/>
                <w:sz w:val="20"/>
                <w:szCs w:val="20"/>
              </w:rPr>
              <w:t>Other sections</w:t>
            </w:r>
          </w:p>
        </w:tc>
        <w:tc>
          <w:tcPr>
            <w:tcW w:w="850" w:type="dxa"/>
            <w:tcBorders>
              <w:top w:val="single" w:sz="4" w:space="0" w:color="auto"/>
              <w:bottom w:val="single" w:sz="4" w:space="0" w:color="auto"/>
            </w:tcBorders>
          </w:tcPr>
          <w:p w14:paraId="3FAA2733" w14:textId="77777777" w:rsidR="009C4C5E" w:rsidRPr="009E29E8" w:rsidRDefault="009C4C5E" w:rsidP="00BE7425">
            <w:pPr>
              <w:widowControl w:val="0"/>
              <w:rPr>
                <w:rFonts w:asciiTheme="minorHAnsi" w:hAnsiTheme="minorHAnsi" w:cstheme="minorHAnsi"/>
                <w:b/>
                <w:sz w:val="20"/>
                <w:szCs w:val="20"/>
              </w:rPr>
            </w:pPr>
          </w:p>
        </w:tc>
      </w:tr>
      <w:tr w:rsidR="009C4C5E" w:rsidRPr="009E29E8" w14:paraId="766BED93" w14:textId="77777777" w:rsidTr="00BE7425">
        <w:trPr>
          <w:trHeight w:val="406"/>
          <w:jc w:val="center"/>
        </w:trPr>
        <w:tc>
          <w:tcPr>
            <w:tcW w:w="1946" w:type="dxa"/>
            <w:tcBorders>
              <w:top w:val="single" w:sz="4" w:space="0" w:color="auto"/>
            </w:tcBorders>
            <w:vAlign w:val="center"/>
          </w:tcPr>
          <w:p w14:paraId="30B86BEB"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Role of funding source</w:t>
            </w:r>
          </w:p>
        </w:tc>
        <w:tc>
          <w:tcPr>
            <w:tcW w:w="425" w:type="dxa"/>
            <w:tcBorders>
              <w:top w:val="single" w:sz="4" w:space="0" w:color="auto"/>
            </w:tcBorders>
            <w:vAlign w:val="center"/>
          </w:tcPr>
          <w:p w14:paraId="2E10D2FD"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17</w:t>
            </w:r>
          </w:p>
        </w:tc>
        <w:tc>
          <w:tcPr>
            <w:tcW w:w="7088" w:type="dxa"/>
            <w:tcBorders>
              <w:top w:val="single" w:sz="4" w:space="0" w:color="auto"/>
            </w:tcBorders>
            <w:vAlign w:val="center"/>
          </w:tcPr>
          <w:p w14:paraId="567B0BBA"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State whether any funding organization has had any roles in the survey’s design, implementation, and analysis.</w:t>
            </w:r>
          </w:p>
        </w:tc>
        <w:tc>
          <w:tcPr>
            <w:tcW w:w="850" w:type="dxa"/>
            <w:tcBorders>
              <w:top w:val="single" w:sz="4" w:space="0" w:color="auto"/>
            </w:tcBorders>
          </w:tcPr>
          <w:p w14:paraId="497DB3EA"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13         </w:t>
            </w:r>
          </w:p>
        </w:tc>
      </w:tr>
      <w:tr w:rsidR="009C4C5E" w:rsidRPr="009E29E8" w14:paraId="23EBA170" w14:textId="77777777" w:rsidTr="00BE7425">
        <w:trPr>
          <w:trHeight w:val="406"/>
          <w:jc w:val="center"/>
        </w:trPr>
        <w:tc>
          <w:tcPr>
            <w:tcW w:w="1946" w:type="dxa"/>
            <w:vAlign w:val="center"/>
          </w:tcPr>
          <w:p w14:paraId="25860AE1"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Conflict of interest</w:t>
            </w:r>
          </w:p>
        </w:tc>
        <w:tc>
          <w:tcPr>
            <w:tcW w:w="425" w:type="dxa"/>
            <w:vAlign w:val="center"/>
          </w:tcPr>
          <w:p w14:paraId="225C1190"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18</w:t>
            </w:r>
          </w:p>
        </w:tc>
        <w:tc>
          <w:tcPr>
            <w:tcW w:w="7088" w:type="dxa"/>
            <w:vAlign w:val="center"/>
          </w:tcPr>
          <w:p w14:paraId="411A8127"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Declare any potential conflict of interest.</w:t>
            </w:r>
          </w:p>
        </w:tc>
        <w:tc>
          <w:tcPr>
            <w:tcW w:w="850" w:type="dxa"/>
          </w:tcPr>
          <w:p w14:paraId="30D985B8"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12       </w:t>
            </w:r>
          </w:p>
        </w:tc>
      </w:tr>
      <w:tr w:rsidR="009C4C5E" w:rsidRPr="009E29E8" w14:paraId="7B408C49" w14:textId="77777777" w:rsidTr="00BE7425">
        <w:trPr>
          <w:trHeight w:val="406"/>
          <w:jc w:val="center"/>
        </w:trPr>
        <w:tc>
          <w:tcPr>
            <w:tcW w:w="1946" w:type="dxa"/>
            <w:tcBorders>
              <w:bottom w:val="single" w:sz="4" w:space="0" w:color="auto"/>
            </w:tcBorders>
            <w:vAlign w:val="center"/>
          </w:tcPr>
          <w:p w14:paraId="219D0501"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Acknowledgements</w:t>
            </w:r>
          </w:p>
        </w:tc>
        <w:tc>
          <w:tcPr>
            <w:tcW w:w="425" w:type="dxa"/>
            <w:tcBorders>
              <w:bottom w:val="single" w:sz="4" w:space="0" w:color="auto"/>
            </w:tcBorders>
            <w:vAlign w:val="center"/>
          </w:tcPr>
          <w:p w14:paraId="1FD5BD80"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19</w:t>
            </w:r>
          </w:p>
        </w:tc>
        <w:tc>
          <w:tcPr>
            <w:tcW w:w="7088" w:type="dxa"/>
            <w:tcBorders>
              <w:bottom w:val="single" w:sz="4" w:space="0" w:color="auto"/>
            </w:tcBorders>
            <w:vAlign w:val="center"/>
          </w:tcPr>
          <w:p w14:paraId="65D38B93" w14:textId="77777777" w:rsidR="009C4C5E" w:rsidRPr="009E29E8"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Provide names of organizations/persons that are acknowledged along with their contribution to the research.</w:t>
            </w:r>
          </w:p>
        </w:tc>
        <w:tc>
          <w:tcPr>
            <w:tcW w:w="850" w:type="dxa"/>
            <w:tcBorders>
              <w:bottom w:val="single" w:sz="4" w:space="0" w:color="auto"/>
            </w:tcBorders>
          </w:tcPr>
          <w:p w14:paraId="7F9E6974" w14:textId="77777777" w:rsidR="009C4C5E" w:rsidRPr="009E29E8" w:rsidDel="001E61EB" w:rsidRDefault="009C4C5E" w:rsidP="00BE7425">
            <w:pPr>
              <w:widowControl w:val="0"/>
              <w:rPr>
                <w:rFonts w:asciiTheme="minorHAnsi" w:hAnsiTheme="minorHAnsi" w:cstheme="minorHAnsi"/>
                <w:sz w:val="20"/>
                <w:szCs w:val="20"/>
              </w:rPr>
            </w:pPr>
            <w:r w:rsidRPr="009E29E8">
              <w:rPr>
                <w:rFonts w:asciiTheme="minorHAnsi" w:hAnsiTheme="minorHAnsi" w:cstheme="minorHAnsi"/>
                <w:sz w:val="20"/>
                <w:szCs w:val="20"/>
              </w:rPr>
              <w:t xml:space="preserve">           N/A    </w:t>
            </w:r>
          </w:p>
        </w:tc>
      </w:tr>
    </w:tbl>
    <w:p w14:paraId="434DDEC3" w14:textId="77777777" w:rsidR="009C4C5E" w:rsidRPr="009E29E8" w:rsidRDefault="009C4C5E" w:rsidP="00F46373">
      <w:pPr>
        <w:rPr>
          <w:rFonts w:asciiTheme="minorHAnsi" w:hAnsiTheme="minorHAnsi" w:cstheme="minorHAnsi"/>
          <w:b/>
          <w:bCs/>
          <w:sz w:val="20"/>
          <w:szCs w:val="20"/>
        </w:rPr>
      </w:pPr>
    </w:p>
    <w:sectPr w:rsidR="009C4C5E" w:rsidRPr="009E29E8" w:rsidSect="00B26A58">
      <w:headerReference w:type="default" r:id="rId84"/>
      <w:footerReference w:type="default" r:id="rId85"/>
      <w:pgSz w:w="11907" w:h="16839" w:code="1"/>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A4D70F" w14:textId="77777777" w:rsidR="003659FF" w:rsidRDefault="003659FF">
      <w:r>
        <w:separator/>
      </w:r>
    </w:p>
  </w:endnote>
  <w:endnote w:type="continuationSeparator" w:id="0">
    <w:p w14:paraId="4321502D" w14:textId="77777777" w:rsidR="003659FF" w:rsidRDefault="003659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81487649"/>
      <w:docPartObj>
        <w:docPartGallery w:val="Page Numbers (Bottom of Page)"/>
        <w:docPartUnique/>
      </w:docPartObj>
    </w:sdtPr>
    <w:sdtEndPr>
      <w:rPr>
        <w:noProof/>
      </w:rPr>
    </w:sdtEndPr>
    <w:sdtContent>
      <w:p w14:paraId="38A78274" w14:textId="77777777" w:rsidR="00436850" w:rsidRDefault="00436850">
        <w:pPr>
          <w:pStyle w:val="Footer"/>
        </w:pPr>
        <w:r>
          <w:t xml:space="preserve">Page | </w:t>
        </w:r>
        <w:r>
          <w:fldChar w:fldCharType="begin"/>
        </w:r>
        <w:r>
          <w:instrText xml:space="preserve"> PAGE   \* MERGEFORMAT </w:instrText>
        </w:r>
        <w:r>
          <w:fldChar w:fldCharType="separate"/>
        </w:r>
        <w:r w:rsidR="00252977">
          <w:rPr>
            <w:noProof/>
          </w:rPr>
          <w:t>1</w:t>
        </w:r>
        <w:r>
          <w:rPr>
            <w:noProof/>
          </w:rPr>
          <w:fldChar w:fldCharType="end"/>
        </w:r>
      </w:p>
    </w:sdtContent>
  </w:sdt>
  <w:p w14:paraId="38A78275" w14:textId="77777777" w:rsidR="00D3567B" w:rsidRDefault="00D3567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72BA01" w14:textId="77777777" w:rsidR="003659FF" w:rsidRDefault="003659FF">
      <w:r>
        <w:separator/>
      </w:r>
    </w:p>
  </w:footnote>
  <w:footnote w:type="continuationSeparator" w:id="0">
    <w:p w14:paraId="14FF91E0" w14:textId="77777777" w:rsidR="003659FF" w:rsidRDefault="003659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F49390" w14:textId="2F4C8198" w:rsidR="00F01FF4" w:rsidRPr="00022DA1" w:rsidRDefault="007C2E5E" w:rsidP="00022DA1">
    <w:pPr>
      <w:pStyle w:val="Header"/>
      <w:jc w:val="right"/>
      <w:rPr>
        <w:rFonts w:asciiTheme="minorHAnsi" w:hAnsiTheme="minorHAnsi" w:cstheme="minorHAnsi"/>
        <w:sz w:val="18"/>
        <w:szCs w:val="18"/>
        <w:lang w:val="en-IE"/>
      </w:rPr>
    </w:pPr>
    <w:r w:rsidRPr="00022DA1">
      <w:rPr>
        <w:rFonts w:asciiTheme="minorHAnsi" w:hAnsiTheme="minorHAnsi" w:cstheme="minorHAnsi"/>
        <w:sz w:val="18"/>
        <w:szCs w:val="18"/>
        <w:lang w:val="en-IE"/>
      </w:rPr>
      <w:t>05/07/2024 M. Kennedy</w:t>
    </w:r>
    <w:r w:rsidR="00022DA1" w:rsidRPr="00022DA1">
      <w:rPr>
        <w:rFonts w:asciiTheme="minorHAnsi" w:hAnsiTheme="minorHAnsi" w:cstheme="minorHAnsi"/>
        <w:sz w:val="18"/>
        <w:szCs w:val="18"/>
        <w:lang w:val="en-IE"/>
      </w:rPr>
      <w:t xml:space="preserve"> (</w:t>
    </w:r>
    <w:sdt>
      <w:sdtPr>
        <w:rPr>
          <w:rFonts w:asciiTheme="minorHAnsi" w:hAnsiTheme="minorHAnsi" w:cstheme="minorHAnsi"/>
          <w:sz w:val="18"/>
          <w:szCs w:val="18"/>
        </w:rPr>
        <w:id w:val="-1944369574"/>
        <w:placeholder>
          <w:docPart w:val="15DB32661316451CA401D8B9C535AE7B"/>
        </w:placeholder>
      </w:sdtPr>
      <w:sdtContent>
        <w:r w:rsidR="00022DA1" w:rsidRPr="00022DA1">
          <w:rPr>
            <w:rFonts w:asciiTheme="minorHAnsi" w:hAnsiTheme="minorHAnsi" w:cstheme="minorHAnsi"/>
            <w:sz w:val="18"/>
            <w:szCs w:val="18"/>
          </w:rPr>
          <w:t>25102826</w:t>
        </w:r>
      </w:sdtContent>
    </w:sdt>
    <w:r w:rsidR="00022DA1" w:rsidRPr="00022DA1">
      <w:rPr>
        <w:rFonts w:asciiTheme="minorHAnsi" w:hAnsiTheme="minorHAnsi" w:cstheme="minorHAnsi"/>
        <w:sz w:val="18"/>
        <w:szCs w:val="18"/>
      </w:rPr>
      <w:t>)</w:t>
    </w:r>
    <w:r w:rsidRPr="00022DA1">
      <w:rPr>
        <w:rFonts w:asciiTheme="minorHAnsi" w:hAnsiTheme="minorHAnsi" w:cstheme="minorHAnsi"/>
        <w:sz w:val="18"/>
        <w:szCs w:val="18"/>
        <w:lang w:val="en-IE"/>
      </w:rPr>
      <w:t xml:space="preserve"> Nurse Education in Practice Article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3E21725"/>
    <w:multiLevelType w:val="hybridMultilevel"/>
    <w:tmpl w:val="43FED27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35163A16"/>
    <w:multiLevelType w:val="hybridMultilevel"/>
    <w:tmpl w:val="5F362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53427965">
    <w:abstractNumId w:val="0"/>
  </w:num>
  <w:num w:numId="2" w16cid:durableId="14983045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2977"/>
    <w:rsid w:val="00016529"/>
    <w:rsid w:val="00022DA1"/>
    <w:rsid w:val="000336F6"/>
    <w:rsid w:val="0004489F"/>
    <w:rsid w:val="00045219"/>
    <w:rsid w:val="000515B3"/>
    <w:rsid w:val="00084BF0"/>
    <w:rsid w:val="0009423E"/>
    <w:rsid w:val="00097929"/>
    <w:rsid w:val="000B1BA7"/>
    <w:rsid w:val="000B6C11"/>
    <w:rsid w:val="000C6132"/>
    <w:rsid w:val="00100475"/>
    <w:rsid w:val="001025DE"/>
    <w:rsid w:val="00107A4F"/>
    <w:rsid w:val="00132D72"/>
    <w:rsid w:val="00137E28"/>
    <w:rsid w:val="00141750"/>
    <w:rsid w:val="001470EE"/>
    <w:rsid w:val="00150B62"/>
    <w:rsid w:val="00151518"/>
    <w:rsid w:val="00153908"/>
    <w:rsid w:val="001655B6"/>
    <w:rsid w:val="00170356"/>
    <w:rsid w:val="001A367C"/>
    <w:rsid w:val="001B0D23"/>
    <w:rsid w:val="001B15A0"/>
    <w:rsid w:val="001C2A6B"/>
    <w:rsid w:val="001C2B47"/>
    <w:rsid w:val="001C6274"/>
    <w:rsid w:val="001E536B"/>
    <w:rsid w:val="00223A0E"/>
    <w:rsid w:val="00231F4D"/>
    <w:rsid w:val="00234CF5"/>
    <w:rsid w:val="00252977"/>
    <w:rsid w:val="00255895"/>
    <w:rsid w:val="00256793"/>
    <w:rsid w:val="002605F5"/>
    <w:rsid w:val="0026390A"/>
    <w:rsid w:val="00276C1C"/>
    <w:rsid w:val="00281723"/>
    <w:rsid w:val="002C3E7F"/>
    <w:rsid w:val="002C5A64"/>
    <w:rsid w:val="002C76E2"/>
    <w:rsid w:val="002F4D79"/>
    <w:rsid w:val="00331839"/>
    <w:rsid w:val="003449AB"/>
    <w:rsid w:val="003659FF"/>
    <w:rsid w:val="003706AD"/>
    <w:rsid w:val="0038526C"/>
    <w:rsid w:val="0038589C"/>
    <w:rsid w:val="00385B1C"/>
    <w:rsid w:val="00393DD8"/>
    <w:rsid w:val="00394FFF"/>
    <w:rsid w:val="003C0B80"/>
    <w:rsid w:val="003D14A6"/>
    <w:rsid w:val="003E1444"/>
    <w:rsid w:val="003F4B89"/>
    <w:rsid w:val="00402772"/>
    <w:rsid w:val="004054E1"/>
    <w:rsid w:val="00415E77"/>
    <w:rsid w:val="00426161"/>
    <w:rsid w:val="00436850"/>
    <w:rsid w:val="004467F1"/>
    <w:rsid w:val="00446CC2"/>
    <w:rsid w:val="00475F56"/>
    <w:rsid w:val="00483526"/>
    <w:rsid w:val="0049490F"/>
    <w:rsid w:val="004E0CAB"/>
    <w:rsid w:val="00506C9D"/>
    <w:rsid w:val="00506DA5"/>
    <w:rsid w:val="00517F8E"/>
    <w:rsid w:val="00542B58"/>
    <w:rsid w:val="00591A1E"/>
    <w:rsid w:val="00592FE4"/>
    <w:rsid w:val="005A7C0F"/>
    <w:rsid w:val="005B7818"/>
    <w:rsid w:val="005C75F8"/>
    <w:rsid w:val="005F3686"/>
    <w:rsid w:val="005F6E4B"/>
    <w:rsid w:val="00600CC0"/>
    <w:rsid w:val="00641F4E"/>
    <w:rsid w:val="00643811"/>
    <w:rsid w:val="00681C1D"/>
    <w:rsid w:val="00696A63"/>
    <w:rsid w:val="006B7DFA"/>
    <w:rsid w:val="006C3072"/>
    <w:rsid w:val="0070579D"/>
    <w:rsid w:val="00705F6B"/>
    <w:rsid w:val="00716D32"/>
    <w:rsid w:val="00724CC3"/>
    <w:rsid w:val="00735BA5"/>
    <w:rsid w:val="00740EE5"/>
    <w:rsid w:val="00753CC3"/>
    <w:rsid w:val="007653B6"/>
    <w:rsid w:val="00781B23"/>
    <w:rsid w:val="00783CF0"/>
    <w:rsid w:val="007C2E5E"/>
    <w:rsid w:val="007C6F0D"/>
    <w:rsid w:val="00810E60"/>
    <w:rsid w:val="00812903"/>
    <w:rsid w:val="00845A57"/>
    <w:rsid w:val="008519B5"/>
    <w:rsid w:val="00854627"/>
    <w:rsid w:val="00856F32"/>
    <w:rsid w:val="00861F7E"/>
    <w:rsid w:val="008D0242"/>
    <w:rsid w:val="008F431B"/>
    <w:rsid w:val="008F6372"/>
    <w:rsid w:val="00907FAC"/>
    <w:rsid w:val="00910AE2"/>
    <w:rsid w:val="00926637"/>
    <w:rsid w:val="00941E6B"/>
    <w:rsid w:val="00947859"/>
    <w:rsid w:val="00981193"/>
    <w:rsid w:val="00987601"/>
    <w:rsid w:val="00997624"/>
    <w:rsid w:val="009B2184"/>
    <w:rsid w:val="009B6881"/>
    <w:rsid w:val="009C4C5E"/>
    <w:rsid w:val="009E29E8"/>
    <w:rsid w:val="009E2C9B"/>
    <w:rsid w:val="009F4B44"/>
    <w:rsid w:val="00A1040A"/>
    <w:rsid w:val="00A35D03"/>
    <w:rsid w:val="00A57FC4"/>
    <w:rsid w:val="00A71002"/>
    <w:rsid w:val="00A75D08"/>
    <w:rsid w:val="00AC151B"/>
    <w:rsid w:val="00AC60DA"/>
    <w:rsid w:val="00AD53B2"/>
    <w:rsid w:val="00AD6A73"/>
    <w:rsid w:val="00AD71AC"/>
    <w:rsid w:val="00AE0176"/>
    <w:rsid w:val="00AE45B5"/>
    <w:rsid w:val="00AF65A2"/>
    <w:rsid w:val="00AF68B9"/>
    <w:rsid w:val="00B175CD"/>
    <w:rsid w:val="00B221AE"/>
    <w:rsid w:val="00B26A58"/>
    <w:rsid w:val="00B37DA1"/>
    <w:rsid w:val="00B54C23"/>
    <w:rsid w:val="00B90F41"/>
    <w:rsid w:val="00B95CDD"/>
    <w:rsid w:val="00BA4151"/>
    <w:rsid w:val="00BC5730"/>
    <w:rsid w:val="00BD165E"/>
    <w:rsid w:val="00BE07C8"/>
    <w:rsid w:val="00BE29A4"/>
    <w:rsid w:val="00BE41C3"/>
    <w:rsid w:val="00BE7425"/>
    <w:rsid w:val="00C0061B"/>
    <w:rsid w:val="00C1479A"/>
    <w:rsid w:val="00C14AC6"/>
    <w:rsid w:val="00C73C7D"/>
    <w:rsid w:val="00C7651F"/>
    <w:rsid w:val="00C96496"/>
    <w:rsid w:val="00CC30A9"/>
    <w:rsid w:val="00CE0500"/>
    <w:rsid w:val="00CE1A03"/>
    <w:rsid w:val="00CE2E32"/>
    <w:rsid w:val="00CF3AF0"/>
    <w:rsid w:val="00D20DE8"/>
    <w:rsid w:val="00D3567B"/>
    <w:rsid w:val="00D46189"/>
    <w:rsid w:val="00D600A5"/>
    <w:rsid w:val="00D659D6"/>
    <w:rsid w:val="00D826CA"/>
    <w:rsid w:val="00DA4898"/>
    <w:rsid w:val="00DB5781"/>
    <w:rsid w:val="00DD1108"/>
    <w:rsid w:val="00DF1632"/>
    <w:rsid w:val="00DF676E"/>
    <w:rsid w:val="00E07359"/>
    <w:rsid w:val="00E118A0"/>
    <w:rsid w:val="00E365E8"/>
    <w:rsid w:val="00E5654C"/>
    <w:rsid w:val="00E57AA7"/>
    <w:rsid w:val="00E83E83"/>
    <w:rsid w:val="00E8643C"/>
    <w:rsid w:val="00E954C2"/>
    <w:rsid w:val="00EA0F14"/>
    <w:rsid w:val="00EC38CE"/>
    <w:rsid w:val="00ED4809"/>
    <w:rsid w:val="00EF0D32"/>
    <w:rsid w:val="00F01FF4"/>
    <w:rsid w:val="00F0433E"/>
    <w:rsid w:val="00F3342C"/>
    <w:rsid w:val="00F4126F"/>
    <w:rsid w:val="00F46373"/>
    <w:rsid w:val="00F46956"/>
    <w:rsid w:val="00F559AE"/>
    <w:rsid w:val="00F64D81"/>
    <w:rsid w:val="00FA1E88"/>
    <w:rsid w:val="00FA2D77"/>
    <w:rsid w:val="00FB0245"/>
    <w:rsid w:val="00FB31D9"/>
    <w:rsid w:val="00FB70C6"/>
    <w:rsid w:val="00FE18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8A7822D"/>
  <w15:chartTrackingRefBased/>
  <w15:docId w15:val="{177FD7A0-E736-4EA8-8154-AE009BCDA5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3567B"/>
    <w:rPr>
      <w:sz w:val="24"/>
      <w:szCs w:val="24"/>
      <w:lang w:eastAsia="en-US"/>
    </w:rPr>
  </w:style>
  <w:style w:type="paragraph" w:styleId="Heading1">
    <w:name w:val="heading 1"/>
    <w:basedOn w:val="Normal"/>
    <w:next w:val="Normal"/>
    <w:qFormat/>
    <w:rsid w:val="00D3567B"/>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D3567B"/>
    <w:pPr>
      <w:keepNext/>
      <w:spacing w:before="240" w:after="60"/>
      <w:outlineLvl w:val="1"/>
    </w:pPr>
    <w:rPr>
      <w:rFonts w:ascii="Arial" w:hAnsi="Arial" w:cs="Arial"/>
      <w:b/>
      <w:bCs/>
      <w:sz w:val="22"/>
      <w:szCs w:val="28"/>
    </w:rPr>
  </w:style>
  <w:style w:type="paragraph" w:styleId="Heading3">
    <w:name w:val="heading 3"/>
    <w:basedOn w:val="Normal"/>
    <w:next w:val="Normal"/>
    <w:qFormat/>
    <w:rsid w:val="00D3567B"/>
    <w:pPr>
      <w:keepNext/>
      <w:outlineLvl w:val="2"/>
    </w:pPr>
    <w:rPr>
      <w:b/>
      <w:b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781B23"/>
    <w:pPr>
      <w:tabs>
        <w:tab w:val="center" w:pos="4320"/>
        <w:tab w:val="right" w:pos="8640"/>
      </w:tabs>
    </w:pPr>
  </w:style>
  <w:style w:type="character" w:styleId="HTMLKeyboard">
    <w:name w:val="HTML Keyboard"/>
    <w:basedOn w:val="DefaultParagraphFont"/>
    <w:rsid w:val="00D3567B"/>
    <w:rPr>
      <w:rFonts w:ascii="Courier New" w:hAnsi="Courier New"/>
      <w:sz w:val="20"/>
      <w:szCs w:val="20"/>
    </w:rPr>
  </w:style>
  <w:style w:type="character" w:styleId="PageNumber">
    <w:name w:val="page number"/>
    <w:basedOn w:val="DefaultParagraphFont"/>
    <w:rsid w:val="00781B23"/>
  </w:style>
  <w:style w:type="character" w:styleId="LineNumber">
    <w:name w:val="line number"/>
    <w:basedOn w:val="DefaultParagraphFont"/>
    <w:rsid w:val="00781B23"/>
  </w:style>
  <w:style w:type="paragraph" w:styleId="Footer">
    <w:name w:val="footer"/>
    <w:basedOn w:val="Normal"/>
    <w:link w:val="FooterChar"/>
    <w:uiPriority w:val="99"/>
    <w:rsid w:val="00781B23"/>
    <w:pPr>
      <w:tabs>
        <w:tab w:val="center" w:pos="4320"/>
        <w:tab w:val="right" w:pos="8640"/>
      </w:tabs>
    </w:pPr>
  </w:style>
  <w:style w:type="paragraph" w:styleId="NormalWeb">
    <w:name w:val="Normal (Web)"/>
    <w:basedOn w:val="Normal"/>
    <w:rsid w:val="00D3567B"/>
    <w:pPr>
      <w:spacing w:before="100" w:beforeAutospacing="1" w:after="100" w:afterAutospacing="1"/>
    </w:pPr>
    <w:rPr>
      <w:rFonts w:ascii="Arial Unicode MS" w:eastAsia="Arial Unicode MS" w:hAnsi="Arial Unicode MS" w:cs="Arial Unicode MS"/>
    </w:rPr>
  </w:style>
  <w:style w:type="paragraph" w:styleId="BodyTextIndent">
    <w:name w:val="Body Text Indent"/>
    <w:basedOn w:val="Normal"/>
    <w:rsid w:val="00D3567B"/>
    <w:pPr>
      <w:ind w:left="720"/>
    </w:pPr>
  </w:style>
  <w:style w:type="character" w:customStyle="1" w:styleId="entity1">
    <w:name w:val="entity1"/>
    <w:basedOn w:val="DefaultParagraphFont"/>
    <w:rsid w:val="00D3567B"/>
    <w:rPr>
      <w:rFonts w:ascii="Times New Roman" w:hAnsi="Times New Roman" w:cs="Times New Roman" w:hint="default"/>
    </w:rPr>
  </w:style>
  <w:style w:type="paragraph" w:customStyle="1" w:styleId="justify">
    <w:name w:val="justify"/>
    <w:basedOn w:val="Normal"/>
    <w:rsid w:val="00D3567B"/>
    <w:pPr>
      <w:spacing w:before="100" w:beforeAutospacing="1" w:after="100" w:afterAutospacing="1"/>
      <w:jc w:val="both"/>
    </w:pPr>
    <w:rPr>
      <w:rFonts w:ascii="Verdana" w:eastAsia="Arial Unicode MS" w:hAnsi="Verdana" w:cs="Arial Unicode MS"/>
      <w:sz w:val="20"/>
      <w:szCs w:val="20"/>
    </w:rPr>
  </w:style>
  <w:style w:type="character" w:customStyle="1" w:styleId="smallhead">
    <w:name w:val="smallhead"/>
    <w:basedOn w:val="DefaultParagraphFont"/>
    <w:rsid w:val="00D3567B"/>
  </w:style>
  <w:style w:type="paragraph" w:customStyle="1" w:styleId="Default">
    <w:name w:val="Default"/>
    <w:rsid w:val="00EC38CE"/>
    <w:pPr>
      <w:autoSpaceDE w:val="0"/>
      <w:autoSpaceDN w:val="0"/>
      <w:adjustRightInd w:val="0"/>
    </w:pPr>
    <w:rPr>
      <w:color w:val="000000"/>
      <w:sz w:val="24"/>
      <w:szCs w:val="24"/>
    </w:rPr>
  </w:style>
  <w:style w:type="character" w:styleId="Hyperlink">
    <w:name w:val="Hyperlink"/>
    <w:basedOn w:val="DefaultParagraphFont"/>
    <w:rsid w:val="00A57FC4"/>
    <w:rPr>
      <w:color w:val="0563C1" w:themeColor="hyperlink"/>
      <w:u w:val="single"/>
    </w:rPr>
  </w:style>
  <w:style w:type="paragraph" w:styleId="ListParagraph">
    <w:name w:val="List Paragraph"/>
    <w:basedOn w:val="Normal"/>
    <w:uiPriority w:val="34"/>
    <w:qFormat/>
    <w:rsid w:val="00A57FC4"/>
    <w:pPr>
      <w:ind w:left="720"/>
      <w:contextualSpacing/>
    </w:pPr>
  </w:style>
  <w:style w:type="character" w:customStyle="1" w:styleId="FooterChar">
    <w:name w:val="Footer Char"/>
    <w:basedOn w:val="DefaultParagraphFont"/>
    <w:link w:val="Footer"/>
    <w:uiPriority w:val="99"/>
    <w:rsid w:val="00436850"/>
    <w:rPr>
      <w:sz w:val="24"/>
      <w:szCs w:val="24"/>
      <w:lang w:eastAsia="en-US"/>
    </w:rPr>
  </w:style>
  <w:style w:type="paragraph" w:styleId="BalloonText">
    <w:name w:val="Balloon Text"/>
    <w:basedOn w:val="Normal"/>
    <w:link w:val="BalloonTextChar"/>
    <w:semiHidden/>
    <w:unhideWhenUsed/>
    <w:rsid w:val="00506DA5"/>
    <w:rPr>
      <w:rFonts w:ascii="Segoe UI" w:hAnsi="Segoe UI" w:cs="Segoe UI"/>
      <w:sz w:val="18"/>
      <w:szCs w:val="18"/>
    </w:rPr>
  </w:style>
  <w:style w:type="character" w:customStyle="1" w:styleId="BalloonTextChar">
    <w:name w:val="Balloon Text Char"/>
    <w:basedOn w:val="DefaultParagraphFont"/>
    <w:link w:val="BalloonText"/>
    <w:semiHidden/>
    <w:rsid w:val="00506DA5"/>
    <w:rPr>
      <w:rFonts w:ascii="Segoe UI" w:hAnsi="Segoe UI" w:cs="Segoe UI"/>
      <w:sz w:val="18"/>
      <w:szCs w:val="18"/>
      <w:lang w:eastAsia="en-US"/>
    </w:rPr>
  </w:style>
  <w:style w:type="character" w:styleId="UnresolvedMention">
    <w:name w:val="Unresolved Mention"/>
    <w:basedOn w:val="DefaultParagraphFont"/>
    <w:uiPriority w:val="99"/>
    <w:semiHidden/>
    <w:unhideWhenUsed/>
    <w:rsid w:val="000515B3"/>
    <w:rPr>
      <w:color w:val="605E5C"/>
      <w:shd w:val="clear" w:color="auto" w:fill="E1DFDD"/>
    </w:rPr>
  </w:style>
  <w:style w:type="character" w:styleId="FollowedHyperlink">
    <w:name w:val="FollowedHyperlink"/>
    <w:basedOn w:val="DefaultParagraphFont"/>
    <w:rsid w:val="00C1479A"/>
    <w:rPr>
      <w:color w:val="954F72" w:themeColor="followedHyperlink"/>
      <w:u w:val="single"/>
    </w:rPr>
  </w:style>
  <w:style w:type="character" w:customStyle="1" w:styleId="cf01">
    <w:name w:val="cf01"/>
    <w:basedOn w:val="DefaultParagraphFont"/>
    <w:rsid w:val="003C0B80"/>
    <w:rPr>
      <w:rFonts w:ascii="Segoe UI" w:hAnsi="Segoe UI" w:cs="Segoe UI" w:hint="default"/>
      <w:sz w:val="18"/>
      <w:szCs w:val="18"/>
    </w:rPr>
  </w:style>
  <w:style w:type="table" w:styleId="TableGrid">
    <w:name w:val="Table Grid"/>
    <w:basedOn w:val="TableNormal"/>
    <w:uiPriority w:val="39"/>
    <w:rsid w:val="00E07359"/>
    <w:rPr>
      <w:rFonts w:asciiTheme="minorHAnsi" w:eastAsiaTheme="minorHAnsi" w:hAnsiTheme="minorHAnsi" w:cstheme="minorBidi"/>
      <w:kern w:val="2"/>
      <w:sz w:val="22"/>
      <w:szCs w:val="22"/>
      <w:lang w:val="en-IE"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1544649">
      <w:bodyDiv w:val="1"/>
      <w:marLeft w:val="0"/>
      <w:marRight w:val="0"/>
      <w:marTop w:val="0"/>
      <w:marBottom w:val="0"/>
      <w:divBdr>
        <w:top w:val="none" w:sz="0" w:space="0" w:color="auto"/>
        <w:left w:val="none" w:sz="0" w:space="0" w:color="auto"/>
        <w:bottom w:val="none" w:sz="0" w:space="0" w:color="auto"/>
        <w:right w:val="none" w:sz="0" w:space="0" w:color="auto"/>
      </w:divBdr>
    </w:div>
    <w:div w:id="618414956">
      <w:bodyDiv w:val="1"/>
      <w:marLeft w:val="0"/>
      <w:marRight w:val="0"/>
      <w:marTop w:val="0"/>
      <w:marBottom w:val="0"/>
      <w:divBdr>
        <w:top w:val="none" w:sz="0" w:space="0" w:color="auto"/>
        <w:left w:val="none" w:sz="0" w:space="0" w:color="auto"/>
        <w:bottom w:val="none" w:sz="0" w:space="0" w:color="auto"/>
        <w:right w:val="none" w:sz="0" w:space="0" w:color="auto"/>
      </w:divBdr>
    </w:div>
    <w:div w:id="732236443">
      <w:bodyDiv w:val="1"/>
      <w:marLeft w:val="0"/>
      <w:marRight w:val="0"/>
      <w:marTop w:val="0"/>
      <w:marBottom w:val="0"/>
      <w:divBdr>
        <w:top w:val="none" w:sz="0" w:space="0" w:color="auto"/>
        <w:left w:val="none" w:sz="0" w:space="0" w:color="auto"/>
        <w:bottom w:val="none" w:sz="0" w:space="0" w:color="auto"/>
        <w:right w:val="none" w:sz="0" w:space="0" w:color="auto"/>
      </w:divBdr>
    </w:div>
    <w:div w:id="761295332">
      <w:bodyDiv w:val="1"/>
      <w:marLeft w:val="0"/>
      <w:marRight w:val="0"/>
      <w:marTop w:val="0"/>
      <w:marBottom w:val="0"/>
      <w:divBdr>
        <w:top w:val="none" w:sz="0" w:space="0" w:color="auto"/>
        <w:left w:val="none" w:sz="0" w:space="0" w:color="auto"/>
        <w:bottom w:val="none" w:sz="0" w:space="0" w:color="auto"/>
        <w:right w:val="none" w:sz="0" w:space="0" w:color="auto"/>
      </w:divBdr>
    </w:div>
    <w:div w:id="883950249">
      <w:bodyDiv w:val="1"/>
      <w:marLeft w:val="0"/>
      <w:marRight w:val="0"/>
      <w:marTop w:val="0"/>
      <w:marBottom w:val="0"/>
      <w:divBdr>
        <w:top w:val="none" w:sz="0" w:space="0" w:color="auto"/>
        <w:left w:val="none" w:sz="0" w:space="0" w:color="auto"/>
        <w:bottom w:val="none" w:sz="0" w:space="0" w:color="auto"/>
        <w:right w:val="none" w:sz="0" w:space="0" w:color="auto"/>
      </w:divBdr>
    </w:div>
    <w:div w:id="1253318495">
      <w:bodyDiv w:val="1"/>
      <w:marLeft w:val="0"/>
      <w:marRight w:val="0"/>
      <w:marTop w:val="0"/>
      <w:marBottom w:val="0"/>
      <w:divBdr>
        <w:top w:val="none" w:sz="0" w:space="0" w:color="auto"/>
        <w:left w:val="none" w:sz="0" w:space="0" w:color="auto"/>
        <w:bottom w:val="none" w:sz="0" w:space="0" w:color="auto"/>
        <w:right w:val="none" w:sz="0" w:space="0" w:color="auto"/>
      </w:divBdr>
    </w:div>
    <w:div w:id="1308976622">
      <w:bodyDiv w:val="1"/>
      <w:marLeft w:val="0"/>
      <w:marRight w:val="0"/>
      <w:marTop w:val="0"/>
      <w:marBottom w:val="0"/>
      <w:divBdr>
        <w:top w:val="none" w:sz="0" w:space="0" w:color="auto"/>
        <w:left w:val="none" w:sz="0" w:space="0" w:color="auto"/>
        <w:bottom w:val="none" w:sz="0" w:space="0" w:color="auto"/>
        <w:right w:val="none" w:sz="0" w:space="0" w:color="auto"/>
      </w:divBdr>
    </w:div>
    <w:div w:id="1455557057">
      <w:bodyDiv w:val="1"/>
      <w:marLeft w:val="0"/>
      <w:marRight w:val="0"/>
      <w:marTop w:val="0"/>
      <w:marBottom w:val="0"/>
      <w:divBdr>
        <w:top w:val="none" w:sz="0" w:space="0" w:color="auto"/>
        <w:left w:val="none" w:sz="0" w:space="0" w:color="auto"/>
        <w:bottom w:val="none" w:sz="0" w:space="0" w:color="auto"/>
        <w:right w:val="none" w:sz="0" w:space="0" w:color="auto"/>
      </w:divBdr>
    </w:div>
    <w:div w:id="1728408312">
      <w:bodyDiv w:val="1"/>
      <w:marLeft w:val="0"/>
      <w:marRight w:val="0"/>
      <w:marTop w:val="0"/>
      <w:marBottom w:val="0"/>
      <w:divBdr>
        <w:top w:val="none" w:sz="0" w:space="0" w:color="auto"/>
        <w:left w:val="none" w:sz="0" w:space="0" w:color="auto"/>
        <w:bottom w:val="none" w:sz="0" w:space="0" w:color="auto"/>
        <w:right w:val="none" w:sz="0" w:space="0" w:color="auto"/>
      </w:divBdr>
    </w:div>
    <w:div w:id="1747605240">
      <w:bodyDiv w:val="1"/>
      <w:marLeft w:val="0"/>
      <w:marRight w:val="0"/>
      <w:marTop w:val="0"/>
      <w:marBottom w:val="0"/>
      <w:divBdr>
        <w:top w:val="none" w:sz="0" w:space="0" w:color="auto"/>
        <w:left w:val="none" w:sz="0" w:space="0" w:color="auto"/>
        <w:bottom w:val="none" w:sz="0" w:space="0" w:color="auto"/>
        <w:right w:val="none" w:sz="0" w:space="0" w:color="auto"/>
      </w:divBdr>
    </w:div>
    <w:div w:id="2051831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doi.org/10.1016/j.pec.2012.10.016" TargetMode="External"/><Relationship Id="rId21" Type="http://schemas.openxmlformats.org/officeDocument/2006/relationships/diagramQuickStyle" Target="diagrams/quickStyle2.xml"/><Relationship Id="rId42" Type="http://schemas.openxmlformats.org/officeDocument/2006/relationships/hyperlink" Target="http://dx.doi.org/10.1136/fmch-2018-000086" TargetMode="External"/><Relationship Id="rId47" Type="http://schemas.openxmlformats.org/officeDocument/2006/relationships/hyperlink" Target="https://doi.org/10.1016/j.nepr.2017.02.001" TargetMode="External"/><Relationship Id="rId63" Type="http://schemas.openxmlformats.org/officeDocument/2006/relationships/hyperlink" Target="https://doi.org/10.1016/j.nedt.2022.105379" TargetMode="External"/><Relationship Id="rId68" Type="http://schemas.openxmlformats.org/officeDocument/2006/relationships/hyperlink" Target="https://www.nmc.org.uk/globalassets/sitedocuments/standards/2023-pre-reg-standards/new-vi/standards-for-pre-registration-nursing-programmes.pdf" TargetMode="External"/><Relationship Id="rId84" Type="http://schemas.openxmlformats.org/officeDocument/2006/relationships/header" Target="header1.xml"/><Relationship Id="rId16" Type="http://schemas.openxmlformats.org/officeDocument/2006/relationships/diagramQuickStyle" Target="diagrams/quickStyle1.xml"/><Relationship Id="rId11" Type="http://schemas.openxmlformats.org/officeDocument/2006/relationships/hyperlink" Target="mailto:brayl@edgehill.ac.uk" TargetMode="External"/><Relationship Id="rId32" Type="http://schemas.openxmlformats.org/officeDocument/2006/relationships/hyperlink" Target="https://doi.org/10.1016/j.nedt.2021.104981" TargetMode="External"/><Relationship Id="rId37" Type="http://schemas.openxmlformats.org/officeDocument/2006/relationships/hyperlink" Target="https://doi.org/10.33805/2573.3877.141" TargetMode="External"/><Relationship Id="rId53" Type="http://schemas.openxmlformats.org/officeDocument/2006/relationships/hyperlink" Target="https://doi.org/10.1186/s40900-022-00385-3" TargetMode="External"/><Relationship Id="rId58" Type="http://schemas.openxmlformats.org/officeDocument/2006/relationships/hyperlink" Target="https://doi.org/10.1016/j.pec.2022.03.008" TargetMode="External"/><Relationship Id="rId74" Type="http://schemas.openxmlformats.org/officeDocument/2006/relationships/hyperlink" Target="https://doi.org/10.2147/AMEP.S393051" TargetMode="External"/><Relationship Id="rId79" Type="http://schemas.openxmlformats.org/officeDocument/2006/relationships/hyperlink" Target="https://doi.org/10.3928/01484834-20210913-03" TargetMode="External"/><Relationship Id="rId5" Type="http://schemas.openxmlformats.org/officeDocument/2006/relationships/styles" Target="styles.xml"/><Relationship Id="rId19" Type="http://schemas.openxmlformats.org/officeDocument/2006/relationships/diagramData" Target="diagrams/data2.xml"/><Relationship Id="rId14" Type="http://schemas.openxmlformats.org/officeDocument/2006/relationships/diagramData" Target="diagrams/data1.xml"/><Relationship Id="rId22" Type="http://schemas.openxmlformats.org/officeDocument/2006/relationships/diagramColors" Target="diagrams/colors2.xml"/><Relationship Id="rId27" Type="http://schemas.openxmlformats.org/officeDocument/2006/relationships/hyperlink" Target="https://doi.org/10.1016/j.ecns.2016.12.005" TargetMode="External"/><Relationship Id="rId30" Type="http://schemas.openxmlformats.org/officeDocument/2006/relationships/hyperlink" Target="https://doi.org/10.1016/j.nepr.2020.102928" TargetMode="External"/><Relationship Id="rId35" Type="http://schemas.openxmlformats.org/officeDocument/2006/relationships/hyperlink" Target="https://doi.org/10.1016/j.nepr.2023.103552" TargetMode="External"/><Relationship Id="rId43" Type="http://schemas.openxmlformats.org/officeDocument/2006/relationships/hyperlink" Target="https://doi.org/10.1016/j.ijans.2018.10.005" TargetMode="External"/><Relationship Id="rId48" Type="http://schemas.openxmlformats.org/officeDocument/2006/relationships/hyperlink" Target="https://doi.org/10.1186/s41077-015-0003-9" TargetMode="External"/><Relationship Id="rId56" Type="http://schemas.openxmlformats.org/officeDocument/2006/relationships/hyperlink" Target="https://doi.org/10.1177/1367493518804097" TargetMode="External"/><Relationship Id="rId64" Type="http://schemas.openxmlformats.org/officeDocument/2006/relationships/hyperlink" Target="https://www.nice.org.uk/guidance/ng204" TargetMode="External"/><Relationship Id="rId69" Type="http://schemas.openxmlformats.org/officeDocument/2006/relationships/hyperlink" Target="https://doi.org/10.1016/j.nedt.2018.07.013" TargetMode="External"/><Relationship Id="rId77" Type="http://schemas.openxmlformats.org/officeDocument/2006/relationships/hyperlink" Target="https://doi.org/10.1016/j.nedt.2017.11.011" TargetMode="External"/><Relationship Id="rId8" Type="http://schemas.openxmlformats.org/officeDocument/2006/relationships/footnotes" Target="footnotes.xml"/><Relationship Id="rId51" Type="http://schemas.openxmlformats.org/officeDocument/2006/relationships/hyperlink" Target="https://doi.org/10.1111/nhs.12855" TargetMode="External"/><Relationship Id="rId72" Type="http://schemas.openxmlformats.org/officeDocument/2006/relationships/hyperlink" Target="https://doi.org/10.1016/j.pedn.2020.05.011" TargetMode="External"/><Relationship Id="rId80" Type="http://schemas.openxmlformats.org/officeDocument/2006/relationships/hyperlink" Target="https://doi.org/10.11157/fohpe.v23i1.544" TargetMode="External"/><Relationship Id="rId85"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hyperlink" Target="mailto:Saronh@edgehill.ac.uk" TargetMode="External"/><Relationship Id="rId17" Type="http://schemas.openxmlformats.org/officeDocument/2006/relationships/diagramColors" Target="diagrams/colors1.xml"/><Relationship Id="rId25" Type="http://schemas.openxmlformats.org/officeDocument/2006/relationships/hyperlink" Target="https://doi.org/10.1016/j.pec.2021.11.016" TargetMode="External"/><Relationship Id="rId33" Type="http://schemas.openxmlformats.org/officeDocument/2006/relationships/hyperlink" Target="https://doi.org/10.1016/j.ecns.2021.05.004" TargetMode="External"/><Relationship Id="rId38" Type="http://schemas.openxmlformats.org/officeDocument/2006/relationships/hyperlink" Target="https://doi.org/10.1016/j.profnurs.2022.09.008" TargetMode="External"/><Relationship Id="rId46" Type="http://schemas.openxmlformats.org/officeDocument/2006/relationships/hyperlink" Target="https://doi.org/10.1177/13674935231153430" TargetMode="External"/><Relationship Id="rId59" Type="http://schemas.openxmlformats.org/officeDocument/2006/relationships/hyperlink" Target="https://doi.org/10.1016/j.nedt.2020.104405" TargetMode="External"/><Relationship Id="rId67" Type="http://schemas.openxmlformats.org/officeDocument/2006/relationships/hyperlink" Target="https://www.nmbi.ie/NMBI/media/NMBI/Forms/Childrens-Nurse-Post-Registration-SR_FINAL_Revised.pdf?ext=.pdf" TargetMode="External"/><Relationship Id="rId20" Type="http://schemas.openxmlformats.org/officeDocument/2006/relationships/diagramLayout" Target="diagrams/layout2.xml"/><Relationship Id="rId41" Type="http://schemas.openxmlformats.org/officeDocument/2006/relationships/hyperlink" Target="https://doi.org/10.1177/1367493512443905" TargetMode="External"/><Relationship Id="rId54" Type="http://schemas.openxmlformats.org/officeDocument/2006/relationships/hyperlink" Target="https://doi.org/10.1177/1049732305276687" TargetMode="External"/><Relationship Id="rId62" Type="http://schemas.openxmlformats.org/officeDocument/2006/relationships/hyperlink" Target="https://doi.org/10.1016/j.nedt.2022.105630" TargetMode="External"/><Relationship Id="rId70" Type="http://schemas.openxmlformats.org/officeDocument/2006/relationships/hyperlink" Target="https://doi.org/10.1016/j.nedt.2021.104875" TargetMode="External"/><Relationship Id="rId75" Type="http://schemas.openxmlformats.org/officeDocument/2006/relationships/hyperlink" Target="https://doi.org/10.1111/jocn.15466" TargetMode="External"/><Relationship Id="rId83" Type="http://schemas.openxmlformats.org/officeDocument/2006/relationships/hyperlink" Target="https://doi.org/10.1007/s11606-021-06737-1" TargetMode="Externa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diagramLayout" Target="diagrams/layout1.xml"/><Relationship Id="rId23" Type="http://schemas.microsoft.com/office/2007/relationships/diagramDrawing" Target="diagrams/drawing2.xml"/><Relationship Id="rId28" Type="http://schemas.openxmlformats.org/officeDocument/2006/relationships/hyperlink" Target="https://doi.org/10.1007/s00431-023-05131-9" TargetMode="External"/><Relationship Id="rId36" Type="http://schemas.openxmlformats.org/officeDocument/2006/relationships/hyperlink" Target="https://doi.org/10.1080/24694193.2021.1876786" TargetMode="External"/><Relationship Id="rId49" Type="http://schemas.openxmlformats.org/officeDocument/2006/relationships/hyperlink" Target="https://doi.org/10.1016/j.pedn.2022.09.002" TargetMode="External"/><Relationship Id="rId57" Type="http://schemas.openxmlformats.org/officeDocument/2006/relationships/hyperlink" Target="https://doi.org/10.1016/j.nedt.2016.09.019" TargetMode="External"/><Relationship Id="rId10" Type="http://schemas.openxmlformats.org/officeDocument/2006/relationships/hyperlink" Target="mailto:Martina.kennedy@ucd.ie" TargetMode="External"/><Relationship Id="rId31" Type="http://schemas.openxmlformats.org/officeDocument/2006/relationships/hyperlink" Target="https://doi.org/10.1016/j.nedt.2021.104983" TargetMode="External"/><Relationship Id="rId44" Type="http://schemas.openxmlformats.org/officeDocument/2006/relationships/hyperlink" Target="https://doi.org/10.1016/j.nepr.2019.102653" TargetMode="External"/><Relationship Id="rId52" Type="http://schemas.openxmlformats.org/officeDocument/2006/relationships/hyperlink" Target="https://doi.org/10.3390/ijerph17072241" TargetMode="External"/><Relationship Id="rId60" Type="http://schemas.openxmlformats.org/officeDocument/2006/relationships/hyperlink" Target="https://doi.org/10.1016/j.ecns.2017.04.011" TargetMode="External"/><Relationship Id="rId65" Type="http://schemas.openxmlformats.org/officeDocument/2006/relationships/hyperlink" Target="https://doi.org/10.1136/archdischild-2022-324132" TargetMode="External"/><Relationship Id="rId73" Type="http://schemas.openxmlformats.org/officeDocument/2006/relationships/hyperlink" Target="https://doi.org/10.1016/j.nedt.2021.104821" TargetMode="External"/><Relationship Id="rId78" Type="http://schemas.openxmlformats.org/officeDocument/2006/relationships/hyperlink" Target="https://doi.org/10.1080/13642987.2016.1248125" TargetMode="External"/><Relationship Id="rId81" Type="http://schemas.openxmlformats.org/officeDocument/2006/relationships/hyperlink" Target="https://doi.org/10.1177/23743735221106594" TargetMode="External"/><Relationship Id="rId86"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hyperlink" Target="mailto:l.m.brady@herts.ac.uk" TargetMode="External"/><Relationship Id="rId18" Type="http://schemas.microsoft.com/office/2007/relationships/diagramDrawing" Target="diagrams/drawing1.xml"/><Relationship Id="rId39" Type="http://schemas.openxmlformats.org/officeDocument/2006/relationships/hyperlink" Target="https://doi.org/10.1177/104345421876513" TargetMode="External"/><Relationship Id="rId34" Type="http://schemas.openxmlformats.org/officeDocument/2006/relationships/hyperlink" Target="https://doi.org/10.1016/j.pedn.2024.01.022" TargetMode="External"/><Relationship Id="rId50" Type="http://schemas.openxmlformats.org/officeDocument/2006/relationships/hyperlink" Target="https://doi.org/10.1080/24694193.2019.1707594" TargetMode="External"/><Relationship Id="rId55" Type="http://schemas.openxmlformats.org/officeDocument/2006/relationships/hyperlink" Target="https://doi.org/10.1186/s12912-022-00844-y" TargetMode="External"/><Relationship Id="rId76" Type="http://schemas.openxmlformats.org/officeDocument/2006/relationships/hyperlink" Target="https://doi.org/10.1016/j.nedt.2020.104662" TargetMode="External"/><Relationship Id="rId7" Type="http://schemas.openxmlformats.org/officeDocument/2006/relationships/webSettings" Target="webSettings.xml"/><Relationship Id="rId71" Type="http://schemas.openxmlformats.org/officeDocument/2006/relationships/hyperlink" Target="https://doi.org/10.1186/s12912-021-00576-5" TargetMode="External"/><Relationship Id="rId2" Type="http://schemas.openxmlformats.org/officeDocument/2006/relationships/customXml" Target="../customXml/item2.xml"/><Relationship Id="rId29" Type="http://schemas.openxmlformats.org/officeDocument/2006/relationships/hyperlink" Target="https://doi.org/10.1177/00178969211019459" TargetMode="External"/><Relationship Id="rId24" Type="http://schemas.openxmlformats.org/officeDocument/2006/relationships/hyperlink" Target="https://doi.org/10.12968/chhe.2021.2.4.171" TargetMode="External"/><Relationship Id="rId40" Type="http://schemas.openxmlformats.org/officeDocument/2006/relationships/hyperlink" Target="https://doi.org/10.1016/j.pedn.2018.07.001" TargetMode="External"/><Relationship Id="rId45" Type="http://schemas.openxmlformats.org/officeDocument/2006/relationships/hyperlink" Target="https://doi.org/10.1111/jan.13183" TargetMode="External"/><Relationship Id="rId66" Type="http://schemas.openxmlformats.org/officeDocument/2006/relationships/hyperlink" Target="https://www.nmbi.ie/NMBI/media/NMBI/NMBI-Nurse-Registration-Programmes-Standards-and-Requirements-Fifth-Edition_1.pdf?ext=.pdf" TargetMode="External"/><Relationship Id="rId87" Type="http://schemas.openxmlformats.org/officeDocument/2006/relationships/glossaryDocument" Target="glossary/document.xml"/><Relationship Id="rId61" Type="http://schemas.openxmlformats.org/officeDocument/2006/relationships/hyperlink" Target="https://doi.org/10.17681/hsp.287510" TargetMode="External"/><Relationship Id="rId82" Type="http://schemas.openxmlformats.org/officeDocument/2006/relationships/hyperlink" Target="https://doi.org/10.1016/j.ecns.2023.101485" TargetMode="External"/></Relationships>
</file>

<file path=word/diagrams/colors1.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945C13E-264D-484E-B191-9060C9FDAEE0}" type="doc">
      <dgm:prSet loTypeId="urn:microsoft.com/office/officeart/2005/8/layout/hierarchy3" loCatId="list" qsTypeId="urn:microsoft.com/office/officeart/2005/8/quickstyle/simple1" qsCatId="simple" csTypeId="urn:microsoft.com/office/officeart/2005/8/colors/accent3_2" csCatId="accent3" phldr="1"/>
      <dgm:spPr/>
      <dgm:t>
        <a:bodyPr/>
        <a:lstStyle/>
        <a:p>
          <a:endParaRPr lang="en-IE"/>
        </a:p>
      </dgm:t>
    </dgm:pt>
    <dgm:pt modelId="{58AF9AF4-4B19-4A51-94A7-430EB13C1EDA}">
      <dgm:prSet phldrT="[Text]"/>
      <dgm:spPr>
        <a:xfrm>
          <a:off x="333523" y="5990"/>
          <a:ext cx="1376957" cy="688478"/>
        </a:xfrm>
        <a:prstGeom prst="roundRect">
          <a:avLst>
            <a:gd name="adj" fmla="val 10000"/>
          </a:avLst>
        </a:prstGeom>
        <a:solidFill>
          <a:schemeClr val="tx1">
            <a:lumMod val="65000"/>
            <a:lumOff val="35000"/>
          </a:schemeClr>
        </a:solidFill>
      </dgm:spPr>
      <dgm:t>
        <a:bodyPr/>
        <a:lstStyle/>
        <a:p>
          <a:pPr>
            <a:buNone/>
          </a:pPr>
          <a:r>
            <a:rPr lang="en-IE">
              <a:latin typeface="Calibri" panose="020F0502020204030204"/>
              <a:ea typeface="+mn-ea"/>
              <a:cs typeface="+mn-cs"/>
            </a:rPr>
            <a:t>Communication training offered as a dedicated standalone Module</a:t>
          </a:r>
        </a:p>
      </dgm:t>
    </dgm:pt>
    <dgm:pt modelId="{CE464A28-EA37-4103-8612-C0C1C0E76760}" type="parTrans" cxnId="{733FC0AD-B316-470F-AA52-8B020F6E6E09}">
      <dgm:prSet/>
      <dgm:spPr/>
      <dgm:t>
        <a:bodyPr/>
        <a:lstStyle/>
        <a:p>
          <a:endParaRPr lang="en-IE"/>
        </a:p>
      </dgm:t>
    </dgm:pt>
    <dgm:pt modelId="{B4479156-4937-4C23-8F9C-7F237E6C624A}" type="sibTrans" cxnId="{733FC0AD-B316-470F-AA52-8B020F6E6E09}">
      <dgm:prSet/>
      <dgm:spPr/>
      <dgm:t>
        <a:bodyPr/>
        <a:lstStyle/>
        <a:p>
          <a:endParaRPr lang="en-IE"/>
        </a:p>
      </dgm:t>
    </dgm:pt>
    <dgm:pt modelId="{DE03C0FC-AA23-4142-9C47-50BA3DEA2E9B}">
      <dgm:prSet phldrT="[Text]"/>
      <dgm:spPr>
        <a:xfrm>
          <a:off x="608915" y="866588"/>
          <a:ext cx="1101566" cy="688478"/>
        </a:xfrm>
        <a:prstGeom prst="roundRect">
          <a:avLst>
            <a:gd name="adj" fmla="val 10000"/>
          </a:avLst>
        </a:prstGeom>
      </dgm:spPr>
      <dgm:t>
        <a:bodyPr/>
        <a:lstStyle/>
        <a:p>
          <a:pPr>
            <a:buNone/>
          </a:pPr>
          <a:r>
            <a:rPr lang="en-IE">
              <a:latin typeface="Calibri" panose="020F0502020204030204"/>
              <a:ea typeface="+mn-ea"/>
              <a:cs typeface="+mn-cs"/>
            </a:rPr>
            <a:t>Core communication module undertaken by all Nursing disciplines in year 1</a:t>
          </a:r>
        </a:p>
      </dgm:t>
    </dgm:pt>
    <dgm:pt modelId="{2434A164-6301-461B-95D2-051B7C1BF93C}" type="parTrans" cxnId="{35665B27-D03B-4F6C-A417-FD03CC2C437B}">
      <dgm:prSet/>
      <dgm:spPr>
        <a:xfrm>
          <a:off x="471219" y="694469"/>
          <a:ext cx="137695" cy="516359"/>
        </a:xfrm>
        <a:custGeom>
          <a:avLst/>
          <a:gdLst/>
          <a:ahLst/>
          <a:cxnLst/>
          <a:rect l="0" t="0" r="0" b="0"/>
          <a:pathLst>
            <a:path>
              <a:moveTo>
                <a:pt x="0" y="0"/>
              </a:moveTo>
              <a:lnTo>
                <a:pt x="0" y="516359"/>
              </a:lnTo>
              <a:lnTo>
                <a:pt x="137695" y="516359"/>
              </a:lnTo>
            </a:path>
          </a:pathLst>
        </a:custGeom>
      </dgm:spPr>
      <dgm:t>
        <a:bodyPr/>
        <a:lstStyle/>
        <a:p>
          <a:endParaRPr lang="en-IE"/>
        </a:p>
      </dgm:t>
    </dgm:pt>
    <dgm:pt modelId="{1BE36A57-3B65-4A6A-AD50-D1786E9121CA}" type="sibTrans" cxnId="{35665B27-D03B-4F6C-A417-FD03CC2C437B}">
      <dgm:prSet/>
      <dgm:spPr/>
      <dgm:t>
        <a:bodyPr/>
        <a:lstStyle/>
        <a:p>
          <a:endParaRPr lang="en-IE"/>
        </a:p>
      </dgm:t>
    </dgm:pt>
    <dgm:pt modelId="{49284854-B928-4A77-93DD-99BD1489EC22}">
      <dgm:prSet phldrT="[Text]"/>
      <dgm:spPr>
        <a:xfrm>
          <a:off x="608915" y="1727187"/>
          <a:ext cx="1101566" cy="688478"/>
        </a:xfrm>
        <a:prstGeom prst="roundRect">
          <a:avLst>
            <a:gd name="adj" fmla="val 10000"/>
          </a:avLst>
        </a:prstGeom>
      </dgm:spPr>
      <dgm:t>
        <a:bodyPr/>
        <a:lstStyle/>
        <a:p>
          <a:pPr>
            <a:buNone/>
          </a:pPr>
          <a:r>
            <a:rPr lang="en-IE">
              <a:latin typeface="Calibri" panose="020F0502020204030204"/>
              <a:ea typeface="+mn-ea"/>
              <a:cs typeface="+mn-cs"/>
            </a:rPr>
            <a:t>Children &amp; Young People specific module</a:t>
          </a:r>
        </a:p>
      </dgm:t>
    </dgm:pt>
    <dgm:pt modelId="{F5ED59C9-7341-4B57-BAAF-A86215223A1E}" type="parTrans" cxnId="{10E6F774-81B4-4450-942A-B3C6EF5EF54F}">
      <dgm:prSet/>
      <dgm:spPr>
        <a:xfrm>
          <a:off x="471219" y="694469"/>
          <a:ext cx="137695" cy="1376957"/>
        </a:xfrm>
        <a:custGeom>
          <a:avLst/>
          <a:gdLst/>
          <a:ahLst/>
          <a:cxnLst/>
          <a:rect l="0" t="0" r="0" b="0"/>
          <a:pathLst>
            <a:path>
              <a:moveTo>
                <a:pt x="0" y="0"/>
              </a:moveTo>
              <a:lnTo>
                <a:pt x="0" y="1376957"/>
              </a:lnTo>
              <a:lnTo>
                <a:pt x="137695" y="1376957"/>
              </a:lnTo>
            </a:path>
          </a:pathLst>
        </a:custGeom>
      </dgm:spPr>
      <dgm:t>
        <a:bodyPr/>
        <a:lstStyle/>
        <a:p>
          <a:endParaRPr lang="en-IE"/>
        </a:p>
      </dgm:t>
    </dgm:pt>
    <dgm:pt modelId="{1EB3BE40-33FF-486E-B640-11C0582E52F1}" type="sibTrans" cxnId="{10E6F774-81B4-4450-942A-B3C6EF5EF54F}">
      <dgm:prSet/>
      <dgm:spPr/>
      <dgm:t>
        <a:bodyPr/>
        <a:lstStyle/>
        <a:p>
          <a:endParaRPr lang="en-IE"/>
        </a:p>
      </dgm:t>
    </dgm:pt>
    <dgm:pt modelId="{2CC00F21-A512-45E8-9BFA-7FF9AA66B5DF}">
      <dgm:prSet phldrT="[Text]"/>
      <dgm:spPr>
        <a:xfrm>
          <a:off x="3775918" y="5990"/>
          <a:ext cx="1376957" cy="688478"/>
        </a:xfrm>
        <a:prstGeom prst="roundRect">
          <a:avLst>
            <a:gd name="adj" fmla="val 10000"/>
          </a:avLst>
        </a:prstGeom>
        <a:solidFill>
          <a:schemeClr val="tx1">
            <a:lumMod val="65000"/>
            <a:lumOff val="35000"/>
          </a:schemeClr>
        </a:solidFill>
      </dgm:spPr>
      <dgm:t>
        <a:bodyPr/>
        <a:lstStyle/>
        <a:p>
          <a:pPr>
            <a:buNone/>
          </a:pPr>
          <a:r>
            <a:rPr lang="en-IE">
              <a:latin typeface="Calibri" panose="020F0502020204030204"/>
              <a:ea typeface="+mn-ea"/>
              <a:cs typeface="+mn-cs"/>
            </a:rPr>
            <a:t>Communication training as part of field (practice) experience</a:t>
          </a:r>
        </a:p>
      </dgm:t>
    </dgm:pt>
    <dgm:pt modelId="{EFDD57C4-C070-497E-BABF-D40C6AA07056}" type="parTrans" cxnId="{56A257DB-0A9F-476E-AAEB-BDBC14443744}">
      <dgm:prSet/>
      <dgm:spPr/>
      <dgm:t>
        <a:bodyPr/>
        <a:lstStyle/>
        <a:p>
          <a:endParaRPr lang="en-IE"/>
        </a:p>
      </dgm:t>
    </dgm:pt>
    <dgm:pt modelId="{6A15E979-1267-4F2E-9111-6C7CB126C178}" type="sibTrans" cxnId="{56A257DB-0A9F-476E-AAEB-BDBC14443744}">
      <dgm:prSet/>
      <dgm:spPr/>
      <dgm:t>
        <a:bodyPr/>
        <a:lstStyle/>
        <a:p>
          <a:endParaRPr lang="en-IE"/>
        </a:p>
      </dgm:t>
    </dgm:pt>
    <dgm:pt modelId="{AC90DDE4-D35B-4342-8646-993A5B427E3A}">
      <dgm:prSet phldrT="[Text]"/>
      <dgm:spPr>
        <a:xfrm>
          <a:off x="4051309" y="866588"/>
          <a:ext cx="1101566" cy="688478"/>
        </a:xfrm>
        <a:prstGeom prst="roundRect">
          <a:avLst>
            <a:gd name="adj" fmla="val 10000"/>
          </a:avLst>
        </a:prstGeom>
      </dgm:spPr>
      <dgm:t>
        <a:bodyPr/>
        <a:lstStyle/>
        <a:p>
          <a:pPr>
            <a:buNone/>
          </a:pPr>
          <a:r>
            <a:rPr lang="en-IE">
              <a:latin typeface="Calibri" panose="020F0502020204030204"/>
              <a:ea typeface="+mn-ea"/>
              <a:cs typeface="+mn-cs"/>
            </a:rPr>
            <a:t>Clinical Placement</a:t>
          </a:r>
        </a:p>
      </dgm:t>
    </dgm:pt>
    <dgm:pt modelId="{639C1CD1-E270-4DEF-AE5B-508084329E83}" type="parTrans" cxnId="{EAA4AF3C-E2BD-4AC9-AD54-DCA693BC8E9C}">
      <dgm:prSet/>
      <dgm:spPr>
        <a:xfrm>
          <a:off x="3913614" y="694469"/>
          <a:ext cx="137695" cy="516359"/>
        </a:xfrm>
        <a:custGeom>
          <a:avLst/>
          <a:gdLst/>
          <a:ahLst/>
          <a:cxnLst/>
          <a:rect l="0" t="0" r="0" b="0"/>
          <a:pathLst>
            <a:path>
              <a:moveTo>
                <a:pt x="0" y="0"/>
              </a:moveTo>
              <a:lnTo>
                <a:pt x="0" y="516359"/>
              </a:lnTo>
              <a:lnTo>
                <a:pt x="137695" y="516359"/>
              </a:lnTo>
            </a:path>
          </a:pathLst>
        </a:custGeom>
      </dgm:spPr>
      <dgm:t>
        <a:bodyPr/>
        <a:lstStyle/>
        <a:p>
          <a:endParaRPr lang="en-IE"/>
        </a:p>
      </dgm:t>
    </dgm:pt>
    <dgm:pt modelId="{E1EF9006-CE22-4277-A978-FCF80EF848AE}" type="sibTrans" cxnId="{EAA4AF3C-E2BD-4AC9-AD54-DCA693BC8E9C}">
      <dgm:prSet/>
      <dgm:spPr/>
      <dgm:t>
        <a:bodyPr/>
        <a:lstStyle/>
        <a:p>
          <a:endParaRPr lang="en-IE"/>
        </a:p>
      </dgm:t>
    </dgm:pt>
    <dgm:pt modelId="{C30C4D18-F9FD-4423-A8D4-AC7AC6AFBA8D}">
      <dgm:prSet phldrT="[Text]"/>
      <dgm:spPr>
        <a:xfrm>
          <a:off x="4051309" y="1727187"/>
          <a:ext cx="1101566" cy="688478"/>
        </a:xfrm>
        <a:prstGeom prst="roundRect">
          <a:avLst>
            <a:gd name="adj" fmla="val 10000"/>
          </a:avLst>
        </a:prstGeom>
      </dgm:spPr>
      <dgm:t>
        <a:bodyPr/>
        <a:lstStyle/>
        <a:p>
          <a:pPr>
            <a:buNone/>
          </a:pPr>
          <a:r>
            <a:rPr lang="en-IE">
              <a:latin typeface="Calibri" panose="020F0502020204030204"/>
              <a:ea typeface="+mn-ea"/>
              <a:cs typeface="+mn-cs"/>
            </a:rPr>
            <a:t>Special Educational Needs Schools</a:t>
          </a:r>
        </a:p>
      </dgm:t>
    </dgm:pt>
    <dgm:pt modelId="{B18F415D-D7A1-4113-AEDD-EC7781A3C1E5}" type="parTrans" cxnId="{9BA5C30B-5B30-405F-A158-AB91CAA303B9}">
      <dgm:prSet/>
      <dgm:spPr>
        <a:xfrm>
          <a:off x="3913614" y="694469"/>
          <a:ext cx="137695" cy="1376957"/>
        </a:xfrm>
        <a:custGeom>
          <a:avLst/>
          <a:gdLst/>
          <a:ahLst/>
          <a:cxnLst/>
          <a:rect l="0" t="0" r="0" b="0"/>
          <a:pathLst>
            <a:path>
              <a:moveTo>
                <a:pt x="0" y="0"/>
              </a:moveTo>
              <a:lnTo>
                <a:pt x="0" y="1376957"/>
              </a:lnTo>
              <a:lnTo>
                <a:pt x="137695" y="1376957"/>
              </a:lnTo>
            </a:path>
          </a:pathLst>
        </a:custGeom>
      </dgm:spPr>
      <dgm:t>
        <a:bodyPr/>
        <a:lstStyle/>
        <a:p>
          <a:endParaRPr lang="en-IE"/>
        </a:p>
      </dgm:t>
    </dgm:pt>
    <dgm:pt modelId="{4A2B253A-13D4-4CA0-94EC-54F8A6E590C4}" type="sibTrans" cxnId="{9BA5C30B-5B30-405F-A158-AB91CAA303B9}">
      <dgm:prSet/>
      <dgm:spPr/>
      <dgm:t>
        <a:bodyPr/>
        <a:lstStyle/>
        <a:p>
          <a:endParaRPr lang="en-IE"/>
        </a:p>
      </dgm:t>
    </dgm:pt>
    <dgm:pt modelId="{8EF8A013-C027-41BF-B8E2-676443B7A6EF}">
      <dgm:prSet/>
      <dgm:spPr>
        <a:xfrm>
          <a:off x="2054721" y="5990"/>
          <a:ext cx="1376957" cy="688478"/>
        </a:xfrm>
        <a:prstGeom prst="roundRect">
          <a:avLst>
            <a:gd name="adj" fmla="val 10000"/>
          </a:avLst>
        </a:prstGeom>
        <a:solidFill>
          <a:schemeClr val="tx1">
            <a:lumMod val="65000"/>
            <a:lumOff val="35000"/>
          </a:schemeClr>
        </a:solidFill>
      </dgm:spPr>
      <dgm:t>
        <a:bodyPr/>
        <a:lstStyle/>
        <a:p>
          <a:pPr>
            <a:buNone/>
          </a:pPr>
          <a:r>
            <a:rPr lang="en-IE">
              <a:latin typeface="Calibri" panose="020F0502020204030204"/>
              <a:ea typeface="+mn-ea"/>
              <a:cs typeface="+mn-cs"/>
            </a:rPr>
            <a:t>Communication training integrated throughout the following modules</a:t>
          </a:r>
        </a:p>
      </dgm:t>
    </dgm:pt>
    <dgm:pt modelId="{095A5FE8-A49B-4210-AF3E-406CFA2C230D}" type="parTrans" cxnId="{A8F48912-227E-4784-8051-8B6ECDE76AAC}">
      <dgm:prSet/>
      <dgm:spPr/>
      <dgm:t>
        <a:bodyPr/>
        <a:lstStyle/>
        <a:p>
          <a:endParaRPr lang="en-IE"/>
        </a:p>
      </dgm:t>
    </dgm:pt>
    <dgm:pt modelId="{ACA15653-4017-4118-B22A-D5752B16D8E3}" type="sibTrans" cxnId="{A8F48912-227E-4784-8051-8B6ECDE76AAC}">
      <dgm:prSet/>
      <dgm:spPr/>
      <dgm:t>
        <a:bodyPr/>
        <a:lstStyle/>
        <a:p>
          <a:endParaRPr lang="en-IE"/>
        </a:p>
      </dgm:t>
    </dgm:pt>
    <dgm:pt modelId="{745561EA-A1A8-4172-AE37-F35FEA28C3CA}">
      <dgm:prSet/>
      <dgm:spPr>
        <a:xfrm>
          <a:off x="2330112" y="866588"/>
          <a:ext cx="1101566" cy="688478"/>
        </a:xfrm>
        <a:prstGeom prst="roundRect">
          <a:avLst>
            <a:gd name="adj" fmla="val 10000"/>
          </a:avLst>
        </a:prstGeom>
      </dgm:spPr>
      <dgm:t>
        <a:bodyPr/>
        <a:lstStyle/>
        <a:p>
          <a:pPr>
            <a:buNone/>
          </a:pPr>
          <a:r>
            <a:rPr lang="en-IE">
              <a:latin typeface="Calibri" panose="020F0502020204030204"/>
              <a:ea typeface="+mn-ea"/>
              <a:cs typeface="+mn-cs"/>
            </a:rPr>
            <a:t>Child Specific Modules</a:t>
          </a:r>
        </a:p>
      </dgm:t>
    </dgm:pt>
    <dgm:pt modelId="{34E945EC-201D-42CE-A9EE-C32AC241892F}" type="parTrans" cxnId="{EB8CB6AF-B321-499E-AF84-59828C0EE4D6}">
      <dgm:prSet/>
      <dgm:spPr>
        <a:xfrm>
          <a:off x="2192416" y="694469"/>
          <a:ext cx="137695" cy="516359"/>
        </a:xfrm>
        <a:custGeom>
          <a:avLst/>
          <a:gdLst/>
          <a:ahLst/>
          <a:cxnLst/>
          <a:rect l="0" t="0" r="0" b="0"/>
          <a:pathLst>
            <a:path>
              <a:moveTo>
                <a:pt x="0" y="0"/>
              </a:moveTo>
              <a:lnTo>
                <a:pt x="0" y="516359"/>
              </a:lnTo>
              <a:lnTo>
                <a:pt x="137695" y="516359"/>
              </a:lnTo>
            </a:path>
          </a:pathLst>
        </a:custGeom>
      </dgm:spPr>
      <dgm:t>
        <a:bodyPr/>
        <a:lstStyle/>
        <a:p>
          <a:endParaRPr lang="en-IE"/>
        </a:p>
      </dgm:t>
    </dgm:pt>
    <dgm:pt modelId="{5D4D7FC8-6555-4668-A436-989A062FAFAC}" type="sibTrans" cxnId="{EB8CB6AF-B321-499E-AF84-59828C0EE4D6}">
      <dgm:prSet/>
      <dgm:spPr/>
      <dgm:t>
        <a:bodyPr/>
        <a:lstStyle/>
        <a:p>
          <a:endParaRPr lang="en-IE"/>
        </a:p>
      </dgm:t>
    </dgm:pt>
    <dgm:pt modelId="{42AC3797-2AA9-40C3-843B-720D7C3A5CB0}">
      <dgm:prSet/>
      <dgm:spPr>
        <a:xfrm>
          <a:off x="2330112" y="1727187"/>
          <a:ext cx="1101566" cy="688478"/>
        </a:xfrm>
        <a:prstGeom prst="roundRect">
          <a:avLst>
            <a:gd name="adj" fmla="val 10000"/>
          </a:avLst>
        </a:prstGeom>
      </dgm:spPr>
      <dgm:t>
        <a:bodyPr/>
        <a:lstStyle/>
        <a:p>
          <a:pPr>
            <a:buNone/>
          </a:pPr>
          <a:r>
            <a:rPr lang="en-IE">
              <a:latin typeface="Calibri" panose="020F0502020204030204"/>
              <a:ea typeface="+mn-ea"/>
              <a:cs typeface="+mn-cs"/>
            </a:rPr>
            <a:t>Child Development</a:t>
          </a:r>
        </a:p>
      </dgm:t>
    </dgm:pt>
    <dgm:pt modelId="{8E8CC332-590D-4A88-AD54-67DCA59F7FB0}" type="parTrans" cxnId="{CEE2AEC2-2123-4287-A0E1-7C2F26104734}">
      <dgm:prSet/>
      <dgm:spPr>
        <a:xfrm>
          <a:off x="2192416" y="694469"/>
          <a:ext cx="137695" cy="1376957"/>
        </a:xfrm>
        <a:custGeom>
          <a:avLst/>
          <a:gdLst/>
          <a:ahLst/>
          <a:cxnLst/>
          <a:rect l="0" t="0" r="0" b="0"/>
          <a:pathLst>
            <a:path>
              <a:moveTo>
                <a:pt x="0" y="0"/>
              </a:moveTo>
              <a:lnTo>
                <a:pt x="0" y="1376957"/>
              </a:lnTo>
              <a:lnTo>
                <a:pt x="137695" y="1376957"/>
              </a:lnTo>
            </a:path>
          </a:pathLst>
        </a:custGeom>
      </dgm:spPr>
      <dgm:t>
        <a:bodyPr/>
        <a:lstStyle/>
        <a:p>
          <a:endParaRPr lang="en-IE"/>
        </a:p>
      </dgm:t>
    </dgm:pt>
    <dgm:pt modelId="{4A46E3CA-C18B-4B2D-BD71-AFD98D6F0891}" type="sibTrans" cxnId="{CEE2AEC2-2123-4287-A0E1-7C2F26104734}">
      <dgm:prSet/>
      <dgm:spPr/>
      <dgm:t>
        <a:bodyPr/>
        <a:lstStyle/>
        <a:p>
          <a:endParaRPr lang="en-IE"/>
        </a:p>
      </dgm:t>
    </dgm:pt>
    <dgm:pt modelId="{24FA14E1-B5E6-494D-87DB-3CA56DD007FB}">
      <dgm:prSet/>
      <dgm:spPr>
        <a:xfrm>
          <a:off x="2330112" y="2587786"/>
          <a:ext cx="1101566" cy="688478"/>
        </a:xfrm>
        <a:prstGeom prst="roundRect">
          <a:avLst>
            <a:gd name="adj" fmla="val 10000"/>
          </a:avLst>
        </a:prstGeom>
      </dgm:spPr>
      <dgm:t>
        <a:bodyPr/>
        <a:lstStyle/>
        <a:p>
          <a:pPr>
            <a:buNone/>
          </a:pPr>
          <a:r>
            <a:rPr lang="en-IE">
              <a:latin typeface="Calibri" panose="020F0502020204030204"/>
              <a:ea typeface="+mn-ea"/>
              <a:cs typeface="+mn-cs"/>
            </a:rPr>
            <a:t>Play</a:t>
          </a:r>
          <a:endParaRPr lang="en-IE" b="1">
            <a:latin typeface="Calibri" panose="020F0502020204030204"/>
            <a:ea typeface="+mn-ea"/>
            <a:cs typeface="+mn-cs"/>
          </a:endParaRPr>
        </a:p>
      </dgm:t>
    </dgm:pt>
    <dgm:pt modelId="{7CD214C4-06E5-493D-A8C8-D508C4FC6939}" type="parTrans" cxnId="{3708191A-61BE-4F1E-80E3-A59396C1F8E2}">
      <dgm:prSet/>
      <dgm:spPr>
        <a:xfrm>
          <a:off x="2192416" y="694469"/>
          <a:ext cx="137695" cy="2237556"/>
        </a:xfrm>
        <a:custGeom>
          <a:avLst/>
          <a:gdLst/>
          <a:ahLst/>
          <a:cxnLst/>
          <a:rect l="0" t="0" r="0" b="0"/>
          <a:pathLst>
            <a:path>
              <a:moveTo>
                <a:pt x="0" y="0"/>
              </a:moveTo>
              <a:lnTo>
                <a:pt x="0" y="2237556"/>
              </a:lnTo>
              <a:lnTo>
                <a:pt x="137695" y="2237556"/>
              </a:lnTo>
            </a:path>
          </a:pathLst>
        </a:custGeom>
      </dgm:spPr>
      <dgm:t>
        <a:bodyPr/>
        <a:lstStyle/>
        <a:p>
          <a:endParaRPr lang="en-IE"/>
        </a:p>
      </dgm:t>
    </dgm:pt>
    <dgm:pt modelId="{D3803A81-3BDB-4236-917B-209B289D06F0}" type="sibTrans" cxnId="{3708191A-61BE-4F1E-80E3-A59396C1F8E2}">
      <dgm:prSet/>
      <dgm:spPr/>
      <dgm:t>
        <a:bodyPr/>
        <a:lstStyle/>
        <a:p>
          <a:endParaRPr lang="en-IE"/>
        </a:p>
      </dgm:t>
    </dgm:pt>
    <dgm:pt modelId="{173F36A7-5F65-4240-A54D-149BEEFEDF9A}">
      <dgm:prSet/>
      <dgm:spPr>
        <a:xfrm>
          <a:off x="4051309" y="2587786"/>
          <a:ext cx="1101566" cy="688478"/>
        </a:xfrm>
        <a:prstGeom prst="roundRect">
          <a:avLst>
            <a:gd name="adj" fmla="val 10000"/>
          </a:avLst>
        </a:prstGeom>
      </dgm:spPr>
      <dgm:t>
        <a:bodyPr/>
        <a:lstStyle/>
        <a:p>
          <a:pPr>
            <a:buNone/>
          </a:pPr>
          <a:r>
            <a:rPr lang="en-IE">
              <a:latin typeface="Calibri" panose="020F0502020204030204"/>
              <a:ea typeface="+mn-ea"/>
              <a:cs typeface="+mn-cs"/>
            </a:rPr>
            <a:t>Simulations with standardised patients</a:t>
          </a:r>
        </a:p>
      </dgm:t>
    </dgm:pt>
    <dgm:pt modelId="{AB3D81E7-509F-4150-A3AA-D071510B78FF}" type="parTrans" cxnId="{E1DE3A43-7D24-4CA4-B606-019C8AC99FBF}">
      <dgm:prSet/>
      <dgm:spPr>
        <a:xfrm>
          <a:off x="3913614" y="694469"/>
          <a:ext cx="137695" cy="2237556"/>
        </a:xfrm>
        <a:custGeom>
          <a:avLst/>
          <a:gdLst/>
          <a:ahLst/>
          <a:cxnLst/>
          <a:rect l="0" t="0" r="0" b="0"/>
          <a:pathLst>
            <a:path>
              <a:moveTo>
                <a:pt x="0" y="0"/>
              </a:moveTo>
              <a:lnTo>
                <a:pt x="0" y="2237556"/>
              </a:lnTo>
              <a:lnTo>
                <a:pt x="137695" y="2237556"/>
              </a:lnTo>
            </a:path>
          </a:pathLst>
        </a:custGeom>
      </dgm:spPr>
      <dgm:t>
        <a:bodyPr/>
        <a:lstStyle/>
        <a:p>
          <a:endParaRPr lang="en-IE"/>
        </a:p>
      </dgm:t>
    </dgm:pt>
    <dgm:pt modelId="{62DFB9B5-E626-4DD3-B508-EDC41E8F9E94}" type="sibTrans" cxnId="{E1DE3A43-7D24-4CA4-B606-019C8AC99FBF}">
      <dgm:prSet/>
      <dgm:spPr/>
      <dgm:t>
        <a:bodyPr/>
        <a:lstStyle/>
        <a:p>
          <a:endParaRPr lang="en-IE"/>
        </a:p>
      </dgm:t>
    </dgm:pt>
    <dgm:pt modelId="{53BB293E-FDFB-43BD-993F-B5C54975A81B}">
      <dgm:prSet/>
      <dgm:spPr>
        <a:xfrm>
          <a:off x="2330112" y="5169582"/>
          <a:ext cx="1101566" cy="688478"/>
        </a:xfrm>
        <a:prstGeom prst="roundRect">
          <a:avLst>
            <a:gd name="adj" fmla="val 10000"/>
          </a:avLst>
        </a:prstGeom>
      </dgm:spPr>
      <dgm:t>
        <a:bodyPr/>
        <a:lstStyle/>
        <a:p>
          <a:pPr>
            <a:buNone/>
          </a:pPr>
          <a:r>
            <a:rPr lang="en-IE">
              <a:latin typeface="Calibri" panose="020F0502020204030204"/>
              <a:ea typeface="+mn-ea"/>
              <a:cs typeface="+mn-cs"/>
            </a:rPr>
            <a:t>Psychology</a:t>
          </a:r>
        </a:p>
      </dgm:t>
    </dgm:pt>
    <dgm:pt modelId="{A15F4C30-307B-44B2-A77B-A312A693BF98}" type="parTrans" cxnId="{CD0EB580-AAE6-4019-AC00-A75B9A6FC946}">
      <dgm:prSet/>
      <dgm:spPr>
        <a:xfrm>
          <a:off x="2192416" y="694469"/>
          <a:ext cx="137695" cy="4819352"/>
        </a:xfrm>
        <a:custGeom>
          <a:avLst/>
          <a:gdLst/>
          <a:ahLst/>
          <a:cxnLst/>
          <a:rect l="0" t="0" r="0" b="0"/>
          <a:pathLst>
            <a:path>
              <a:moveTo>
                <a:pt x="0" y="0"/>
              </a:moveTo>
              <a:lnTo>
                <a:pt x="0" y="4819352"/>
              </a:lnTo>
              <a:lnTo>
                <a:pt x="137695" y="4819352"/>
              </a:lnTo>
            </a:path>
          </a:pathLst>
        </a:custGeom>
      </dgm:spPr>
      <dgm:t>
        <a:bodyPr/>
        <a:lstStyle/>
        <a:p>
          <a:endParaRPr lang="en-IE"/>
        </a:p>
      </dgm:t>
    </dgm:pt>
    <dgm:pt modelId="{250F78CF-C789-4448-86EF-188619326F0A}" type="sibTrans" cxnId="{CD0EB580-AAE6-4019-AC00-A75B9A6FC946}">
      <dgm:prSet/>
      <dgm:spPr/>
      <dgm:t>
        <a:bodyPr/>
        <a:lstStyle/>
        <a:p>
          <a:endParaRPr lang="en-IE"/>
        </a:p>
      </dgm:t>
    </dgm:pt>
    <dgm:pt modelId="{9D0A271C-4279-487A-9A64-412943D1F1FD}">
      <dgm:prSet/>
      <dgm:spPr>
        <a:xfrm>
          <a:off x="2330112" y="6030180"/>
          <a:ext cx="1101566" cy="688478"/>
        </a:xfrm>
        <a:prstGeom prst="roundRect">
          <a:avLst>
            <a:gd name="adj" fmla="val 10000"/>
          </a:avLst>
        </a:prstGeom>
      </dgm:spPr>
      <dgm:t>
        <a:bodyPr/>
        <a:lstStyle/>
        <a:p>
          <a:pPr>
            <a:buNone/>
          </a:pPr>
          <a:r>
            <a:rPr lang="en-IE">
              <a:latin typeface="Calibri" panose="020F0502020204030204"/>
              <a:ea typeface="+mn-ea"/>
              <a:cs typeface="+mn-cs"/>
            </a:rPr>
            <a:t>Augmentative &amp; Alternative Communication </a:t>
          </a:r>
        </a:p>
      </dgm:t>
    </dgm:pt>
    <dgm:pt modelId="{6572CE6A-5598-46AC-ACC8-410C3539576D}" type="parTrans" cxnId="{005E05B2-C59D-4FC4-BB64-ED09D4A0689F}">
      <dgm:prSet/>
      <dgm:spPr>
        <a:xfrm>
          <a:off x="2192416" y="694469"/>
          <a:ext cx="137695" cy="5679950"/>
        </a:xfrm>
        <a:custGeom>
          <a:avLst/>
          <a:gdLst/>
          <a:ahLst/>
          <a:cxnLst/>
          <a:rect l="0" t="0" r="0" b="0"/>
          <a:pathLst>
            <a:path>
              <a:moveTo>
                <a:pt x="0" y="0"/>
              </a:moveTo>
              <a:lnTo>
                <a:pt x="0" y="5679950"/>
              </a:lnTo>
              <a:lnTo>
                <a:pt x="137695" y="5679950"/>
              </a:lnTo>
            </a:path>
          </a:pathLst>
        </a:custGeom>
      </dgm:spPr>
      <dgm:t>
        <a:bodyPr/>
        <a:lstStyle/>
        <a:p>
          <a:endParaRPr lang="en-IE"/>
        </a:p>
      </dgm:t>
    </dgm:pt>
    <dgm:pt modelId="{D8F2BE85-E56D-4288-A3DF-9FEFDDBB7058}" type="sibTrans" cxnId="{005E05B2-C59D-4FC4-BB64-ED09D4A0689F}">
      <dgm:prSet/>
      <dgm:spPr/>
      <dgm:t>
        <a:bodyPr/>
        <a:lstStyle/>
        <a:p>
          <a:endParaRPr lang="en-IE"/>
        </a:p>
      </dgm:t>
    </dgm:pt>
    <dgm:pt modelId="{5A08E0D6-FCE2-4924-A738-BBD8221F6330}">
      <dgm:prSet/>
      <dgm:spPr>
        <a:xfrm>
          <a:off x="2330112" y="4308983"/>
          <a:ext cx="1101566" cy="688478"/>
        </a:xfrm>
        <a:prstGeom prst="roundRect">
          <a:avLst>
            <a:gd name="adj" fmla="val 10000"/>
          </a:avLst>
        </a:prstGeom>
      </dgm:spPr>
      <dgm:t>
        <a:bodyPr/>
        <a:lstStyle/>
        <a:p>
          <a:pPr>
            <a:buNone/>
          </a:pPr>
          <a:r>
            <a:rPr lang="en-IE">
              <a:latin typeface="Calibri" panose="020F0502020204030204"/>
              <a:ea typeface="+mn-ea"/>
              <a:cs typeface="+mn-cs"/>
            </a:rPr>
            <a:t>End of Life Care</a:t>
          </a:r>
        </a:p>
      </dgm:t>
    </dgm:pt>
    <dgm:pt modelId="{72FDA5BC-27D1-4330-8B15-B65610770EF9}" type="sibTrans" cxnId="{D5DE001E-1035-4BD2-816D-2FC9D4016EF3}">
      <dgm:prSet/>
      <dgm:spPr/>
      <dgm:t>
        <a:bodyPr/>
        <a:lstStyle/>
        <a:p>
          <a:endParaRPr lang="en-IE"/>
        </a:p>
      </dgm:t>
    </dgm:pt>
    <dgm:pt modelId="{C4BE1562-9EA9-42AD-90BC-E519B14DCA6C}" type="parTrans" cxnId="{D5DE001E-1035-4BD2-816D-2FC9D4016EF3}">
      <dgm:prSet/>
      <dgm:spPr>
        <a:xfrm>
          <a:off x="2192416" y="694469"/>
          <a:ext cx="137695" cy="3958753"/>
        </a:xfrm>
        <a:custGeom>
          <a:avLst/>
          <a:gdLst/>
          <a:ahLst/>
          <a:cxnLst/>
          <a:rect l="0" t="0" r="0" b="0"/>
          <a:pathLst>
            <a:path>
              <a:moveTo>
                <a:pt x="0" y="0"/>
              </a:moveTo>
              <a:lnTo>
                <a:pt x="0" y="3958753"/>
              </a:lnTo>
              <a:lnTo>
                <a:pt x="137695" y="3958753"/>
              </a:lnTo>
            </a:path>
          </a:pathLst>
        </a:custGeom>
      </dgm:spPr>
      <dgm:t>
        <a:bodyPr/>
        <a:lstStyle/>
        <a:p>
          <a:endParaRPr lang="en-IE"/>
        </a:p>
      </dgm:t>
    </dgm:pt>
    <dgm:pt modelId="{80DF2921-5906-4E1B-B1FE-20230A7E90D8}">
      <dgm:prSet/>
      <dgm:spPr>
        <a:xfrm>
          <a:off x="2330112" y="3448384"/>
          <a:ext cx="1101566" cy="688478"/>
        </a:xfrm>
        <a:prstGeom prst="roundRect">
          <a:avLst>
            <a:gd name="adj" fmla="val 10000"/>
          </a:avLst>
        </a:prstGeom>
      </dgm:spPr>
      <dgm:t>
        <a:bodyPr/>
        <a:lstStyle/>
        <a:p>
          <a:pPr>
            <a:buNone/>
          </a:pPr>
          <a:r>
            <a:rPr lang="en-IE">
              <a:latin typeface="Calibri" panose="020F0502020204030204"/>
              <a:ea typeface="+mn-ea"/>
              <a:cs typeface="+mn-cs"/>
            </a:rPr>
            <a:t>Leadership &amp; Managment</a:t>
          </a:r>
        </a:p>
      </dgm:t>
    </dgm:pt>
    <dgm:pt modelId="{628F4117-34AE-402B-9F41-FB89F1F65ABD}" type="sibTrans" cxnId="{2B8B1F15-E22E-4F38-9771-92E131ACE36A}">
      <dgm:prSet/>
      <dgm:spPr/>
      <dgm:t>
        <a:bodyPr/>
        <a:lstStyle/>
        <a:p>
          <a:endParaRPr lang="en-IE"/>
        </a:p>
      </dgm:t>
    </dgm:pt>
    <dgm:pt modelId="{BBCD7DF4-F2AD-45A6-9358-4F8A01310B33}" type="parTrans" cxnId="{2B8B1F15-E22E-4F38-9771-92E131ACE36A}">
      <dgm:prSet/>
      <dgm:spPr>
        <a:xfrm>
          <a:off x="2192416" y="694469"/>
          <a:ext cx="137695" cy="3098155"/>
        </a:xfrm>
        <a:custGeom>
          <a:avLst/>
          <a:gdLst/>
          <a:ahLst/>
          <a:cxnLst/>
          <a:rect l="0" t="0" r="0" b="0"/>
          <a:pathLst>
            <a:path>
              <a:moveTo>
                <a:pt x="0" y="0"/>
              </a:moveTo>
              <a:lnTo>
                <a:pt x="0" y="3098155"/>
              </a:lnTo>
              <a:lnTo>
                <a:pt x="137695" y="3098155"/>
              </a:lnTo>
            </a:path>
          </a:pathLst>
        </a:custGeom>
      </dgm:spPr>
      <dgm:t>
        <a:bodyPr/>
        <a:lstStyle/>
        <a:p>
          <a:endParaRPr lang="en-IE"/>
        </a:p>
      </dgm:t>
    </dgm:pt>
    <dgm:pt modelId="{F112C2F8-9BE0-4C9D-B72D-3C9AA4C562E4}" type="pres">
      <dgm:prSet presAssocID="{8945C13E-264D-484E-B191-9060C9FDAEE0}" presName="diagram" presStyleCnt="0">
        <dgm:presLayoutVars>
          <dgm:chPref val="1"/>
          <dgm:dir/>
          <dgm:animOne val="branch"/>
          <dgm:animLvl val="lvl"/>
          <dgm:resizeHandles/>
        </dgm:presLayoutVars>
      </dgm:prSet>
      <dgm:spPr/>
    </dgm:pt>
    <dgm:pt modelId="{4813EFB8-E315-4676-B0FA-3B4671220F93}" type="pres">
      <dgm:prSet presAssocID="{58AF9AF4-4B19-4A51-94A7-430EB13C1EDA}" presName="root" presStyleCnt="0"/>
      <dgm:spPr/>
    </dgm:pt>
    <dgm:pt modelId="{7E21AAF0-CDFC-4E0F-AC0E-91A3512D6CC3}" type="pres">
      <dgm:prSet presAssocID="{58AF9AF4-4B19-4A51-94A7-430EB13C1EDA}" presName="rootComposite" presStyleCnt="0"/>
      <dgm:spPr/>
    </dgm:pt>
    <dgm:pt modelId="{B5D28D53-A39C-49C0-B11B-6591DDE9532E}" type="pres">
      <dgm:prSet presAssocID="{58AF9AF4-4B19-4A51-94A7-430EB13C1EDA}" presName="rootText" presStyleLbl="node1" presStyleIdx="0" presStyleCnt="3"/>
      <dgm:spPr/>
    </dgm:pt>
    <dgm:pt modelId="{535CCF1F-0339-4830-846F-7C92CA2718DF}" type="pres">
      <dgm:prSet presAssocID="{58AF9AF4-4B19-4A51-94A7-430EB13C1EDA}" presName="rootConnector" presStyleLbl="node1" presStyleIdx="0" presStyleCnt="3"/>
      <dgm:spPr/>
    </dgm:pt>
    <dgm:pt modelId="{8E0F4907-4FFE-4678-9A70-7739D1E7C5F5}" type="pres">
      <dgm:prSet presAssocID="{58AF9AF4-4B19-4A51-94A7-430EB13C1EDA}" presName="childShape" presStyleCnt="0"/>
      <dgm:spPr/>
    </dgm:pt>
    <dgm:pt modelId="{7E7ECFB9-6AEA-45E1-81BA-081AD7ADAEE5}" type="pres">
      <dgm:prSet presAssocID="{2434A164-6301-461B-95D2-051B7C1BF93C}" presName="Name13" presStyleLbl="parChTrans1D2" presStyleIdx="0" presStyleCnt="12"/>
      <dgm:spPr/>
    </dgm:pt>
    <dgm:pt modelId="{0FC0FB11-345F-4398-8331-DBB1841C3620}" type="pres">
      <dgm:prSet presAssocID="{DE03C0FC-AA23-4142-9C47-50BA3DEA2E9B}" presName="childText" presStyleLbl="bgAcc1" presStyleIdx="0" presStyleCnt="12">
        <dgm:presLayoutVars>
          <dgm:bulletEnabled val="1"/>
        </dgm:presLayoutVars>
      </dgm:prSet>
      <dgm:spPr/>
    </dgm:pt>
    <dgm:pt modelId="{D34F8F36-781E-4451-A8E7-DB7CA3963477}" type="pres">
      <dgm:prSet presAssocID="{F5ED59C9-7341-4B57-BAAF-A86215223A1E}" presName="Name13" presStyleLbl="parChTrans1D2" presStyleIdx="1" presStyleCnt="12"/>
      <dgm:spPr/>
    </dgm:pt>
    <dgm:pt modelId="{2EACC8C6-DFEF-41E8-B792-B4A6516C99C1}" type="pres">
      <dgm:prSet presAssocID="{49284854-B928-4A77-93DD-99BD1489EC22}" presName="childText" presStyleLbl="bgAcc1" presStyleIdx="1" presStyleCnt="12">
        <dgm:presLayoutVars>
          <dgm:bulletEnabled val="1"/>
        </dgm:presLayoutVars>
      </dgm:prSet>
      <dgm:spPr/>
    </dgm:pt>
    <dgm:pt modelId="{3D249BDF-5342-46D0-95E3-48965B18093D}" type="pres">
      <dgm:prSet presAssocID="{8EF8A013-C027-41BF-B8E2-676443B7A6EF}" presName="root" presStyleCnt="0"/>
      <dgm:spPr/>
    </dgm:pt>
    <dgm:pt modelId="{9CFAF0E9-38EA-4634-B23C-1A84518900F3}" type="pres">
      <dgm:prSet presAssocID="{8EF8A013-C027-41BF-B8E2-676443B7A6EF}" presName="rootComposite" presStyleCnt="0"/>
      <dgm:spPr/>
    </dgm:pt>
    <dgm:pt modelId="{7835273E-7924-48F0-9107-94E85607866F}" type="pres">
      <dgm:prSet presAssocID="{8EF8A013-C027-41BF-B8E2-676443B7A6EF}" presName="rootText" presStyleLbl="node1" presStyleIdx="1" presStyleCnt="3"/>
      <dgm:spPr/>
    </dgm:pt>
    <dgm:pt modelId="{AC3A0BA4-B2D2-4B83-8897-2EA812A76A31}" type="pres">
      <dgm:prSet presAssocID="{8EF8A013-C027-41BF-B8E2-676443B7A6EF}" presName="rootConnector" presStyleLbl="node1" presStyleIdx="1" presStyleCnt="3"/>
      <dgm:spPr/>
    </dgm:pt>
    <dgm:pt modelId="{F1F293AF-BEC0-4700-A6C1-8665C5045815}" type="pres">
      <dgm:prSet presAssocID="{8EF8A013-C027-41BF-B8E2-676443B7A6EF}" presName="childShape" presStyleCnt="0"/>
      <dgm:spPr/>
    </dgm:pt>
    <dgm:pt modelId="{FE190E42-156F-4247-9F23-BD7E26EEC1BE}" type="pres">
      <dgm:prSet presAssocID="{34E945EC-201D-42CE-A9EE-C32AC241892F}" presName="Name13" presStyleLbl="parChTrans1D2" presStyleIdx="2" presStyleCnt="12"/>
      <dgm:spPr/>
    </dgm:pt>
    <dgm:pt modelId="{16274FDC-AAFE-4819-B35A-957EEFA218DE}" type="pres">
      <dgm:prSet presAssocID="{745561EA-A1A8-4172-AE37-F35FEA28C3CA}" presName="childText" presStyleLbl="bgAcc1" presStyleIdx="2" presStyleCnt="12">
        <dgm:presLayoutVars>
          <dgm:bulletEnabled val="1"/>
        </dgm:presLayoutVars>
      </dgm:prSet>
      <dgm:spPr/>
    </dgm:pt>
    <dgm:pt modelId="{EA6994B1-6196-430F-8DCE-203D9F59A93A}" type="pres">
      <dgm:prSet presAssocID="{8E8CC332-590D-4A88-AD54-67DCA59F7FB0}" presName="Name13" presStyleLbl="parChTrans1D2" presStyleIdx="3" presStyleCnt="12"/>
      <dgm:spPr/>
    </dgm:pt>
    <dgm:pt modelId="{E2234B65-2782-4C46-98FA-217F1171747F}" type="pres">
      <dgm:prSet presAssocID="{42AC3797-2AA9-40C3-843B-720D7C3A5CB0}" presName="childText" presStyleLbl="bgAcc1" presStyleIdx="3" presStyleCnt="12">
        <dgm:presLayoutVars>
          <dgm:bulletEnabled val="1"/>
        </dgm:presLayoutVars>
      </dgm:prSet>
      <dgm:spPr/>
    </dgm:pt>
    <dgm:pt modelId="{2DF91C5A-EA04-4BCF-808B-C72E945124ED}" type="pres">
      <dgm:prSet presAssocID="{7CD214C4-06E5-493D-A8C8-D508C4FC6939}" presName="Name13" presStyleLbl="parChTrans1D2" presStyleIdx="4" presStyleCnt="12"/>
      <dgm:spPr/>
    </dgm:pt>
    <dgm:pt modelId="{DA6B0A6E-DC49-458D-BE9E-0131AF938336}" type="pres">
      <dgm:prSet presAssocID="{24FA14E1-B5E6-494D-87DB-3CA56DD007FB}" presName="childText" presStyleLbl="bgAcc1" presStyleIdx="4" presStyleCnt="12">
        <dgm:presLayoutVars>
          <dgm:bulletEnabled val="1"/>
        </dgm:presLayoutVars>
      </dgm:prSet>
      <dgm:spPr/>
    </dgm:pt>
    <dgm:pt modelId="{D903F94C-FF04-405A-8F1E-29C4D4333730}" type="pres">
      <dgm:prSet presAssocID="{BBCD7DF4-F2AD-45A6-9358-4F8A01310B33}" presName="Name13" presStyleLbl="parChTrans1D2" presStyleIdx="5" presStyleCnt="12"/>
      <dgm:spPr/>
    </dgm:pt>
    <dgm:pt modelId="{89A284EC-47A0-4543-9247-5BA60FF185C0}" type="pres">
      <dgm:prSet presAssocID="{80DF2921-5906-4E1B-B1FE-20230A7E90D8}" presName="childText" presStyleLbl="bgAcc1" presStyleIdx="5" presStyleCnt="12">
        <dgm:presLayoutVars>
          <dgm:bulletEnabled val="1"/>
        </dgm:presLayoutVars>
      </dgm:prSet>
      <dgm:spPr/>
    </dgm:pt>
    <dgm:pt modelId="{2A1B9313-B4A6-49BF-B6DB-ACA47F27A80D}" type="pres">
      <dgm:prSet presAssocID="{C4BE1562-9EA9-42AD-90BC-E519B14DCA6C}" presName="Name13" presStyleLbl="parChTrans1D2" presStyleIdx="6" presStyleCnt="12"/>
      <dgm:spPr/>
    </dgm:pt>
    <dgm:pt modelId="{E3A9E4F1-7471-4A0B-A730-FC459CFD5283}" type="pres">
      <dgm:prSet presAssocID="{5A08E0D6-FCE2-4924-A738-BBD8221F6330}" presName="childText" presStyleLbl="bgAcc1" presStyleIdx="6" presStyleCnt="12">
        <dgm:presLayoutVars>
          <dgm:bulletEnabled val="1"/>
        </dgm:presLayoutVars>
      </dgm:prSet>
      <dgm:spPr/>
    </dgm:pt>
    <dgm:pt modelId="{ED53A820-2456-4414-8D71-67D9BA069906}" type="pres">
      <dgm:prSet presAssocID="{A15F4C30-307B-44B2-A77B-A312A693BF98}" presName="Name13" presStyleLbl="parChTrans1D2" presStyleIdx="7" presStyleCnt="12"/>
      <dgm:spPr/>
    </dgm:pt>
    <dgm:pt modelId="{3B84258A-C744-4C74-8893-6111FF786E0C}" type="pres">
      <dgm:prSet presAssocID="{53BB293E-FDFB-43BD-993F-B5C54975A81B}" presName="childText" presStyleLbl="bgAcc1" presStyleIdx="7" presStyleCnt="12">
        <dgm:presLayoutVars>
          <dgm:bulletEnabled val="1"/>
        </dgm:presLayoutVars>
      </dgm:prSet>
      <dgm:spPr/>
    </dgm:pt>
    <dgm:pt modelId="{BBF613A9-9755-4F46-8DBE-196D89DE2A68}" type="pres">
      <dgm:prSet presAssocID="{6572CE6A-5598-46AC-ACC8-410C3539576D}" presName="Name13" presStyleLbl="parChTrans1D2" presStyleIdx="8" presStyleCnt="12"/>
      <dgm:spPr/>
    </dgm:pt>
    <dgm:pt modelId="{C9EB37AA-54E7-48EC-B0DF-4705855937D9}" type="pres">
      <dgm:prSet presAssocID="{9D0A271C-4279-487A-9A64-412943D1F1FD}" presName="childText" presStyleLbl="bgAcc1" presStyleIdx="8" presStyleCnt="12">
        <dgm:presLayoutVars>
          <dgm:bulletEnabled val="1"/>
        </dgm:presLayoutVars>
      </dgm:prSet>
      <dgm:spPr/>
    </dgm:pt>
    <dgm:pt modelId="{A4DD166A-D91D-48BB-A4DD-A2F2DCAF8064}" type="pres">
      <dgm:prSet presAssocID="{2CC00F21-A512-45E8-9BFA-7FF9AA66B5DF}" presName="root" presStyleCnt="0"/>
      <dgm:spPr/>
    </dgm:pt>
    <dgm:pt modelId="{DD57F573-1525-421D-856D-9059B4BE08EC}" type="pres">
      <dgm:prSet presAssocID="{2CC00F21-A512-45E8-9BFA-7FF9AA66B5DF}" presName="rootComposite" presStyleCnt="0"/>
      <dgm:spPr/>
    </dgm:pt>
    <dgm:pt modelId="{1295B72E-4A6C-4EBD-94B2-D8FEA715E190}" type="pres">
      <dgm:prSet presAssocID="{2CC00F21-A512-45E8-9BFA-7FF9AA66B5DF}" presName="rootText" presStyleLbl="node1" presStyleIdx="2" presStyleCnt="3"/>
      <dgm:spPr/>
    </dgm:pt>
    <dgm:pt modelId="{1C0E5318-7DA5-411E-BA6A-267846C57AF9}" type="pres">
      <dgm:prSet presAssocID="{2CC00F21-A512-45E8-9BFA-7FF9AA66B5DF}" presName="rootConnector" presStyleLbl="node1" presStyleIdx="2" presStyleCnt="3"/>
      <dgm:spPr/>
    </dgm:pt>
    <dgm:pt modelId="{EB7161EC-C4CF-4CAE-A286-E1C8F016DE8A}" type="pres">
      <dgm:prSet presAssocID="{2CC00F21-A512-45E8-9BFA-7FF9AA66B5DF}" presName="childShape" presStyleCnt="0"/>
      <dgm:spPr/>
    </dgm:pt>
    <dgm:pt modelId="{C783BC46-A6A5-4311-85D8-CE2D4E44C6D5}" type="pres">
      <dgm:prSet presAssocID="{639C1CD1-E270-4DEF-AE5B-508084329E83}" presName="Name13" presStyleLbl="parChTrans1D2" presStyleIdx="9" presStyleCnt="12"/>
      <dgm:spPr/>
    </dgm:pt>
    <dgm:pt modelId="{037AF090-DB95-4760-ACBC-9F53F1494B35}" type="pres">
      <dgm:prSet presAssocID="{AC90DDE4-D35B-4342-8646-993A5B427E3A}" presName="childText" presStyleLbl="bgAcc1" presStyleIdx="9" presStyleCnt="12">
        <dgm:presLayoutVars>
          <dgm:bulletEnabled val="1"/>
        </dgm:presLayoutVars>
      </dgm:prSet>
      <dgm:spPr/>
    </dgm:pt>
    <dgm:pt modelId="{9B59AD75-91F3-40D4-88DC-9ED5847545BB}" type="pres">
      <dgm:prSet presAssocID="{B18F415D-D7A1-4113-AEDD-EC7781A3C1E5}" presName="Name13" presStyleLbl="parChTrans1D2" presStyleIdx="10" presStyleCnt="12"/>
      <dgm:spPr/>
    </dgm:pt>
    <dgm:pt modelId="{8638561C-8875-4211-8FE7-2B7711E1D47E}" type="pres">
      <dgm:prSet presAssocID="{C30C4D18-F9FD-4423-A8D4-AC7AC6AFBA8D}" presName="childText" presStyleLbl="bgAcc1" presStyleIdx="10" presStyleCnt="12">
        <dgm:presLayoutVars>
          <dgm:bulletEnabled val="1"/>
        </dgm:presLayoutVars>
      </dgm:prSet>
      <dgm:spPr/>
    </dgm:pt>
    <dgm:pt modelId="{B668BAA4-3F88-4ACA-B8B3-4413D934A138}" type="pres">
      <dgm:prSet presAssocID="{AB3D81E7-509F-4150-A3AA-D071510B78FF}" presName="Name13" presStyleLbl="parChTrans1D2" presStyleIdx="11" presStyleCnt="12"/>
      <dgm:spPr/>
    </dgm:pt>
    <dgm:pt modelId="{5AAA6963-B68E-4786-B363-87CBDEC3C2DC}" type="pres">
      <dgm:prSet presAssocID="{173F36A7-5F65-4240-A54D-149BEEFEDF9A}" presName="childText" presStyleLbl="bgAcc1" presStyleIdx="11" presStyleCnt="12">
        <dgm:presLayoutVars>
          <dgm:bulletEnabled val="1"/>
        </dgm:presLayoutVars>
      </dgm:prSet>
      <dgm:spPr/>
    </dgm:pt>
  </dgm:ptLst>
  <dgm:cxnLst>
    <dgm:cxn modelId="{AE0EBB00-254A-420D-A30E-EC373946DA06}" type="presOf" srcId="{B18F415D-D7A1-4113-AEDD-EC7781A3C1E5}" destId="{9B59AD75-91F3-40D4-88DC-9ED5847545BB}" srcOrd="0" destOrd="0" presId="urn:microsoft.com/office/officeart/2005/8/layout/hierarchy3"/>
    <dgm:cxn modelId="{B3BCD80A-5A4C-442A-BF7A-F2447D6FFD45}" type="presOf" srcId="{DE03C0FC-AA23-4142-9C47-50BA3DEA2E9B}" destId="{0FC0FB11-345F-4398-8331-DBB1841C3620}" srcOrd="0" destOrd="0" presId="urn:microsoft.com/office/officeart/2005/8/layout/hierarchy3"/>
    <dgm:cxn modelId="{9BA5C30B-5B30-405F-A158-AB91CAA303B9}" srcId="{2CC00F21-A512-45E8-9BFA-7FF9AA66B5DF}" destId="{C30C4D18-F9FD-4423-A8D4-AC7AC6AFBA8D}" srcOrd="1" destOrd="0" parTransId="{B18F415D-D7A1-4113-AEDD-EC7781A3C1E5}" sibTransId="{4A2B253A-13D4-4CA0-94EC-54F8A6E590C4}"/>
    <dgm:cxn modelId="{48F43611-E15C-4475-BEF7-8BC27F770A6F}" type="presOf" srcId="{8945C13E-264D-484E-B191-9060C9FDAEE0}" destId="{F112C2F8-9BE0-4C9D-B72D-3C9AA4C562E4}" srcOrd="0" destOrd="0" presId="urn:microsoft.com/office/officeart/2005/8/layout/hierarchy3"/>
    <dgm:cxn modelId="{A8F48912-227E-4784-8051-8B6ECDE76AAC}" srcId="{8945C13E-264D-484E-B191-9060C9FDAEE0}" destId="{8EF8A013-C027-41BF-B8E2-676443B7A6EF}" srcOrd="1" destOrd="0" parTransId="{095A5FE8-A49B-4210-AF3E-406CFA2C230D}" sibTransId="{ACA15653-4017-4118-B22A-D5752B16D8E3}"/>
    <dgm:cxn modelId="{1C0A9B14-9D65-4657-9190-10EAD720E985}" type="presOf" srcId="{A15F4C30-307B-44B2-A77B-A312A693BF98}" destId="{ED53A820-2456-4414-8D71-67D9BA069906}" srcOrd="0" destOrd="0" presId="urn:microsoft.com/office/officeart/2005/8/layout/hierarchy3"/>
    <dgm:cxn modelId="{2B8B1F15-E22E-4F38-9771-92E131ACE36A}" srcId="{8EF8A013-C027-41BF-B8E2-676443B7A6EF}" destId="{80DF2921-5906-4E1B-B1FE-20230A7E90D8}" srcOrd="3" destOrd="0" parTransId="{BBCD7DF4-F2AD-45A6-9358-4F8A01310B33}" sibTransId="{628F4117-34AE-402B-9F41-FB89F1F65ABD}"/>
    <dgm:cxn modelId="{3E71FA18-B2A1-4D8B-8C1C-B746BBEB0B84}" type="presOf" srcId="{49284854-B928-4A77-93DD-99BD1489EC22}" destId="{2EACC8C6-DFEF-41E8-B792-B4A6516C99C1}" srcOrd="0" destOrd="0" presId="urn:microsoft.com/office/officeart/2005/8/layout/hierarchy3"/>
    <dgm:cxn modelId="{3708191A-61BE-4F1E-80E3-A59396C1F8E2}" srcId="{8EF8A013-C027-41BF-B8E2-676443B7A6EF}" destId="{24FA14E1-B5E6-494D-87DB-3CA56DD007FB}" srcOrd="2" destOrd="0" parTransId="{7CD214C4-06E5-493D-A8C8-D508C4FC6939}" sibTransId="{D3803A81-3BDB-4236-917B-209B289D06F0}"/>
    <dgm:cxn modelId="{D5DE001E-1035-4BD2-816D-2FC9D4016EF3}" srcId="{8EF8A013-C027-41BF-B8E2-676443B7A6EF}" destId="{5A08E0D6-FCE2-4924-A738-BBD8221F6330}" srcOrd="4" destOrd="0" parTransId="{C4BE1562-9EA9-42AD-90BC-E519B14DCA6C}" sibTransId="{72FDA5BC-27D1-4330-8B15-B65610770EF9}"/>
    <dgm:cxn modelId="{59EA8A24-F666-4923-93CA-BDF98E443333}" type="presOf" srcId="{9D0A271C-4279-487A-9A64-412943D1F1FD}" destId="{C9EB37AA-54E7-48EC-B0DF-4705855937D9}" srcOrd="0" destOrd="0" presId="urn:microsoft.com/office/officeart/2005/8/layout/hierarchy3"/>
    <dgm:cxn modelId="{35665B27-D03B-4F6C-A417-FD03CC2C437B}" srcId="{58AF9AF4-4B19-4A51-94A7-430EB13C1EDA}" destId="{DE03C0FC-AA23-4142-9C47-50BA3DEA2E9B}" srcOrd="0" destOrd="0" parTransId="{2434A164-6301-461B-95D2-051B7C1BF93C}" sibTransId="{1BE36A57-3B65-4A6A-AD50-D1786E9121CA}"/>
    <dgm:cxn modelId="{BDDCA23A-58F4-4B5C-9C33-1ABF95A71BC8}" type="presOf" srcId="{8E8CC332-590D-4A88-AD54-67DCA59F7FB0}" destId="{EA6994B1-6196-430F-8DCE-203D9F59A93A}" srcOrd="0" destOrd="0" presId="urn:microsoft.com/office/officeart/2005/8/layout/hierarchy3"/>
    <dgm:cxn modelId="{EAA4AF3C-E2BD-4AC9-AD54-DCA693BC8E9C}" srcId="{2CC00F21-A512-45E8-9BFA-7FF9AA66B5DF}" destId="{AC90DDE4-D35B-4342-8646-993A5B427E3A}" srcOrd="0" destOrd="0" parTransId="{639C1CD1-E270-4DEF-AE5B-508084329E83}" sibTransId="{E1EF9006-CE22-4277-A978-FCF80EF848AE}"/>
    <dgm:cxn modelId="{1DC63040-7268-4B37-9F33-AA2326334D69}" type="presOf" srcId="{745561EA-A1A8-4172-AE37-F35FEA28C3CA}" destId="{16274FDC-AAFE-4819-B35A-957EEFA218DE}" srcOrd="0" destOrd="0" presId="urn:microsoft.com/office/officeart/2005/8/layout/hierarchy3"/>
    <dgm:cxn modelId="{E1DE3A43-7D24-4CA4-B606-019C8AC99FBF}" srcId="{2CC00F21-A512-45E8-9BFA-7FF9AA66B5DF}" destId="{173F36A7-5F65-4240-A54D-149BEEFEDF9A}" srcOrd="2" destOrd="0" parTransId="{AB3D81E7-509F-4150-A3AA-D071510B78FF}" sibTransId="{62DFB9B5-E626-4DD3-B508-EDC41E8F9E94}"/>
    <dgm:cxn modelId="{C3C9D348-6158-454C-8BA0-A6D64A20931B}" type="presOf" srcId="{6572CE6A-5598-46AC-ACC8-410C3539576D}" destId="{BBF613A9-9755-4F46-8DBE-196D89DE2A68}" srcOrd="0" destOrd="0" presId="urn:microsoft.com/office/officeart/2005/8/layout/hierarchy3"/>
    <dgm:cxn modelId="{85E99569-2B64-4025-B018-ECAAE44DB7CC}" type="presOf" srcId="{24FA14E1-B5E6-494D-87DB-3CA56DD007FB}" destId="{DA6B0A6E-DC49-458D-BE9E-0131AF938336}" srcOrd="0" destOrd="0" presId="urn:microsoft.com/office/officeart/2005/8/layout/hierarchy3"/>
    <dgm:cxn modelId="{267BEE69-A7AE-4A94-A680-25F5719C6E0C}" type="presOf" srcId="{8EF8A013-C027-41BF-B8E2-676443B7A6EF}" destId="{7835273E-7924-48F0-9107-94E85607866F}" srcOrd="0" destOrd="0" presId="urn:microsoft.com/office/officeart/2005/8/layout/hierarchy3"/>
    <dgm:cxn modelId="{8755434D-53CF-4BCB-B35B-220D343865DF}" type="presOf" srcId="{5A08E0D6-FCE2-4924-A738-BBD8221F6330}" destId="{E3A9E4F1-7471-4A0B-A730-FC459CFD5283}" srcOrd="0" destOrd="0" presId="urn:microsoft.com/office/officeart/2005/8/layout/hierarchy3"/>
    <dgm:cxn modelId="{33BDA14E-9D12-4630-B99C-6971E10B75D4}" type="presOf" srcId="{F5ED59C9-7341-4B57-BAAF-A86215223A1E}" destId="{D34F8F36-781E-4451-A8E7-DB7CA3963477}" srcOrd="0" destOrd="0" presId="urn:microsoft.com/office/officeart/2005/8/layout/hierarchy3"/>
    <dgm:cxn modelId="{80B85C70-EDC3-4BB3-B21B-E2344E3FDFE9}" type="presOf" srcId="{80DF2921-5906-4E1B-B1FE-20230A7E90D8}" destId="{89A284EC-47A0-4543-9247-5BA60FF185C0}" srcOrd="0" destOrd="0" presId="urn:microsoft.com/office/officeart/2005/8/layout/hierarchy3"/>
    <dgm:cxn modelId="{10E6F774-81B4-4450-942A-B3C6EF5EF54F}" srcId="{58AF9AF4-4B19-4A51-94A7-430EB13C1EDA}" destId="{49284854-B928-4A77-93DD-99BD1489EC22}" srcOrd="1" destOrd="0" parTransId="{F5ED59C9-7341-4B57-BAAF-A86215223A1E}" sibTransId="{1EB3BE40-33FF-486E-B640-11C0582E52F1}"/>
    <dgm:cxn modelId="{DB40FB54-DEC2-4A46-91D6-A4659FDF48A1}" type="presOf" srcId="{AC90DDE4-D35B-4342-8646-993A5B427E3A}" destId="{037AF090-DB95-4760-ACBC-9F53F1494B35}" srcOrd="0" destOrd="0" presId="urn:microsoft.com/office/officeart/2005/8/layout/hierarchy3"/>
    <dgm:cxn modelId="{E85BE978-EB9D-45DB-926B-8DC7DB30DD5A}" type="presOf" srcId="{8EF8A013-C027-41BF-B8E2-676443B7A6EF}" destId="{AC3A0BA4-B2D2-4B83-8897-2EA812A76A31}" srcOrd="1" destOrd="0" presId="urn:microsoft.com/office/officeart/2005/8/layout/hierarchy3"/>
    <dgm:cxn modelId="{7D4E6459-2A39-4858-B07C-E5CB94DD6D6E}" type="presOf" srcId="{2434A164-6301-461B-95D2-051B7C1BF93C}" destId="{7E7ECFB9-6AEA-45E1-81BA-081AD7ADAEE5}" srcOrd="0" destOrd="0" presId="urn:microsoft.com/office/officeart/2005/8/layout/hierarchy3"/>
    <dgm:cxn modelId="{AAF94C59-DC60-43FF-A3DC-A57C6601D3BF}" type="presOf" srcId="{173F36A7-5F65-4240-A54D-149BEEFEDF9A}" destId="{5AAA6963-B68E-4786-B363-87CBDEC3C2DC}" srcOrd="0" destOrd="0" presId="urn:microsoft.com/office/officeart/2005/8/layout/hierarchy3"/>
    <dgm:cxn modelId="{CD0EB580-AAE6-4019-AC00-A75B9A6FC946}" srcId="{8EF8A013-C027-41BF-B8E2-676443B7A6EF}" destId="{53BB293E-FDFB-43BD-993F-B5C54975A81B}" srcOrd="5" destOrd="0" parTransId="{A15F4C30-307B-44B2-A77B-A312A693BF98}" sibTransId="{250F78CF-C789-4448-86EF-188619326F0A}"/>
    <dgm:cxn modelId="{CAC0378B-8B81-4122-BF3B-CBC1FCAAA1B7}" type="presOf" srcId="{42AC3797-2AA9-40C3-843B-720D7C3A5CB0}" destId="{E2234B65-2782-4C46-98FA-217F1171747F}" srcOrd="0" destOrd="0" presId="urn:microsoft.com/office/officeart/2005/8/layout/hierarchy3"/>
    <dgm:cxn modelId="{20666896-B3C7-4358-9CEA-B085A871C64E}" type="presOf" srcId="{AB3D81E7-509F-4150-A3AA-D071510B78FF}" destId="{B668BAA4-3F88-4ACA-B8B3-4413D934A138}" srcOrd="0" destOrd="0" presId="urn:microsoft.com/office/officeart/2005/8/layout/hierarchy3"/>
    <dgm:cxn modelId="{733FC0AD-B316-470F-AA52-8B020F6E6E09}" srcId="{8945C13E-264D-484E-B191-9060C9FDAEE0}" destId="{58AF9AF4-4B19-4A51-94A7-430EB13C1EDA}" srcOrd="0" destOrd="0" parTransId="{CE464A28-EA37-4103-8612-C0C1C0E76760}" sibTransId="{B4479156-4937-4C23-8F9C-7F237E6C624A}"/>
    <dgm:cxn modelId="{EB8CB6AF-B321-499E-AF84-59828C0EE4D6}" srcId="{8EF8A013-C027-41BF-B8E2-676443B7A6EF}" destId="{745561EA-A1A8-4172-AE37-F35FEA28C3CA}" srcOrd="0" destOrd="0" parTransId="{34E945EC-201D-42CE-A9EE-C32AC241892F}" sibTransId="{5D4D7FC8-6555-4668-A436-989A062FAFAC}"/>
    <dgm:cxn modelId="{005E05B2-C59D-4FC4-BB64-ED09D4A0689F}" srcId="{8EF8A013-C027-41BF-B8E2-676443B7A6EF}" destId="{9D0A271C-4279-487A-9A64-412943D1F1FD}" srcOrd="6" destOrd="0" parTransId="{6572CE6A-5598-46AC-ACC8-410C3539576D}" sibTransId="{D8F2BE85-E56D-4288-A3DF-9FEFDDBB7058}"/>
    <dgm:cxn modelId="{2E00A2C2-521B-44BB-8B4F-2CC9A2FA8A4A}" type="presOf" srcId="{C4BE1562-9EA9-42AD-90BC-E519B14DCA6C}" destId="{2A1B9313-B4A6-49BF-B6DB-ACA47F27A80D}" srcOrd="0" destOrd="0" presId="urn:microsoft.com/office/officeart/2005/8/layout/hierarchy3"/>
    <dgm:cxn modelId="{CEE2AEC2-2123-4287-A0E1-7C2F26104734}" srcId="{8EF8A013-C027-41BF-B8E2-676443B7A6EF}" destId="{42AC3797-2AA9-40C3-843B-720D7C3A5CB0}" srcOrd="1" destOrd="0" parTransId="{8E8CC332-590D-4A88-AD54-67DCA59F7FB0}" sibTransId="{4A46E3CA-C18B-4B2D-BD71-AFD98D6F0891}"/>
    <dgm:cxn modelId="{507E2CCE-8DA0-48AD-BF50-A730E51D7CF7}" type="presOf" srcId="{58AF9AF4-4B19-4A51-94A7-430EB13C1EDA}" destId="{535CCF1F-0339-4830-846F-7C92CA2718DF}" srcOrd="1" destOrd="0" presId="urn:microsoft.com/office/officeart/2005/8/layout/hierarchy3"/>
    <dgm:cxn modelId="{56A257DB-0A9F-476E-AAEB-BDBC14443744}" srcId="{8945C13E-264D-484E-B191-9060C9FDAEE0}" destId="{2CC00F21-A512-45E8-9BFA-7FF9AA66B5DF}" srcOrd="2" destOrd="0" parTransId="{EFDD57C4-C070-497E-BABF-D40C6AA07056}" sibTransId="{6A15E979-1267-4F2E-9111-6C7CB126C178}"/>
    <dgm:cxn modelId="{CF4C7ADC-0086-4DC8-94BE-7B91DC18F4C0}" type="presOf" srcId="{34E945EC-201D-42CE-A9EE-C32AC241892F}" destId="{FE190E42-156F-4247-9F23-BD7E26EEC1BE}" srcOrd="0" destOrd="0" presId="urn:microsoft.com/office/officeart/2005/8/layout/hierarchy3"/>
    <dgm:cxn modelId="{FB2660DD-BCE1-44CF-BE33-155F1B6AB955}" type="presOf" srcId="{7CD214C4-06E5-493D-A8C8-D508C4FC6939}" destId="{2DF91C5A-EA04-4BCF-808B-C72E945124ED}" srcOrd="0" destOrd="0" presId="urn:microsoft.com/office/officeart/2005/8/layout/hierarchy3"/>
    <dgm:cxn modelId="{BEE084DF-7460-44C2-94AA-952917793A56}" type="presOf" srcId="{2CC00F21-A512-45E8-9BFA-7FF9AA66B5DF}" destId="{1295B72E-4A6C-4EBD-94B2-D8FEA715E190}" srcOrd="0" destOrd="0" presId="urn:microsoft.com/office/officeart/2005/8/layout/hierarchy3"/>
    <dgm:cxn modelId="{D94316E1-FAEF-4464-AF37-AE5E1111C546}" type="presOf" srcId="{BBCD7DF4-F2AD-45A6-9358-4F8A01310B33}" destId="{D903F94C-FF04-405A-8F1E-29C4D4333730}" srcOrd="0" destOrd="0" presId="urn:microsoft.com/office/officeart/2005/8/layout/hierarchy3"/>
    <dgm:cxn modelId="{B007A4E1-4CC8-4117-8FAA-00CAA3BAB0B8}" type="presOf" srcId="{639C1CD1-E270-4DEF-AE5B-508084329E83}" destId="{C783BC46-A6A5-4311-85D8-CE2D4E44C6D5}" srcOrd="0" destOrd="0" presId="urn:microsoft.com/office/officeart/2005/8/layout/hierarchy3"/>
    <dgm:cxn modelId="{4791BBE3-BFF4-496A-8F75-93B4DBFA889C}" type="presOf" srcId="{58AF9AF4-4B19-4A51-94A7-430EB13C1EDA}" destId="{B5D28D53-A39C-49C0-B11B-6591DDE9532E}" srcOrd="0" destOrd="0" presId="urn:microsoft.com/office/officeart/2005/8/layout/hierarchy3"/>
    <dgm:cxn modelId="{D9A450E6-8491-4A2B-AE19-199DEA55655E}" type="presOf" srcId="{C30C4D18-F9FD-4423-A8D4-AC7AC6AFBA8D}" destId="{8638561C-8875-4211-8FE7-2B7711E1D47E}" srcOrd="0" destOrd="0" presId="urn:microsoft.com/office/officeart/2005/8/layout/hierarchy3"/>
    <dgm:cxn modelId="{71DA3FEA-981B-4110-AF27-8688B97AFBA8}" type="presOf" srcId="{2CC00F21-A512-45E8-9BFA-7FF9AA66B5DF}" destId="{1C0E5318-7DA5-411E-BA6A-267846C57AF9}" srcOrd="1" destOrd="0" presId="urn:microsoft.com/office/officeart/2005/8/layout/hierarchy3"/>
    <dgm:cxn modelId="{4F138CF1-B67D-433C-B2EE-DC151D988FE5}" type="presOf" srcId="{53BB293E-FDFB-43BD-993F-B5C54975A81B}" destId="{3B84258A-C744-4C74-8893-6111FF786E0C}" srcOrd="0" destOrd="0" presId="urn:microsoft.com/office/officeart/2005/8/layout/hierarchy3"/>
    <dgm:cxn modelId="{625FEB2D-658E-4F79-8698-FB223A15DB96}" type="presParOf" srcId="{F112C2F8-9BE0-4C9D-B72D-3C9AA4C562E4}" destId="{4813EFB8-E315-4676-B0FA-3B4671220F93}" srcOrd="0" destOrd="0" presId="urn:microsoft.com/office/officeart/2005/8/layout/hierarchy3"/>
    <dgm:cxn modelId="{75AA98F5-1468-45BC-81D2-2EA01179AE4E}" type="presParOf" srcId="{4813EFB8-E315-4676-B0FA-3B4671220F93}" destId="{7E21AAF0-CDFC-4E0F-AC0E-91A3512D6CC3}" srcOrd="0" destOrd="0" presId="urn:microsoft.com/office/officeart/2005/8/layout/hierarchy3"/>
    <dgm:cxn modelId="{F66F0B29-3329-4C37-99E0-4EA9F489F829}" type="presParOf" srcId="{7E21AAF0-CDFC-4E0F-AC0E-91A3512D6CC3}" destId="{B5D28D53-A39C-49C0-B11B-6591DDE9532E}" srcOrd="0" destOrd="0" presId="urn:microsoft.com/office/officeart/2005/8/layout/hierarchy3"/>
    <dgm:cxn modelId="{4A2423E7-BA4B-4582-A606-3608D274E9CD}" type="presParOf" srcId="{7E21AAF0-CDFC-4E0F-AC0E-91A3512D6CC3}" destId="{535CCF1F-0339-4830-846F-7C92CA2718DF}" srcOrd="1" destOrd="0" presId="urn:microsoft.com/office/officeart/2005/8/layout/hierarchy3"/>
    <dgm:cxn modelId="{39F544CC-9503-4D5E-A764-64C9B975B778}" type="presParOf" srcId="{4813EFB8-E315-4676-B0FA-3B4671220F93}" destId="{8E0F4907-4FFE-4678-9A70-7739D1E7C5F5}" srcOrd="1" destOrd="0" presId="urn:microsoft.com/office/officeart/2005/8/layout/hierarchy3"/>
    <dgm:cxn modelId="{68F75001-6EA0-4A79-8B14-C362A69A3721}" type="presParOf" srcId="{8E0F4907-4FFE-4678-9A70-7739D1E7C5F5}" destId="{7E7ECFB9-6AEA-45E1-81BA-081AD7ADAEE5}" srcOrd="0" destOrd="0" presId="urn:microsoft.com/office/officeart/2005/8/layout/hierarchy3"/>
    <dgm:cxn modelId="{1D23DED8-2982-48E8-8E84-C7C20DFA79CD}" type="presParOf" srcId="{8E0F4907-4FFE-4678-9A70-7739D1E7C5F5}" destId="{0FC0FB11-345F-4398-8331-DBB1841C3620}" srcOrd="1" destOrd="0" presId="urn:microsoft.com/office/officeart/2005/8/layout/hierarchy3"/>
    <dgm:cxn modelId="{3134BA47-24CC-4639-A585-74C70AB7CE01}" type="presParOf" srcId="{8E0F4907-4FFE-4678-9A70-7739D1E7C5F5}" destId="{D34F8F36-781E-4451-A8E7-DB7CA3963477}" srcOrd="2" destOrd="0" presId="urn:microsoft.com/office/officeart/2005/8/layout/hierarchy3"/>
    <dgm:cxn modelId="{053B45C0-7BC3-402D-B4D8-B4BF0ED9F22E}" type="presParOf" srcId="{8E0F4907-4FFE-4678-9A70-7739D1E7C5F5}" destId="{2EACC8C6-DFEF-41E8-B792-B4A6516C99C1}" srcOrd="3" destOrd="0" presId="urn:microsoft.com/office/officeart/2005/8/layout/hierarchy3"/>
    <dgm:cxn modelId="{7098DB97-327C-4476-942E-6FA537645BDA}" type="presParOf" srcId="{F112C2F8-9BE0-4C9D-B72D-3C9AA4C562E4}" destId="{3D249BDF-5342-46D0-95E3-48965B18093D}" srcOrd="1" destOrd="0" presId="urn:microsoft.com/office/officeart/2005/8/layout/hierarchy3"/>
    <dgm:cxn modelId="{156AE4CB-2E4F-43B3-BF31-2F4323FDFE02}" type="presParOf" srcId="{3D249BDF-5342-46D0-95E3-48965B18093D}" destId="{9CFAF0E9-38EA-4634-B23C-1A84518900F3}" srcOrd="0" destOrd="0" presId="urn:microsoft.com/office/officeart/2005/8/layout/hierarchy3"/>
    <dgm:cxn modelId="{D8194644-57AC-4B43-AE0E-0E1AFCE634D6}" type="presParOf" srcId="{9CFAF0E9-38EA-4634-B23C-1A84518900F3}" destId="{7835273E-7924-48F0-9107-94E85607866F}" srcOrd="0" destOrd="0" presId="urn:microsoft.com/office/officeart/2005/8/layout/hierarchy3"/>
    <dgm:cxn modelId="{CEE829C4-7E24-4655-915C-D853CAD02FA9}" type="presParOf" srcId="{9CFAF0E9-38EA-4634-B23C-1A84518900F3}" destId="{AC3A0BA4-B2D2-4B83-8897-2EA812A76A31}" srcOrd="1" destOrd="0" presId="urn:microsoft.com/office/officeart/2005/8/layout/hierarchy3"/>
    <dgm:cxn modelId="{B448A412-FE74-4FF0-AF1A-FFF630AB297D}" type="presParOf" srcId="{3D249BDF-5342-46D0-95E3-48965B18093D}" destId="{F1F293AF-BEC0-4700-A6C1-8665C5045815}" srcOrd="1" destOrd="0" presId="urn:microsoft.com/office/officeart/2005/8/layout/hierarchy3"/>
    <dgm:cxn modelId="{C6232BBE-0313-4945-8A22-024E1415D863}" type="presParOf" srcId="{F1F293AF-BEC0-4700-A6C1-8665C5045815}" destId="{FE190E42-156F-4247-9F23-BD7E26EEC1BE}" srcOrd="0" destOrd="0" presId="urn:microsoft.com/office/officeart/2005/8/layout/hierarchy3"/>
    <dgm:cxn modelId="{FD79D4FF-8CA8-459B-867C-D1CD4DC222C7}" type="presParOf" srcId="{F1F293AF-BEC0-4700-A6C1-8665C5045815}" destId="{16274FDC-AAFE-4819-B35A-957EEFA218DE}" srcOrd="1" destOrd="0" presId="urn:microsoft.com/office/officeart/2005/8/layout/hierarchy3"/>
    <dgm:cxn modelId="{AB66B2BE-80A7-42A2-8EB3-E70445A97FE8}" type="presParOf" srcId="{F1F293AF-BEC0-4700-A6C1-8665C5045815}" destId="{EA6994B1-6196-430F-8DCE-203D9F59A93A}" srcOrd="2" destOrd="0" presId="urn:microsoft.com/office/officeart/2005/8/layout/hierarchy3"/>
    <dgm:cxn modelId="{9284C8AF-99B0-4234-9AA0-10A46035176F}" type="presParOf" srcId="{F1F293AF-BEC0-4700-A6C1-8665C5045815}" destId="{E2234B65-2782-4C46-98FA-217F1171747F}" srcOrd="3" destOrd="0" presId="urn:microsoft.com/office/officeart/2005/8/layout/hierarchy3"/>
    <dgm:cxn modelId="{AEE2D3E5-DEBF-452E-AB16-EA08859E0968}" type="presParOf" srcId="{F1F293AF-BEC0-4700-A6C1-8665C5045815}" destId="{2DF91C5A-EA04-4BCF-808B-C72E945124ED}" srcOrd="4" destOrd="0" presId="urn:microsoft.com/office/officeart/2005/8/layout/hierarchy3"/>
    <dgm:cxn modelId="{EF9A3C3E-F343-4A6F-A0E5-9DBC4FD55128}" type="presParOf" srcId="{F1F293AF-BEC0-4700-A6C1-8665C5045815}" destId="{DA6B0A6E-DC49-458D-BE9E-0131AF938336}" srcOrd="5" destOrd="0" presId="urn:microsoft.com/office/officeart/2005/8/layout/hierarchy3"/>
    <dgm:cxn modelId="{C6DA5273-CE1B-434F-A8F0-D47C27B09E2B}" type="presParOf" srcId="{F1F293AF-BEC0-4700-A6C1-8665C5045815}" destId="{D903F94C-FF04-405A-8F1E-29C4D4333730}" srcOrd="6" destOrd="0" presId="urn:microsoft.com/office/officeart/2005/8/layout/hierarchy3"/>
    <dgm:cxn modelId="{F34C82AC-44AA-419E-A8B1-C65D60BF7F9D}" type="presParOf" srcId="{F1F293AF-BEC0-4700-A6C1-8665C5045815}" destId="{89A284EC-47A0-4543-9247-5BA60FF185C0}" srcOrd="7" destOrd="0" presId="urn:microsoft.com/office/officeart/2005/8/layout/hierarchy3"/>
    <dgm:cxn modelId="{C6A05424-D31D-45B8-8883-66BAF37F2A25}" type="presParOf" srcId="{F1F293AF-BEC0-4700-A6C1-8665C5045815}" destId="{2A1B9313-B4A6-49BF-B6DB-ACA47F27A80D}" srcOrd="8" destOrd="0" presId="urn:microsoft.com/office/officeart/2005/8/layout/hierarchy3"/>
    <dgm:cxn modelId="{DC955572-5CB7-4E19-B0B7-4F1D8A82E565}" type="presParOf" srcId="{F1F293AF-BEC0-4700-A6C1-8665C5045815}" destId="{E3A9E4F1-7471-4A0B-A730-FC459CFD5283}" srcOrd="9" destOrd="0" presId="urn:microsoft.com/office/officeart/2005/8/layout/hierarchy3"/>
    <dgm:cxn modelId="{7239C369-8F9D-4B0A-86FD-1C976A37A5B6}" type="presParOf" srcId="{F1F293AF-BEC0-4700-A6C1-8665C5045815}" destId="{ED53A820-2456-4414-8D71-67D9BA069906}" srcOrd="10" destOrd="0" presId="urn:microsoft.com/office/officeart/2005/8/layout/hierarchy3"/>
    <dgm:cxn modelId="{865C15CE-9144-4EA8-BAA9-FA07115CA9BB}" type="presParOf" srcId="{F1F293AF-BEC0-4700-A6C1-8665C5045815}" destId="{3B84258A-C744-4C74-8893-6111FF786E0C}" srcOrd="11" destOrd="0" presId="urn:microsoft.com/office/officeart/2005/8/layout/hierarchy3"/>
    <dgm:cxn modelId="{A6316326-3F16-41A8-AB06-3C556AA4436E}" type="presParOf" srcId="{F1F293AF-BEC0-4700-A6C1-8665C5045815}" destId="{BBF613A9-9755-4F46-8DBE-196D89DE2A68}" srcOrd="12" destOrd="0" presId="urn:microsoft.com/office/officeart/2005/8/layout/hierarchy3"/>
    <dgm:cxn modelId="{F7940442-C522-4DD8-9461-FB5F15A11F3D}" type="presParOf" srcId="{F1F293AF-BEC0-4700-A6C1-8665C5045815}" destId="{C9EB37AA-54E7-48EC-B0DF-4705855937D9}" srcOrd="13" destOrd="0" presId="urn:microsoft.com/office/officeart/2005/8/layout/hierarchy3"/>
    <dgm:cxn modelId="{D3B9FB59-DD9E-4B23-8E25-3316BBDCF410}" type="presParOf" srcId="{F112C2F8-9BE0-4C9D-B72D-3C9AA4C562E4}" destId="{A4DD166A-D91D-48BB-A4DD-A2F2DCAF8064}" srcOrd="2" destOrd="0" presId="urn:microsoft.com/office/officeart/2005/8/layout/hierarchy3"/>
    <dgm:cxn modelId="{FE895AE4-052B-40D0-B929-35A31B1686A4}" type="presParOf" srcId="{A4DD166A-D91D-48BB-A4DD-A2F2DCAF8064}" destId="{DD57F573-1525-421D-856D-9059B4BE08EC}" srcOrd="0" destOrd="0" presId="urn:microsoft.com/office/officeart/2005/8/layout/hierarchy3"/>
    <dgm:cxn modelId="{E36F20C7-0A64-4252-B828-9A5B740682CB}" type="presParOf" srcId="{DD57F573-1525-421D-856D-9059B4BE08EC}" destId="{1295B72E-4A6C-4EBD-94B2-D8FEA715E190}" srcOrd="0" destOrd="0" presId="urn:microsoft.com/office/officeart/2005/8/layout/hierarchy3"/>
    <dgm:cxn modelId="{7E844420-1EFD-4C15-9B35-ED9A70612919}" type="presParOf" srcId="{DD57F573-1525-421D-856D-9059B4BE08EC}" destId="{1C0E5318-7DA5-411E-BA6A-267846C57AF9}" srcOrd="1" destOrd="0" presId="urn:microsoft.com/office/officeart/2005/8/layout/hierarchy3"/>
    <dgm:cxn modelId="{C4463BA8-A93F-4A3B-A63E-F119645C3FAF}" type="presParOf" srcId="{A4DD166A-D91D-48BB-A4DD-A2F2DCAF8064}" destId="{EB7161EC-C4CF-4CAE-A286-E1C8F016DE8A}" srcOrd="1" destOrd="0" presId="urn:microsoft.com/office/officeart/2005/8/layout/hierarchy3"/>
    <dgm:cxn modelId="{6502F5C6-E8E3-4272-87FC-924DE19C2D00}" type="presParOf" srcId="{EB7161EC-C4CF-4CAE-A286-E1C8F016DE8A}" destId="{C783BC46-A6A5-4311-85D8-CE2D4E44C6D5}" srcOrd="0" destOrd="0" presId="urn:microsoft.com/office/officeart/2005/8/layout/hierarchy3"/>
    <dgm:cxn modelId="{96778C24-8A95-4F16-A4FE-09D130A9F6C9}" type="presParOf" srcId="{EB7161EC-C4CF-4CAE-A286-E1C8F016DE8A}" destId="{037AF090-DB95-4760-ACBC-9F53F1494B35}" srcOrd="1" destOrd="0" presId="urn:microsoft.com/office/officeart/2005/8/layout/hierarchy3"/>
    <dgm:cxn modelId="{34AFA615-79A1-435C-9742-1D367F6E8C04}" type="presParOf" srcId="{EB7161EC-C4CF-4CAE-A286-E1C8F016DE8A}" destId="{9B59AD75-91F3-40D4-88DC-9ED5847545BB}" srcOrd="2" destOrd="0" presId="urn:microsoft.com/office/officeart/2005/8/layout/hierarchy3"/>
    <dgm:cxn modelId="{732F4D68-6E46-420E-AC65-A2C75D6C97C6}" type="presParOf" srcId="{EB7161EC-C4CF-4CAE-A286-E1C8F016DE8A}" destId="{8638561C-8875-4211-8FE7-2B7711E1D47E}" srcOrd="3" destOrd="0" presId="urn:microsoft.com/office/officeart/2005/8/layout/hierarchy3"/>
    <dgm:cxn modelId="{B6A86F4C-384D-4991-8BA2-CB320E5EA7A2}" type="presParOf" srcId="{EB7161EC-C4CF-4CAE-A286-E1C8F016DE8A}" destId="{B668BAA4-3F88-4ACA-B8B3-4413D934A138}" srcOrd="4" destOrd="0" presId="urn:microsoft.com/office/officeart/2005/8/layout/hierarchy3"/>
    <dgm:cxn modelId="{352F45C3-ADCD-4C12-9B43-5085B43179BE}" type="presParOf" srcId="{EB7161EC-C4CF-4CAE-A286-E1C8F016DE8A}" destId="{5AAA6963-B68E-4786-B363-87CBDEC3C2DC}" srcOrd="5" destOrd="0" presId="urn:microsoft.com/office/officeart/2005/8/layout/hierarchy3"/>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53B69CB-145C-4DBF-A5F8-6275A20E4684}" type="doc">
      <dgm:prSet loTypeId="urn:microsoft.com/office/officeart/2005/8/layout/hList1" loCatId="list" qsTypeId="urn:microsoft.com/office/officeart/2005/8/quickstyle/simple1" qsCatId="simple" csTypeId="urn:microsoft.com/office/officeart/2005/8/colors/accent3_2" csCatId="accent3" phldr="1"/>
      <dgm:spPr/>
      <dgm:t>
        <a:bodyPr/>
        <a:lstStyle/>
        <a:p>
          <a:endParaRPr lang="en-IE"/>
        </a:p>
      </dgm:t>
    </dgm:pt>
    <dgm:pt modelId="{D3B77F16-A12D-4D6F-BFCD-73B462657F2C}">
      <dgm:prSet phldrT="[Text]" custT="1"/>
      <dgm:spPr/>
      <dgm:t>
        <a:bodyPr/>
        <a:lstStyle/>
        <a:p>
          <a:r>
            <a:rPr lang="en-IE" sz="1600" b="1"/>
            <a:t>Theoretical componets</a:t>
          </a:r>
        </a:p>
      </dgm:t>
    </dgm:pt>
    <dgm:pt modelId="{44873759-2152-4A2C-A805-53477E1F4A04}" type="parTrans" cxnId="{02DF094E-3B78-410D-94C2-620CED4E0CA8}">
      <dgm:prSet/>
      <dgm:spPr/>
      <dgm:t>
        <a:bodyPr/>
        <a:lstStyle/>
        <a:p>
          <a:endParaRPr lang="en-IE"/>
        </a:p>
      </dgm:t>
    </dgm:pt>
    <dgm:pt modelId="{859163AC-EA5A-4C26-8685-9E62C5B48B46}" type="sibTrans" cxnId="{02DF094E-3B78-410D-94C2-620CED4E0CA8}">
      <dgm:prSet/>
      <dgm:spPr/>
      <dgm:t>
        <a:bodyPr/>
        <a:lstStyle/>
        <a:p>
          <a:endParaRPr lang="en-IE"/>
        </a:p>
      </dgm:t>
    </dgm:pt>
    <dgm:pt modelId="{F0F4C959-64CE-40B1-BD45-23141516BC6C}">
      <dgm:prSet phldrT="[Text]" custT="1"/>
      <dgm:spPr/>
      <dgm:t>
        <a:bodyPr/>
        <a:lstStyle/>
        <a:p>
          <a:r>
            <a:rPr lang="en-IE" sz="1400"/>
            <a:t>Didactic Lectures</a:t>
          </a:r>
        </a:p>
      </dgm:t>
    </dgm:pt>
    <dgm:pt modelId="{92C69236-130C-4E70-AF4F-01545CBE05DF}" type="parTrans" cxnId="{978FF4CD-1E9A-45CF-B94A-C2ED076B27AC}">
      <dgm:prSet/>
      <dgm:spPr/>
      <dgm:t>
        <a:bodyPr/>
        <a:lstStyle/>
        <a:p>
          <a:endParaRPr lang="en-IE"/>
        </a:p>
      </dgm:t>
    </dgm:pt>
    <dgm:pt modelId="{6CD271E0-F02E-401B-97D6-EE5A98DCB053}" type="sibTrans" cxnId="{978FF4CD-1E9A-45CF-B94A-C2ED076B27AC}">
      <dgm:prSet/>
      <dgm:spPr/>
      <dgm:t>
        <a:bodyPr/>
        <a:lstStyle/>
        <a:p>
          <a:endParaRPr lang="en-IE"/>
        </a:p>
      </dgm:t>
    </dgm:pt>
    <dgm:pt modelId="{11B11462-2E22-46C0-ADD8-A4988341E084}">
      <dgm:prSet phldrT="[Text]" custT="1"/>
      <dgm:spPr/>
      <dgm:t>
        <a:bodyPr/>
        <a:lstStyle/>
        <a:p>
          <a:r>
            <a:rPr lang="en-IE" sz="1600" b="1"/>
            <a:t>Practical components</a:t>
          </a:r>
        </a:p>
      </dgm:t>
    </dgm:pt>
    <dgm:pt modelId="{54FE87A1-852F-40B8-8653-9259B86F17FB}" type="parTrans" cxnId="{6B390152-CA50-46B6-AF51-C44411A14539}">
      <dgm:prSet/>
      <dgm:spPr/>
      <dgm:t>
        <a:bodyPr/>
        <a:lstStyle/>
        <a:p>
          <a:endParaRPr lang="en-IE"/>
        </a:p>
      </dgm:t>
    </dgm:pt>
    <dgm:pt modelId="{E3144B79-C33F-451D-9FFC-4CE7A30CAB5D}" type="sibTrans" cxnId="{6B390152-CA50-46B6-AF51-C44411A14539}">
      <dgm:prSet/>
      <dgm:spPr/>
      <dgm:t>
        <a:bodyPr/>
        <a:lstStyle/>
        <a:p>
          <a:endParaRPr lang="en-IE"/>
        </a:p>
      </dgm:t>
    </dgm:pt>
    <dgm:pt modelId="{8248AA7F-EB3F-4694-8676-4590BA5AC8BB}">
      <dgm:prSet phldrT="[Text]" custT="1"/>
      <dgm:spPr/>
      <dgm:t>
        <a:bodyPr/>
        <a:lstStyle/>
        <a:p>
          <a:r>
            <a:rPr lang="en-IE" sz="1400"/>
            <a:t>Workshops</a:t>
          </a:r>
        </a:p>
      </dgm:t>
    </dgm:pt>
    <dgm:pt modelId="{7BACB7A5-000F-48F6-9782-9F5C7D22B58A}" type="parTrans" cxnId="{D16DF019-6CA4-42ED-88A6-90672B883DFC}">
      <dgm:prSet/>
      <dgm:spPr/>
      <dgm:t>
        <a:bodyPr/>
        <a:lstStyle/>
        <a:p>
          <a:endParaRPr lang="en-IE"/>
        </a:p>
      </dgm:t>
    </dgm:pt>
    <dgm:pt modelId="{9554C559-ABC9-4E5B-A434-76A5FB7C4BDB}" type="sibTrans" cxnId="{D16DF019-6CA4-42ED-88A6-90672B883DFC}">
      <dgm:prSet/>
      <dgm:spPr/>
      <dgm:t>
        <a:bodyPr/>
        <a:lstStyle/>
        <a:p>
          <a:endParaRPr lang="en-IE"/>
        </a:p>
      </dgm:t>
    </dgm:pt>
    <dgm:pt modelId="{94005221-E250-490F-B5AF-669F090836E4}">
      <dgm:prSet phldrT="[Text]" custT="1"/>
      <dgm:spPr/>
      <dgm:t>
        <a:bodyPr/>
        <a:lstStyle/>
        <a:p>
          <a:r>
            <a:rPr lang="en-IE" sz="1600" b="1"/>
            <a:t>Assessments</a:t>
          </a:r>
        </a:p>
      </dgm:t>
    </dgm:pt>
    <dgm:pt modelId="{67E3D513-F078-429C-8545-6312EBCB20A9}" type="parTrans" cxnId="{FE8B50D5-864A-41C6-9797-6DB27F13AFDA}">
      <dgm:prSet/>
      <dgm:spPr/>
      <dgm:t>
        <a:bodyPr/>
        <a:lstStyle/>
        <a:p>
          <a:endParaRPr lang="en-IE"/>
        </a:p>
      </dgm:t>
    </dgm:pt>
    <dgm:pt modelId="{3D8B32C2-402F-4E21-AAFA-830DEA1B7384}" type="sibTrans" cxnId="{FE8B50D5-864A-41C6-9797-6DB27F13AFDA}">
      <dgm:prSet/>
      <dgm:spPr/>
      <dgm:t>
        <a:bodyPr/>
        <a:lstStyle/>
        <a:p>
          <a:endParaRPr lang="en-IE"/>
        </a:p>
      </dgm:t>
    </dgm:pt>
    <dgm:pt modelId="{7B7CC4D3-8E4B-404B-82C4-256FD07F5EBB}">
      <dgm:prSet phldrT="[Text]" custT="1"/>
      <dgm:spPr/>
      <dgm:t>
        <a:bodyPr/>
        <a:lstStyle/>
        <a:p>
          <a:r>
            <a:rPr lang="en-IE" sz="1400" b="0" i="0"/>
            <a:t>Objective Structured Clinical Examination</a:t>
          </a:r>
          <a:endParaRPr lang="en-IE" sz="1400"/>
        </a:p>
      </dgm:t>
    </dgm:pt>
    <dgm:pt modelId="{3405D4EF-9577-4C4D-A6F5-388AF2383636}" type="parTrans" cxnId="{88BB42FD-9F6E-4018-91C4-38A4816E113A}">
      <dgm:prSet/>
      <dgm:spPr/>
      <dgm:t>
        <a:bodyPr/>
        <a:lstStyle/>
        <a:p>
          <a:endParaRPr lang="en-IE"/>
        </a:p>
      </dgm:t>
    </dgm:pt>
    <dgm:pt modelId="{DDBB285C-9AF9-43C8-B027-8E58E9C93D30}" type="sibTrans" cxnId="{88BB42FD-9F6E-4018-91C4-38A4816E113A}">
      <dgm:prSet/>
      <dgm:spPr/>
      <dgm:t>
        <a:bodyPr/>
        <a:lstStyle/>
        <a:p>
          <a:endParaRPr lang="en-IE"/>
        </a:p>
      </dgm:t>
    </dgm:pt>
    <dgm:pt modelId="{FD4A8E9A-BD02-4C4D-8949-0BB79FA450F0}">
      <dgm:prSet custT="1"/>
      <dgm:spPr/>
      <dgm:t>
        <a:bodyPr/>
        <a:lstStyle/>
        <a:p>
          <a:r>
            <a:rPr lang="en-IE" sz="1400"/>
            <a:t>Case studies</a:t>
          </a:r>
        </a:p>
      </dgm:t>
    </dgm:pt>
    <dgm:pt modelId="{82E04DC7-CCB3-444E-8804-B5F4219BF98F}" type="parTrans" cxnId="{F1A45D9C-C6D0-49E4-8FB9-3727E62075E0}">
      <dgm:prSet/>
      <dgm:spPr/>
      <dgm:t>
        <a:bodyPr/>
        <a:lstStyle/>
        <a:p>
          <a:endParaRPr lang="en-IE"/>
        </a:p>
      </dgm:t>
    </dgm:pt>
    <dgm:pt modelId="{459B4A9D-AE3A-4A91-AD9A-524BAFE7D462}" type="sibTrans" cxnId="{F1A45D9C-C6D0-49E4-8FB9-3727E62075E0}">
      <dgm:prSet/>
      <dgm:spPr/>
      <dgm:t>
        <a:bodyPr/>
        <a:lstStyle/>
        <a:p>
          <a:endParaRPr lang="en-IE"/>
        </a:p>
      </dgm:t>
    </dgm:pt>
    <dgm:pt modelId="{77230199-A04B-4F85-9A71-A04E1BB95B4B}">
      <dgm:prSet custT="1"/>
      <dgm:spPr/>
      <dgm:t>
        <a:bodyPr/>
        <a:lstStyle/>
        <a:p>
          <a:r>
            <a:rPr lang="en-IE" sz="1400"/>
            <a:t>Group work</a:t>
          </a:r>
        </a:p>
      </dgm:t>
    </dgm:pt>
    <dgm:pt modelId="{FA5677B5-90DE-4BC8-B33E-685A93ED9798}" type="parTrans" cxnId="{491C55B7-18CB-4882-B12A-9E38CC884A59}">
      <dgm:prSet/>
      <dgm:spPr/>
      <dgm:t>
        <a:bodyPr/>
        <a:lstStyle/>
        <a:p>
          <a:endParaRPr lang="en-IE"/>
        </a:p>
      </dgm:t>
    </dgm:pt>
    <dgm:pt modelId="{23DA1930-97A4-4EE4-B280-252C561344DD}" type="sibTrans" cxnId="{491C55B7-18CB-4882-B12A-9E38CC884A59}">
      <dgm:prSet/>
      <dgm:spPr/>
      <dgm:t>
        <a:bodyPr/>
        <a:lstStyle/>
        <a:p>
          <a:endParaRPr lang="en-IE"/>
        </a:p>
      </dgm:t>
    </dgm:pt>
    <dgm:pt modelId="{A3A934F9-E89C-4D1D-81B6-478216C42AB6}">
      <dgm:prSet custT="1"/>
      <dgm:spPr/>
      <dgm:t>
        <a:bodyPr/>
        <a:lstStyle/>
        <a:p>
          <a:r>
            <a:rPr lang="en-IE" sz="1400"/>
            <a:t>Reflection</a:t>
          </a:r>
        </a:p>
      </dgm:t>
    </dgm:pt>
    <dgm:pt modelId="{CD087CBE-F641-446C-AC03-DD9D64D90B02}" type="parTrans" cxnId="{8A6354B3-0472-4868-B46D-C461F4E0B634}">
      <dgm:prSet/>
      <dgm:spPr/>
      <dgm:t>
        <a:bodyPr/>
        <a:lstStyle/>
        <a:p>
          <a:endParaRPr lang="en-IE"/>
        </a:p>
      </dgm:t>
    </dgm:pt>
    <dgm:pt modelId="{10B7C222-1BDE-47AD-BE75-8FF04D2ECA15}" type="sibTrans" cxnId="{8A6354B3-0472-4868-B46D-C461F4E0B634}">
      <dgm:prSet/>
      <dgm:spPr/>
      <dgm:t>
        <a:bodyPr/>
        <a:lstStyle/>
        <a:p>
          <a:endParaRPr lang="en-IE"/>
        </a:p>
      </dgm:t>
    </dgm:pt>
    <dgm:pt modelId="{277CE762-9EDE-4A4F-93EE-0BF43F04C118}">
      <dgm:prSet custT="1"/>
      <dgm:spPr/>
      <dgm:t>
        <a:bodyPr/>
        <a:lstStyle/>
        <a:p>
          <a:r>
            <a:rPr lang="en-IE" sz="1400"/>
            <a:t>Discussions</a:t>
          </a:r>
        </a:p>
      </dgm:t>
    </dgm:pt>
    <dgm:pt modelId="{3F5007E5-A4B5-44A3-8F8B-0EF5BE98280A}" type="parTrans" cxnId="{F36D5681-5D8A-466E-9DF2-B07CD49601C5}">
      <dgm:prSet/>
      <dgm:spPr/>
      <dgm:t>
        <a:bodyPr/>
        <a:lstStyle/>
        <a:p>
          <a:endParaRPr lang="en-IE"/>
        </a:p>
      </dgm:t>
    </dgm:pt>
    <dgm:pt modelId="{7B7082AF-13C2-42A0-B988-7B42725A5219}" type="sibTrans" cxnId="{F36D5681-5D8A-466E-9DF2-B07CD49601C5}">
      <dgm:prSet/>
      <dgm:spPr/>
      <dgm:t>
        <a:bodyPr/>
        <a:lstStyle/>
        <a:p>
          <a:endParaRPr lang="en-IE"/>
        </a:p>
      </dgm:t>
    </dgm:pt>
    <dgm:pt modelId="{633A720E-1373-4484-AF5D-F2FBD416FE55}">
      <dgm:prSet custT="1"/>
      <dgm:spPr/>
      <dgm:t>
        <a:bodyPr/>
        <a:lstStyle/>
        <a:p>
          <a:r>
            <a:rPr lang="en-IE" sz="1400"/>
            <a:t>Simulation-based education</a:t>
          </a:r>
        </a:p>
      </dgm:t>
    </dgm:pt>
    <dgm:pt modelId="{D917BCD4-6D90-4A70-BAEE-111801F0372E}" type="parTrans" cxnId="{BDC7DD17-1F66-440E-B684-1A9CDEB987B0}">
      <dgm:prSet/>
      <dgm:spPr/>
      <dgm:t>
        <a:bodyPr/>
        <a:lstStyle/>
        <a:p>
          <a:endParaRPr lang="en-IE"/>
        </a:p>
      </dgm:t>
    </dgm:pt>
    <dgm:pt modelId="{AC35B142-22CE-45CE-B540-370BB11E8C32}" type="sibTrans" cxnId="{BDC7DD17-1F66-440E-B684-1A9CDEB987B0}">
      <dgm:prSet/>
      <dgm:spPr/>
      <dgm:t>
        <a:bodyPr/>
        <a:lstStyle/>
        <a:p>
          <a:endParaRPr lang="en-IE"/>
        </a:p>
      </dgm:t>
    </dgm:pt>
    <dgm:pt modelId="{A3E3120B-E33F-4245-8699-0AA23462A88E}">
      <dgm:prSet custT="1"/>
      <dgm:spPr/>
      <dgm:t>
        <a:bodyPr/>
        <a:lstStyle/>
        <a:p>
          <a:r>
            <a:rPr lang="en-IE" sz="1400"/>
            <a:t>Game based learning</a:t>
          </a:r>
        </a:p>
      </dgm:t>
    </dgm:pt>
    <dgm:pt modelId="{7F30D2FA-4A6E-4187-94D8-786AE5AFAE1C}" type="parTrans" cxnId="{FC6FD13A-302A-4A31-8C79-A8CD195BB262}">
      <dgm:prSet/>
      <dgm:spPr/>
      <dgm:t>
        <a:bodyPr/>
        <a:lstStyle/>
        <a:p>
          <a:endParaRPr lang="en-IE"/>
        </a:p>
      </dgm:t>
    </dgm:pt>
    <dgm:pt modelId="{1563D7FA-912C-4529-B19F-03EF0E913EF1}" type="sibTrans" cxnId="{FC6FD13A-302A-4A31-8C79-A8CD195BB262}">
      <dgm:prSet/>
      <dgm:spPr/>
      <dgm:t>
        <a:bodyPr/>
        <a:lstStyle/>
        <a:p>
          <a:endParaRPr lang="en-IE"/>
        </a:p>
      </dgm:t>
    </dgm:pt>
    <dgm:pt modelId="{895B14E8-FF2B-4CFD-89F8-C49892692488}">
      <dgm:prSet custT="1"/>
      <dgm:spPr/>
      <dgm:t>
        <a:bodyPr/>
        <a:lstStyle/>
        <a:p>
          <a:r>
            <a:rPr lang="en-IE" sz="1400"/>
            <a:t>Case Study Assessment</a:t>
          </a:r>
        </a:p>
      </dgm:t>
    </dgm:pt>
    <dgm:pt modelId="{2CB67B23-73D9-4954-B519-488DB737CD91}" type="parTrans" cxnId="{11315DDC-428E-4D33-B92B-AC1ED7B37DD6}">
      <dgm:prSet/>
      <dgm:spPr/>
      <dgm:t>
        <a:bodyPr/>
        <a:lstStyle/>
        <a:p>
          <a:endParaRPr lang="en-IE"/>
        </a:p>
      </dgm:t>
    </dgm:pt>
    <dgm:pt modelId="{61E2535A-3FA0-4759-B195-DD8E0D7096D9}" type="sibTrans" cxnId="{11315DDC-428E-4D33-B92B-AC1ED7B37DD6}">
      <dgm:prSet/>
      <dgm:spPr/>
      <dgm:t>
        <a:bodyPr/>
        <a:lstStyle/>
        <a:p>
          <a:endParaRPr lang="en-IE"/>
        </a:p>
      </dgm:t>
    </dgm:pt>
    <dgm:pt modelId="{138F5367-7BA0-4204-91AD-2FEA702E2858}" type="pres">
      <dgm:prSet presAssocID="{A53B69CB-145C-4DBF-A5F8-6275A20E4684}" presName="Name0" presStyleCnt="0">
        <dgm:presLayoutVars>
          <dgm:dir/>
          <dgm:animLvl val="lvl"/>
          <dgm:resizeHandles val="exact"/>
        </dgm:presLayoutVars>
      </dgm:prSet>
      <dgm:spPr/>
    </dgm:pt>
    <dgm:pt modelId="{772BE369-25F2-4A0D-9DAF-9EBEC8095056}" type="pres">
      <dgm:prSet presAssocID="{D3B77F16-A12D-4D6F-BFCD-73B462657F2C}" presName="composite" presStyleCnt="0"/>
      <dgm:spPr/>
    </dgm:pt>
    <dgm:pt modelId="{1058CA23-1343-415D-B725-976AA3F95E16}" type="pres">
      <dgm:prSet presAssocID="{D3B77F16-A12D-4D6F-BFCD-73B462657F2C}" presName="parTx" presStyleLbl="alignNode1" presStyleIdx="0" presStyleCnt="3">
        <dgm:presLayoutVars>
          <dgm:chMax val="0"/>
          <dgm:chPref val="0"/>
          <dgm:bulletEnabled val="1"/>
        </dgm:presLayoutVars>
      </dgm:prSet>
      <dgm:spPr/>
    </dgm:pt>
    <dgm:pt modelId="{034EB96B-2792-4FD0-82BD-06FC3530CFDF}" type="pres">
      <dgm:prSet presAssocID="{D3B77F16-A12D-4D6F-BFCD-73B462657F2C}" presName="desTx" presStyleLbl="alignAccFollowNode1" presStyleIdx="0" presStyleCnt="3">
        <dgm:presLayoutVars>
          <dgm:bulletEnabled val="1"/>
        </dgm:presLayoutVars>
      </dgm:prSet>
      <dgm:spPr/>
    </dgm:pt>
    <dgm:pt modelId="{2F8CBDC0-1D9D-4FF2-8F4A-302EB9701D83}" type="pres">
      <dgm:prSet presAssocID="{859163AC-EA5A-4C26-8685-9E62C5B48B46}" presName="space" presStyleCnt="0"/>
      <dgm:spPr/>
    </dgm:pt>
    <dgm:pt modelId="{FECFA229-8B45-47F6-BF15-438BE790606E}" type="pres">
      <dgm:prSet presAssocID="{11B11462-2E22-46C0-ADD8-A4988341E084}" presName="composite" presStyleCnt="0"/>
      <dgm:spPr/>
    </dgm:pt>
    <dgm:pt modelId="{E3D078E8-210C-49D2-B5FA-9407ECB66B18}" type="pres">
      <dgm:prSet presAssocID="{11B11462-2E22-46C0-ADD8-A4988341E084}" presName="parTx" presStyleLbl="alignNode1" presStyleIdx="1" presStyleCnt="3">
        <dgm:presLayoutVars>
          <dgm:chMax val="0"/>
          <dgm:chPref val="0"/>
          <dgm:bulletEnabled val="1"/>
        </dgm:presLayoutVars>
      </dgm:prSet>
      <dgm:spPr/>
    </dgm:pt>
    <dgm:pt modelId="{BB0F1A2F-207C-4F27-ABDD-4698CA060B2C}" type="pres">
      <dgm:prSet presAssocID="{11B11462-2E22-46C0-ADD8-A4988341E084}" presName="desTx" presStyleLbl="alignAccFollowNode1" presStyleIdx="1" presStyleCnt="3">
        <dgm:presLayoutVars>
          <dgm:bulletEnabled val="1"/>
        </dgm:presLayoutVars>
      </dgm:prSet>
      <dgm:spPr/>
    </dgm:pt>
    <dgm:pt modelId="{B5502F41-6937-437B-AFC7-20FFAB473E8E}" type="pres">
      <dgm:prSet presAssocID="{E3144B79-C33F-451D-9FFC-4CE7A30CAB5D}" presName="space" presStyleCnt="0"/>
      <dgm:spPr/>
    </dgm:pt>
    <dgm:pt modelId="{6400C7D6-5960-4ECA-A780-D45C8F7AF5D0}" type="pres">
      <dgm:prSet presAssocID="{94005221-E250-490F-B5AF-669F090836E4}" presName="composite" presStyleCnt="0"/>
      <dgm:spPr/>
    </dgm:pt>
    <dgm:pt modelId="{BF834EB5-03B2-4567-BD17-47C460CDF3CA}" type="pres">
      <dgm:prSet presAssocID="{94005221-E250-490F-B5AF-669F090836E4}" presName="parTx" presStyleLbl="alignNode1" presStyleIdx="2" presStyleCnt="3">
        <dgm:presLayoutVars>
          <dgm:chMax val="0"/>
          <dgm:chPref val="0"/>
          <dgm:bulletEnabled val="1"/>
        </dgm:presLayoutVars>
      </dgm:prSet>
      <dgm:spPr/>
    </dgm:pt>
    <dgm:pt modelId="{25D0DD09-4557-4AE0-937D-BC7D604D0B43}" type="pres">
      <dgm:prSet presAssocID="{94005221-E250-490F-B5AF-669F090836E4}" presName="desTx" presStyleLbl="alignAccFollowNode1" presStyleIdx="2" presStyleCnt="3">
        <dgm:presLayoutVars>
          <dgm:bulletEnabled val="1"/>
        </dgm:presLayoutVars>
      </dgm:prSet>
      <dgm:spPr/>
    </dgm:pt>
  </dgm:ptLst>
  <dgm:cxnLst>
    <dgm:cxn modelId="{2EADB90E-A561-4011-AD00-021277EDDCB4}" type="presOf" srcId="{77230199-A04B-4F85-9A71-A04E1BB95B4B}" destId="{034EB96B-2792-4FD0-82BD-06FC3530CFDF}" srcOrd="0" destOrd="2" presId="urn:microsoft.com/office/officeart/2005/8/layout/hList1"/>
    <dgm:cxn modelId="{BDC7DD17-1F66-440E-B684-1A9CDEB987B0}" srcId="{11B11462-2E22-46C0-ADD8-A4988341E084}" destId="{633A720E-1373-4484-AF5D-F2FBD416FE55}" srcOrd="1" destOrd="0" parTransId="{D917BCD4-6D90-4A70-BAEE-111801F0372E}" sibTransId="{AC35B142-22CE-45CE-B540-370BB11E8C32}"/>
    <dgm:cxn modelId="{D16DF019-6CA4-42ED-88A6-90672B883DFC}" srcId="{11B11462-2E22-46C0-ADD8-A4988341E084}" destId="{8248AA7F-EB3F-4694-8676-4590BA5AC8BB}" srcOrd="0" destOrd="0" parTransId="{7BACB7A5-000F-48F6-9782-9F5C7D22B58A}" sibTransId="{9554C559-ABC9-4E5B-A434-76A5FB7C4BDB}"/>
    <dgm:cxn modelId="{A04AF92E-D671-429C-8E9C-61E9758B9988}" type="presOf" srcId="{94005221-E250-490F-B5AF-669F090836E4}" destId="{BF834EB5-03B2-4567-BD17-47C460CDF3CA}" srcOrd="0" destOrd="0" presId="urn:microsoft.com/office/officeart/2005/8/layout/hList1"/>
    <dgm:cxn modelId="{FC6FD13A-302A-4A31-8C79-A8CD195BB262}" srcId="{11B11462-2E22-46C0-ADD8-A4988341E084}" destId="{A3E3120B-E33F-4245-8699-0AA23462A88E}" srcOrd="2" destOrd="0" parTransId="{7F30D2FA-4A6E-4187-94D8-786AE5AFAE1C}" sibTransId="{1563D7FA-912C-4529-B19F-03EF0E913EF1}"/>
    <dgm:cxn modelId="{8040635D-28CE-4F18-81B1-6F1573AFA459}" type="presOf" srcId="{633A720E-1373-4484-AF5D-F2FBD416FE55}" destId="{BB0F1A2F-207C-4F27-ABDD-4698CA060B2C}" srcOrd="0" destOrd="1" presId="urn:microsoft.com/office/officeart/2005/8/layout/hList1"/>
    <dgm:cxn modelId="{02DF094E-3B78-410D-94C2-620CED4E0CA8}" srcId="{A53B69CB-145C-4DBF-A5F8-6275A20E4684}" destId="{D3B77F16-A12D-4D6F-BFCD-73B462657F2C}" srcOrd="0" destOrd="0" parTransId="{44873759-2152-4A2C-A805-53477E1F4A04}" sibTransId="{859163AC-EA5A-4C26-8685-9E62C5B48B46}"/>
    <dgm:cxn modelId="{C93BF06E-5657-4271-A05D-04EA1960F025}" type="presOf" srcId="{FD4A8E9A-BD02-4C4D-8949-0BB79FA450F0}" destId="{034EB96B-2792-4FD0-82BD-06FC3530CFDF}" srcOrd="0" destOrd="1" presId="urn:microsoft.com/office/officeart/2005/8/layout/hList1"/>
    <dgm:cxn modelId="{6B390152-CA50-46B6-AF51-C44411A14539}" srcId="{A53B69CB-145C-4DBF-A5F8-6275A20E4684}" destId="{11B11462-2E22-46C0-ADD8-A4988341E084}" srcOrd="1" destOrd="0" parTransId="{54FE87A1-852F-40B8-8653-9259B86F17FB}" sibTransId="{E3144B79-C33F-451D-9FFC-4CE7A30CAB5D}"/>
    <dgm:cxn modelId="{54390957-D1D8-41DC-8373-F05915929D33}" type="presOf" srcId="{A3A934F9-E89C-4D1D-81B6-478216C42AB6}" destId="{034EB96B-2792-4FD0-82BD-06FC3530CFDF}" srcOrd="0" destOrd="3" presId="urn:microsoft.com/office/officeart/2005/8/layout/hList1"/>
    <dgm:cxn modelId="{F36D5681-5D8A-466E-9DF2-B07CD49601C5}" srcId="{D3B77F16-A12D-4D6F-BFCD-73B462657F2C}" destId="{277CE762-9EDE-4A4F-93EE-0BF43F04C118}" srcOrd="4" destOrd="0" parTransId="{3F5007E5-A4B5-44A3-8F8B-0EF5BE98280A}" sibTransId="{7B7082AF-13C2-42A0-B988-7B42725A5219}"/>
    <dgm:cxn modelId="{CCF37B8B-AD50-4846-BAC3-C4E8715266B9}" type="presOf" srcId="{8248AA7F-EB3F-4694-8676-4590BA5AC8BB}" destId="{BB0F1A2F-207C-4F27-ABDD-4698CA060B2C}" srcOrd="0" destOrd="0" presId="urn:microsoft.com/office/officeart/2005/8/layout/hList1"/>
    <dgm:cxn modelId="{F1A45D9C-C6D0-49E4-8FB9-3727E62075E0}" srcId="{D3B77F16-A12D-4D6F-BFCD-73B462657F2C}" destId="{FD4A8E9A-BD02-4C4D-8949-0BB79FA450F0}" srcOrd="1" destOrd="0" parTransId="{82E04DC7-CCB3-444E-8804-B5F4219BF98F}" sibTransId="{459B4A9D-AE3A-4A91-AD9A-524BAFE7D462}"/>
    <dgm:cxn modelId="{B6F2B4A4-5FEC-46D7-B1CD-E0EBD37A8691}" type="presOf" srcId="{D3B77F16-A12D-4D6F-BFCD-73B462657F2C}" destId="{1058CA23-1343-415D-B725-976AA3F95E16}" srcOrd="0" destOrd="0" presId="urn:microsoft.com/office/officeart/2005/8/layout/hList1"/>
    <dgm:cxn modelId="{8A6354B3-0472-4868-B46D-C461F4E0B634}" srcId="{D3B77F16-A12D-4D6F-BFCD-73B462657F2C}" destId="{A3A934F9-E89C-4D1D-81B6-478216C42AB6}" srcOrd="3" destOrd="0" parTransId="{CD087CBE-F641-446C-AC03-DD9D64D90B02}" sibTransId="{10B7C222-1BDE-47AD-BE75-8FF04D2ECA15}"/>
    <dgm:cxn modelId="{491C55B7-18CB-4882-B12A-9E38CC884A59}" srcId="{D3B77F16-A12D-4D6F-BFCD-73B462657F2C}" destId="{77230199-A04B-4F85-9A71-A04E1BB95B4B}" srcOrd="2" destOrd="0" parTransId="{FA5677B5-90DE-4BC8-B33E-685A93ED9798}" sibTransId="{23DA1930-97A4-4EE4-B280-252C561344DD}"/>
    <dgm:cxn modelId="{A961C3BA-AA96-492E-9F26-ABFD0D41BA80}" type="presOf" srcId="{11B11462-2E22-46C0-ADD8-A4988341E084}" destId="{E3D078E8-210C-49D2-B5FA-9407ECB66B18}" srcOrd="0" destOrd="0" presId="urn:microsoft.com/office/officeart/2005/8/layout/hList1"/>
    <dgm:cxn modelId="{1CF1FFBD-5E70-479B-8FE3-2F8B5A0665F7}" type="presOf" srcId="{277CE762-9EDE-4A4F-93EE-0BF43F04C118}" destId="{034EB96B-2792-4FD0-82BD-06FC3530CFDF}" srcOrd="0" destOrd="4" presId="urn:microsoft.com/office/officeart/2005/8/layout/hList1"/>
    <dgm:cxn modelId="{6CF946CA-19E0-4407-8764-09FF4AF1CBB3}" type="presOf" srcId="{A53B69CB-145C-4DBF-A5F8-6275A20E4684}" destId="{138F5367-7BA0-4204-91AD-2FEA702E2858}" srcOrd="0" destOrd="0" presId="urn:microsoft.com/office/officeart/2005/8/layout/hList1"/>
    <dgm:cxn modelId="{FE5F3ECB-41FA-4669-B9A1-18209A3C158F}" type="presOf" srcId="{A3E3120B-E33F-4245-8699-0AA23462A88E}" destId="{BB0F1A2F-207C-4F27-ABDD-4698CA060B2C}" srcOrd="0" destOrd="2" presId="urn:microsoft.com/office/officeart/2005/8/layout/hList1"/>
    <dgm:cxn modelId="{978FF4CD-1E9A-45CF-B94A-C2ED076B27AC}" srcId="{D3B77F16-A12D-4D6F-BFCD-73B462657F2C}" destId="{F0F4C959-64CE-40B1-BD45-23141516BC6C}" srcOrd="0" destOrd="0" parTransId="{92C69236-130C-4E70-AF4F-01545CBE05DF}" sibTransId="{6CD271E0-F02E-401B-97D6-EE5A98DCB053}"/>
    <dgm:cxn modelId="{D5A765D4-6AF9-4278-8F8B-C1E6B7FB5168}" type="presOf" srcId="{895B14E8-FF2B-4CFD-89F8-C49892692488}" destId="{25D0DD09-4557-4AE0-937D-BC7D604D0B43}" srcOrd="0" destOrd="1" presId="urn:microsoft.com/office/officeart/2005/8/layout/hList1"/>
    <dgm:cxn modelId="{816CB6D4-8BB2-432E-87D7-03F3F24F3A9B}" type="presOf" srcId="{F0F4C959-64CE-40B1-BD45-23141516BC6C}" destId="{034EB96B-2792-4FD0-82BD-06FC3530CFDF}" srcOrd="0" destOrd="0" presId="urn:microsoft.com/office/officeart/2005/8/layout/hList1"/>
    <dgm:cxn modelId="{FE8B50D5-864A-41C6-9797-6DB27F13AFDA}" srcId="{A53B69CB-145C-4DBF-A5F8-6275A20E4684}" destId="{94005221-E250-490F-B5AF-669F090836E4}" srcOrd="2" destOrd="0" parTransId="{67E3D513-F078-429C-8545-6312EBCB20A9}" sibTransId="{3D8B32C2-402F-4E21-AAFA-830DEA1B7384}"/>
    <dgm:cxn modelId="{11315DDC-428E-4D33-B92B-AC1ED7B37DD6}" srcId="{94005221-E250-490F-B5AF-669F090836E4}" destId="{895B14E8-FF2B-4CFD-89F8-C49892692488}" srcOrd="1" destOrd="0" parTransId="{2CB67B23-73D9-4954-B519-488DB737CD91}" sibTransId="{61E2535A-3FA0-4759-B195-DD8E0D7096D9}"/>
    <dgm:cxn modelId="{BDCE37E9-65C1-4498-BA7A-305E9BDD9700}" type="presOf" srcId="{7B7CC4D3-8E4B-404B-82C4-256FD07F5EBB}" destId="{25D0DD09-4557-4AE0-937D-BC7D604D0B43}" srcOrd="0" destOrd="0" presId="urn:microsoft.com/office/officeart/2005/8/layout/hList1"/>
    <dgm:cxn modelId="{88BB42FD-9F6E-4018-91C4-38A4816E113A}" srcId="{94005221-E250-490F-B5AF-669F090836E4}" destId="{7B7CC4D3-8E4B-404B-82C4-256FD07F5EBB}" srcOrd="0" destOrd="0" parTransId="{3405D4EF-9577-4C4D-A6F5-388AF2383636}" sibTransId="{DDBB285C-9AF9-43C8-B027-8E58E9C93D30}"/>
    <dgm:cxn modelId="{67659423-D32B-495F-BB13-54CDE7A96E2A}" type="presParOf" srcId="{138F5367-7BA0-4204-91AD-2FEA702E2858}" destId="{772BE369-25F2-4A0D-9DAF-9EBEC8095056}" srcOrd="0" destOrd="0" presId="urn:microsoft.com/office/officeart/2005/8/layout/hList1"/>
    <dgm:cxn modelId="{933B8D91-0494-42AE-886B-C398690859E1}" type="presParOf" srcId="{772BE369-25F2-4A0D-9DAF-9EBEC8095056}" destId="{1058CA23-1343-415D-B725-976AA3F95E16}" srcOrd="0" destOrd="0" presId="urn:microsoft.com/office/officeart/2005/8/layout/hList1"/>
    <dgm:cxn modelId="{3A96D0A2-2C26-4E0B-B37A-52DA0FC5F61D}" type="presParOf" srcId="{772BE369-25F2-4A0D-9DAF-9EBEC8095056}" destId="{034EB96B-2792-4FD0-82BD-06FC3530CFDF}" srcOrd="1" destOrd="0" presId="urn:microsoft.com/office/officeart/2005/8/layout/hList1"/>
    <dgm:cxn modelId="{C65C601C-2B4A-4F4B-8F68-7727CAE90864}" type="presParOf" srcId="{138F5367-7BA0-4204-91AD-2FEA702E2858}" destId="{2F8CBDC0-1D9D-4FF2-8F4A-302EB9701D83}" srcOrd="1" destOrd="0" presId="urn:microsoft.com/office/officeart/2005/8/layout/hList1"/>
    <dgm:cxn modelId="{685A7EB3-65A8-4B08-A354-3BE75D34192C}" type="presParOf" srcId="{138F5367-7BA0-4204-91AD-2FEA702E2858}" destId="{FECFA229-8B45-47F6-BF15-438BE790606E}" srcOrd="2" destOrd="0" presId="urn:microsoft.com/office/officeart/2005/8/layout/hList1"/>
    <dgm:cxn modelId="{0A22AD68-D900-4507-AFAA-ABD9EAF0C778}" type="presParOf" srcId="{FECFA229-8B45-47F6-BF15-438BE790606E}" destId="{E3D078E8-210C-49D2-B5FA-9407ECB66B18}" srcOrd="0" destOrd="0" presId="urn:microsoft.com/office/officeart/2005/8/layout/hList1"/>
    <dgm:cxn modelId="{CF6A4B83-256C-4537-A9C4-D77CA9B8CF77}" type="presParOf" srcId="{FECFA229-8B45-47F6-BF15-438BE790606E}" destId="{BB0F1A2F-207C-4F27-ABDD-4698CA060B2C}" srcOrd="1" destOrd="0" presId="urn:microsoft.com/office/officeart/2005/8/layout/hList1"/>
    <dgm:cxn modelId="{D15F9857-29BF-4AEC-BA63-71A985723129}" type="presParOf" srcId="{138F5367-7BA0-4204-91AD-2FEA702E2858}" destId="{B5502F41-6937-437B-AFC7-20FFAB473E8E}" srcOrd="3" destOrd="0" presId="urn:microsoft.com/office/officeart/2005/8/layout/hList1"/>
    <dgm:cxn modelId="{7B4C3FD9-A3F2-4386-9133-455D9B805B45}" type="presParOf" srcId="{138F5367-7BA0-4204-91AD-2FEA702E2858}" destId="{6400C7D6-5960-4ECA-A780-D45C8F7AF5D0}" srcOrd="4" destOrd="0" presId="urn:microsoft.com/office/officeart/2005/8/layout/hList1"/>
    <dgm:cxn modelId="{87362FBF-563A-4A5E-927E-4E12B1155ABC}" type="presParOf" srcId="{6400C7D6-5960-4ECA-A780-D45C8F7AF5D0}" destId="{BF834EB5-03B2-4567-BD17-47C460CDF3CA}" srcOrd="0" destOrd="0" presId="urn:microsoft.com/office/officeart/2005/8/layout/hList1"/>
    <dgm:cxn modelId="{FB1F283A-D4E2-4FB0-92B6-9D3BDA256769}" type="presParOf" srcId="{6400C7D6-5960-4ECA-A780-D45C8F7AF5D0}" destId="{25D0DD09-4557-4AE0-937D-BC7D604D0B43}" srcOrd="1" destOrd="0" presId="urn:microsoft.com/office/officeart/2005/8/layout/hList1"/>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5D28D53-A39C-49C0-B11B-6591DDE9532E}">
      <dsp:nvSpPr>
        <dsp:cNvPr id="0" name=""/>
        <dsp:cNvSpPr/>
      </dsp:nvSpPr>
      <dsp:spPr>
        <a:xfrm>
          <a:off x="320669" y="5759"/>
          <a:ext cx="1323887" cy="661943"/>
        </a:xfrm>
        <a:prstGeom prst="roundRect">
          <a:avLst>
            <a:gd name="adj" fmla="val 10000"/>
          </a:avLst>
        </a:prstGeom>
        <a:solidFill>
          <a:schemeClr val="tx1">
            <a:lumMod val="65000"/>
            <a:lumOff val="3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IE" sz="1000" kern="1200">
              <a:latin typeface="Calibri" panose="020F0502020204030204"/>
              <a:ea typeface="+mn-ea"/>
              <a:cs typeface="+mn-cs"/>
            </a:rPr>
            <a:t>Communication training offered as a dedicated standalone Module</a:t>
          </a:r>
        </a:p>
      </dsp:txBody>
      <dsp:txXfrm>
        <a:off x="340057" y="25147"/>
        <a:ext cx="1285111" cy="623167"/>
      </dsp:txXfrm>
    </dsp:sp>
    <dsp:sp modelId="{7E7ECFB9-6AEA-45E1-81BA-081AD7ADAEE5}">
      <dsp:nvSpPr>
        <dsp:cNvPr id="0" name=""/>
        <dsp:cNvSpPr/>
      </dsp:nvSpPr>
      <dsp:spPr>
        <a:xfrm>
          <a:off x="453058" y="667703"/>
          <a:ext cx="132388" cy="496457"/>
        </a:xfrm>
        <a:custGeom>
          <a:avLst/>
          <a:gdLst/>
          <a:ahLst/>
          <a:cxnLst/>
          <a:rect l="0" t="0" r="0" b="0"/>
          <a:pathLst>
            <a:path>
              <a:moveTo>
                <a:pt x="0" y="0"/>
              </a:moveTo>
              <a:lnTo>
                <a:pt x="0" y="516359"/>
              </a:lnTo>
              <a:lnTo>
                <a:pt x="137695" y="516359"/>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FC0FB11-345F-4398-8331-DBB1841C3620}">
      <dsp:nvSpPr>
        <dsp:cNvPr id="0" name=""/>
        <dsp:cNvSpPr/>
      </dsp:nvSpPr>
      <dsp:spPr>
        <a:xfrm>
          <a:off x="585446" y="833189"/>
          <a:ext cx="1059110" cy="661943"/>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n-IE" sz="900" kern="1200">
              <a:latin typeface="Calibri" panose="020F0502020204030204"/>
              <a:ea typeface="+mn-ea"/>
              <a:cs typeface="+mn-cs"/>
            </a:rPr>
            <a:t>Core communication module undertaken by all Nursing disciplines in year 1</a:t>
          </a:r>
        </a:p>
      </dsp:txBody>
      <dsp:txXfrm>
        <a:off x="604834" y="852577"/>
        <a:ext cx="1020334" cy="623167"/>
      </dsp:txXfrm>
    </dsp:sp>
    <dsp:sp modelId="{D34F8F36-781E-4451-A8E7-DB7CA3963477}">
      <dsp:nvSpPr>
        <dsp:cNvPr id="0" name=""/>
        <dsp:cNvSpPr/>
      </dsp:nvSpPr>
      <dsp:spPr>
        <a:xfrm>
          <a:off x="453058" y="667703"/>
          <a:ext cx="132388" cy="1323887"/>
        </a:xfrm>
        <a:custGeom>
          <a:avLst/>
          <a:gdLst/>
          <a:ahLst/>
          <a:cxnLst/>
          <a:rect l="0" t="0" r="0" b="0"/>
          <a:pathLst>
            <a:path>
              <a:moveTo>
                <a:pt x="0" y="0"/>
              </a:moveTo>
              <a:lnTo>
                <a:pt x="0" y="1376957"/>
              </a:lnTo>
              <a:lnTo>
                <a:pt x="137695" y="1376957"/>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EACC8C6-DFEF-41E8-B792-B4A6516C99C1}">
      <dsp:nvSpPr>
        <dsp:cNvPr id="0" name=""/>
        <dsp:cNvSpPr/>
      </dsp:nvSpPr>
      <dsp:spPr>
        <a:xfrm>
          <a:off x="585446" y="1660619"/>
          <a:ext cx="1059110" cy="661943"/>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n-IE" sz="900" kern="1200">
              <a:latin typeface="Calibri" panose="020F0502020204030204"/>
              <a:ea typeface="+mn-ea"/>
              <a:cs typeface="+mn-cs"/>
            </a:rPr>
            <a:t>Children &amp; Young People specific module</a:t>
          </a:r>
        </a:p>
      </dsp:txBody>
      <dsp:txXfrm>
        <a:off x="604834" y="1680007"/>
        <a:ext cx="1020334" cy="623167"/>
      </dsp:txXfrm>
    </dsp:sp>
    <dsp:sp modelId="{7835273E-7924-48F0-9107-94E85607866F}">
      <dsp:nvSpPr>
        <dsp:cNvPr id="0" name=""/>
        <dsp:cNvSpPr/>
      </dsp:nvSpPr>
      <dsp:spPr>
        <a:xfrm>
          <a:off x="1975528" y="5759"/>
          <a:ext cx="1323887" cy="661943"/>
        </a:xfrm>
        <a:prstGeom prst="roundRect">
          <a:avLst>
            <a:gd name="adj" fmla="val 10000"/>
          </a:avLst>
        </a:prstGeom>
        <a:solidFill>
          <a:schemeClr val="tx1">
            <a:lumMod val="65000"/>
            <a:lumOff val="3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IE" sz="1000" kern="1200">
              <a:latin typeface="Calibri" panose="020F0502020204030204"/>
              <a:ea typeface="+mn-ea"/>
              <a:cs typeface="+mn-cs"/>
            </a:rPr>
            <a:t>Communication training integrated throughout the following modules</a:t>
          </a:r>
        </a:p>
      </dsp:txBody>
      <dsp:txXfrm>
        <a:off x="1994916" y="25147"/>
        <a:ext cx="1285111" cy="623167"/>
      </dsp:txXfrm>
    </dsp:sp>
    <dsp:sp modelId="{FE190E42-156F-4247-9F23-BD7E26EEC1BE}">
      <dsp:nvSpPr>
        <dsp:cNvPr id="0" name=""/>
        <dsp:cNvSpPr/>
      </dsp:nvSpPr>
      <dsp:spPr>
        <a:xfrm>
          <a:off x="2107917" y="667703"/>
          <a:ext cx="132388" cy="496457"/>
        </a:xfrm>
        <a:custGeom>
          <a:avLst/>
          <a:gdLst/>
          <a:ahLst/>
          <a:cxnLst/>
          <a:rect l="0" t="0" r="0" b="0"/>
          <a:pathLst>
            <a:path>
              <a:moveTo>
                <a:pt x="0" y="0"/>
              </a:moveTo>
              <a:lnTo>
                <a:pt x="0" y="516359"/>
              </a:lnTo>
              <a:lnTo>
                <a:pt x="137695" y="516359"/>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6274FDC-AAFE-4819-B35A-957EEFA218DE}">
      <dsp:nvSpPr>
        <dsp:cNvPr id="0" name=""/>
        <dsp:cNvSpPr/>
      </dsp:nvSpPr>
      <dsp:spPr>
        <a:xfrm>
          <a:off x="2240306" y="833189"/>
          <a:ext cx="1059110" cy="661943"/>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n-IE" sz="900" kern="1200">
              <a:latin typeface="Calibri" panose="020F0502020204030204"/>
              <a:ea typeface="+mn-ea"/>
              <a:cs typeface="+mn-cs"/>
            </a:rPr>
            <a:t>Child Specific Modules</a:t>
          </a:r>
        </a:p>
      </dsp:txBody>
      <dsp:txXfrm>
        <a:off x="2259694" y="852577"/>
        <a:ext cx="1020334" cy="623167"/>
      </dsp:txXfrm>
    </dsp:sp>
    <dsp:sp modelId="{EA6994B1-6196-430F-8DCE-203D9F59A93A}">
      <dsp:nvSpPr>
        <dsp:cNvPr id="0" name=""/>
        <dsp:cNvSpPr/>
      </dsp:nvSpPr>
      <dsp:spPr>
        <a:xfrm>
          <a:off x="2107917" y="667703"/>
          <a:ext cx="132388" cy="1323887"/>
        </a:xfrm>
        <a:custGeom>
          <a:avLst/>
          <a:gdLst/>
          <a:ahLst/>
          <a:cxnLst/>
          <a:rect l="0" t="0" r="0" b="0"/>
          <a:pathLst>
            <a:path>
              <a:moveTo>
                <a:pt x="0" y="0"/>
              </a:moveTo>
              <a:lnTo>
                <a:pt x="0" y="1376957"/>
              </a:lnTo>
              <a:lnTo>
                <a:pt x="137695" y="1376957"/>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2234B65-2782-4C46-98FA-217F1171747F}">
      <dsp:nvSpPr>
        <dsp:cNvPr id="0" name=""/>
        <dsp:cNvSpPr/>
      </dsp:nvSpPr>
      <dsp:spPr>
        <a:xfrm>
          <a:off x="2240306" y="1660619"/>
          <a:ext cx="1059110" cy="661943"/>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n-IE" sz="900" kern="1200">
              <a:latin typeface="Calibri" panose="020F0502020204030204"/>
              <a:ea typeface="+mn-ea"/>
              <a:cs typeface="+mn-cs"/>
            </a:rPr>
            <a:t>Child Development</a:t>
          </a:r>
        </a:p>
      </dsp:txBody>
      <dsp:txXfrm>
        <a:off x="2259694" y="1680007"/>
        <a:ext cx="1020334" cy="623167"/>
      </dsp:txXfrm>
    </dsp:sp>
    <dsp:sp modelId="{2DF91C5A-EA04-4BCF-808B-C72E945124ED}">
      <dsp:nvSpPr>
        <dsp:cNvPr id="0" name=""/>
        <dsp:cNvSpPr/>
      </dsp:nvSpPr>
      <dsp:spPr>
        <a:xfrm>
          <a:off x="2107917" y="667703"/>
          <a:ext cx="132388" cy="2151317"/>
        </a:xfrm>
        <a:custGeom>
          <a:avLst/>
          <a:gdLst/>
          <a:ahLst/>
          <a:cxnLst/>
          <a:rect l="0" t="0" r="0" b="0"/>
          <a:pathLst>
            <a:path>
              <a:moveTo>
                <a:pt x="0" y="0"/>
              </a:moveTo>
              <a:lnTo>
                <a:pt x="0" y="2237556"/>
              </a:lnTo>
              <a:lnTo>
                <a:pt x="137695" y="2237556"/>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A6B0A6E-DC49-458D-BE9E-0131AF938336}">
      <dsp:nvSpPr>
        <dsp:cNvPr id="0" name=""/>
        <dsp:cNvSpPr/>
      </dsp:nvSpPr>
      <dsp:spPr>
        <a:xfrm>
          <a:off x="2240306" y="2488048"/>
          <a:ext cx="1059110" cy="661943"/>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n-IE" sz="900" kern="1200">
              <a:latin typeface="Calibri" panose="020F0502020204030204"/>
              <a:ea typeface="+mn-ea"/>
              <a:cs typeface="+mn-cs"/>
            </a:rPr>
            <a:t>Play</a:t>
          </a:r>
          <a:endParaRPr lang="en-IE" sz="900" b="1" kern="1200">
            <a:latin typeface="Calibri" panose="020F0502020204030204"/>
            <a:ea typeface="+mn-ea"/>
            <a:cs typeface="+mn-cs"/>
          </a:endParaRPr>
        </a:p>
      </dsp:txBody>
      <dsp:txXfrm>
        <a:off x="2259694" y="2507436"/>
        <a:ext cx="1020334" cy="623167"/>
      </dsp:txXfrm>
    </dsp:sp>
    <dsp:sp modelId="{D903F94C-FF04-405A-8F1E-29C4D4333730}">
      <dsp:nvSpPr>
        <dsp:cNvPr id="0" name=""/>
        <dsp:cNvSpPr/>
      </dsp:nvSpPr>
      <dsp:spPr>
        <a:xfrm>
          <a:off x="2107917" y="667703"/>
          <a:ext cx="132388" cy="2978747"/>
        </a:xfrm>
        <a:custGeom>
          <a:avLst/>
          <a:gdLst/>
          <a:ahLst/>
          <a:cxnLst/>
          <a:rect l="0" t="0" r="0" b="0"/>
          <a:pathLst>
            <a:path>
              <a:moveTo>
                <a:pt x="0" y="0"/>
              </a:moveTo>
              <a:lnTo>
                <a:pt x="0" y="3098155"/>
              </a:lnTo>
              <a:lnTo>
                <a:pt x="137695" y="3098155"/>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9A284EC-47A0-4543-9247-5BA60FF185C0}">
      <dsp:nvSpPr>
        <dsp:cNvPr id="0" name=""/>
        <dsp:cNvSpPr/>
      </dsp:nvSpPr>
      <dsp:spPr>
        <a:xfrm>
          <a:off x="2240306" y="3315478"/>
          <a:ext cx="1059110" cy="661943"/>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n-IE" sz="900" kern="1200">
              <a:latin typeface="Calibri" panose="020F0502020204030204"/>
              <a:ea typeface="+mn-ea"/>
              <a:cs typeface="+mn-cs"/>
            </a:rPr>
            <a:t>Leadership &amp; Managment</a:t>
          </a:r>
        </a:p>
      </dsp:txBody>
      <dsp:txXfrm>
        <a:off x="2259694" y="3334866"/>
        <a:ext cx="1020334" cy="623167"/>
      </dsp:txXfrm>
    </dsp:sp>
    <dsp:sp modelId="{2A1B9313-B4A6-49BF-B6DB-ACA47F27A80D}">
      <dsp:nvSpPr>
        <dsp:cNvPr id="0" name=""/>
        <dsp:cNvSpPr/>
      </dsp:nvSpPr>
      <dsp:spPr>
        <a:xfrm>
          <a:off x="2107917" y="667703"/>
          <a:ext cx="132388" cy="3806176"/>
        </a:xfrm>
        <a:custGeom>
          <a:avLst/>
          <a:gdLst/>
          <a:ahLst/>
          <a:cxnLst/>
          <a:rect l="0" t="0" r="0" b="0"/>
          <a:pathLst>
            <a:path>
              <a:moveTo>
                <a:pt x="0" y="0"/>
              </a:moveTo>
              <a:lnTo>
                <a:pt x="0" y="3958753"/>
              </a:lnTo>
              <a:lnTo>
                <a:pt x="137695" y="3958753"/>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3A9E4F1-7471-4A0B-A730-FC459CFD5283}">
      <dsp:nvSpPr>
        <dsp:cNvPr id="0" name=""/>
        <dsp:cNvSpPr/>
      </dsp:nvSpPr>
      <dsp:spPr>
        <a:xfrm>
          <a:off x="2240306" y="4142908"/>
          <a:ext cx="1059110" cy="661943"/>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n-IE" sz="900" kern="1200">
              <a:latin typeface="Calibri" panose="020F0502020204030204"/>
              <a:ea typeface="+mn-ea"/>
              <a:cs typeface="+mn-cs"/>
            </a:rPr>
            <a:t>End of Life Care</a:t>
          </a:r>
        </a:p>
      </dsp:txBody>
      <dsp:txXfrm>
        <a:off x="2259694" y="4162296"/>
        <a:ext cx="1020334" cy="623167"/>
      </dsp:txXfrm>
    </dsp:sp>
    <dsp:sp modelId="{ED53A820-2456-4414-8D71-67D9BA069906}">
      <dsp:nvSpPr>
        <dsp:cNvPr id="0" name=""/>
        <dsp:cNvSpPr/>
      </dsp:nvSpPr>
      <dsp:spPr>
        <a:xfrm>
          <a:off x="2107917" y="667703"/>
          <a:ext cx="132388" cy="4633606"/>
        </a:xfrm>
        <a:custGeom>
          <a:avLst/>
          <a:gdLst/>
          <a:ahLst/>
          <a:cxnLst/>
          <a:rect l="0" t="0" r="0" b="0"/>
          <a:pathLst>
            <a:path>
              <a:moveTo>
                <a:pt x="0" y="0"/>
              </a:moveTo>
              <a:lnTo>
                <a:pt x="0" y="4819352"/>
              </a:lnTo>
              <a:lnTo>
                <a:pt x="137695" y="4819352"/>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B84258A-C744-4C74-8893-6111FF786E0C}">
      <dsp:nvSpPr>
        <dsp:cNvPr id="0" name=""/>
        <dsp:cNvSpPr/>
      </dsp:nvSpPr>
      <dsp:spPr>
        <a:xfrm>
          <a:off x="2240306" y="4970337"/>
          <a:ext cx="1059110" cy="661943"/>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n-IE" sz="900" kern="1200">
              <a:latin typeface="Calibri" panose="020F0502020204030204"/>
              <a:ea typeface="+mn-ea"/>
              <a:cs typeface="+mn-cs"/>
            </a:rPr>
            <a:t>Psychology</a:t>
          </a:r>
        </a:p>
      </dsp:txBody>
      <dsp:txXfrm>
        <a:off x="2259694" y="4989725"/>
        <a:ext cx="1020334" cy="623167"/>
      </dsp:txXfrm>
    </dsp:sp>
    <dsp:sp modelId="{BBF613A9-9755-4F46-8DBE-196D89DE2A68}">
      <dsp:nvSpPr>
        <dsp:cNvPr id="0" name=""/>
        <dsp:cNvSpPr/>
      </dsp:nvSpPr>
      <dsp:spPr>
        <a:xfrm>
          <a:off x="2107917" y="667703"/>
          <a:ext cx="132388" cy="5461036"/>
        </a:xfrm>
        <a:custGeom>
          <a:avLst/>
          <a:gdLst/>
          <a:ahLst/>
          <a:cxnLst/>
          <a:rect l="0" t="0" r="0" b="0"/>
          <a:pathLst>
            <a:path>
              <a:moveTo>
                <a:pt x="0" y="0"/>
              </a:moveTo>
              <a:lnTo>
                <a:pt x="0" y="5679950"/>
              </a:lnTo>
              <a:lnTo>
                <a:pt x="137695" y="567995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9EB37AA-54E7-48EC-B0DF-4705855937D9}">
      <dsp:nvSpPr>
        <dsp:cNvPr id="0" name=""/>
        <dsp:cNvSpPr/>
      </dsp:nvSpPr>
      <dsp:spPr>
        <a:xfrm>
          <a:off x="2240306" y="5797767"/>
          <a:ext cx="1059110" cy="661943"/>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n-IE" sz="900" kern="1200">
              <a:latin typeface="Calibri" panose="020F0502020204030204"/>
              <a:ea typeface="+mn-ea"/>
              <a:cs typeface="+mn-cs"/>
            </a:rPr>
            <a:t>Augmentative &amp; Alternative Communication </a:t>
          </a:r>
        </a:p>
      </dsp:txBody>
      <dsp:txXfrm>
        <a:off x="2259694" y="5817155"/>
        <a:ext cx="1020334" cy="623167"/>
      </dsp:txXfrm>
    </dsp:sp>
    <dsp:sp modelId="{1295B72E-4A6C-4EBD-94B2-D8FEA715E190}">
      <dsp:nvSpPr>
        <dsp:cNvPr id="0" name=""/>
        <dsp:cNvSpPr/>
      </dsp:nvSpPr>
      <dsp:spPr>
        <a:xfrm>
          <a:off x="3630388" y="5759"/>
          <a:ext cx="1323887" cy="661943"/>
        </a:xfrm>
        <a:prstGeom prst="roundRect">
          <a:avLst>
            <a:gd name="adj" fmla="val 10000"/>
          </a:avLst>
        </a:prstGeom>
        <a:solidFill>
          <a:schemeClr val="tx1">
            <a:lumMod val="65000"/>
            <a:lumOff val="3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en-IE" sz="1000" kern="1200">
              <a:latin typeface="Calibri" panose="020F0502020204030204"/>
              <a:ea typeface="+mn-ea"/>
              <a:cs typeface="+mn-cs"/>
            </a:rPr>
            <a:t>Communication training as part of field (practice) experience</a:t>
          </a:r>
        </a:p>
      </dsp:txBody>
      <dsp:txXfrm>
        <a:off x="3649776" y="25147"/>
        <a:ext cx="1285111" cy="623167"/>
      </dsp:txXfrm>
    </dsp:sp>
    <dsp:sp modelId="{C783BC46-A6A5-4311-85D8-CE2D4E44C6D5}">
      <dsp:nvSpPr>
        <dsp:cNvPr id="0" name=""/>
        <dsp:cNvSpPr/>
      </dsp:nvSpPr>
      <dsp:spPr>
        <a:xfrm>
          <a:off x="3762776" y="667703"/>
          <a:ext cx="132388" cy="496457"/>
        </a:xfrm>
        <a:custGeom>
          <a:avLst/>
          <a:gdLst/>
          <a:ahLst/>
          <a:cxnLst/>
          <a:rect l="0" t="0" r="0" b="0"/>
          <a:pathLst>
            <a:path>
              <a:moveTo>
                <a:pt x="0" y="0"/>
              </a:moveTo>
              <a:lnTo>
                <a:pt x="0" y="516359"/>
              </a:lnTo>
              <a:lnTo>
                <a:pt x="137695" y="516359"/>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37AF090-DB95-4760-ACBC-9F53F1494B35}">
      <dsp:nvSpPr>
        <dsp:cNvPr id="0" name=""/>
        <dsp:cNvSpPr/>
      </dsp:nvSpPr>
      <dsp:spPr>
        <a:xfrm>
          <a:off x="3895165" y="833189"/>
          <a:ext cx="1059110" cy="661943"/>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n-IE" sz="900" kern="1200">
              <a:latin typeface="Calibri" panose="020F0502020204030204"/>
              <a:ea typeface="+mn-ea"/>
              <a:cs typeface="+mn-cs"/>
            </a:rPr>
            <a:t>Clinical Placement</a:t>
          </a:r>
        </a:p>
      </dsp:txBody>
      <dsp:txXfrm>
        <a:off x="3914553" y="852577"/>
        <a:ext cx="1020334" cy="623167"/>
      </dsp:txXfrm>
    </dsp:sp>
    <dsp:sp modelId="{9B59AD75-91F3-40D4-88DC-9ED5847545BB}">
      <dsp:nvSpPr>
        <dsp:cNvPr id="0" name=""/>
        <dsp:cNvSpPr/>
      </dsp:nvSpPr>
      <dsp:spPr>
        <a:xfrm>
          <a:off x="3762776" y="667703"/>
          <a:ext cx="132388" cy="1323887"/>
        </a:xfrm>
        <a:custGeom>
          <a:avLst/>
          <a:gdLst/>
          <a:ahLst/>
          <a:cxnLst/>
          <a:rect l="0" t="0" r="0" b="0"/>
          <a:pathLst>
            <a:path>
              <a:moveTo>
                <a:pt x="0" y="0"/>
              </a:moveTo>
              <a:lnTo>
                <a:pt x="0" y="1376957"/>
              </a:lnTo>
              <a:lnTo>
                <a:pt x="137695" y="1376957"/>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638561C-8875-4211-8FE7-2B7711E1D47E}">
      <dsp:nvSpPr>
        <dsp:cNvPr id="0" name=""/>
        <dsp:cNvSpPr/>
      </dsp:nvSpPr>
      <dsp:spPr>
        <a:xfrm>
          <a:off x="3895165" y="1660619"/>
          <a:ext cx="1059110" cy="661943"/>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n-IE" sz="900" kern="1200">
              <a:latin typeface="Calibri" panose="020F0502020204030204"/>
              <a:ea typeface="+mn-ea"/>
              <a:cs typeface="+mn-cs"/>
            </a:rPr>
            <a:t>Special Educational Needs Schools</a:t>
          </a:r>
        </a:p>
      </dsp:txBody>
      <dsp:txXfrm>
        <a:off x="3914553" y="1680007"/>
        <a:ext cx="1020334" cy="623167"/>
      </dsp:txXfrm>
    </dsp:sp>
    <dsp:sp modelId="{B668BAA4-3F88-4ACA-B8B3-4413D934A138}">
      <dsp:nvSpPr>
        <dsp:cNvPr id="0" name=""/>
        <dsp:cNvSpPr/>
      </dsp:nvSpPr>
      <dsp:spPr>
        <a:xfrm>
          <a:off x="3762776" y="667703"/>
          <a:ext cx="132388" cy="2151317"/>
        </a:xfrm>
        <a:custGeom>
          <a:avLst/>
          <a:gdLst/>
          <a:ahLst/>
          <a:cxnLst/>
          <a:rect l="0" t="0" r="0" b="0"/>
          <a:pathLst>
            <a:path>
              <a:moveTo>
                <a:pt x="0" y="0"/>
              </a:moveTo>
              <a:lnTo>
                <a:pt x="0" y="2237556"/>
              </a:lnTo>
              <a:lnTo>
                <a:pt x="137695" y="2237556"/>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AAA6963-B68E-4786-B363-87CBDEC3C2DC}">
      <dsp:nvSpPr>
        <dsp:cNvPr id="0" name=""/>
        <dsp:cNvSpPr/>
      </dsp:nvSpPr>
      <dsp:spPr>
        <a:xfrm>
          <a:off x="3895165" y="2488048"/>
          <a:ext cx="1059110" cy="661943"/>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145" tIns="11430" rIns="17145" bIns="11430" numCol="1" spcCol="1270" anchor="ctr" anchorCtr="0">
          <a:noAutofit/>
        </a:bodyPr>
        <a:lstStyle/>
        <a:p>
          <a:pPr marL="0" lvl="0" indent="0" algn="ctr" defTabSz="400050">
            <a:lnSpc>
              <a:spcPct val="90000"/>
            </a:lnSpc>
            <a:spcBef>
              <a:spcPct val="0"/>
            </a:spcBef>
            <a:spcAft>
              <a:spcPct val="35000"/>
            </a:spcAft>
            <a:buNone/>
          </a:pPr>
          <a:r>
            <a:rPr lang="en-IE" sz="900" kern="1200">
              <a:latin typeface="Calibri" panose="020F0502020204030204"/>
              <a:ea typeface="+mn-ea"/>
              <a:cs typeface="+mn-cs"/>
            </a:rPr>
            <a:t>Simulations with standardised patients</a:t>
          </a:r>
        </a:p>
      </dsp:txBody>
      <dsp:txXfrm>
        <a:off x="3914553" y="2507436"/>
        <a:ext cx="1020334" cy="62316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058CA23-1343-415D-B725-976AA3F95E16}">
      <dsp:nvSpPr>
        <dsp:cNvPr id="0" name=""/>
        <dsp:cNvSpPr/>
      </dsp:nvSpPr>
      <dsp:spPr>
        <a:xfrm>
          <a:off x="1648" y="16754"/>
          <a:ext cx="1607209" cy="642883"/>
        </a:xfrm>
        <a:prstGeom prst="rect">
          <a:avLst/>
        </a:prstGeom>
        <a:solidFill>
          <a:schemeClr val="accent3">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en-IE" sz="1600" b="1" kern="1200"/>
            <a:t>Theoretical componets</a:t>
          </a:r>
        </a:p>
      </dsp:txBody>
      <dsp:txXfrm>
        <a:off x="1648" y="16754"/>
        <a:ext cx="1607209" cy="642883"/>
      </dsp:txXfrm>
    </dsp:sp>
    <dsp:sp modelId="{034EB96B-2792-4FD0-82BD-06FC3530CFDF}">
      <dsp:nvSpPr>
        <dsp:cNvPr id="0" name=""/>
        <dsp:cNvSpPr/>
      </dsp:nvSpPr>
      <dsp:spPr>
        <a:xfrm>
          <a:off x="1648" y="659638"/>
          <a:ext cx="1607209" cy="1625040"/>
        </a:xfrm>
        <a:prstGeom prst="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en-IE" sz="1400" kern="1200"/>
            <a:t>Didactic Lectures</a:t>
          </a:r>
        </a:p>
        <a:p>
          <a:pPr marL="114300" lvl="1" indent="-114300" algn="l" defTabSz="622300">
            <a:lnSpc>
              <a:spcPct val="90000"/>
            </a:lnSpc>
            <a:spcBef>
              <a:spcPct val="0"/>
            </a:spcBef>
            <a:spcAft>
              <a:spcPct val="15000"/>
            </a:spcAft>
            <a:buChar char="•"/>
          </a:pPr>
          <a:r>
            <a:rPr lang="en-IE" sz="1400" kern="1200"/>
            <a:t>Case studies</a:t>
          </a:r>
        </a:p>
        <a:p>
          <a:pPr marL="114300" lvl="1" indent="-114300" algn="l" defTabSz="622300">
            <a:lnSpc>
              <a:spcPct val="90000"/>
            </a:lnSpc>
            <a:spcBef>
              <a:spcPct val="0"/>
            </a:spcBef>
            <a:spcAft>
              <a:spcPct val="15000"/>
            </a:spcAft>
            <a:buChar char="•"/>
          </a:pPr>
          <a:r>
            <a:rPr lang="en-IE" sz="1400" kern="1200"/>
            <a:t>Group work</a:t>
          </a:r>
        </a:p>
        <a:p>
          <a:pPr marL="114300" lvl="1" indent="-114300" algn="l" defTabSz="622300">
            <a:lnSpc>
              <a:spcPct val="90000"/>
            </a:lnSpc>
            <a:spcBef>
              <a:spcPct val="0"/>
            </a:spcBef>
            <a:spcAft>
              <a:spcPct val="15000"/>
            </a:spcAft>
            <a:buChar char="•"/>
          </a:pPr>
          <a:r>
            <a:rPr lang="en-IE" sz="1400" kern="1200"/>
            <a:t>Reflection</a:t>
          </a:r>
        </a:p>
        <a:p>
          <a:pPr marL="114300" lvl="1" indent="-114300" algn="l" defTabSz="622300">
            <a:lnSpc>
              <a:spcPct val="90000"/>
            </a:lnSpc>
            <a:spcBef>
              <a:spcPct val="0"/>
            </a:spcBef>
            <a:spcAft>
              <a:spcPct val="15000"/>
            </a:spcAft>
            <a:buChar char="•"/>
          </a:pPr>
          <a:r>
            <a:rPr lang="en-IE" sz="1400" kern="1200"/>
            <a:t>Discussions</a:t>
          </a:r>
        </a:p>
      </dsp:txBody>
      <dsp:txXfrm>
        <a:off x="1648" y="659638"/>
        <a:ext cx="1607209" cy="1625040"/>
      </dsp:txXfrm>
    </dsp:sp>
    <dsp:sp modelId="{E3D078E8-210C-49D2-B5FA-9407ECB66B18}">
      <dsp:nvSpPr>
        <dsp:cNvPr id="0" name=""/>
        <dsp:cNvSpPr/>
      </dsp:nvSpPr>
      <dsp:spPr>
        <a:xfrm>
          <a:off x="1833867" y="16754"/>
          <a:ext cx="1607209" cy="642883"/>
        </a:xfrm>
        <a:prstGeom prst="rect">
          <a:avLst/>
        </a:prstGeom>
        <a:solidFill>
          <a:schemeClr val="accent3">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en-IE" sz="1600" b="1" kern="1200"/>
            <a:t>Practical components</a:t>
          </a:r>
        </a:p>
      </dsp:txBody>
      <dsp:txXfrm>
        <a:off x="1833867" y="16754"/>
        <a:ext cx="1607209" cy="642883"/>
      </dsp:txXfrm>
    </dsp:sp>
    <dsp:sp modelId="{BB0F1A2F-207C-4F27-ABDD-4698CA060B2C}">
      <dsp:nvSpPr>
        <dsp:cNvPr id="0" name=""/>
        <dsp:cNvSpPr/>
      </dsp:nvSpPr>
      <dsp:spPr>
        <a:xfrm>
          <a:off x="1833867" y="659638"/>
          <a:ext cx="1607209" cy="1625040"/>
        </a:xfrm>
        <a:prstGeom prst="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en-IE" sz="1400" kern="1200"/>
            <a:t>Workshops</a:t>
          </a:r>
        </a:p>
        <a:p>
          <a:pPr marL="114300" lvl="1" indent="-114300" algn="l" defTabSz="622300">
            <a:lnSpc>
              <a:spcPct val="90000"/>
            </a:lnSpc>
            <a:spcBef>
              <a:spcPct val="0"/>
            </a:spcBef>
            <a:spcAft>
              <a:spcPct val="15000"/>
            </a:spcAft>
            <a:buChar char="•"/>
          </a:pPr>
          <a:r>
            <a:rPr lang="en-IE" sz="1400" kern="1200"/>
            <a:t>Simulation-based education</a:t>
          </a:r>
        </a:p>
        <a:p>
          <a:pPr marL="114300" lvl="1" indent="-114300" algn="l" defTabSz="622300">
            <a:lnSpc>
              <a:spcPct val="90000"/>
            </a:lnSpc>
            <a:spcBef>
              <a:spcPct val="0"/>
            </a:spcBef>
            <a:spcAft>
              <a:spcPct val="15000"/>
            </a:spcAft>
            <a:buChar char="•"/>
          </a:pPr>
          <a:r>
            <a:rPr lang="en-IE" sz="1400" kern="1200"/>
            <a:t>Game based learning</a:t>
          </a:r>
        </a:p>
      </dsp:txBody>
      <dsp:txXfrm>
        <a:off x="1833867" y="659638"/>
        <a:ext cx="1607209" cy="1625040"/>
      </dsp:txXfrm>
    </dsp:sp>
    <dsp:sp modelId="{BF834EB5-03B2-4567-BD17-47C460CDF3CA}">
      <dsp:nvSpPr>
        <dsp:cNvPr id="0" name=""/>
        <dsp:cNvSpPr/>
      </dsp:nvSpPr>
      <dsp:spPr>
        <a:xfrm>
          <a:off x="3666086" y="16754"/>
          <a:ext cx="1607209" cy="642883"/>
        </a:xfrm>
        <a:prstGeom prst="rect">
          <a:avLst/>
        </a:prstGeom>
        <a:solidFill>
          <a:schemeClr val="accent3">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marL="0" lvl="0" indent="0" algn="ctr" defTabSz="711200">
            <a:lnSpc>
              <a:spcPct val="90000"/>
            </a:lnSpc>
            <a:spcBef>
              <a:spcPct val="0"/>
            </a:spcBef>
            <a:spcAft>
              <a:spcPct val="35000"/>
            </a:spcAft>
            <a:buNone/>
          </a:pPr>
          <a:r>
            <a:rPr lang="en-IE" sz="1600" b="1" kern="1200"/>
            <a:t>Assessments</a:t>
          </a:r>
        </a:p>
      </dsp:txBody>
      <dsp:txXfrm>
        <a:off x="3666086" y="16754"/>
        <a:ext cx="1607209" cy="642883"/>
      </dsp:txXfrm>
    </dsp:sp>
    <dsp:sp modelId="{25D0DD09-4557-4AE0-937D-BC7D604D0B43}">
      <dsp:nvSpPr>
        <dsp:cNvPr id="0" name=""/>
        <dsp:cNvSpPr/>
      </dsp:nvSpPr>
      <dsp:spPr>
        <a:xfrm>
          <a:off x="3666086" y="659638"/>
          <a:ext cx="1607209" cy="1625040"/>
        </a:xfrm>
        <a:prstGeom prst="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4676" tIns="74676" rIns="99568" bIns="112014" numCol="1" spcCol="1270" anchor="t" anchorCtr="0">
          <a:noAutofit/>
        </a:bodyPr>
        <a:lstStyle/>
        <a:p>
          <a:pPr marL="114300" lvl="1" indent="-114300" algn="l" defTabSz="622300">
            <a:lnSpc>
              <a:spcPct val="90000"/>
            </a:lnSpc>
            <a:spcBef>
              <a:spcPct val="0"/>
            </a:spcBef>
            <a:spcAft>
              <a:spcPct val="15000"/>
            </a:spcAft>
            <a:buChar char="•"/>
          </a:pPr>
          <a:r>
            <a:rPr lang="en-IE" sz="1400" b="0" i="0" kern="1200"/>
            <a:t>Objective Structured Clinical Examination</a:t>
          </a:r>
          <a:endParaRPr lang="en-IE" sz="1400" kern="1200"/>
        </a:p>
        <a:p>
          <a:pPr marL="114300" lvl="1" indent="-114300" algn="l" defTabSz="622300">
            <a:lnSpc>
              <a:spcPct val="90000"/>
            </a:lnSpc>
            <a:spcBef>
              <a:spcPct val="0"/>
            </a:spcBef>
            <a:spcAft>
              <a:spcPct val="15000"/>
            </a:spcAft>
            <a:buChar char="•"/>
          </a:pPr>
          <a:r>
            <a:rPr lang="en-IE" sz="1400" kern="1200"/>
            <a:t>Case Study Assessment</a:t>
          </a:r>
        </a:p>
      </dsp:txBody>
      <dsp:txXfrm>
        <a:off x="3666086" y="659638"/>
        <a:ext cx="1607209" cy="162504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5DB32661316451CA401D8B9C535AE7B"/>
        <w:category>
          <w:name w:val="General"/>
          <w:gallery w:val="placeholder"/>
        </w:category>
        <w:types>
          <w:type w:val="bbPlcHdr"/>
        </w:types>
        <w:behaviors>
          <w:behavior w:val="content"/>
        </w:behaviors>
        <w:guid w:val="{CD4C4B56-C0EE-4F2C-AB91-CC482AA07FF2}"/>
      </w:docPartPr>
      <w:docPartBody>
        <w:p w:rsidR="00737401" w:rsidRDefault="00737401" w:rsidP="00737401">
          <w:pPr>
            <w:pStyle w:val="15DB32661316451CA401D8B9C535AE7B"/>
          </w:pPr>
          <w:r w:rsidRPr="00167DA9">
            <w:rPr>
              <w:rStyle w:val="PlaceholderText"/>
              <w:sz w:val="22"/>
              <w:szCs w:val="20"/>
              <w:bdr w:val="single" w:sz="4" w:space="0" w:color="auto"/>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401"/>
    <w:rsid w:val="00141750"/>
    <w:rsid w:val="00737401"/>
    <w:rsid w:val="00DF676E"/>
    <w:rsid w:val="00F374FB"/>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IE" w:eastAsia="en-I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37401"/>
    <w:rPr>
      <w:color w:val="808080"/>
    </w:rPr>
  </w:style>
  <w:style w:type="paragraph" w:customStyle="1" w:styleId="15DB32661316451CA401D8B9C535AE7B">
    <w:name w:val="15DB32661316451CA401D8B9C535AE7B"/>
    <w:rsid w:val="0073740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7A60E04C92B94B97BDEA66F84AC45D" ma:contentTypeVersion="13" ma:contentTypeDescription="Create a new document." ma:contentTypeScope="" ma:versionID="fc4a438a5954e8551e068f04fe6aeec1">
  <xsd:schema xmlns:xsd="http://www.w3.org/2001/XMLSchema" xmlns:xs="http://www.w3.org/2001/XMLSchema" xmlns:p="http://schemas.microsoft.com/office/2006/metadata/properties" xmlns:ns3="d44ee9ff-f105-4731-be6b-1a37457b202b" xmlns:ns4="6845fbdb-89be-4a2e-9cbc-e91820b63313" targetNamespace="http://schemas.microsoft.com/office/2006/metadata/properties" ma:root="true" ma:fieldsID="f021a46b7be26e7001f224ae5fec4fb7" ns3:_="" ns4:_="">
    <xsd:import namespace="d44ee9ff-f105-4731-be6b-1a37457b202b"/>
    <xsd:import namespace="6845fbdb-89be-4a2e-9cbc-e91820b63313"/>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4ee9ff-f105-4731-be6b-1a37457b20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845fbdb-89be-4a2e-9cbc-e91820b6331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BF9BAD1-90EB-4A37-8BD2-0C808A440F3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8A6EAAD-BB18-4D02-8305-7F1243D1487D}">
  <ds:schemaRefs>
    <ds:schemaRef ds:uri="http://schemas.microsoft.com/sharepoint/v3/contenttype/forms"/>
  </ds:schemaRefs>
</ds:datastoreItem>
</file>

<file path=customXml/itemProps3.xml><?xml version="1.0" encoding="utf-8"?>
<ds:datastoreItem xmlns:ds="http://schemas.openxmlformats.org/officeDocument/2006/customXml" ds:itemID="{8BF7C6CA-6226-443C-B5E9-7342AD4EEB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4ee9ff-f105-4731-be6b-1a37457b202b"/>
    <ds:schemaRef ds:uri="6845fbdb-89be-4a2e-9cbc-e91820b633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10848</Words>
  <Characters>61840</Characters>
  <Application>Microsoft Office Word</Application>
  <DocSecurity>0</DocSecurity>
  <Lines>515</Lines>
  <Paragraphs>145</Paragraphs>
  <ScaleCrop>false</ScaleCrop>
  <HeadingPairs>
    <vt:vector size="2" baseType="variant">
      <vt:variant>
        <vt:lpstr>Title</vt:lpstr>
      </vt:variant>
      <vt:variant>
        <vt:i4>1</vt:i4>
      </vt:variant>
    </vt:vector>
  </HeadingPairs>
  <TitlesOfParts>
    <vt:vector size="1" baseType="lpstr">
      <vt:lpstr>IJNS</vt:lpstr>
    </vt:vector>
  </TitlesOfParts>
  <Company>ISI ResearchSoft</Company>
  <LinksUpToDate>false</LinksUpToDate>
  <CharactersWithSpaces>72543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IJNS</dc:title>
  <dc:subject/>
  <dc:creator>Griffiths P. (Health Sciences)</dc:creator>
  <cp:keywords/>
  <dc:description/>
  <cp:lastModifiedBy>martina kennedy</cp:lastModifiedBy>
  <cp:revision>43</cp:revision>
  <dcterms:created xsi:type="dcterms:W3CDTF">2024-07-05T13:39:00Z</dcterms:created>
  <dcterms:modified xsi:type="dcterms:W3CDTF">2024-08-01T17:03:00Z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0x0101003F7A60E04C92B94B97BDEA66F84AC45D</vt:lpwstr>
  </property>
</Properties>
</file>