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BC83EE" w14:textId="62B2B21C" w:rsidR="0072166B" w:rsidRPr="006B775D" w:rsidRDefault="006B775D" w:rsidP="006B775D">
      <w:pPr>
        <w:pStyle w:val="Heading1"/>
        <w:rPr>
          <w:rFonts w:ascii="Calibri" w:hAnsi="Calibri" w:cs="Calibri"/>
        </w:rPr>
      </w:pPr>
      <w:r w:rsidRPr="006B775D">
        <w:rPr>
          <w:rFonts w:ascii="Calibri" w:hAnsi="Calibri" w:cs="Calibri"/>
        </w:rPr>
        <w:t>Caring for Transgender patients in the ICU: Current insights for equitable care</w:t>
      </w:r>
    </w:p>
    <w:p w14:paraId="248354E0" w14:textId="784EADCC" w:rsidR="0072166B" w:rsidRPr="006B775D" w:rsidRDefault="006A5AF0" w:rsidP="5C4C0047">
      <w:pPr>
        <w:pBdr>
          <w:top w:val="nil"/>
          <w:left w:val="nil"/>
          <w:bottom w:val="nil"/>
          <w:right w:val="nil"/>
          <w:between w:val="nil"/>
        </w:pBdr>
        <w:spacing w:after="0" w:line="240" w:lineRule="auto"/>
        <w:rPr>
          <w:color w:val="000000" w:themeColor="text1"/>
          <w:lang w:eastAsia="en-US"/>
        </w:rPr>
      </w:pPr>
      <w:r w:rsidRPr="006B775D">
        <w:rPr>
          <w:color w:val="000000" w:themeColor="text1"/>
        </w:rPr>
        <w:t>There is more focus on issues surrounding Transgender</w:t>
      </w:r>
      <w:r w:rsidR="00D045BD">
        <w:rPr>
          <w:color w:val="000000" w:themeColor="text1"/>
        </w:rPr>
        <w:t>/Trans</w:t>
      </w:r>
      <w:r w:rsidRPr="006B775D">
        <w:rPr>
          <w:color w:val="000000" w:themeColor="text1"/>
        </w:rPr>
        <w:t xml:space="preserve"> people and their healthcare than ever before, and while there is a dearth of evidence around Intensive Care specific needs, this paper aims to broadly address considerations </w:t>
      </w:r>
      <w:r w:rsidR="00274494" w:rsidRPr="006B775D">
        <w:rPr>
          <w:color w:val="000000" w:themeColor="text1"/>
        </w:rPr>
        <w:t xml:space="preserve">ICU </w:t>
      </w:r>
      <w:r w:rsidRPr="006B775D">
        <w:rPr>
          <w:color w:val="000000" w:themeColor="text1"/>
        </w:rPr>
        <w:t>nurses might take when caring for Trans patients</w:t>
      </w:r>
      <w:r w:rsidR="1715FAF7" w:rsidRPr="006B775D">
        <w:rPr>
          <w:color w:val="000000" w:themeColor="text1"/>
        </w:rPr>
        <w:t xml:space="preserve">. These include both the overall approach to person-centred care for </w:t>
      </w:r>
      <w:r w:rsidR="7F55DF81" w:rsidRPr="006B775D">
        <w:rPr>
          <w:color w:val="000000" w:themeColor="text1"/>
        </w:rPr>
        <w:t>Trans</w:t>
      </w:r>
      <w:r w:rsidR="1715FAF7" w:rsidRPr="006B775D">
        <w:rPr>
          <w:color w:val="000000" w:themeColor="text1"/>
        </w:rPr>
        <w:t xml:space="preserve"> patients as well as the physiological considerations for nursing interventions</w:t>
      </w:r>
      <w:r w:rsidR="00274494" w:rsidRPr="006B775D">
        <w:rPr>
          <w:color w:val="000000" w:themeColor="text1"/>
        </w:rPr>
        <w:t>.</w:t>
      </w:r>
    </w:p>
    <w:p w14:paraId="08A45309" w14:textId="77777777" w:rsidR="000A4029" w:rsidRPr="006B775D" w:rsidRDefault="000A4029" w:rsidP="0072166B">
      <w:pPr>
        <w:pBdr>
          <w:top w:val="nil"/>
          <w:left w:val="nil"/>
          <w:bottom w:val="nil"/>
          <w:right w:val="nil"/>
          <w:between w:val="nil"/>
        </w:pBdr>
        <w:spacing w:after="0" w:line="240" w:lineRule="auto"/>
        <w:rPr>
          <w:color w:val="000000" w:themeColor="text1"/>
        </w:rPr>
      </w:pPr>
    </w:p>
    <w:p w14:paraId="0409AE79" w14:textId="03151B64" w:rsidR="000A4029" w:rsidRPr="006B775D" w:rsidRDefault="34B57DA2" w:rsidP="0F675080">
      <w:pPr>
        <w:pBdr>
          <w:top w:val="nil"/>
          <w:left w:val="nil"/>
          <w:bottom w:val="nil"/>
          <w:right w:val="nil"/>
          <w:between w:val="nil"/>
        </w:pBdr>
        <w:spacing w:after="0" w:line="240" w:lineRule="auto"/>
        <w:rPr>
          <w:color w:val="000000" w:themeColor="text1"/>
        </w:rPr>
      </w:pPr>
      <w:r w:rsidRPr="006B775D">
        <w:rPr>
          <w:color w:val="000000" w:themeColor="text1"/>
        </w:rPr>
        <w:t xml:space="preserve">The term </w:t>
      </w:r>
      <w:r w:rsidR="7F55DF81" w:rsidRPr="006B775D">
        <w:rPr>
          <w:color w:val="000000" w:themeColor="text1"/>
        </w:rPr>
        <w:t>Trans</w:t>
      </w:r>
      <w:r w:rsidRPr="006B775D">
        <w:rPr>
          <w:color w:val="000000" w:themeColor="text1"/>
        </w:rPr>
        <w:t xml:space="preserve"> is an umbrella term which refers to a person whose gender identity differs from the biological sex they were assigned at birth</w:t>
      </w:r>
      <w:r w:rsidR="0072166B" w:rsidRPr="006B775D">
        <w:rPr>
          <w:color w:val="000000" w:themeColor="text1"/>
        </w:rPr>
        <w:t>.</w:t>
      </w:r>
      <w:r w:rsidR="000A4029" w:rsidRPr="006B775D">
        <w:rPr>
          <w:color w:val="000000" w:themeColor="text1"/>
        </w:rPr>
        <w:t xml:space="preserve"> Not everybody ascribes to a gender identity which is either male, nor female; people who identify outside of this binary might be described as Non-Binary</w:t>
      </w:r>
      <w:r w:rsidR="00D045BD">
        <w:rPr>
          <w:color w:val="000000" w:themeColor="text1"/>
        </w:rPr>
        <w:t xml:space="preserve"> </w:t>
      </w:r>
      <w:r w:rsidR="000A4029" w:rsidRPr="006B775D">
        <w:rPr>
          <w:color w:val="000000" w:themeColor="text1"/>
        </w:rPr>
        <w:t>or a number of other terms.</w:t>
      </w:r>
      <w:r w:rsidR="00C60DB7" w:rsidRPr="006B775D">
        <w:rPr>
          <w:color w:val="000000" w:themeColor="text1"/>
        </w:rPr>
        <w:t xml:space="preserve"> Further terminology is outlined in table 1.1</w:t>
      </w:r>
    </w:p>
    <w:p w14:paraId="2DEFBCA0" w14:textId="77777777" w:rsidR="000A4029" w:rsidRDefault="000A4029" w:rsidP="0072166B">
      <w:pPr>
        <w:pBdr>
          <w:top w:val="nil"/>
          <w:left w:val="nil"/>
          <w:bottom w:val="nil"/>
          <w:right w:val="nil"/>
          <w:between w:val="nil"/>
        </w:pBdr>
        <w:spacing w:after="0" w:line="240" w:lineRule="auto"/>
        <w:rPr>
          <w:color w:val="000000" w:themeColor="text1"/>
        </w:rPr>
      </w:pPr>
    </w:p>
    <w:tbl>
      <w:tblPr>
        <w:tblStyle w:val="TableGrid"/>
        <w:tblW w:w="9209" w:type="dxa"/>
        <w:tblLook w:val="0420" w:firstRow="1" w:lastRow="0" w:firstColumn="0" w:lastColumn="0" w:noHBand="0" w:noVBand="1"/>
      </w:tblPr>
      <w:tblGrid>
        <w:gridCol w:w="2340"/>
        <w:gridCol w:w="6869"/>
      </w:tblGrid>
      <w:tr w:rsidR="0092523F" w:rsidRPr="005B2CDE" w14:paraId="33240812" w14:textId="77777777" w:rsidTr="0092523F">
        <w:trPr>
          <w:trHeight w:val="529"/>
        </w:trPr>
        <w:tc>
          <w:tcPr>
            <w:tcW w:w="2340" w:type="dxa"/>
            <w:hideMark/>
          </w:tcPr>
          <w:p w14:paraId="300C3CC1" w14:textId="77777777" w:rsidR="0092523F" w:rsidRPr="005B2CDE" w:rsidRDefault="0092523F" w:rsidP="0011064B">
            <w:pPr>
              <w:spacing w:after="0" w:line="240" w:lineRule="auto"/>
              <w:rPr>
                <w:rFonts w:eastAsia="Times New Roman"/>
                <w:b/>
                <w:bCs/>
              </w:rPr>
            </w:pPr>
            <w:r w:rsidRPr="0092523F">
              <w:rPr>
                <w:rFonts w:eastAsia="Times New Roman"/>
                <w:b/>
                <w:bCs/>
              </w:rPr>
              <w:t>Term</w:t>
            </w:r>
          </w:p>
        </w:tc>
        <w:tc>
          <w:tcPr>
            <w:tcW w:w="6869" w:type="dxa"/>
            <w:hideMark/>
          </w:tcPr>
          <w:p w14:paraId="60839626" w14:textId="13E44743" w:rsidR="0092523F" w:rsidRPr="005B2CDE" w:rsidRDefault="0092523F" w:rsidP="0011064B">
            <w:pPr>
              <w:rPr>
                <w:rFonts w:eastAsia="Times New Roman"/>
                <w:b/>
                <w:bCs/>
              </w:rPr>
            </w:pPr>
            <w:r>
              <w:rPr>
                <w:rFonts w:eastAsia="Times New Roman"/>
                <w:b/>
                <w:bCs/>
              </w:rPr>
              <w:t xml:space="preserve">Definition </w:t>
            </w:r>
          </w:p>
        </w:tc>
      </w:tr>
      <w:tr w:rsidR="0092523F" w:rsidRPr="005B2CDE" w14:paraId="6726BF90" w14:textId="77777777" w:rsidTr="0092523F">
        <w:trPr>
          <w:trHeight w:val="624"/>
        </w:trPr>
        <w:tc>
          <w:tcPr>
            <w:tcW w:w="2340" w:type="dxa"/>
            <w:hideMark/>
          </w:tcPr>
          <w:p w14:paraId="08567355" w14:textId="77777777" w:rsidR="0092523F" w:rsidRPr="005B2CDE" w:rsidRDefault="0092523F" w:rsidP="0011064B">
            <w:pPr>
              <w:rPr>
                <w:rFonts w:eastAsia="Times New Roman"/>
              </w:rPr>
            </w:pPr>
            <w:r w:rsidRPr="005B2CDE">
              <w:rPr>
                <w:rFonts w:eastAsia="Times New Roman"/>
                <w:color w:val="000000" w:themeColor="dark1"/>
                <w:kern w:val="24"/>
                <w:lang w:val="en-GB"/>
              </w:rPr>
              <w:t>Cisgender/Cis</w:t>
            </w:r>
          </w:p>
        </w:tc>
        <w:tc>
          <w:tcPr>
            <w:tcW w:w="6869" w:type="dxa"/>
            <w:hideMark/>
          </w:tcPr>
          <w:p w14:paraId="779340B8" w14:textId="77777777" w:rsidR="0092523F" w:rsidRPr="005B2CDE" w:rsidRDefault="0092523F" w:rsidP="0011064B">
            <w:pPr>
              <w:rPr>
                <w:rFonts w:eastAsia="Times New Roman"/>
              </w:rPr>
            </w:pPr>
            <w:r w:rsidRPr="005B2CDE">
              <w:rPr>
                <w:rFonts w:eastAsia="Times New Roman"/>
                <w:color w:val="000000" w:themeColor="dark1"/>
                <w:kern w:val="24"/>
                <w:lang w:val="en-GB"/>
              </w:rPr>
              <w:t>A person whose gender identity is congruent with their biological sex as defined at birth.</w:t>
            </w:r>
          </w:p>
        </w:tc>
      </w:tr>
      <w:tr w:rsidR="0092523F" w:rsidRPr="005B2CDE" w14:paraId="4679B001" w14:textId="77777777" w:rsidTr="0092523F">
        <w:trPr>
          <w:trHeight w:val="677"/>
        </w:trPr>
        <w:tc>
          <w:tcPr>
            <w:tcW w:w="2340" w:type="dxa"/>
            <w:hideMark/>
          </w:tcPr>
          <w:p w14:paraId="548FE6BB" w14:textId="77777777" w:rsidR="0092523F" w:rsidRPr="005B2CDE" w:rsidRDefault="0092523F" w:rsidP="0011064B">
            <w:pPr>
              <w:rPr>
                <w:rFonts w:eastAsia="Times New Roman"/>
              </w:rPr>
            </w:pPr>
            <w:r w:rsidRPr="005B2CDE">
              <w:rPr>
                <w:rFonts w:eastAsia="Times New Roman"/>
                <w:color w:val="000000" w:themeColor="dark1"/>
                <w:kern w:val="24"/>
                <w:lang w:val="en-GB"/>
              </w:rPr>
              <w:t>Deadnaming</w:t>
            </w:r>
          </w:p>
        </w:tc>
        <w:tc>
          <w:tcPr>
            <w:tcW w:w="6869" w:type="dxa"/>
            <w:hideMark/>
          </w:tcPr>
          <w:p w14:paraId="2F937198" w14:textId="77777777" w:rsidR="0092523F" w:rsidRPr="005B2CDE" w:rsidRDefault="0092523F" w:rsidP="0011064B">
            <w:pPr>
              <w:rPr>
                <w:rFonts w:eastAsia="Times New Roman"/>
              </w:rPr>
            </w:pPr>
            <w:r w:rsidRPr="005B2CDE">
              <w:rPr>
                <w:rFonts w:eastAsia="Times New Roman"/>
                <w:color w:val="000000" w:themeColor="dark1"/>
                <w:kern w:val="24"/>
                <w:lang w:val="en-GB"/>
              </w:rPr>
              <w:t>Calling someone by their pre-transition or birth name after they have changed name as part of gender transition.</w:t>
            </w:r>
          </w:p>
        </w:tc>
      </w:tr>
      <w:tr w:rsidR="0092523F" w:rsidRPr="005B2CDE" w14:paraId="46A67F2A" w14:textId="77777777" w:rsidTr="0092523F">
        <w:trPr>
          <w:trHeight w:val="584"/>
        </w:trPr>
        <w:tc>
          <w:tcPr>
            <w:tcW w:w="2340" w:type="dxa"/>
            <w:hideMark/>
          </w:tcPr>
          <w:p w14:paraId="456203C2" w14:textId="77777777" w:rsidR="0092523F" w:rsidRPr="005B2CDE" w:rsidRDefault="0092523F" w:rsidP="0011064B">
            <w:pPr>
              <w:rPr>
                <w:rFonts w:eastAsia="Times New Roman"/>
              </w:rPr>
            </w:pPr>
            <w:r w:rsidRPr="005B2CDE">
              <w:rPr>
                <w:rFonts w:eastAsia="Times New Roman"/>
                <w:color w:val="000000" w:themeColor="dark1"/>
                <w:kern w:val="24"/>
                <w:lang w:val="en-GB"/>
              </w:rPr>
              <w:t>Gender</w:t>
            </w:r>
          </w:p>
        </w:tc>
        <w:tc>
          <w:tcPr>
            <w:tcW w:w="6869" w:type="dxa"/>
            <w:hideMark/>
          </w:tcPr>
          <w:p w14:paraId="5C370ACF" w14:textId="77777777" w:rsidR="0092523F" w:rsidRPr="005B2CDE" w:rsidRDefault="0092523F" w:rsidP="0011064B">
            <w:pPr>
              <w:rPr>
                <w:rFonts w:eastAsia="Times New Roman"/>
              </w:rPr>
            </w:pPr>
            <w:r w:rsidRPr="005B2CDE">
              <w:rPr>
                <w:rFonts w:eastAsia="Times New Roman"/>
                <w:color w:val="000000" w:themeColor="dark1"/>
                <w:kern w:val="24"/>
                <w:lang w:val="en-GB"/>
              </w:rPr>
              <w:t>Expressed in terms of masculinity of femininity. Gender is in many ways culturally determined and usually inferred from sex assigned at birth.</w:t>
            </w:r>
          </w:p>
        </w:tc>
      </w:tr>
      <w:tr w:rsidR="0092523F" w:rsidRPr="005B2CDE" w14:paraId="4D07BBBA" w14:textId="77777777" w:rsidTr="0092523F">
        <w:trPr>
          <w:trHeight w:val="643"/>
        </w:trPr>
        <w:tc>
          <w:tcPr>
            <w:tcW w:w="2340" w:type="dxa"/>
            <w:hideMark/>
          </w:tcPr>
          <w:p w14:paraId="7C695189" w14:textId="77777777" w:rsidR="0092523F" w:rsidRPr="005B2CDE" w:rsidRDefault="0092523F" w:rsidP="0011064B">
            <w:pPr>
              <w:rPr>
                <w:rFonts w:eastAsia="Times New Roman"/>
              </w:rPr>
            </w:pPr>
            <w:r w:rsidRPr="005B2CDE">
              <w:rPr>
                <w:rFonts w:eastAsia="Times New Roman"/>
                <w:color w:val="000000" w:themeColor="dark1"/>
                <w:kern w:val="24"/>
                <w:lang w:val="en-GB"/>
              </w:rPr>
              <w:t>Gender Dysphoria</w:t>
            </w:r>
          </w:p>
        </w:tc>
        <w:tc>
          <w:tcPr>
            <w:tcW w:w="6869" w:type="dxa"/>
            <w:hideMark/>
          </w:tcPr>
          <w:p w14:paraId="6F69E875" w14:textId="77777777" w:rsidR="0092523F" w:rsidRPr="005B2CDE" w:rsidRDefault="0092523F" w:rsidP="0011064B">
            <w:pPr>
              <w:rPr>
                <w:rFonts w:eastAsia="Times New Roman"/>
              </w:rPr>
            </w:pPr>
            <w:r w:rsidRPr="005B2CDE">
              <w:rPr>
                <w:rFonts w:eastAsia="Times New Roman"/>
                <w:color w:val="000000" w:themeColor="dark1"/>
                <w:kern w:val="24"/>
                <w:lang w:val="en-GB"/>
              </w:rPr>
              <w:t>When a person experiences discomfort or distress because of a mismatch between their assigned sex and gender identity.</w:t>
            </w:r>
          </w:p>
        </w:tc>
      </w:tr>
      <w:tr w:rsidR="0092523F" w:rsidRPr="005B2CDE" w14:paraId="465F6840" w14:textId="77777777" w:rsidTr="0092523F">
        <w:trPr>
          <w:trHeight w:val="584"/>
        </w:trPr>
        <w:tc>
          <w:tcPr>
            <w:tcW w:w="2340" w:type="dxa"/>
            <w:hideMark/>
          </w:tcPr>
          <w:p w14:paraId="3CB9A5B6" w14:textId="77777777" w:rsidR="0092523F" w:rsidRPr="005B2CDE" w:rsidRDefault="0092523F" w:rsidP="0011064B">
            <w:pPr>
              <w:rPr>
                <w:rFonts w:eastAsia="Times New Roman"/>
              </w:rPr>
            </w:pPr>
            <w:r w:rsidRPr="005B2CDE">
              <w:rPr>
                <w:rFonts w:eastAsia="Times New Roman"/>
                <w:color w:val="000000" w:themeColor="dark1"/>
                <w:kern w:val="24"/>
                <w:lang w:val="en-GB"/>
              </w:rPr>
              <w:t>Gender Identity</w:t>
            </w:r>
          </w:p>
        </w:tc>
        <w:tc>
          <w:tcPr>
            <w:tcW w:w="6869" w:type="dxa"/>
            <w:hideMark/>
          </w:tcPr>
          <w:p w14:paraId="39171A79" w14:textId="77777777" w:rsidR="0092523F" w:rsidRPr="005B2CDE" w:rsidRDefault="0092523F" w:rsidP="0011064B">
            <w:pPr>
              <w:rPr>
                <w:rFonts w:eastAsia="Times New Roman"/>
              </w:rPr>
            </w:pPr>
            <w:r w:rsidRPr="005B2CDE">
              <w:rPr>
                <w:rFonts w:eastAsia="Times New Roman"/>
                <w:color w:val="000000" w:themeColor="dark1"/>
                <w:kern w:val="24"/>
                <w:lang w:val="en-GB"/>
              </w:rPr>
              <w:t>A person’s innate sense of their own gender which may or may not be congruent with their assigned sex.</w:t>
            </w:r>
          </w:p>
        </w:tc>
      </w:tr>
      <w:tr w:rsidR="0092523F" w:rsidRPr="005B2CDE" w14:paraId="5EE69194" w14:textId="77777777" w:rsidTr="0092523F">
        <w:trPr>
          <w:trHeight w:val="792"/>
        </w:trPr>
        <w:tc>
          <w:tcPr>
            <w:tcW w:w="2340" w:type="dxa"/>
            <w:hideMark/>
          </w:tcPr>
          <w:p w14:paraId="552F465A" w14:textId="77777777" w:rsidR="0092523F" w:rsidRPr="005B2CDE" w:rsidRDefault="0092523F" w:rsidP="0011064B">
            <w:pPr>
              <w:rPr>
                <w:rFonts w:eastAsia="Times New Roman"/>
              </w:rPr>
            </w:pPr>
            <w:r w:rsidRPr="005B2CDE">
              <w:rPr>
                <w:rFonts w:eastAsia="Times New Roman"/>
                <w:color w:val="000000" w:themeColor="dark1"/>
                <w:kern w:val="24"/>
                <w:lang w:val="en-GB"/>
              </w:rPr>
              <w:t>Gender Reassignment</w:t>
            </w:r>
          </w:p>
        </w:tc>
        <w:tc>
          <w:tcPr>
            <w:tcW w:w="6869" w:type="dxa"/>
            <w:hideMark/>
          </w:tcPr>
          <w:p w14:paraId="11AAC224" w14:textId="77777777" w:rsidR="0092523F" w:rsidRPr="005B2CDE" w:rsidRDefault="0092523F" w:rsidP="0011064B">
            <w:pPr>
              <w:rPr>
                <w:rFonts w:eastAsia="Times New Roman"/>
              </w:rPr>
            </w:pPr>
            <w:r w:rsidRPr="005B2CDE">
              <w:rPr>
                <w:rFonts w:eastAsia="Times New Roman"/>
                <w:color w:val="000000" w:themeColor="dark1"/>
                <w:kern w:val="24"/>
                <w:lang w:val="en-GB"/>
              </w:rPr>
              <w:t xml:space="preserve">This refers to a person’s gender transition. As a process it may or may not include medical or surgical intervention to facilitate the person living in their self-identified gender. </w:t>
            </w:r>
          </w:p>
        </w:tc>
      </w:tr>
      <w:tr w:rsidR="0092523F" w:rsidRPr="005B2CDE" w14:paraId="1B56F5BD" w14:textId="77777777" w:rsidTr="0092523F">
        <w:trPr>
          <w:trHeight w:val="1116"/>
        </w:trPr>
        <w:tc>
          <w:tcPr>
            <w:tcW w:w="2340" w:type="dxa"/>
            <w:hideMark/>
          </w:tcPr>
          <w:p w14:paraId="4E6BC4F0" w14:textId="77777777" w:rsidR="0092523F" w:rsidRPr="005B2CDE" w:rsidRDefault="0092523F" w:rsidP="0011064B">
            <w:pPr>
              <w:rPr>
                <w:rFonts w:eastAsia="Times New Roman"/>
              </w:rPr>
            </w:pPr>
            <w:r w:rsidRPr="005B2CDE">
              <w:rPr>
                <w:rFonts w:eastAsia="Times New Roman"/>
                <w:color w:val="000000" w:themeColor="dark1"/>
                <w:kern w:val="24"/>
                <w:lang w:val="en-GB"/>
              </w:rPr>
              <w:t>Gender Reassignment Certificate (GRC)</w:t>
            </w:r>
          </w:p>
        </w:tc>
        <w:tc>
          <w:tcPr>
            <w:tcW w:w="6869" w:type="dxa"/>
            <w:hideMark/>
          </w:tcPr>
          <w:p w14:paraId="176F13CA" w14:textId="77777777" w:rsidR="0092523F" w:rsidRPr="005B2CDE" w:rsidRDefault="0092523F" w:rsidP="0011064B">
            <w:pPr>
              <w:rPr>
                <w:rFonts w:eastAsia="Times New Roman"/>
              </w:rPr>
            </w:pPr>
            <w:r w:rsidRPr="005B2CDE">
              <w:rPr>
                <w:rFonts w:eastAsia="Times New Roman"/>
                <w:color w:val="000000" w:themeColor="dark1"/>
                <w:kern w:val="24"/>
                <w:lang w:val="en-GB"/>
              </w:rPr>
              <w:t>This enables full legal recognition of a trans person in their affirmed gender, including issuing of a new birth certificate. Many trans people choose not to apply as it is not required for protection under the Equality Act or to change many gender markers on documents such as passports or medical records.</w:t>
            </w:r>
          </w:p>
        </w:tc>
      </w:tr>
      <w:tr w:rsidR="0092523F" w:rsidRPr="005B2CDE" w14:paraId="5322F62E" w14:textId="77777777" w:rsidTr="0092523F">
        <w:trPr>
          <w:trHeight w:val="584"/>
        </w:trPr>
        <w:tc>
          <w:tcPr>
            <w:tcW w:w="2340" w:type="dxa"/>
            <w:hideMark/>
          </w:tcPr>
          <w:p w14:paraId="721E26D4" w14:textId="77777777" w:rsidR="0092523F" w:rsidRPr="005B2CDE" w:rsidRDefault="0092523F" w:rsidP="0011064B">
            <w:pPr>
              <w:rPr>
                <w:rFonts w:eastAsia="Times New Roman"/>
              </w:rPr>
            </w:pPr>
            <w:r w:rsidRPr="005B2CDE">
              <w:rPr>
                <w:rFonts w:eastAsia="Times New Roman"/>
                <w:color w:val="000000" w:themeColor="dark1"/>
                <w:kern w:val="24"/>
                <w:lang w:val="en-GB"/>
              </w:rPr>
              <w:t>Misgendering</w:t>
            </w:r>
          </w:p>
        </w:tc>
        <w:tc>
          <w:tcPr>
            <w:tcW w:w="6869" w:type="dxa"/>
            <w:hideMark/>
          </w:tcPr>
          <w:p w14:paraId="09C484AF" w14:textId="77777777" w:rsidR="0092523F" w:rsidRPr="005B2CDE" w:rsidRDefault="0092523F" w:rsidP="0011064B">
            <w:pPr>
              <w:rPr>
                <w:rFonts w:eastAsia="Times New Roman"/>
              </w:rPr>
            </w:pPr>
            <w:r w:rsidRPr="005B2CDE">
              <w:rPr>
                <w:rFonts w:eastAsia="Times New Roman"/>
                <w:color w:val="000000" w:themeColor="dark1"/>
                <w:kern w:val="24"/>
                <w:lang w:val="en-GB"/>
              </w:rPr>
              <w:t>This is the act of persistently referring to a trans person according to their birth sex rather than their gender.</w:t>
            </w:r>
          </w:p>
        </w:tc>
      </w:tr>
      <w:tr w:rsidR="0092523F" w:rsidRPr="005B2CDE" w14:paraId="7175221B" w14:textId="77777777" w:rsidTr="0092523F">
        <w:trPr>
          <w:trHeight w:val="584"/>
        </w:trPr>
        <w:tc>
          <w:tcPr>
            <w:tcW w:w="2340" w:type="dxa"/>
            <w:hideMark/>
          </w:tcPr>
          <w:p w14:paraId="7F4B1CEC" w14:textId="77777777" w:rsidR="0092523F" w:rsidRPr="005B2CDE" w:rsidRDefault="0092523F" w:rsidP="0011064B">
            <w:pPr>
              <w:rPr>
                <w:rFonts w:eastAsia="Times New Roman"/>
              </w:rPr>
            </w:pPr>
            <w:r w:rsidRPr="005B2CDE">
              <w:rPr>
                <w:rFonts w:eastAsia="Times New Roman"/>
                <w:color w:val="000000" w:themeColor="dark1"/>
                <w:kern w:val="24"/>
                <w:lang w:val="en-GB"/>
              </w:rPr>
              <w:t>Non-binary</w:t>
            </w:r>
          </w:p>
        </w:tc>
        <w:tc>
          <w:tcPr>
            <w:tcW w:w="6869" w:type="dxa"/>
            <w:hideMark/>
          </w:tcPr>
          <w:p w14:paraId="7FA17E3F" w14:textId="77777777" w:rsidR="0092523F" w:rsidRPr="005B2CDE" w:rsidRDefault="0092523F" w:rsidP="0011064B">
            <w:pPr>
              <w:rPr>
                <w:rFonts w:eastAsia="Times New Roman"/>
              </w:rPr>
            </w:pPr>
            <w:r w:rsidRPr="005B2CDE">
              <w:rPr>
                <w:rFonts w:eastAsia="Times New Roman"/>
                <w:color w:val="000000" w:themeColor="dark1"/>
                <w:kern w:val="24"/>
                <w:lang w:val="en-GB"/>
              </w:rPr>
              <w:t>An umbrella term for people who identify outside of the traditional male/female gender binary. Terms such as genderqueer, agender and Gender Fluid may also be used.</w:t>
            </w:r>
          </w:p>
        </w:tc>
      </w:tr>
      <w:tr w:rsidR="0092523F" w:rsidRPr="005B2CDE" w14:paraId="6F47D809" w14:textId="77777777" w:rsidTr="0092523F">
        <w:trPr>
          <w:trHeight w:val="792"/>
        </w:trPr>
        <w:tc>
          <w:tcPr>
            <w:tcW w:w="2340" w:type="dxa"/>
            <w:hideMark/>
          </w:tcPr>
          <w:p w14:paraId="35AA6350" w14:textId="77777777" w:rsidR="0092523F" w:rsidRPr="005B2CDE" w:rsidRDefault="0092523F" w:rsidP="0011064B">
            <w:pPr>
              <w:rPr>
                <w:rFonts w:eastAsia="Times New Roman"/>
              </w:rPr>
            </w:pPr>
            <w:r w:rsidRPr="005B2CDE">
              <w:rPr>
                <w:rFonts w:eastAsia="Times New Roman"/>
                <w:color w:val="000000" w:themeColor="dark1"/>
                <w:kern w:val="24"/>
                <w:lang w:val="en-GB"/>
              </w:rPr>
              <w:t>Person with a trans history</w:t>
            </w:r>
          </w:p>
        </w:tc>
        <w:tc>
          <w:tcPr>
            <w:tcW w:w="6869" w:type="dxa"/>
            <w:hideMark/>
          </w:tcPr>
          <w:p w14:paraId="64B0D77E" w14:textId="77777777" w:rsidR="0092523F" w:rsidRPr="005B2CDE" w:rsidRDefault="0092523F" w:rsidP="0011064B">
            <w:pPr>
              <w:rPr>
                <w:rFonts w:eastAsia="Times New Roman"/>
              </w:rPr>
            </w:pPr>
            <w:r w:rsidRPr="005B2CDE">
              <w:rPr>
                <w:rFonts w:eastAsia="Times New Roman"/>
                <w:color w:val="000000" w:themeColor="dark1"/>
                <w:kern w:val="24"/>
                <w:lang w:val="en-GB"/>
              </w:rPr>
              <w:t>Someone who identifies as male or female having been assigned the opposite sex at birth but may no longer see themselves as trans.</w:t>
            </w:r>
          </w:p>
        </w:tc>
      </w:tr>
      <w:tr w:rsidR="0092523F" w:rsidRPr="005B2CDE" w14:paraId="2052E864" w14:textId="77777777" w:rsidTr="0092523F">
        <w:trPr>
          <w:trHeight w:val="584"/>
        </w:trPr>
        <w:tc>
          <w:tcPr>
            <w:tcW w:w="2340" w:type="dxa"/>
            <w:hideMark/>
          </w:tcPr>
          <w:p w14:paraId="3237B440" w14:textId="77777777" w:rsidR="0092523F" w:rsidRPr="005B2CDE" w:rsidRDefault="0092523F" w:rsidP="0011064B">
            <w:pPr>
              <w:rPr>
                <w:rFonts w:eastAsia="Times New Roman"/>
              </w:rPr>
            </w:pPr>
            <w:r w:rsidRPr="005B2CDE">
              <w:rPr>
                <w:rFonts w:eastAsia="Times New Roman"/>
                <w:color w:val="000000" w:themeColor="dark1"/>
                <w:kern w:val="24"/>
                <w:lang w:val="en-GB"/>
              </w:rPr>
              <w:t>Pronoun</w:t>
            </w:r>
          </w:p>
        </w:tc>
        <w:tc>
          <w:tcPr>
            <w:tcW w:w="6869" w:type="dxa"/>
            <w:hideMark/>
          </w:tcPr>
          <w:p w14:paraId="1E0AD325" w14:textId="77777777" w:rsidR="0092523F" w:rsidRPr="005B2CDE" w:rsidRDefault="0092523F" w:rsidP="0011064B">
            <w:pPr>
              <w:rPr>
                <w:rFonts w:eastAsia="Times New Roman"/>
              </w:rPr>
            </w:pPr>
            <w:r w:rsidRPr="005B2CDE">
              <w:rPr>
                <w:rFonts w:eastAsia="Times New Roman"/>
                <w:color w:val="000000" w:themeColor="dark1"/>
                <w:kern w:val="24"/>
                <w:lang w:val="en-GB"/>
              </w:rPr>
              <w:t>Words used to describe peoples’ gender in conversation such as ‘he’, ‘she’. Non-binary people often use singular ‘they’ or ‘ze’</w:t>
            </w:r>
          </w:p>
        </w:tc>
      </w:tr>
      <w:tr w:rsidR="0092523F" w:rsidRPr="005B2CDE" w14:paraId="2CF2A7E2" w14:textId="77777777" w:rsidTr="0092523F">
        <w:trPr>
          <w:trHeight w:val="584"/>
        </w:trPr>
        <w:tc>
          <w:tcPr>
            <w:tcW w:w="2340" w:type="dxa"/>
            <w:hideMark/>
          </w:tcPr>
          <w:p w14:paraId="27AA15C7" w14:textId="77777777" w:rsidR="0092523F" w:rsidRPr="005B2CDE" w:rsidRDefault="0092523F" w:rsidP="0011064B">
            <w:pPr>
              <w:rPr>
                <w:rFonts w:eastAsia="Times New Roman"/>
              </w:rPr>
            </w:pPr>
            <w:r w:rsidRPr="005B2CDE">
              <w:rPr>
                <w:rFonts w:eastAsia="Times New Roman"/>
                <w:color w:val="000000" w:themeColor="dark1"/>
                <w:kern w:val="24"/>
                <w:lang w:val="en-GB"/>
              </w:rPr>
              <w:t>Trans</w:t>
            </w:r>
          </w:p>
        </w:tc>
        <w:tc>
          <w:tcPr>
            <w:tcW w:w="6869" w:type="dxa"/>
            <w:hideMark/>
          </w:tcPr>
          <w:p w14:paraId="431237C7" w14:textId="77777777" w:rsidR="0092523F" w:rsidRPr="005B2CDE" w:rsidRDefault="0092523F" w:rsidP="0011064B">
            <w:pPr>
              <w:rPr>
                <w:rFonts w:eastAsia="Times New Roman"/>
              </w:rPr>
            </w:pPr>
            <w:r w:rsidRPr="005B2CDE">
              <w:rPr>
                <w:rFonts w:eastAsia="Times New Roman"/>
                <w:color w:val="000000" w:themeColor="dark1"/>
                <w:kern w:val="24"/>
                <w:lang w:val="en-GB"/>
              </w:rPr>
              <w:t>An umbrella term describing people whose gender differs from the sex they were assigned at birth.</w:t>
            </w:r>
          </w:p>
        </w:tc>
      </w:tr>
      <w:tr w:rsidR="0092523F" w:rsidRPr="005B2CDE" w14:paraId="437E315E" w14:textId="77777777" w:rsidTr="0092523F">
        <w:trPr>
          <w:trHeight w:val="792"/>
        </w:trPr>
        <w:tc>
          <w:tcPr>
            <w:tcW w:w="2340" w:type="dxa"/>
            <w:hideMark/>
          </w:tcPr>
          <w:p w14:paraId="741F53BA" w14:textId="77777777" w:rsidR="0092523F" w:rsidRPr="005B2CDE" w:rsidRDefault="0092523F" w:rsidP="0011064B">
            <w:pPr>
              <w:rPr>
                <w:rFonts w:eastAsia="Times New Roman"/>
              </w:rPr>
            </w:pPr>
            <w:r w:rsidRPr="005B2CDE">
              <w:rPr>
                <w:rFonts w:eastAsia="Times New Roman"/>
                <w:color w:val="000000" w:themeColor="dark1"/>
                <w:kern w:val="24"/>
                <w:lang w:val="en-GB"/>
              </w:rPr>
              <w:lastRenderedPageBreak/>
              <w:t>Transgender man / Transman</w:t>
            </w:r>
          </w:p>
        </w:tc>
        <w:tc>
          <w:tcPr>
            <w:tcW w:w="6869" w:type="dxa"/>
            <w:hideMark/>
          </w:tcPr>
          <w:p w14:paraId="70DC0379" w14:textId="77777777" w:rsidR="0092523F" w:rsidRPr="005B2CDE" w:rsidRDefault="0092523F" w:rsidP="0011064B">
            <w:pPr>
              <w:rPr>
                <w:rFonts w:eastAsia="Times New Roman"/>
              </w:rPr>
            </w:pPr>
            <w:r w:rsidRPr="005B2CDE">
              <w:rPr>
                <w:rFonts w:eastAsia="Times New Roman"/>
                <w:color w:val="000000" w:themeColor="dark1"/>
                <w:kern w:val="24"/>
                <w:lang w:val="en-GB"/>
              </w:rPr>
              <w:t>Someone who was assigned female at birth but identifies and lives as a man.</w:t>
            </w:r>
          </w:p>
        </w:tc>
      </w:tr>
      <w:tr w:rsidR="0092523F" w:rsidRPr="005B2CDE" w14:paraId="645D3634" w14:textId="77777777" w:rsidTr="0092523F">
        <w:trPr>
          <w:trHeight w:val="1116"/>
        </w:trPr>
        <w:tc>
          <w:tcPr>
            <w:tcW w:w="2340" w:type="dxa"/>
            <w:hideMark/>
          </w:tcPr>
          <w:p w14:paraId="5B38B917" w14:textId="77777777" w:rsidR="0092523F" w:rsidRPr="005B2CDE" w:rsidRDefault="0092523F" w:rsidP="0011064B">
            <w:pPr>
              <w:rPr>
                <w:rFonts w:eastAsia="Times New Roman"/>
              </w:rPr>
            </w:pPr>
            <w:r w:rsidRPr="005B2CDE">
              <w:rPr>
                <w:rFonts w:eastAsia="Times New Roman"/>
                <w:color w:val="000000" w:themeColor="dark1"/>
                <w:kern w:val="24"/>
                <w:lang w:val="en-GB"/>
              </w:rPr>
              <w:t>Transgender Woman/ Trans woman</w:t>
            </w:r>
          </w:p>
        </w:tc>
        <w:tc>
          <w:tcPr>
            <w:tcW w:w="6869" w:type="dxa"/>
            <w:hideMark/>
          </w:tcPr>
          <w:p w14:paraId="2A218E4F" w14:textId="77777777" w:rsidR="0092523F" w:rsidRPr="005B2CDE" w:rsidRDefault="0092523F" w:rsidP="0011064B">
            <w:pPr>
              <w:rPr>
                <w:rFonts w:eastAsia="Times New Roman"/>
              </w:rPr>
            </w:pPr>
            <w:r w:rsidRPr="005B2CDE">
              <w:rPr>
                <w:rFonts w:eastAsia="Times New Roman"/>
                <w:color w:val="000000" w:themeColor="dark1"/>
                <w:kern w:val="24"/>
                <w:lang w:val="en-GB"/>
              </w:rPr>
              <w:t>Someone who was assigned male at birth but identifies and lives as a woman.</w:t>
            </w:r>
          </w:p>
        </w:tc>
      </w:tr>
      <w:tr w:rsidR="0092523F" w:rsidRPr="005B2CDE" w14:paraId="77DD2017" w14:textId="77777777" w:rsidTr="0092523F">
        <w:trPr>
          <w:trHeight w:val="584"/>
        </w:trPr>
        <w:tc>
          <w:tcPr>
            <w:tcW w:w="2340" w:type="dxa"/>
            <w:hideMark/>
          </w:tcPr>
          <w:p w14:paraId="66F549FF" w14:textId="77777777" w:rsidR="0092523F" w:rsidRPr="005B2CDE" w:rsidRDefault="0092523F" w:rsidP="0011064B">
            <w:pPr>
              <w:rPr>
                <w:rFonts w:eastAsia="Times New Roman"/>
              </w:rPr>
            </w:pPr>
            <w:r w:rsidRPr="005B2CDE">
              <w:rPr>
                <w:rFonts w:eastAsia="Times New Roman"/>
                <w:color w:val="000000" w:themeColor="dark1"/>
                <w:kern w:val="24"/>
                <w:lang w:val="en-GB"/>
              </w:rPr>
              <w:t>Transition</w:t>
            </w:r>
          </w:p>
        </w:tc>
        <w:tc>
          <w:tcPr>
            <w:tcW w:w="6869" w:type="dxa"/>
            <w:hideMark/>
          </w:tcPr>
          <w:p w14:paraId="6B24A50F" w14:textId="77777777" w:rsidR="0092523F" w:rsidRPr="005B2CDE" w:rsidRDefault="0092523F" w:rsidP="0011064B">
            <w:pPr>
              <w:rPr>
                <w:rFonts w:eastAsia="Times New Roman"/>
              </w:rPr>
            </w:pPr>
            <w:r w:rsidRPr="005B2CDE">
              <w:rPr>
                <w:rFonts w:eastAsia="Times New Roman"/>
                <w:color w:val="000000" w:themeColor="dark1"/>
                <w:kern w:val="24"/>
                <w:lang w:val="en-GB"/>
              </w:rPr>
              <w:t>The steps a person might take to live in the gender in which they identify. For some this may include medical and surgical interventions but not all trans people can or want this. Transition also includes telling friends/family and changing official documents.</w:t>
            </w:r>
          </w:p>
        </w:tc>
      </w:tr>
      <w:tr w:rsidR="0092523F" w:rsidRPr="005B2CDE" w14:paraId="6CD51DC6" w14:textId="77777777" w:rsidTr="0092523F">
        <w:trPr>
          <w:trHeight w:val="584"/>
        </w:trPr>
        <w:tc>
          <w:tcPr>
            <w:tcW w:w="2340" w:type="dxa"/>
            <w:hideMark/>
          </w:tcPr>
          <w:p w14:paraId="79250511" w14:textId="77777777" w:rsidR="0092523F" w:rsidRPr="005B2CDE" w:rsidRDefault="0092523F" w:rsidP="0011064B">
            <w:pPr>
              <w:rPr>
                <w:rFonts w:eastAsia="Times New Roman"/>
              </w:rPr>
            </w:pPr>
            <w:r w:rsidRPr="005B2CDE">
              <w:rPr>
                <w:rFonts w:eastAsia="Times New Roman"/>
                <w:color w:val="000000" w:themeColor="dark1"/>
                <w:kern w:val="24"/>
                <w:lang w:val="en-GB"/>
              </w:rPr>
              <w:t>Transphobia</w:t>
            </w:r>
          </w:p>
        </w:tc>
        <w:tc>
          <w:tcPr>
            <w:tcW w:w="6869" w:type="dxa"/>
            <w:hideMark/>
          </w:tcPr>
          <w:p w14:paraId="1C4060FA" w14:textId="77777777" w:rsidR="0092523F" w:rsidRPr="005B2CDE" w:rsidRDefault="0092523F" w:rsidP="0011064B">
            <w:pPr>
              <w:rPr>
                <w:rFonts w:eastAsia="Times New Roman"/>
              </w:rPr>
            </w:pPr>
            <w:r w:rsidRPr="005B2CDE">
              <w:rPr>
                <w:rFonts w:eastAsia="Times New Roman"/>
                <w:color w:val="000000" w:themeColor="dark1"/>
                <w:kern w:val="24"/>
                <w:lang w:val="en-GB"/>
              </w:rPr>
              <w:t>The fear or dislike of someone based on the fact they are trans, including refusing to acknowledge a person’s gender identity.</w:t>
            </w:r>
          </w:p>
        </w:tc>
      </w:tr>
      <w:tr w:rsidR="0092523F" w:rsidRPr="005B2CDE" w14:paraId="4C8D038B" w14:textId="77777777" w:rsidTr="0092523F">
        <w:trPr>
          <w:trHeight w:val="584"/>
        </w:trPr>
        <w:tc>
          <w:tcPr>
            <w:tcW w:w="2340" w:type="dxa"/>
            <w:hideMark/>
          </w:tcPr>
          <w:p w14:paraId="46E435A8" w14:textId="77777777" w:rsidR="0092523F" w:rsidRPr="005B2CDE" w:rsidRDefault="0092523F" w:rsidP="0011064B">
            <w:pPr>
              <w:rPr>
                <w:rFonts w:eastAsia="Times New Roman"/>
              </w:rPr>
            </w:pPr>
            <w:r w:rsidRPr="005B2CDE">
              <w:rPr>
                <w:rFonts w:eastAsia="Times New Roman"/>
                <w:color w:val="000000" w:themeColor="dark1"/>
                <w:kern w:val="24"/>
                <w:lang w:val="en-GB"/>
              </w:rPr>
              <w:t>Transsexual</w:t>
            </w:r>
          </w:p>
        </w:tc>
        <w:tc>
          <w:tcPr>
            <w:tcW w:w="6869" w:type="dxa"/>
            <w:hideMark/>
          </w:tcPr>
          <w:p w14:paraId="3BEB4A45" w14:textId="77777777" w:rsidR="0092523F" w:rsidRPr="005B2CDE" w:rsidRDefault="0092523F" w:rsidP="0011064B">
            <w:pPr>
              <w:rPr>
                <w:rFonts w:eastAsia="Times New Roman"/>
              </w:rPr>
            </w:pPr>
            <w:r w:rsidRPr="005B2CDE">
              <w:rPr>
                <w:rFonts w:eastAsia="Times New Roman"/>
                <w:color w:val="000000" w:themeColor="dark1"/>
                <w:kern w:val="24"/>
                <w:lang w:val="en-GB"/>
              </w:rPr>
              <w:t>A term used in the past which was developed as a medical term to describe trans people.</w:t>
            </w:r>
          </w:p>
        </w:tc>
      </w:tr>
    </w:tbl>
    <w:p w14:paraId="42AB3E47" w14:textId="77777777" w:rsidR="0092523F" w:rsidRPr="006B775D" w:rsidRDefault="0092523F" w:rsidP="0092523F">
      <w:pPr>
        <w:rPr>
          <w:color w:val="000000"/>
          <w:shd w:val="clear" w:color="auto" w:fill="FFFFFF"/>
        </w:rPr>
      </w:pPr>
      <w:r>
        <w:rPr>
          <w:color w:val="000000" w:themeColor="text1"/>
        </w:rPr>
        <w:t xml:space="preserve">Table 1.1 </w:t>
      </w:r>
      <w:r w:rsidRPr="006B775D">
        <w:rPr>
          <w:color w:val="000000"/>
          <w:shd w:val="clear" w:color="auto" w:fill="FFFFFF"/>
        </w:rPr>
        <w:t xml:space="preserve">Stonewall. N.d. List of LGBTQ+ terms, </w:t>
      </w:r>
      <w:hyperlink r:id="rId4" w:tgtFrame="_blank" w:tooltip="https://www.stonewall.org.uk/list-lgbtq-terms" w:history="1">
        <w:r w:rsidRPr="006B775D">
          <w:rPr>
            <w:color w:val="0000EE"/>
            <w:u w:val="single"/>
            <w:shd w:val="clear" w:color="auto" w:fill="FFFFFF"/>
          </w:rPr>
          <w:t>https://www.stonewall.org.uk/list-lgbtq-terms</w:t>
        </w:r>
      </w:hyperlink>
      <w:r w:rsidRPr="006B775D">
        <w:rPr>
          <w:color w:val="000000"/>
          <w:shd w:val="clear" w:color="auto" w:fill="FFFFFF"/>
        </w:rPr>
        <w:t xml:space="preserve"> (accessed 22nd January 2024).</w:t>
      </w:r>
    </w:p>
    <w:p w14:paraId="71A7F128" w14:textId="77777777" w:rsidR="0092523F" w:rsidRPr="006B775D" w:rsidRDefault="0092523F" w:rsidP="0092523F">
      <w:pPr>
        <w:pBdr>
          <w:top w:val="nil"/>
          <w:left w:val="nil"/>
          <w:bottom w:val="nil"/>
          <w:right w:val="nil"/>
          <w:between w:val="nil"/>
        </w:pBdr>
        <w:spacing w:after="0" w:line="240" w:lineRule="auto"/>
        <w:rPr>
          <w:color w:val="000000" w:themeColor="text1"/>
        </w:rPr>
      </w:pPr>
    </w:p>
    <w:p w14:paraId="6120A48D" w14:textId="070A3F88" w:rsidR="000A4029" w:rsidRPr="006B775D" w:rsidRDefault="00274494" w:rsidP="0F675080">
      <w:pPr>
        <w:pBdr>
          <w:top w:val="nil"/>
          <w:left w:val="nil"/>
          <w:bottom w:val="nil"/>
          <w:right w:val="nil"/>
          <w:between w:val="nil"/>
        </w:pBdr>
        <w:spacing w:after="0" w:line="240" w:lineRule="auto"/>
        <w:rPr>
          <w:color w:val="000000" w:themeColor="text1"/>
        </w:rPr>
      </w:pPr>
      <w:r w:rsidRPr="006B775D">
        <w:rPr>
          <w:color w:val="000000" w:themeColor="text1"/>
        </w:rPr>
        <w:t>In many jurisdictions there is a system of self-identification</w:t>
      </w:r>
      <w:r w:rsidRPr="006B775D">
        <w:rPr>
          <w:color w:val="000000" w:themeColor="text1"/>
        </w:rPr>
        <w:t xml:space="preserve"> for gender recognition</w:t>
      </w:r>
      <w:r w:rsidRPr="006B775D">
        <w:rPr>
          <w:color w:val="000000" w:themeColor="text1"/>
        </w:rPr>
        <w:t xml:space="preserve">; this means that people can attain a legal change in gender without any medical intervention. </w:t>
      </w:r>
      <w:r w:rsidRPr="006B775D">
        <w:rPr>
          <w:color w:val="000000" w:themeColor="text1"/>
        </w:rPr>
        <w:t>Many</w:t>
      </w:r>
      <w:r w:rsidR="0072166B" w:rsidRPr="006B775D">
        <w:rPr>
          <w:color w:val="000000" w:themeColor="text1"/>
        </w:rPr>
        <w:t xml:space="preserve"> </w:t>
      </w:r>
      <w:r w:rsidR="7F55DF81" w:rsidRPr="006B775D">
        <w:rPr>
          <w:color w:val="000000" w:themeColor="text1"/>
        </w:rPr>
        <w:t>Trans</w:t>
      </w:r>
      <w:r w:rsidR="0072166B" w:rsidRPr="006B775D">
        <w:rPr>
          <w:color w:val="000000" w:themeColor="text1"/>
        </w:rPr>
        <w:t xml:space="preserve"> people </w:t>
      </w:r>
      <w:r w:rsidRPr="006B775D">
        <w:rPr>
          <w:color w:val="000000" w:themeColor="text1"/>
        </w:rPr>
        <w:t>access</w:t>
      </w:r>
      <w:r w:rsidR="0072166B" w:rsidRPr="006B775D">
        <w:rPr>
          <w:color w:val="000000" w:themeColor="text1"/>
        </w:rPr>
        <w:t xml:space="preserve"> medical or surgical treatment to allow for their identity to be expressed physically, however this is not always the case, and it is not necessary for a </w:t>
      </w:r>
      <w:r w:rsidR="7F55DF81" w:rsidRPr="006B775D">
        <w:rPr>
          <w:color w:val="000000" w:themeColor="text1"/>
        </w:rPr>
        <w:t>Trans</w:t>
      </w:r>
      <w:r w:rsidR="0072166B" w:rsidRPr="006B775D">
        <w:rPr>
          <w:color w:val="000000" w:themeColor="text1"/>
        </w:rPr>
        <w:t xml:space="preserve"> person to receive any medical treatment</w:t>
      </w:r>
      <w:r w:rsidRPr="006B775D">
        <w:rPr>
          <w:color w:val="000000" w:themeColor="text1"/>
        </w:rPr>
        <w:t xml:space="preserve"> </w:t>
      </w:r>
      <w:r w:rsidR="006A5AF0" w:rsidRPr="006B775D">
        <w:rPr>
          <w:color w:val="000000" w:themeColor="text1"/>
        </w:rPr>
        <w:t>(Stonewall, n.d.)</w:t>
      </w:r>
      <w:r w:rsidRPr="006B775D">
        <w:rPr>
          <w:color w:val="000000" w:themeColor="text1"/>
        </w:rPr>
        <w:t>.</w:t>
      </w:r>
    </w:p>
    <w:p w14:paraId="3CCAE30A" w14:textId="77777777" w:rsidR="000A4029" w:rsidRPr="006B775D" w:rsidRDefault="000A4029" w:rsidP="0072166B">
      <w:pPr>
        <w:pBdr>
          <w:top w:val="nil"/>
          <w:left w:val="nil"/>
          <w:bottom w:val="nil"/>
          <w:right w:val="nil"/>
          <w:between w:val="nil"/>
        </w:pBdr>
        <w:spacing w:after="0" w:line="240" w:lineRule="auto"/>
        <w:rPr>
          <w:color w:val="000000" w:themeColor="text1"/>
        </w:rPr>
      </w:pPr>
    </w:p>
    <w:p w14:paraId="296EE933" w14:textId="5147E3A7" w:rsidR="0072166B" w:rsidRPr="006B775D" w:rsidRDefault="00274494" w:rsidP="0F675080">
      <w:pPr>
        <w:pBdr>
          <w:top w:val="nil"/>
          <w:left w:val="nil"/>
          <w:bottom w:val="nil"/>
          <w:right w:val="nil"/>
          <w:between w:val="nil"/>
        </w:pBdr>
        <w:spacing w:after="0" w:line="240" w:lineRule="auto"/>
        <w:rPr>
          <w:color w:val="000000" w:themeColor="text1"/>
          <w:lang w:eastAsia="en-US"/>
        </w:rPr>
      </w:pPr>
      <w:r w:rsidRPr="006B775D">
        <w:rPr>
          <w:color w:val="000000" w:themeColor="text1"/>
        </w:rPr>
        <w:t>Trans communities experience physical and mental health inequalities which are generally rooted not in their individual Trans status, but arise from often poor experience of healthcare services (Cicero et. al, 2019; Zeeman et al. 2019)</w:t>
      </w:r>
      <w:r w:rsidRPr="006B775D">
        <w:rPr>
          <w:color w:val="000000" w:themeColor="text1"/>
        </w:rPr>
        <w:t xml:space="preserve">. </w:t>
      </w:r>
      <w:r w:rsidR="0072166B" w:rsidRPr="006B775D">
        <w:rPr>
          <w:color w:val="000000" w:themeColor="text1"/>
        </w:rPr>
        <w:t xml:space="preserve">While there is a growing evidence base around the care and treatment of </w:t>
      </w:r>
      <w:r w:rsidR="7F55DF81" w:rsidRPr="006B775D">
        <w:rPr>
          <w:color w:val="000000" w:themeColor="text1"/>
        </w:rPr>
        <w:t>Trans</w:t>
      </w:r>
      <w:r w:rsidR="0072166B" w:rsidRPr="006B775D">
        <w:rPr>
          <w:color w:val="000000" w:themeColor="text1"/>
        </w:rPr>
        <w:t xml:space="preserve"> people, specifically related to medical and surgical interventions to assist </w:t>
      </w:r>
      <w:r w:rsidR="7F55DF81" w:rsidRPr="006B775D">
        <w:rPr>
          <w:color w:val="000000" w:themeColor="text1"/>
        </w:rPr>
        <w:t>Trans</w:t>
      </w:r>
      <w:r w:rsidR="0072166B" w:rsidRPr="006B775D">
        <w:rPr>
          <w:color w:val="000000" w:themeColor="text1"/>
        </w:rPr>
        <w:t xml:space="preserve">itioning; more general guidance on the care of </w:t>
      </w:r>
      <w:r w:rsidR="7F55DF81" w:rsidRPr="006B775D">
        <w:rPr>
          <w:color w:val="000000" w:themeColor="text1"/>
        </w:rPr>
        <w:t>Trans</w:t>
      </w:r>
      <w:r w:rsidR="0072166B" w:rsidRPr="006B775D">
        <w:rPr>
          <w:color w:val="000000" w:themeColor="text1"/>
        </w:rPr>
        <w:t xml:space="preserve"> patients is lacking. </w:t>
      </w:r>
    </w:p>
    <w:p w14:paraId="5F2896D5" w14:textId="712C1815" w:rsidR="00274494" w:rsidRPr="006B775D" w:rsidRDefault="006B775D" w:rsidP="006B775D">
      <w:pPr>
        <w:pStyle w:val="Heading2"/>
        <w:rPr>
          <w:rFonts w:ascii="Calibri" w:hAnsi="Calibri" w:cs="Calibri"/>
          <w:lang w:eastAsia="en-US"/>
        </w:rPr>
      </w:pPr>
      <w:r w:rsidRPr="006B775D">
        <w:rPr>
          <w:rFonts w:ascii="Calibri" w:hAnsi="Calibri" w:cs="Calibri"/>
          <w:lang w:eastAsia="en-US"/>
        </w:rPr>
        <w:t>Trans patients in the ICU</w:t>
      </w:r>
    </w:p>
    <w:p w14:paraId="267B7200" w14:textId="6FE27ED5" w:rsidR="7F55DF81" w:rsidRPr="006B775D" w:rsidRDefault="7F55DF81" w:rsidP="0F675080">
      <w:pPr>
        <w:rPr>
          <w:lang w:eastAsia="en-US"/>
        </w:rPr>
      </w:pPr>
      <w:r w:rsidRPr="006B775D">
        <w:rPr>
          <w:lang w:eastAsia="en-US"/>
        </w:rPr>
        <w:t>Trans</w:t>
      </w:r>
      <w:r w:rsidR="37F3C551" w:rsidRPr="006B775D">
        <w:rPr>
          <w:lang w:eastAsia="en-US"/>
        </w:rPr>
        <w:t xml:space="preserve"> patients </w:t>
      </w:r>
      <w:r w:rsidR="24BA8DC7" w:rsidRPr="006B775D">
        <w:rPr>
          <w:lang w:eastAsia="en-US"/>
        </w:rPr>
        <w:t xml:space="preserve">will </w:t>
      </w:r>
      <w:r w:rsidR="37F3C551" w:rsidRPr="006B775D">
        <w:rPr>
          <w:lang w:eastAsia="en-US"/>
        </w:rPr>
        <w:t>require ICU admission for the same reasons as non-</w:t>
      </w:r>
      <w:r w:rsidRPr="006B775D">
        <w:rPr>
          <w:lang w:eastAsia="en-US"/>
        </w:rPr>
        <w:t>Trans</w:t>
      </w:r>
      <w:r w:rsidR="37F3C551" w:rsidRPr="006B775D">
        <w:rPr>
          <w:lang w:eastAsia="en-US"/>
        </w:rPr>
        <w:t xml:space="preserve"> patients</w:t>
      </w:r>
      <w:r w:rsidR="5F50FC91" w:rsidRPr="006B775D">
        <w:rPr>
          <w:lang w:eastAsia="en-US"/>
        </w:rPr>
        <w:t>;</w:t>
      </w:r>
      <w:r w:rsidR="37F3C551" w:rsidRPr="006B775D">
        <w:rPr>
          <w:lang w:eastAsia="en-US"/>
        </w:rPr>
        <w:t xml:space="preserve"> </w:t>
      </w:r>
      <w:r w:rsidR="73686ECA" w:rsidRPr="006B775D">
        <w:rPr>
          <w:lang w:eastAsia="en-US"/>
        </w:rPr>
        <w:t>h</w:t>
      </w:r>
      <w:r w:rsidR="37F3C551" w:rsidRPr="006B775D">
        <w:rPr>
          <w:lang w:eastAsia="en-US"/>
        </w:rPr>
        <w:t xml:space="preserve">owever, </w:t>
      </w:r>
      <w:r w:rsidR="00274494" w:rsidRPr="006B775D">
        <w:rPr>
          <w:lang w:eastAsia="en-US"/>
        </w:rPr>
        <w:t xml:space="preserve">appropriate nursing care may be </w:t>
      </w:r>
      <w:r w:rsidR="37F3C551" w:rsidRPr="006B775D">
        <w:rPr>
          <w:lang w:eastAsia="en-US"/>
        </w:rPr>
        <w:t>depend</w:t>
      </w:r>
      <w:r w:rsidR="00274494" w:rsidRPr="006B775D">
        <w:rPr>
          <w:lang w:eastAsia="en-US"/>
        </w:rPr>
        <w:t>ent</w:t>
      </w:r>
      <w:r w:rsidR="37F3C551" w:rsidRPr="006B775D">
        <w:rPr>
          <w:lang w:eastAsia="en-US"/>
        </w:rPr>
        <w:t xml:space="preserve"> on a number of factors. </w:t>
      </w:r>
      <w:r w:rsidRPr="006B775D">
        <w:rPr>
          <w:lang w:eastAsia="en-US"/>
        </w:rPr>
        <w:t>Trans</w:t>
      </w:r>
      <w:r w:rsidR="37F3C551" w:rsidRPr="006B775D">
        <w:rPr>
          <w:lang w:eastAsia="en-US"/>
        </w:rPr>
        <w:t xml:space="preserve"> people may or may not have any medical or surgical interventions to support their gender </w:t>
      </w:r>
      <w:r w:rsidRPr="006B775D">
        <w:rPr>
          <w:lang w:eastAsia="en-US"/>
        </w:rPr>
        <w:t>Trans</w:t>
      </w:r>
      <w:r w:rsidR="37F3C551" w:rsidRPr="006B775D">
        <w:rPr>
          <w:lang w:eastAsia="en-US"/>
        </w:rPr>
        <w:t xml:space="preserve">ition, however for those who do access medical and/or surgical interventions, it is important for the nurses who provide their care to be aware of the physiological impact of these interventions. </w:t>
      </w:r>
    </w:p>
    <w:p w14:paraId="177351B4" w14:textId="70AACADE" w:rsidR="37F3C551" w:rsidRPr="006B775D" w:rsidRDefault="37F3C551" w:rsidP="0F675080">
      <w:pPr>
        <w:rPr>
          <w:lang w:eastAsia="en-US"/>
        </w:rPr>
      </w:pPr>
      <w:r w:rsidRPr="006B775D">
        <w:rPr>
          <w:lang w:eastAsia="en-US"/>
        </w:rPr>
        <w:t xml:space="preserve">Medical interventions which are common to support gender </w:t>
      </w:r>
      <w:r w:rsidR="7F55DF81" w:rsidRPr="006B775D">
        <w:rPr>
          <w:lang w:eastAsia="en-US"/>
        </w:rPr>
        <w:t>Trans</w:t>
      </w:r>
      <w:r w:rsidRPr="006B775D">
        <w:rPr>
          <w:lang w:eastAsia="en-US"/>
        </w:rPr>
        <w:t>ition include the prescription of androgen blockers and c</w:t>
      </w:r>
      <w:r w:rsidR="2770C364" w:rsidRPr="006B775D">
        <w:rPr>
          <w:lang w:eastAsia="en-US"/>
        </w:rPr>
        <w:t>ross sex hormones</w:t>
      </w:r>
      <w:r w:rsidR="075EB4D4" w:rsidRPr="006B775D">
        <w:rPr>
          <w:lang w:eastAsia="en-US"/>
        </w:rPr>
        <w:t xml:space="preserve">; those wanting to feminise are often prescribed a testosterone blocker and oestrogen, those wanting to appear more masculine are often prescribed a synthetic testosterone </w:t>
      </w:r>
      <w:r w:rsidR="2D71A4B9" w:rsidRPr="006B775D">
        <w:rPr>
          <w:lang w:eastAsia="en-US"/>
        </w:rPr>
        <w:t>(</w:t>
      </w:r>
      <w:r w:rsidR="001D73C5" w:rsidRPr="006B775D">
        <w:rPr>
          <w:lang w:eastAsia="en-US"/>
        </w:rPr>
        <w:t>Unger, 2016</w:t>
      </w:r>
      <w:r w:rsidR="2D71A4B9" w:rsidRPr="006B775D">
        <w:rPr>
          <w:lang w:eastAsia="en-US"/>
        </w:rPr>
        <w:t>)</w:t>
      </w:r>
      <w:r w:rsidR="001D73C5" w:rsidRPr="006B775D">
        <w:rPr>
          <w:lang w:eastAsia="en-US"/>
        </w:rPr>
        <w:t>.</w:t>
      </w:r>
    </w:p>
    <w:p w14:paraId="382D023B" w14:textId="0BDB6F5F" w:rsidR="34ACE078" w:rsidRPr="006B775D" w:rsidRDefault="34ACE078" w:rsidP="0F675080">
      <w:pPr>
        <w:rPr>
          <w:lang w:eastAsia="en-US"/>
        </w:rPr>
      </w:pPr>
      <w:r w:rsidRPr="006B775D">
        <w:rPr>
          <w:lang w:eastAsia="en-US"/>
        </w:rPr>
        <w:t>Feminising</w:t>
      </w:r>
      <w:r w:rsidR="195D8531" w:rsidRPr="006B775D">
        <w:rPr>
          <w:lang w:eastAsia="en-US"/>
        </w:rPr>
        <w:t xml:space="preserve"> </w:t>
      </w:r>
      <w:r w:rsidR="43611239" w:rsidRPr="006B775D">
        <w:rPr>
          <w:lang w:eastAsia="en-US"/>
        </w:rPr>
        <w:t xml:space="preserve">surgeries </w:t>
      </w:r>
      <w:r w:rsidR="195D8531" w:rsidRPr="006B775D">
        <w:rPr>
          <w:lang w:eastAsia="en-US"/>
        </w:rPr>
        <w:t>can encompass breast augmentation, orchiectomy, vaginoplasty, laryngeal surgery, and facial femini</w:t>
      </w:r>
      <w:r w:rsidR="369B8A9D" w:rsidRPr="006B775D">
        <w:rPr>
          <w:lang w:eastAsia="en-US"/>
        </w:rPr>
        <w:t>s</w:t>
      </w:r>
      <w:r w:rsidR="195D8531" w:rsidRPr="006B775D">
        <w:rPr>
          <w:lang w:eastAsia="en-US"/>
        </w:rPr>
        <w:t xml:space="preserve">ation, among other options. In contrast, </w:t>
      </w:r>
      <w:r w:rsidR="13661AB6" w:rsidRPr="006B775D">
        <w:rPr>
          <w:lang w:eastAsia="en-US"/>
        </w:rPr>
        <w:t>masculinising</w:t>
      </w:r>
      <w:r w:rsidR="195677F2" w:rsidRPr="006B775D">
        <w:rPr>
          <w:lang w:eastAsia="en-US"/>
        </w:rPr>
        <w:t xml:space="preserve"> surgeries may include </w:t>
      </w:r>
      <w:r w:rsidR="195D8531" w:rsidRPr="006B775D">
        <w:rPr>
          <w:lang w:eastAsia="en-US"/>
        </w:rPr>
        <w:t>mastectomy and additional reconstructive techniques</w:t>
      </w:r>
      <w:r w:rsidR="07B6586B" w:rsidRPr="006B775D">
        <w:rPr>
          <w:lang w:eastAsia="en-US"/>
        </w:rPr>
        <w:t xml:space="preserve"> (top surgery)</w:t>
      </w:r>
      <w:r w:rsidR="195D8531" w:rsidRPr="006B775D">
        <w:rPr>
          <w:lang w:eastAsia="en-US"/>
        </w:rPr>
        <w:t xml:space="preserve"> and bottom surgery, involving the removal of female organs and genital reconstruction through metoidioplasty or phalloplasty. Additionally, some </w:t>
      </w:r>
      <w:r w:rsidR="03A388FB" w:rsidRPr="006B775D">
        <w:rPr>
          <w:lang w:eastAsia="en-US"/>
        </w:rPr>
        <w:t>Transgender</w:t>
      </w:r>
      <w:r w:rsidR="195D8531" w:rsidRPr="006B775D">
        <w:rPr>
          <w:lang w:eastAsia="en-US"/>
        </w:rPr>
        <w:t xml:space="preserve"> men choose to retain their uterus and ovaries despite undergoing </w:t>
      </w:r>
      <w:r w:rsidR="7F55DF81" w:rsidRPr="006B775D">
        <w:rPr>
          <w:lang w:eastAsia="en-US"/>
        </w:rPr>
        <w:t>Trans</w:t>
      </w:r>
      <w:r w:rsidR="195D8531" w:rsidRPr="006B775D">
        <w:rPr>
          <w:lang w:eastAsia="en-US"/>
        </w:rPr>
        <w:t>ition-related surgeries</w:t>
      </w:r>
      <w:r w:rsidR="006B775D">
        <w:rPr>
          <w:lang w:eastAsia="en-US"/>
        </w:rPr>
        <w:t xml:space="preserve"> </w:t>
      </w:r>
      <w:r w:rsidR="0CCD5FB7" w:rsidRPr="006B775D">
        <w:rPr>
          <w:lang w:eastAsia="en-US"/>
        </w:rPr>
        <w:t>(</w:t>
      </w:r>
      <w:proofErr w:type="spellStart"/>
      <w:r w:rsidR="001D73C5" w:rsidRPr="006B775D">
        <w:rPr>
          <w:lang w:eastAsia="en-US"/>
        </w:rPr>
        <w:t>Tollinche</w:t>
      </w:r>
      <w:proofErr w:type="spellEnd"/>
      <w:r w:rsidR="001D73C5" w:rsidRPr="006B775D">
        <w:rPr>
          <w:lang w:eastAsia="en-US"/>
        </w:rPr>
        <w:t xml:space="preserve"> et al. 2018</w:t>
      </w:r>
      <w:r w:rsidR="0CCD5FB7" w:rsidRPr="006B775D">
        <w:rPr>
          <w:lang w:eastAsia="en-US"/>
        </w:rPr>
        <w:t>)</w:t>
      </w:r>
      <w:r w:rsidR="001D73C5" w:rsidRPr="006B775D">
        <w:rPr>
          <w:lang w:eastAsia="en-US"/>
        </w:rPr>
        <w:t>.</w:t>
      </w:r>
    </w:p>
    <w:p w14:paraId="5146C052" w14:textId="7853D762" w:rsidR="006B775D" w:rsidRPr="006B775D" w:rsidRDefault="006B775D" w:rsidP="006B775D">
      <w:pPr>
        <w:pStyle w:val="Heading2"/>
        <w:rPr>
          <w:rFonts w:ascii="Calibri" w:hAnsi="Calibri" w:cs="Calibri"/>
        </w:rPr>
      </w:pPr>
      <w:r w:rsidRPr="006B775D">
        <w:rPr>
          <w:rFonts w:ascii="Calibri" w:hAnsi="Calibri" w:cs="Calibri"/>
        </w:rPr>
        <w:lastRenderedPageBreak/>
        <w:t>Respectful and affirming care for Trans patients</w:t>
      </w:r>
    </w:p>
    <w:p w14:paraId="775531F7" w14:textId="654CE053" w:rsidR="00154195" w:rsidRPr="006B775D" w:rsidRDefault="00154195" w:rsidP="00154195">
      <w:r w:rsidRPr="006B775D">
        <w:t xml:space="preserve">Trans patients deserve the same respect as any </w:t>
      </w:r>
      <w:r w:rsidRPr="006B775D">
        <w:t>other</w:t>
      </w:r>
      <w:r w:rsidRPr="006B775D">
        <w:t xml:space="preserve">, </w:t>
      </w:r>
      <w:r w:rsidRPr="006B775D">
        <w:t>however many report significant negative experiences within healthcare (Stonewall, 2015)</w:t>
      </w:r>
      <w:r w:rsidRPr="006B775D">
        <w:t>. Poor healthcare experiences traumatise and often lead trans people to delay engagement with healthcare</w:t>
      </w:r>
      <w:r w:rsidRPr="006B775D">
        <w:t>. This</w:t>
      </w:r>
      <w:r w:rsidRPr="006B775D">
        <w:t xml:space="preserve"> potentially negatively impact</w:t>
      </w:r>
      <w:r w:rsidRPr="006B775D">
        <w:t>s on</w:t>
      </w:r>
      <w:r w:rsidRPr="006B775D">
        <w:t xml:space="preserve"> prognosis</w:t>
      </w:r>
      <w:r w:rsidRPr="006B775D">
        <w:t>, so a</w:t>
      </w:r>
      <w:r w:rsidRPr="006B775D">
        <w:t xml:space="preserve"> trauma informed approach acknowledging patients </w:t>
      </w:r>
      <w:r w:rsidRPr="006B775D">
        <w:t>experience</w:t>
      </w:r>
      <w:r w:rsidRPr="006B775D">
        <w:t xml:space="preserve"> and minimises re-traumatisation is needed</w:t>
      </w:r>
      <w:r w:rsidRPr="006B775D">
        <w:t xml:space="preserve"> for this patient cohort</w:t>
      </w:r>
      <w:r w:rsidRPr="006B775D">
        <w:t xml:space="preserve"> (</w:t>
      </w:r>
      <w:r w:rsidRPr="006B775D">
        <w:t>Mukerjee et al. 2022</w:t>
      </w:r>
      <w:r w:rsidRPr="006B775D">
        <w:t xml:space="preserve">). </w:t>
      </w:r>
      <w:r w:rsidRPr="006B775D">
        <w:t xml:space="preserve">Some simple, affirmative actions which should be universal are </w:t>
      </w:r>
      <w:r w:rsidRPr="006B775D">
        <w:t>referr</w:t>
      </w:r>
      <w:r w:rsidRPr="006B775D">
        <w:t>ing to Trans patients</w:t>
      </w:r>
      <w:r w:rsidRPr="006B775D">
        <w:t xml:space="preserve"> by their preferred pronouns and name, with hospital records updated if necessary. Even with a sedated patient, abuses like misgendering and deadnaming could traumatise friends and relatives and compromise patient confidentiality.</w:t>
      </w:r>
    </w:p>
    <w:p w14:paraId="0E6B37BF" w14:textId="61538F1B" w:rsidR="00154195" w:rsidRPr="006B775D" w:rsidRDefault="00154195" w:rsidP="00154195">
      <w:r w:rsidRPr="006B775D">
        <w:t>Confidentiality is key in the care of trans people, often family members are unaware of their transition. In many jurisdictions trans people have rights protecting them from their trans status being revealed, so confidentiality breaches may have legal as well as professional connotations (R</w:t>
      </w:r>
      <w:r w:rsidRPr="006B775D">
        <w:t>ichards and Barrett, 2021</w:t>
      </w:r>
      <w:r w:rsidRPr="006B775D">
        <w:t>).</w:t>
      </w:r>
      <w:r w:rsidRPr="006B775D">
        <w:t xml:space="preserve"> Another key consideration is in transfer</w:t>
      </w:r>
      <w:r w:rsidRPr="006B775D">
        <w:t xml:space="preserve"> of </w:t>
      </w:r>
      <w:r w:rsidRPr="006B775D">
        <w:t>T</w:t>
      </w:r>
      <w:r w:rsidRPr="006B775D">
        <w:t>rans patients from I</w:t>
      </w:r>
      <w:r w:rsidRPr="006B775D">
        <w:t>CU, if the setting operates gender segregated areas, the location</w:t>
      </w:r>
      <w:r w:rsidRPr="006B775D">
        <w:t xml:space="preserve"> should be in line with the</w:t>
      </w:r>
      <w:r w:rsidRPr="006B775D">
        <w:t xml:space="preserve"> patient’s</w:t>
      </w:r>
      <w:r w:rsidRPr="006B775D">
        <w:t xml:space="preserve"> wishes and generally to areas matching their gender identity (Richards and Barrett, 2021). </w:t>
      </w:r>
    </w:p>
    <w:p w14:paraId="4D3B2C39" w14:textId="3B57588B" w:rsidR="00C60DB7" w:rsidRPr="006B775D" w:rsidRDefault="006B775D" w:rsidP="006B775D">
      <w:pPr>
        <w:pStyle w:val="Heading2"/>
        <w:rPr>
          <w:rFonts w:ascii="Calibri" w:hAnsi="Calibri" w:cs="Calibri"/>
        </w:rPr>
      </w:pPr>
      <w:r w:rsidRPr="006B775D">
        <w:rPr>
          <w:rFonts w:ascii="Calibri" w:hAnsi="Calibri" w:cs="Calibri"/>
        </w:rPr>
        <w:t xml:space="preserve">Physiological considerations when caring for Trans patients </w:t>
      </w:r>
    </w:p>
    <w:p w14:paraId="63E1DB32" w14:textId="5014C6EE" w:rsidR="00A87750" w:rsidRPr="006B775D" w:rsidRDefault="00C60DB7" w:rsidP="5C4C0047">
      <w:pPr>
        <w:pBdr>
          <w:top w:val="nil"/>
          <w:left w:val="nil"/>
          <w:bottom w:val="nil"/>
          <w:right w:val="nil"/>
          <w:between w:val="nil"/>
        </w:pBdr>
        <w:spacing w:after="0" w:line="240" w:lineRule="auto"/>
        <w:rPr>
          <w:color w:val="000000" w:themeColor="text1"/>
        </w:rPr>
      </w:pPr>
      <w:r w:rsidRPr="006B775D">
        <w:rPr>
          <w:color w:val="000000" w:themeColor="text1"/>
        </w:rPr>
        <w:t xml:space="preserve">As discussed above, many Trans people will take hormone therapy to support their gender transition and evidence on how to manage hormone therapy in acute illness is lacking. ICU teams must be aware that </w:t>
      </w:r>
      <w:r w:rsidR="00A87750" w:rsidRPr="006B775D">
        <w:rPr>
          <w:color w:val="000000" w:themeColor="text1"/>
        </w:rPr>
        <w:t>abruptly discontinuing this therapy, while maybe in some instances medically necessary, can have significant impact both physically and emotionally for the patient</w:t>
      </w:r>
      <w:r w:rsidRPr="006B775D">
        <w:rPr>
          <w:color w:val="000000" w:themeColor="text1"/>
        </w:rPr>
        <w:t xml:space="preserve"> </w:t>
      </w:r>
      <w:r w:rsidR="001D73C5" w:rsidRPr="006B775D">
        <w:rPr>
          <w:color w:val="000000" w:themeColor="text1"/>
        </w:rPr>
        <w:t>(Rosendale et al. 2018)</w:t>
      </w:r>
      <w:r w:rsidR="006B775D">
        <w:rPr>
          <w:color w:val="000000" w:themeColor="text1"/>
        </w:rPr>
        <w:t>.</w:t>
      </w:r>
    </w:p>
    <w:p w14:paraId="5CF27E7C" w14:textId="7BEEB96F" w:rsidR="00E00B29" w:rsidRPr="006B775D" w:rsidRDefault="00E00B29" w:rsidP="0F675080">
      <w:pPr>
        <w:pBdr>
          <w:top w:val="nil"/>
          <w:left w:val="nil"/>
          <w:bottom w:val="nil"/>
          <w:right w:val="nil"/>
          <w:between w:val="nil"/>
        </w:pBdr>
        <w:spacing w:after="0" w:line="240" w:lineRule="auto"/>
        <w:rPr>
          <w:color w:val="000000" w:themeColor="text1"/>
        </w:rPr>
      </w:pPr>
    </w:p>
    <w:p w14:paraId="49142D3A" w14:textId="3749025F" w:rsidR="00E00B29" w:rsidRPr="006B775D" w:rsidRDefault="00A87750" w:rsidP="5C4C0047">
      <w:pPr>
        <w:pBdr>
          <w:top w:val="nil"/>
          <w:left w:val="nil"/>
          <w:bottom w:val="nil"/>
          <w:right w:val="nil"/>
          <w:between w:val="nil"/>
        </w:pBdr>
        <w:spacing w:after="0" w:line="240" w:lineRule="auto"/>
        <w:rPr>
          <w:color w:val="000000" w:themeColor="text1"/>
        </w:rPr>
      </w:pPr>
      <w:r w:rsidRPr="006B775D">
        <w:rPr>
          <w:color w:val="000000" w:themeColor="text1"/>
        </w:rPr>
        <w:t xml:space="preserve">The implications of hormone therapy could also be significant for nurses ordering and interpreting lab findings. Many laboratory tests are sex specific, in terms of normal ranges, so knowledge </w:t>
      </w:r>
      <w:r w:rsidR="206A62BE" w:rsidRPr="006B775D">
        <w:rPr>
          <w:color w:val="000000" w:themeColor="text1"/>
        </w:rPr>
        <w:t xml:space="preserve">of the </w:t>
      </w:r>
      <w:r w:rsidR="03A388FB" w:rsidRPr="006B775D">
        <w:rPr>
          <w:color w:val="000000" w:themeColor="text1"/>
        </w:rPr>
        <w:t>Transgender</w:t>
      </w:r>
      <w:r w:rsidR="206A62BE" w:rsidRPr="006B775D">
        <w:rPr>
          <w:color w:val="000000" w:themeColor="text1"/>
        </w:rPr>
        <w:t xml:space="preserve"> patient’s sex at birth</w:t>
      </w:r>
      <w:r w:rsidRPr="006B775D">
        <w:rPr>
          <w:color w:val="000000" w:themeColor="text1"/>
        </w:rPr>
        <w:t>,</w:t>
      </w:r>
      <w:r w:rsidR="206A62BE" w:rsidRPr="006B775D">
        <w:rPr>
          <w:color w:val="000000" w:themeColor="text1"/>
        </w:rPr>
        <w:t xml:space="preserve"> as well as hormone therapies </w:t>
      </w:r>
      <w:r w:rsidRPr="006B775D">
        <w:rPr>
          <w:color w:val="000000" w:themeColor="text1"/>
        </w:rPr>
        <w:t>are</w:t>
      </w:r>
      <w:r w:rsidR="206A62BE" w:rsidRPr="006B775D">
        <w:rPr>
          <w:color w:val="000000" w:themeColor="text1"/>
        </w:rPr>
        <w:t xml:space="preserve"> important in order to interpret laboratory values correctly. There is no clear consensus on whether a </w:t>
      </w:r>
      <w:r w:rsidR="7F55DF81" w:rsidRPr="006B775D">
        <w:rPr>
          <w:color w:val="000000" w:themeColor="text1"/>
        </w:rPr>
        <w:t>Trans</w:t>
      </w:r>
      <w:r w:rsidR="206A62BE" w:rsidRPr="006B775D">
        <w:rPr>
          <w:color w:val="000000" w:themeColor="text1"/>
        </w:rPr>
        <w:t xml:space="preserve"> patient should have their results interpreted in alignment with the sex they were assigned with at birth, or </w:t>
      </w:r>
      <w:r w:rsidRPr="006B775D">
        <w:rPr>
          <w:color w:val="000000" w:themeColor="text1"/>
        </w:rPr>
        <w:t>their expressed gender</w:t>
      </w:r>
      <w:r w:rsidR="206A62BE" w:rsidRPr="006B775D">
        <w:rPr>
          <w:color w:val="000000" w:themeColor="text1"/>
        </w:rPr>
        <w:t xml:space="preserve">. </w:t>
      </w:r>
      <w:r w:rsidR="03A388FB" w:rsidRPr="006B775D">
        <w:rPr>
          <w:color w:val="000000" w:themeColor="text1"/>
        </w:rPr>
        <w:t>Transgender</w:t>
      </w:r>
      <w:r w:rsidR="206A62BE" w:rsidRPr="006B775D">
        <w:rPr>
          <w:color w:val="000000" w:themeColor="text1"/>
        </w:rPr>
        <w:t xml:space="preserve"> patient’s body composition will however, often start to show signs of change to their affirmed gender after a</w:t>
      </w:r>
      <w:r w:rsidR="006B775D">
        <w:rPr>
          <w:color w:val="000000" w:themeColor="text1"/>
        </w:rPr>
        <w:t>pproximately</w:t>
      </w:r>
      <w:r w:rsidR="206A62BE" w:rsidRPr="006B775D">
        <w:rPr>
          <w:color w:val="000000" w:themeColor="text1"/>
        </w:rPr>
        <w:t xml:space="preserve"> </w:t>
      </w:r>
      <w:r w:rsidR="006B775D">
        <w:rPr>
          <w:color w:val="000000" w:themeColor="text1"/>
        </w:rPr>
        <w:t>three</w:t>
      </w:r>
      <w:r w:rsidR="206A62BE" w:rsidRPr="006B775D">
        <w:rPr>
          <w:color w:val="000000" w:themeColor="text1"/>
        </w:rPr>
        <w:t xml:space="preserve"> months of hormone therapy, but this is not universal</w:t>
      </w:r>
      <w:r w:rsidR="001D73C5" w:rsidRPr="006B775D">
        <w:rPr>
          <w:color w:val="000000" w:themeColor="text1"/>
        </w:rPr>
        <w:t xml:space="preserve"> (Flower et al. 2022).</w:t>
      </w:r>
    </w:p>
    <w:p w14:paraId="48200B26" w14:textId="19AAA005" w:rsidR="5C4C0047" w:rsidRPr="006B775D" w:rsidRDefault="5C4C0047" w:rsidP="5C4C0047">
      <w:pPr>
        <w:pBdr>
          <w:top w:val="nil"/>
          <w:left w:val="nil"/>
          <w:bottom w:val="nil"/>
          <w:right w:val="nil"/>
          <w:between w:val="nil"/>
        </w:pBdr>
        <w:spacing w:after="0" w:line="240" w:lineRule="auto"/>
        <w:rPr>
          <w:color w:val="000000" w:themeColor="text1"/>
        </w:rPr>
      </w:pPr>
    </w:p>
    <w:p w14:paraId="3A83A53F" w14:textId="52CDCC39" w:rsidR="00C60DB7" w:rsidRPr="006B775D" w:rsidRDefault="206A62BE" w:rsidP="00C60DB7">
      <w:pPr>
        <w:rPr>
          <w:color w:val="000000" w:themeColor="text1"/>
        </w:rPr>
      </w:pPr>
      <w:r w:rsidRPr="006B775D">
        <w:rPr>
          <w:color w:val="000000" w:themeColor="text1"/>
        </w:rPr>
        <w:t xml:space="preserve">A fundamental safety consideration for </w:t>
      </w:r>
      <w:r w:rsidR="001E690C" w:rsidRPr="006B775D">
        <w:rPr>
          <w:color w:val="000000" w:themeColor="text1"/>
        </w:rPr>
        <w:t xml:space="preserve">all </w:t>
      </w:r>
      <w:r w:rsidRPr="006B775D">
        <w:rPr>
          <w:color w:val="000000" w:themeColor="text1"/>
        </w:rPr>
        <w:t>patients in the ICU is airway management</w:t>
      </w:r>
      <w:r w:rsidR="001E690C" w:rsidRPr="006B775D">
        <w:rPr>
          <w:color w:val="000000" w:themeColor="text1"/>
        </w:rPr>
        <w:t>; co</w:t>
      </w:r>
      <w:r w:rsidRPr="006B775D">
        <w:rPr>
          <w:color w:val="000000" w:themeColor="text1"/>
        </w:rPr>
        <w:t>smetic and vocal feminisation procedures can both make the airway assessment more challenging for the anaesthetist and it is important that ICU nurses are cognisant of this in the event that an airway procedure is taking place</w:t>
      </w:r>
      <w:r w:rsidR="001D73C5" w:rsidRPr="006B775D">
        <w:rPr>
          <w:color w:val="000000" w:themeColor="text1"/>
        </w:rPr>
        <w:t xml:space="preserve"> (Lennie et al. 2020)</w:t>
      </w:r>
      <w:r w:rsidRPr="006B775D">
        <w:rPr>
          <w:color w:val="000000" w:themeColor="text1"/>
        </w:rPr>
        <w:t>. There are published case reports highlighting instances where intubation was complicated, and a difficult airway was encountered following gender-confirming feminisation surgery (</w:t>
      </w:r>
      <w:r w:rsidR="001D73C5" w:rsidRPr="006B775D">
        <w:rPr>
          <w:color w:val="000000" w:themeColor="text1"/>
        </w:rPr>
        <w:t>Vowles et al. 2020)</w:t>
      </w:r>
      <w:r w:rsidR="001E690C" w:rsidRPr="006B775D">
        <w:rPr>
          <w:color w:val="000000" w:themeColor="text1"/>
        </w:rPr>
        <w:t>, nurses should be cognisant of this and ensure they are prepared for potential complications</w:t>
      </w:r>
      <w:r w:rsidR="001D73C5" w:rsidRPr="006B775D">
        <w:rPr>
          <w:color w:val="000000" w:themeColor="text1"/>
        </w:rPr>
        <w:t>.</w:t>
      </w:r>
      <w:r w:rsidRPr="006B775D">
        <w:rPr>
          <w:color w:val="000000" w:themeColor="text1"/>
        </w:rPr>
        <w:t xml:space="preserve"> </w:t>
      </w:r>
    </w:p>
    <w:p w14:paraId="3F17E36E" w14:textId="3C207AED" w:rsidR="00C60DB7" w:rsidRPr="006B775D" w:rsidRDefault="00C60DB7" w:rsidP="00C60DB7">
      <w:pPr>
        <w:rPr>
          <w:lang w:eastAsia="en-US"/>
        </w:rPr>
      </w:pPr>
      <w:r w:rsidRPr="006B775D">
        <w:rPr>
          <w:lang w:eastAsia="en-US"/>
        </w:rPr>
        <w:t xml:space="preserve">It is important to understand that there is also the potential for complications of gender-affirming surgery. One study found that severe postoperative complications following gender affirming surgery occurred in 1 in every 20 patients (Mishra &amp; Ferrando, 2023). Regardless of the infrequency of postoperative complications, nurses should be aware of these risks so that they are prepared to care for these patients in the event they are admitted to the ICU. </w:t>
      </w:r>
    </w:p>
    <w:p w14:paraId="3630AF8D" w14:textId="5F1EE832" w:rsidR="006B775D" w:rsidRPr="006B775D" w:rsidRDefault="006B775D" w:rsidP="006B775D">
      <w:pPr>
        <w:pStyle w:val="Heading2"/>
        <w:rPr>
          <w:rFonts w:ascii="Calibri" w:hAnsi="Calibri" w:cs="Calibri"/>
          <w:lang w:eastAsia="en-US"/>
        </w:rPr>
      </w:pPr>
      <w:r w:rsidRPr="006B775D">
        <w:rPr>
          <w:rFonts w:ascii="Calibri" w:hAnsi="Calibri" w:cs="Calibri"/>
          <w:lang w:eastAsia="en-US"/>
        </w:rPr>
        <w:lastRenderedPageBreak/>
        <w:t xml:space="preserve">Conclusion </w:t>
      </w:r>
    </w:p>
    <w:p w14:paraId="74D6407E" w14:textId="674E1B6E" w:rsidR="0C7E4B2F" w:rsidRPr="006B775D" w:rsidRDefault="0C7E4B2F" w:rsidP="001D73C5">
      <w:pPr>
        <w:rPr>
          <w:lang w:eastAsia="en-US"/>
        </w:rPr>
      </w:pPr>
      <w:r w:rsidRPr="006B775D">
        <w:rPr>
          <w:lang w:eastAsia="en-US"/>
        </w:rPr>
        <w:t xml:space="preserve">Along with </w:t>
      </w:r>
      <w:r w:rsidR="2E86C898" w:rsidRPr="006B775D">
        <w:rPr>
          <w:lang w:eastAsia="en-US"/>
        </w:rPr>
        <w:t>considerations related to</w:t>
      </w:r>
      <w:r w:rsidR="3C0A454A" w:rsidRPr="006B775D">
        <w:rPr>
          <w:lang w:eastAsia="en-US"/>
        </w:rPr>
        <w:t xml:space="preserve"> nursing</w:t>
      </w:r>
      <w:r w:rsidR="2E86C898" w:rsidRPr="006B775D">
        <w:rPr>
          <w:lang w:eastAsia="en-US"/>
        </w:rPr>
        <w:t xml:space="preserve"> caring for </w:t>
      </w:r>
      <w:r w:rsidR="7F55DF81" w:rsidRPr="006B775D">
        <w:rPr>
          <w:lang w:eastAsia="en-US"/>
        </w:rPr>
        <w:t>Trans</w:t>
      </w:r>
      <w:r w:rsidR="2F0AFABA" w:rsidRPr="006B775D">
        <w:rPr>
          <w:lang w:eastAsia="en-US"/>
        </w:rPr>
        <w:t xml:space="preserve"> people in the ICU</w:t>
      </w:r>
      <w:r w:rsidR="284467C5" w:rsidRPr="006B775D">
        <w:rPr>
          <w:lang w:eastAsia="en-US"/>
        </w:rPr>
        <w:t xml:space="preserve">, there are wider systematic changes which can help enhance </w:t>
      </w:r>
      <w:r w:rsidR="69DE5EAB" w:rsidRPr="006B775D">
        <w:rPr>
          <w:lang w:eastAsia="en-US"/>
        </w:rPr>
        <w:t xml:space="preserve">the experience of </w:t>
      </w:r>
      <w:r w:rsidR="7F55DF81" w:rsidRPr="006B775D">
        <w:rPr>
          <w:lang w:eastAsia="en-US"/>
        </w:rPr>
        <w:t>Trans</w:t>
      </w:r>
      <w:r w:rsidR="69DE5EAB" w:rsidRPr="006B775D">
        <w:rPr>
          <w:lang w:eastAsia="en-US"/>
        </w:rPr>
        <w:t xml:space="preserve"> patients.</w:t>
      </w:r>
      <w:r w:rsidR="1E7BBCDB" w:rsidRPr="006B775D">
        <w:rPr>
          <w:lang w:eastAsia="en-US"/>
        </w:rPr>
        <w:t xml:space="preserve"> Key issues in improving </w:t>
      </w:r>
      <w:r w:rsidR="7F55DF81" w:rsidRPr="006B775D">
        <w:rPr>
          <w:lang w:eastAsia="en-US"/>
        </w:rPr>
        <w:t>Trans</w:t>
      </w:r>
      <w:r w:rsidR="1E7BBCDB" w:rsidRPr="006B775D">
        <w:rPr>
          <w:lang w:eastAsia="en-US"/>
        </w:rPr>
        <w:t xml:space="preserve"> care include adapting electronic health records to include both sex and gender identity, </w:t>
      </w:r>
      <w:r w:rsidR="40F03113" w:rsidRPr="006B775D">
        <w:rPr>
          <w:lang w:eastAsia="en-US"/>
        </w:rPr>
        <w:t>ensuring staff receive adequate education and training on gender diversity,</w:t>
      </w:r>
      <w:r w:rsidR="6BD0BDC7" w:rsidRPr="006B775D">
        <w:rPr>
          <w:lang w:eastAsia="en-US"/>
        </w:rPr>
        <w:t xml:space="preserve"> implementing clear policies to prevent and manage issues of discrimination</w:t>
      </w:r>
      <w:r w:rsidR="40F03113" w:rsidRPr="006B775D">
        <w:rPr>
          <w:lang w:eastAsia="en-US"/>
        </w:rPr>
        <w:t xml:space="preserve"> and most importantly </w:t>
      </w:r>
      <w:r w:rsidR="690F4E75" w:rsidRPr="006B775D">
        <w:rPr>
          <w:lang w:eastAsia="en-US"/>
        </w:rPr>
        <w:t xml:space="preserve">continuing to research &amp; develop evidence around </w:t>
      </w:r>
      <w:r w:rsidR="7F55DF81" w:rsidRPr="006B775D">
        <w:rPr>
          <w:lang w:eastAsia="en-US"/>
        </w:rPr>
        <w:t>Trans</w:t>
      </w:r>
      <w:r w:rsidR="690F4E75" w:rsidRPr="006B775D">
        <w:rPr>
          <w:lang w:eastAsia="en-US"/>
        </w:rPr>
        <w:t xml:space="preserve"> care</w:t>
      </w:r>
      <w:r w:rsidR="00C60DB7" w:rsidRPr="006B775D">
        <w:rPr>
          <w:lang w:eastAsia="en-US"/>
        </w:rPr>
        <w:t xml:space="preserve"> (Gilmore et al. 2024)</w:t>
      </w:r>
      <w:r w:rsidR="53707E40" w:rsidRPr="006B775D">
        <w:rPr>
          <w:lang w:eastAsia="en-US"/>
        </w:rPr>
        <w:t>.</w:t>
      </w:r>
      <w:r w:rsidR="3EBE2D98" w:rsidRPr="006B775D">
        <w:rPr>
          <w:lang w:eastAsia="en-US"/>
        </w:rPr>
        <w:t xml:space="preserve"> As the largest workforce group in ICU nurses can play a significant role of allyship</w:t>
      </w:r>
      <w:r w:rsidR="543FFC61" w:rsidRPr="006B775D">
        <w:rPr>
          <w:lang w:eastAsia="en-US"/>
        </w:rPr>
        <w:t xml:space="preserve"> and better care</w:t>
      </w:r>
      <w:r w:rsidR="3EBE2D98" w:rsidRPr="006B775D">
        <w:rPr>
          <w:lang w:eastAsia="en-US"/>
        </w:rPr>
        <w:t xml:space="preserve"> for </w:t>
      </w:r>
      <w:r w:rsidR="7F55DF81" w:rsidRPr="006B775D">
        <w:rPr>
          <w:lang w:eastAsia="en-US"/>
        </w:rPr>
        <w:t>Trans</w:t>
      </w:r>
      <w:r w:rsidR="3EBE2D98" w:rsidRPr="006B775D">
        <w:rPr>
          <w:lang w:eastAsia="en-US"/>
        </w:rPr>
        <w:t xml:space="preserve"> people</w:t>
      </w:r>
      <w:r w:rsidR="00C60DB7" w:rsidRPr="006B775D">
        <w:rPr>
          <w:lang w:eastAsia="en-US"/>
        </w:rPr>
        <w:t>.</w:t>
      </w:r>
    </w:p>
    <w:p w14:paraId="6F89B1F5" w14:textId="359244C8" w:rsidR="006A5AF0" w:rsidRPr="006B775D" w:rsidRDefault="001D73C5" w:rsidP="001D73C5">
      <w:pPr>
        <w:pStyle w:val="Heading1"/>
        <w:rPr>
          <w:rFonts w:ascii="Calibri" w:hAnsi="Calibri" w:cs="Calibri"/>
          <w:lang w:eastAsia="en-US"/>
        </w:rPr>
      </w:pPr>
      <w:r w:rsidRPr="006B775D">
        <w:rPr>
          <w:rFonts w:ascii="Calibri" w:hAnsi="Calibri" w:cs="Calibri"/>
          <w:lang w:eastAsia="en-US"/>
        </w:rPr>
        <w:t>References</w:t>
      </w:r>
    </w:p>
    <w:p w14:paraId="66C36F33" w14:textId="54D112D3" w:rsidR="001D73C5" w:rsidRPr="006B775D" w:rsidRDefault="001D73C5" w:rsidP="006A5AF0">
      <w:pPr>
        <w:rPr>
          <w:rStyle w:val="cf01"/>
          <w:rFonts w:ascii="Calibri" w:hAnsi="Calibri" w:cs="Calibri"/>
          <w:sz w:val="22"/>
          <w:szCs w:val="22"/>
        </w:rPr>
      </w:pPr>
      <w:r w:rsidRPr="006B775D">
        <w:rPr>
          <w:rStyle w:val="cf01"/>
          <w:rFonts w:ascii="Calibri" w:hAnsi="Calibri" w:cs="Calibri"/>
          <w:sz w:val="22"/>
          <w:szCs w:val="22"/>
        </w:rPr>
        <w:t xml:space="preserve">Cicero, E. C., Reisner, S. L., Silva, S. G., Merwin, E. I., &amp; Humphreys, J. C. (2019). Health Care Experiences of Transgender Adults: An Integrated Mixed Research Literature Review. </w:t>
      </w:r>
      <w:r w:rsidRPr="006B775D">
        <w:rPr>
          <w:rStyle w:val="cf11"/>
          <w:rFonts w:ascii="Calibri" w:hAnsi="Calibri" w:cs="Calibri"/>
          <w:sz w:val="22"/>
          <w:szCs w:val="22"/>
        </w:rPr>
        <w:t>ANS. Advances in nursing science</w:t>
      </w:r>
      <w:r w:rsidRPr="006B775D">
        <w:rPr>
          <w:rStyle w:val="cf01"/>
          <w:rFonts w:ascii="Calibri" w:hAnsi="Calibri" w:cs="Calibri"/>
          <w:sz w:val="22"/>
          <w:szCs w:val="22"/>
        </w:rPr>
        <w:t xml:space="preserve">, </w:t>
      </w:r>
      <w:r w:rsidRPr="006B775D">
        <w:rPr>
          <w:rStyle w:val="cf11"/>
          <w:rFonts w:ascii="Calibri" w:hAnsi="Calibri" w:cs="Calibri"/>
          <w:sz w:val="22"/>
          <w:szCs w:val="22"/>
        </w:rPr>
        <w:t>42</w:t>
      </w:r>
      <w:r w:rsidRPr="006B775D">
        <w:rPr>
          <w:rStyle w:val="cf01"/>
          <w:rFonts w:ascii="Calibri" w:hAnsi="Calibri" w:cs="Calibri"/>
          <w:sz w:val="22"/>
          <w:szCs w:val="22"/>
        </w:rPr>
        <w:t xml:space="preserve">(2), 123–138. </w:t>
      </w:r>
      <w:hyperlink r:id="rId5" w:history="1">
        <w:r w:rsidRPr="006B775D">
          <w:rPr>
            <w:rStyle w:val="Hyperlink"/>
          </w:rPr>
          <w:t>https://doi.org/10.1097/ANS.0000000000000256</w:t>
        </w:r>
      </w:hyperlink>
    </w:p>
    <w:p w14:paraId="03324A80" w14:textId="071D26DB" w:rsidR="001D73C5" w:rsidRPr="006B775D" w:rsidRDefault="001D73C5" w:rsidP="006A5AF0">
      <w:pPr>
        <w:rPr>
          <w:rStyle w:val="cf01"/>
          <w:rFonts w:ascii="Calibri" w:hAnsi="Calibri" w:cs="Calibri"/>
          <w:sz w:val="22"/>
          <w:szCs w:val="22"/>
        </w:rPr>
      </w:pPr>
      <w:r w:rsidRPr="006B775D">
        <w:rPr>
          <w:rStyle w:val="cf01"/>
          <w:rFonts w:ascii="Calibri" w:hAnsi="Calibri" w:cs="Calibri"/>
          <w:sz w:val="22"/>
          <w:szCs w:val="22"/>
        </w:rPr>
        <w:t>Flower L, Cheung A, Connal S, et al. Management of transgender patients in critical care. Journal of the Intensive Care Society 2022; 0: 17511437221145102. DOI: 10.1177/17511437221145102.</w:t>
      </w:r>
    </w:p>
    <w:p w14:paraId="7087007E" w14:textId="2AFC0CF3" w:rsidR="0092523F" w:rsidRDefault="0092523F" w:rsidP="006A5AF0">
      <w:pPr>
        <w:rPr>
          <w:rStyle w:val="cf01"/>
          <w:rFonts w:ascii="Calibri" w:hAnsi="Calibri" w:cs="Calibri"/>
          <w:sz w:val="22"/>
          <w:szCs w:val="22"/>
        </w:rPr>
      </w:pPr>
      <w:r w:rsidRPr="0092523F">
        <w:rPr>
          <w:rStyle w:val="cf01"/>
          <w:rFonts w:ascii="Calibri" w:hAnsi="Calibri" w:cs="Calibri"/>
          <w:sz w:val="22"/>
          <w:szCs w:val="22"/>
        </w:rPr>
        <w:t>Gilmore, J. P., Dainton, M., &amp; Halpin, N. (2024). Authentic allyship for gender minorities. Journal of nursing scholarship : an official publication of Sigma Theta Tau International Honor Society of Nursing, 56(1), 5–8. https://doi.org/10.1111/jnu.12918</w:t>
      </w:r>
    </w:p>
    <w:p w14:paraId="0DD4161A" w14:textId="0A58176A" w:rsidR="001D73C5" w:rsidRPr="006B775D" w:rsidRDefault="001D73C5" w:rsidP="006A5AF0">
      <w:pPr>
        <w:rPr>
          <w:rStyle w:val="Hyperlink"/>
          <w:lang w:eastAsia="en-US"/>
        </w:rPr>
      </w:pPr>
      <w:r w:rsidRPr="006B775D">
        <w:rPr>
          <w:lang w:eastAsia="en-US"/>
        </w:rPr>
        <w:t xml:space="preserve">Mishra, K., &amp; Ferrando, C. A. (2023). Postoperative adverse events following gender-affirming vaginoplasty: an American College of Surgeons National Surgical Quality Improvement Program study. American journal of obstetrics and </w:t>
      </w:r>
      <w:proofErr w:type="spellStart"/>
      <w:r w:rsidRPr="006B775D">
        <w:rPr>
          <w:lang w:eastAsia="en-US"/>
        </w:rPr>
        <w:t>gynecology</w:t>
      </w:r>
      <w:proofErr w:type="spellEnd"/>
      <w:r w:rsidRPr="006B775D">
        <w:rPr>
          <w:lang w:eastAsia="en-US"/>
        </w:rPr>
        <w:t xml:space="preserve">, 228(5), 564.e1–564.e8. </w:t>
      </w:r>
      <w:hyperlink r:id="rId6" w:history="1">
        <w:r w:rsidRPr="006B775D">
          <w:rPr>
            <w:rStyle w:val="Hyperlink"/>
            <w:lang w:eastAsia="en-US"/>
          </w:rPr>
          <w:t>https://doi.org/10.1016/j.ajog.2023.01.011</w:t>
        </w:r>
      </w:hyperlink>
    </w:p>
    <w:p w14:paraId="1C406362" w14:textId="6D3157FA" w:rsidR="00154195" w:rsidRPr="006B775D" w:rsidRDefault="00154195" w:rsidP="006A5AF0">
      <w:r w:rsidRPr="006B775D">
        <w:t>Mukerjee, R. Wesp, L. Singer, R and Menkin, D (2022) Clinicians Guide to LGBTQIA+ Care, New York, Springer</w:t>
      </w:r>
    </w:p>
    <w:p w14:paraId="70522A79" w14:textId="1B34588C" w:rsidR="00154195" w:rsidRPr="006B775D" w:rsidRDefault="00154195" w:rsidP="006A5AF0">
      <w:pPr>
        <w:rPr>
          <w:lang w:eastAsia="en-US"/>
        </w:rPr>
      </w:pPr>
      <w:r w:rsidRPr="006B775D">
        <w:t>Richards, C. and Barrett, J. (2021) Trans and Non-binary Healthcare,  Cambridge, Cambridge University Press</w:t>
      </w:r>
    </w:p>
    <w:p w14:paraId="562AF737" w14:textId="18955439" w:rsidR="001D73C5" w:rsidRPr="006B775D" w:rsidRDefault="001D73C5" w:rsidP="006A5AF0">
      <w:pPr>
        <w:rPr>
          <w:lang w:eastAsia="en-US"/>
        </w:rPr>
      </w:pPr>
      <w:r w:rsidRPr="006B775D">
        <w:rPr>
          <w:lang w:eastAsia="en-US"/>
        </w:rPr>
        <w:t>Rosendale N, Goldman S, Ortiz GM, et al. Acute Clinical Care for Transgender Patients: A Review. JAMA Internal Medicine 2018; 178: 1535-1543. DOI: 10.1001/jamainternmed.2018.4179.</w:t>
      </w:r>
    </w:p>
    <w:p w14:paraId="7717365E" w14:textId="21A58F47" w:rsidR="001D73C5" w:rsidRPr="006B775D" w:rsidRDefault="006A5AF0" w:rsidP="006A5AF0">
      <w:pPr>
        <w:rPr>
          <w:color w:val="000000"/>
          <w:shd w:val="clear" w:color="auto" w:fill="FFFFFF"/>
        </w:rPr>
      </w:pPr>
      <w:r w:rsidRPr="006B775D">
        <w:rPr>
          <w:color w:val="000000"/>
          <w:shd w:val="clear" w:color="auto" w:fill="FFFFFF"/>
        </w:rPr>
        <w:t xml:space="preserve">Stonewall. N.d. List of LGBTQ+ terms, </w:t>
      </w:r>
      <w:hyperlink r:id="rId7" w:tgtFrame="_blank" w:tooltip="https://www.stonewall.org.uk/list-lgbtq-terms" w:history="1">
        <w:r w:rsidRPr="006B775D">
          <w:rPr>
            <w:color w:val="0000EE"/>
            <w:u w:val="single"/>
            <w:shd w:val="clear" w:color="auto" w:fill="FFFFFF"/>
          </w:rPr>
          <w:t>https://www.stonewall.org.uk/list-lgbtq-terms</w:t>
        </w:r>
      </w:hyperlink>
      <w:r w:rsidRPr="006B775D">
        <w:rPr>
          <w:color w:val="000000"/>
          <w:shd w:val="clear" w:color="auto" w:fill="FFFFFF"/>
        </w:rPr>
        <w:t xml:space="preserve"> (accessed 22nd January 2024).</w:t>
      </w:r>
    </w:p>
    <w:p w14:paraId="365E7AA9" w14:textId="619487B3" w:rsidR="00154195" w:rsidRPr="006B775D" w:rsidRDefault="00154195" w:rsidP="006A5AF0">
      <w:pPr>
        <w:rPr>
          <w:color w:val="000000"/>
          <w:shd w:val="clear" w:color="auto" w:fill="FFFFFF"/>
        </w:rPr>
      </w:pPr>
      <w:r w:rsidRPr="006B775D">
        <w:t>Stonewall (2015) Unhealthy Attitudes, London, Stonewall.</w:t>
      </w:r>
    </w:p>
    <w:p w14:paraId="180B05C5" w14:textId="033F262A" w:rsidR="001D73C5" w:rsidRPr="006B775D" w:rsidRDefault="001D73C5" w:rsidP="006A5AF0">
      <w:pPr>
        <w:rPr>
          <w:color w:val="000000"/>
          <w:shd w:val="clear" w:color="auto" w:fill="FFFFFF"/>
        </w:rPr>
      </w:pPr>
      <w:proofErr w:type="spellStart"/>
      <w:r w:rsidRPr="006B775D">
        <w:rPr>
          <w:rStyle w:val="cf01"/>
          <w:rFonts w:ascii="Calibri" w:hAnsi="Calibri" w:cs="Calibri"/>
          <w:sz w:val="22"/>
          <w:szCs w:val="22"/>
        </w:rPr>
        <w:t>Tollinche</w:t>
      </w:r>
      <w:proofErr w:type="spellEnd"/>
      <w:r w:rsidRPr="006B775D">
        <w:rPr>
          <w:rStyle w:val="cf01"/>
          <w:rFonts w:ascii="Calibri" w:hAnsi="Calibri" w:cs="Calibri"/>
          <w:sz w:val="22"/>
          <w:szCs w:val="22"/>
        </w:rPr>
        <w:t xml:space="preserve">, L. E., Walters, C. B., Radix, A., Long, M., Galante, L., Goldstein, Z. G., Kapinos, Y., &amp; Yeoh, C. (2018). The Perioperative Care of the Transgender Patient. </w:t>
      </w:r>
      <w:proofErr w:type="spellStart"/>
      <w:r w:rsidRPr="006B775D">
        <w:rPr>
          <w:rStyle w:val="cf11"/>
          <w:rFonts w:ascii="Calibri" w:hAnsi="Calibri" w:cs="Calibri"/>
          <w:sz w:val="22"/>
          <w:szCs w:val="22"/>
        </w:rPr>
        <w:t>Anesthesia</w:t>
      </w:r>
      <w:proofErr w:type="spellEnd"/>
      <w:r w:rsidRPr="006B775D">
        <w:rPr>
          <w:rStyle w:val="cf11"/>
          <w:rFonts w:ascii="Calibri" w:hAnsi="Calibri" w:cs="Calibri"/>
          <w:sz w:val="22"/>
          <w:szCs w:val="22"/>
        </w:rPr>
        <w:t xml:space="preserve"> and analgesia</w:t>
      </w:r>
      <w:r w:rsidRPr="006B775D">
        <w:rPr>
          <w:rStyle w:val="cf01"/>
          <w:rFonts w:ascii="Calibri" w:hAnsi="Calibri" w:cs="Calibri"/>
          <w:sz w:val="22"/>
          <w:szCs w:val="22"/>
        </w:rPr>
        <w:t xml:space="preserve">, </w:t>
      </w:r>
      <w:r w:rsidRPr="006B775D">
        <w:rPr>
          <w:rStyle w:val="cf11"/>
          <w:rFonts w:ascii="Calibri" w:hAnsi="Calibri" w:cs="Calibri"/>
          <w:sz w:val="22"/>
          <w:szCs w:val="22"/>
        </w:rPr>
        <w:t>127</w:t>
      </w:r>
      <w:r w:rsidRPr="006B775D">
        <w:rPr>
          <w:rStyle w:val="cf01"/>
          <w:rFonts w:ascii="Calibri" w:hAnsi="Calibri" w:cs="Calibri"/>
          <w:sz w:val="22"/>
          <w:szCs w:val="22"/>
        </w:rPr>
        <w:t>(2), 359–366. https://doi.org/10.1213/ANE.0000000000003371</w:t>
      </w:r>
    </w:p>
    <w:p w14:paraId="1B4656D8" w14:textId="502575D0" w:rsidR="001D73C5" w:rsidRPr="006B775D" w:rsidRDefault="001D73C5" w:rsidP="006A5AF0">
      <w:pPr>
        <w:rPr>
          <w:rStyle w:val="cf01"/>
          <w:rFonts w:ascii="Calibri" w:hAnsi="Calibri" w:cs="Calibri"/>
          <w:sz w:val="22"/>
          <w:szCs w:val="22"/>
        </w:rPr>
      </w:pPr>
      <w:r w:rsidRPr="006B775D">
        <w:rPr>
          <w:rStyle w:val="cf01"/>
          <w:rFonts w:ascii="Calibri" w:hAnsi="Calibri" w:cs="Calibri"/>
          <w:sz w:val="22"/>
          <w:szCs w:val="22"/>
        </w:rPr>
        <w:t xml:space="preserve">Unger C. A. (2016). Hormone therapy for transgender patients. </w:t>
      </w:r>
      <w:r w:rsidRPr="006B775D">
        <w:rPr>
          <w:rStyle w:val="cf11"/>
          <w:rFonts w:ascii="Calibri" w:hAnsi="Calibri" w:cs="Calibri"/>
          <w:sz w:val="22"/>
          <w:szCs w:val="22"/>
        </w:rPr>
        <w:t>Translational andrology and urology</w:t>
      </w:r>
      <w:r w:rsidRPr="006B775D">
        <w:rPr>
          <w:rStyle w:val="cf01"/>
          <w:rFonts w:ascii="Calibri" w:hAnsi="Calibri" w:cs="Calibri"/>
          <w:sz w:val="22"/>
          <w:szCs w:val="22"/>
        </w:rPr>
        <w:t xml:space="preserve">, </w:t>
      </w:r>
      <w:r w:rsidRPr="006B775D">
        <w:rPr>
          <w:rStyle w:val="cf11"/>
          <w:rFonts w:ascii="Calibri" w:hAnsi="Calibri" w:cs="Calibri"/>
          <w:sz w:val="22"/>
          <w:szCs w:val="22"/>
        </w:rPr>
        <w:t>5</w:t>
      </w:r>
      <w:r w:rsidRPr="006B775D">
        <w:rPr>
          <w:rStyle w:val="cf01"/>
          <w:rFonts w:ascii="Calibri" w:hAnsi="Calibri" w:cs="Calibri"/>
          <w:sz w:val="22"/>
          <w:szCs w:val="22"/>
        </w:rPr>
        <w:t xml:space="preserve">(6), 877–884. </w:t>
      </w:r>
      <w:hyperlink r:id="rId8" w:history="1">
        <w:r w:rsidRPr="006B775D">
          <w:rPr>
            <w:rStyle w:val="Hyperlink"/>
          </w:rPr>
          <w:t>https://doi.org/10.21037/tau.2016.09.04</w:t>
        </w:r>
      </w:hyperlink>
    </w:p>
    <w:p w14:paraId="237C97FB" w14:textId="01FEFFA2" w:rsidR="001D73C5" w:rsidRPr="006B775D" w:rsidRDefault="001D73C5" w:rsidP="006A5AF0">
      <w:pPr>
        <w:rPr>
          <w:color w:val="000000"/>
          <w:shd w:val="clear" w:color="auto" w:fill="FFFFFF"/>
        </w:rPr>
      </w:pPr>
      <w:r w:rsidRPr="006B775D">
        <w:rPr>
          <w:rStyle w:val="cf01"/>
          <w:rFonts w:ascii="Calibri" w:hAnsi="Calibri" w:cs="Calibri"/>
          <w:sz w:val="22"/>
          <w:szCs w:val="22"/>
        </w:rPr>
        <w:t xml:space="preserve">Vowles BJ, Ahmad I and Christodoulides G. Unexpected difficult airway management in a transgender female patient. </w:t>
      </w:r>
      <w:r w:rsidRPr="006B775D">
        <w:rPr>
          <w:rStyle w:val="cf11"/>
          <w:rFonts w:ascii="Calibri" w:hAnsi="Calibri" w:cs="Calibri"/>
          <w:sz w:val="22"/>
          <w:szCs w:val="22"/>
        </w:rPr>
        <w:t>Anaesthesia Reports</w:t>
      </w:r>
      <w:r w:rsidRPr="006B775D">
        <w:rPr>
          <w:rStyle w:val="cf01"/>
          <w:rFonts w:ascii="Calibri" w:hAnsi="Calibri" w:cs="Calibri"/>
          <w:sz w:val="22"/>
          <w:szCs w:val="22"/>
        </w:rPr>
        <w:t xml:space="preserve"> 2020; 8: 36-39. DOI: </w:t>
      </w:r>
      <w:hyperlink r:id="rId9" w:history="1">
        <w:r w:rsidRPr="006B775D">
          <w:rPr>
            <w:rStyle w:val="cf21"/>
            <w:rFonts w:ascii="Calibri" w:hAnsi="Calibri" w:cs="Calibri"/>
            <w:color w:val="0000FF"/>
            <w:sz w:val="22"/>
            <w:szCs w:val="22"/>
            <w:u w:val="single"/>
          </w:rPr>
          <w:t>https://doi.org/10.1002/anr3.12042</w:t>
        </w:r>
      </w:hyperlink>
      <w:r w:rsidRPr="006B775D">
        <w:rPr>
          <w:rStyle w:val="cf01"/>
          <w:rFonts w:ascii="Calibri" w:hAnsi="Calibri" w:cs="Calibri"/>
          <w:sz w:val="22"/>
          <w:szCs w:val="22"/>
        </w:rPr>
        <w:t>.</w:t>
      </w:r>
    </w:p>
    <w:p w14:paraId="221E5BBE" w14:textId="77777777" w:rsidR="001D73C5" w:rsidRPr="006B775D" w:rsidRDefault="001D73C5" w:rsidP="001D73C5">
      <w:pPr>
        <w:pStyle w:val="pf0"/>
        <w:rPr>
          <w:rFonts w:ascii="Calibri" w:hAnsi="Calibri" w:cs="Calibri"/>
          <w:sz w:val="22"/>
          <w:szCs w:val="22"/>
        </w:rPr>
      </w:pPr>
      <w:r w:rsidRPr="006B775D">
        <w:rPr>
          <w:rStyle w:val="cf01"/>
          <w:rFonts w:ascii="Calibri" w:eastAsiaTheme="majorEastAsia" w:hAnsi="Calibri" w:cs="Calibri"/>
          <w:sz w:val="22"/>
          <w:szCs w:val="22"/>
        </w:rPr>
        <w:lastRenderedPageBreak/>
        <w:t xml:space="preserve">Zeeman, L., Sherriff, N., Browne, K., McGlynn, N., Mirandola, M., Gios, L., ... &amp; Health4LGBTI Network </w:t>
      </w:r>
      <w:proofErr w:type="spellStart"/>
      <w:r w:rsidRPr="006B775D">
        <w:rPr>
          <w:rStyle w:val="cf01"/>
          <w:rFonts w:ascii="Calibri" w:eastAsiaTheme="majorEastAsia" w:hAnsi="Calibri" w:cs="Calibri"/>
          <w:sz w:val="22"/>
          <w:szCs w:val="22"/>
        </w:rPr>
        <w:t>Taibjee</w:t>
      </w:r>
      <w:proofErr w:type="spellEnd"/>
      <w:r w:rsidRPr="006B775D">
        <w:rPr>
          <w:rStyle w:val="cf01"/>
          <w:rFonts w:ascii="Calibri" w:eastAsiaTheme="majorEastAsia" w:hAnsi="Calibri" w:cs="Calibri"/>
          <w:sz w:val="22"/>
          <w:szCs w:val="22"/>
        </w:rPr>
        <w:t xml:space="preserve"> Rafik </w:t>
      </w:r>
      <w:proofErr w:type="spellStart"/>
      <w:r w:rsidRPr="006B775D">
        <w:rPr>
          <w:rStyle w:val="cf01"/>
          <w:rFonts w:ascii="Calibri" w:eastAsiaTheme="majorEastAsia" w:hAnsi="Calibri" w:cs="Calibri"/>
          <w:sz w:val="22"/>
          <w:szCs w:val="22"/>
        </w:rPr>
        <w:t>Toskin</w:t>
      </w:r>
      <w:proofErr w:type="spellEnd"/>
      <w:r w:rsidRPr="006B775D">
        <w:rPr>
          <w:rStyle w:val="cf01"/>
          <w:rFonts w:ascii="Calibri" w:eastAsiaTheme="majorEastAsia" w:hAnsi="Calibri" w:cs="Calibri"/>
          <w:sz w:val="22"/>
          <w:szCs w:val="22"/>
        </w:rPr>
        <w:t xml:space="preserve"> Igor Jonas Kai van Der </w:t>
      </w:r>
      <w:proofErr w:type="spellStart"/>
      <w:r w:rsidRPr="006B775D">
        <w:rPr>
          <w:rStyle w:val="cf01"/>
          <w:rFonts w:ascii="Calibri" w:eastAsiaTheme="majorEastAsia" w:hAnsi="Calibri" w:cs="Calibri"/>
          <w:sz w:val="22"/>
          <w:szCs w:val="22"/>
        </w:rPr>
        <w:t>Veur</w:t>
      </w:r>
      <w:proofErr w:type="spellEnd"/>
      <w:r w:rsidRPr="006B775D">
        <w:rPr>
          <w:rStyle w:val="cf01"/>
          <w:rFonts w:ascii="Calibri" w:eastAsiaTheme="majorEastAsia" w:hAnsi="Calibri" w:cs="Calibri"/>
          <w:sz w:val="22"/>
          <w:szCs w:val="22"/>
        </w:rPr>
        <w:t xml:space="preserve"> Dennis Allen Odhrán </w:t>
      </w:r>
      <w:proofErr w:type="spellStart"/>
      <w:r w:rsidRPr="006B775D">
        <w:rPr>
          <w:rStyle w:val="cf01"/>
          <w:rFonts w:ascii="Calibri" w:eastAsiaTheme="majorEastAsia" w:hAnsi="Calibri" w:cs="Calibri"/>
          <w:sz w:val="22"/>
          <w:szCs w:val="22"/>
        </w:rPr>
        <w:t>Troussier</w:t>
      </w:r>
      <w:proofErr w:type="spellEnd"/>
      <w:r w:rsidRPr="006B775D">
        <w:rPr>
          <w:rStyle w:val="cf01"/>
          <w:rFonts w:ascii="Calibri" w:eastAsiaTheme="majorEastAsia" w:hAnsi="Calibri" w:cs="Calibri"/>
          <w:sz w:val="22"/>
          <w:szCs w:val="22"/>
        </w:rPr>
        <w:t xml:space="preserve"> Thierry De Sutter Petra. (2019). A review of lesbian, gay, bisexual, trans and intersex (LGBTI) health and healthcare inequalities. European journal of public health, 29(5), 974-980.</w:t>
      </w:r>
    </w:p>
    <w:p w14:paraId="1984152A" w14:textId="77777777" w:rsidR="00C60DB7" w:rsidRPr="006A5AF0" w:rsidRDefault="00C60DB7" w:rsidP="006A5AF0">
      <w:pPr>
        <w:rPr>
          <w:lang w:eastAsia="en-US"/>
        </w:rPr>
      </w:pPr>
    </w:p>
    <w:sectPr w:rsidR="00C60DB7" w:rsidRPr="006A5AF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166B"/>
    <w:rsid w:val="000A4029"/>
    <w:rsid w:val="00154195"/>
    <w:rsid w:val="001D73C5"/>
    <w:rsid w:val="001E690C"/>
    <w:rsid w:val="00274494"/>
    <w:rsid w:val="00306790"/>
    <w:rsid w:val="004B61E4"/>
    <w:rsid w:val="004C41B7"/>
    <w:rsid w:val="004C663A"/>
    <w:rsid w:val="006A5AF0"/>
    <w:rsid w:val="006B775D"/>
    <w:rsid w:val="0072166B"/>
    <w:rsid w:val="0076045E"/>
    <w:rsid w:val="00914CEE"/>
    <w:rsid w:val="0092523F"/>
    <w:rsid w:val="00A87750"/>
    <w:rsid w:val="00BE23BD"/>
    <w:rsid w:val="00C60DB7"/>
    <w:rsid w:val="00CF2E6A"/>
    <w:rsid w:val="00D045BD"/>
    <w:rsid w:val="00E00B29"/>
    <w:rsid w:val="00E4D307"/>
    <w:rsid w:val="00EE715A"/>
    <w:rsid w:val="00F826E2"/>
    <w:rsid w:val="00FB052D"/>
    <w:rsid w:val="011515A5"/>
    <w:rsid w:val="01504F2D"/>
    <w:rsid w:val="01FA5FF3"/>
    <w:rsid w:val="02301061"/>
    <w:rsid w:val="031830A0"/>
    <w:rsid w:val="03315249"/>
    <w:rsid w:val="036B9A4F"/>
    <w:rsid w:val="03A388FB"/>
    <w:rsid w:val="03A93F1A"/>
    <w:rsid w:val="054303DC"/>
    <w:rsid w:val="055CC535"/>
    <w:rsid w:val="05984BE9"/>
    <w:rsid w:val="05DF5E32"/>
    <w:rsid w:val="05FA3184"/>
    <w:rsid w:val="0666C953"/>
    <w:rsid w:val="06F14873"/>
    <w:rsid w:val="075EB4D4"/>
    <w:rsid w:val="077E1239"/>
    <w:rsid w:val="07B6586B"/>
    <w:rsid w:val="07BE29C0"/>
    <w:rsid w:val="08289817"/>
    <w:rsid w:val="086909FF"/>
    <w:rsid w:val="0931D246"/>
    <w:rsid w:val="09AC0D51"/>
    <w:rsid w:val="0A04DA60"/>
    <w:rsid w:val="0BAB9139"/>
    <w:rsid w:val="0C078D6D"/>
    <w:rsid w:val="0C7E4B2F"/>
    <w:rsid w:val="0CCD5FB7"/>
    <w:rsid w:val="0DD8536E"/>
    <w:rsid w:val="0DF5A9B0"/>
    <w:rsid w:val="0DFC8F72"/>
    <w:rsid w:val="0E90176E"/>
    <w:rsid w:val="0F675080"/>
    <w:rsid w:val="1033A9FC"/>
    <w:rsid w:val="1055FB06"/>
    <w:rsid w:val="10741BE4"/>
    <w:rsid w:val="120AFCBD"/>
    <w:rsid w:val="1276CC02"/>
    <w:rsid w:val="12DD4B02"/>
    <w:rsid w:val="12E6502F"/>
    <w:rsid w:val="13661AB6"/>
    <w:rsid w:val="14F6AD7E"/>
    <w:rsid w:val="15D69204"/>
    <w:rsid w:val="1715FAF7"/>
    <w:rsid w:val="18152677"/>
    <w:rsid w:val="18EB2E0E"/>
    <w:rsid w:val="195677F2"/>
    <w:rsid w:val="195D8531"/>
    <w:rsid w:val="1AA4B937"/>
    <w:rsid w:val="1AB5F40E"/>
    <w:rsid w:val="1B093EFE"/>
    <w:rsid w:val="1D24BC3C"/>
    <w:rsid w:val="1D308DE5"/>
    <w:rsid w:val="1E7BBCDB"/>
    <w:rsid w:val="1FB078FE"/>
    <w:rsid w:val="203EF460"/>
    <w:rsid w:val="206A62BE"/>
    <w:rsid w:val="217E02A1"/>
    <w:rsid w:val="21DBEE21"/>
    <w:rsid w:val="221E62E1"/>
    <w:rsid w:val="22D4E6AB"/>
    <w:rsid w:val="235E4240"/>
    <w:rsid w:val="244B9B7D"/>
    <w:rsid w:val="24721D62"/>
    <w:rsid w:val="2483EA21"/>
    <w:rsid w:val="24BA8DC7"/>
    <w:rsid w:val="250451DA"/>
    <w:rsid w:val="2590D571"/>
    <w:rsid w:val="25E76BDE"/>
    <w:rsid w:val="26384B67"/>
    <w:rsid w:val="2653D7F0"/>
    <w:rsid w:val="26AE35E4"/>
    <w:rsid w:val="26BC8261"/>
    <w:rsid w:val="2701D092"/>
    <w:rsid w:val="2770C364"/>
    <w:rsid w:val="284467C5"/>
    <w:rsid w:val="28B6A974"/>
    <w:rsid w:val="291F0CA0"/>
    <w:rsid w:val="29816758"/>
    <w:rsid w:val="29DC7F8C"/>
    <w:rsid w:val="29FEF126"/>
    <w:rsid w:val="2ABADD01"/>
    <w:rsid w:val="2AD38605"/>
    <w:rsid w:val="2B9AC187"/>
    <w:rsid w:val="2C56AD62"/>
    <w:rsid w:val="2D3691E8"/>
    <w:rsid w:val="2D71A4B9"/>
    <w:rsid w:val="2E25EAB7"/>
    <w:rsid w:val="2E435D4C"/>
    <w:rsid w:val="2E86C898"/>
    <w:rsid w:val="2F0AFABA"/>
    <w:rsid w:val="2F3449D8"/>
    <w:rsid w:val="2F8E4E24"/>
    <w:rsid w:val="2FAC86CE"/>
    <w:rsid w:val="30C1BB59"/>
    <w:rsid w:val="321FF8A7"/>
    <w:rsid w:val="339EC40F"/>
    <w:rsid w:val="34908DC9"/>
    <w:rsid w:val="34952ED7"/>
    <w:rsid w:val="34ACE078"/>
    <w:rsid w:val="34B57DA2"/>
    <w:rsid w:val="350D52C1"/>
    <w:rsid w:val="35216F02"/>
    <w:rsid w:val="357F7BE7"/>
    <w:rsid w:val="369B8A9D"/>
    <w:rsid w:val="36BD3F63"/>
    <w:rsid w:val="37CCCF99"/>
    <w:rsid w:val="37F3C551"/>
    <w:rsid w:val="38590FC4"/>
    <w:rsid w:val="38B3A4E1"/>
    <w:rsid w:val="399F78A8"/>
    <w:rsid w:val="3A7B0F5D"/>
    <w:rsid w:val="3AA4B882"/>
    <w:rsid w:val="3B04705B"/>
    <w:rsid w:val="3B622B4D"/>
    <w:rsid w:val="3BAB9B61"/>
    <w:rsid w:val="3C0A454A"/>
    <w:rsid w:val="3D4FF9CB"/>
    <w:rsid w:val="3D6760E9"/>
    <w:rsid w:val="3D80C6FD"/>
    <w:rsid w:val="3E08A18D"/>
    <w:rsid w:val="3E1C8337"/>
    <w:rsid w:val="3EBE2D98"/>
    <w:rsid w:val="3EBF5A1C"/>
    <w:rsid w:val="3F7D6214"/>
    <w:rsid w:val="40F03113"/>
    <w:rsid w:val="41027EC5"/>
    <w:rsid w:val="4166687F"/>
    <w:rsid w:val="41746335"/>
    <w:rsid w:val="41EFBDEA"/>
    <w:rsid w:val="433F59D2"/>
    <w:rsid w:val="43611239"/>
    <w:rsid w:val="4392CB3F"/>
    <w:rsid w:val="43A654D7"/>
    <w:rsid w:val="445CF836"/>
    <w:rsid w:val="44965542"/>
    <w:rsid w:val="46604B5F"/>
    <w:rsid w:val="46875269"/>
    <w:rsid w:val="4800A3B4"/>
    <w:rsid w:val="48D6C6D7"/>
    <w:rsid w:val="4A25EECA"/>
    <w:rsid w:val="4A3F1727"/>
    <w:rsid w:val="4A5C04DA"/>
    <w:rsid w:val="4AEC6E69"/>
    <w:rsid w:val="4B233060"/>
    <w:rsid w:val="4B4DF628"/>
    <w:rsid w:val="4B83B9A3"/>
    <w:rsid w:val="4BB08454"/>
    <w:rsid w:val="4BC9ACB1"/>
    <w:rsid w:val="4BE07BC3"/>
    <w:rsid w:val="4BEEC840"/>
    <w:rsid w:val="4BF7D53B"/>
    <w:rsid w:val="4C883ECA"/>
    <w:rsid w:val="4CFB35BC"/>
    <w:rsid w:val="4D294F05"/>
    <w:rsid w:val="4D4C54B5"/>
    <w:rsid w:val="4D5D8F8C"/>
    <w:rsid w:val="4E5A226D"/>
    <w:rsid w:val="4E6FE538"/>
    <w:rsid w:val="4E8AB19B"/>
    <w:rsid w:val="4EA36E7F"/>
    <w:rsid w:val="4EF95FED"/>
    <w:rsid w:val="4F428173"/>
    <w:rsid w:val="4FB0AE22"/>
    <w:rsid w:val="4FC81779"/>
    <w:rsid w:val="4FD23516"/>
    <w:rsid w:val="5189C6C4"/>
    <w:rsid w:val="519960E2"/>
    <w:rsid w:val="51A21640"/>
    <w:rsid w:val="51A8D939"/>
    <w:rsid w:val="52495BD6"/>
    <w:rsid w:val="530B9B45"/>
    <w:rsid w:val="532D9390"/>
    <w:rsid w:val="53707E40"/>
    <w:rsid w:val="540E1DB2"/>
    <w:rsid w:val="543FFC61"/>
    <w:rsid w:val="54EE6666"/>
    <w:rsid w:val="54F2FCDC"/>
    <w:rsid w:val="5512B003"/>
    <w:rsid w:val="5557669A"/>
    <w:rsid w:val="559C1101"/>
    <w:rsid w:val="55BAE028"/>
    <w:rsid w:val="55CC54F8"/>
    <w:rsid w:val="56710E6A"/>
    <w:rsid w:val="568ECD3D"/>
    <w:rsid w:val="5722E403"/>
    <w:rsid w:val="579E3079"/>
    <w:rsid w:val="58C52EDB"/>
    <w:rsid w:val="597ADCC9"/>
    <w:rsid w:val="59A8AF2C"/>
    <w:rsid w:val="59C1D789"/>
    <w:rsid w:val="5C4C0047"/>
    <w:rsid w:val="5C978FC1"/>
    <w:rsid w:val="5CFF1578"/>
    <w:rsid w:val="5D75DE58"/>
    <w:rsid w:val="5DA5D7EF"/>
    <w:rsid w:val="5DC6FE46"/>
    <w:rsid w:val="5DE5EAC0"/>
    <w:rsid w:val="5DFD8732"/>
    <w:rsid w:val="5E2A6BE5"/>
    <w:rsid w:val="5E717AFE"/>
    <w:rsid w:val="5ED7AC29"/>
    <w:rsid w:val="5F35A9E7"/>
    <w:rsid w:val="5F50FC91"/>
    <w:rsid w:val="60AA86E2"/>
    <w:rsid w:val="60B09DEC"/>
    <w:rsid w:val="60B3419E"/>
    <w:rsid w:val="60BCC7BA"/>
    <w:rsid w:val="60EAF8CA"/>
    <w:rsid w:val="618FF363"/>
    <w:rsid w:val="61A7CAAE"/>
    <w:rsid w:val="61A91BC0"/>
    <w:rsid w:val="63108438"/>
    <w:rsid w:val="635427E8"/>
    <w:rsid w:val="65480E7A"/>
    <w:rsid w:val="65CFE51C"/>
    <w:rsid w:val="65F84D23"/>
    <w:rsid w:val="6615A895"/>
    <w:rsid w:val="66CC91B4"/>
    <w:rsid w:val="675151A4"/>
    <w:rsid w:val="68356C5C"/>
    <w:rsid w:val="690F4E75"/>
    <w:rsid w:val="6922070A"/>
    <w:rsid w:val="69A95BBA"/>
    <w:rsid w:val="69DE5EAB"/>
    <w:rsid w:val="6A9C74AD"/>
    <w:rsid w:val="6B19D0B0"/>
    <w:rsid w:val="6B1B961D"/>
    <w:rsid w:val="6B2CD0F4"/>
    <w:rsid w:val="6BD0BDC7"/>
    <w:rsid w:val="6BE4C406"/>
    <w:rsid w:val="6C0B9A6A"/>
    <w:rsid w:val="6C9677A1"/>
    <w:rsid w:val="6D9AF840"/>
    <w:rsid w:val="6DF4ADED"/>
    <w:rsid w:val="6E2B834D"/>
    <w:rsid w:val="6E9C6AB4"/>
    <w:rsid w:val="6EB8F729"/>
    <w:rsid w:val="6F86070C"/>
    <w:rsid w:val="70538D07"/>
    <w:rsid w:val="70DF0B8D"/>
    <w:rsid w:val="70F0BF64"/>
    <w:rsid w:val="7173515D"/>
    <w:rsid w:val="71EF5D68"/>
    <w:rsid w:val="7299DA20"/>
    <w:rsid w:val="733D1870"/>
    <w:rsid w:val="7340B2C7"/>
    <w:rsid w:val="734BC391"/>
    <w:rsid w:val="73686ECA"/>
    <w:rsid w:val="7452260B"/>
    <w:rsid w:val="749E965C"/>
    <w:rsid w:val="7526FE2A"/>
    <w:rsid w:val="7551847A"/>
    <w:rsid w:val="75748A86"/>
    <w:rsid w:val="75A5AFB6"/>
    <w:rsid w:val="76785389"/>
    <w:rsid w:val="76A2B144"/>
    <w:rsid w:val="76AF284D"/>
    <w:rsid w:val="772CD382"/>
    <w:rsid w:val="780A86C6"/>
    <w:rsid w:val="78447E35"/>
    <w:rsid w:val="7864210B"/>
    <w:rsid w:val="7925972E"/>
    <w:rsid w:val="794B002F"/>
    <w:rsid w:val="7954885E"/>
    <w:rsid w:val="7972077F"/>
    <w:rsid w:val="79CD4A8D"/>
    <w:rsid w:val="7A767964"/>
    <w:rsid w:val="7AF4F0D6"/>
    <w:rsid w:val="7C1161E3"/>
    <w:rsid w:val="7CD577CE"/>
    <w:rsid w:val="7D1E69D1"/>
    <w:rsid w:val="7E71482F"/>
    <w:rsid w:val="7E75BC43"/>
    <w:rsid w:val="7F4902A5"/>
    <w:rsid w:val="7F513A92"/>
    <w:rsid w:val="7F55DF81"/>
    <w:rsid w:val="7F5D1D9C"/>
    <w:rsid w:val="7F853990"/>
    <w:rsid w:val="7FA4185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44A93B"/>
  <w15:chartTrackingRefBased/>
  <w15:docId w15:val="{77B24CD1-3FA2-4390-AFBC-36E9145DD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166B"/>
    <w:rPr>
      <w:rFonts w:ascii="Calibri" w:eastAsia="Calibri" w:hAnsi="Calibri" w:cs="Calibri"/>
      <w:kern w:val="0"/>
      <w:lang w:eastAsia="en-IE"/>
      <w14:ligatures w14:val="none"/>
    </w:rPr>
  </w:style>
  <w:style w:type="paragraph" w:styleId="Heading1">
    <w:name w:val="heading 1"/>
    <w:basedOn w:val="Normal"/>
    <w:next w:val="Normal"/>
    <w:link w:val="Heading1Char"/>
    <w:uiPriority w:val="9"/>
    <w:qFormat/>
    <w:rsid w:val="007216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7216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2166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2166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2166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2166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2166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2166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2166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166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72166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2166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2166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2166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216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216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216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2166B"/>
    <w:rPr>
      <w:rFonts w:eastAsiaTheme="majorEastAsia" w:cstheme="majorBidi"/>
      <w:color w:val="272727" w:themeColor="text1" w:themeTint="D8"/>
    </w:rPr>
  </w:style>
  <w:style w:type="paragraph" w:styleId="Title">
    <w:name w:val="Title"/>
    <w:basedOn w:val="Normal"/>
    <w:next w:val="Normal"/>
    <w:link w:val="TitleChar"/>
    <w:uiPriority w:val="10"/>
    <w:qFormat/>
    <w:rsid w:val="0072166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216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216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216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2166B"/>
    <w:pPr>
      <w:spacing w:before="160"/>
      <w:jc w:val="center"/>
    </w:pPr>
    <w:rPr>
      <w:i/>
      <w:iCs/>
      <w:color w:val="404040" w:themeColor="text1" w:themeTint="BF"/>
    </w:rPr>
  </w:style>
  <w:style w:type="character" w:customStyle="1" w:styleId="QuoteChar">
    <w:name w:val="Quote Char"/>
    <w:basedOn w:val="DefaultParagraphFont"/>
    <w:link w:val="Quote"/>
    <w:uiPriority w:val="29"/>
    <w:rsid w:val="0072166B"/>
    <w:rPr>
      <w:i/>
      <w:iCs/>
      <w:color w:val="404040" w:themeColor="text1" w:themeTint="BF"/>
    </w:rPr>
  </w:style>
  <w:style w:type="paragraph" w:styleId="ListParagraph">
    <w:name w:val="List Paragraph"/>
    <w:basedOn w:val="Normal"/>
    <w:uiPriority w:val="34"/>
    <w:qFormat/>
    <w:rsid w:val="0072166B"/>
    <w:pPr>
      <w:ind w:left="720"/>
      <w:contextualSpacing/>
    </w:pPr>
  </w:style>
  <w:style w:type="character" w:styleId="IntenseEmphasis">
    <w:name w:val="Intense Emphasis"/>
    <w:basedOn w:val="DefaultParagraphFont"/>
    <w:uiPriority w:val="21"/>
    <w:qFormat/>
    <w:rsid w:val="0072166B"/>
    <w:rPr>
      <w:i/>
      <w:iCs/>
      <w:color w:val="0F4761" w:themeColor="accent1" w:themeShade="BF"/>
    </w:rPr>
  </w:style>
  <w:style w:type="paragraph" w:styleId="IntenseQuote">
    <w:name w:val="Intense Quote"/>
    <w:basedOn w:val="Normal"/>
    <w:next w:val="Normal"/>
    <w:link w:val="IntenseQuoteChar"/>
    <w:uiPriority w:val="30"/>
    <w:qFormat/>
    <w:rsid w:val="007216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2166B"/>
    <w:rPr>
      <w:i/>
      <w:iCs/>
      <w:color w:val="0F4761" w:themeColor="accent1" w:themeShade="BF"/>
    </w:rPr>
  </w:style>
  <w:style w:type="character" w:styleId="IntenseReference">
    <w:name w:val="Intense Reference"/>
    <w:basedOn w:val="DefaultParagraphFont"/>
    <w:uiPriority w:val="32"/>
    <w:qFormat/>
    <w:rsid w:val="0072166B"/>
    <w:rPr>
      <w:b/>
      <w:bCs/>
      <w:smallCaps/>
      <w:color w:val="0F4761" w:themeColor="accent1" w:themeShade="BF"/>
      <w:spacing w:val="5"/>
    </w:rPr>
  </w:style>
  <w:style w:type="paragraph" w:styleId="CommentText">
    <w:name w:val="annotation text"/>
    <w:basedOn w:val="Normal"/>
    <w:link w:val="CommentTextChar"/>
    <w:uiPriority w:val="99"/>
    <w:unhideWhenUsed/>
    <w:rsid w:val="0072166B"/>
    <w:pPr>
      <w:spacing w:line="240" w:lineRule="auto"/>
    </w:pPr>
    <w:rPr>
      <w:sz w:val="20"/>
      <w:szCs w:val="20"/>
    </w:rPr>
  </w:style>
  <w:style w:type="character" w:customStyle="1" w:styleId="CommentTextChar">
    <w:name w:val="Comment Text Char"/>
    <w:basedOn w:val="DefaultParagraphFont"/>
    <w:link w:val="CommentText"/>
    <w:uiPriority w:val="99"/>
    <w:rsid w:val="0072166B"/>
    <w:rPr>
      <w:rFonts w:ascii="Calibri" w:eastAsia="Calibri" w:hAnsi="Calibri" w:cs="Calibri"/>
      <w:kern w:val="0"/>
      <w:sz w:val="20"/>
      <w:szCs w:val="20"/>
      <w:lang w:eastAsia="en-IE"/>
      <w14:ligatures w14:val="none"/>
    </w:rPr>
  </w:style>
  <w:style w:type="character" w:styleId="CommentReference">
    <w:name w:val="annotation reference"/>
    <w:basedOn w:val="DefaultParagraphFont"/>
    <w:uiPriority w:val="99"/>
    <w:semiHidden/>
    <w:unhideWhenUsed/>
    <w:rsid w:val="0072166B"/>
    <w:rPr>
      <w:sz w:val="16"/>
      <w:szCs w:val="16"/>
    </w:rPr>
  </w:style>
  <w:style w:type="paragraph" w:styleId="CommentSubject">
    <w:name w:val="annotation subject"/>
    <w:basedOn w:val="CommentText"/>
    <w:next w:val="CommentText"/>
    <w:link w:val="CommentSubjectChar"/>
    <w:uiPriority w:val="99"/>
    <w:semiHidden/>
    <w:unhideWhenUsed/>
    <w:rsid w:val="00E00B29"/>
    <w:rPr>
      <w:b/>
      <w:bCs/>
    </w:rPr>
  </w:style>
  <w:style w:type="character" w:customStyle="1" w:styleId="CommentSubjectChar">
    <w:name w:val="Comment Subject Char"/>
    <w:basedOn w:val="CommentTextChar"/>
    <w:link w:val="CommentSubject"/>
    <w:uiPriority w:val="99"/>
    <w:semiHidden/>
    <w:rsid w:val="00E00B29"/>
    <w:rPr>
      <w:rFonts w:ascii="Calibri" w:eastAsia="Calibri" w:hAnsi="Calibri" w:cs="Calibri"/>
      <w:b/>
      <w:bCs/>
      <w:kern w:val="0"/>
      <w:sz w:val="20"/>
      <w:szCs w:val="20"/>
      <w:lang w:eastAsia="en-IE"/>
      <w14:ligatures w14:val="none"/>
    </w:rPr>
  </w:style>
  <w:style w:type="character" w:styleId="Hyperlink">
    <w:name w:val="Hyperlink"/>
    <w:basedOn w:val="DefaultParagraphFont"/>
    <w:uiPriority w:val="99"/>
    <w:unhideWhenUsed/>
    <w:rsid w:val="00E00B29"/>
    <w:rPr>
      <w:color w:val="467886" w:themeColor="hyperlink"/>
      <w:u w:val="single"/>
    </w:rPr>
  </w:style>
  <w:style w:type="character" w:styleId="UnresolvedMention">
    <w:name w:val="Unresolved Mention"/>
    <w:basedOn w:val="DefaultParagraphFont"/>
    <w:uiPriority w:val="99"/>
    <w:semiHidden/>
    <w:unhideWhenUsed/>
    <w:rsid w:val="00E00B29"/>
    <w:rPr>
      <w:color w:val="605E5C"/>
      <w:shd w:val="clear" w:color="auto" w:fill="E1DFDD"/>
    </w:rPr>
  </w:style>
  <w:style w:type="paragraph" w:customStyle="1" w:styleId="pf0">
    <w:name w:val="pf0"/>
    <w:basedOn w:val="Normal"/>
    <w:rsid w:val="001D73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1D73C5"/>
    <w:rPr>
      <w:rFonts w:ascii="Segoe UI" w:hAnsi="Segoe UI" w:cs="Segoe UI" w:hint="default"/>
      <w:sz w:val="18"/>
      <w:szCs w:val="18"/>
    </w:rPr>
  </w:style>
  <w:style w:type="character" w:customStyle="1" w:styleId="cf11">
    <w:name w:val="cf11"/>
    <w:basedOn w:val="DefaultParagraphFont"/>
    <w:rsid w:val="001D73C5"/>
    <w:rPr>
      <w:rFonts w:ascii="Segoe UI" w:hAnsi="Segoe UI" w:cs="Segoe UI" w:hint="default"/>
      <w:i/>
      <w:iCs/>
      <w:sz w:val="18"/>
      <w:szCs w:val="18"/>
    </w:rPr>
  </w:style>
  <w:style w:type="character" w:customStyle="1" w:styleId="cf21">
    <w:name w:val="cf21"/>
    <w:basedOn w:val="DefaultParagraphFont"/>
    <w:rsid w:val="001D73C5"/>
    <w:rPr>
      <w:rFonts w:ascii="Segoe UI" w:hAnsi="Segoe UI" w:cs="Segoe UI" w:hint="default"/>
      <w:sz w:val="18"/>
      <w:szCs w:val="18"/>
    </w:rPr>
  </w:style>
  <w:style w:type="table" w:styleId="TableGrid">
    <w:name w:val="Table Grid"/>
    <w:basedOn w:val="TableNormal"/>
    <w:uiPriority w:val="39"/>
    <w:rsid w:val="009252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5005672">
      <w:bodyDiv w:val="1"/>
      <w:marLeft w:val="0"/>
      <w:marRight w:val="0"/>
      <w:marTop w:val="0"/>
      <w:marBottom w:val="0"/>
      <w:divBdr>
        <w:top w:val="none" w:sz="0" w:space="0" w:color="auto"/>
        <w:left w:val="none" w:sz="0" w:space="0" w:color="auto"/>
        <w:bottom w:val="none" w:sz="0" w:space="0" w:color="auto"/>
        <w:right w:val="none" w:sz="0" w:space="0" w:color="auto"/>
      </w:divBdr>
    </w:div>
    <w:div w:id="192475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1037/tau.2016.09.04" TargetMode="External"/><Relationship Id="rId3" Type="http://schemas.openxmlformats.org/officeDocument/2006/relationships/webSettings" Target="webSettings.xml"/><Relationship Id="rId7" Type="http://schemas.openxmlformats.org/officeDocument/2006/relationships/hyperlink" Target="https://www.stonewall.org.uk/list-lgbtq-term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16/j.ajog.2023.01.011" TargetMode="External"/><Relationship Id="rId11" Type="http://schemas.openxmlformats.org/officeDocument/2006/relationships/theme" Target="theme/theme1.xml"/><Relationship Id="rId5" Type="http://schemas.openxmlformats.org/officeDocument/2006/relationships/hyperlink" Target="https://doi.org/10.1097/ANS.0000000000000256" TargetMode="External"/><Relationship Id="rId10" Type="http://schemas.openxmlformats.org/officeDocument/2006/relationships/fontTable" Target="fontTable.xml"/><Relationship Id="rId4" Type="http://schemas.openxmlformats.org/officeDocument/2006/relationships/hyperlink" Target="https://www.stonewall.org.uk/list-lgbtq-terms" TargetMode="External"/><Relationship Id="rId9" Type="http://schemas.openxmlformats.org/officeDocument/2006/relationships/hyperlink" Target="https://doi.org/10.1002/anr3.1204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140</TotalTime>
  <Pages>5</Pages>
  <Words>1983</Words>
  <Characters>11309</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Gilmore</dc:creator>
  <cp:keywords/>
  <dc:description/>
  <cp:lastModifiedBy>John Gilmore</cp:lastModifiedBy>
  <cp:revision>12</cp:revision>
  <dcterms:created xsi:type="dcterms:W3CDTF">2024-01-22T22:05:00Z</dcterms:created>
  <dcterms:modified xsi:type="dcterms:W3CDTF">2024-02-01T14:43:00Z</dcterms:modified>
</cp:coreProperties>
</file>