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F30660" w14:textId="77777777" w:rsidR="00A366F2" w:rsidRDefault="00A366F2" w:rsidP="00A366F2">
      <w:pPr>
        <w:spacing w:line="480" w:lineRule="auto"/>
        <w:jc w:val="center"/>
      </w:pPr>
      <w:r>
        <w:rPr>
          <w:b/>
          <w:bCs/>
        </w:rPr>
        <w:t>Should history change the way we think about p</w:t>
      </w:r>
      <w:r w:rsidRPr="0055314F">
        <w:rPr>
          <w:b/>
          <w:bCs/>
        </w:rPr>
        <w:t>opulism</w:t>
      </w:r>
      <w:r>
        <w:rPr>
          <w:b/>
          <w:bCs/>
        </w:rPr>
        <w:t>?</w:t>
      </w:r>
    </w:p>
    <w:p w14:paraId="4F488217" w14:textId="77777777" w:rsidR="00A366F2" w:rsidRPr="0055314F" w:rsidRDefault="00A366F2" w:rsidP="00A366F2">
      <w:pPr>
        <w:spacing w:line="480" w:lineRule="auto"/>
        <w:jc w:val="center"/>
      </w:pPr>
    </w:p>
    <w:p w14:paraId="2BB397CE" w14:textId="77777777" w:rsidR="00A366F2" w:rsidRPr="0055314F" w:rsidRDefault="00A366F2" w:rsidP="00A366F2">
      <w:pPr>
        <w:spacing w:line="480" w:lineRule="auto"/>
        <w:jc w:val="center"/>
      </w:pPr>
      <w:r w:rsidRPr="0055314F">
        <w:t>Alan de Bromhead (</w:t>
      </w:r>
      <w:r>
        <w:t xml:space="preserve">University College Dublin; </w:t>
      </w:r>
      <w:r w:rsidRPr="00190985">
        <w:t>alan.debromhead@ucd.ie</w:t>
      </w:r>
      <w:r w:rsidRPr="0055314F">
        <w:t>)</w:t>
      </w:r>
    </w:p>
    <w:p w14:paraId="23D37F72" w14:textId="77777777" w:rsidR="00A366F2" w:rsidRPr="00EB791B" w:rsidRDefault="00A366F2" w:rsidP="00A366F2">
      <w:pPr>
        <w:spacing w:line="480" w:lineRule="auto"/>
        <w:jc w:val="center"/>
        <w:rPr>
          <w:lang w:val="da-DK"/>
        </w:rPr>
      </w:pPr>
      <w:r w:rsidRPr="00EB791B">
        <w:rPr>
          <w:lang w:val="da-DK"/>
        </w:rPr>
        <w:t>and</w:t>
      </w:r>
    </w:p>
    <w:p w14:paraId="03CD0871" w14:textId="77777777" w:rsidR="00A366F2" w:rsidRPr="00EB791B" w:rsidRDefault="00A366F2" w:rsidP="00A366F2">
      <w:pPr>
        <w:spacing w:line="480" w:lineRule="auto"/>
        <w:jc w:val="center"/>
        <w:rPr>
          <w:lang w:val="da-DK"/>
        </w:rPr>
      </w:pPr>
      <w:r w:rsidRPr="00EB791B">
        <w:rPr>
          <w:lang w:val="da-DK"/>
        </w:rPr>
        <w:t>Kevin Hjortshøj O’Rourke (NYU Abu Dhabi</w:t>
      </w:r>
      <w:r>
        <w:rPr>
          <w:lang w:val="da-DK"/>
        </w:rPr>
        <w:t>; kevin.orourke@nyu.edu</w:t>
      </w:r>
      <w:r w:rsidRPr="00EB791B">
        <w:rPr>
          <w:lang w:val="da-DK"/>
        </w:rPr>
        <w:t>)</w:t>
      </w:r>
    </w:p>
    <w:p w14:paraId="6BC98A39" w14:textId="77777777" w:rsidR="00A366F2" w:rsidRPr="0055314F" w:rsidRDefault="00A366F2" w:rsidP="00A366F2">
      <w:pPr>
        <w:spacing w:line="480" w:lineRule="auto"/>
        <w:jc w:val="center"/>
      </w:pPr>
    </w:p>
    <w:p w14:paraId="2DC8AF3C" w14:textId="77777777" w:rsidR="00A366F2" w:rsidRPr="00C61EED" w:rsidRDefault="00A366F2" w:rsidP="00A366F2">
      <w:pPr>
        <w:spacing w:line="480" w:lineRule="auto"/>
        <w:rPr>
          <w:b/>
          <w:bCs/>
        </w:rPr>
      </w:pPr>
      <w:r w:rsidRPr="00C61EED">
        <w:rPr>
          <w:b/>
          <w:bCs/>
        </w:rPr>
        <w:t>Abstract</w:t>
      </w:r>
    </w:p>
    <w:p w14:paraId="06F75476" w14:textId="77777777" w:rsidR="00A366F2" w:rsidRPr="00C61EED" w:rsidRDefault="00A366F2" w:rsidP="00A366F2">
      <w:pPr>
        <w:spacing w:line="480" w:lineRule="auto"/>
      </w:pPr>
      <w:r w:rsidRPr="00C61EED">
        <w:rPr>
          <w:lang w:val="en-IE"/>
        </w:rPr>
        <w:t xml:space="preserve">This paper asks whether history should change the way in which economists and economic historians think about populism. We use </w:t>
      </w:r>
      <w:r w:rsidRPr="00C61EED">
        <w:t xml:space="preserve">Müller’s definition, according to which populism is ‘an exclusionary form of identity politics, which is why it poses a threat to democracy’. </w:t>
      </w:r>
      <w:r>
        <w:t>We</w:t>
      </w:r>
      <w:r w:rsidRPr="00C61EED">
        <w:t xml:space="preserve"> </w:t>
      </w:r>
      <w:r w:rsidRPr="00C61EED">
        <w:rPr>
          <w:lang w:val="en-IE"/>
        </w:rPr>
        <w:t>make three historical arguments. First, late 19</w:t>
      </w:r>
      <w:r w:rsidRPr="00C61EED">
        <w:rPr>
          <w:vertAlign w:val="superscript"/>
          <w:lang w:val="en-IE"/>
        </w:rPr>
        <w:t>th</w:t>
      </w:r>
      <w:r w:rsidRPr="00C61EED">
        <w:rPr>
          <w:lang w:val="en-IE"/>
        </w:rPr>
        <w:t xml:space="preserve"> century </w:t>
      </w:r>
      <w:r>
        <w:rPr>
          <w:lang w:val="en-IE"/>
        </w:rPr>
        <w:t>US</w:t>
      </w:r>
      <w:r w:rsidRPr="00C61EED">
        <w:rPr>
          <w:lang w:val="en-IE"/>
        </w:rPr>
        <w:t xml:space="preserve"> Populists were not populist. Second, there is no necessary relationship between populism and anti-globalization sentiment. Third, economists have sometimes been on the wrong side of important policy debates involving opponents rightly or wrongly described as populist. History </w:t>
      </w:r>
      <w:r w:rsidRPr="00C61EED">
        <w:t>encourage</w:t>
      </w:r>
      <w:r>
        <w:t>s</w:t>
      </w:r>
      <w:r w:rsidRPr="00C61EED">
        <w:t xml:space="preserve"> </w:t>
      </w:r>
      <w:r>
        <w:t>us</w:t>
      </w:r>
      <w:r w:rsidRPr="00C61EED">
        <w:t xml:space="preserve"> to avoid an overly simplistic view of populism and its correlates.</w:t>
      </w:r>
    </w:p>
    <w:p w14:paraId="596FE72A" w14:textId="77777777" w:rsidR="00A366F2" w:rsidRDefault="00A366F2" w:rsidP="00A366F2">
      <w:pPr>
        <w:spacing w:line="480" w:lineRule="auto"/>
      </w:pPr>
    </w:p>
    <w:p w14:paraId="35042E38" w14:textId="77777777" w:rsidR="00A366F2" w:rsidRDefault="00A366F2" w:rsidP="00A366F2">
      <w:pPr>
        <w:spacing w:line="480" w:lineRule="auto"/>
      </w:pPr>
      <w:r>
        <w:t>Keywords: populism; globalization; economists; history. JEL codes: D72, N40, N70</w:t>
      </w:r>
    </w:p>
    <w:p w14:paraId="7C6DECC3" w14:textId="77777777" w:rsidR="00A366F2" w:rsidRDefault="00A366F2" w:rsidP="00A366F2">
      <w:pPr>
        <w:spacing w:line="480" w:lineRule="auto"/>
      </w:pPr>
    </w:p>
    <w:p w14:paraId="2020ED8D" w14:textId="77777777" w:rsidR="00A366F2" w:rsidRPr="0055314F" w:rsidRDefault="00A366F2" w:rsidP="00A366F2">
      <w:pPr>
        <w:spacing w:line="480" w:lineRule="auto"/>
      </w:pPr>
      <w:r>
        <w:t>Acknowledgments</w:t>
      </w:r>
    </w:p>
    <w:p w14:paraId="2A4605AD" w14:textId="77777777" w:rsidR="00A366F2" w:rsidRDefault="00A366F2" w:rsidP="00A366F2">
      <w:pPr>
        <w:spacing w:line="480" w:lineRule="auto"/>
        <w:jc w:val="both"/>
      </w:pPr>
      <w:r w:rsidRPr="0055314F">
        <w:t xml:space="preserve">We are very grateful to </w:t>
      </w:r>
      <w:r>
        <w:t xml:space="preserve">Bob Allen, Rosemary </w:t>
      </w:r>
      <w:r>
        <w:rPr>
          <w:bCs/>
        </w:rPr>
        <w:t xml:space="preserve">Byrne, Barry </w:t>
      </w:r>
      <w:proofErr w:type="spellStart"/>
      <w:r>
        <w:rPr>
          <w:bCs/>
        </w:rPr>
        <w:t>Eichengreen</w:t>
      </w:r>
      <w:proofErr w:type="spellEnd"/>
      <w:r>
        <w:rPr>
          <w:bCs/>
        </w:rPr>
        <w:t xml:space="preserve">, </w:t>
      </w:r>
      <w:r w:rsidRPr="0055314F">
        <w:t xml:space="preserve">Ingrid Henriksen, Jeff Jensen, </w:t>
      </w:r>
      <w:r>
        <w:t xml:space="preserve">Morgan Kelly, Stephanie McCurry, </w:t>
      </w:r>
      <w:r w:rsidRPr="0055314F">
        <w:t xml:space="preserve">Abdul Noury, Avner Offer, </w:t>
      </w:r>
      <w:r>
        <w:t xml:space="preserve">Cormac Ó </w:t>
      </w:r>
      <w:proofErr w:type="spellStart"/>
      <w:r>
        <w:t>Gráda</w:t>
      </w:r>
      <w:proofErr w:type="spellEnd"/>
      <w:r>
        <w:t xml:space="preserve">, </w:t>
      </w:r>
      <w:r w:rsidRPr="0055314F">
        <w:t xml:space="preserve">Giuliana </w:t>
      </w:r>
      <w:proofErr w:type="spellStart"/>
      <w:r w:rsidRPr="0055314F">
        <w:t>Pardelli</w:t>
      </w:r>
      <w:proofErr w:type="spellEnd"/>
      <w:r w:rsidRPr="0055314F">
        <w:t xml:space="preserve">, Adam Ramey, </w:t>
      </w:r>
      <w:r>
        <w:t xml:space="preserve">David Rieff, Dani Rodrik, </w:t>
      </w:r>
      <w:r w:rsidRPr="0055314F">
        <w:t>Paul Sharp, John Turner</w:t>
      </w:r>
      <w:r>
        <w:t>, our editor Tirthankar Roy, and two anonymous referees,</w:t>
      </w:r>
      <w:r w:rsidRPr="0055314F">
        <w:t xml:space="preserve"> for their advice and encouragement. </w:t>
      </w:r>
      <w:r>
        <w:t xml:space="preserve">We also thank the NYUAD Social Science Faculty for financial support. </w:t>
      </w:r>
      <w:r w:rsidRPr="0055314F">
        <w:t>The usual disclaimer applies.</w:t>
      </w:r>
    </w:p>
    <w:p w14:paraId="20D27D85" w14:textId="31A1C659" w:rsidR="00DE36C6" w:rsidRPr="0055314F" w:rsidRDefault="006E6371" w:rsidP="00AA0ABD">
      <w:pPr>
        <w:spacing w:line="480" w:lineRule="auto"/>
        <w:jc w:val="both"/>
      </w:pPr>
      <w:r w:rsidRPr="0055314F">
        <w:lastRenderedPageBreak/>
        <w:t xml:space="preserve">The literature on populism has exploded </w:t>
      </w:r>
      <w:r w:rsidR="009F4171">
        <w:t>since 2016</w:t>
      </w:r>
      <w:r w:rsidR="00232504">
        <w:t xml:space="preserve">, not </w:t>
      </w:r>
      <w:r w:rsidR="00DA2160">
        <w:t>just</w:t>
      </w:r>
      <w:r w:rsidR="00232504">
        <w:t xml:space="preserve"> in political science but in economics</w:t>
      </w:r>
      <w:r w:rsidRPr="0055314F">
        <w:t xml:space="preserve">. </w:t>
      </w:r>
      <w:r w:rsidR="009F4171">
        <w:t xml:space="preserve">Scholars have explored the economic and cultural roots of populism, </w:t>
      </w:r>
      <w:r w:rsidR="00960166">
        <w:t xml:space="preserve">including </w:t>
      </w:r>
      <w:r w:rsidR="009F4171">
        <w:t>the role of the internet and social media</w:t>
      </w:r>
      <w:r w:rsidR="00960166">
        <w:t>, as well as its economic consequences</w:t>
      </w:r>
      <w:r w:rsidR="009F4171">
        <w:t xml:space="preserve">. </w:t>
      </w:r>
      <w:r w:rsidRPr="0055314F">
        <w:t xml:space="preserve">What can economic history contribute to </w:t>
      </w:r>
      <w:r w:rsidR="009F4171">
        <w:t>the debate</w:t>
      </w:r>
      <w:r w:rsidRPr="0055314F">
        <w:t xml:space="preserve">? </w:t>
      </w:r>
      <w:r w:rsidR="0071619A" w:rsidRPr="0055314F">
        <w:t xml:space="preserve">This </w:t>
      </w:r>
      <w:r w:rsidR="00B75536">
        <w:t>is not</w:t>
      </w:r>
      <w:r w:rsidR="0071619A" w:rsidRPr="0055314F">
        <w:t xml:space="preserve"> a comprehensive </w:t>
      </w:r>
      <w:r w:rsidR="007742EA">
        <w:t>overview</w:t>
      </w:r>
      <w:r w:rsidR="0071619A" w:rsidRPr="0055314F">
        <w:t xml:space="preserve"> of the economic history of populism</w:t>
      </w:r>
      <w:r w:rsidR="001859F2">
        <w:t>: excellent surveys written by economists and economic historians already exist, and a new one would r</w:t>
      </w:r>
      <w:r w:rsidR="0071619A" w:rsidRPr="0055314F">
        <w:t>equire a far lengthier treatment than possible here.</w:t>
      </w:r>
      <w:r w:rsidR="007B6350">
        <w:rPr>
          <w:rStyle w:val="FootnoteReference"/>
        </w:rPr>
        <w:footnoteReference w:id="1"/>
      </w:r>
      <w:r w:rsidR="0071619A" w:rsidRPr="0055314F">
        <w:t xml:space="preserve"> Instead,</w:t>
      </w:r>
      <w:r w:rsidR="008B71D1">
        <w:t xml:space="preserve"> our purpose is narrower:</w:t>
      </w:r>
      <w:r w:rsidR="0071619A" w:rsidRPr="0055314F">
        <w:t xml:space="preserve"> </w:t>
      </w:r>
      <w:r w:rsidR="008B71D1">
        <w:t xml:space="preserve">to </w:t>
      </w:r>
      <w:r w:rsidR="00532437">
        <w:t xml:space="preserve">argue that history </w:t>
      </w:r>
      <w:r w:rsidR="00AA0ABD">
        <w:t>should make us more careful about how we use the word “populis</w:t>
      </w:r>
      <w:r w:rsidR="00A15015">
        <w:t>m</w:t>
      </w:r>
      <w:r w:rsidR="00AA0ABD">
        <w:t xml:space="preserve">”, and more cautious about </w:t>
      </w:r>
      <w:r w:rsidR="00532437">
        <w:t xml:space="preserve">generalizations regarding its economic </w:t>
      </w:r>
      <w:r w:rsidR="009149D0">
        <w:t xml:space="preserve">and social </w:t>
      </w:r>
      <w:r w:rsidR="00532437">
        <w:t xml:space="preserve">correlates. </w:t>
      </w:r>
      <w:r w:rsidR="008B71D1">
        <w:t xml:space="preserve">Should all political movements described as “populist” be regarded as such? Do </w:t>
      </w:r>
      <w:r w:rsidR="009542AB">
        <w:t>similar</w:t>
      </w:r>
      <w:r w:rsidR="008B71D1">
        <w:t xml:space="preserve"> people support populism</w:t>
      </w:r>
      <w:r w:rsidR="001B6644">
        <w:t>, properly defined,</w:t>
      </w:r>
      <w:r w:rsidR="008B71D1">
        <w:t xml:space="preserve"> </w:t>
      </w:r>
      <w:r w:rsidR="00190051">
        <w:t xml:space="preserve">in different countries and </w:t>
      </w:r>
      <w:r w:rsidR="008B71D1">
        <w:t xml:space="preserve">over time? Has </w:t>
      </w:r>
      <w:r w:rsidR="00532437">
        <w:t xml:space="preserve">populism always been associated with </w:t>
      </w:r>
      <w:r w:rsidRPr="0055314F">
        <w:t xml:space="preserve">protectionism and anti-globalization sentiment more generally, </w:t>
      </w:r>
      <w:r w:rsidR="00532437">
        <w:t>or</w:t>
      </w:r>
      <w:r w:rsidRPr="0055314F">
        <w:t xml:space="preserve"> </w:t>
      </w:r>
      <w:r w:rsidR="00532437">
        <w:t xml:space="preserve">with </w:t>
      </w:r>
      <w:r w:rsidRPr="0055314F">
        <w:t>the advocacy of simplistic and destructive economic policies</w:t>
      </w:r>
      <w:r w:rsidR="00532437">
        <w:t>?</w:t>
      </w:r>
      <w:r w:rsidR="00483A5A" w:rsidRPr="00483A5A">
        <w:rPr>
          <w:rStyle w:val="FootnoteReference"/>
        </w:rPr>
        <w:t xml:space="preserve"> </w:t>
      </w:r>
      <w:r w:rsidR="00483A5A">
        <w:rPr>
          <w:rStyle w:val="FootnoteReference"/>
        </w:rPr>
        <w:footnoteReference w:id="2"/>
      </w:r>
      <w:r w:rsidR="00483A5A">
        <w:t xml:space="preserve"> </w:t>
      </w:r>
      <w:r w:rsidR="00532437">
        <w:t xml:space="preserve"> </w:t>
      </w:r>
      <w:r w:rsidR="007D23ED">
        <w:t>Have economic experts generally had the better of their arguments with opponents</w:t>
      </w:r>
      <w:r w:rsidR="001B6644">
        <w:t xml:space="preserve"> described, wrongly or rightly, as “populist”</w:t>
      </w:r>
      <w:r w:rsidR="007D23ED">
        <w:t xml:space="preserve">? </w:t>
      </w:r>
      <w:r w:rsidRPr="0055314F">
        <w:t xml:space="preserve">Or </w:t>
      </w:r>
      <w:r w:rsidR="00D2553C" w:rsidRPr="0055314F">
        <w:t xml:space="preserve">is </w:t>
      </w:r>
      <w:r w:rsidR="007951E0" w:rsidRPr="0055314F">
        <w:t>the historical record</w:t>
      </w:r>
      <w:r w:rsidR="00D2553C" w:rsidRPr="0055314F">
        <w:t xml:space="preserve"> more complicated than that?</w:t>
      </w:r>
      <w:r w:rsidR="00172EC3">
        <w:t xml:space="preserve"> </w:t>
      </w:r>
      <w:r w:rsidR="00D42932" w:rsidRPr="0055314F">
        <w:t xml:space="preserve">And what, if anything, </w:t>
      </w:r>
      <w:r w:rsidR="009149D0">
        <w:t xml:space="preserve">does this imply about how we </w:t>
      </w:r>
      <w:r w:rsidR="00D42932" w:rsidRPr="0055314F">
        <w:t xml:space="preserve">should </w:t>
      </w:r>
      <w:r w:rsidR="009149D0">
        <w:t>think</w:t>
      </w:r>
      <w:r w:rsidR="00D42932" w:rsidRPr="0055314F">
        <w:t xml:space="preserve"> about </w:t>
      </w:r>
      <w:r w:rsidR="00C17E5A">
        <w:t>the phenomenon</w:t>
      </w:r>
      <w:r w:rsidR="0028666C">
        <w:t xml:space="preserve"> more generally</w:t>
      </w:r>
      <w:r w:rsidR="00D42932" w:rsidRPr="0055314F">
        <w:t>?</w:t>
      </w:r>
    </w:p>
    <w:p w14:paraId="1F4BBC3C" w14:textId="37811DCB" w:rsidR="007951E0" w:rsidRPr="0055314F" w:rsidRDefault="007951E0" w:rsidP="006E7F7E">
      <w:pPr>
        <w:spacing w:line="480" w:lineRule="auto"/>
        <w:jc w:val="both"/>
      </w:pPr>
    </w:p>
    <w:p w14:paraId="7AA7E412" w14:textId="6C3E3834" w:rsidR="00752CB2" w:rsidRPr="0055314F" w:rsidRDefault="007951E0" w:rsidP="006E7F7E">
      <w:pPr>
        <w:spacing w:line="480" w:lineRule="auto"/>
        <w:jc w:val="both"/>
      </w:pPr>
      <w:r w:rsidRPr="0055314F">
        <w:t>The answer</w:t>
      </w:r>
      <w:r w:rsidR="00A91589" w:rsidRPr="0055314F">
        <w:t>s</w:t>
      </w:r>
      <w:r w:rsidRPr="0055314F">
        <w:t xml:space="preserve"> depend on how you define populism, and </w:t>
      </w:r>
      <w:r w:rsidR="00AE4694" w:rsidRPr="0055314F">
        <w:t>how you do that</w:t>
      </w:r>
      <w:r w:rsidRPr="0055314F">
        <w:t xml:space="preserve"> has changed over time. </w:t>
      </w:r>
      <w:r w:rsidR="006F49AF" w:rsidRPr="0055314F">
        <w:t xml:space="preserve">In the 1970s Jimmy Carter described himself as a populist, saying that this meant promoting policies arising </w:t>
      </w:r>
      <w:r w:rsidR="009C546B" w:rsidRPr="0055314F">
        <w:t>‘</w:t>
      </w:r>
      <w:r w:rsidR="006F49AF" w:rsidRPr="0055314F">
        <w:t>directly from the concerns and the yearnings of the people themselves, which is my own definition of populism</w:t>
      </w:r>
      <w:r w:rsidR="009C546B" w:rsidRPr="0055314F">
        <w:t>’</w:t>
      </w:r>
      <w:r w:rsidR="006F49AF" w:rsidRPr="0055314F">
        <w:t>.</w:t>
      </w:r>
      <w:r w:rsidR="007B6350">
        <w:rPr>
          <w:rStyle w:val="FootnoteReference"/>
        </w:rPr>
        <w:footnoteReference w:id="3"/>
      </w:r>
      <w:r w:rsidR="006F49AF" w:rsidRPr="0055314F">
        <w:t xml:space="preserve"> In using the term he was </w:t>
      </w:r>
      <w:r w:rsidR="00A346D0" w:rsidRPr="0055314F">
        <w:t xml:space="preserve">evoking the </w:t>
      </w:r>
      <w:r w:rsidR="00A346D0" w:rsidRPr="0055314F">
        <w:lastRenderedPageBreak/>
        <w:t>American Populist tradition of the late 19</w:t>
      </w:r>
      <w:r w:rsidR="00A346D0" w:rsidRPr="0055314F">
        <w:rPr>
          <w:vertAlign w:val="superscript"/>
        </w:rPr>
        <w:t>th</w:t>
      </w:r>
      <w:r w:rsidR="00A346D0" w:rsidRPr="0055314F">
        <w:t xml:space="preserve"> century, and </w:t>
      </w:r>
      <w:r w:rsidR="009542AB">
        <w:t xml:space="preserve">he </w:t>
      </w:r>
      <w:r w:rsidR="00A346D0" w:rsidRPr="0055314F">
        <w:t>presumably hop</w:t>
      </w:r>
      <w:r w:rsidR="00AE4694" w:rsidRPr="0055314F">
        <w:t>ed</w:t>
      </w:r>
      <w:r w:rsidR="00A346D0" w:rsidRPr="0055314F">
        <w:t xml:space="preserve"> to benefit politically from doing so.</w:t>
      </w:r>
      <w:r w:rsidR="003C2D89" w:rsidRPr="0055314F">
        <w:t xml:space="preserve"> (In what follows, we will capitalize “Populist” and “Populism” when referring to late 19</w:t>
      </w:r>
      <w:r w:rsidR="003C2D89" w:rsidRPr="00D0620C">
        <w:rPr>
          <w:vertAlign w:val="superscript"/>
        </w:rPr>
        <w:t>th</w:t>
      </w:r>
      <w:r w:rsidR="003C2D89" w:rsidRPr="0055314F">
        <w:t xml:space="preserve"> century American Populism; we will use the lower case otherwise.)</w:t>
      </w:r>
      <w:r w:rsidR="006D1956" w:rsidRPr="0055314F">
        <w:t xml:space="preserve"> </w:t>
      </w:r>
    </w:p>
    <w:p w14:paraId="20274784" w14:textId="77777777" w:rsidR="00752CB2" w:rsidRPr="0055314F" w:rsidRDefault="00752CB2" w:rsidP="006E7F7E">
      <w:pPr>
        <w:spacing w:line="480" w:lineRule="auto"/>
        <w:jc w:val="both"/>
      </w:pPr>
    </w:p>
    <w:p w14:paraId="01D29BB5" w14:textId="15E57E34" w:rsidR="00AE4694" w:rsidRPr="0055314F" w:rsidRDefault="00A346D0" w:rsidP="006E7F7E">
      <w:pPr>
        <w:spacing w:line="480" w:lineRule="auto"/>
        <w:jc w:val="both"/>
      </w:pPr>
      <w:r w:rsidRPr="0055314F">
        <w:t xml:space="preserve">Both at the time and subsequently, </w:t>
      </w:r>
      <w:r w:rsidR="00AE4694" w:rsidRPr="0055314F">
        <w:t xml:space="preserve">however, </w:t>
      </w:r>
      <w:r w:rsidRPr="0055314F">
        <w:t xml:space="preserve">historians of American Populism denied that Carter was a </w:t>
      </w:r>
      <w:r w:rsidR="00DD3739" w:rsidRPr="0055314F">
        <w:t>p</w:t>
      </w:r>
      <w:r w:rsidRPr="0055314F">
        <w:t>opulist</w:t>
      </w:r>
      <w:r w:rsidR="00AE4694" w:rsidRPr="0055314F">
        <w:t>. According to Lawrence Goodwyn,</w:t>
      </w:r>
    </w:p>
    <w:p w14:paraId="73EBC91C" w14:textId="77777777" w:rsidR="00AE4694" w:rsidRPr="0055314F" w:rsidRDefault="00AE4694" w:rsidP="006E7F7E">
      <w:pPr>
        <w:spacing w:line="480" w:lineRule="auto"/>
        <w:jc w:val="both"/>
      </w:pPr>
    </w:p>
    <w:p w14:paraId="4A3D18A6" w14:textId="422F4371" w:rsidR="00AE4694" w:rsidRPr="0055314F" w:rsidRDefault="00AE4694" w:rsidP="006E7F7E">
      <w:pPr>
        <w:spacing w:line="480" w:lineRule="auto"/>
        <w:ind w:left="284" w:right="284"/>
        <w:jc w:val="both"/>
      </w:pPr>
      <w:r w:rsidRPr="0055314F">
        <w:t>Populism represented a critical analysis of the particular structure of finance capitalism at a time when the captains of industry and finance were in the process of defining the future ground rules for social, economic and political conduct of 20th‐century Americans. Populists regarded these ground rules not only as inherently undemocratic and exploitive, but corrosively restrictive of popular democracy itself. They dared to assert their own sense of autonomy and self‐respect, their own democratic analysis of the world they lived in, their own vision of a society where people rather than corporate combinations determined the rules of civic dialogue.</w:t>
      </w:r>
      <w:r w:rsidRPr="0055314F">
        <w:rPr>
          <w:rStyle w:val="FootnoteReference"/>
        </w:rPr>
        <w:footnoteReference w:id="4"/>
      </w:r>
    </w:p>
    <w:p w14:paraId="02D221B9" w14:textId="52647825" w:rsidR="00AE4694" w:rsidRPr="0055314F" w:rsidRDefault="00AE4694" w:rsidP="006E7F7E">
      <w:pPr>
        <w:spacing w:line="480" w:lineRule="auto"/>
        <w:jc w:val="both"/>
      </w:pPr>
    </w:p>
    <w:p w14:paraId="7361F749" w14:textId="08A9827F" w:rsidR="00AE4694" w:rsidRPr="0055314F" w:rsidRDefault="00AE4694" w:rsidP="006E7F7E">
      <w:pPr>
        <w:spacing w:line="480" w:lineRule="auto"/>
        <w:jc w:val="both"/>
      </w:pPr>
      <w:r w:rsidRPr="0055314F">
        <w:t xml:space="preserve">In Goodwyn’s opinion, it followed from this definition that Carter was no </w:t>
      </w:r>
      <w:r w:rsidR="00DD3739" w:rsidRPr="0055314F">
        <w:t>p</w:t>
      </w:r>
      <w:r w:rsidRPr="0055314F">
        <w:t>opulist. And today Carter would not be regarded as a populist either, but for very different reasons.</w:t>
      </w:r>
      <w:r w:rsidR="00DD3739" w:rsidRPr="0055314F">
        <w:t xml:space="preserve"> </w:t>
      </w:r>
      <w:r w:rsidR="00E2720F">
        <w:t xml:space="preserve">When citizens, commentators, and scholars worry about the consequences of populism for liberal democracy today, they point </w:t>
      </w:r>
      <w:r w:rsidR="00DD3739" w:rsidRPr="0055314F">
        <w:t>to ex</w:t>
      </w:r>
      <w:r w:rsidR="002D389E" w:rsidRPr="0055314F">
        <w:t>a</w:t>
      </w:r>
      <w:r w:rsidR="00DD3739" w:rsidRPr="0055314F">
        <w:t>mpl</w:t>
      </w:r>
      <w:r w:rsidR="00752CB2" w:rsidRPr="0055314F">
        <w:t>e</w:t>
      </w:r>
      <w:r w:rsidR="00DD3739" w:rsidRPr="0055314F">
        <w:t xml:space="preserve">s such as </w:t>
      </w:r>
      <w:r w:rsidR="00532437">
        <w:t xml:space="preserve">Nigel Farage in Britain, </w:t>
      </w:r>
      <w:r w:rsidR="00E2720F">
        <w:t xml:space="preserve">Victor Orbán in </w:t>
      </w:r>
      <w:r w:rsidR="00E2720F">
        <w:lastRenderedPageBreak/>
        <w:t xml:space="preserve">Hungary, </w:t>
      </w:r>
      <w:r w:rsidR="00DD3739" w:rsidRPr="0055314F">
        <w:t>Donald Trump in the United States, Narendra Modi in India, or Marine Le Pen in France</w:t>
      </w:r>
      <w:r w:rsidR="00DE72FA">
        <w:t>.</w:t>
      </w:r>
      <w:r w:rsidR="00DD3739" w:rsidRPr="0055314F">
        <w:t xml:space="preserve"> Jimmy Carter hardly belongs in such company.</w:t>
      </w:r>
    </w:p>
    <w:p w14:paraId="0CEA41F0" w14:textId="11F05228" w:rsidR="0049733E" w:rsidRPr="0055314F" w:rsidRDefault="0049733E" w:rsidP="00571D00">
      <w:pPr>
        <w:spacing w:line="480" w:lineRule="auto"/>
      </w:pPr>
    </w:p>
    <w:p w14:paraId="4B8C8453" w14:textId="42CC38CC" w:rsidR="0049733E" w:rsidRPr="0055314F" w:rsidRDefault="0049733E" w:rsidP="003E2FEC">
      <w:pPr>
        <w:spacing w:line="480" w:lineRule="auto"/>
        <w:jc w:val="both"/>
      </w:pPr>
      <w:r w:rsidRPr="0055314F">
        <w:t xml:space="preserve">Populism is defined by </w:t>
      </w:r>
      <w:r w:rsidR="00752CB2" w:rsidRPr="0055314F">
        <w:t>the recent political science literature on the subject</w:t>
      </w:r>
      <w:r w:rsidRPr="0055314F">
        <w:t xml:space="preserve"> in a variety of ways. Perhaps the most cited definition is that of Mudde and Kaltwasser, according to whom populism is a </w:t>
      </w:r>
      <w:r w:rsidR="00A91589" w:rsidRPr="0055314F">
        <w:t>‘</w:t>
      </w:r>
      <w:r w:rsidRPr="0055314F">
        <w:t>thin-</w:t>
      </w:r>
      <w:proofErr w:type="spellStart"/>
      <w:r w:rsidRPr="0055314F">
        <w:t>centered</w:t>
      </w:r>
      <w:proofErr w:type="spellEnd"/>
      <w:r w:rsidRPr="0055314F">
        <w:t xml:space="preserve"> ideology that considers society to be ultimately separated into two homogenous and antagonistic camps, “the pure people” versus “the corrupt elite,” argu</w:t>
      </w:r>
      <w:r w:rsidR="00A91589" w:rsidRPr="0055314F">
        <w:t>ing</w:t>
      </w:r>
      <w:r w:rsidRPr="0055314F">
        <w:t xml:space="preserve"> that politics should be an expression of the </w:t>
      </w:r>
      <w:proofErr w:type="spellStart"/>
      <w:r w:rsidRPr="0055314F">
        <w:t>volonté</w:t>
      </w:r>
      <w:proofErr w:type="spellEnd"/>
      <w:r w:rsidRPr="0055314F">
        <w:t xml:space="preserve"> </w:t>
      </w:r>
      <w:proofErr w:type="spellStart"/>
      <w:r w:rsidRPr="0055314F">
        <w:t>générale</w:t>
      </w:r>
      <w:proofErr w:type="spellEnd"/>
      <w:r w:rsidRPr="0055314F">
        <w:t xml:space="preserve"> (general will) of the people</w:t>
      </w:r>
      <w:r w:rsidR="00A91589" w:rsidRPr="0055314F">
        <w:t>’</w:t>
      </w:r>
      <w:r w:rsidRPr="0055314F">
        <w:t>.</w:t>
      </w:r>
      <w:r w:rsidR="00A51C28">
        <w:rPr>
          <w:rStyle w:val="FootnoteReference"/>
        </w:rPr>
        <w:footnoteReference w:id="5"/>
      </w:r>
      <w:r w:rsidRPr="0055314F">
        <w:t xml:space="preserve"> According to </w:t>
      </w:r>
      <w:r w:rsidR="00A91589" w:rsidRPr="0055314F">
        <w:t>Mudde and Kaltwasser</w:t>
      </w:r>
      <w:r w:rsidRPr="0055314F">
        <w:t xml:space="preserve">, it is the </w:t>
      </w:r>
      <w:r w:rsidR="003E2FEC">
        <w:t>“</w:t>
      </w:r>
      <w:r w:rsidRPr="0055314F">
        <w:t>thin-centeredness</w:t>
      </w:r>
      <w:r w:rsidR="003E2FEC">
        <w:t>”</w:t>
      </w:r>
      <w:r w:rsidRPr="0055314F">
        <w:t xml:space="preserve"> of the concept that makes it so malleable, explaining why populism occurs in such a wide variety of forms</w:t>
      </w:r>
      <w:r w:rsidR="00D92344">
        <w:t xml:space="preserve"> and attached to ‘host ideologies’ on both the left</w:t>
      </w:r>
      <w:r w:rsidR="00C66D19" w:rsidRPr="00C66D19">
        <w:t xml:space="preserve"> </w:t>
      </w:r>
      <w:r w:rsidR="00C66D19">
        <w:t>and the right</w:t>
      </w:r>
      <w:r w:rsidRPr="0055314F">
        <w:t>.</w:t>
      </w:r>
    </w:p>
    <w:p w14:paraId="05B5FE07" w14:textId="31DF0C2A" w:rsidR="0049733E" w:rsidRPr="0055314F" w:rsidRDefault="0049733E" w:rsidP="006E7F7E">
      <w:pPr>
        <w:spacing w:line="480" w:lineRule="auto"/>
        <w:jc w:val="both"/>
      </w:pPr>
    </w:p>
    <w:p w14:paraId="1C796FCC" w14:textId="022A60E9" w:rsidR="00BF6DE5" w:rsidRPr="00612648" w:rsidRDefault="008766A6" w:rsidP="00B202B2">
      <w:pPr>
        <w:spacing w:line="480" w:lineRule="auto"/>
        <w:jc w:val="both"/>
        <w:rPr>
          <w:i/>
          <w:iCs/>
        </w:rPr>
      </w:pPr>
      <w:r w:rsidRPr="0055314F">
        <w:t>Müller has a more demanding definition.</w:t>
      </w:r>
      <w:r w:rsidR="006E31CF">
        <w:rPr>
          <w:rStyle w:val="FootnoteReference"/>
        </w:rPr>
        <w:footnoteReference w:id="6"/>
      </w:r>
      <w:r w:rsidRPr="0055314F">
        <w:t xml:space="preserve"> He agrees that being critical of elites is a necessary condition of being a populist, but denies that it is sufficient, since so many politicians claim that they are anti-elite and are acting on behalf of the people.  </w:t>
      </w:r>
      <w:r w:rsidR="00712DFB" w:rsidRPr="0055314F">
        <w:t xml:space="preserve">In order to qualify as a populist a politician also has to be anti-pluralist, arguing that </w:t>
      </w:r>
      <w:r w:rsidR="00A91589" w:rsidRPr="0055314F">
        <w:t>‘</w:t>
      </w:r>
      <w:r w:rsidR="00712DFB" w:rsidRPr="0055314F">
        <w:t xml:space="preserve">they, </w:t>
      </w:r>
      <w:r w:rsidR="00712DFB" w:rsidRPr="0055314F">
        <w:rPr>
          <w:i/>
          <w:iCs/>
        </w:rPr>
        <w:t>and only they</w:t>
      </w:r>
      <w:r w:rsidR="00712DFB" w:rsidRPr="0055314F">
        <w:t>, represent the people</w:t>
      </w:r>
      <w:r w:rsidR="00A91589" w:rsidRPr="0055314F">
        <w:t>’</w:t>
      </w:r>
      <w:r w:rsidR="00712DFB" w:rsidRPr="0055314F">
        <w:t xml:space="preserve"> (p. 20, emphasis in the original). </w:t>
      </w:r>
      <w:r w:rsidR="00A91589" w:rsidRPr="0055314F">
        <w:t>‘</w:t>
      </w:r>
      <w:r w:rsidR="00712DFB" w:rsidRPr="0055314F">
        <w:t xml:space="preserve">This is the core claim of populism: </w:t>
      </w:r>
      <w:r w:rsidR="00B73E2C" w:rsidRPr="0055314F">
        <w:t>only some of the people are really the people</w:t>
      </w:r>
      <w:r w:rsidR="00A91589" w:rsidRPr="0055314F">
        <w:t>’</w:t>
      </w:r>
      <w:r w:rsidR="00B73E2C" w:rsidRPr="0055314F">
        <w:t xml:space="preserve"> (p. 21). Populism is thus an exclusionary form of identity politics, which is why it poses a threat to democracy (p. 3).</w:t>
      </w:r>
      <w:r w:rsidR="006B6679">
        <w:rPr>
          <w:rStyle w:val="FootnoteReference"/>
        </w:rPr>
        <w:footnoteReference w:id="7"/>
      </w:r>
      <w:r w:rsidR="00BF6DE5" w:rsidRPr="0055314F">
        <w:t xml:space="preserve"> </w:t>
      </w:r>
      <w:proofErr w:type="spellStart"/>
      <w:r w:rsidR="00BF6DE5" w:rsidRPr="0055314F">
        <w:t>Eichengreen</w:t>
      </w:r>
      <w:proofErr w:type="spellEnd"/>
      <w:r w:rsidR="00BF6DE5" w:rsidRPr="0055314F">
        <w:t xml:space="preserve"> goes one step further, defining populism as </w:t>
      </w:r>
      <w:r w:rsidR="00A91589" w:rsidRPr="0055314F">
        <w:t>‘</w:t>
      </w:r>
      <w:r w:rsidR="00BF6DE5" w:rsidRPr="0055314F">
        <w:t xml:space="preserve">a political movement with anti-elite, authoritarian, and nativist </w:t>
      </w:r>
      <w:r w:rsidR="00BF6DE5" w:rsidRPr="0055314F">
        <w:lastRenderedPageBreak/>
        <w:t>tendencies</w:t>
      </w:r>
      <w:r w:rsidR="00A91589" w:rsidRPr="0055314F">
        <w:t>’.</w:t>
      </w:r>
      <w:r w:rsidR="006E31CF">
        <w:rPr>
          <w:rStyle w:val="FootnoteReference"/>
        </w:rPr>
        <w:footnoteReference w:id="8"/>
      </w:r>
      <w:r w:rsidR="00E2720F">
        <w:t xml:space="preserve"> </w:t>
      </w:r>
      <w:r w:rsidR="00D5151C">
        <w:t>The</w:t>
      </w:r>
      <w:r w:rsidR="002F4748">
        <w:t xml:space="preserve"> </w:t>
      </w:r>
      <w:r w:rsidR="002F4748" w:rsidRPr="0055314F">
        <w:t>Müller</w:t>
      </w:r>
      <w:r w:rsidR="00D5151C">
        <w:t xml:space="preserve"> definition </w:t>
      </w:r>
      <w:r w:rsidR="001773B0">
        <w:t>seems</w:t>
      </w:r>
      <w:r w:rsidR="00A15015">
        <w:t xml:space="preserve"> useful</w:t>
      </w:r>
      <w:r w:rsidR="0039670E">
        <w:t xml:space="preserve">, </w:t>
      </w:r>
      <w:r w:rsidR="008C0AE3">
        <w:t xml:space="preserve">and is the one that we will use, </w:t>
      </w:r>
      <w:r w:rsidR="0039670E">
        <w:t xml:space="preserve">although whether “populism” is the best label to attach to </w:t>
      </w:r>
      <w:r w:rsidR="002F4748">
        <w:t>it</w:t>
      </w:r>
      <w:r w:rsidR="0039670E">
        <w:t xml:space="preserve"> is another matter to which we will return below. </w:t>
      </w:r>
      <w:r w:rsidR="002F4748">
        <w:t>It</w:t>
      </w:r>
      <w:r w:rsidR="00A15015">
        <w:t xml:space="preserve"> identif</w:t>
      </w:r>
      <w:r w:rsidR="002F4748">
        <w:t>ies</w:t>
      </w:r>
      <w:r w:rsidR="00A15015">
        <w:t xml:space="preserve"> a phenomenon </w:t>
      </w:r>
      <w:r w:rsidR="0039670E">
        <w:t xml:space="preserve">that has become all too recognizable in recent years, </w:t>
      </w:r>
      <w:r w:rsidR="00B76ED1">
        <w:t>pos</w:t>
      </w:r>
      <w:r w:rsidR="00F52478">
        <w:t>ing</w:t>
      </w:r>
      <w:r w:rsidR="00B76ED1">
        <w:t xml:space="preserve"> a threat to liberal democracy in countries as diverse as Hungary, India, Turkey, and the United States. </w:t>
      </w:r>
      <w:r w:rsidR="00B76ED1" w:rsidRPr="002F4748">
        <w:t>U</w:t>
      </w:r>
      <w:r w:rsidR="007B221C" w:rsidRPr="002F4748">
        <w:t>nless otherwise stated</w:t>
      </w:r>
      <w:r w:rsidR="007B221C">
        <w:t xml:space="preserve"> </w:t>
      </w:r>
      <w:r w:rsidR="00DA2160">
        <w:t xml:space="preserve">we will </w:t>
      </w:r>
      <w:r w:rsidR="00F52478">
        <w:t>use</w:t>
      </w:r>
      <w:r w:rsidR="00B76ED1">
        <w:t xml:space="preserve"> “populism” in this </w:t>
      </w:r>
      <w:r w:rsidR="00F52478">
        <w:t>sense</w:t>
      </w:r>
      <w:r w:rsidR="00B76ED1">
        <w:t xml:space="preserve"> </w:t>
      </w:r>
      <w:r w:rsidR="008913C6">
        <w:t>and this sense only below:</w:t>
      </w:r>
      <w:r w:rsidR="004550A2">
        <w:t xml:space="preserve"> </w:t>
      </w:r>
      <w:r w:rsidR="008913C6">
        <w:t>it follows that</w:t>
      </w:r>
      <w:r w:rsidR="004550A2">
        <w:t xml:space="preserve"> </w:t>
      </w:r>
      <w:r w:rsidR="008913C6">
        <w:t xml:space="preserve">for us </w:t>
      </w:r>
      <w:r w:rsidR="004550A2">
        <w:t>there is no such thing as “good populism”</w:t>
      </w:r>
      <w:r w:rsidR="00532437">
        <w:t>.</w:t>
      </w:r>
    </w:p>
    <w:p w14:paraId="086EF3D5" w14:textId="77777777" w:rsidR="00AB2411" w:rsidRDefault="00AB2411" w:rsidP="006E7F7E">
      <w:pPr>
        <w:spacing w:line="480" w:lineRule="auto"/>
        <w:jc w:val="both"/>
      </w:pPr>
    </w:p>
    <w:p w14:paraId="61309908" w14:textId="4120BC50" w:rsidR="008A6279" w:rsidRDefault="00E42FD1" w:rsidP="006E7F7E">
      <w:pPr>
        <w:spacing w:line="480" w:lineRule="auto"/>
        <w:jc w:val="both"/>
      </w:pPr>
      <w:r>
        <w:t xml:space="preserve">The word </w:t>
      </w:r>
      <w:r w:rsidR="00A55853">
        <w:t>“</w:t>
      </w:r>
      <w:r>
        <w:t>p</w:t>
      </w:r>
      <w:r w:rsidR="00A55853">
        <w:t>opulism</w:t>
      </w:r>
      <w:r w:rsidR="00784F6A">
        <w:t>”</w:t>
      </w:r>
      <w:r w:rsidR="00A55853">
        <w:t xml:space="preserve"> has traditionally had negative connotations in Europe</w:t>
      </w:r>
      <w:r w:rsidR="00A15015">
        <w:t xml:space="preserve">, where it tends to be understood in the </w:t>
      </w:r>
      <w:r w:rsidR="00F52478">
        <w:t>manner</w:t>
      </w:r>
      <w:r w:rsidR="00A15015">
        <w:t xml:space="preserve"> just </w:t>
      </w:r>
      <w:r w:rsidR="008F22F0">
        <w:t>described</w:t>
      </w:r>
      <w:r w:rsidR="00A55853">
        <w:t xml:space="preserve">. In contrast, as the earlier example of Jimmy Carter </w:t>
      </w:r>
      <w:r w:rsidR="00F52478">
        <w:t>illustrates</w:t>
      </w:r>
      <w:r w:rsidR="00A55853">
        <w:t>, the word has often been used positive</w:t>
      </w:r>
      <w:r w:rsidR="006A2569">
        <w:t>ly</w:t>
      </w:r>
      <w:r w:rsidR="00A55853">
        <w:t xml:space="preserve"> in the United States</w:t>
      </w:r>
      <w:r w:rsidR="00A22538">
        <w:t xml:space="preserve">, </w:t>
      </w:r>
      <w:r w:rsidR="006A2569">
        <w:t>reflect</w:t>
      </w:r>
      <w:r w:rsidR="00A22538">
        <w:t>ing</w:t>
      </w:r>
      <w:r w:rsidR="006A2569">
        <w:t xml:space="preserve"> its </w:t>
      </w:r>
      <w:r w:rsidR="00A22538">
        <w:t>associations with the late 19</w:t>
      </w:r>
      <w:r w:rsidR="00A22538" w:rsidRPr="00A22538">
        <w:rPr>
          <w:vertAlign w:val="superscript"/>
        </w:rPr>
        <w:t>th</w:t>
      </w:r>
      <w:r w:rsidR="00A22538">
        <w:t xml:space="preserve"> century</w:t>
      </w:r>
      <w:r w:rsidR="006A2569">
        <w:t xml:space="preserve"> </w:t>
      </w:r>
      <w:r w:rsidR="00A22538">
        <w:t>American Populist movement</w:t>
      </w:r>
      <w:r w:rsidR="00471E57" w:rsidRPr="0055314F">
        <w:t xml:space="preserve">. </w:t>
      </w:r>
      <w:r w:rsidR="006A2569">
        <w:t xml:space="preserve">While the labels we use, as well as their history, may not matter in </w:t>
      </w:r>
      <w:r w:rsidR="00961ADB">
        <w:t>principle</w:t>
      </w:r>
      <w:r w:rsidR="006A2569">
        <w:t xml:space="preserve">, in practice they do, and there is thus a tendency for historical surveys of populism to include American Populism as an early example of the phenomenon. </w:t>
      </w:r>
      <w:r w:rsidR="00471E57" w:rsidRPr="0055314F">
        <w:t xml:space="preserve">For </w:t>
      </w:r>
      <w:proofErr w:type="spellStart"/>
      <w:r w:rsidR="00471E57" w:rsidRPr="0055314F">
        <w:t>Eichengreen</w:t>
      </w:r>
      <w:proofErr w:type="spellEnd"/>
      <w:r w:rsidR="00471E57" w:rsidRPr="0055314F">
        <w:t xml:space="preserve"> </w:t>
      </w:r>
      <w:r w:rsidR="00601329" w:rsidRPr="0055314F">
        <w:t xml:space="preserve">the Populist Revolt was </w:t>
      </w:r>
      <w:r w:rsidR="007D47ED" w:rsidRPr="0055314F">
        <w:t>‘</w:t>
      </w:r>
      <w:r w:rsidR="00601329" w:rsidRPr="0055314F">
        <w:t>arguably the first populist movement of the modern era</w:t>
      </w:r>
      <w:r w:rsidR="007D47ED" w:rsidRPr="0055314F">
        <w:t>’</w:t>
      </w:r>
      <w:r w:rsidR="00601329" w:rsidRPr="0055314F">
        <w:t xml:space="preserve">; for </w:t>
      </w:r>
      <w:proofErr w:type="spellStart"/>
      <w:r w:rsidR="00601329" w:rsidRPr="0055314F">
        <w:t>Guriev</w:t>
      </w:r>
      <w:proofErr w:type="spellEnd"/>
      <w:r w:rsidR="00601329" w:rsidRPr="0055314F">
        <w:t xml:space="preserve"> and Papaioannou, </w:t>
      </w:r>
      <w:r w:rsidR="007D47ED" w:rsidRPr="0055314F">
        <w:t>‘Arguably, the first populist party in the modern sense of the term was the late-19th-century American People’s Party (also known as the Populist Party), which had an anti-elite and anti-globalization agenda’.</w:t>
      </w:r>
      <w:r w:rsidR="00091FD3">
        <w:rPr>
          <w:rStyle w:val="FootnoteReference"/>
        </w:rPr>
        <w:footnoteReference w:id="9"/>
      </w:r>
      <w:r w:rsidR="007D47ED" w:rsidRPr="0055314F">
        <w:t xml:space="preserve"> </w:t>
      </w:r>
      <w:r w:rsidR="008A6279">
        <w:t>While b</w:t>
      </w:r>
      <w:r w:rsidR="007D47ED" w:rsidRPr="0055314F">
        <w:t xml:space="preserve">oth surveys qualify these statements with the word “arguably”, </w:t>
      </w:r>
      <w:r w:rsidR="008A6279">
        <w:t>others have not been so careful.</w:t>
      </w:r>
    </w:p>
    <w:p w14:paraId="5CC14734" w14:textId="77777777" w:rsidR="008A6279" w:rsidRDefault="008A6279" w:rsidP="006E7F7E">
      <w:pPr>
        <w:spacing w:line="480" w:lineRule="auto"/>
        <w:jc w:val="both"/>
      </w:pPr>
    </w:p>
    <w:p w14:paraId="05F39D2E" w14:textId="1814E566" w:rsidR="003E3339" w:rsidRDefault="00961ADB" w:rsidP="006E7F7E">
      <w:pPr>
        <w:spacing w:line="480" w:lineRule="auto"/>
        <w:jc w:val="both"/>
      </w:pPr>
      <w:r>
        <w:t>Whether or not the Populists were populist matters</w:t>
      </w:r>
      <w:r w:rsidR="002E2AB6">
        <w:t>, since i</w:t>
      </w:r>
      <w:r>
        <w:t>f they were then</w:t>
      </w:r>
      <w:r w:rsidR="002E2AB6">
        <w:t xml:space="preserve"> </w:t>
      </w:r>
      <w:r>
        <w:t>populism</w:t>
      </w:r>
      <w:r w:rsidR="002E2AB6">
        <w:t xml:space="preserve"> </w:t>
      </w:r>
      <w:r>
        <w:t>becomes a category potentially broad enough to</w:t>
      </w:r>
      <w:r w:rsidR="002E2AB6">
        <w:t xml:space="preserve"> </w:t>
      </w:r>
      <w:r>
        <w:t>encompass</w:t>
      </w:r>
      <w:r w:rsidR="003933FC">
        <w:t xml:space="preserve"> </w:t>
      </w:r>
      <w:r w:rsidR="002E2AB6">
        <w:t>politician</w:t>
      </w:r>
      <w:r w:rsidR="003933FC">
        <w:t xml:space="preserve">s as </w:t>
      </w:r>
      <w:r>
        <w:t>diverse</w:t>
      </w:r>
      <w:r w:rsidR="002E2AB6">
        <w:t xml:space="preserve"> as Bernie </w:t>
      </w:r>
      <w:r w:rsidR="00030A67">
        <w:lastRenderedPageBreak/>
        <w:t xml:space="preserve">Sanders </w:t>
      </w:r>
      <w:r w:rsidR="003933FC">
        <w:t>and</w:t>
      </w:r>
      <w:r w:rsidR="00030A67">
        <w:t xml:space="preserve"> Donald Trump</w:t>
      </w:r>
      <w:r w:rsidR="002E2AB6">
        <w:t>.</w:t>
      </w:r>
      <w:r w:rsidR="006E31CF">
        <w:rPr>
          <w:rStyle w:val="FootnoteReference"/>
        </w:rPr>
        <w:footnoteReference w:id="10"/>
      </w:r>
      <w:r w:rsidR="002E2AB6">
        <w:t xml:space="preserve"> </w:t>
      </w:r>
      <w:r w:rsidR="00D42EE8">
        <w:t xml:space="preserve">This seems unsatisfactory, since as far as we know Sanders </w:t>
      </w:r>
      <w:r w:rsidR="00AE3D8C">
        <w:t>has never posed a threat to</w:t>
      </w:r>
      <w:r w:rsidR="00D42EE8">
        <w:t xml:space="preserve"> American democracy: a term this broad can confuse more than it clarifies. </w:t>
      </w:r>
      <w:r w:rsidR="003933FC">
        <w:t>A</w:t>
      </w:r>
      <w:r w:rsidR="007D47ED" w:rsidRPr="0055314F">
        <w:t>ccordingly</w:t>
      </w:r>
      <w:r w:rsidR="003933FC">
        <w:t>,</w:t>
      </w:r>
      <w:r w:rsidR="007D47ED" w:rsidRPr="0055314F">
        <w:t xml:space="preserve"> </w:t>
      </w:r>
      <w:r w:rsidR="008C0AE3">
        <w:t>the question of whether the Populists were populist</w:t>
      </w:r>
      <w:r>
        <w:t xml:space="preserve"> is </w:t>
      </w:r>
      <w:r w:rsidR="007D47ED" w:rsidRPr="0055314F">
        <w:t>the first which we will address.</w:t>
      </w:r>
      <w:r w:rsidR="00F80BC8">
        <w:t xml:space="preserve"> </w:t>
      </w:r>
      <w:r w:rsidR="007D23ED">
        <w:t xml:space="preserve">We then </w:t>
      </w:r>
      <w:r>
        <w:t>discuss</w:t>
      </w:r>
      <w:r w:rsidR="007D23ED">
        <w:t xml:space="preserve"> economists’ </w:t>
      </w:r>
      <w:r w:rsidR="006E0D40">
        <w:t>objections to Populist policy proposals; the links between populism, elite interests, and protection</w:t>
      </w:r>
      <w:r w:rsidR="00A57EA6">
        <w:t>ism</w:t>
      </w:r>
      <w:r w:rsidR="006E0D40">
        <w:t>; populism in the 1930s; and the views of economic experts during that decade. We conclude with a brief call for scholarly humility.</w:t>
      </w:r>
    </w:p>
    <w:p w14:paraId="79ECCCA4" w14:textId="77777777" w:rsidR="00D42EE8" w:rsidRDefault="00D42EE8" w:rsidP="006E7F7E">
      <w:pPr>
        <w:spacing w:line="480" w:lineRule="auto"/>
        <w:jc w:val="both"/>
      </w:pPr>
    </w:p>
    <w:p w14:paraId="4DAAF7F8" w14:textId="7C91F1BB" w:rsidR="00DE36C6" w:rsidRPr="003E3339" w:rsidRDefault="00571D00" w:rsidP="006E7F7E">
      <w:pPr>
        <w:spacing w:line="480" w:lineRule="auto"/>
        <w:jc w:val="both"/>
      </w:pPr>
      <w:r>
        <w:rPr>
          <w:b/>
          <w:bCs/>
        </w:rPr>
        <w:t>I</w:t>
      </w:r>
      <w:r w:rsidR="00DE36C6" w:rsidRPr="0055314F">
        <w:rPr>
          <w:b/>
          <w:bCs/>
        </w:rPr>
        <w:t xml:space="preserve">. </w:t>
      </w:r>
      <w:r>
        <w:rPr>
          <w:b/>
          <w:bCs/>
        </w:rPr>
        <w:t>THE POPULISTS WHO WEREN’T</w:t>
      </w:r>
    </w:p>
    <w:p w14:paraId="32F7B7D1" w14:textId="032B92F9" w:rsidR="00DE36C6" w:rsidRDefault="00DE36C6" w:rsidP="006E7F7E">
      <w:pPr>
        <w:spacing w:line="480" w:lineRule="auto"/>
        <w:jc w:val="both"/>
      </w:pPr>
    </w:p>
    <w:p w14:paraId="2A49E2A5" w14:textId="650C25F2" w:rsidR="000019D4" w:rsidRPr="0055314F" w:rsidRDefault="00A22538" w:rsidP="00E13AE2">
      <w:pPr>
        <w:spacing w:line="480" w:lineRule="auto"/>
        <w:jc w:val="both"/>
      </w:pPr>
      <w:r>
        <w:t>Late 19</w:t>
      </w:r>
      <w:r w:rsidRPr="00A22538">
        <w:rPr>
          <w:vertAlign w:val="superscript"/>
        </w:rPr>
        <w:t>th</w:t>
      </w:r>
      <w:r>
        <w:t xml:space="preserve"> century American Populism was a largely agrarian phenomenon, reflecting the difficulties facing farmers in an era of falling agricultural prices. Populists campaigned against the gold standard, seen as responsible for deflation, </w:t>
      </w:r>
      <w:r w:rsidR="000A685B">
        <w:t>as well as monopolistic practices in railroads and wholesale and financial markets. But the People’s Party that emerged in the 1890s was a broader coalition, encompassing not only a range of agricultural associations but the Knights of Labor, the Women’s Alliance, and other groups demanding economic, social, and political reform</w:t>
      </w:r>
      <w:r w:rsidR="006E31CF">
        <w:t>.</w:t>
      </w:r>
      <w:r w:rsidR="006E31CF">
        <w:rPr>
          <w:rStyle w:val="FootnoteReference"/>
        </w:rPr>
        <w:footnoteReference w:id="11"/>
      </w:r>
      <w:r w:rsidR="00525C1D">
        <w:t xml:space="preserve"> </w:t>
      </w:r>
      <w:r w:rsidR="008F05BB" w:rsidRPr="0055314F">
        <w:t>As is well known, the literature on American Populism has experienced notable long swings in response to changing contemporary circumstances.</w:t>
      </w:r>
      <w:r w:rsidR="00B12EF7" w:rsidRPr="0055314F">
        <w:t xml:space="preserve"> The generally positive </w:t>
      </w:r>
      <w:r w:rsidR="00DE72FA">
        <w:t>narratives</w:t>
      </w:r>
      <w:r w:rsidR="00B12EF7" w:rsidRPr="0055314F">
        <w:t xml:space="preserve"> of the 1930s were succeeded in the 1950s</w:t>
      </w:r>
      <w:r w:rsidR="009F198C">
        <w:t xml:space="preserve">, under the influence of McCarthyism </w:t>
      </w:r>
      <w:r w:rsidR="00EE3A65">
        <w:t xml:space="preserve">on the one hand </w:t>
      </w:r>
      <w:r w:rsidR="009F198C">
        <w:t>and modernization theory</w:t>
      </w:r>
      <w:r w:rsidR="00EE3A65">
        <w:t xml:space="preserve"> on the other</w:t>
      </w:r>
      <w:r w:rsidR="009F198C">
        <w:t>,</w:t>
      </w:r>
      <w:r w:rsidR="00B12EF7" w:rsidRPr="0055314F">
        <w:t xml:space="preserve"> by </w:t>
      </w:r>
      <w:r w:rsidR="009F198C">
        <w:t xml:space="preserve">a picture </w:t>
      </w:r>
      <w:r w:rsidR="00B12EF7" w:rsidRPr="0055314F">
        <w:t>of backward-looking and intolerant farmers</w:t>
      </w:r>
      <w:r w:rsidR="00525C1D">
        <w:t>.</w:t>
      </w:r>
      <w:r w:rsidR="00525C1D">
        <w:rPr>
          <w:rStyle w:val="FootnoteReference"/>
        </w:rPr>
        <w:footnoteReference w:id="12"/>
      </w:r>
      <w:r w:rsidR="00525C1D">
        <w:t xml:space="preserve"> </w:t>
      </w:r>
      <w:r w:rsidR="00612648">
        <w:t>But were the Populists populist?</w:t>
      </w:r>
      <w:r w:rsidR="00F94BFF" w:rsidRPr="0055314F">
        <w:t xml:space="preserve"> </w:t>
      </w:r>
    </w:p>
    <w:p w14:paraId="65C26E64" w14:textId="0014D141" w:rsidR="000019D4" w:rsidRPr="0055314F" w:rsidRDefault="000019D4" w:rsidP="006E7F7E">
      <w:pPr>
        <w:spacing w:line="480" w:lineRule="auto"/>
        <w:jc w:val="both"/>
      </w:pPr>
    </w:p>
    <w:p w14:paraId="44D2EBC2" w14:textId="551A061D" w:rsidR="0070546D" w:rsidRDefault="00183570" w:rsidP="006E7F7E">
      <w:pPr>
        <w:spacing w:line="480" w:lineRule="auto"/>
        <w:jc w:val="both"/>
      </w:pPr>
      <w:r w:rsidRPr="0055314F">
        <w:lastRenderedPageBreak/>
        <w:t>Late 19</w:t>
      </w:r>
      <w:r w:rsidRPr="0055314F">
        <w:rPr>
          <w:vertAlign w:val="superscript"/>
        </w:rPr>
        <w:t>th</w:t>
      </w:r>
      <w:r w:rsidR="00D0620C">
        <w:t xml:space="preserve"> </w:t>
      </w:r>
      <w:r w:rsidRPr="0055314F">
        <w:t>century American</w:t>
      </w:r>
      <w:r w:rsidR="000019D4" w:rsidRPr="0055314F">
        <w:t xml:space="preserve"> Populists were </w:t>
      </w:r>
      <w:r w:rsidR="009C546B" w:rsidRPr="0055314F">
        <w:t xml:space="preserve">certainly </w:t>
      </w:r>
      <w:r w:rsidR="000019D4" w:rsidRPr="0055314F">
        <w:t>anti-elite. However, as Müller points out, it is difficult to argue that they claimed to represent the people as a whole</w:t>
      </w:r>
      <w:r w:rsidR="00777194" w:rsidRPr="0055314F">
        <w:t xml:space="preserve">, even though </w:t>
      </w:r>
      <w:r w:rsidR="009C546B" w:rsidRPr="0055314F">
        <w:t>’</w:t>
      </w:r>
      <w:r w:rsidR="00BC4BE0" w:rsidRPr="0055314F">
        <w:t>t</w:t>
      </w:r>
      <w:r w:rsidR="00777194" w:rsidRPr="0055314F">
        <w:t>hey united men and women, and whites and blacks to a degree that arguably none of the other major parties did at the time</w:t>
      </w:r>
      <w:r w:rsidR="009C546B" w:rsidRPr="0055314F">
        <w:t>’</w:t>
      </w:r>
      <w:r w:rsidR="00777194" w:rsidRPr="0055314F">
        <w:t>.</w:t>
      </w:r>
      <w:r w:rsidR="00525C1D">
        <w:rPr>
          <w:rStyle w:val="FootnoteReference"/>
        </w:rPr>
        <w:footnoteReference w:id="13"/>
      </w:r>
      <w:r w:rsidR="00777194" w:rsidRPr="0055314F">
        <w:t xml:space="preserve"> O</w:t>
      </w:r>
      <w:r w:rsidR="000019D4" w:rsidRPr="0055314F">
        <w:t xml:space="preserve">n his </w:t>
      </w:r>
      <w:r w:rsidR="00612648">
        <w:t xml:space="preserve">(and our) </w:t>
      </w:r>
      <w:r w:rsidR="000019D4" w:rsidRPr="0055314F">
        <w:t>definition, therefore, the</w:t>
      </w:r>
      <w:r w:rsidR="00777194" w:rsidRPr="0055314F">
        <w:t xml:space="preserve"> Populists</w:t>
      </w:r>
      <w:r w:rsidR="000019D4" w:rsidRPr="0055314F">
        <w:t xml:space="preserve"> were not populist. </w:t>
      </w:r>
    </w:p>
    <w:p w14:paraId="48F68E47" w14:textId="77777777" w:rsidR="0070546D" w:rsidRDefault="0070546D" w:rsidP="006E7F7E">
      <w:pPr>
        <w:spacing w:line="480" w:lineRule="auto"/>
        <w:jc w:val="both"/>
      </w:pPr>
    </w:p>
    <w:p w14:paraId="7CC2A164" w14:textId="591F1EB6" w:rsidR="00363BCF" w:rsidRPr="0055314F" w:rsidRDefault="00777194" w:rsidP="00C527C8">
      <w:pPr>
        <w:spacing w:line="480" w:lineRule="auto"/>
        <w:jc w:val="both"/>
      </w:pPr>
      <w:proofErr w:type="spellStart"/>
      <w:r w:rsidRPr="0055314F">
        <w:t>Eichengreen’s</w:t>
      </w:r>
      <w:proofErr w:type="spellEnd"/>
      <w:r w:rsidRPr="0055314F">
        <w:t xml:space="preserve"> definition adds authoritarianism </w:t>
      </w:r>
      <w:r w:rsidR="00CE0180" w:rsidRPr="0055314F">
        <w:t xml:space="preserve">and </w:t>
      </w:r>
      <w:r w:rsidRPr="0055314F">
        <w:t>nativism to anti-elite sentiment</w:t>
      </w:r>
      <w:r w:rsidR="00594B80" w:rsidRPr="0055314F">
        <w:t>; again, it is difficult to argue that the Populists</w:t>
      </w:r>
      <w:r w:rsidR="00363BCF" w:rsidRPr="0055314F">
        <w:t xml:space="preserve"> </w:t>
      </w:r>
      <w:r w:rsidR="00594B80" w:rsidRPr="0055314F">
        <w:t>were authoritarian.</w:t>
      </w:r>
      <w:r w:rsidR="002908A0">
        <w:rPr>
          <w:rStyle w:val="FootnoteReference"/>
        </w:rPr>
        <w:footnoteReference w:id="14"/>
      </w:r>
      <w:r w:rsidR="00363BCF" w:rsidRPr="0055314F">
        <w:t xml:space="preserve"> Their advocacy of the secret ballot and the direct election of Senators may have been self-interested, </w:t>
      </w:r>
      <w:r w:rsidR="00483A5A">
        <w:t xml:space="preserve">and </w:t>
      </w:r>
      <w:r w:rsidR="00B05D1B">
        <w:t>the latter may have been at</w:t>
      </w:r>
      <w:r w:rsidR="00483A5A">
        <w:t xml:space="preserve"> odds with the views of America’s founding fathers, </w:t>
      </w:r>
      <w:r w:rsidR="00363BCF" w:rsidRPr="0055314F">
        <w:t xml:space="preserve">but </w:t>
      </w:r>
      <w:r w:rsidR="00CA6D03">
        <w:t>both are now seen</w:t>
      </w:r>
      <w:r w:rsidR="00363BCF" w:rsidRPr="0055314F">
        <w:t xml:space="preserve"> as </w:t>
      </w:r>
      <w:r w:rsidR="00CA6D03">
        <w:t>essential components of American democracy</w:t>
      </w:r>
      <w:r w:rsidR="00363BCF" w:rsidRPr="0055314F">
        <w:t>. Once again, it seems that Populists were not in fact the original of the species.</w:t>
      </w:r>
      <w:r w:rsidR="0070546D">
        <w:t xml:space="preserve"> </w:t>
      </w:r>
      <w:r w:rsidR="00E13AE2">
        <w:t>Were they nativist?</w:t>
      </w:r>
      <w:r w:rsidR="00CE0180" w:rsidRPr="0055314F">
        <w:t xml:space="preserve"> </w:t>
      </w:r>
      <w:r w:rsidR="00C527C8">
        <w:t xml:space="preserve">Populist anti-Semitism is often cited by writers regarding them as populist, following </w:t>
      </w:r>
      <w:r w:rsidR="00C527C8" w:rsidRPr="0055314F">
        <w:t xml:space="preserve">Hofstadter’s </w:t>
      </w:r>
      <w:r w:rsidR="00C527C8">
        <w:t xml:space="preserve">famous claim that </w:t>
      </w:r>
      <w:r w:rsidR="00CD6FB0">
        <w:t>‘</w:t>
      </w:r>
      <w:r w:rsidR="00C527C8">
        <w:t>It is not too much to say that the Greenback-Populist tradition activated most of what we have of modern popular anti-Semitism in the United States</w:t>
      </w:r>
      <w:r w:rsidR="00CD6FB0">
        <w:t>’</w:t>
      </w:r>
      <w:r w:rsidR="00C527C8">
        <w:t>.</w:t>
      </w:r>
      <w:r w:rsidR="00525C1D">
        <w:rPr>
          <w:rStyle w:val="FootnoteReference"/>
        </w:rPr>
        <w:footnoteReference w:id="15"/>
      </w:r>
      <w:r w:rsidR="00C527C8">
        <w:t xml:space="preserve"> </w:t>
      </w:r>
      <w:r w:rsidR="00042029" w:rsidRPr="0055314F">
        <w:t xml:space="preserve">Hofstadter’s </w:t>
      </w:r>
      <w:r w:rsidR="00B80B7C" w:rsidRPr="0055314F">
        <w:t>arguments</w:t>
      </w:r>
      <w:r w:rsidR="00BB660A" w:rsidRPr="0055314F">
        <w:t xml:space="preserve"> still have currency among many social scientists</w:t>
      </w:r>
      <w:r w:rsidR="00C527C8">
        <w:t>, but</w:t>
      </w:r>
      <w:r w:rsidR="00BB660A" w:rsidRPr="0055314F">
        <w:t xml:space="preserve"> they</w:t>
      </w:r>
      <w:r w:rsidR="00B80B7C" w:rsidRPr="0055314F">
        <w:t xml:space="preserve"> have not</w:t>
      </w:r>
      <w:r w:rsidR="00F94BFF" w:rsidRPr="0055314F">
        <w:t xml:space="preserve"> </w:t>
      </w:r>
      <w:r w:rsidR="00B80B7C" w:rsidRPr="0055314F">
        <w:t xml:space="preserve">fared </w:t>
      </w:r>
      <w:r w:rsidR="00BB660A" w:rsidRPr="0055314F">
        <w:t xml:space="preserve">particularly </w:t>
      </w:r>
      <w:r w:rsidR="00B80B7C" w:rsidRPr="0055314F">
        <w:t xml:space="preserve">well </w:t>
      </w:r>
      <w:r w:rsidR="00F94BFF" w:rsidRPr="0055314F">
        <w:t>in</w:t>
      </w:r>
      <w:r w:rsidR="00B80B7C" w:rsidRPr="0055314F">
        <w:t xml:space="preserve"> the hands of </w:t>
      </w:r>
      <w:r w:rsidR="00326081" w:rsidRPr="0055314F">
        <w:t>subsequent</w:t>
      </w:r>
      <w:r w:rsidR="00B80B7C" w:rsidRPr="0055314F">
        <w:t xml:space="preserve"> historians</w:t>
      </w:r>
      <w:r w:rsidR="00752245">
        <w:t>.</w:t>
      </w:r>
      <w:r w:rsidR="00242F4D">
        <w:t xml:space="preserve"> </w:t>
      </w:r>
      <w:r w:rsidR="001773B0">
        <w:t>It is true that m</w:t>
      </w:r>
      <w:r w:rsidR="0010375B">
        <w:t>any</w:t>
      </w:r>
      <w:r w:rsidR="00363BCF" w:rsidRPr="0055314F">
        <w:t xml:space="preserve"> Populists </w:t>
      </w:r>
      <w:r w:rsidR="00B620B2" w:rsidRPr="0055314F">
        <w:t>used anti-Semitic language</w:t>
      </w:r>
      <w:r w:rsidR="00363BCF" w:rsidRPr="0055314F">
        <w:t xml:space="preserve"> when attacking the gold standard and financial interests. The 1892 Omaha Platform spoke of a ‘vast conspiracy against mankind’</w:t>
      </w:r>
      <w:r w:rsidR="00CE0180" w:rsidRPr="0055314F">
        <w:t xml:space="preserve">, and individual Populist authors used even more explicit </w:t>
      </w:r>
      <w:proofErr w:type="spellStart"/>
      <w:r w:rsidR="00CE0180" w:rsidRPr="0055314F">
        <w:t>anti-semitic</w:t>
      </w:r>
      <w:proofErr w:type="spellEnd"/>
      <w:r w:rsidR="00CE0180" w:rsidRPr="0055314F">
        <w:t xml:space="preserve"> language.</w:t>
      </w:r>
      <w:r w:rsidR="00363BCF" w:rsidRPr="0055314F">
        <w:rPr>
          <w:rStyle w:val="FootnoteReference"/>
        </w:rPr>
        <w:footnoteReference w:id="16"/>
      </w:r>
      <w:r w:rsidR="00363BCF" w:rsidRPr="0055314F">
        <w:t xml:space="preserve">  However, as Postel notes, Hofstadter’s view that ‘the Populists were an ominous source of anti-Semitism and intolerance have lost currency’.</w:t>
      </w:r>
      <w:r w:rsidR="002908A0">
        <w:rPr>
          <w:rStyle w:val="FootnoteReference"/>
        </w:rPr>
        <w:footnoteReference w:id="17"/>
      </w:r>
      <w:r w:rsidR="00363BCF" w:rsidRPr="0055314F">
        <w:t xml:space="preserve"> Indeed, Hofstadter himself eventually </w:t>
      </w:r>
      <w:r w:rsidR="00363BCF" w:rsidRPr="0055314F">
        <w:lastRenderedPageBreak/>
        <w:t>‘conceded that nativism and anti-Semitism permeated American society in the 1890s and reflected the urban as well as rural mind. That he did not give attention to this fact, he acknowledged, was a serious deficiency of the book and gave its critics grounds for reproach’.</w:t>
      </w:r>
      <w:r w:rsidR="002908A0">
        <w:rPr>
          <w:rStyle w:val="FootnoteReference"/>
        </w:rPr>
        <w:footnoteReference w:id="18"/>
      </w:r>
      <w:r w:rsidR="00363BCF" w:rsidRPr="0055314F">
        <w:t xml:space="preserve"> In a roundtable on Postel’s </w:t>
      </w:r>
      <w:r w:rsidR="0010375B">
        <w:t xml:space="preserve">2007 </w:t>
      </w:r>
      <w:r w:rsidR="00363BCF" w:rsidRPr="0055314F">
        <w:t>book, William Pratt argues that while it (along with other recent literature) minimises ‘the conspiratorial rhetoric and anti-Semitism that everybody who has ever researched in the Populist press has seen’, at the same time he does ‘not want to suggest that anti-Semitism was a dominant thread in Populist thinking (or that it was uniquely Populist)’.</w:t>
      </w:r>
      <w:r w:rsidR="0007307C">
        <w:rPr>
          <w:rStyle w:val="FootnoteReference"/>
        </w:rPr>
        <w:footnoteReference w:id="19"/>
      </w:r>
      <w:r w:rsidR="00F53976">
        <w:t xml:space="preserve"> I</w:t>
      </w:r>
      <w:r w:rsidR="00EE3A65">
        <w:t>t also bears mentioning that i</w:t>
      </w:r>
      <w:r w:rsidR="00F53976">
        <w:t>n 1894 Adolph Sutro, a German Jew, was elected mayor of San Francisco on the Populist ticket.</w:t>
      </w:r>
    </w:p>
    <w:p w14:paraId="7CA687B6" w14:textId="51B67D20" w:rsidR="00363BCF" w:rsidRPr="0055314F" w:rsidRDefault="00363BCF" w:rsidP="006E7F7E">
      <w:pPr>
        <w:spacing w:line="480" w:lineRule="auto"/>
        <w:jc w:val="both"/>
      </w:pPr>
    </w:p>
    <w:p w14:paraId="76037953" w14:textId="3563845E" w:rsidR="00EE29D7" w:rsidRDefault="00363BCF" w:rsidP="00EE29D7">
      <w:pPr>
        <w:spacing w:line="480" w:lineRule="auto"/>
        <w:jc w:val="both"/>
      </w:pPr>
      <w:r w:rsidRPr="0055314F">
        <w:t>The Omaha Platform advocate</w:t>
      </w:r>
      <w:r w:rsidR="00752245">
        <w:t>d</w:t>
      </w:r>
      <w:r w:rsidRPr="0055314F">
        <w:t xml:space="preserve"> a ban on the ‘alien ownership of land’, and denounced the impact of immigration on </w:t>
      </w:r>
      <w:r w:rsidR="001E2317" w:rsidRPr="0055314F">
        <w:t xml:space="preserve">workers’ wages. The 1896 Democratic Party platform of William Jennings Bryan, supported by the Populists, argued that the best way to protect workers was to </w:t>
      </w:r>
      <w:r w:rsidR="00341EE7" w:rsidRPr="0055314F">
        <w:t>‘</w:t>
      </w:r>
      <w:r w:rsidR="001E2317" w:rsidRPr="0055314F">
        <w:t xml:space="preserve">prevent the importation of foreign pauper </w:t>
      </w:r>
      <w:proofErr w:type="spellStart"/>
      <w:r w:rsidR="001E2317" w:rsidRPr="0055314F">
        <w:t>labor</w:t>
      </w:r>
      <w:proofErr w:type="spellEnd"/>
      <w:r w:rsidR="00341EE7" w:rsidRPr="0055314F">
        <w:t>’</w:t>
      </w:r>
      <w:r w:rsidR="001E2317" w:rsidRPr="0055314F">
        <w:t>.</w:t>
      </w:r>
      <w:r w:rsidR="00A67BFB" w:rsidRPr="0055314F">
        <w:rPr>
          <w:rStyle w:val="FootnoteReference"/>
        </w:rPr>
        <w:footnoteReference w:id="20"/>
      </w:r>
      <w:r w:rsidR="00A67BFB" w:rsidRPr="0055314F">
        <w:t xml:space="preserve"> If being anti-immigration reflects nativism, then the charge of nativism could fairly </w:t>
      </w:r>
      <w:r w:rsidR="0010375B" w:rsidRPr="0055314F">
        <w:t xml:space="preserve">be </w:t>
      </w:r>
      <w:r w:rsidR="00A67BFB" w:rsidRPr="0055314F">
        <w:t xml:space="preserve">levelled against the Populists, but by extension it could also be levelled against not only </w:t>
      </w:r>
      <w:r w:rsidR="001261E2" w:rsidRPr="0055314F">
        <w:t xml:space="preserve">Populists and their </w:t>
      </w:r>
      <w:r w:rsidR="00A67BFB" w:rsidRPr="0055314F">
        <w:t>Democrat</w:t>
      </w:r>
      <w:r w:rsidR="001261E2" w:rsidRPr="0055314F">
        <w:t>ic allies</w:t>
      </w:r>
      <w:r w:rsidR="00A67BFB" w:rsidRPr="0055314F">
        <w:t>, but</w:t>
      </w:r>
      <w:r w:rsidR="001261E2" w:rsidRPr="0055314F">
        <w:t xml:space="preserve"> against</w:t>
      </w:r>
      <w:r w:rsidR="00A67BFB" w:rsidRPr="0055314F">
        <w:t xml:space="preserve"> Republicans </w:t>
      </w:r>
      <w:r w:rsidR="00341EE7" w:rsidRPr="0055314F">
        <w:t>as well. I</w:t>
      </w:r>
      <w:r w:rsidR="00A67BFB" w:rsidRPr="0055314F">
        <w:t xml:space="preserve">n 1896 </w:t>
      </w:r>
      <w:r w:rsidR="00341EE7" w:rsidRPr="0055314F">
        <w:t xml:space="preserve">the GOP </w:t>
      </w:r>
      <w:r w:rsidR="00A67BFB" w:rsidRPr="0055314F">
        <w:t>also argued that American workers needed to be protected against cheap immigrant labour, and proposed the exclusion of illiterate would-be immigrants.</w:t>
      </w:r>
      <w:r w:rsidR="00A67BFB" w:rsidRPr="0055314F">
        <w:rPr>
          <w:rStyle w:val="FootnoteReference"/>
        </w:rPr>
        <w:footnoteReference w:id="21"/>
      </w:r>
    </w:p>
    <w:p w14:paraId="45D9CE68" w14:textId="77777777" w:rsidR="00B202B2" w:rsidRDefault="00B202B2" w:rsidP="00EE29D7">
      <w:pPr>
        <w:spacing w:line="480" w:lineRule="auto"/>
        <w:jc w:val="both"/>
      </w:pPr>
    </w:p>
    <w:p w14:paraId="5F323863" w14:textId="0DAFC7D5" w:rsidR="00326081" w:rsidRDefault="00366016" w:rsidP="00EE29D7">
      <w:pPr>
        <w:spacing w:line="480" w:lineRule="auto"/>
        <w:jc w:val="both"/>
      </w:pPr>
      <w:r w:rsidRPr="0055314F">
        <w:t>S</w:t>
      </w:r>
      <w:r w:rsidR="00CE0180" w:rsidRPr="0055314F">
        <w:t xml:space="preserve">cholars like Goodwyn emphasised </w:t>
      </w:r>
      <w:r w:rsidRPr="0055314F">
        <w:t xml:space="preserve">political </w:t>
      </w:r>
      <w:r w:rsidR="00CE0180" w:rsidRPr="0055314F">
        <w:t>cooperation between black and white Populists</w:t>
      </w:r>
      <w:r w:rsidR="00C3056A" w:rsidRPr="0055314F">
        <w:t>, such as the</w:t>
      </w:r>
      <w:r w:rsidR="00CE0180" w:rsidRPr="0055314F">
        <w:t xml:space="preserve"> successful biracial coalition in Grimes County, Texas </w:t>
      </w:r>
      <w:r w:rsidR="00C3056A" w:rsidRPr="0055314F">
        <w:t xml:space="preserve">that </w:t>
      </w:r>
      <w:r w:rsidR="00CE0180" w:rsidRPr="0055314F">
        <w:t xml:space="preserve">only </w:t>
      </w:r>
      <w:r w:rsidR="00C3056A" w:rsidRPr="0055314F">
        <w:t>ended</w:t>
      </w:r>
      <w:r w:rsidR="00CE0180" w:rsidRPr="0055314F">
        <w:t xml:space="preserve"> </w:t>
      </w:r>
      <w:r w:rsidR="00C3056A" w:rsidRPr="0055314F">
        <w:t>when</w:t>
      </w:r>
      <w:r w:rsidR="00CE0180" w:rsidRPr="0055314F">
        <w:t xml:space="preserve"> a </w:t>
      </w:r>
      <w:r w:rsidRPr="0055314F">
        <w:t xml:space="preserve">violent </w:t>
      </w:r>
      <w:r w:rsidR="00CE0180" w:rsidRPr="0055314F">
        <w:t>terrorist campaign ushered in an era of Democratic Party dominance</w:t>
      </w:r>
      <w:r w:rsidR="00091FD3">
        <w:t>.</w:t>
      </w:r>
      <w:r w:rsidR="00091FD3">
        <w:rPr>
          <w:rStyle w:val="FootnoteReference"/>
        </w:rPr>
        <w:footnoteReference w:id="22"/>
      </w:r>
      <w:r w:rsidR="00091FD3">
        <w:t xml:space="preserve"> </w:t>
      </w:r>
      <w:r w:rsidR="00C3056A" w:rsidRPr="0055314F">
        <w:t xml:space="preserve">In 1894 Populists and Republicans combined to take control of the North Carolina </w:t>
      </w:r>
      <w:r w:rsidR="00CE572A" w:rsidRPr="0055314F">
        <w:t xml:space="preserve">legislature. </w:t>
      </w:r>
      <w:r w:rsidR="00183570" w:rsidRPr="0055314F">
        <w:t xml:space="preserve">At the same time, </w:t>
      </w:r>
      <w:r w:rsidR="00CE572A" w:rsidRPr="0055314F">
        <w:t xml:space="preserve">Goodwyn </w:t>
      </w:r>
      <w:r w:rsidR="008B065F" w:rsidRPr="0055314F">
        <w:t xml:space="preserve">also </w:t>
      </w:r>
      <w:r w:rsidR="00CE572A" w:rsidRPr="0055314F">
        <w:t>acknowledge</w:t>
      </w:r>
      <w:r w:rsidRPr="0055314F">
        <w:t>d</w:t>
      </w:r>
      <w:r w:rsidR="00CE572A" w:rsidRPr="0055314F">
        <w:t xml:space="preserve"> the ‘suffocating’ impact of racism, and more recent scholarship has increasingly emphasised the racism of white Populists.</w:t>
      </w:r>
      <w:r w:rsidR="00091FD3">
        <w:rPr>
          <w:rStyle w:val="FootnoteReference"/>
        </w:rPr>
        <w:footnoteReference w:id="23"/>
      </w:r>
      <w:r w:rsidR="00CE572A" w:rsidRPr="0055314F">
        <w:t xml:space="preserve"> Many </w:t>
      </w:r>
      <w:r w:rsidR="00EE3A65">
        <w:t>s</w:t>
      </w:r>
      <w:r w:rsidR="00326081" w:rsidRPr="0055314F">
        <w:t>outhern Populist</w:t>
      </w:r>
      <w:r w:rsidR="00CE572A" w:rsidRPr="0055314F">
        <w:t xml:space="preserve">s had </w:t>
      </w:r>
      <w:r w:rsidR="00746ED5" w:rsidRPr="0055314F">
        <w:t>previously been</w:t>
      </w:r>
      <w:r w:rsidR="00CE572A" w:rsidRPr="0055314F">
        <w:t xml:space="preserve"> associated with paramilitarism or lynching; their</w:t>
      </w:r>
      <w:r w:rsidR="00326081" w:rsidRPr="0055314F">
        <w:t xml:space="preserve"> leaders for the most part believed in racial segregation and white supremacy. The Farmers Alliance excluded black members</w:t>
      </w:r>
      <w:r w:rsidR="00DE51C1" w:rsidRPr="0055314F">
        <w:t xml:space="preserve"> nationwide</w:t>
      </w:r>
      <w:r w:rsidR="00326081" w:rsidRPr="0055314F">
        <w:t>;</w:t>
      </w:r>
      <w:r w:rsidR="00DE51C1" w:rsidRPr="0055314F">
        <w:t xml:space="preserve"> southern</w:t>
      </w:r>
      <w:r w:rsidR="00326081" w:rsidRPr="0055314F">
        <w:t xml:space="preserve"> Populist politicians supported Jim Crow segregationist laws</w:t>
      </w:r>
      <w:r w:rsidR="00746ED5" w:rsidRPr="0055314F">
        <w:t xml:space="preserve">. In consequence, many African Americans continued to identify with the Republicans, </w:t>
      </w:r>
      <w:r w:rsidRPr="0055314F">
        <w:t>even when</w:t>
      </w:r>
      <w:r w:rsidR="00746ED5" w:rsidRPr="0055314F">
        <w:t xml:space="preserve"> cooperating with white Populists</w:t>
      </w:r>
      <w:r w:rsidR="00326081" w:rsidRPr="0055314F">
        <w:t>.</w:t>
      </w:r>
      <w:r w:rsidR="00091FD3">
        <w:rPr>
          <w:rStyle w:val="FootnoteReference"/>
        </w:rPr>
        <w:footnoteReference w:id="24"/>
      </w:r>
      <w:r w:rsidR="00326081" w:rsidRPr="0055314F">
        <w:t xml:space="preserve"> But </w:t>
      </w:r>
      <w:r w:rsidR="00746ED5" w:rsidRPr="0055314F">
        <w:t>there were also</w:t>
      </w:r>
      <w:r w:rsidR="001822AA" w:rsidRPr="0055314F">
        <w:t xml:space="preserve"> </w:t>
      </w:r>
      <w:r w:rsidR="00746ED5" w:rsidRPr="0055314F">
        <w:t xml:space="preserve">committed </w:t>
      </w:r>
      <w:r w:rsidR="001822AA" w:rsidRPr="0055314F">
        <w:t>black Populists</w:t>
      </w:r>
      <w:r w:rsidR="00746ED5" w:rsidRPr="0055314F">
        <w:t xml:space="preserve">, </w:t>
      </w:r>
      <w:r w:rsidR="001822AA" w:rsidRPr="0055314F">
        <w:t>whose agency</w:t>
      </w:r>
      <w:r w:rsidR="0010375B">
        <w:t>,</w:t>
      </w:r>
      <w:r w:rsidR="001822AA" w:rsidRPr="0055314F">
        <w:t xml:space="preserve"> </w:t>
      </w:r>
      <w:r w:rsidR="00746ED5" w:rsidRPr="0055314F">
        <w:t>achievements</w:t>
      </w:r>
      <w:r w:rsidR="0010375B">
        <w:t>, and Populist identity</w:t>
      </w:r>
      <w:r w:rsidR="00746ED5" w:rsidRPr="0055314F">
        <w:t xml:space="preserve"> </w:t>
      </w:r>
      <w:r w:rsidR="001822AA" w:rsidRPr="0055314F">
        <w:t>deserve recognition.</w:t>
      </w:r>
      <w:r w:rsidR="00A22B1B">
        <w:rPr>
          <w:rStyle w:val="FootnoteReference"/>
        </w:rPr>
        <w:footnoteReference w:id="25"/>
      </w:r>
      <w:r w:rsidR="001822AA" w:rsidRPr="0055314F">
        <w:t xml:space="preserve"> White Populists </w:t>
      </w:r>
      <w:r w:rsidR="00746ED5" w:rsidRPr="0055314F">
        <w:t>argued</w:t>
      </w:r>
      <w:r w:rsidR="001822AA" w:rsidRPr="0055314F">
        <w:t xml:space="preserve"> that poor blacks and whites share</w:t>
      </w:r>
      <w:r w:rsidR="00746ED5" w:rsidRPr="0055314F">
        <w:t>d</w:t>
      </w:r>
      <w:r w:rsidR="001822AA" w:rsidRPr="0055314F">
        <w:t xml:space="preserve"> common economic interests</w:t>
      </w:r>
      <w:r w:rsidR="008B065F" w:rsidRPr="0055314F">
        <w:t xml:space="preserve"> and should cooperate to further these</w:t>
      </w:r>
      <w:r w:rsidR="001822AA" w:rsidRPr="0055314F">
        <w:t xml:space="preserve">; the very existence of a third party increased political competition in the South which </w:t>
      </w:r>
      <w:r w:rsidR="00746ED5" w:rsidRPr="0055314F">
        <w:t>African Americans</w:t>
      </w:r>
      <w:r w:rsidR="001822AA" w:rsidRPr="0055314F">
        <w:t xml:space="preserve"> could use to their advantage. </w:t>
      </w:r>
      <w:r w:rsidR="00DE51C1" w:rsidRPr="0055314F">
        <w:t>Nor were all Populists southern</w:t>
      </w:r>
      <w:r w:rsidR="00746ED5" w:rsidRPr="0055314F">
        <w:t>.</w:t>
      </w:r>
      <w:r w:rsidRPr="0055314F">
        <w:t xml:space="preserve"> </w:t>
      </w:r>
      <w:r w:rsidR="008B065F" w:rsidRPr="0055314F">
        <w:t xml:space="preserve">It would seem strange, therefore, to single out Populists and define them as populist on the basis of racism, when on this criterion southern Democrats would seem to fit the bill in a far </w:t>
      </w:r>
      <w:r w:rsidR="00326C43" w:rsidRPr="0055314F">
        <w:t xml:space="preserve">more straight-forward </w:t>
      </w:r>
      <w:r w:rsidR="008B065F" w:rsidRPr="0055314F">
        <w:t xml:space="preserve">manner. </w:t>
      </w:r>
    </w:p>
    <w:p w14:paraId="37B70073" w14:textId="77777777" w:rsidR="00EE29D7" w:rsidRPr="0055314F" w:rsidRDefault="00EE29D7" w:rsidP="00EE29D7">
      <w:pPr>
        <w:spacing w:line="480" w:lineRule="auto"/>
        <w:jc w:val="both"/>
      </w:pPr>
    </w:p>
    <w:p w14:paraId="088E19A7" w14:textId="0D4BB0E9" w:rsidR="00F94BFF" w:rsidRPr="0055314F" w:rsidRDefault="00B620B2" w:rsidP="006E7F7E">
      <w:pPr>
        <w:spacing w:line="480" w:lineRule="auto"/>
        <w:jc w:val="both"/>
      </w:pPr>
      <w:r>
        <w:lastRenderedPageBreak/>
        <w:t>Far from being</w:t>
      </w:r>
      <w:r w:rsidR="00C84E6F" w:rsidRPr="0055314F">
        <w:t xml:space="preserve"> </w:t>
      </w:r>
      <w:r w:rsidR="00F94BFF" w:rsidRPr="0055314F">
        <w:t xml:space="preserve">backward-looking, </w:t>
      </w:r>
      <w:r w:rsidR="00CA6D03">
        <w:t xml:space="preserve">as </w:t>
      </w:r>
      <w:r w:rsidR="00CA6D03" w:rsidRPr="0055314F">
        <w:t xml:space="preserve">Hofstadter </w:t>
      </w:r>
      <w:r w:rsidR="00CA6D03">
        <w:t xml:space="preserve">claimed, </w:t>
      </w:r>
      <w:r w:rsidR="002D389E" w:rsidRPr="0055314F">
        <w:t>Populists</w:t>
      </w:r>
      <w:r w:rsidR="00F94BFF" w:rsidRPr="0055314F">
        <w:t xml:space="preserve"> were </w:t>
      </w:r>
      <w:r w:rsidR="000E51AF" w:rsidRPr="0055314F">
        <w:t>modern, materialistic, and dedicated to the idea of progress.</w:t>
      </w:r>
      <w:r w:rsidR="00D534C7">
        <w:rPr>
          <w:rStyle w:val="FootnoteReference"/>
        </w:rPr>
        <w:footnoteReference w:id="26"/>
      </w:r>
      <w:r w:rsidR="00AF7114" w:rsidRPr="0055314F">
        <w:t xml:space="preserve"> </w:t>
      </w:r>
      <w:r w:rsidR="000E51AF" w:rsidRPr="0055314F">
        <w:t xml:space="preserve">They </w:t>
      </w:r>
      <w:r w:rsidR="00C84E6F" w:rsidRPr="0055314F">
        <w:t>opposed</w:t>
      </w:r>
      <w:r w:rsidR="000E51AF" w:rsidRPr="0055314F">
        <w:t xml:space="preserve"> monopoly power in the rail sector but</w:t>
      </w:r>
      <w:r w:rsidR="00C84E6F" w:rsidRPr="0055314F">
        <w:t xml:space="preserve"> were</w:t>
      </w:r>
      <w:r w:rsidR="000E51AF" w:rsidRPr="0055314F">
        <w:t xml:space="preserve"> in favour of railroads. </w:t>
      </w:r>
      <w:r w:rsidR="00467FC7">
        <w:t>Hundreds of thousands of women</w:t>
      </w:r>
      <w:r w:rsidR="00A976D6">
        <w:t xml:space="preserve">, including such </w:t>
      </w:r>
      <w:r w:rsidR="00CA6D03">
        <w:t>celebrities</w:t>
      </w:r>
      <w:r w:rsidR="00A976D6">
        <w:t xml:space="preserve"> as the writer Sarah E. Emery,</w:t>
      </w:r>
      <w:r w:rsidR="00467FC7">
        <w:t xml:space="preserve"> joined the movement</w:t>
      </w:r>
      <w:r w:rsidR="00A976D6">
        <w:t xml:space="preserve"> </w:t>
      </w:r>
      <w:r w:rsidR="00955BE7">
        <w:t>‘</w:t>
      </w:r>
      <w:r w:rsidR="00A976D6">
        <w:t>because it raised the prospects of a more independent and modern life</w:t>
      </w:r>
      <w:r w:rsidR="00955BE7">
        <w:t>’</w:t>
      </w:r>
      <w:r w:rsidR="00AF7114" w:rsidRPr="0055314F">
        <w:t>.</w:t>
      </w:r>
      <w:r w:rsidR="00B66EB5">
        <w:rPr>
          <w:rStyle w:val="FootnoteReference"/>
        </w:rPr>
        <w:footnoteReference w:id="27"/>
      </w:r>
      <w:r w:rsidR="00AF7114" w:rsidRPr="0055314F">
        <w:t xml:space="preserve"> </w:t>
      </w:r>
      <w:r w:rsidR="00C95AC3" w:rsidRPr="0055314F">
        <w:t>The Farmer</w:t>
      </w:r>
      <w:r w:rsidR="002928EC">
        <w:t>’</w:t>
      </w:r>
      <w:r w:rsidR="00C95AC3" w:rsidRPr="0055314F">
        <w:t xml:space="preserve">s Alliance enthusiastically promoted education, spreading </w:t>
      </w:r>
      <w:r w:rsidR="002D389E" w:rsidRPr="0055314F">
        <w:t>‘</w:t>
      </w:r>
      <w:r w:rsidR="00C95AC3" w:rsidRPr="0055314F">
        <w:t>a network of lecture circuits, literature distribution, and meetinghouse adult education across large swathes of rural America</w:t>
      </w:r>
      <w:r w:rsidR="002D389E" w:rsidRPr="0055314F">
        <w:t>’</w:t>
      </w:r>
      <w:r w:rsidR="00C95AC3" w:rsidRPr="0055314F">
        <w:t>.</w:t>
      </w:r>
      <w:r w:rsidR="00D534C7">
        <w:rPr>
          <w:rStyle w:val="FootnoteReference"/>
        </w:rPr>
        <w:footnoteReference w:id="28"/>
      </w:r>
      <w:r w:rsidR="00C95AC3" w:rsidRPr="0055314F">
        <w:t xml:space="preserve"> In this, as in their promotion of agricultural cooperation</w:t>
      </w:r>
      <w:r w:rsidR="00803E1B" w:rsidRPr="0055314F">
        <w:t xml:space="preserve"> as a means to combat </w:t>
      </w:r>
      <w:r w:rsidR="00BC4BE0" w:rsidRPr="0055314F">
        <w:t xml:space="preserve">monopoly power, </w:t>
      </w:r>
      <w:r w:rsidR="00C95AC3" w:rsidRPr="0055314F">
        <w:t xml:space="preserve">they resembled bottom-up farmers’ movements in other countries of the time, </w:t>
      </w:r>
      <w:r w:rsidR="00BC4BE0" w:rsidRPr="0055314F">
        <w:t>such as</w:t>
      </w:r>
      <w:r w:rsidR="00C95AC3" w:rsidRPr="0055314F">
        <w:t xml:space="preserve"> Denmark which is typically hel</w:t>
      </w:r>
      <w:r w:rsidR="001D5386" w:rsidRPr="0055314F">
        <w:t>d</w:t>
      </w:r>
      <w:r w:rsidR="00C95AC3" w:rsidRPr="0055314F">
        <w:t xml:space="preserve"> up as an exemplar of progressive </w:t>
      </w:r>
      <w:r w:rsidR="001D5386" w:rsidRPr="0055314F">
        <w:t xml:space="preserve">nineteenth century </w:t>
      </w:r>
      <w:r w:rsidR="00C95AC3" w:rsidRPr="0055314F">
        <w:t>agricultural development.</w:t>
      </w:r>
      <w:r w:rsidR="00F07485" w:rsidRPr="0055314F">
        <w:t xml:space="preserve"> </w:t>
      </w:r>
      <w:r w:rsidR="0082409F" w:rsidRPr="0055314F">
        <w:t>In their advocacy of a nationalized rail service, a graduated income tax, and postal savings banks, as well as their opposition to the gold standard</w:t>
      </w:r>
      <w:r w:rsidR="00B62851" w:rsidRPr="0055314F">
        <w:t xml:space="preserve"> and support of labour rights</w:t>
      </w:r>
      <w:r w:rsidR="0082409F" w:rsidRPr="0055314F">
        <w:t xml:space="preserve">, they were in many respects ahead of their time. And if protectionism is held </w:t>
      </w:r>
      <w:r w:rsidR="00A0731D" w:rsidRPr="0055314F">
        <w:t>to be a typical demand of populists, then it should be remembered that it was the Populists’ political opponents in 1896, the Republicans, who were the protectionist party of the day.</w:t>
      </w:r>
    </w:p>
    <w:p w14:paraId="126D5D99" w14:textId="08AC69FD" w:rsidR="00EA5C13" w:rsidRPr="0055314F" w:rsidRDefault="00EA5C13" w:rsidP="006E7F7E">
      <w:pPr>
        <w:spacing w:line="480" w:lineRule="auto"/>
        <w:jc w:val="both"/>
      </w:pPr>
    </w:p>
    <w:p w14:paraId="4EAFD595" w14:textId="75B7F8DC" w:rsidR="00B470AD" w:rsidRDefault="00752245" w:rsidP="00B470AD">
      <w:pPr>
        <w:spacing w:line="480" w:lineRule="auto"/>
        <w:jc w:val="both"/>
      </w:pPr>
      <w:r>
        <w:t>Who supported the</w:t>
      </w:r>
      <w:r w:rsidR="00EA5C13" w:rsidRPr="0055314F">
        <w:t xml:space="preserve"> Populists? The county-level analysis of </w:t>
      </w:r>
      <w:proofErr w:type="spellStart"/>
      <w:r w:rsidR="00EA5C13" w:rsidRPr="0055314F">
        <w:t>Eichengreen</w:t>
      </w:r>
      <w:proofErr w:type="spellEnd"/>
      <w:r w:rsidR="00EA5C13" w:rsidRPr="0055314F">
        <w:t xml:space="preserve"> </w:t>
      </w:r>
      <w:r w:rsidR="00EA5C13" w:rsidRPr="005770B3">
        <w:t>et al</w:t>
      </w:r>
      <w:r w:rsidR="00EA5C13" w:rsidRPr="0055314F">
        <w:rPr>
          <w:i/>
          <w:iCs/>
        </w:rPr>
        <w:t>.</w:t>
      </w:r>
      <w:r w:rsidR="00FE2892" w:rsidRPr="0055314F">
        <w:t>, who study voting during the 1896 Presidential election,</w:t>
      </w:r>
      <w:r w:rsidR="00EA5C13" w:rsidRPr="0055314F">
        <w:t xml:space="preserve"> reveals that Bryan did poorly in counties with large shares of Catholics and with large Black populations.</w:t>
      </w:r>
      <w:r w:rsidR="005770B3">
        <w:rPr>
          <w:rStyle w:val="FootnoteReference"/>
        </w:rPr>
        <w:footnoteReference w:id="29"/>
      </w:r>
      <w:r w:rsidR="00EA5C13" w:rsidRPr="0055314F">
        <w:t xml:space="preserve"> </w:t>
      </w:r>
      <w:r>
        <w:t>He</w:t>
      </w:r>
      <w:r w:rsidR="00EA5C13" w:rsidRPr="0055314F">
        <w:t xml:space="preserve"> was less successful in manufacturing areas and where the foreign-born population was higher. Somewhat </w:t>
      </w:r>
      <w:r w:rsidR="00EA5C13" w:rsidRPr="0055314F">
        <w:lastRenderedPageBreak/>
        <w:t>surprisingly, the level of farm output per capita is not associated with support for Bryan, with any agricultural effect concentrated in tobacco and cotton farming areas.</w:t>
      </w:r>
    </w:p>
    <w:p w14:paraId="24579551" w14:textId="77777777" w:rsidR="00B620B2" w:rsidRDefault="00B620B2" w:rsidP="006E7F7E">
      <w:pPr>
        <w:spacing w:line="480" w:lineRule="auto"/>
        <w:jc w:val="both"/>
        <w:rPr>
          <w:b/>
          <w:bCs/>
        </w:rPr>
      </w:pPr>
    </w:p>
    <w:p w14:paraId="63135B9A" w14:textId="78AE0C10" w:rsidR="00D31DC1" w:rsidRDefault="00382208" w:rsidP="00D31DC1">
      <w:pPr>
        <w:spacing w:line="480" w:lineRule="auto"/>
        <w:jc w:val="both"/>
      </w:pPr>
      <w:r w:rsidRPr="0055314F">
        <w:t xml:space="preserve">Although individual data from the 1890s are unavailable, an early </w:t>
      </w:r>
      <w:r w:rsidRPr="0055314F">
        <w:rPr>
          <w:i/>
          <w:iCs/>
        </w:rPr>
        <w:t>Fortune Magazine</w:t>
      </w:r>
      <w:r w:rsidRPr="0055314F">
        <w:t xml:space="preserve"> public opinion survey conducted in the 1930s by the Roper Organisation exist</w:t>
      </w:r>
      <w:r>
        <w:t>s</w:t>
      </w:r>
      <w:r w:rsidRPr="0055314F">
        <w:t xml:space="preserve"> that asked the question </w:t>
      </w:r>
      <w:r w:rsidR="00E33F19">
        <w:t>‘</w:t>
      </w:r>
      <w:r w:rsidRPr="0055314F">
        <w:t>Which [former statesman] would you choose to succeed FDR?</w:t>
      </w:r>
      <w:r w:rsidR="00E33F19">
        <w:t>’</w:t>
      </w:r>
      <w:r w:rsidRPr="0055314F">
        <w:t>, with William Jennings Bryan as a possible answer.</w:t>
      </w:r>
      <w:r w:rsidR="005770B3">
        <w:rPr>
          <w:rStyle w:val="FootnoteReference"/>
        </w:rPr>
        <w:footnoteReference w:id="30"/>
      </w:r>
      <w:r w:rsidRPr="0055314F">
        <w:t xml:space="preserve"> Bryan was the choice of around 4 per cent of those surveyed. We can use these data to identify those individuals, if not previous voters or supporters, who were at least positively inclined towards Bryan in the 1930s.</w:t>
      </w:r>
      <w:r>
        <w:t xml:space="preserve"> W</w:t>
      </w:r>
      <w:r w:rsidR="00EA5C13" w:rsidRPr="0055314F">
        <w:t xml:space="preserve">e can </w:t>
      </w:r>
      <w:r>
        <w:t xml:space="preserve">then </w:t>
      </w:r>
      <w:r w:rsidR="00EA5C13" w:rsidRPr="0055314F">
        <w:t xml:space="preserve">explore the differences between those </w:t>
      </w:r>
      <w:r w:rsidR="0083248B" w:rsidRPr="0055314F">
        <w:t>who</w:t>
      </w:r>
      <w:r w:rsidR="00EA5C13" w:rsidRPr="0055314F">
        <w:t xml:space="preserve"> chose Bryan </w:t>
      </w:r>
      <w:r w:rsidR="0083248B" w:rsidRPr="0055314F">
        <w:t>and those who chose another</w:t>
      </w:r>
      <w:r w:rsidR="00EA5C13" w:rsidRPr="0055314F">
        <w:t xml:space="preserve"> former statesm</w:t>
      </w:r>
      <w:r w:rsidR="0083248B" w:rsidRPr="0055314F">
        <w:t>an</w:t>
      </w:r>
      <w:r w:rsidR="00B620B2">
        <w:t xml:space="preserve">, thus </w:t>
      </w:r>
      <w:r w:rsidR="00EA5C13" w:rsidRPr="0055314F">
        <w:t>gain</w:t>
      </w:r>
      <w:r w:rsidR="00B620B2">
        <w:t>ing</w:t>
      </w:r>
      <w:r w:rsidR="00EA5C13" w:rsidRPr="0055314F">
        <w:t xml:space="preserve"> some indication as to who supported the Populists in retrospect.</w:t>
      </w:r>
      <w:r w:rsidR="00EA5C13" w:rsidRPr="0055314F">
        <w:rPr>
          <w:vertAlign w:val="superscript"/>
        </w:rPr>
        <w:footnoteReference w:id="31"/>
      </w:r>
    </w:p>
    <w:p w14:paraId="61F39EF8" w14:textId="28E7ED27" w:rsidR="00EE3A65" w:rsidRDefault="00EE3A65" w:rsidP="007B31A5">
      <w:pPr>
        <w:rPr>
          <w:b/>
          <w:bCs/>
        </w:rPr>
      </w:pPr>
    </w:p>
    <w:p w14:paraId="2A44E953" w14:textId="69D9BAD4" w:rsidR="005B3F57" w:rsidRPr="00B10B37" w:rsidRDefault="00382208" w:rsidP="00B10B37">
      <w:pPr>
        <w:spacing w:line="480" w:lineRule="auto"/>
        <w:jc w:val="both"/>
      </w:pPr>
      <w:r w:rsidRPr="0055314F">
        <w:t xml:space="preserve">Table </w:t>
      </w:r>
      <w:r w:rsidR="00B620B2">
        <w:t>1</w:t>
      </w:r>
      <w:r w:rsidRPr="0055314F">
        <w:t xml:space="preserve"> presents the comparison. Given that the survey was carried out in the 1930s – some decades after Bryan’s peak in terms of national prominence - we restrict the sample to respondents who were over 40 in 1938. </w:t>
      </w:r>
      <w:r w:rsidR="00790CA6" w:rsidRPr="00FC1BEE">
        <w:t>Although t</w:t>
      </w:r>
      <w:r w:rsidRPr="00FC1BEE">
        <w:t>he exercise</w:t>
      </w:r>
      <w:r w:rsidR="00790CA6" w:rsidRPr="00FC1BEE">
        <w:t xml:space="preserve"> has </w:t>
      </w:r>
      <w:r w:rsidR="00CA6D03" w:rsidRPr="00FC1BEE">
        <w:t>obvious</w:t>
      </w:r>
      <w:r w:rsidR="00790CA6" w:rsidRPr="00FC1BEE">
        <w:t xml:space="preserve"> limitations</w:t>
      </w:r>
      <w:r w:rsidR="00790CA6">
        <w:t xml:space="preserve">, it </w:t>
      </w:r>
      <w:r w:rsidRPr="0055314F">
        <w:t xml:space="preserve">reveals a number of interesting characteristics of Bryan </w:t>
      </w:r>
      <w:r w:rsidR="00E33F19">
        <w:t>“</w:t>
      </w:r>
      <w:r w:rsidRPr="0055314F">
        <w:t>supporters</w:t>
      </w:r>
      <w:r w:rsidR="00E33F19">
        <w:t>”</w:t>
      </w:r>
      <w:r w:rsidRPr="0055314F">
        <w:t xml:space="preserve">. Mirroring the county-level conclusions of </w:t>
      </w:r>
      <w:proofErr w:type="spellStart"/>
      <w:r w:rsidRPr="0055314F">
        <w:t>Eichengreen</w:t>
      </w:r>
      <w:proofErr w:type="spellEnd"/>
      <w:r w:rsidRPr="0055314F">
        <w:t xml:space="preserve"> et al., Bryan was less popular among black respondents by quite some margin.</w:t>
      </w:r>
      <w:r w:rsidR="005770B3">
        <w:rPr>
          <w:rStyle w:val="FootnoteReference"/>
        </w:rPr>
        <w:footnoteReference w:id="32"/>
      </w:r>
      <w:r w:rsidRPr="0055314F">
        <w:t xml:space="preserve"> Only 1 per cent of those choosing Bryan were black compared to 9 per cent of those choosing another statesman, a result consistent with the view that African Americans demonstrated allegiance to the Republican party during this period. There are no statistically significant differences along </w:t>
      </w:r>
      <w:r w:rsidR="00790CA6">
        <w:t xml:space="preserve">gender or </w:t>
      </w:r>
      <w:r w:rsidRPr="0055314F">
        <w:t>religious lines</w:t>
      </w:r>
      <w:r>
        <w:t xml:space="preserve">. </w:t>
      </w:r>
      <w:r w:rsidRPr="0055314F">
        <w:t xml:space="preserve">Bryan enjoyed less support </w:t>
      </w:r>
      <w:r w:rsidRPr="0055314F">
        <w:lastRenderedPageBreak/>
        <w:t>among both white</w:t>
      </w:r>
      <w:r>
        <w:t xml:space="preserve"> and blue </w:t>
      </w:r>
      <w:r w:rsidRPr="0055314F">
        <w:t xml:space="preserve">collar </w:t>
      </w:r>
      <w:r>
        <w:t xml:space="preserve">workers </w:t>
      </w:r>
      <w:r w:rsidRPr="0055314F">
        <w:t>and greater support among farmers. Professionals, the unemployed</w:t>
      </w:r>
      <w:r>
        <w:t>,</w:t>
      </w:r>
      <w:r w:rsidRPr="0055314F">
        <w:t xml:space="preserve"> and the economically inactive were not disproportionately represented among Bryan supporters. </w:t>
      </w:r>
    </w:p>
    <w:p w14:paraId="24E6FC54" w14:textId="77777777" w:rsidR="00B620B2" w:rsidRDefault="00B620B2" w:rsidP="007B31A5">
      <w:pPr>
        <w:rPr>
          <w:b/>
          <w:bCs/>
        </w:rPr>
      </w:pPr>
    </w:p>
    <w:p w14:paraId="43C7E01A" w14:textId="77777777" w:rsidR="00904057" w:rsidRDefault="00904057">
      <w:pPr>
        <w:rPr>
          <w:b/>
          <w:bCs/>
        </w:rPr>
      </w:pPr>
      <w:r>
        <w:rPr>
          <w:b/>
          <w:bCs/>
        </w:rPr>
        <w:br w:type="page"/>
      </w:r>
    </w:p>
    <w:p w14:paraId="15B1AC0A" w14:textId="19EA122C" w:rsidR="00935222" w:rsidRPr="0055314F" w:rsidRDefault="00935222" w:rsidP="007B31A5">
      <w:pPr>
        <w:rPr>
          <w:b/>
          <w:bCs/>
        </w:rPr>
      </w:pPr>
      <w:r w:rsidRPr="0055314F">
        <w:rPr>
          <w:b/>
          <w:bCs/>
        </w:rPr>
        <w:lastRenderedPageBreak/>
        <w:t xml:space="preserve">Table </w:t>
      </w:r>
      <w:r w:rsidR="00B620B2">
        <w:rPr>
          <w:b/>
          <w:bCs/>
        </w:rPr>
        <w:t>1</w:t>
      </w:r>
      <w:r w:rsidRPr="0055314F">
        <w:rPr>
          <w:b/>
          <w:bCs/>
        </w:rPr>
        <w:t>. Attitudes towards William Jennings Bryan</w:t>
      </w:r>
    </w:p>
    <w:tbl>
      <w:tblPr>
        <w:tblW w:w="9091" w:type="dxa"/>
        <w:tblLook w:val="04A0" w:firstRow="1" w:lastRow="0" w:firstColumn="1" w:lastColumn="0" w:noHBand="0" w:noVBand="1"/>
      </w:tblPr>
      <w:tblGrid>
        <w:gridCol w:w="3791"/>
        <w:gridCol w:w="1060"/>
        <w:gridCol w:w="1060"/>
        <w:gridCol w:w="1157"/>
        <w:gridCol w:w="1060"/>
        <w:gridCol w:w="1060"/>
      </w:tblGrid>
      <w:tr w:rsidR="00A6451F" w:rsidRPr="00A6451F" w14:paraId="550631B1" w14:textId="77777777" w:rsidTr="00A6451F">
        <w:trPr>
          <w:trHeight w:val="279"/>
        </w:trPr>
        <w:tc>
          <w:tcPr>
            <w:tcW w:w="3791" w:type="dxa"/>
            <w:tcBorders>
              <w:top w:val="single" w:sz="4" w:space="0" w:color="auto"/>
              <w:left w:val="nil"/>
              <w:bottom w:val="nil"/>
              <w:right w:val="nil"/>
            </w:tcBorders>
            <w:shd w:val="clear" w:color="auto" w:fill="auto"/>
            <w:noWrap/>
            <w:vAlign w:val="center"/>
            <w:hideMark/>
          </w:tcPr>
          <w:p w14:paraId="490438BF" w14:textId="77777777" w:rsidR="00A6451F" w:rsidRPr="00A6451F" w:rsidRDefault="00A6451F" w:rsidP="00A6451F">
            <w:pPr>
              <w:jc w:val="right"/>
              <w:rPr>
                <w:rFonts w:ascii="Times New Roman" w:eastAsia="Times New Roman" w:hAnsi="Times New Roman" w:cs="Times New Roman"/>
                <w:b/>
                <w:bCs/>
                <w:color w:val="000000"/>
                <w:sz w:val="22"/>
                <w:szCs w:val="22"/>
                <w:lang w:eastAsia="en-GB"/>
              </w:rPr>
            </w:pPr>
            <w:r w:rsidRPr="00A6451F">
              <w:rPr>
                <w:rFonts w:ascii="Times New Roman" w:eastAsia="Times New Roman" w:hAnsi="Times New Roman" w:cs="Times New Roman"/>
                <w:b/>
                <w:bCs/>
                <w:color w:val="000000"/>
                <w:sz w:val="22"/>
                <w:szCs w:val="22"/>
                <w:lang w:eastAsia="en-GB"/>
              </w:rPr>
              <w:t> </w:t>
            </w:r>
          </w:p>
        </w:tc>
        <w:tc>
          <w:tcPr>
            <w:tcW w:w="1060" w:type="dxa"/>
            <w:tcBorders>
              <w:top w:val="single" w:sz="4" w:space="0" w:color="auto"/>
              <w:left w:val="nil"/>
              <w:bottom w:val="nil"/>
              <w:right w:val="nil"/>
            </w:tcBorders>
            <w:shd w:val="clear" w:color="auto" w:fill="auto"/>
            <w:noWrap/>
            <w:vAlign w:val="center"/>
            <w:hideMark/>
          </w:tcPr>
          <w:p w14:paraId="4201C204" w14:textId="77777777" w:rsidR="00A6451F" w:rsidRPr="00A6451F" w:rsidRDefault="00A6451F" w:rsidP="00A6451F">
            <w:pPr>
              <w:jc w:val="center"/>
              <w:rPr>
                <w:rFonts w:ascii="Times New Roman" w:eastAsia="Times New Roman" w:hAnsi="Times New Roman" w:cs="Times New Roman"/>
                <w:i/>
                <w:iCs/>
                <w:color w:val="000000"/>
                <w:sz w:val="22"/>
                <w:szCs w:val="22"/>
                <w:lang w:eastAsia="en-GB"/>
              </w:rPr>
            </w:pPr>
            <w:r w:rsidRPr="00A6451F">
              <w:rPr>
                <w:rFonts w:ascii="Times New Roman" w:eastAsia="Times New Roman" w:hAnsi="Times New Roman" w:cs="Times New Roman"/>
                <w:i/>
                <w:iCs/>
                <w:color w:val="000000"/>
                <w:sz w:val="22"/>
                <w:szCs w:val="22"/>
                <w:lang w:eastAsia="en-GB"/>
              </w:rPr>
              <w:t>Bryan</w:t>
            </w:r>
          </w:p>
        </w:tc>
        <w:tc>
          <w:tcPr>
            <w:tcW w:w="1060" w:type="dxa"/>
            <w:tcBorders>
              <w:top w:val="single" w:sz="4" w:space="0" w:color="auto"/>
              <w:left w:val="nil"/>
              <w:bottom w:val="nil"/>
              <w:right w:val="nil"/>
            </w:tcBorders>
            <w:shd w:val="clear" w:color="auto" w:fill="auto"/>
            <w:noWrap/>
            <w:vAlign w:val="center"/>
            <w:hideMark/>
          </w:tcPr>
          <w:p w14:paraId="587CE9FE" w14:textId="77777777" w:rsidR="00A6451F" w:rsidRPr="00A6451F" w:rsidRDefault="00A6451F" w:rsidP="00A6451F">
            <w:pPr>
              <w:jc w:val="center"/>
              <w:rPr>
                <w:rFonts w:ascii="Times New Roman" w:eastAsia="Times New Roman" w:hAnsi="Times New Roman" w:cs="Times New Roman"/>
                <w:i/>
                <w:iCs/>
                <w:color w:val="000000"/>
                <w:sz w:val="22"/>
                <w:szCs w:val="22"/>
                <w:lang w:eastAsia="en-GB"/>
              </w:rPr>
            </w:pPr>
            <w:r w:rsidRPr="00A6451F">
              <w:rPr>
                <w:rFonts w:ascii="Times New Roman" w:eastAsia="Times New Roman" w:hAnsi="Times New Roman" w:cs="Times New Roman"/>
                <w:i/>
                <w:iCs/>
                <w:color w:val="000000"/>
                <w:sz w:val="22"/>
                <w:szCs w:val="22"/>
                <w:lang w:eastAsia="en-GB"/>
              </w:rPr>
              <w:t>Other</w:t>
            </w:r>
          </w:p>
        </w:tc>
        <w:tc>
          <w:tcPr>
            <w:tcW w:w="1060" w:type="dxa"/>
            <w:tcBorders>
              <w:top w:val="single" w:sz="4" w:space="0" w:color="auto"/>
              <w:left w:val="single" w:sz="4" w:space="0" w:color="auto"/>
              <w:bottom w:val="nil"/>
              <w:right w:val="nil"/>
            </w:tcBorders>
            <w:shd w:val="clear" w:color="auto" w:fill="auto"/>
            <w:noWrap/>
            <w:vAlign w:val="center"/>
            <w:hideMark/>
          </w:tcPr>
          <w:p w14:paraId="4B29AD9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single" w:sz="4" w:space="0" w:color="auto"/>
              <w:left w:val="nil"/>
              <w:bottom w:val="nil"/>
              <w:right w:val="nil"/>
            </w:tcBorders>
            <w:shd w:val="clear" w:color="auto" w:fill="auto"/>
            <w:noWrap/>
            <w:vAlign w:val="center"/>
            <w:hideMark/>
          </w:tcPr>
          <w:p w14:paraId="18F6089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single" w:sz="4" w:space="0" w:color="auto"/>
              <w:left w:val="nil"/>
              <w:bottom w:val="nil"/>
              <w:right w:val="nil"/>
            </w:tcBorders>
            <w:shd w:val="clear" w:color="auto" w:fill="auto"/>
            <w:noWrap/>
            <w:vAlign w:val="center"/>
            <w:hideMark/>
          </w:tcPr>
          <w:p w14:paraId="31B3AD2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r>
      <w:tr w:rsidR="00A6451F" w:rsidRPr="00A6451F" w14:paraId="18A87020" w14:textId="77777777" w:rsidTr="00A6451F">
        <w:trPr>
          <w:trHeight w:val="279"/>
        </w:trPr>
        <w:tc>
          <w:tcPr>
            <w:tcW w:w="3791" w:type="dxa"/>
            <w:tcBorders>
              <w:top w:val="nil"/>
              <w:left w:val="nil"/>
              <w:bottom w:val="nil"/>
              <w:right w:val="nil"/>
            </w:tcBorders>
            <w:shd w:val="clear" w:color="auto" w:fill="auto"/>
            <w:noWrap/>
            <w:vAlign w:val="center"/>
            <w:hideMark/>
          </w:tcPr>
          <w:p w14:paraId="69AD378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35391DC6"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I</w:t>
            </w:r>
          </w:p>
        </w:tc>
        <w:tc>
          <w:tcPr>
            <w:tcW w:w="1060" w:type="dxa"/>
            <w:tcBorders>
              <w:top w:val="nil"/>
              <w:left w:val="nil"/>
              <w:bottom w:val="nil"/>
              <w:right w:val="nil"/>
            </w:tcBorders>
            <w:shd w:val="clear" w:color="auto" w:fill="auto"/>
            <w:noWrap/>
            <w:vAlign w:val="center"/>
            <w:hideMark/>
          </w:tcPr>
          <w:p w14:paraId="6B3810F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II</w:t>
            </w:r>
          </w:p>
        </w:tc>
        <w:tc>
          <w:tcPr>
            <w:tcW w:w="1060" w:type="dxa"/>
            <w:tcBorders>
              <w:top w:val="nil"/>
              <w:left w:val="single" w:sz="4" w:space="0" w:color="auto"/>
              <w:bottom w:val="nil"/>
              <w:right w:val="nil"/>
            </w:tcBorders>
            <w:shd w:val="clear" w:color="auto" w:fill="auto"/>
            <w:noWrap/>
            <w:vAlign w:val="center"/>
            <w:hideMark/>
          </w:tcPr>
          <w:p w14:paraId="60EEC97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III</w:t>
            </w:r>
          </w:p>
        </w:tc>
        <w:tc>
          <w:tcPr>
            <w:tcW w:w="1060" w:type="dxa"/>
            <w:tcBorders>
              <w:top w:val="nil"/>
              <w:left w:val="nil"/>
              <w:bottom w:val="nil"/>
              <w:right w:val="nil"/>
            </w:tcBorders>
            <w:shd w:val="clear" w:color="auto" w:fill="auto"/>
            <w:noWrap/>
            <w:vAlign w:val="center"/>
            <w:hideMark/>
          </w:tcPr>
          <w:p w14:paraId="43B4957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IV</w:t>
            </w:r>
          </w:p>
        </w:tc>
        <w:tc>
          <w:tcPr>
            <w:tcW w:w="1060" w:type="dxa"/>
            <w:tcBorders>
              <w:top w:val="nil"/>
              <w:left w:val="nil"/>
              <w:bottom w:val="nil"/>
              <w:right w:val="nil"/>
            </w:tcBorders>
            <w:shd w:val="clear" w:color="auto" w:fill="auto"/>
            <w:noWrap/>
            <w:vAlign w:val="center"/>
            <w:hideMark/>
          </w:tcPr>
          <w:p w14:paraId="01D6633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V</w:t>
            </w:r>
          </w:p>
        </w:tc>
      </w:tr>
      <w:tr w:rsidR="00A6451F" w:rsidRPr="00A6451F" w14:paraId="6552C3C6" w14:textId="77777777" w:rsidTr="00A6451F">
        <w:trPr>
          <w:trHeight w:val="279"/>
        </w:trPr>
        <w:tc>
          <w:tcPr>
            <w:tcW w:w="3791" w:type="dxa"/>
            <w:tcBorders>
              <w:top w:val="nil"/>
              <w:left w:val="nil"/>
              <w:bottom w:val="single" w:sz="4" w:space="0" w:color="auto"/>
              <w:right w:val="nil"/>
            </w:tcBorders>
            <w:shd w:val="clear" w:color="auto" w:fill="auto"/>
            <w:noWrap/>
            <w:vAlign w:val="bottom"/>
            <w:hideMark/>
          </w:tcPr>
          <w:p w14:paraId="10E231E1" w14:textId="77777777" w:rsidR="00A6451F" w:rsidRPr="00A6451F" w:rsidRDefault="00A6451F" w:rsidP="00A6451F">
            <w:pP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nil"/>
              <w:left w:val="nil"/>
              <w:bottom w:val="single" w:sz="4" w:space="0" w:color="auto"/>
              <w:right w:val="nil"/>
            </w:tcBorders>
            <w:shd w:val="clear" w:color="auto" w:fill="auto"/>
            <w:noWrap/>
            <w:vAlign w:val="center"/>
            <w:hideMark/>
          </w:tcPr>
          <w:p w14:paraId="50A03C56"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Share</w:t>
            </w:r>
          </w:p>
        </w:tc>
        <w:tc>
          <w:tcPr>
            <w:tcW w:w="1060" w:type="dxa"/>
            <w:tcBorders>
              <w:top w:val="nil"/>
              <w:left w:val="nil"/>
              <w:bottom w:val="single" w:sz="4" w:space="0" w:color="auto"/>
              <w:right w:val="nil"/>
            </w:tcBorders>
            <w:shd w:val="clear" w:color="auto" w:fill="auto"/>
            <w:noWrap/>
            <w:vAlign w:val="center"/>
            <w:hideMark/>
          </w:tcPr>
          <w:p w14:paraId="2E37808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Share</w:t>
            </w:r>
          </w:p>
        </w:tc>
        <w:tc>
          <w:tcPr>
            <w:tcW w:w="1060" w:type="dxa"/>
            <w:tcBorders>
              <w:top w:val="nil"/>
              <w:left w:val="single" w:sz="4" w:space="0" w:color="auto"/>
              <w:bottom w:val="single" w:sz="4" w:space="0" w:color="auto"/>
              <w:right w:val="nil"/>
            </w:tcBorders>
            <w:shd w:val="clear" w:color="auto" w:fill="auto"/>
            <w:noWrap/>
            <w:vAlign w:val="center"/>
            <w:hideMark/>
          </w:tcPr>
          <w:p w14:paraId="224B0B0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Difference</w:t>
            </w:r>
          </w:p>
        </w:tc>
        <w:tc>
          <w:tcPr>
            <w:tcW w:w="1060" w:type="dxa"/>
            <w:tcBorders>
              <w:top w:val="nil"/>
              <w:left w:val="nil"/>
              <w:bottom w:val="single" w:sz="4" w:space="0" w:color="auto"/>
              <w:right w:val="nil"/>
            </w:tcBorders>
            <w:shd w:val="clear" w:color="auto" w:fill="auto"/>
            <w:noWrap/>
            <w:vAlign w:val="center"/>
            <w:hideMark/>
          </w:tcPr>
          <w:p w14:paraId="33F387D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χ</w:t>
            </w:r>
            <w:r w:rsidRPr="00A6451F">
              <w:rPr>
                <w:rFonts w:ascii="Times New Roman" w:eastAsia="Times New Roman" w:hAnsi="Times New Roman" w:cs="Times New Roman"/>
                <w:color w:val="000000"/>
                <w:sz w:val="22"/>
                <w:szCs w:val="22"/>
                <w:vertAlign w:val="superscript"/>
                <w:lang w:eastAsia="en-GB"/>
              </w:rPr>
              <w:t>2</w:t>
            </w:r>
            <w:r w:rsidRPr="00A6451F">
              <w:rPr>
                <w:rFonts w:ascii="Times New Roman" w:eastAsia="Times New Roman" w:hAnsi="Times New Roman" w:cs="Times New Roman"/>
                <w:color w:val="000000"/>
                <w:sz w:val="22"/>
                <w:szCs w:val="22"/>
                <w:lang w:eastAsia="en-GB"/>
              </w:rPr>
              <w:t xml:space="preserve"> test stat.</w:t>
            </w:r>
          </w:p>
        </w:tc>
        <w:tc>
          <w:tcPr>
            <w:tcW w:w="1060" w:type="dxa"/>
            <w:tcBorders>
              <w:top w:val="nil"/>
              <w:left w:val="nil"/>
              <w:bottom w:val="single" w:sz="4" w:space="0" w:color="auto"/>
              <w:right w:val="nil"/>
            </w:tcBorders>
            <w:shd w:val="clear" w:color="auto" w:fill="auto"/>
            <w:noWrap/>
            <w:vAlign w:val="center"/>
            <w:hideMark/>
          </w:tcPr>
          <w:p w14:paraId="20AE99E6"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p-value</w:t>
            </w:r>
          </w:p>
        </w:tc>
      </w:tr>
      <w:tr w:rsidR="00A6451F" w:rsidRPr="00A6451F" w14:paraId="2EA4CCA0" w14:textId="77777777" w:rsidTr="00A6451F">
        <w:trPr>
          <w:trHeight w:val="279"/>
        </w:trPr>
        <w:tc>
          <w:tcPr>
            <w:tcW w:w="3791" w:type="dxa"/>
            <w:tcBorders>
              <w:top w:val="nil"/>
              <w:left w:val="nil"/>
              <w:bottom w:val="nil"/>
              <w:right w:val="nil"/>
            </w:tcBorders>
            <w:shd w:val="clear" w:color="auto" w:fill="auto"/>
            <w:noWrap/>
            <w:vAlign w:val="bottom"/>
            <w:hideMark/>
          </w:tcPr>
          <w:p w14:paraId="332D7E1D" w14:textId="77777777" w:rsidR="00A6451F" w:rsidRPr="00A6451F" w:rsidRDefault="00A6451F" w:rsidP="00A6451F">
            <w:pPr>
              <w:rPr>
                <w:rFonts w:ascii="Times New Roman" w:eastAsia="Times New Roman" w:hAnsi="Times New Roman" w:cs="Times New Roman"/>
                <w:b/>
                <w:bCs/>
                <w:color w:val="000000"/>
                <w:sz w:val="22"/>
                <w:szCs w:val="22"/>
                <w:lang w:eastAsia="en-GB"/>
              </w:rPr>
            </w:pPr>
            <w:r w:rsidRPr="00A6451F">
              <w:rPr>
                <w:rFonts w:ascii="Times New Roman" w:eastAsia="Times New Roman" w:hAnsi="Times New Roman" w:cs="Times New Roman"/>
                <w:b/>
                <w:bCs/>
                <w:color w:val="000000"/>
                <w:sz w:val="22"/>
                <w:szCs w:val="22"/>
                <w:lang w:eastAsia="en-GB"/>
              </w:rPr>
              <w:t>Characteristics</w:t>
            </w:r>
          </w:p>
        </w:tc>
        <w:tc>
          <w:tcPr>
            <w:tcW w:w="1060" w:type="dxa"/>
            <w:tcBorders>
              <w:top w:val="nil"/>
              <w:left w:val="nil"/>
              <w:bottom w:val="nil"/>
              <w:right w:val="nil"/>
            </w:tcBorders>
            <w:shd w:val="clear" w:color="auto" w:fill="auto"/>
            <w:noWrap/>
            <w:vAlign w:val="center"/>
            <w:hideMark/>
          </w:tcPr>
          <w:p w14:paraId="734BE9AF" w14:textId="77777777" w:rsidR="00A6451F" w:rsidRPr="00A6451F" w:rsidRDefault="00A6451F" w:rsidP="00A6451F">
            <w:pPr>
              <w:rPr>
                <w:rFonts w:ascii="Times New Roman" w:eastAsia="Times New Roman" w:hAnsi="Times New Roman" w:cs="Times New Roman"/>
                <w:b/>
                <w:bCs/>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4250E5E5" w14:textId="77777777" w:rsidR="00A6451F" w:rsidRPr="00A6451F" w:rsidRDefault="00A6451F" w:rsidP="00A6451F">
            <w:pPr>
              <w:jc w:val="center"/>
              <w:rPr>
                <w:rFonts w:ascii="Times New Roman" w:eastAsia="Times New Roman" w:hAnsi="Times New Roman" w:cs="Times New Roman"/>
                <w:sz w:val="20"/>
                <w:szCs w:val="20"/>
                <w:lang w:eastAsia="en-GB"/>
              </w:rPr>
            </w:pPr>
          </w:p>
        </w:tc>
        <w:tc>
          <w:tcPr>
            <w:tcW w:w="1060" w:type="dxa"/>
            <w:tcBorders>
              <w:top w:val="nil"/>
              <w:left w:val="single" w:sz="4" w:space="0" w:color="auto"/>
              <w:bottom w:val="nil"/>
              <w:right w:val="nil"/>
            </w:tcBorders>
            <w:shd w:val="clear" w:color="auto" w:fill="auto"/>
            <w:noWrap/>
            <w:vAlign w:val="center"/>
            <w:hideMark/>
          </w:tcPr>
          <w:p w14:paraId="34905DD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nil"/>
              <w:left w:val="nil"/>
              <w:bottom w:val="nil"/>
              <w:right w:val="nil"/>
            </w:tcBorders>
            <w:shd w:val="clear" w:color="auto" w:fill="auto"/>
            <w:noWrap/>
            <w:vAlign w:val="center"/>
            <w:hideMark/>
          </w:tcPr>
          <w:p w14:paraId="216C6D7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57B0A488" w14:textId="77777777" w:rsidR="00A6451F" w:rsidRPr="00A6451F" w:rsidRDefault="00A6451F" w:rsidP="00A6451F">
            <w:pPr>
              <w:jc w:val="center"/>
              <w:rPr>
                <w:rFonts w:ascii="Times New Roman" w:eastAsia="Times New Roman" w:hAnsi="Times New Roman" w:cs="Times New Roman"/>
                <w:sz w:val="20"/>
                <w:szCs w:val="20"/>
                <w:lang w:eastAsia="en-GB"/>
              </w:rPr>
            </w:pPr>
          </w:p>
        </w:tc>
      </w:tr>
      <w:tr w:rsidR="00A6451F" w:rsidRPr="00A6451F" w14:paraId="71492883" w14:textId="77777777" w:rsidTr="00A6451F">
        <w:trPr>
          <w:trHeight w:val="279"/>
        </w:trPr>
        <w:tc>
          <w:tcPr>
            <w:tcW w:w="3791" w:type="dxa"/>
            <w:tcBorders>
              <w:top w:val="nil"/>
              <w:left w:val="nil"/>
              <w:bottom w:val="nil"/>
              <w:right w:val="nil"/>
            </w:tcBorders>
            <w:shd w:val="clear" w:color="auto" w:fill="auto"/>
            <w:noWrap/>
            <w:vAlign w:val="bottom"/>
            <w:hideMark/>
          </w:tcPr>
          <w:p w14:paraId="034ADA17"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Female</w:t>
            </w:r>
          </w:p>
        </w:tc>
        <w:tc>
          <w:tcPr>
            <w:tcW w:w="1060" w:type="dxa"/>
            <w:tcBorders>
              <w:top w:val="nil"/>
              <w:left w:val="nil"/>
              <w:bottom w:val="nil"/>
              <w:right w:val="nil"/>
            </w:tcBorders>
            <w:shd w:val="clear" w:color="auto" w:fill="auto"/>
            <w:noWrap/>
            <w:vAlign w:val="center"/>
            <w:hideMark/>
          </w:tcPr>
          <w:p w14:paraId="699D4E2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0.50</w:t>
            </w:r>
          </w:p>
        </w:tc>
        <w:tc>
          <w:tcPr>
            <w:tcW w:w="1060" w:type="dxa"/>
            <w:tcBorders>
              <w:top w:val="nil"/>
              <w:left w:val="nil"/>
              <w:bottom w:val="nil"/>
              <w:right w:val="nil"/>
            </w:tcBorders>
            <w:shd w:val="clear" w:color="auto" w:fill="auto"/>
            <w:noWrap/>
            <w:vAlign w:val="center"/>
            <w:hideMark/>
          </w:tcPr>
          <w:p w14:paraId="52CC88B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0.51</w:t>
            </w:r>
          </w:p>
        </w:tc>
        <w:tc>
          <w:tcPr>
            <w:tcW w:w="1060" w:type="dxa"/>
            <w:tcBorders>
              <w:top w:val="nil"/>
              <w:left w:val="single" w:sz="4" w:space="0" w:color="auto"/>
              <w:bottom w:val="nil"/>
              <w:right w:val="nil"/>
            </w:tcBorders>
            <w:shd w:val="clear" w:color="auto" w:fill="auto"/>
            <w:noWrap/>
            <w:vAlign w:val="center"/>
            <w:hideMark/>
          </w:tcPr>
          <w:p w14:paraId="0BA67F3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0D6B68E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6CA42C6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0.97</w:t>
            </w:r>
          </w:p>
        </w:tc>
      </w:tr>
      <w:tr w:rsidR="00A6451F" w:rsidRPr="00A6451F" w14:paraId="3A5B3893" w14:textId="77777777" w:rsidTr="00A6451F">
        <w:trPr>
          <w:trHeight w:val="279"/>
        </w:trPr>
        <w:tc>
          <w:tcPr>
            <w:tcW w:w="3791" w:type="dxa"/>
            <w:tcBorders>
              <w:top w:val="nil"/>
              <w:left w:val="nil"/>
              <w:bottom w:val="nil"/>
              <w:right w:val="nil"/>
            </w:tcBorders>
            <w:shd w:val="clear" w:color="auto" w:fill="auto"/>
            <w:noWrap/>
            <w:vAlign w:val="bottom"/>
            <w:hideMark/>
          </w:tcPr>
          <w:p w14:paraId="1EA41E68"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Black</w:t>
            </w:r>
          </w:p>
        </w:tc>
        <w:tc>
          <w:tcPr>
            <w:tcW w:w="1060" w:type="dxa"/>
            <w:tcBorders>
              <w:top w:val="nil"/>
              <w:left w:val="nil"/>
              <w:bottom w:val="nil"/>
              <w:right w:val="nil"/>
            </w:tcBorders>
            <w:shd w:val="clear" w:color="auto" w:fill="auto"/>
            <w:noWrap/>
            <w:vAlign w:val="center"/>
            <w:hideMark/>
          </w:tcPr>
          <w:p w14:paraId="192F362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433D3CC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0.09</w:t>
            </w:r>
          </w:p>
        </w:tc>
        <w:tc>
          <w:tcPr>
            <w:tcW w:w="1060" w:type="dxa"/>
            <w:tcBorders>
              <w:top w:val="nil"/>
              <w:left w:val="single" w:sz="4" w:space="0" w:color="auto"/>
              <w:bottom w:val="nil"/>
              <w:right w:val="nil"/>
            </w:tcBorders>
            <w:shd w:val="clear" w:color="auto" w:fill="auto"/>
            <w:noWrap/>
            <w:vAlign w:val="center"/>
            <w:hideMark/>
          </w:tcPr>
          <w:p w14:paraId="1F506FA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-0.08</w:t>
            </w:r>
          </w:p>
        </w:tc>
        <w:tc>
          <w:tcPr>
            <w:tcW w:w="1060" w:type="dxa"/>
            <w:tcBorders>
              <w:top w:val="nil"/>
              <w:left w:val="nil"/>
              <w:bottom w:val="nil"/>
              <w:right w:val="nil"/>
            </w:tcBorders>
            <w:shd w:val="clear" w:color="auto" w:fill="auto"/>
            <w:noWrap/>
            <w:vAlign w:val="center"/>
            <w:hideMark/>
          </w:tcPr>
          <w:p w14:paraId="6BD78A8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10.08</w:t>
            </w:r>
          </w:p>
        </w:tc>
        <w:tc>
          <w:tcPr>
            <w:tcW w:w="1060" w:type="dxa"/>
            <w:tcBorders>
              <w:top w:val="nil"/>
              <w:left w:val="nil"/>
              <w:bottom w:val="nil"/>
              <w:right w:val="nil"/>
            </w:tcBorders>
            <w:shd w:val="clear" w:color="auto" w:fill="auto"/>
            <w:noWrap/>
            <w:vAlign w:val="center"/>
            <w:hideMark/>
          </w:tcPr>
          <w:p w14:paraId="46EAD78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r>
      <w:tr w:rsidR="00A6451F" w:rsidRPr="00A6451F" w14:paraId="6D4C3406" w14:textId="77777777" w:rsidTr="00A6451F">
        <w:trPr>
          <w:trHeight w:val="279"/>
        </w:trPr>
        <w:tc>
          <w:tcPr>
            <w:tcW w:w="3791" w:type="dxa"/>
            <w:tcBorders>
              <w:top w:val="nil"/>
              <w:left w:val="nil"/>
              <w:bottom w:val="nil"/>
              <w:right w:val="nil"/>
            </w:tcBorders>
            <w:shd w:val="clear" w:color="auto" w:fill="auto"/>
            <w:noWrap/>
            <w:vAlign w:val="bottom"/>
            <w:hideMark/>
          </w:tcPr>
          <w:p w14:paraId="589633C5"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Protestant</w:t>
            </w:r>
          </w:p>
        </w:tc>
        <w:tc>
          <w:tcPr>
            <w:tcW w:w="1060" w:type="dxa"/>
            <w:tcBorders>
              <w:top w:val="nil"/>
              <w:left w:val="nil"/>
              <w:bottom w:val="nil"/>
              <w:right w:val="nil"/>
            </w:tcBorders>
            <w:shd w:val="clear" w:color="auto" w:fill="auto"/>
            <w:noWrap/>
            <w:vAlign w:val="center"/>
            <w:hideMark/>
          </w:tcPr>
          <w:p w14:paraId="154CFAA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0.70</w:t>
            </w:r>
          </w:p>
        </w:tc>
        <w:tc>
          <w:tcPr>
            <w:tcW w:w="1060" w:type="dxa"/>
            <w:tcBorders>
              <w:top w:val="nil"/>
              <w:left w:val="nil"/>
              <w:bottom w:val="nil"/>
              <w:right w:val="nil"/>
            </w:tcBorders>
            <w:shd w:val="clear" w:color="auto" w:fill="auto"/>
            <w:noWrap/>
            <w:vAlign w:val="center"/>
            <w:hideMark/>
          </w:tcPr>
          <w:p w14:paraId="4538128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0.68</w:t>
            </w:r>
          </w:p>
        </w:tc>
        <w:tc>
          <w:tcPr>
            <w:tcW w:w="1060" w:type="dxa"/>
            <w:tcBorders>
              <w:top w:val="nil"/>
              <w:left w:val="single" w:sz="4" w:space="0" w:color="auto"/>
              <w:bottom w:val="nil"/>
              <w:right w:val="nil"/>
            </w:tcBorders>
            <w:shd w:val="clear" w:color="auto" w:fill="auto"/>
            <w:noWrap/>
            <w:vAlign w:val="center"/>
            <w:hideMark/>
          </w:tcPr>
          <w:p w14:paraId="132BEB0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nil"/>
              <w:bottom w:val="nil"/>
              <w:right w:val="nil"/>
            </w:tcBorders>
            <w:shd w:val="clear" w:color="auto" w:fill="auto"/>
            <w:noWrap/>
            <w:vAlign w:val="center"/>
            <w:hideMark/>
          </w:tcPr>
          <w:p w14:paraId="16E3926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0.28</w:t>
            </w:r>
          </w:p>
        </w:tc>
        <w:tc>
          <w:tcPr>
            <w:tcW w:w="1060" w:type="dxa"/>
            <w:tcBorders>
              <w:top w:val="nil"/>
              <w:left w:val="nil"/>
              <w:bottom w:val="nil"/>
              <w:right w:val="nil"/>
            </w:tcBorders>
            <w:shd w:val="clear" w:color="auto" w:fill="auto"/>
            <w:noWrap/>
            <w:vAlign w:val="center"/>
            <w:hideMark/>
          </w:tcPr>
          <w:p w14:paraId="3373673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0.60</w:t>
            </w:r>
          </w:p>
        </w:tc>
      </w:tr>
      <w:tr w:rsidR="00A6451F" w:rsidRPr="00A6451F" w14:paraId="61B77CAD" w14:textId="77777777" w:rsidTr="00A6451F">
        <w:trPr>
          <w:trHeight w:val="279"/>
        </w:trPr>
        <w:tc>
          <w:tcPr>
            <w:tcW w:w="3791" w:type="dxa"/>
            <w:tcBorders>
              <w:top w:val="nil"/>
              <w:left w:val="nil"/>
              <w:bottom w:val="nil"/>
              <w:right w:val="nil"/>
            </w:tcBorders>
            <w:shd w:val="clear" w:color="auto" w:fill="auto"/>
            <w:noWrap/>
            <w:vAlign w:val="bottom"/>
            <w:hideMark/>
          </w:tcPr>
          <w:p w14:paraId="1F74B21C"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Catholic</w:t>
            </w:r>
          </w:p>
        </w:tc>
        <w:tc>
          <w:tcPr>
            <w:tcW w:w="1060" w:type="dxa"/>
            <w:tcBorders>
              <w:top w:val="nil"/>
              <w:left w:val="nil"/>
              <w:bottom w:val="nil"/>
              <w:right w:val="nil"/>
            </w:tcBorders>
            <w:shd w:val="clear" w:color="auto" w:fill="auto"/>
            <w:noWrap/>
            <w:vAlign w:val="center"/>
            <w:hideMark/>
          </w:tcPr>
          <w:p w14:paraId="5AE18D4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0.11</w:t>
            </w:r>
          </w:p>
        </w:tc>
        <w:tc>
          <w:tcPr>
            <w:tcW w:w="1060" w:type="dxa"/>
            <w:tcBorders>
              <w:top w:val="nil"/>
              <w:left w:val="nil"/>
              <w:bottom w:val="nil"/>
              <w:right w:val="nil"/>
            </w:tcBorders>
            <w:shd w:val="clear" w:color="auto" w:fill="auto"/>
            <w:noWrap/>
            <w:vAlign w:val="center"/>
            <w:hideMark/>
          </w:tcPr>
          <w:p w14:paraId="19F4A91E"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0.13</w:t>
            </w:r>
          </w:p>
        </w:tc>
        <w:tc>
          <w:tcPr>
            <w:tcW w:w="1060" w:type="dxa"/>
            <w:tcBorders>
              <w:top w:val="nil"/>
              <w:left w:val="single" w:sz="4" w:space="0" w:color="auto"/>
              <w:bottom w:val="nil"/>
              <w:right w:val="nil"/>
            </w:tcBorders>
            <w:shd w:val="clear" w:color="auto" w:fill="auto"/>
            <w:noWrap/>
            <w:vAlign w:val="center"/>
            <w:hideMark/>
          </w:tcPr>
          <w:p w14:paraId="5A08A7B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nil"/>
              <w:bottom w:val="nil"/>
              <w:right w:val="nil"/>
            </w:tcBorders>
            <w:shd w:val="clear" w:color="auto" w:fill="auto"/>
            <w:noWrap/>
            <w:vAlign w:val="center"/>
            <w:hideMark/>
          </w:tcPr>
          <w:p w14:paraId="1916B35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0.38</w:t>
            </w:r>
          </w:p>
        </w:tc>
        <w:tc>
          <w:tcPr>
            <w:tcW w:w="1060" w:type="dxa"/>
            <w:tcBorders>
              <w:top w:val="nil"/>
              <w:left w:val="nil"/>
              <w:bottom w:val="nil"/>
              <w:right w:val="nil"/>
            </w:tcBorders>
            <w:shd w:val="clear" w:color="auto" w:fill="auto"/>
            <w:noWrap/>
            <w:vAlign w:val="center"/>
            <w:hideMark/>
          </w:tcPr>
          <w:p w14:paraId="16EB736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0.54</w:t>
            </w:r>
          </w:p>
        </w:tc>
      </w:tr>
      <w:tr w:rsidR="00A6451F" w:rsidRPr="00A6451F" w14:paraId="57DF9CC1" w14:textId="77777777" w:rsidTr="00A6451F">
        <w:trPr>
          <w:trHeight w:val="279"/>
        </w:trPr>
        <w:tc>
          <w:tcPr>
            <w:tcW w:w="3791" w:type="dxa"/>
            <w:tcBorders>
              <w:top w:val="nil"/>
              <w:left w:val="nil"/>
              <w:bottom w:val="nil"/>
              <w:right w:val="nil"/>
            </w:tcBorders>
            <w:shd w:val="clear" w:color="auto" w:fill="auto"/>
            <w:noWrap/>
            <w:vAlign w:val="bottom"/>
            <w:hideMark/>
          </w:tcPr>
          <w:p w14:paraId="5736EA83"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Jewish</w:t>
            </w:r>
          </w:p>
        </w:tc>
        <w:tc>
          <w:tcPr>
            <w:tcW w:w="1060" w:type="dxa"/>
            <w:tcBorders>
              <w:top w:val="nil"/>
              <w:left w:val="nil"/>
              <w:bottom w:val="nil"/>
              <w:right w:val="nil"/>
            </w:tcBorders>
            <w:shd w:val="clear" w:color="auto" w:fill="auto"/>
            <w:noWrap/>
            <w:vAlign w:val="center"/>
            <w:hideMark/>
          </w:tcPr>
          <w:p w14:paraId="70CF927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nil"/>
              <w:bottom w:val="nil"/>
              <w:right w:val="nil"/>
            </w:tcBorders>
            <w:shd w:val="clear" w:color="auto" w:fill="auto"/>
            <w:noWrap/>
            <w:vAlign w:val="center"/>
            <w:hideMark/>
          </w:tcPr>
          <w:p w14:paraId="6633724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c>
          <w:tcPr>
            <w:tcW w:w="1060" w:type="dxa"/>
            <w:tcBorders>
              <w:top w:val="nil"/>
              <w:left w:val="single" w:sz="4" w:space="0" w:color="auto"/>
              <w:bottom w:val="nil"/>
              <w:right w:val="nil"/>
            </w:tcBorders>
            <w:shd w:val="clear" w:color="auto" w:fill="auto"/>
            <w:noWrap/>
            <w:vAlign w:val="center"/>
            <w:hideMark/>
          </w:tcPr>
          <w:p w14:paraId="5EB4799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4CA9879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0.47</w:t>
            </w:r>
          </w:p>
        </w:tc>
        <w:tc>
          <w:tcPr>
            <w:tcW w:w="1060" w:type="dxa"/>
            <w:tcBorders>
              <w:top w:val="nil"/>
              <w:left w:val="nil"/>
              <w:bottom w:val="nil"/>
              <w:right w:val="nil"/>
            </w:tcBorders>
            <w:shd w:val="clear" w:color="auto" w:fill="auto"/>
            <w:noWrap/>
            <w:vAlign w:val="center"/>
            <w:hideMark/>
          </w:tcPr>
          <w:p w14:paraId="1EC3C81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0.49</w:t>
            </w:r>
          </w:p>
        </w:tc>
      </w:tr>
      <w:tr w:rsidR="00A6451F" w:rsidRPr="00A6451F" w14:paraId="1A355A40" w14:textId="77777777" w:rsidTr="00A6451F">
        <w:trPr>
          <w:trHeight w:val="279"/>
        </w:trPr>
        <w:tc>
          <w:tcPr>
            <w:tcW w:w="3791" w:type="dxa"/>
            <w:tcBorders>
              <w:top w:val="nil"/>
              <w:left w:val="nil"/>
              <w:bottom w:val="nil"/>
              <w:right w:val="nil"/>
            </w:tcBorders>
            <w:shd w:val="clear" w:color="auto" w:fill="auto"/>
            <w:noWrap/>
            <w:vAlign w:val="bottom"/>
            <w:hideMark/>
          </w:tcPr>
          <w:p w14:paraId="388D6AC3"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No Religion/Other</w:t>
            </w:r>
          </w:p>
        </w:tc>
        <w:tc>
          <w:tcPr>
            <w:tcW w:w="1060" w:type="dxa"/>
            <w:tcBorders>
              <w:top w:val="nil"/>
              <w:left w:val="nil"/>
              <w:bottom w:val="nil"/>
              <w:right w:val="nil"/>
            </w:tcBorders>
            <w:shd w:val="clear" w:color="auto" w:fill="auto"/>
            <w:noWrap/>
            <w:vAlign w:val="center"/>
            <w:hideMark/>
          </w:tcPr>
          <w:p w14:paraId="24457BB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0.16</w:t>
            </w:r>
          </w:p>
        </w:tc>
        <w:tc>
          <w:tcPr>
            <w:tcW w:w="1060" w:type="dxa"/>
            <w:tcBorders>
              <w:top w:val="nil"/>
              <w:left w:val="nil"/>
              <w:bottom w:val="nil"/>
              <w:right w:val="nil"/>
            </w:tcBorders>
            <w:shd w:val="clear" w:color="auto" w:fill="auto"/>
            <w:noWrap/>
            <w:vAlign w:val="center"/>
            <w:hideMark/>
          </w:tcPr>
          <w:p w14:paraId="18A873F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0.16</w:t>
            </w:r>
          </w:p>
        </w:tc>
        <w:tc>
          <w:tcPr>
            <w:tcW w:w="1060" w:type="dxa"/>
            <w:tcBorders>
              <w:top w:val="nil"/>
              <w:left w:val="single" w:sz="4" w:space="0" w:color="auto"/>
              <w:bottom w:val="nil"/>
              <w:right w:val="nil"/>
            </w:tcBorders>
            <w:shd w:val="clear" w:color="auto" w:fill="auto"/>
            <w:noWrap/>
            <w:vAlign w:val="center"/>
            <w:hideMark/>
          </w:tcPr>
          <w:p w14:paraId="117501E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50D6BF7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0.05</w:t>
            </w:r>
          </w:p>
        </w:tc>
        <w:tc>
          <w:tcPr>
            <w:tcW w:w="1060" w:type="dxa"/>
            <w:tcBorders>
              <w:top w:val="nil"/>
              <w:left w:val="nil"/>
              <w:bottom w:val="nil"/>
              <w:right w:val="nil"/>
            </w:tcBorders>
            <w:shd w:val="clear" w:color="auto" w:fill="auto"/>
            <w:noWrap/>
            <w:vAlign w:val="center"/>
            <w:hideMark/>
          </w:tcPr>
          <w:p w14:paraId="597C8CE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0.83</w:t>
            </w:r>
          </w:p>
        </w:tc>
      </w:tr>
      <w:tr w:rsidR="00A6451F" w:rsidRPr="00A6451F" w14:paraId="55569076" w14:textId="77777777" w:rsidTr="00A6451F">
        <w:trPr>
          <w:trHeight w:val="279"/>
        </w:trPr>
        <w:tc>
          <w:tcPr>
            <w:tcW w:w="3791" w:type="dxa"/>
            <w:tcBorders>
              <w:top w:val="nil"/>
              <w:left w:val="nil"/>
              <w:bottom w:val="nil"/>
              <w:right w:val="nil"/>
            </w:tcBorders>
            <w:shd w:val="clear" w:color="auto" w:fill="auto"/>
            <w:noWrap/>
            <w:vAlign w:val="bottom"/>
            <w:hideMark/>
          </w:tcPr>
          <w:p w14:paraId="0BD3F9CF" w14:textId="77777777" w:rsidR="00A6451F" w:rsidRPr="00A6451F" w:rsidRDefault="00A6451F" w:rsidP="00A6451F">
            <w:pPr>
              <w:rPr>
                <w:rFonts w:ascii="Times New Roman" w:eastAsia="Times New Roman" w:hAnsi="Times New Roman" w:cs="Times New Roman"/>
                <w:b/>
                <w:bCs/>
                <w:color w:val="000000"/>
                <w:sz w:val="22"/>
                <w:szCs w:val="22"/>
                <w:lang w:eastAsia="en-GB"/>
              </w:rPr>
            </w:pPr>
            <w:r w:rsidRPr="00A6451F">
              <w:rPr>
                <w:rFonts w:ascii="Times New Roman" w:eastAsia="Times New Roman" w:hAnsi="Times New Roman" w:cs="Times New Roman"/>
                <w:b/>
                <w:bCs/>
                <w:color w:val="000000"/>
                <w:sz w:val="22"/>
                <w:szCs w:val="22"/>
                <w:lang w:eastAsia="en-GB"/>
              </w:rPr>
              <w:t>Occupation</w:t>
            </w:r>
          </w:p>
        </w:tc>
        <w:tc>
          <w:tcPr>
            <w:tcW w:w="1060" w:type="dxa"/>
            <w:tcBorders>
              <w:top w:val="nil"/>
              <w:left w:val="nil"/>
              <w:bottom w:val="nil"/>
              <w:right w:val="nil"/>
            </w:tcBorders>
            <w:shd w:val="clear" w:color="auto" w:fill="auto"/>
            <w:noWrap/>
            <w:vAlign w:val="center"/>
            <w:hideMark/>
          </w:tcPr>
          <w:p w14:paraId="5E232249" w14:textId="77777777" w:rsidR="00A6451F" w:rsidRPr="00A6451F" w:rsidRDefault="00A6451F" w:rsidP="00A6451F">
            <w:pPr>
              <w:rPr>
                <w:rFonts w:ascii="Times New Roman" w:eastAsia="Times New Roman" w:hAnsi="Times New Roman" w:cs="Times New Roman"/>
                <w:b/>
                <w:bCs/>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04E72B2E" w14:textId="77777777" w:rsidR="00A6451F" w:rsidRPr="00A6451F" w:rsidRDefault="00A6451F" w:rsidP="00A6451F">
            <w:pPr>
              <w:jc w:val="center"/>
              <w:rPr>
                <w:rFonts w:ascii="Times New Roman" w:eastAsia="Times New Roman" w:hAnsi="Times New Roman" w:cs="Times New Roman"/>
                <w:sz w:val="20"/>
                <w:szCs w:val="20"/>
                <w:lang w:eastAsia="en-GB"/>
              </w:rPr>
            </w:pPr>
          </w:p>
        </w:tc>
        <w:tc>
          <w:tcPr>
            <w:tcW w:w="1060" w:type="dxa"/>
            <w:tcBorders>
              <w:top w:val="nil"/>
              <w:left w:val="single" w:sz="4" w:space="0" w:color="auto"/>
              <w:bottom w:val="nil"/>
              <w:right w:val="nil"/>
            </w:tcBorders>
            <w:shd w:val="clear" w:color="auto" w:fill="auto"/>
            <w:noWrap/>
            <w:vAlign w:val="center"/>
            <w:hideMark/>
          </w:tcPr>
          <w:p w14:paraId="3370435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nil"/>
              <w:left w:val="nil"/>
              <w:bottom w:val="nil"/>
              <w:right w:val="nil"/>
            </w:tcBorders>
            <w:shd w:val="clear" w:color="auto" w:fill="auto"/>
            <w:noWrap/>
            <w:vAlign w:val="center"/>
            <w:hideMark/>
          </w:tcPr>
          <w:p w14:paraId="74D3A92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770D53D9" w14:textId="77777777" w:rsidR="00A6451F" w:rsidRPr="00A6451F" w:rsidRDefault="00A6451F" w:rsidP="00A6451F">
            <w:pPr>
              <w:jc w:val="center"/>
              <w:rPr>
                <w:rFonts w:ascii="Times New Roman" w:eastAsia="Times New Roman" w:hAnsi="Times New Roman" w:cs="Times New Roman"/>
                <w:sz w:val="20"/>
                <w:szCs w:val="20"/>
                <w:lang w:eastAsia="en-GB"/>
              </w:rPr>
            </w:pPr>
          </w:p>
        </w:tc>
      </w:tr>
      <w:tr w:rsidR="00A6451F" w:rsidRPr="00A6451F" w14:paraId="3070EC56" w14:textId="77777777" w:rsidTr="00A6451F">
        <w:trPr>
          <w:trHeight w:val="279"/>
        </w:trPr>
        <w:tc>
          <w:tcPr>
            <w:tcW w:w="3791" w:type="dxa"/>
            <w:tcBorders>
              <w:top w:val="nil"/>
              <w:left w:val="nil"/>
              <w:bottom w:val="nil"/>
              <w:right w:val="nil"/>
            </w:tcBorders>
            <w:shd w:val="clear" w:color="auto" w:fill="auto"/>
            <w:noWrap/>
            <w:vAlign w:val="bottom"/>
            <w:hideMark/>
          </w:tcPr>
          <w:p w14:paraId="74F0D69B"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Professional</w:t>
            </w:r>
          </w:p>
        </w:tc>
        <w:tc>
          <w:tcPr>
            <w:tcW w:w="1060" w:type="dxa"/>
            <w:tcBorders>
              <w:top w:val="nil"/>
              <w:left w:val="nil"/>
              <w:bottom w:val="nil"/>
              <w:right w:val="nil"/>
            </w:tcBorders>
            <w:shd w:val="clear" w:color="auto" w:fill="auto"/>
            <w:noWrap/>
            <w:vAlign w:val="center"/>
            <w:hideMark/>
          </w:tcPr>
          <w:p w14:paraId="5665ED0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0.14</w:t>
            </w:r>
          </w:p>
        </w:tc>
        <w:tc>
          <w:tcPr>
            <w:tcW w:w="1060" w:type="dxa"/>
            <w:tcBorders>
              <w:top w:val="nil"/>
              <w:left w:val="nil"/>
              <w:bottom w:val="nil"/>
              <w:right w:val="nil"/>
            </w:tcBorders>
            <w:shd w:val="clear" w:color="auto" w:fill="auto"/>
            <w:noWrap/>
            <w:vAlign w:val="center"/>
            <w:hideMark/>
          </w:tcPr>
          <w:p w14:paraId="1F43BF3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0.14</w:t>
            </w:r>
          </w:p>
        </w:tc>
        <w:tc>
          <w:tcPr>
            <w:tcW w:w="1060" w:type="dxa"/>
            <w:tcBorders>
              <w:top w:val="nil"/>
              <w:left w:val="single" w:sz="4" w:space="0" w:color="auto"/>
              <w:bottom w:val="nil"/>
              <w:right w:val="nil"/>
            </w:tcBorders>
            <w:shd w:val="clear" w:color="auto" w:fill="auto"/>
            <w:noWrap/>
            <w:vAlign w:val="center"/>
            <w:hideMark/>
          </w:tcPr>
          <w:p w14:paraId="050AD93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0C3B52E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5AE8CF9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0.94</w:t>
            </w:r>
          </w:p>
        </w:tc>
      </w:tr>
      <w:tr w:rsidR="00A6451F" w:rsidRPr="00A6451F" w14:paraId="1999E618" w14:textId="77777777" w:rsidTr="00A6451F">
        <w:trPr>
          <w:trHeight w:val="279"/>
        </w:trPr>
        <w:tc>
          <w:tcPr>
            <w:tcW w:w="3791" w:type="dxa"/>
            <w:tcBorders>
              <w:top w:val="nil"/>
              <w:left w:val="nil"/>
              <w:bottom w:val="nil"/>
              <w:right w:val="nil"/>
            </w:tcBorders>
            <w:shd w:val="clear" w:color="auto" w:fill="auto"/>
            <w:noWrap/>
            <w:vAlign w:val="bottom"/>
            <w:hideMark/>
          </w:tcPr>
          <w:p w14:paraId="77276B37"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White Collar</w:t>
            </w:r>
          </w:p>
        </w:tc>
        <w:tc>
          <w:tcPr>
            <w:tcW w:w="1060" w:type="dxa"/>
            <w:tcBorders>
              <w:top w:val="nil"/>
              <w:left w:val="nil"/>
              <w:bottom w:val="nil"/>
              <w:right w:val="nil"/>
            </w:tcBorders>
            <w:shd w:val="clear" w:color="auto" w:fill="auto"/>
            <w:noWrap/>
            <w:vAlign w:val="center"/>
            <w:hideMark/>
          </w:tcPr>
          <w:p w14:paraId="3E49243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0.07</w:t>
            </w:r>
          </w:p>
        </w:tc>
        <w:tc>
          <w:tcPr>
            <w:tcW w:w="1060" w:type="dxa"/>
            <w:tcBorders>
              <w:top w:val="nil"/>
              <w:left w:val="nil"/>
              <w:bottom w:val="nil"/>
              <w:right w:val="nil"/>
            </w:tcBorders>
            <w:shd w:val="clear" w:color="auto" w:fill="auto"/>
            <w:noWrap/>
            <w:vAlign w:val="center"/>
            <w:hideMark/>
          </w:tcPr>
          <w:p w14:paraId="16FF99A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0.13</w:t>
            </w:r>
          </w:p>
        </w:tc>
        <w:tc>
          <w:tcPr>
            <w:tcW w:w="1060" w:type="dxa"/>
            <w:tcBorders>
              <w:top w:val="nil"/>
              <w:left w:val="single" w:sz="4" w:space="0" w:color="auto"/>
              <w:bottom w:val="nil"/>
              <w:right w:val="nil"/>
            </w:tcBorders>
            <w:shd w:val="clear" w:color="auto" w:fill="auto"/>
            <w:noWrap/>
            <w:vAlign w:val="center"/>
            <w:hideMark/>
          </w:tcPr>
          <w:p w14:paraId="66B6EB5E"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-0.05</w:t>
            </w:r>
          </w:p>
        </w:tc>
        <w:tc>
          <w:tcPr>
            <w:tcW w:w="1060" w:type="dxa"/>
            <w:tcBorders>
              <w:top w:val="nil"/>
              <w:left w:val="nil"/>
              <w:bottom w:val="nil"/>
              <w:right w:val="nil"/>
            </w:tcBorders>
            <w:shd w:val="clear" w:color="auto" w:fill="auto"/>
            <w:noWrap/>
            <w:vAlign w:val="center"/>
            <w:hideMark/>
          </w:tcPr>
          <w:p w14:paraId="1270627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3.70</w:t>
            </w:r>
          </w:p>
        </w:tc>
        <w:tc>
          <w:tcPr>
            <w:tcW w:w="1060" w:type="dxa"/>
            <w:tcBorders>
              <w:top w:val="nil"/>
              <w:left w:val="nil"/>
              <w:bottom w:val="nil"/>
              <w:right w:val="nil"/>
            </w:tcBorders>
            <w:shd w:val="clear" w:color="auto" w:fill="auto"/>
            <w:noWrap/>
            <w:vAlign w:val="center"/>
            <w:hideMark/>
          </w:tcPr>
          <w:p w14:paraId="7C7E6FF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0.05</w:t>
            </w:r>
          </w:p>
        </w:tc>
      </w:tr>
      <w:tr w:rsidR="00A6451F" w:rsidRPr="00A6451F" w14:paraId="3BCA89F9" w14:textId="77777777" w:rsidTr="00A6451F">
        <w:trPr>
          <w:trHeight w:val="279"/>
        </w:trPr>
        <w:tc>
          <w:tcPr>
            <w:tcW w:w="3791" w:type="dxa"/>
            <w:tcBorders>
              <w:top w:val="nil"/>
              <w:left w:val="nil"/>
              <w:bottom w:val="nil"/>
              <w:right w:val="nil"/>
            </w:tcBorders>
            <w:shd w:val="clear" w:color="auto" w:fill="auto"/>
            <w:noWrap/>
            <w:vAlign w:val="bottom"/>
            <w:hideMark/>
          </w:tcPr>
          <w:p w14:paraId="401CE356"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Labour</w:t>
            </w:r>
          </w:p>
        </w:tc>
        <w:tc>
          <w:tcPr>
            <w:tcW w:w="1060" w:type="dxa"/>
            <w:tcBorders>
              <w:top w:val="nil"/>
              <w:left w:val="nil"/>
              <w:bottom w:val="nil"/>
              <w:right w:val="nil"/>
            </w:tcBorders>
            <w:shd w:val="clear" w:color="auto" w:fill="auto"/>
            <w:noWrap/>
            <w:vAlign w:val="center"/>
            <w:hideMark/>
          </w:tcPr>
          <w:p w14:paraId="2F4A320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0.06</w:t>
            </w:r>
          </w:p>
        </w:tc>
        <w:tc>
          <w:tcPr>
            <w:tcW w:w="1060" w:type="dxa"/>
            <w:tcBorders>
              <w:top w:val="nil"/>
              <w:left w:val="nil"/>
              <w:bottom w:val="nil"/>
              <w:right w:val="nil"/>
            </w:tcBorders>
            <w:shd w:val="clear" w:color="auto" w:fill="auto"/>
            <w:noWrap/>
            <w:vAlign w:val="center"/>
            <w:hideMark/>
          </w:tcPr>
          <w:p w14:paraId="4C6F3EC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0.12</w:t>
            </w:r>
          </w:p>
        </w:tc>
        <w:tc>
          <w:tcPr>
            <w:tcW w:w="1060" w:type="dxa"/>
            <w:tcBorders>
              <w:top w:val="nil"/>
              <w:left w:val="single" w:sz="4" w:space="0" w:color="auto"/>
              <w:bottom w:val="nil"/>
              <w:right w:val="nil"/>
            </w:tcBorders>
            <w:shd w:val="clear" w:color="auto" w:fill="auto"/>
            <w:noWrap/>
            <w:vAlign w:val="center"/>
            <w:hideMark/>
          </w:tcPr>
          <w:p w14:paraId="62C8C75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-0.06</w:t>
            </w:r>
          </w:p>
        </w:tc>
        <w:tc>
          <w:tcPr>
            <w:tcW w:w="1060" w:type="dxa"/>
            <w:tcBorders>
              <w:top w:val="nil"/>
              <w:left w:val="nil"/>
              <w:bottom w:val="nil"/>
              <w:right w:val="nil"/>
            </w:tcBorders>
            <w:shd w:val="clear" w:color="auto" w:fill="auto"/>
            <w:noWrap/>
            <w:vAlign w:val="center"/>
            <w:hideMark/>
          </w:tcPr>
          <w:p w14:paraId="4B93328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5.03</w:t>
            </w:r>
          </w:p>
        </w:tc>
        <w:tc>
          <w:tcPr>
            <w:tcW w:w="1060" w:type="dxa"/>
            <w:tcBorders>
              <w:top w:val="nil"/>
              <w:left w:val="nil"/>
              <w:bottom w:val="nil"/>
              <w:right w:val="nil"/>
            </w:tcBorders>
            <w:shd w:val="clear" w:color="auto" w:fill="auto"/>
            <w:noWrap/>
            <w:vAlign w:val="center"/>
            <w:hideMark/>
          </w:tcPr>
          <w:p w14:paraId="69068FE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r>
      <w:tr w:rsidR="00A6451F" w:rsidRPr="00A6451F" w14:paraId="5ADF5C15" w14:textId="77777777" w:rsidTr="00A6451F">
        <w:trPr>
          <w:trHeight w:val="279"/>
        </w:trPr>
        <w:tc>
          <w:tcPr>
            <w:tcW w:w="3791" w:type="dxa"/>
            <w:tcBorders>
              <w:top w:val="nil"/>
              <w:left w:val="nil"/>
              <w:bottom w:val="nil"/>
              <w:right w:val="nil"/>
            </w:tcBorders>
            <w:shd w:val="clear" w:color="auto" w:fill="auto"/>
            <w:noWrap/>
            <w:vAlign w:val="bottom"/>
            <w:hideMark/>
          </w:tcPr>
          <w:p w14:paraId="641BEA20"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Unemployed</w:t>
            </w:r>
          </w:p>
        </w:tc>
        <w:tc>
          <w:tcPr>
            <w:tcW w:w="1060" w:type="dxa"/>
            <w:tcBorders>
              <w:top w:val="nil"/>
              <w:left w:val="nil"/>
              <w:bottom w:val="nil"/>
              <w:right w:val="nil"/>
            </w:tcBorders>
            <w:shd w:val="clear" w:color="auto" w:fill="auto"/>
            <w:noWrap/>
            <w:vAlign w:val="center"/>
            <w:hideMark/>
          </w:tcPr>
          <w:p w14:paraId="1DF1B13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0.04</w:t>
            </w:r>
          </w:p>
        </w:tc>
        <w:tc>
          <w:tcPr>
            <w:tcW w:w="1060" w:type="dxa"/>
            <w:tcBorders>
              <w:top w:val="nil"/>
              <w:left w:val="nil"/>
              <w:bottom w:val="nil"/>
              <w:right w:val="nil"/>
            </w:tcBorders>
            <w:shd w:val="clear" w:color="auto" w:fill="auto"/>
            <w:noWrap/>
            <w:vAlign w:val="center"/>
            <w:hideMark/>
          </w:tcPr>
          <w:p w14:paraId="5C28011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0.04</w:t>
            </w:r>
          </w:p>
        </w:tc>
        <w:tc>
          <w:tcPr>
            <w:tcW w:w="1060" w:type="dxa"/>
            <w:tcBorders>
              <w:top w:val="nil"/>
              <w:left w:val="single" w:sz="4" w:space="0" w:color="auto"/>
              <w:bottom w:val="nil"/>
              <w:right w:val="nil"/>
            </w:tcBorders>
            <w:shd w:val="clear" w:color="auto" w:fill="auto"/>
            <w:noWrap/>
            <w:vAlign w:val="center"/>
            <w:hideMark/>
          </w:tcPr>
          <w:p w14:paraId="05BEAA1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7E90334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nil"/>
              <w:bottom w:val="nil"/>
              <w:right w:val="nil"/>
            </w:tcBorders>
            <w:shd w:val="clear" w:color="auto" w:fill="auto"/>
            <w:noWrap/>
            <w:vAlign w:val="center"/>
            <w:hideMark/>
          </w:tcPr>
          <w:p w14:paraId="7D0C45D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0.88</w:t>
            </w:r>
          </w:p>
        </w:tc>
      </w:tr>
      <w:tr w:rsidR="00A6451F" w:rsidRPr="00A6451F" w14:paraId="02ADBF80" w14:textId="77777777" w:rsidTr="00A6451F">
        <w:trPr>
          <w:trHeight w:val="279"/>
        </w:trPr>
        <w:tc>
          <w:tcPr>
            <w:tcW w:w="3791" w:type="dxa"/>
            <w:tcBorders>
              <w:top w:val="nil"/>
              <w:left w:val="nil"/>
              <w:bottom w:val="nil"/>
              <w:right w:val="nil"/>
            </w:tcBorders>
            <w:shd w:val="clear" w:color="auto" w:fill="auto"/>
            <w:noWrap/>
            <w:vAlign w:val="bottom"/>
            <w:hideMark/>
          </w:tcPr>
          <w:p w14:paraId="45DC86E4"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Farmer</w:t>
            </w:r>
          </w:p>
        </w:tc>
        <w:tc>
          <w:tcPr>
            <w:tcW w:w="1060" w:type="dxa"/>
            <w:tcBorders>
              <w:top w:val="nil"/>
              <w:left w:val="nil"/>
              <w:bottom w:val="nil"/>
              <w:right w:val="nil"/>
            </w:tcBorders>
            <w:shd w:val="clear" w:color="auto" w:fill="auto"/>
            <w:noWrap/>
            <w:vAlign w:val="center"/>
            <w:hideMark/>
          </w:tcPr>
          <w:p w14:paraId="382FBCE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0.23</w:t>
            </w:r>
          </w:p>
        </w:tc>
        <w:tc>
          <w:tcPr>
            <w:tcW w:w="1060" w:type="dxa"/>
            <w:tcBorders>
              <w:top w:val="nil"/>
              <w:left w:val="nil"/>
              <w:bottom w:val="nil"/>
              <w:right w:val="nil"/>
            </w:tcBorders>
            <w:shd w:val="clear" w:color="auto" w:fill="auto"/>
            <w:noWrap/>
            <w:vAlign w:val="center"/>
            <w:hideMark/>
          </w:tcPr>
          <w:p w14:paraId="1A6FEA1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0.15</w:t>
            </w:r>
          </w:p>
        </w:tc>
        <w:tc>
          <w:tcPr>
            <w:tcW w:w="1060" w:type="dxa"/>
            <w:tcBorders>
              <w:top w:val="nil"/>
              <w:left w:val="single" w:sz="4" w:space="0" w:color="auto"/>
              <w:bottom w:val="nil"/>
              <w:right w:val="nil"/>
            </w:tcBorders>
            <w:shd w:val="clear" w:color="auto" w:fill="auto"/>
            <w:noWrap/>
            <w:vAlign w:val="center"/>
            <w:hideMark/>
          </w:tcPr>
          <w:p w14:paraId="5273BF2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0.08</w:t>
            </w:r>
          </w:p>
        </w:tc>
        <w:tc>
          <w:tcPr>
            <w:tcW w:w="1060" w:type="dxa"/>
            <w:tcBorders>
              <w:top w:val="nil"/>
              <w:left w:val="nil"/>
              <w:bottom w:val="nil"/>
              <w:right w:val="nil"/>
            </w:tcBorders>
            <w:shd w:val="clear" w:color="auto" w:fill="auto"/>
            <w:noWrap/>
            <w:vAlign w:val="center"/>
            <w:hideMark/>
          </w:tcPr>
          <w:p w14:paraId="3D793CB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6.83</w:t>
            </w:r>
          </w:p>
        </w:tc>
        <w:tc>
          <w:tcPr>
            <w:tcW w:w="1060" w:type="dxa"/>
            <w:tcBorders>
              <w:top w:val="nil"/>
              <w:left w:val="nil"/>
              <w:bottom w:val="nil"/>
              <w:right w:val="nil"/>
            </w:tcBorders>
            <w:shd w:val="clear" w:color="auto" w:fill="auto"/>
            <w:noWrap/>
            <w:vAlign w:val="center"/>
            <w:hideMark/>
          </w:tcPr>
          <w:p w14:paraId="6F1B3AD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r>
      <w:tr w:rsidR="00A6451F" w:rsidRPr="00A6451F" w14:paraId="5C51210E" w14:textId="77777777" w:rsidTr="00A6451F">
        <w:trPr>
          <w:trHeight w:val="279"/>
        </w:trPr>
        <w:tc>
          <w:tcPr>
            <w:tcW w:w="3791" w:type="dxa"/>
            <w:tcBorders>
              <w:top w:val="nil"/>
              <w:left w:val="nil"/>
              <w:bottom w:val="nil"/>
              <w:right w:val="nil"/>
            </w:tcBorders>
            <w:shd w:val="clear" w:color="auto" w:fill="auto"/>
            <w:noWrap/>
            <w:vAlign w:val="bottom"/>
            <w:hideMark/>
          </w:tcPr>
          <w:p w14:paraId="5E98402E"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None/Other</w:t>
            </w:r>
          </w:p>
        </w:tc>
        <w:tc>
          <w:tcPr>
            <w:tcW w:w="1060" w:type="dxa"/>
            <w:tcBorders>
              <w:top w:val="nil"/>
              <w:left w:val="nil"/>
              <w:bottom w:val="nil"/>
              <w:right w:val="nil"/>
            </w:tcBorders>
            <w:shd w:val="clear" w:color="auto" w:fill="auto"/>
            <w:noWrap/>
            <w:vAlign w:val="center"/>
            <w:hideMark/>
          </w:tcPr>
          <w:p w14:paraId="11E304C6"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0.46</w:t>
            </w:r>
          </w:p>
        </w:tc>
        <w:tc>
          <w:tcPr>
            <w:tcW w:w="1060" w:type="dxa"/>
            <w:tcBorders>
              <w:top w:val="nil"/>
              <w:left w:val="nil"/>
              <w:bottom w:val="nil"/>
              <w:right w:val="nil"/>
            </w:tcBorders>
            <w:shd w:val="clear" w:color="auto" w:fill="auto"/>
            <w:noWrap/>
            <w:vAlign w:val="center"/>
            <w:hideMark/>
          </w:tcPr>
          <w:p w14:paraId="4D3AE52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0.43</w:t>
            </w:r>
          </w:p>
        </w:tc>
        <w:tc>
          <w:tcPr>
            <w:tcW w:w="1060" w:type="dxa"/>
            <w:tcBorders>
              <w:top w:val="nil"/>
              <w:left w:val="single" w:sz="4" w:space="0" w:color="auto"/>
              <w:bottom w:val="nil"/>
              <w:right w:val="nil"/>
            </w:tcBorders>
            <w:shd w:val="clear" w:color="auto" w:fill="auto"/>
            <w:noWrap/>
            <w:vAlign w:val="center"/>
            <w:hideMark/>
          </w:tcPr>
          <w:p w14:paraId="67764FC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c>
          <w:tcPr>
            <w:tcW w:w="1060" w:type="dxa"/>
            <w:tcBorders>
              <w:top w:val="nil"/>
              <w:left w:val="nil"/>
              <w:bottom w:val="nil"/>
              <w:right w:val="nil"/>
            </w:tcBorders>
            <w:shd w:val="clear" w:color="auto" w:fill="auto"/>
            <w:noWrap/>
            <w:vAlign w:val="center"/>
            <w:hideMark/>
          </w:tcPr>
          <w:p w14:paraId="40E0599E"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0.66</w:t>
            </w:r>
          </w:p>
        </w:tc>
        <w:tc>
          <w:tcPr>
            <w:tcW w:w="1060" w:type="dxa"/>
            <w:tcBorders>
              <w:top w:val="nil"/>
              <w:left w:val="nil"/>
              <w:bottom w:val="nil"/>
              <w:right w:val="nil"/>
            </w:tcBorders>
            <w:shd w:val="clear" w:color="auto" w:fill="auto"/>
            <w:noWrap/>
            <w:vAlign w:val="center"/>
            <w:hideMark/>
          </w:tcPr>
          <w:p w14:paraId="79DADCA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0.42</w:t>
            </w:r>
          </w:p>
        </w:tc>
      </w:tr>
      <w:tr w:rsidR="00A6451F" w:rsidRPr="00A6451F" w14:paraId="40E52193" w14:textId="77777777" w:rsidTr="00A6451F">
        <w:trPr>
          <w:trHeight w:val="279"/>
        </w:trPr>
        <w:tc>
          <w:tcPr>
            <w:tcW w:w="3791" w:type="dxa"/>
            <w:tcBorders>
              <w:top w:val="nil"/>
              <w:left w:val="nil"/>
              <w:bottom w:val="nil"/>
              <w:right w:val="nil"/>
            </w:tcBorders>
            <w:shd w:val="clear" w:color="auto" w:fill="auto"/>
            <w:noWrap/>
            <w:vAlign w:val="bottom"/>
            <w:hideMark/>
          </w:tcPr>
          <w:p w14:paraId="2F6DFD1D" w14:textId="77777777" w:rsidR="00A6451F" w:rsidRPr="00A6451F" w:rsidRDefault="00A6451F" w:rsidP="00A6451F">
            <w:pPr>
              <w:rPr>
                <w:rFonts w:ascii="Times New Roman" w:eastAsia="Times New Roman" w:hAnsi="Times New Roman" w:cs="Times New Roman"/>
                <w:b/>
                <w:bCs/>
                <w:color w:val="000000"/>
                <w:sz w:val="22"/>
                <w:szCs w:val="22"/>
                <w:lang w:eastAsia="en-GB"/>
              </w:rPr>
            </w:pPr>
            <w:r w:rsidRPr="00A6451F">
              <w:rPr>
                <w:rFonts w:ascii="Times New Roman" w:eastAsia="Times New Roman" w:hAnsi="Times New Roman" w:cs="Times New Roman"/>
                <w:b/>
                <w:bCs/>
                <w:color w:val="000000"/>
                <w:sz w:val="22"/>
                <w:szCs w:val="22"/>
                <w:lang w:eastAsia="en-GB"/>
              </w:rPr>
              <w:t>Social</w:t>
            </w:r>
          </w:p>
        </w:tc>
        <w:tc>
          <w:tcPr>
            <w:tcW w:w="1060" w:type="dxa"/>
            <w:tcBorders>
              <w:top w:val="nil"/>
              <w:left w:val="nil"/>
              <w:bottom w:val="nil"/>
              <w:right w:val="nil"/>
            </w:tcBorders>
            <w:shd w:val="clear" w:color="auto" w:fill="auto"/>
            <w:noWrap/>
            <w:vAlign w:val="center"/>
            <w:hideMark/>
          </w:tcPr>
          <w:p w14:paraId="29941203" w14:textId="77777777" w:rsidR="00A6451F" w:rsidRPr="00A6451F" w:rsidRDefault="00A6451F" w:rsidP="00A6451F">
            <w:pPr>
              <w:rPr>
                <w:rFonts w:ascii="Times New Roman" w:eastAsia="Times New Roman" w:hAnsi="Times New Roman" w:cs="Times New Roman"/>
                <w:b/>
                <w:bCs/>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3083B3B7" w14:textId="77777777" w:rsidR="00A6451F" w:rsidRPr="00A6451F" w:rsidRDefault="00A6451F" w:rsidP="00A6451F">
            <w:pPr>
              <w:jc w:val="center"/>
              <w:rPr>
                <w:rFonts w:ascii="Times New Roman" w:eastAsia="Times New Roman" w:hAnsi="Times New Roman" w:cs="Times New Roman"/>
                <w:sz w:val="20"/>
                <w:szCs w:val="20"/>
                <w:lang w:eastAsia="en-GB"/>
              </w:rPr>
            </w:pPr>
          </w:p>
        </w:tc>
        <w:tc>
          <w:tcPr>
            <w:tcW w:w="1060" w:type="dxa"/>
            <w:tcBorders>
              <w:top w:val="nil"/>
              <w:left w:val="single" w:sz="4" w:space="0" w:color="auto"/>
              <w:bottom w:val="nil"/>
              <w:right w:val="nil"/>
            </w:tcBorders>
            <w:shd w:val="clear" w:color="auto" w:fill="auto"/>
            <w:noWrap/>
            <w:vAlign w:val="center"/>
            <w:hideMark/>
          </w:tcPr>
          <w:p w14:paraId="479236E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nil"/>
              <w:left w:val="nil"/>
              <w:bottom w:val="nil"/>
              <w:right w:val="nil"/>
            </w:tcBorders>
            <w:shd w:val="clear" w:color="auto" w:fill="auto"/>
            <w:noWrap/>
            <w:vAlign w:val="center"/>
            <w:hideMark/>
          </w:tcPr>
          <w:p w14:paraId="4F519B2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08B91EF4" w14:textId="77777777" w:rsidR="00A6451F" w:rsidRPr="00A6451F" w:rsidRDefault="00A6451F" w:rsidP="00A6451F">
            <w:pPr>
              <w:jc w:val="center"/>
              <w:rPr>
                <w:rFonts w:ascii="Times New Roman" w:eastAsia="Times New Roman" w:hAnsi="Times New Roman" w:cs="Times New Roman"/>
                <w:sz w:val="20"/>
                <w:szCs w:val="20"/>
                <w:lang w:eastAsia="en-GB"/>
              </w:rPr>
            </w:pPr>
          </w:p>
        </w:tc>
      </w:tr>
      <w:tr w:rsidR="00A6451F" w:rsidRPr="00A6451F" w14:paraId="54C0E2A2" w14:textId="77777777" w:rsidTr="00A6451F">
        <w:trPr>
          <w:trHeight w:val="279"/>
        </w:trPr>
        <w:tc>
          <w:tcPr>
            <w:tcW w:w="3791" w:type="dxa"/>
            <w:tcBorders>
              <w:top w:val="nil"/>
              <w:left w:val="nil"/>
              <w:bottom w:val="nil"/>
              <w:right w:val="nil"/>
            </w:tcBorders>
            <w:shd w:val="clear" w:color="auto" w:fill="auto"/>
            <w:noWrap/>
            <w:vAlign w:val="bottom"/>
            <w:hideMark/>
          </w:tcPr>
          <w:p w14:paraId="3145E151"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Little Hostility to Jews in US</w:t>
            </w:r>
          </w:p>
        </w:tc>
        <w:tc>
          <w:tcPr>
            <w:tcW w:w="1060" w:type="dxa"/>
            <w:tcBorders>
              <w:top w:val="nil"/>
              <w:left w:val="nil"/>
              <w:bottom w:val="nil"/>
              <w:right w:val="nil"/>
            </w:tcBorders>
            <w:shd w:val="clear" w:color="auto" w:fill="auto"/>
            <w:noWrap/>
            <w:vAlign w:val="center"/>
            <w:hideMark/>
          </w:tcPr>
          <w:p w14:paraId="60E19CE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0.62</w:t>
            </w:r>
          </w:p>
        </w:tc>
        <w:tc>
          <w:tcPr>
            <w:tcW w:w="1060" w:type="dxa"/>
            <w:tcBorders>
              <w:top w:val="nil"/>
              <w:left w:val="nil"/>
              <w:bottom w:val="nil"/>
              <w:right w:val="nil"/>
            </w:tcBorders>
            <w:shd w:val="clear" w:color="auto" w:fill="auto"/>
            <w:noWrap/>
            <w:vAlign w:val="center"/>
            <w:hideMark/>
          </w:tcPr>
          <w:p w14:paraId="4A4CC71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0.52</w:t>
            </w:r>
          </w:p>
        </w:tc>
        <w:tc>
          <w:tcPr>
            <w:tcW w:w="1060" w:type="dxa"/>
            <w:tcBorders>
              <w:top w:val="nil"/>
              <w:left w:val="single" w:sz="4" w:space="0" w:color="auto"/>
              <w:bottom w:val="nil"/>
              <w:right w:val="nil"/>
            </w:tcBorders>
            <w:shd w:val="clear" w:color="auto" w:fill="auto"/>
            <w:noWrap/>
            <w:vAlign w:val="center"/>
            <w:hideMark/>
          </w:tcPr>
          <w:p w14:paraId="7E7DDB1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0.09</w:t>
            </w:r>
          </w:p>
        </w:tc>
        <w:tc>
          <w:tcPr>
            <w:tcW w:w="1060" w:type="dxa"/>
            <w:tcBorders>
              <w:top w:val="nil"/>
              <w:left w:val="nil"/>
              <w:bottom w:val="nil"/>
              <w:right w:val="nil"/>
            </w:tcBorders>
            <w:shd w:val="clear" w:color="auto" w:fill="auto"/>
            <w:noWrap/>
            <w:vAlign w:val="center"/>
            <w:hideMark/>
          </w:tcPr>
          <w:p w14:paraId="3D4C2F7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4.55</w:t>
            </w:r>
          </w:p>
        </w:tc>
        <w:tc>
          <w:tcPr>
            <w:tcW w:w="1060" w:type="dxa"/>
            <w:tcBorders>
              <w:top w:val="nil"/>
              <w:left w:val="nil"/>
              <w:bottom w:val="nil"/>
              <w:right w:val="nil"/>
            </w:tcBorders>
            <w:shd w:val="clear" w:color="auto" w:fill="auto"/>
            <w:noWrap/>
            <w:vAlign w:val="center"/>
            <w:hideMark/>
          </w:tcPr>
          <w:p w14:paraId="2EC4F39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r>
      <w:tr w:rsidR="00A6451F" w:rsidRPr="00A6451F" w14:paraId="140EA2E3" w14:textId="77777777" w:rsidTr="00A6451F">
        <w:trPr>
          <w:trHeight w:val="279"/>
        </w:trPr>
        <w:tc>
          <w:tcPr>
            <w:tcW w:w="3791" w:type="dxa"/>
            <w:tcBorders>
              <w:top w:val="nil"/>
              <w:left w:val="nil"/>
              <w:bottom w:val="nil"/>
              <w:right w:val="nil"/>
            </w:tcBorders>
            <w:shd w:val="clear" w:color="auto" w:fill="auto"/>
            <w:noWrap/>
            <w:vAlign w:val="bottom"/>
            <w:hideMark/>
          </w:tcPr>
          <w:p w14:paraId="06C33C58"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Unmarried Morals Getting Worse</w:t>
            </w:r>
          </w:p>
        </w:tc>
        <w:tc>
          <w:tcPr>
            <w:tcW w:w="1060" w:type="dxa"/>
            <w:tcBorders>
              <w:top w:val="nil"/>
              <w:left w:val="nil"/>
              <w:bottom w:val="nil"/>
              <w:right w:val="nil"/>
            </w:tcBorders>
            <w:shd w:val="clear" w:color="auto" w:fill="auto"/>
            <w:noWrap/>
            <w:vAlign w:val="center"/>
            <w:hideMark/>
          </w:tcPr>
          <w:p w14:paraId="0AEEA72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0.40</w:t>
            </w:r>
          </w:p>
        </w:tc>
        <w:tc>
          <w:tcPr>
            <w:tcW w:w="1060" w:type="dxa"/>
            <w:tcBorders>
              <w:top w:val="nil"/>
              <w:left w:val="nil"/>
              <w:bottom w:val="nil"/>
              <w:right w:val="nil"/>
            </w:tcBorders>
            <w:shd w:val="clear" w:color="auto" w:fill="auto"/>
            <w:noWrap/>
            <w:vAlign w:val="center"/>
            <w:hideMark/>
          </w:tcPr>
          <w:p w14:paraId="008E687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0.46</w:t>
            </w:r>
          </w:p>
        </w:tc>
        <w:tc>
          <w:tcPr>
            <w:tcW w:w="1060" w:type="dxa"/>
            <w:tcBorders>
              <w:top w:val="nil"/>
              <w:left w:val="single" w:sz="4" w:space="0" w:color="auto"/>
              <w:bottom w:val="nil"/>
              <w:right w:val="nil"/>
            </w:tcBorders>
            <w:shd w:val="clear" w:color="auto" w:fill="auto"/>
            <w:noWrap/>
            <w:vAlign w:val="center"/>
            <w:hideMark/>
          </w:tcPr>
          <w:p w14:paraId="72498D8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-0.05</w:t>
            </w:r>
          </w:p>
        </w:tc>
        <w:tc>
          <w:tcPr>
            <w:tcW w:w="1060" w:type="dxa"/>
            <w:tcBorders>
              <w:top w:val="nil"/>
              <w:left w:val="nil"/>
              <w:bottom w:val="nil"/>
              <w:right w:val="nil"/>
            </w:tcBorders>
            <w:shd w:val="clear" w:color="auto" w:fill="auto"/>
            <w:noWrap/>
            <w:vAlign w:val="center"/>
            <w:hideMark/>
          </w:tcPr>
          <w:p w14:paraId="0AC6F25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1.59</w:t>
            </w:r>
          </w:p>
        </w:tc>
        <w:tc>
          <w:tcPr>
            <w:tcW w:w="1060" w:type="dxa"/>
            <w:tcBorders>
              <w:top w:val="nil"/>
              <w:left w:val="nil"/>
              <w:bottom w:val="nil"/>
              <w:right w:val="nil"/>
            </w:tcBorders>
            <w:shd w:val="clear" w:color="auto" w:fill="auto"/>
            <w:noWrap/>
            <w:vAlign w:val="center"/>
            <w:hideMark/>
          </w:tcPr>
          <w:p w14:paraId="0D4B126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0.21</w:t>
            </w:r>
          </w:p>
        </w:tc>
      </w:tr>
      <w:tr w:rsidR="00A6451F" w:rsidRPr="00A6451F" w14:paraId="4D7D7585" w14:textId="77777777" w:rsidTr="00A6451F">
        <w:trPr>
          <w:trHeight w:val="279"/>
        </w:trPr>
        <w:tc>
          <w:tcPr>
            <w:tcW w:w="3791" w:type="dxa"/>
            <w:tcBorders>
              <w:top w:val="nil"/>
              <w:left w:val="nil"/>
              <w:bottom w:val="nil"/>
              <w:right w:val="nil"/>
            </w:tcBorders>
            <w:shd w:val="clear" w:color="auto" w:fill="auto"/>
            <w:noWrap/>
            <w:vAlign w:val="bottom"/>
            <w:hideMark/>
          </w:tcPr>
          <w:p w14:paraId="108B964A"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Married Morals Getting Worse</w:t>
            </w:r>
          </w:p>
        </w:tc>
        <w:tc>
          <w:tcPr>
            <w:tcW w:w="1060" w:type="dxa"/>
            <w:tcBorders>
              <w:top w:val="nil"/>
              <w:left w:val="nil"/>
              <w:bottom w:val="nil"/>
              <w:right w:val="nil"/>
            </w:tcBorders>
            <w:shd w:val="clear" w:color="auto" w:fill="auto"/>
            <w:noWrap/>
            <w:vAlign w:val="center"/>
            <w:hideMark/>
          </w:tcPr>
          <w:p w14:paraId="561154B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0.38</w:t>
            </w:r>
          </w:p>
        </w:tc>
        <w:tc>
          <w:tcPr>
            <w:tcW w:w="1060" w:type="dxa"/>
            <w:tcBorders>
              <w:top w:val="nil"/>
              <w:left w:val="nil"/>
              <w:bottom w:val="nil"/>
              <w:right w:val="nil"/>
            </w:tcBorders>
            <w:shd w:val="clear" w:color="auto" w:fill="auto"/>
            <w:noWrap/>
            <w:vAlign w:val="center"/>
            <w:hideMark/>
          </w:tcPr>
          <w:p w14:paraId="71EC0DC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0.39</w:t>
            </w:r>
          </w:p>
        </w:tc>
        <w:tc>
          <w:tcPr>
            <w:tcW w:w="1060" w:type="dxa"/>
            <w:tcBorders>
              <w:top w:val="nil"/>
              <w:left w:val="single" w:sz="4" w:space="0" w:color="auto"/>
              <w:bottom w:val="nil"/>
              <w:right w:val="nil"/>
            </w:tcBorders>
            <w:shd w:val="clear" w:color="auto" w:fill="auto"/>
            <w:noWrap/>
            <w:vAlign w:val="center"/>
            <w:hideMark/>
          </w:tcPr>
          <w:p w14:paraId="07D8891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190F370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nil"/>
              <w:bottom w:val="nil"/>
              <w:right w:val="nil"/>
            </w:tcBorders>
            <w:shd w:val="clear" w:color="auto" w:fill="auto"/>
            <w:noWrap/>
            <w:vAlign w:val="center"/>
            <w:hideMark/>
          </w:tcPr>
          <w:p w14:paraId="77BDF56E"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0.90</w:t>
            </w:r>
          </w:p>
        </w:tc>
      </w:tr>
      <w:tr w:rsidR="00A6451F" w:rsidRPr="00A6451F" w14:paraId="50B141D9" w14:textId="77777777" w:rsidTr="00A6451F">
        <w:trPr>
          <w:trHeight w:val="279"/>
        </w:trPr>
        <w:tc>
          <w:tcPr>
            <w:tcW w:w="3791" w:type="dxa"/>
            <w:tcBorders>
              <w:top w:val="nil"/>
              <w:left w:val="nil"/>
              <w:bottom w:val="nil"/>
              <w:right w:val="nil"/>
            </w:tcBorders>
            <w:shd w:val="clear" w:color="auto" w:fill="auto"/>
            <w:noWrap/>
            <w:vAlign w:val="bottom"/>
            <w:hideMark/>
          </w:tcPr>
          <w:p w14:paraId="61125332" w14:textId="77777777" w:rsidR="00A6451F" w:rsidRPr="00A6451F" w:rsidRDefault="00A6451F" w:rsidP="00A6451F">
            <w:pPr>
              <w:rPr>
                <w:rFonts w:ascii="Times New Roman" w:eastAsia="Times New Roman" w:hAnsi="Times New Roman" w:cs="Times New Roman"/>
                <w:b/>
                <w:bCs/>
                <w:color w:val="000000"/>
                <w:sz w:val="22"/>
                <w:szCs w:val="22"/>
                <w:lang w:eastAsia="en-GB"/>
              </w:rPr>
            </w:pPr>
            <w:r w:rsidRPr="00A6451F">
              <w:rPr>
                <w:rFonts w:ascii="Times New Roman" w:eastAsia="Times New Roman" w:hAnsi="Times New Roman" w:cs="Times New Roman"/>
                <w:b/>
                <w:bCs/>
                <w:color w:val="000000"/>
                <w:sz w:val="22"/>
                <w:szCs w:val="22"/>
                <w:lang w:eastAsia="en-GB"/>
              </w:rPr>
              <w:t>Economic</w:t>
            </w:r>
          </w:p>
        </w:tc>
        <w:tc>
          <w:tcPr>
            <w:tcW w:w="1060" w:type="dxa"/>
            <w:tcBorders>
              <w:top w:val="nil"/>
              <w:left w:val="nil"/>
              <w:bottom w:val="nil"/>
              <w:right w:val="nil"/>
            </w:tcBorders>
            <w:shd w:val="clear" w:color="auto" w:fill="auto"/>
            <w:noWrap/>
            <w:vAlign w:val="center"/>
            <w:hideMark/>
          </w:tcPr>
          <w:p w14:paraId="170E83E0" w14:textId="77777777" w:rsidR="00A6451F" w:rsidRPr="00A6451F" w:rsidRDefault="00A6451F" w:rsidP="00A6451F">
            <w:pPr>
              <w:rPr>
                <w:rFonts w:ascii="Times New Roman" w:eastAsia="Times New Roman" w:hAnsi="Times New Roman" w:cs="Times New Roman"/>
                <w:b/>
                <w:bCs/>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22E5F2A2" w14:textId="77777777" w:rsidR="00A6451F" w:rsidRPr="00A6451F" w:rsidRDefault="00A6451F" w:rsidP="00A6451F">
            <w:pPr>
              <w:jc w:val="center"/>
              <w:rPr>
                <w:rFonts w:ascii="Times New Roman" w:eastAsia="Times New Roman" w:hAnsi="Times New Roman" w:cs="Times New Roman"/>
                <w:sz w:val="20"/>
                <w:szCs w:val="20"/>
                <w:lang w:eastAsia="en-GB"/>
              </w:rPr>
            </w:pPr>
          </w:p>
        </w:tc>
        <w:tc>
          <w:tcPr>
            <w:tcW w:w="1060" w:type="dxa"/>
            <w:tcBorders>
              <w:top w:val="nil"/>
              <w:left w:val="single" w:sz="4" w:space="0" w:color="auto"/>
              <w:bottom w:val="nil"/>
              <w:right w:val="nil"/>
            </w:tcBorders>
            <w:shd w:val="clear" w:color="auto" w:fill="auto"/>
            <w:noWrap/>
            <w:vAlign w:val="center"/>
            <w:hideMark/>
          </w:tcPr>
          <w:p w14:paraId="6A99E48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nil"/>
              <w:left w:val="nil"/>
              <w:bottom w:val="nil"/>
              <w:right w:val="nil"/>
            </w:tcBorders>
            <w:shd w:val="clear" w:color="auto" w:fill="auto"/>
            <w:noWrap/>
            <w:vAlign w:val="center"/>
            <w:hideMark/>
          </w:tcPr>
          <w:p w14:paraId="2CE1DBC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6FBA147F" w14:textId="77777777" w:rsidR="00A6451F" w:rsidRPr="00A6451F" w:rsidRDefault="00A6451F" w:rsidP="00A6451F">
            <w:pPr>
              <w:jc w:val="center"/>
              <w:rPr>
                <w:rFonts w:ascii="Times New Roman" w:eastAsia="Times New Roman" w:hAnsi="Times New Roman" w:cs="Times New Roman"/>
                <w:sz w:val="20"/>
                <w:szCs w:val="20"/>
                <w:lang w:eastAsia="en-GB"/>
              </w:rPr>
            </w:pPr>
          </w:p>
        </w:tc>
      </w:tr>
      <w:tr w:rsidR="00A6451F" w:rsidRPr="00A6451F" w14:paraId="3B58C8AA" w14:textId="77777777" w:rsidTr="00A6451F">
        <w:trPr>
          <w:trHeight w:val="279"/>
        </w:trPr>
        <w:tc>
          <w:tcPr>
            <w:tcW w:w="3791" w:type="dxa"/>
            <w:tcBorders>
              <w:top w:val="nil"/>
              <w:left w:val="nil"/>
              <w:bottom w:val="nil"/>
              <w:right w:val="nil"/>
            </w:tcBorders>
            <w:shd w:val="clear" w:color="auto" w:fill="auto"/>
            <w:noWrap/>
            <w:vAlign w:val="bottom"/>
            <w:hideMark/>
          </w:tcPr>
          <w:p w14:paraId="3B380975"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Big Corporations are Best</w:t>
            </w:r>
          </w:p>
        </w:tc>
        <w:tc>
          <w:tcPr>
            <w:tcW w:w="1060" w:type="dxa"/>
            <w:tcBorders>
              <w:top w:val="nil"/>
              <w:left w:val="nil"/>
              <w:bottom w:val="nil"/>
              <w:right w:val="nil"/>
            </w:tcBorders>
            <w:shd w:val="clear" w:color="auto" w:fill="auto"/>
            <w:noWrap/>
            <w:vAlign w:val="center"/>
            <w:hideMark/>
          </w:tcPr>
          <w:p w14:paraId="6FCFAF5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0.44</w:t>
            </w:r>
          </w:p>
        </w:tc>
        <w:tc>
          <w:tcPr>
            <w:tcW w:w="1060" w:type="dxa"/>
            <w:tcBorders>
              <w:top w:val="nil"/>
              <w:left w:val="nil"/>
              <w:bottom w:val="nil"/>
              <w:right w:val="nil"/>
            </w:tcBorders>
            <w:shd w:val="clear" w:color="auto" w:fill="auto"/>
            <w:noWrap/>
            <w:vAlign w:val="center"/>
            <w:hideMark/>
          </w:tcPr>
          <w:p w14:paraId="0D873ECE"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0.41</w:t>
            </w:r>
          </w:p>
        </w:tc>
        <w:tc>
          <w:tcPr>
            <w:tcW w:w="1060" w:type="dxa"/>
            <w:tcBorders>
              <w:top w:val="nil"/>
              <w:left w:val="single" w:sz="4" w:space="0" w:color="auto"/>
              <w:bottom w:val="nil"/>
              <w:right w:val="nil"/>
            </w:tcBorders>
            <w:shd w:val="clear" w:color="auto" w:fill="auto"/>
            <w:noWrap/>
            <w:vAlign w:val="center"/>
            <w:hideMark/>
          </w:tcPr>
          <w:p w14:paraId="18812B5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c>
          <w:tcPr>
            <w:tcW w:w="1060" w:type="dxa"/>
            <w:tcBorders>
              <w:top w:val="nil"/>
              <w:left w:val="nil"/>
              <w:bottom w:val="nil"/>
              <w:right w:val="nil"/>
            </w:tcBorders>
            <w:shd w:val="clear" w:color="auto" w:fill="auto"/>
            <w:noWrap/>
            <w:vAlign w:val="center"/>
            <w:hideMark/>
          </w:tcPr>
          <w:p w14:paraId="2E68A5E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0.60</w:t>
            </w:r>
          </w:p>
        </w:tc>
        <w:tc>
          <w:tcPr>
            <w:tcW w:w="1060" w:type="dxa"/>
            <w:tcBorders>
              <w:top w:val="nil"/>
              <w:left w:val="nil"/>
              <w:bottom w:val="nil"/>
              <w:right w:val="nil"/>
            </w:tcBorders>
            <w:shd w:val="clear" w:color="auto" w:fill="auto"/>
            <w:noWrap/>
            <w:vAlign w:val="center"/>
            <w:hideMark/>
          </w:tcPr>
          <w:p w14:paraId="7FB0C3E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0.44</w:t>
            </w:r>
          </w:p>
        </w:tc>
      </w:tr>
      <w:tr w:rsidR="00A6451F" w:rsidRPr="00A6451F" w14:paraId="6E460384" w14:textId="77777777" w:rsidTr="00A6451F">
        <w:trPr>
          <w:trHeight w:val="279"/>
        </w:trPr>
        <w:tc>
          <w:tcPr>
            <w:tcW w:w="3791" w:type="dxa"/>
            <w:tcBorders>
              <w:top w:val="nil"/>
              <w:left w:val="nil"/>
              <w:bottom w:val="nil"/>
              <w:right w:val="nil"/>
            </w:tcBorders>
            <w:shd w:val="clear" w:color="auto" w:fill="auto"/>
            <w:noWrap/>
            <w:vAlign w:val="bottom"/>
            <w:hideMark/>
          </w:tcPr>
          <w:p w14:paraId="581707E2"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Pro Profit</w:t>
            </w:r>
          </w:p>
        </w:tc>
        <w:tc>
          <w:tcPr>
            <w:tcW w:w="1060" w:type="dxa"/>
            <w:tcBorders>
              <w:top w:val="nil"/>
              <w:left w:val="nil"/>
              <w:bottom w:val="nil"/>
              <w:right w:val="nil"/>
            </w:tcBorders>
            <w:shd w:val="clear" w:color="auto" w:fill="auto"/>
            <w:noWrap/>
            <w:vAlign w:val="center"/>
            <w:hideMark/>
          </w:tcPr>
          <w:p w14:paraId="0696590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0.70</w:t>
            </w:r>
          </w:p>
        </w:tc>
        <w:tc>
          <w:tcPr>
            <w:tcW w:w="1060" w:type="dxa"/>
            <w:tcBorders>
              <w:top w:val="nil"/>
              <w:left w:val="nil"/>
              <w:bottom w:val="nil"/>
              <w:right w:val="nil"/>
            </w:tcBorders>
            <w:shd w:val="clear" w:color="auto" w:fill="auto"/>
            <w:noWrap/>
            <w:vAlign w:val="center"/>
            <w:hideMark/>
          </w:tcPr>
          <w:p w14:paraId="50E2E31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0.65</w:t>
            </w:r>
          </w:p>
        </w:tc>
        <w:tc>
          <w:tcPr>
            <w:tcW w:w="1060" w:type="dxa"/>
            <w:tcBorders>
              <w:top w:val="nil"/>
              <w:left w:val="single" w:sz="4" w:space="0" w:color="auto"/>
              <w:bottom w:val="nil"/>
              <w:right w:val="nil"/>
            </w:tcBorders>
            <w:shd w:val="clear" w:color="auto" w:fill="auto"/>
            <w:noWrap/>
            <w:vAlign w:val="center"/>
            <w:hideMark/>
          </w:tcPr>
          <w:p w14:paraId="2B2E0ED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0.04</w:t>
            </w:r>
          </w:p>
        </w:tc>
        <w:tc>
          <w:tcPr>
            <w:tcW w:w="1060" w:type="dxa"/>
            <w:tcBorders>
              <w:top w:val="nil"/>
              <w:left w:val="nil"/>
              <w:bottom w:val="nil"/>
              <w:right w:val="nil"/>
            </w:tcBorders>
            <w:shd w:val="clear" w:color="auto" w:fill="auto"/>
            <w:noWrap/>
            <w:vAlign w:val="center"/>
            <w:hideMark/>
          </w:tcPr>
          <w:p w14:paraId="20FC3E2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1.06</w:t>
            </w:r>
          </w:p>
        </w:tc>
        <w:tc>
          <w:tcPr>
            <w:tcW w:w="1060" w:type="dxa"/>
            <w:tcBorders>
              <w:top w:val="nil"/>
              <w:left w:val="nil"/>
              <w:bottom w:val="nil"/>
              <w:right w:val="nil"/>
            </w:tcBorders>
            <w:shd w:val="clear" w:color="auto" w:fill="auto"/>
            <w:noWrap/>
            <w:vAlign w:val="center"/>
            <w:hideMark/>
          </w:tcPr>
          <w:p w14:paraId="07E81A4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0.30</w:t>
            </w:r>
          </w:p>
        </w:tc>
      </w:tr>
      <w:tr w:rsidR="00A6451F" w:rsidRPr="00A6451F" w14:paraId="05FFF291" w14:textId="77777777" w:rsidTr="00A6451F">
        <w:trPr>
          <w:trHeight w:val="279"/>
        </w:trPr>
        <w:tc>
          <w:tcPr>
            <w:tcW w:w="3791" w:type="dxa"/>
            <w:tcBorders>
              <w:top w:val="nil"/>
              <w:left w:val="nil"/>
              <w:bottom w:val="nil"/>
              <w:right w:val="nil"/>
            </w:tcBorders>
            <w:shd w:val="clear" w:color="auto" w:fill="auto"/>
            <w:noWrap/>
            <w:vAlign w:val="bottom"/>
            <w:hideMark/>
          </w:tcPr>
          <w:p w14:paraId="0F01CF59"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Anti Gov. Spending on Relief</w:t>
            </w:r>
          </w:p>
        </w:tc>
        <w:tc>
          <w:tcPr>
            <w:tcW w:w="1060" w:type="dxa"/>
            <w:tcBorders>
              <w:top w:val="nil"/>
              <w:left w:val="nil"/>
              <w:bottom w:val="nil"/>
              <w:right w:val="nil"/>
            </w:tcBorders>
            <w:shd w:val="clear" w:color="auto" w:fill="auto"/>
            <w:noWrap/>
            <w:vAlign w:val="center"/>
            <w:hideMark/>
          </w:tcPr>
          <w:p w14:paraId="537C4E7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0.27</w:t>
            </w:r>
          </w:p>
        </w:tc>
        <w:tc>
          <w:tcPr>
            <w:tcW w:w="1060" w:type="dxa"/>
            <w:tcBorders>
              <w:top w:val="nil"/>
              <w:left w:val="nil"/>
              <w:bottom w:val="nil"/>
              <w:right w:val="nil"/>
            </w:tcBorders>
            <w:shd w:val="clear" w:color="auto" w:fill="auto"/>
            <w:noWrap/>
            <w:vAlign w:val="center"/>
            <w:hideMark/>
          </w:tcPr>
          <w:p w14:paraId="62DC045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0.38</w:t>
            </w:r>
          </w:p>
        </w:tc>
        <w:tc>
          <w:tcPr>
            <w:tcW w:w="1060" w:type="dxa"/>
            <w:tcBorders>
              <w:top w:val="nil"/>
              <w:left w:val="single" w:sz="4" w:space="0" w:color="auto"/>
              <w:bottom w:val="nil"/>
              <w:right w:val="nil"/>
            </w:tcBorders>
            <w:shd w:val="clear" w:color="auto" w:fill="auto"/>
            <w:noWrap/>
            <w:vAlign w:val="center"/>
            <w:hideMark/>
          </w:tcPr>
          <w:p w14:paraId="2D9FBC9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-0.11</w:t>
            </w:r>
          </w:p>
        </w:tc>
        <w:tc>
          <w:tcPr>
            <w:tcW w:w="1060" w:type="dxa"/>
            <w:tcBorders>
              <w:top w:val="nil"/>
              <w:left w:val="nil"/>
              <w:bottom w:val="nil"/>
              <w:right w:val="nil"/>
            </w:tcBorders>
            <w:shd w:val="clear" w:color="auto" w:fill="auto"/>
            <w:noWrap/>
            <w:vAlign w:val="center"/>
            <w:hideMark/>
          </w:tcPr>
          <w:p w14:paraId="6413137E"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6.59</w:t>
            </w:r>
          </w:p>
        </w:tc>
        <w:tc>
          <w:tcPr>
            <w:tcW w:w="1060" w:type="dxa"/>
            <w:tcBorders>
              <w:top w:val="nil"/>
              <w:left w:val="nil"/>
              <w:bottom w:val="nil"/>
              <w:right w:val="nil"/>
            </w:tcBorders>
            <w:shd w:val="clear" w:color="auto" w:fill="auto"/>
            <w:noWrap/>
            <w:vAlign w:val="center"/>
            <w:hideMark/>
          </w:tcPr>
          <w:p w14:paraId="4ADFC7C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r>
      <w:tr w:rsidR="00A6451F" w:rsidRPr="00A6451F" w14:paraId="520390AB" w14:textId="77777777" w:rsidTr="00A6451F">
        <w:trPr>
          <w:trHeight w:val="279"/>
        </w:trPr>
        <w:tc>
          <w:tcPr>
            <w:tcW w:w="3791" w:type="dxa"/>
            <w:tcBorders>
              <w:top w:val="nil"/>
              <w:left w:val="nil"/>
              <w:bottom w:val="nil"/>
              <w:right w:val="nil"/>
            </w:tcBorders>
            <w:shd w:val="clear" w:color="auto" w:fill="auto"/>
            <w:noWrap/>
            <w:vAlign w:val="bottom"/>
            <w:hideMark/>
          </w:tcPr>
          <w:p w14:paraId="47094CEA"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Anti Gov. Spending on Recovery</w:t>
            </w:r>
          </w:p>
        </w:tc>
        <w:tc>
          <w:tcPr>
            <w:tcW w:w="1060" w:type="dxa"/>
            <w:tcBorders>
              <w:top w:val="nil"/>
              <w:left w:val="nil"/>
              <w:bottom w:val="nil"/>
              <w:right w:val="nil"/>
            </w:tcBorders>
            <w:shd w:val="clear" w:color="auto" w:fill="auto"/>
            <w:noWrap/>
            <w:vAlign w:val="center"/>
            <w:hideMark/>
          </w:tcPr>
          <w:p w14:paraId="4AD8753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0.36</w:t>
            </w:r>
          </w:p>
        </w:tc>
        <w:tc>
          <w:tcPr>
            <w:tcW w:w="1060" w:type="dxa"/>
            <w:tcBorders>
              <w:top w:val="nil"/>
              <w:left w:val="nil"/>
              <w:bottom w:val="nil"/>
              <w:right w:val="nil"/>
            </w:tcBorders>
            <w:shd w:val="clear" w:color="auto" w:fill="auto"/>
            <w:noWrap/>
            <w:vAlign w:val="center"/>
            <w:hideMark/>
          </w:tcPr>
          <w:p w14:paraId="6D1682E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0.40</w:t>
            </w:r>
          </w:p>
        </w:tc>
        <w:tc>
          <w:tcPr>
            <w:tcW w:w="1060" w:type="dxa"/>
            <w:tcBorders>
              <w:top w:val="nil"/>
              <w:left w:val="single" w:sz="4" w:space="0" w:color="auto"/>
              <w:bottom w:val="nil"/>
              <w:right w:val="nil"/>
            </w:tcBorders>
            <w:shd w:val="clear" w:color="auto" w:fill="auto"/>
            <w:noWrap/>
            <w:vAlign w:val="center"/>
            <w:hideMark/>
          </w:tcPr>
          <w:p w14:paraId="13A86DF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c>
          <w:tcPr>
            <w:tcW w:w="1060" w:type="dxa"/>
            <w:tcBorders>
              <w:top w:val="nil"/>
              <w:left w:val="nil"/>
              <w:bottom w:val="nil"/>
              <w:right w:val="nil"/>
            </w:tcBorders>
            <w:shd w:val="clear" w:color="auto" w:fill="auto"/>
            <w:noWrap/>
            <w:vAlign w:val="center"/>
            <w:hideMark/>
          </w:tcPr>
          <w:p w14:paraId="3F8EC65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0.64</w:t>
            </w:r>
          </w:p>
        </w:tc>
        <w:tc>
          <w:tcPr>
            <w:tcW w:w="1060" w:type="dxa"/>
            <w:tcBorders>
              <w:top w:val="nil"/>
              <w:left w:val="nil"/>
              <w:bottom w:val="nil"/>
              <w:right w:val="nil"/>
            </w:tcBorders>
            <w:shd w:val="clear" w:color="auto" w:fill="auto"/>
            <w:noWrap/>
            <w:vAlign w:val="center"/>
            <w:hideMark/>
          </w:tcPr>
          <w:p w14:paraId="635BC0E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0.43</w:t>
            </w:r>
          </w:p>
        </w:tc>
      </w:tr>
      <w:tr w:rsidR="00A6451F" w:rsidRPr="00A6451F" w14:paraId="0092232C" w14:textId="77777777" w:rsidTr="00A6451F">
        <w:trPr>
          <w:trHeight w:val="279"/>
        </w:trPr>
        <w:tc>
          <w:tcPr>
            <w:tcW w:w="3791" w:type="dxa"/>
            <w:tcBorders>
              <w:top w:val="nil"/>
              <w:left w:val="nil"/>
              <w:bottom w:val="nil"/>
              <w:right w:val="nil"/>
            </w:tcBorders>
            <w:shd w:val="clear" w:color="auto" w:fill="auto"/>
            <w:noWrap/>
            <w:vAlign w:val="bottom"/>
            <w:hideMark/>
          </w:tcPr>
          <w:p w14:paraId="6DD1BF8B"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Attended Fair</w:t>
            </w:r>
          </w:p>
        </w:tc>
        <w:tc>
          <w:tcPr>
            <w:tcW w:w="1060" w:type="dxa"/>
            <w:tcBorders>
              <w:top w:val="nil"/>
              <w:left w:val="nil"/>
              <w:bottom w:val="nil"/>
              <w:right w:val="nil"/>
            </w:tcBorders>
            <w:shd w:val="clear" w:color="auto" w:fill="auto"/>
            <w:noWrap/>
            <w:vAlign w:val="center"/>
            <w:hideMark/>
          </w:tcPr>
          <w:p w14:paraId="22AE2604"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0.27</w:t>
            </w:r>
          </w:p>
        </w:tc>
        <w:tc>
          <w:tcPr>
            <w:tcW w:w="1060" w:type="dxa"/>
            <w:tcBorders>
              <w:top w:val="nil"/>
              <w:left w:val="nil"/>
              <w:bottom w:val="nil"/>
              <w:right w:val="nil"/>
            </w:tcBorders>
            <w:shd w:val="clear" w:color="auto" w:fill="auto"/>
            <w:noWrap/>
            <w:vAlign w:val="center"/>
            <w:hideMark/>
          </w:tcPr>
          <w:p w14:paraId="0DF53E4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0.33</w:t>
            </w:r>
          </w:p>
        </w:tc>
        <w:tc>
          <w:tcPr>
            <w:tcW w:w="1060" w:type="dxa"/>
            <w:tcBorders>
              <w:top w:val="nil"/>
              <w:left w:val="single" w:sz="4" w:space="0" w:color="auto"/>
              <w:bottom w:val="nil"/>
              <w:right w:val="nil"/>
            </w:tcBorders>
            <w:shd w:val="clear" w:color="auto" w:fill="auto"/>
            <w:noWrap/>
            <w:vAlign w:val="center"/>
            <w:hideMark/>
          </w:tcPr>
          <w:p w14:paraId="1463B11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-0.06</w:t>
            </w:r>
          </w:p>
        </w:tc>
        <w:tc>
          <w:tcPr>
            <w:tcW w:w="1060" w:type="dxa"/>
            <w:tcBorders>
              <w:top w:val="nil"/>
              <w:left w:val="nil"/>
              <w:bottom w:val="nil"/>
              <w:right w:val="nil"/>
            </w:tcBorders>
            <w:shd w:val="clear" w:color="auto" w:fill="auto"/>
            <w:noWrap/>
            <w:vAlign w:val="center"/>
            <w:hideMark/>
          </w:tcPr>
          <w:p w14:paraId="4F8DA42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2.11</w:t>
            </w:r>
          </w:p>
        </w:tc>
        <w:tc>
          <w:tcPr>
            <w:tcW w:w="1060" w:type="dxa"/>
            <w:tcBorders>
              <w:top w:val="nil"/>
              <w:left w:val="nil"/>
              <w:bottom w:val="nil"/>
              <w:right w:val="nil"/>
            </w:tcBorders>
            <w:shd w:val="clear" w:color="auto" w:fill="auto"/>
            <w:noWrap/>
            <w:vAlign w:val="center"/>
            <w:hideMark/>
          </w:tcPr>
          <w:p w14:paraId="07DE91F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0.15</w:t>
            </w:r>
          </w:p>
        </w:tc>
      </w:tr>
      <w:tr w:rsidR="00A6451F" w:rsidRPr="00A6451F" w14:paraId="6FCB8C7D" w14:textId="77777777" w:rsidTr="00A6451F">
        <w:trPr>
          <w:trHeight w:val="279"/>
        </w:trPr>
        <w:tc>
          <w:tcPr>
            <w:tcW w:w="3791" w:type="dxa"/>
            <w:tcBorders>
              <w:top w:val="nil"/>
              <w:left w:val="nil"/>
              <w:bottom w:val="nil"/>
              <w:right w:val="nil"/>
            </w:tcBorders>
            <w:shd w:val="clear" w:color="auto" w:fill="auto"/>
            <w:noWrap/>
            <w:vAlign w:val="bottom"/>
            <w:hideMark/>
          </w:tcPr>
          <w:p w14:paraId="015C072F"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Like FDR Economic Policy</w:t>
            </w:r>
          </w:p>
        </w:tc>
        <w:tc>
          <w:tcPr>
            <w:tcW w:w="1060" w:type="dxa"/>
            <w:tcBorders>
              <w:top w:val="nil"/>
              <w:left w:val="nil"/>
              <w:bottom w:val="nil"/>
              <w:right w:val="nil"/>
            </w:tcBorders>
            <w:shd w:val="clear" w:color="auto" w:fill="auto"/>
            <w:noWrap/>
            <w:vAlign w:val="center"/>
            <w:hideMark/>
          </w:tcPr>
          <w:p w14:paraId="428C526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0.75</w:t>
            </w:r>
          </w:p>
        </w:tc>
        <w:tc>
          <w:tcPr>
            <w:tcW w:w="1060" w:type="dxa"/>
            <w:tcBorders>
              <w:top w:val="nil"/>
              <w:left w:val="nil"/>
              <w:bottom w:val="nil"/>
              <w:right w:val="nil"/>
            </w:tcBorders>
            <w:shd w:val="clear" w:color="auto" w:fill="auto"/>
            <w:noWrap/>
            <w:vAlign w:val="center"/>
            <w:hideMark/>
          </w:tcPr>
          <w:p w14:paraId="1C41B42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0.52</w:t>
            </w:r>
          </w:p>
        </w:tc>
        <w:tc>
          <w:tcPr>
            <w:tcW w:w="1060" w:type="dxa"/>
            <w:tcBorders>
              <w:top w:val="nil"/>
              <w:left w:val="single" w:sz="4" w:space="0" w:color="auto"/>
              <w:bottom w:val="nil"/>
              <w:right w:val="nil"/>
            </w:tcBorders>
            <w:shd w:val="clear" w:color="auto" w:fill="auto"/>
            <w:noWrap/>
            <w:vAlign w:val="center"/>
            <w:hideMark/>
          </w:tcPr>
          <w:p w14:paraId="1FA859D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0.24</w:t>
            </w:r>
          </w:p>
        </w:tc>
        <w:tc>
          <w:tcPr>
            <w:tcW w:w="1060" w:type="dxa"/>
            <w:tcBorders>
              <w:top w:val="nil"/>
              <w:left w:val="nil"/>
              <w:bottom w:val="nil"/>
              <w:right w:val="nil"/>
            </w:tcBorders>
            <w:shd w:val="clear" w:color="auto" w:fill="auto"/>
            <w:noWrap/>
            <w:vAlign w:val="center"/>
            <w:hideMark/>
          </w:tcPr>
          <w:p w14:paraId="188C412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29.74</w:t>
            </w:r>
          </w:p>
        </w:tc>
        <w:tc>
          <w:tcPr>
            <w:tcW w:w="1060" w:type="dxa"/>
            <w:tcBorders>
              <w:top w:val="nil"/>
              <w:left w:val="nil"/>
              <w:bottom w:val="nil"/>
              <w:right w:val="nil"/>
            </w:tcBorders>
            <w:shd w:val="clear" w:color="auto" w:fill="auto"/>
            <w:noWrap/>
            <w:vAlign w:val="center"/>
            <w:hideMark/>
          </w:tcPr>
          <w:p w14:paraId="57ABAAF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r>
      <w:tr w:rsidR="00A6451F" w:rsidRPr="00A6451F" w14:paraId="3A98DC63" w14:textId="77777777" w:rsidTr="00A6451F">
        <w:trPr>
          <w:trHeight w:val="279"/>
        </w:trPr>
        <w:tc>
          <w:tcPr>
            <w:tcW w:w="3791" w:type="dxa"/>
            <w:tcBorders>
              <w:top w:val="nil"/>
              <w:left w:val="nil"/>
              <w:bottom w:val="nil"/>
              <w:right w:val="nil"/>
            </w:tcBorders>
            <w:shd w:val="clear" w:color="auto" w:fill="auto"/>
            <w:noWrap/>
            <w:vAlign w:val="bottom"/>
            <w:hideMark/>
          </w:tcPr>
          <w:p w14:paraId="6ED99CC8" w14:textId="77777777" w:rsidR="00A6451F" w:rsidRPr="00A6451F" w:rsidRDefault="00A6451F" w:rsidP="00A6451F">
            <w:pPr>
              <w:rPr>
                <w:rFonts w:ascii="Times New Roman" w:eastAsia="Times New Roman" w:hAnsi="Times New Roman" w:cs="Times New Roman"/>
                <w:b/>
                <w:bCs/>
                <w:color w:val="000000"/>
                <w:sz w:val="22"/>
                <w:szCs w:val="22"/>
                <w:lang w:eastAsia="en-GB"/>
              </w:rPr>
            </w:pPr>
            <w:r w:rsidRPr="00A6451F">
              <w:rPr>
                <w:rFonts w:ascii="Times New Roman" w:eastAsia="Times New Roman" w:hAnsi="Times New Roman" w:cs="Times New Roman"/>
                <w:b/>
                <w:bCs/>
                <w:color w:val="000000"/>
                <w:sz w:val="22"/>
                <w:szCs w:val="22"/>
                <w:lang w:eastAsia="en-GB"/>
              </w:rPr>
              <w:t>Political</w:t>
            </w:r>
          </w:p>
        </w:tc>
        <w:tc>
          <w:tcPr>
            <w:tcW w:w="1060" w:type="dxa"/>
            <w:tcBorders>
              <w:top w:val="nil"/>
              <w:left w:val="nil"/>
              <w:bottom w:val="nil"/>
              <w:right w:val="nil"/>
            </w:tcBorders>
            <w:shd w:val="clear" w:color="auto" w:fill="auto"/>
            <w:noWrap/>
            <w:vAlign w:val="center"/>
            <w:hideMark/>
          </w:tcPr>
          <w:p w14:paraId="2D608AC9" w14:textId="77777777" w:rsidR="00A6451F" w:rsidRPr="00A6451F" w:rsidRDefault="00A6451F" w:rsidP="00A6451F">
            <w:pPr>
              <w:rPr>
                <w:rFonts w:ascii="Times New Roman" w:eastAsia="Times New Roman" w:hAnsi="Times New Roman" w:cs="Times New Roman"/>
                <w:b/>
                <w:bCs/>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6BB90AAC" w14:textId="77777777" w:rsidR="00A6451F" w:rsidRPr="00A6451F" w:rsidRDefault="00A6451F" w:rsidP="00A6451F">
            <w:pPr>
              <w:jc w:val="center"/>
              <w:rPr>
                <w:rFonts w:ascii="Times New Roman" w:eastAsia="Times New Roman" w:hAnsi="Times New Roman" w:cs="Times New Roman"/>
                <w:sz w:val="20"/>
                <w:szCs w:val="20"/>
                <w:lang w:eastAsia="en-GB"/>
              </w:rPr>
            </w:pPr>
          </w:p>
        </w:tc>
        <w:tc>
          <w:tcPr>
            <w:tcW w:w="1060" w:type="dxa"/>
            <w:tcBorders>
              <w:top w:val="nil"/>
              <w:left w:val="single" w:sz="4" w:space="0" w:color="auto"/>
              <w:bottom w:val="nil"/>
              <w:right w:val="nil"/>
            </w:tcBorders>
            <w:shd w:val="clear" w:color="auto" w:fill="auto"/>
            <w:noWrap/>
            <w:vAlign w:val="center"/>
            <w:hideMark/>
          </w:tcPr>
          <w:p w14:paraId="34DB578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 </w:t>
            </w:r>
          </w:p>
        </w:tc>
        <w:tc>
          <w:tcPr>
            <w:tcW w:w="1060" w:type="dxa"/>
            <w:tcBorders>
              <w:top w:val="nil"/>
              <w:left w:val="nil"/>
              <w:bottom w:val="nil"/>
              <w:right w:val="nil"/>
            </w:tcBorders>
            <w:shd w:val="clear" w:color="auto" w:fill="auto"/>
            <w:noWrap/>
            <w:vAlign w:val="center"/>
            <w:hideMark/>
          </w:tcPr>
          <w:p w14:paraId="5DB9B76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p>
        </w:tc>
        <w:tc>
          <w:tcPr>
            <w:tcW w:w="1060" w:type="dxa"/>
            <w:tcBorders>
              <w:top w:val="nil"/>
              <w:left w:val="nil"/>
              <w:bottom w:val="nil"/>
              <w:right w:val="nil"/>
            </w:tcBorders>
            <w:shd w:val="clear" w:color="auto" w:fill="auto"/>
            <w:noWrap/>
            <w:vAlign w:val="center"/>
            <w:hideMark/>
          </w:tcPr>
          <w:p w14:paraId="38BCB5D7" w14:textId="77777777" w:rsidR="00A6451F" w:rsidRPr="00A6451F" w:rsidRDefault="00A6451F" w:rsidP="00A6451F">
            <w:pPr>
              <w:jc w:val="center"/>
              <w:rPr>
                <w:rFonts w:ascii="Times New Roman" w:eastAsia="Times New Roman" w:hAnsi="Times New Roman" w:cs="Times New Roman"/>
                <w:sz w:val="20"/>
                <w:szCs w:val="20"/>
                <w:lang w:eastAsia="en-GB"/>
              </w:rPr>
            </w:pPr>
          </w:p>
        </w:tc>
      </w:tr>
      <w:tr w:rsidR="00A6451F" w:rsidRPr="00A6451F" w14:paraId="7E494591" w14:textId="77777777" w:rsidTr="00A6451F">
        <w:trPr>
          <w:trHeight w:val="279"/>
        </w:trPr>
        <w:tc>
          <w:tcPr>
            <w:tcW w:w="3791" w:type="dxa"/>
            <w:tcBorders>
              <w:top w:val="nil"/>
              <w:left w:val="nil"/>
              <w:bottom w:val="nil"/>
              <w:right w:val="nil"/>
            </w:tcBorders>
            <w:shd w:val="clear" w:color="auto" w:fill="auto"/>
            <w:noWrap/>
            <w:vAlign w:val="bottom"/>
            <w:hideMark/>
          </w:tcPr>
          <w:p w14:paraId="154B8F4B"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Positive towards FDR</w:t>
            </w:r>
          </w:p>
        </w:tc>
        <w:tc>
          <w:tcPr>
            <w:tcW w:w="1060" w:type="dxa"/>
            <w:tcBorders>
              <w:top w:val="nil"/>
              <w:left w:val="nil"/>
              <w:bottom w:val="nil"/>
              <w:right w:val="nil"/>
            </w:tcBorders>
            <w:shd w:val="clear" w:color="auto" w:fill="auto"/>
            <w:noWrap/>
            <w:vAlign w:val="center"/>
            <w:hideMark/>
          </w:tcPr>
          <w:p w14:paraId="0EC4F51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0.76</w:t>
            </w:r>
          </w:p>
        </w:tc>
        <w:tc>
          <w:tcPr>
            <w:tcW w:w="1060" w:type="dxa"/>
            <w:tcBorders>
              <w:top w:val="nil"/>
              <w:left w:val="nil"/>
              <w:bottom w:val="nil"/>
              <w:right w:val="nil"/>
            </w:tcBorders>
            <w:shd w:val="clear" w:color="auto" w:fill="auto"/>
            <w:noWrap/>
            <w:vAlign w:val="center"/>
            <w:hideMark/>
          </w:tcPr>
          <w:p w14:paraId="34FBE3E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0.58</w:t>
            </w:r>
          </w:p>
        </w:tc>
        <w:tc>
          <w:tcPr>
            <w:tcW w:w="1060" w:type="dxa"/>
            <w:tcBorders>
              <w:top w:val="nil"/>
              <w:left w:val="single" w:sz="4" w:space="0" w:color="auto"/>
              <w:bottom w:val="nil"/>
              <w:right w:val="nil"/>
            </w:tcBorders>
            <w:shd w:val="clear" w:color="auto" w:fill="auto"/>
            <w:noWrap/>
            <w:vAlign w:val="center"/>
            <w:hideMark/>
          </w:tcPr>
          <w:p w14:paraId="3E61E4C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0.18</w:t>
            </w:r>
          </w:p>
        </w:tc>
        <w:tc>
          <w:tcPr>
            <w:tcW w:w="1060" w:type="dxa"/>
            <w:tcBorders>
              <w:top w:val="nil"/>
              <w:left w:val="nil"/>
              <w:bottom w:val="nil"/>
              <w:right w:val="nil"/>
            </w:tcBorders>
            <w:shd w:val="clear" w:color="auto" w:fill="auto"/>
            <w:noWrap/>
            <w:vAlign w:val="center"/>
            <w:hideMark/>
          </w:tcPr>
          <w:p w14:paraId="4C91E54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18.29</w:t>
            </w:r>
          </w:p>
        </w:tc>
        <w:tc>
          <w:tcPr>
            <w:tcW w:w="1060" w:type="dxa"/>
            <w:tcBorders>
              <w:top w:val="nil"/>
              <w:left w:val="nil"/>
              <w:bottom w:val="nil"/>
              <w:right w:val="nil"/>
            </w:tcBorders>
            <w:shd w:val="clear" w:color="auto" w:fill="auto"/>
            <w:noWrap/>
            <w:vAlign w:val="center"/>
            <w:hideMark/>
          </w:tcPr>
          <w:p w14:paraId="1414D55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r>
      <w:tr w:rsidR="00A6451F" w:rsidRPr="00A6451F" w14:paraId="69ACA745" w14:textId="77777777" w:rsidTr="00A6451F">
        <w:trPr>
          <w:trHeight w:val="279"/>
        </w:trPr>
        <w:tc>
          <w:tcPr>
            <w:tcW w:w="3791" w:type="dxa"/>
            <w:tcBorders>
              <w:top w:val="nil"/>
              <w:left w:val="nil"/>
              <w:bottom w:val="nil"/>
              <w:right w:val="nil"/>
            </w:tcBorders>
            <w:shd w:val="clear" w:color="auto" w:fill="auto"/>
            <w:vAlign w:val="bottom"/>
            <w:hideMark/>
          </w:tcPr>
          <w:p w14:paraId="3FB01A56" w14:textId="77777777" w:rsid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Positive effect of Progressives</w:t>
            </w:r>
          </w:p>
          <w:p w14:paraId="5BFEB925" w14:textId="0A176CA8"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of America</w:t>
            </w:r>
          </w:p>
        </w:tc>
        <w:tc>
          <w:tcPr>
            <w:tcW w:w="1060" w:type="dxa"/>
            <w:tcBorders>
              <w:top w:val="nil"/>
              <w:left w:val="nil"/>
              <w:bottom w:val="nil"/>
              <w:right w:val="nil"/>
            </w:tcBorders>
            <w:shd w:val="clear" w:color="auto" w:fill="auto"/>
            <w:noWrap/>
            <w:vAlign w:val="center"/>
            <w:hideMark/>
          </w:tcPr>
          <w:p w14:paraId="5611A8D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0.16</w:t>
            </w:r>
          </w:p>
        </w:tc>
        <w:tc>
          <w:tcPr>
            <w:tcW w:w="1060" w:type="dxa"/>
            <w:tcBorders>
              <w:top w:val="nil"/>
              <w:left w:val="nil"/>
              <w:bottom w:val="nil"/>
              <w:right w:val="nil"/>
            </w:tcBorders>
            <w:shd w:val="clear" w:color="auto" w:fill="auto"/>
            <w:noWrap/>
            <w:vAlign w:val="center"/>
            <w:hideMark/>
          </w:tcPr>
          <w:p w14:paraId="7E8634B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0.16</w:t>
            </w:r>
          </w:p>
        </w:tc>
        <w:tc>
          <w:tcPr>
            <w:tcW w:w="1060" w:type="dxa"/>
            <w:tcBorders>
              <w:top w:val="nil"/>
              <w:left w:val="single" w:sz="4" w:space="0" w:color="auto"/>
              <w:bottom w:val="nil"/>
              <w:right w:val="nil"/>
            </w:tcBorders>
            <w:shd w:val="clear" w:color="auto" w:fill="auto"/>
            <w:noWrap/>
            <w:vAlign w:val="center"/>
            <w:hideMark/>
          </w:tcPr>
          <w:p w14:paraId="7DA2163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4E3A466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c>
          <w:tcPr>
            <w:tcW w:w="1060" w:type="dxa"/>
            <w:tcBorders>
              <w:top w:val="nil"/>
              <w:left w:val="nil"/>
              <w:bottom w:val="nil"/>
              <w:right w:val="nil"/>
            </w:tcBorders>
            <w:shd w:val="clear" w:color="auto" w:fill="auto"/>
            <w:noWrap/>
            <w:vAlign w:val="center"/>
            <w:hideMark/>
          </w:tcPr>
          <w:p w14:paraId="2CAC510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0.86</w:t>
            </w:r>
          </w:p>
        </w:tc>
      </w:tr>
      <w:tr w:rsidR="00A6451F" w:rsidRPr="00A6451F" w14:paraId="688EBE18" w14:textId="77777777" w:rsidTr="00A6451F">
        <w:trPr>
          <w:trHeight w:val="279"/>
        </w:trPr>
        <w:tc>
          <w:tcPr>
            <w:tcW w:w="3791" w:type="dxa"/>
            <w:tcBorders>
              <w:top w:val="nil"/>
              <w:left w:val="nil"/>
              <w:bottom w:val="nil"/>
              <w:right w:val="nil"/>
            </w:tcBorders>
            <w:shd w:val="clear" w:color="auto" w:fill="auto"/>
            <w:vAlign w:val="bottom"/>
            <w:hideMark/>
          </w:tcPr>
          <w:p w14:paraId="62644442" w14:textId="77777777" w:rsid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Negative effect of Progressives</w:t>
            </w:r>
          </w:p>
          <w:p w14:paraId="1F99F156" w14:textId="2D2AEA1E"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of America</w:t>
            </w:r>
          </w:p>
        </w:tc>
        <w:tc>
          <w:tcPr>
            <w:tcW w:w="1060" w:type="dxa"/>
            <w:tcBorders>
              <w:top w:val="nil"/>
              <w:left w:val="nil"/>
              <w:bottom w:val="nil"/>
              <w:right w:val="nil"/>
            </w:tcBorders>
            <w:shd w:val="clear" w:color="auto" w:fill="auto"/>
            <w:noWrap/>
            <w:vAlign w:val="center"/>
            <w:hideMark/>
          </w:tcPr>
          <w:p w14:paraId="6FCC3FF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0.13</w:t>
            </w:r>
          </w:p>
        </w:tc>
        <w:tc>
          <w:tcPr>
            <w:tcW w:w="1060" w:type="dxa"/>
            <w:tcBorders>
              <w:top w:val="nil"/>
              <w:left w:val="nil"/>
              <w:bottom w:val="nil"/>
              <w:right w:val="nil"/>
            </w:tcBorders>
            <w:shd w:val="clear" w:color="auto" w:fill="auto"/>
            <w:noWrap/>
            <w:vAlign w:val="center"/>
            <w:hideMark/>
          </w:tcPr>
          <w:p w14:paraId="09BECAC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0.12</w:t>
            </w:r>
          </w:p>
        </w:tc>
        <w:tc>
          <w:tcPr>
            <w:tcW w:w="1060" w:type="dxa"/>
            <w:tcBorders>
              <w:top w:val="nil"/>
              <w:left w:val="single" w:sz="4" w:space="0" w:color="auto"/>
              <w:bottom w:val="nil"/>
              <w:right w:val="nil"/>
            </w:tcBorders>
            <w:shd w:val="clear" w:color="auto" w:fill="auto"/>
            <w:noWrap/>
            <w:vAlign w:val="center"/>
            <w:hideMark/>
          </w:tcPr>
          <w:p w14:paraId="7775613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nil"/>
              <w:bottom w:val="nil"/>
              <w:right w:val="nil"/>
            </w:tcBorders>
            <w:shd w:val="clear" w:color="auto" w:fill="auto"/>
            <w:noWrap/>
            <w:vAlign w:val="center"/>
            <w:hideMark/>
          </w:tcPr>
          <w:p w14:paraId="6D1EAA8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0.32</w:t>
            </w:r>
          </w:p>
        </w:tc>
        <w:tc>
          <w:tcPr>
            <w:tcW w:w="1060" w:type="dxa"/>
            <w:tcBorders>
              <w:top w:val="nil"/>
              <w:left w:val="nil"/>
              <w:bottom w:val="nil"/>
              <w:right w:val="nil"/>
            </w:tcBorders>
            <w:shd w:val="clear" w:color="auto" w:fill="auto"/>
            <w:noWrap/>
            <w:vAlign w:val="center"/>
            <w:hideMark/>
          </w:tcPr>
          <w:p w14:paraId="4C80141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0.57</w:t>
            </w:r>
          </w:p>
        </w:tc>
      </w:tr>
      <w:tr w:rsidR="00A6451F" w:rsidRPr="00A6451F" w14:paraId="2E8A22DE" w14:textId="77777777" w:rsidTr="00A6451F">
        <w:trPr>
          <w:trHeight w:val="279"/>
        </w:trPr>
        <w:tc>
          <w:tcPr>
            <w:tcW w:w="3791" w:type="dxa"/>
            <w:tcBorders>
              <w:top w:val="nil"/>
              <w:left w:val="nil"/>
              <w:bottom w:val="nil"/>
              <w:right w:val="nil"/>
            </w:tcBorders>
            <w:shd w:val="clear" w:color="auto" w:fill="auto"/>
            <w:vAlign w:val="bottom"/>
            <w:hideMark/>
          </w:tcPr>
          <w:p w14:paraId="7E680B4C" w14:textId="77777777" w:rsid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Congressman should vote with</w:t>
            </w:r>
          </w:p>
          <w:p w14:paraId="471F8A77" w14:textId="715FAC75"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Majority</w:t>
            </w:r>
          </w:p>
        </w:tc>
        <w:tc>
          <w:tcPr>
            <w:tcW w:w="1060" w:type="dxa"/>
            <w:tcBorders>
              <w:top w:val="nil"/>
              <w:left w:val="nil"/>
              <w:bottom w:val="nil"/>
              <w:right w:val="nil"/>
            </w:tcBorders>
            <w:shd w:val="clear" w:color="auto" w:fill="auto"/>
            <w:noWrap/>
            <w:vAlign w:val="center"/>
            <w:hideMark/>
          </w:tcPr>
          <w:p w14:paraId="200FD8B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0.45</w:t>
            </w:r>
          </w:p>
        </w:tc>
        <w:tc>
          <w:tcPr>
            <w:tcW w:w="1060" w:type="dxa"/>
            <w:tcBorders>
              <w:top w:val="nil"/>
              <w:left w:val="nil"/>
              <w:bottom w:val="nil"/>
              <w:right w:val="nil"/>
            </w:tcBorders>
            <w:shd w:val="clear" w:color="auto" w:fill="auto"/>
            <w:noWrap/>
            <w:vAlign w:val="center"/>
            <w:hideMark/>
          </w:tcPr>
          <w:p w14:paraId="1AF9A406"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0.36</w:t>
            </w:r>
          </w:p>
        </w:tc>
        <w:tc>
          <w:tcPr>
            <w:tcW w:w="1060" w:type="dxa"/>
            <w:tcBorders>
              <w:top w:val="nil"/>
              <w:left w:val="single" w:sz="4" w:space="0" w:color="auto"/>
              <w:bottom w:val="nil"/>
              <w:right w:val="nil"/>
            </w:tcBorders>
            <w:shd w:val="clear" w:color="auto" w:fill="auto"/>
            <w:noWrap/>
            <w:vAlign w:val="center"/>
            <w:hideMark/>
          </w:tcPr>
          <w:p w14:paraId="76162ED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0.09</w:t>
            </w:r>
          </w:p>
        </w:tc>
        <w:tc>
          <w:tcPr>
            <w:tcW w:w="1060" w:type="dxa"/>
            <w:tcBorders>
              <w:top w:val="nil"/>
              <w:left w:val="nil"/>
              <w:bottom w:val="nil"/>
              <w:right w:val="nil"/>
            </w:tcBorders>
            <w:shd w:val="clear" w:color="auto" w:fill="auto"/>
            <w:noWrap/>
            <w:vAlign w:val="center"/>
            <w:hideMark/>
          </w:tcPr>
          <w:p w14:paraId="4C1055A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4.82</w:t>
            </w:r>
          </w:p>
        </w:tc>
        <w:tc>
          <w:tcPr>
            <w:tcW w:w="1060" w:type="dxa"/>
            <w:tcBorders>
              <w:top w:val="nil"/>
              <w:left w:val="nil"/>
              <w:bottom w:val="nil"/>
              <w:right w:val="nil"/>
            </w:tcBorders>
            <w:shd w:val="clear" w:color="auto" w:fill="auto"/>
            <w:noWrap/>
            <w:vAlign w:val="center"/>
            <w:hideMark/>
          </w:tcPr>
          <w:p w14:paraId="29B20C2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0.03</w:t>
            </w:r>
          </w:p>
        </w:tc>
      </w:tr>
      <w:tr w:rsidR="00A6451F" w:rsidRPr="00A6451F" w14:paraId="30C1D870" w14:textId="77777777" w:rsidTr="00A6451F">
        <w:trPr>
          <w:trHeight w:val="279"/>
        </w:trPr>
        <w:tc>
          <w:tcPr>
            <w:tcW w:w="3791" w:type="dxa"/>
            <w:tcBorders>
              <w:top w:val="nil"/>
              <w:left w:val="nil"/>
              <w:bottom w:val="nil"/>
              <w:right w:val="nil"/>
            </w:tcBorders>
            <w:shd w:val="clear" w:color="auto" w:fill="auto"/>
            <w:noWrap/>
            <w:vAlign w:val="bottom"/>
            <w:hideMark/>
          </w:tcPr>
          <w:p w14:paraId="0468768B"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Johnson</w:t>
            </w:r>
          </w:p>
        </w:tc>
        <w:tc>
          <w:tcPr>
            <w:tcW w:w="1060" w:type="dxa"/>
            <w:tcBorders>
              <w:top w:val="nil"/>
              <w:left w:val="nil"/>
              <w:bottom w:val="nil"/>
              <w:right w:val="nil"/>
            </w:tcBorders>
            <w:shd w:val="clear" w:color="auto" w:fill="auto"/>
            <w:noWrap/>
            <w:vAlign w:val="center"/>
            <w:hideMark/>
          </w:tcPr>
          <w:p w14:paraId="3698687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0FEBAED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single" w:sz="4" w:space="0" w:color="auto"/>
              <w:bottom w:val="nil"/>
              <w:right w:val="nil"/>
            </w:tcBorders>
            <w:shd w:val="clear" w:color="auto" w:fill="auto"/>
            <w:noWrap/>
            <w:vAlign w:val="center"/>
            <w:hideMark/>
          </w:tcPr>
          <w:p w14:paraId="5FA018C5"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1BE3182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0.04</w:t>
            </w:r>
          </w:p>
        </w:tc>
        <w:tc>
          <w:tcPr>
            <w:tcW w:w="1060" w:type="dxa"/>
            <w:tcBorders>
              <w:top w:val="nil"/>
              <w:left w:val="nil"/>
              <w:bottom w:val="nil"/>
              <w:right w:val="nil"/>
            </w:tcBorders>
            <w:shd w:val="clear" w:color="auto" w:fill="auto"/>
            <w:noWrap/>
            <w:vAlign w:val="center"/>
            <w:hideMark/>
          </w:tcPr>
          <w:p w14:paraId="7222812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0.84</w:t>
            </w:r>
          </w:p>
        </w:tc>
      </w:tr>
      <w:tr w:rsidR="00A6451F" w:rsidRPr="00A6451F" w14:paraId="3B093F5E" w14:textId="77777777" w:rsidTr="00A6451F">
        <w:trPr>
          <w:trHeight w:val="279"/>
        </w:trPr>
        <w:tc>
          <w:tcPr>
            <w:tcW w:w="3791" w:type="dxa"/>
            <w:tcBorders>
              <w:top w:val="nil"/>
              <w:left w:val="nil"/>
              <w:bottom w:val="nil"/>
              <w:right w:val="nil"/>
            </w:tcBorders>
            <w:shd w:val="clear" w:color="auto" w:fill="auto"/>
            <w:noWrap/>
            <w:vAlign w:val="bottom"/>
            <w:hideMark/>
          </w:tcPr>
          <w:p w14:paraId="179912BD"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LaFollette</w:t>
            </w:r>
          </w:p>
        </w:tc>
        <w:tc>
          <w:tcPr>
            <w:tcW w:w="1060" w:type="dxa"/>
            <w:tcBorders>
              <w:top w:val="nil"/>
              <w:left w:val="nil"/>
              <w:bottom w:val="nil"/>
              <w:right w:val="nil"/>
            </w:tcBorders>
            <w:shd w:val="clear" w:color="auto" w:fill="auto"/>
            <w:noWrap/>
            <w:vAlign w:val="center"/>
            <w:hideMark/>
          </w:tcPr>
          <w:p w14:paraId="66708C2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06BE073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single" w:sz="4" w:space="0" w:color="auto"/>
              <w:bottom w:val="nil"/>
              <w:right w:val="nil"/>
            </w:tcBorders>
            <w:shd w:val="clear" w:color="auto" w:fill="auto"/>
            <w:noWrap/>
            <w:vAlign w:val="center"/>
            <w:hideMark/>
          </w:tcPr>
          <w:p w14:paraId="4328A326"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0907C98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0ACB79B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1.00</w:t>
            </w:r>
          </w:p>
        </w:tc>
      </w:tr>
      <w:tr w:rsidR="00A6451F" w:rsidRPr="00A6451F" w14:paraId="31EFAA5A" w14:textId="77777777" w:rsidTr="00A6451F">
        <w:trPr>
          <w:trHeight w:val="279"/>
        </w:trPr>
        <w:tc>
          <w:tcPr>
            <w:tcW w:w="3791" w:type="dxa"/>
            <w:tcBorders>
              <w:top w:val="nil"/>
              <w:left w:val="nil"/>
              <w:bottom w:val="nil"/>
              <w:right w:val="nil"/>
            </w:tcBorders>
            <w:shd w:val="clear" w:color="auto" w:fill="auto"/>
            <w:noWrap/>
            <w:vAlign w:val="bottom"/>
            <w:hideMark/>
          </w:tcPr>
          <w:p w14:paraId="6CD0C37A"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McAdoo</w:t>
            </w:r>
          </w:p>
        </w:tc>
        <w:tc>
          <w:tcPr>
            <w:tcW w:w="1060" w:type="dxa"/>
            <w:tcBorders>
              <w:top w:val="nil"/>
              <w:left w:val="nil"/>
              <w:bottom w:val="nil"/>
              <w:right w:val="nil"/>
            </w:tcBorders>
            <w:shd w:val="clear" w:color="auto" w:fill="auto"/>
            <w:noWrap/>
            <w:vAlign w:val="center"/>
            <w:hideMark/>
          </w:tcPr>
          <w:p w14:paraId="1FE8005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22625F3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single" w:sz="4" w:space="0" w:color="auto"/>
              <w:bottom w:val="nil"/>
              <w:right w:val="nil"/>
            </w:tcBorders>
            <w:shd w:val="clear" w:color="auto" w:fill="auto"/>
            <w:noWrap/>
            <w:vAlign w:val="center"/>
            <w:hideMark/>
          </w:tcPr>
          <w:p w14:paraId="32EC0871"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240C9EC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3.13</w:t>
            </w:r>
          </w:p>
        </w:tc>
        <w:tc>
          <w:tcPr>
            <w:tcW w:w="1060" w:type="dxa"/>
            <w:tcBorders>
              <w:top w:val="nil"/>
              <w:left w:val="nil"/>
              <w:bottom w:val="nil"/>
              <w:right w:val="nil"/>
            </w:tcBorders>
            <w:shd w:val="clear" w:color="auto" w:fill="auto"/>
            <w:noWrap/>
            <w:vAlign w:val="center"/>
            <w:hideMark/>
          </w:tcPr>
          <w:p w14:paraId="13334BC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0.08</w:t>
            </w:r>
          </w:p>
        </w:tc>
      </w:tr>
      <w:tr w:rsidR="00A6451F" w:rsidRPr="00A6451F" w14:paraId="745CC8F4" w14:textId="77777777" w:rsidTr="00A6451F">
        <w:trPr>
          <w:trHeight w:val="279"/>
        </w:trPr>
        <w:tc>
          <w:tcPr>
            <w:tcW w:w="3791" w:type="dxa"/>
            <w:tcBorders>
              <w:top w:val="nil"/>
              <w:left w:val="nil"/>
              <w:bottom w:val="nil"/>
              <w:right w:val="nil"/>
            </w:tcBorders>
            <w:shd w:val="clear" w:color="auto" w:fill="auto"/>
            <w:noWrap/>
            <w:vAlign w:val="bottom"/>
            <w:hideMark/>
          </w:tcPr>
          <w:p w14:paraId="5266FEFC"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Norris</w:t>
            </w:r>
          </w:p>
        </w:tc>
        <w:tc>
          <w:tcPr>
            <w:tcW w:w="1060" w:type="dxa"/>
            <w:tcBorders>
              <w:top w:val="nil"/>
              <w:left w:val="nil"/>
              <w:bottom w:val="nil"/>
              <w:right w:val="nil"/>
            </w:tcBorders>
            <w:shd w:val="clear" w:color="auto" w:fill="auto"/>
            <w:noWrap/>
            <w:vAlign w:val="center"/>
            <w:hideMark/>
          </w:tcPr>
          <w:p w14:paraId="5450DD8A"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0.07</w:t>
            </w:r>
          </w:p>
        </w:tc>
        <w:tc>
          <w:tcPr>
            <w:tcW w:w="1060" w:type="dxa"/>
            <w:tcBorders>
              <w:top w:val="nil"/>
              <w:left w:val="nil"/>
              <w:bottom w:val="nil"/>
              <w:right w:val="nil"/>
            </w:tcBorders>
            <w:shd w:val="clear" w:color="auto" w:fill="auto"/>
            <w:noWrap/>
            <w:vAlign w:val="center"/>
            <w:hideMark/>
          </w:tcPr>
          <w:p w14:paraId="3D4FE8B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0.02</w:t>
            </w:r>
          </w:p>
        </w:tc>
        <w:tc>
          <w:tcPr>
            <w:tcW w:w="1060" w:type="dxa"/>
            <w:tcBorders>
              <w:top w:val="nil"/>
              <w:left w:val="single" w:sz="4" w:space="0" w:color="auto"/>
              <w:bottom w:val="nil"/>
              <w:right w:val="nil"/>
            </w:tcBorders>
            <w:shd w:val="clear" w:color="auto" w:fill="auto"/>
            <w:noWrap/>
            <w:vAlign w:val="center"/>
            <w:hideMark/>
          </w:tcPr>
          <w:p w14:paraId="3D9FE92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0.05</w:t>
            </w:r>
          </w:p>
        </w:tc>
        <w:tc>
          <w:tcPr>
            <w:tcW w:w="1060" w:type="dxa"/>
            <w:tcBorders>
              <w:top w:val="nil"/>
              <w:left w:val="nil"/>
              <w:bottom w:val="nil"/>
              <w:right w:val="nil"/>
            </w:tcBorders>
            <w:shd w:val="clear" w:color="auto" w:fill="auto"/>
            <w:noWrap/>
            <w:vAlign w:val="center"/>
            <w:hideMark/>
          </w:tcPr>
          <w:p w14:paraId="3ABF94B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21.39</w:t>
            </w:r>
          </w:p>
        </w:tc>
        <w:tc>
          <w:tcPr>
            <w:tcW w:w="1060" w:type="dxa"/>
            <w:tcBorders>
              <w:top w:val="nil"/>
              <w:left w:val="nil"/>
              <w:bottom w:val="nil"/>
              <w:right w:val="nil"/>
            </w:tcBorders>
            <w:shd w:val="clear" w:color="auto" w:fill="auto"/>
            <w:noWrap/>
            <w:vAlign w:val="center"/>
            <w:hideMark/>
          </w:tcPr>
          <w:p w14:paraId="62B928BD"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r>
      <w:tr w:rsidR="00A6451F" w:rsidRPr="00A6451F" w14:paraId="155C26D3" w14:textId="77777777" w:rsidTr="00A6451F">
        <w:trPr>
          <w:trHeight w:val="279"/>
        </w:trPr>
        <w:tc>
          <w:tcPr>
            <w:tcW w:w="3791" w:type="dxa"/>
            <w:tcBorders>
              <w:top w:val="nil"/>
              <w:left w:val="nil"/>
              <w:bottom w:val="nil"/>
              <w:right w:val="nil"/>
            </w:tcBorders>
            <w:shd w:val="clear" w:color="auto" w:fill="auto"/>
            <w:noWrap/>
            <w:vAlign w:val="bottom"/>
            <w:hideMark/>
          </w:tcPr>
          <w:p w14:paraId="269620DE"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Nye</w:t>
            </w:r>
          </w:p>
        </w:tc>
        <w:tc>
          <w:tcPr>
            <w:tcW w:w="1060" w:type="dxa"/>
            <w:tcBorders>
              <w:top w:val="nil"/>
              <w:left w:val="nil"/>
              <w:bottom w:val="nil"/>
              <w:right w:val="nil"/>
            </w:tcBorders>
            <w:shd w:val="clear" w:color="auto" w:fill="auto"/>
            <w:noWrap/>
            <w:vAlign w:val="center"/>
            <w:hideMark/>
          </w:tcPr>
          <w:p w14:paraId="6877B19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52E5295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single" w:sz="4" w:space="0" w:color="auto"/>
              <w:bottom w:val="nil"/>
              <w:right w:val="nil"/>
            </w:tcBorders>
            <w:shd w:val="clear" w:color="auto" w:fill="auto"/>
            <w:noWrap/>
            <w:vAlign w:val="center"/>
            <w:hideMark/>
          </w:tcPr>
          <w:p w14:paraId="3C6F40D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1316B92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2.29</w:t>
            </w:r>
          </w:p>
        </w:tc>
        <w:tc>
          <w:tcPr>
            <w:tcW w:w="1060" w:type="dxa"/>
            <w:tcBorders>
              <w:top w:val="nil"/>
              <w:left w:val="nil"/>
              <w:bottom w:val="nil"/>
              <w:right w:val="nil"/>
            </w:tcBorders>
            <w:shd w:val="clear" w:color="auto" w:fill="auto"/>
            <w:noWrap/>
            <w:vAlign w:val="center"/>
            <w:hideMark/>
          </w:tcPr>
          <w:p w14:paraId="69CA6A4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0.13</w:t>
            </w:r>
          </w:p>
        </w:tc>
      </w:tr>
      <w:tr w:rsidR="00A6451F" w:rsidRPr="00A6451F" w14:paraId="1A656A7B" w14:textId="77777777" w:rsidTr="00A6451F">
        <w:trPr>
          <w:trHeight w:val="279"/>
        </w:trPr>
        <w:tc>
          <w:tcPr>
            <w:tcW w:w="3791" w:type="dxa"/>
            <w:tcBorders>
              <w:top w:val="nil"/>
              <w:left w:val="nil"/>
              <w:bottom w:val="nil"/>
              <w:right w:val="nil"/>
            </w:tcBorders>
            <w:shd w:val="clear" w:color="auto" w:fill="auto"/>
            <w:noWrap/>
            <w:vAlign w:val="bottom"/>
            <w:hideMark/>
          </w:tcPr>
          <w:p w14:paraId="0B4A17E4"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Russell</w:t>
            </w:r>
          </w:p>
        </w:tc>
        <w:tc>
          <w:tcPr>
            <w:tcW w:w="1060" w:type="dxa"/>
            <w:tcBorders>
              <w:top w:val="nil"/>
              <w:left w:val="nil"/>
              <w:bottom w:val="nil"/>
              <w:right w:val="nil"/>
            </w:tcBorders>
            <w:shd w:val="clear" w:color="auto" w:fill="auto"/>
            <w:noWrap/>
            <w:vAlign w:val="center"/>
            <w:hideMark/>
          </w:tcPr>
          <w:p w14:paraId="348331E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nil"/>
              <w:right w:val="nil"/>
            </w:tcBorders>
            <w:shd w:val="clear" w:color="auto" w:fill="auto"/>
            <w:noWrap/>
            <w:vAlign w:val="center"/>
            <w:hideMark/>
          </w:tcPr>
          <w:p w14:paraId="281DA3D0"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single" w:sz="4" w:space="0" w:color="auto"/>
              <w:bottom w:val="nil"/>
              <w:right w:val="nil"/>
            </w:tcBorders>
            <w:shd w:val="clear" w:color="auto" w:fill="auto"/>
            <w:noWrap/>
            <w:vAlign w:val="center"/>
            <w:hideMark/>
          </w:tcPr>
          <w:p w14:paraId="14222DF2"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nil"/>
              <w:right w:val="nil"/>
            </w:tcBorders>
            <w:shd w:val="clear" w:color="auto" w:fill="auto"/>
            <w:noWrap/>
            <w:vAlign w:val="center"/>
            <w:hideMark/>
          </w:tcPr>
          <w:p w14:paraId="7E49460C"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0.06</w:t>
            </w:r>
          </w:p>
        </w:tc>
        <w:tc>
          <w:tcPr>
            <w:tcW w:w="1060" w:type="dxa"/>
            <w:tcBorders>
              <w:top w:val="nil"/>
              <w:left w:val="nil"/>
              <w:bottom w:val="nil"/>
              <w:right w:val="nil"/>
            </w:tcBorders>
            <w:shd w:val="clear" w:color="auto" w:fill="auto"/>
            <w:noWrap/>
            <w:vAlign w:val="center"/>
            <w:hideMark/>
          </w:tcPr>
          <w:p w14:paraId="5C112FD8"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0.80</w:t>
            </w:r>
          </w:p>
        </w:tc>
      </w:tr>
      <w:tr w:rsidR="00A6451F" w:rsidRPr="00A6451F" w14:paraId="0E75BBE7" w14:textId="77777777" w:rsidTr="00A6451F">
        <w:trPr>
          <w:trHeight w:val="279"/>
        </w:trPr>
        <w:tc>
          <w:tcPr>
            <w:tcW w:w="3791" w:type="dxa"/>
            <w:tcBorders>
              <w:top w:val="nil"/>
              <w:left w:val="nil"/>
              <w:bottom w:val="single" w:sz="4" w:space="0" w:color="auto"/>
              <w:right w:val="nil"/>
            </w:tcBorders>
            <w:shd w:val="clear" w:color="auto" w:fill="auto"/>
            <w:noWrap/>
            <w:vAlign w:val="bottom"/>
            <w:hideMark/>
          </w:tcPr>
          <w:p w14:paraId="3FB2B192" w14:textId="77777777" w:rsidR="00A6451F" w:rsidRPr="00A6451F" w:rsidRDefault="00A6451F" w:rsidP="00A6451F">
            <w:pPr>
              <w:ind w:firstLineChars="200" w:firstLine="440"/>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Admire Sen. Wheeler</w:t>
            </w:r>
          </w:p>
        </w:tc>
        <w:tc>
          <w:tcPr>
            <w:tcW w:w="1060" w:type="dxa"/>
            <w:tcBorders>
              <w:top w:val="nil"/>
              <w:left w:val="nil"/>
              <w:bottom w:val="single" w:sz="4" w:space="0" w:color="auto"/>
              <w:right w:val="nil"/>
            </w:tcBorders>
            <w:shd w:val="clear" w:color="auto" w:fill="auto"/>
            <w:noWrap/>
            <w:vAlign w:val="center"/>
            <w:hideMark/>
          </w:tcPr>
          <w:p w14:paraId="4553136B"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nil"/>
              <w:bottom w:val="single" w:sz="4" w:space="0" w:color="auto"/>
              <w:right w:val="nil"/>
            </w:tcBorders>
            <w:shd w:val="clear" w:color="auto" w:fill="auto"/>
            <w:noWrap/>
            <w:vAlign w:val="center"/>
            <w:hideMark/>
          </w:tcPr>
          <w:p w14:paraId="1F1CC07F"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0.01</w:t>
            </w:r>
          </w:p>
        </w:tc>
        <w:tc>
          <w:tcPr>
            <w:tcW w:w="1060" w:type="dxa"/>
            <w:tcBorders>
              <w:top w:val="nil"/>
              <w:left w:val="single" w:sz="4" w:space="0" w:color="auto"/>
              <w:bottom w:val="single" w:sz="4" w:space="0" w:color="auto"/>
              <w:right w:val="nil"/>
            </w:tcBorders>
            <w:shd w:val="clear" w:color="auto" w:fill="auto"/>
            <w:noWrap/>
            <w:vAlign w:val="center"/>
            <w:hideMark/>
          </w:tcPr>
          <w:p w14:paraId="2D118CB3"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0.00</w:t>
            </w:r>
          </w:p>
        </w:tc>
        <w:tc>
          <w:tcPr>
            <w:tcW w:w="1060" w:type="dxa"/>
            <w:tcBorders>
              <w:top w:val="nil"/>
              <w:left w:val="nil"/>
              <w:bottom w:val="single" w:sz="4" w:space="0" w:color="auto"/>
              <w:right w:val="nil"/>
            </w:tcBorders>
            <w:shd w:val="clear" w:color="auto" w:fill="auto"/>
            <w:noWrap/>
            <w:vAlign w:val="center"/>
            <w:hideMark/>
          </w:tcPr>
          <w:p w14:paraId="154F6A39"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0.16</w:t>
            </w:r>
          </w:p>
        </w:tc>
        <w:tc>
          <w:tcPr>
            <w:tcW w:w="1060" w:type="dxa"/>
            <w:tcBorders>
              <w:top w:val="nil"/>
              <w:left w:val="nil"/>
              <w:bottom w:val="single" w:sz="4" w:space="0" w:color="auto"/>
              <w:right w:val="nil"/>
            </w:tcBorders>
            <w:shd w:val="clear" w:color="auto" w:fill="auto"/>
            <w:noWrap/>
            <w:vAlign w:val="center"/>
            <w:hideMark/>
          </w:tcPr>
          <w:p w14:paraId="22AAD337" w14:textId="77777777" w:rsidR="00A6451F" w:rsidRPr="00A6451F" w:rsidRDefault="00A6451F" w:rsidP="00A6451F">
            <w:pPr>
              <w:jc w:val="center"/>
              <w:rPr>
                <w:rFonts w:ascii="Times New Roman" w:eastAsia="Times New Roman" w:hAnsi="Times New Roman" w:cs="Times New Roman"/>
                <w:color w:val="000000"/>
                <w:sz w:val="22"/>
                <w:szCs w:val="22"/>
                <w:lang w:eastAsia="en-GB"/>
              </w:rPr>
            </w:pPr>
            <w:r w:rsidRPr="00A6451F">
              <w:rPr>
                <w:rFonts w:ascii="Times New Roman" w:eastAsia="Times New Roman" w:hAnsi="Times New Roman" w:cs="Times New Roman"/>
                <w:color w:val="000000"/>
                <w:sz w:val="22"/>
                <w:szCs w:val="22"/>
                <w:lang w:eastAsia="en-GB"/>
              </w:rPr>
              <w:t>0.69</w:t>
            </w:r>
          </w:p>
        </w:tc>
      </w:tr>
    </w:tbl>
    <w:p w14:paraId="30D04305" w14:textId="7FC8F762" w:rsidR="00935222" w:rsidRPr="00866C49" w:rsidRDefault="00020DA3" w:rsidP="006A3A39">
      <w:pPr>
        <w:jc w:val="both"/>
        <w:rPr>
          <w:sz w:val="19"/>
          <w:szCs w:val="19"/>
        </w:rPr>
      </w:pPr>
      <w:r w:rsidRPr="00866C49">
        <w:rPr>
          <w:sz w:val="19"/>
          <w:szCs w:val="19"/>
        </w:rPr>
        <w:t xml:space="preserve">Source: Fortune Magazine </w:t>
      </w:r>
      <w:r w:rsidR="00A6451F" w:rsidRPr="00866C49">
        <w:rPr>
          <w:sz w:val="19"/>
          <w:szCs w:val="19"/>
        </w:rPr>
        <w:t>Opinion</w:t>
      </w:r>
      <w:r w:rsidRPr="00866C49">
        <w:rPr>
          <w:sz w:val="19"/>
          <w:szCs w:val="19"/>
        </w:rPr>
        <w:t xml:space="preserve"> Poll, August 1938.</w:t>
      </w:r>
    </w:p>
    <w:p w14:paraId="2FEAC971" w14:textId="721771AC" w:rsidR="00333C66" w:rsidRPr="00866C49" w:rsidRDefault="00333C66" w:rsidP="006A3A39">
      <w:pPr>
        <w:jc w:val="both"/>
        <w:rPr>
          <w:sz w:val="19"/>
          <w:szCs w:val="19"/>
        </w:rPr>
      </w:pPr>
      <w:r w:rsidRPr="00866C49">
        <w:rPr>
          <w:sz w:val="19"/>
          <w:szCs w:val="19"/>
        </w:rPr>
        <w:t>Note: Column I shows the proportion</w:t>
      </w:r>
      <w:r w:rsidR="009946D3" w:rsidRPr="00866C49">
        <w:rPr>
          <w:sz w:val="19"/>
          <w:szCs w:val="19"/>
        </w:rPr>
        <w:t xml:space="preserve"> of respondents selecting Bryan</w:t>
      </w:r>
      <w:r w:rsidRPr="00866C49">
        <w:rPr>
          <w:sz w:val="19"/>
          <w:szCs w:val="19"/>
        </w:rPr>
        <w:t xml:space="preserve"> </w:t>
      </w:r>
      <w:r w:rsidR="009D2244">
        <w:rPr>
          <w:sz w:val="19"/>
          <w:szCs w:val="19"/>
        </w:rPr>
        <w:t>who displayed</w:t>
      </w:r>
      <w:r w:rsidRPr="00866C49">
        <w:rPr>
          <w:sz w:val="19"/>
          <w:szCs w:val="19"/>
        </w:rPr>
        <w:t xml:space="preserve"> </w:t>
      </w:r>
      <w:r w:rsidR="009946D3" w:rsidRPr="00866C49">
        <w:rPr>
          <w:sz w:val="19"/>
          <w:szCs w:val="19"/>
        </w:rPr>
        <w:t>the</w:t>
      </w:r>
      <w:r w:rsidRPr="00866C49">
        <w:rPr>
          <w:sz w:val="19"/>
          <w:szCs w:val="19"/>
        </w:rPr>
        <w:t xml:space="preserve"> </w:t>
      </w:r>
      <w:r w:rsidR="009946D3" w:rsidRPr="00866C49">
        <w:rPr>
          <w:sz w:val="19"/>
          <w:szCs w:val="19"/>
        </w:rPr>
        <w:t xml:space="preserve">given </w:t>
      </w:r>
      <w:r w:rsidRPr="00866C49">
        <w:rPr>
          <w:sz w:val="19"/>
          <w:szCs w:val="19"/>
        </w:rPr>
        <w:t xml:space="preserve">characteristic or response </w:t>
      </w:r>
      <w:r w:rsidR="009D2244">
        <w:rPr>
          <w:sz w:val="19"/>
          <w:szCs w:val="19"/>
        </w:rPr>
        <w:t>to a</w:t>
      </w:r>
      <w:r w:rsidR="009946D3" w:rsidRPr="00866C49">
        <w:rPr>
          <w:sz w:val="19"/>
          <w:szCs w:val="19"/>
        </w:rPr>
        <w:t xml:space="preserve"> question</w:t>
      </w:r>
      <w:r w:rsidRPr="00866C49">
        <w:rPr>
          <w:sz w:val="19"/>
          <w:szCs w:val="19"/>
        </w:rPr>
        <w:t xml:space="preserve">. Column II </w:t>
      </w:r>
      <w:r w:rsidR="009946D3" w:rsidRPr="00866C49">
        <w:rPr>
          <w:sz w:val="19"/>
          <w:szCs w:val="19"/>
        </w:rPr>
        <w:t>does the same for</w:t>
      </w:r>
      <w:r w:rsidRPr="00866C49">
        <w:rPr>
          <w:sz w:val="19"/>
          <w:szCs w:val="19"/>
        </w:rPr>
        <w:t xml:space="preserve"> those </w:t>
      </w:r>
      <w:r w:rsidR="009946D3" w:rsidRPr="00866C49">
        <w:rPr>
          <w:sz w:val="19"/>
          <w:szCs w:val="19"/>
        </w:rPr>
        <w:t>who</w:t>
      </w:r>
      <w:r w:rsidRPr="00866C49">
        <w:rPr>
          <w:sz w:val="19"/>
          <w:szCs w:val="19"/>
        </w:rPr>
        <w:t xml:space="preserve"> did not select Bryan. Column III gives the difference between Columns I and II. Columns IV and V give the test statistic and p-value for a Pearson chi-squared test of independence, respectively. Respondents under 40 years of age </w:t>
      </w:r>
      <w:r w:rsidR="009946D3" w:rsidRPr="00866C49">
        <w:rPr>
          <w:sz w:val="19"/>
          <w:szCs w:val="19"/>
        </w:rPr>
        <w:t xml:space="preserve">are </w:t>
      </w:r>
      <w:r w:rsidRPr="00866C49">
        <w:rPr>
          <w:sz w:val="19"/>
          <w:szCs w:val="19"/>
        </w:rPr>
        <w:t>excluded. All variables are binary. N = 2,675</w:t>
      </w:r>
    </w:p>
    <w:p w14:paraId="23AB8997" w14:textId="77777777" w:rsidR="00E21069" w:rsidRDefault="00E21069" w:rsidP="006E7F7E">
      <w:pPr>
        <w:spacing w:line="480" w:lineRule="auto"/>
        <w:jc w:val="both"/>
      </w:pPr>
    </w:p>
    <w:p w14:paraId="6589A4B5" w14:textId="3937578A" w:rsidR="00EA5C13" w:rsidRPr="0055314F" w:rsidRDefault="00EA5C13" w:rsidP="006E7F7E">
      <w:pPr>
        <w:spacing w:line="480" w:lineRule="auto"/>
        <w:jc w:val="both"/>
      </w:pPr>
      <w:r w:rsidRPr="0055314F">
        <w:lastRenderedPageBreak/>
        <w:t xml:space="preserve">Bryan supporters appear not to have had different attitudes </w:t>
      </w:r>
      <w:r w:rsidR="00DE72FA">
        <w:t>regarding</w:t>
      </w:r>
      <w:r w:rsidRPr="0055314F">
        <w:t xml:space="preserve"> big corporations and did not reject the value of the profit motive in US economic development. Where the greatest differences emerge </w:t>
      </w:r>
      <w:r w:rsidR="00B57910" w:rsidRPr="0055314F">
        <w:t>is</w:t>
      </w:r>
      <w:r w:rsidRPr="0055314F">
        <w:t xml:space="preserve"> on attitudes towards President Roosevelt. Bryan supporters were overwhelmingly more positive towards the President, with 76</w:t>
      </w:r>
      <w:r w:rsidR="00CB33C2">
        <w:t xml:space="preserve"> per cent</w:t>
      </w:r>
      <w:r w:rsidRPr="0055314F">
        <w:t xml:space="preserve"> of Bryan supporters agreeing that Roosevelt was </w:t>
      </w:r>
      <w:r w:rsidR="00600386">
        <w:t xml:space="preserve">either </w:t>
      </w:r>
      <w:r w:rsidR="00E33F19">
        <w:t>‘</w:t>
      </w:r>
      <w:r w:rsidRPr="0055314F">
        <w:t>essential for the good of the country</w:t>
      </w:r>
      <w:r w:rsidR="00E33F19">
        <w:t>’</w:t>
      </w:r>
      <w:r w:rsidRPr="0055314F">
        <w:t xml:space="preserve"> or that </w:t>
      </w:r>
      <w:r w:rsidR="00E33F19">
        <w:t>‘</w:t>
      </w:r>
      <w:r w:rsidRPr="0055314F">
        <w:t>the good he has done definitely outweighs the bad</w:t>
      </w:r>
      <w:r w:rsidR="00E33F19">
        <w:t>’</w:t>
      </w:r>
      <w:r w:rsidRPr="0055314F">
        <w:t>, compared to 58</w:t>
      </w:r>
      <w:r w:rsidR="00CB33C2">
        <w:t xml:space="preserve"> per cent</w:t>
      </w:r>
      <w:r w:rsidRPr="0055314F">
        <w:t xml:space="preserve"> of others. An even greater gap is apparent on attitudes towards Roosevelt’s economic policies in particular. However, it appears that Bryan supporters may have been less in favour of spending on relief measures.</w:t>
      </w:r>
    </w:p>
    <w:p w14:paraId="2D49AA68" w14:textId="77777777" w:rsidR="002A6452" w:rsidRPr="0055314F" w:rsidRDefault="002A6452" w:rsidP="006E7F7E">
      <w:pPr>
        <w:spacing w:line="480" w:lineRule="auto"/>
        <w:jc w:val="both"/>
      </w:pPr>
    </w:p>
    <w:p w14:paraId="1C31E178" w14:textId="27E8AC97" w:rsidR="00EA5C13" w:rsidRPr="0055314F" w:rsidRDefault="000C7BD2" w:rsidP="006E7F7E">
      <w:pPr>
        <w:spacing w:line="480" w:lineRule="auto"/>
        <w:jc w:val="both"/>
      </w:pPr>
      <w:r>
        <w:t>Q</w:t>
      </w:r>
      <w:r w:rsidR="00EA5C13" w:rsidRPr="0055314F">
        <w:t>uestions relating to Progressive politics in the 1930s reveal no statistically significant difference between Bryan supporters and others. Nor were there differences between the two groups in terms of views on the moral condition of the country, suggesting perhaps that Bryan supporters were not more likely to have a nostalgic view of the country’s past. Both groups also appear similar in terms of plans to attend world fairs or expositions, potentially a measure of attitudes towards technological progress.</w:t>
      </w:r>
      <w:r w:rsidR="00F53976">
        <w:t xml:space="preserve"> </w:t>
      </w:r>
      <w:r w:rsidR="00EA5C13" w:rsidRPr="0055314F">
        <w:t xml:space="preserve">In terms of political attitudes, the survey also asks respondents </w:t>
      </w:r>
      <w:r w:rsidR="00E33F19">
        <w:t>‘</w:t>
      </w:r>
      <w:r w:rsidR="00EA5C13" w:rsidRPr="0055314F">
        <w:t>Which of all the US Senators do you admire most?</w:t>
      </w:r>
      <w:r w:rsidR="00E33F19">
        <w:t>’</w:t>
      </w:r>
      <w:r w:rsidR="00EA5C13" w:rsidRPr="0055314F">
        <w:t xml:space="preserve"> While </w:t>
      </w:r>
      <w:r w:rsidR="008000AE">
        <w:t>the data</w:t>
      </w:r>
      <w:r w:rsidR="00EA5C13" w:rsidRPr="0055314F">
        <w:t xml:space="preserve"> reveal few differences </w:t>
      </w:r>
      <w:r w:rsidR="009C074D" w:rsidRPr="0055314F">
        <w:t>on this score</w:t>
      </w:r>
      <w:r w:rsidR="00EA5C13" w:rsidRPr="0055314F">
        <w:t>, Bryan supporters appear to have</w:t>
      </w:r>
      <w:r w:rsidR="005B3F57">
        <w:t xml:space="preserve"> had</w:t>
      </w:r>
      <w:r w:rsidR="00EA5C13" w:rsidRPr="0055314F">
        <w:t xml:space="preserve"> a greater admiration for Sen. George Norris, the long-serving progressive and insurgent Republican Senator for Nebraska</w:t>
      </w:r>
      <w:r w:rsidR="009C074D" w:rsidRPr="0055314F">
        <w:t>.</w:t>
      </w:r>
      <w:r w:rsidR="00EA5C13" w:rsidRPr="0055314F">
        <w:t xml:space="preserve"> Norris, who worked closely with President Roosevelt during the Great Depression, was the driving force behind one of the flagship New Deal policies, the establishment of the Tennessee Valley Authority in 1933.</w:t>
      </w:r>
    </w:p>
    <w:p w14:paraId="617B82E8" w14:textId="77777777" w:rsidR="002A6452" w:rsidRPr="0055314F" w:rsidRDefault="002A6452" w:rsidP="006E7F7E">
      <w:pPr>
        <w:spacing w:line="480" w:lineRule="auto"/>
        <w:jc w:val="both"/>
      </w:pPr>
    </w:p>
    <w:p w14:paraId="40A37968" w14:textId="06F03E28" w:rsidR="00EA5C13" w:rsidRDefault="00FE2892" w:rsidP="006E7F7E">
      <w:pPr>
        <w:spacing w:line="480" w:lineRule="auto"/>
        <w:jc w:val="both"/>
      </w:pPr>
      <w:r w:rsidRPr="0055314F">
        <w:t>Given that our data are for 1938, this analysis is more informative about how the Populists were remembered in the 1930s than it is about who supported the Populists in the late 19</w:t>
      </w:r>
      <w:r w:rsidRPr="0055314F">
        <w:rPr>
          <w:vertAlign w:val="superscript"/>
        </w:rPr>
        <w:t>th</w:t>
      </w:r>
      <w:r w:rsidRPr="0055314F">
        <w:t xml:space="preserve"> </w:t>
      </w:r>
      <w:r w:rsidRPr="0055314F">
        <w:lastRenderedPageBreak/>
        <w:t xml:space="preserve">century. Nonetheless, the findings </w:t>
      </w:r>
      <w:r w:rsidR="00B11023">
        <w:t>mirror those of</w:t>
      </w:r>
      <w:r w:rsidRPr="0055314F">
        <w:t xml:space="preserve"> </w:t>
      </w:r>
      <w:proofErr w:type="spellStart"/>
      <w:r w:rsidRPr="0055314F">
        <w:t>Eichengreen</w:t>
      </w:r>
      <w:proofErr w:type="spellEnd"/>
      <w:r w:rsidRPr="0055314F">
        <w:t xml:space="preserve"> et al. </w:t>
      </w:r>
      <w:r w:rsidR="00B11023">
        <w:t>r</w:t>
      </w:r>
      <w:r w:rsidRPr="0055314F">
        <w:t xml:space="preserve">egarding the racial and occupational characteristics of those </w:t>
      </w:r>
      <w:r w:rsidR="00B11023">
        <w:t>who voted for</w:t>
      </w:r>
      <w:r w:rsidRPr="0055314F">
        <w:t xml:space="preserve"> Bryan</w:t>
      </w:r>
      <w:r w:rsidR="00B11023">
        <w:t xml:space="preserve"> in 1896</w:t>
      </w:r>
      <w:r w:rsidRPr="0055314F">
        <w:t xml:space="preserve">. </w:t>
      </w:r>
      <w:r w:rsidR="00EA5C13" w:rsidRPr="0055314F">
        <w:t>Bryan supporters strongly approved of President Roosevelt and his New Deal economic policies. They likely leaned in a progressive direction, but were not necessarily supporters of the Progressive Party. Bryan was less popular among white</w:t>
      </w:r>
      <w:r w:rsidR="00DE3C8F">
        <w:t xml:space="preserve"> </w:t>
      </w:r>
      <w:r w:rsidR="00EA5C13" w:rsidRPr="0055314F">
        <w:t>and blue</w:t>
      </w:r>
      <w:r w:rsidR="00DE3C8F">
        <w:t xml:space="preserve"> </w:t>
      </w:r>
      <w:r w:rsidR="00EA5C13" w:rsidRPr="0055314F">
        <w:t xml:space="preserve">collar workers and more popular among farmers. Bryan supporters were overwhelmingly white and were more likely to state that there was </w:t>
      </w:r>
      <w:r w:rsidR="00E33F19">
        <w:t>‘</w:t>
      </w:r>
      <w:r w:rsidR="00EA5C13" w:rsidRPr="0055314F">
        <w:t>very little hostility towards the Jewish people</w:t>
      </w:r>
      <w:r w:rsidR="00E33F19">
        <w:t>’</w:t>
      </w:r>
      <w:r w:rsidR="00EA5C13" w:rsidRPr="0055314F">
        <w:t xml:space="preserve"> in the United States. The somewhat nuanced picture that emerges is one that does not fit entirely with either Hofstadter’s view of Populists being backward looking intolerants</w:t>
      </w:r>
      <w:r w:rsidR="002A6452" w:rsidRPr="0055314F">
        <w:t>,</w:t>
      </w:r>
      <w:r w:rsidR="00EA5C13" w:rsidRPr="0055314F">
        <w:t xml:space="preserve"> or a revisionist view of inclusive and benign progressivism. Overall, however, </w:t>
      </w:r>
      <w:r w:rsidR="002A6452" w:rsidRPr="0055314F">
        <w:t>the data</w:t>
      </w:r>
      <w:r w:rsidR="00EA5C13" w:rsidRPr="0055314F">
        <w:t xml:space="preserve"> arguably appear </w:t>
      </w:r>
      <w:r w:rsidR="002A6452" w:rsidRPr="0055314F">
        <w:t>to be more consistent with</w:t>
      </w:r>
      <w:r w:rsidR="00EA5C13" w:rsidRPr="0055314F">
        <w:t xml:space="preserve"> the latter</w:t>
      </w:r>
      <w:r w:rsidRPr="0055314F">
        <w:t xml:space="preserve"> – at a time when</w:t>
      </w:r>
      <w:r w:rsidR="002B34F6">
        <w:t>,</w:t>
      </w:r>
      <w:r w:rsidRPr="0055314F">
        <w:t xml:space="preserve"> as will be discussed later, genuine populism </w:t>
      </w:r>
      <w:r w:rsidR="008000AE">
        <w:t xml:space="preserve">in the modern sense of the term </w:t>
      </w:r>
      <w:r w:rsidRPr="0055314F">
        <w:t>was on the rise across the world, including in the United States.</w:t>
      </w:r>
    </w:p>
    <w:p w14:paraId="03CC465B" w14:textId="39869D7A" w:rsidR="00485805" w:rsidRPr="0055314F" w:rsidRDefault="00485805" w:rsidP="006E7F7E">
      <w:pPr>
        <w:spacing w:line="480" w:lineRule="auto"/>
        <w:jc w:val="both"/>
      </w:pPr>
    </w:p>
    <w:p w14:paraId="18C3A00E" w14:textId="65B0EC21" w:rsidR="00571D00" w:rsidRDefault="00571D00" w:rsidP="006E7F7E">
      <w:pPr>
        <w:spacing w:line="480" w:lineRule="auto"/>
        <w:jc w:val="both"/>
        <w:rPr>
          <w:b/>
          <w:bCs/>
        </w:rPr>
      </w:pPr>
      <w:r>
        <w:rPr>
          <w:b/>
          <w:bCs/>
        </w:rPr>
        <w:t>II</w:t>
      </w:r>
      <w:r w:rsidR="00D84CB4" w:rsidRPr="0055314F">
        <w:rPr>
          <w:b/>
          <w:bCs/>
        </w:rPr>
        <w:t>.</w:t>
      </w:r>
      <w:r>
        <w:rPr>
          <w:b/>
          <w:bCs/>
        </w:rPr>
        <w:t xml:space="preserve"> POPULISM AND ECONOMICS IN THE 1890s</w:t>
      </w:r>
    </w:p>
    <w:p w14:paraId="7CEB861C" w14:textId="7284DAFA" w:rsidR="00D84CB4" w:rsidRPr="0055314F" w:rsidRDefault="00D84CB4" w:rsidP="006E7F7E">
      <w:pPr>
        <w:spacing w:line="480" w:lineRule="auto"/>
        <w:jc w:val="both"/>
      </w:pPr>
    </w:p>
    <w:p w14:paraId="1F1B683F" w14:textId="62A59510" w:rsidR="00D84CB4" w:rsidRPr="0055314F" w:rsidRDefault="00D84CB4" w:rsidP="006E7F7E">
      <w:pPr>
        <w:spacing w:line="480" w:lineRule="auto"/>
        <w:jc w:val="both"/>
      </w:pPr>
      <w:r w:rsidRPr="0055314F">
        <w:t>Populists are frequently accused of, or even (by some</w:t>
      </w:r>
      <w:r w:rsidR="00B202B2">
        <w:t xml:space="preserve"> economists</w:t>
      </w:r>
      <w:r w:rsidRPr="0055314F">
        <w:t xml:space="preserve">) defined by, their advocacy of short-sighted and unsustainable economic policies. In the Latin American case, </w:t>
      </w:r>
      <w:r w:rsidR="00B202B2">
        <w:t xml:space="preserve">what Rodrik terms “economic </w:t>
      </w:r>
      <w:r w:rsidRPr="0055314F">
        <w:t>populism</w:t>
      </w:r>
      <w:r w:rsidR="00B202B2">
        <w:t>”</w:t>
      </w:r>
      <w:r w:rsidRPr="0055314F">
        <w:t xml:space="preserve"> is often associated with irresponsible fiscal policy, inflation</w:t>
      </w:r>
      <w:r w:rsidR="00841647" w:rsidRPr="0055314F">
        <w:t>,</w:t>
      </w:r>
      <w:r w:rsidRPr="0055314F">
        <w:t xml:space="preserve"> and ultimately economic crisis</w:t>
      </w:r>
      <w:r w:rsidR="005770B3">
        <w:t>.</w:t>
      </w:r>
      <w:r w:rsidR="005770B3">
        <w:rPr>
          <w:rStyle w:val="FootnoteReference"/>
        </w:rPr>
        <w:footnoteReference w:id="33"/>
      </w:r>
      <w:r w:rsidR="005770B3">
        <w:t xml:space="preserve"> </w:t>
      </w:r>
      <w:r w:rsidRPr="0055314F">
        <w:t xml:space="preserve">Populists are those </w:t>
      </w:r>
      <w:r w:rsidR="0073186D" w:rsidRPr="0055314F">
        <w:t>who</w:t>
      </w:r>
      <w:r w:rsidRPr="0055314F">
        <w:t xml:space="preserve"> ‘explicitly reject the conservative paradigm’.</w:t>
      </w:r>
      <w:r w:rsidR="005770B3">
        <w:rPr>
          <w:rStyle w:val="FootnoteReference"/>
        </w:rPr>
        <w:footnoteReference w:id="34"/>
      </w:r>
      <w:r w:rsidRPr="0055314F">
        <w:t xml:space="preserve"> </w:t>
      </w:r>
      <w:r w:rsidR="009B36BA">
        <w:t xml:space="preserve">Recent scholarship has found a negative correlation between populist leadership </w:t>
      </w:r>
      <w:r w:rsidR="009B36BA">
        <w:lastRenderedPageBreak/>
        <w:t>and economic performance.</w:t>
      </w:r>
      <w:r w:rsidR="005770B3">
        <w:rPr>
          <w:rStyle w:val="FootnoteReference"/>
        </w:rPr>
        <w:footnoteReference w:id="35"/>
      </w:r>
      <w:r w:rsidR="009B36BA">
        <w:t xml:space="preserve"> </w:t>
      </w:r>
      <w:r w:rsidRPr="0055314F">
        <w:t xml:space="preserve">But is </w:t>
      </w:r>
      <w:r w:rsidR="00FC1BEE">
        <w:t>“</w:t>
      </w:r>
      <w:r w:rsidR="00A96B7C">
        <w:t xml:space="preserve">economic </w:t>
      </w:r>
      <w:r w:rsidRPr="0055314F">
        <w:t>populism</w:t>
      </w:r>
      <w:r w:rsidR="00FC1BEE">
        <w:t>”</w:t>
      </w:r>
      <w:r w:rsidRPr="0055314F">
        <w:t xml:space="preserve"> necessarily bad economics, as Dani Rodrik has asked?</w:t>
      </w:r>
      <w:r w:rsidR="00866279">
        <w:rPr>
          <w:rStyle w:val="FootnoteReference"/>
        </w:rPr>
        <w:footnoteReference w:id="36"/>
      </w:r>
      <w:r w:rsidRPr="0055314F">
        <w:t xml:space="preserve"> What if the dominant paradigm is no longer fit-for-purpose? </w:t>
      </w:r>
    </w:p>
    <w:p w14:paraId="2A5DEFCD" w14:textId="77777777" w:rsidR="00D84CB4" w:rsidRPr="0055314F" w:rsidRDefault="00D84CB4" w:rsidP="006E7F7E">
      <w:pPr>
        <w:spacing w:line="480" w:lineRule="auto"/>
        <w:jc w:val="both"/>
      </w:pPr>
    </w:p>
    <w:p w14:paraId="72CDAE95" w14:textId="201F57F2" w:rsidR="003F2D8B" w:rsidRDefault="00D84CB4" w:rsidP="006E7F7E">
      <w:pPr>
        <w:spacing w:line="480" w:lineRule="auto"/>
        <w:jc w:val="both"/>
      </w:pPr>
      <w:r w:rsidRPr="0055314F">
        <w:t xml:space="preserve">Rodrik distinguishes between </w:t>
      </w:r>
      <w:r w:rsidR="00FC1BEE">
        <w:t>“</w:t>
      </w:r>
      <w:r w:rsidRPr="0055314F">
        <w:t>political populism</w:t>
      </w:r>
      <w:r w:rsidR="00FC1BEE">
        <w:t>”</w:t>
      </w:r>
      <w:r w:rsidR="001F3744">
        <w:t xml:space="preserve">, or what we would simply term populism, </w:t>
      </w:r>
      <w:r w:rsidRPr="0055314F">
        <w:t>which is almost always dangerous</w:t>
      </w:r>
      <w:r w:rsidR="001F3744">
        <w:t xml:space="preserve">, </w:t>
      </w:r>
      <w:r w:rsidRPr="0055314F">
        <w:t xml:space="preserve">and </w:t>
      </w:r>
      <w:r w:rsidR="00FC1BEE">
        <w:t>“</w:t>
      </w:r>
      <w:r w:rsidRPr="0055314F">
        <w:t>economic populism</w:t>
      </w:r>
      <w:r w:rsidR="00FC1BEE">
        <w:t>”</w:t>
      </w:r>
      <w:r w:rsidRPr="0055314F">
        <w:t xml:space="preserve">, which attempts to remove the constraints placed on economic policymakers. Citing the example of Franklin D. Roosevelt and the New Deal, Rodrik argues that in some cases the removal of constraints that ‘cement a redistribution arising from a temporary political advantage for the longer term’ is desirable. Rodrik also argues that economists have a soft spot for technocracy and rules-based systems </w:t>
      </w:r>
      <w:r w:rsidR="000C7BD2">
        <w:t>which can</w:t>
      </w:r>
      <w:r w:rsidRPr="0055314F">
        <w:t xml:space="preserve"> prevent policy makers from being captured by special interests and resorting to short-term political opportunism. Consequently, they often oppose </w:t>
      </w:r>
      <w:r w:rsidR="00A96B7C">
        <w:t>“</w:t>
      </w:r>
      <w:r w:rsidRPr="0055314F">
        <w:t>economic populism</w:t>
      </w:r>
      <w:r w:rsidR="00A96B7C">
        <w:t>”</w:t>
      </w:r>
      <w:r w:rsidRPr="0055314F">
        <w:t xml:space="preserve"> and fall on the side of maintaining the existing “liberal technocracy”. Constraints sav</w:t>
      </w:r>
      <w:r w:rsidR="000C7BD2">
        <w:t>ing</w:t>
      </w:r>
      <w:r w:rsidRPr="0055314F">
        <w:t xml:space="preserve"> politicians from themselves and serv</w:t>
      </w:r>
      <w:r w:rsidR="000C7BD2">
        <w:t>ing</w:t>
      </w:r>
      <w:r w:rsidRPr="0055314F">
        <w:t xml:space="preserve"> the “greater good” should be retained; constraints entrench</w:t>
      </w:r>
      <w:r w:rsidR="000C7BD2">
        <w:t>ing</w:t>
      </w:r>
      <w:r w:rsidRPr="0055314F">
        <w:t xml:space="preserve"> special interests should not. Policymakers need to be protected from time inconsistency problems which would harm the “popular interest”. What makes things difficult is identifying the “greater good”</w:t>
      </w:r>
      <w:r w:rsidR="00B1540E">
        <w:t xml:space="preserve"> in a world with few Pareto-improving polic</w:t>
      </w:r>
      <w:r w:rsidR="0029590F">
        <w:t>y changes</w:t>
      </w:r>
      <w:r w:rsidR="00B1540E">
        <w:t xml:space="preserve"> available to governments.</w:t>
      </w:r>
      <w:r w:rsidR="00866279">
        <w:rPr>
          <w:rStyle w:val="FootnoteReference"/>
        </w:rPr>
        <w:footnoteReference w:id="37"/>
      </w:r>
    </w:p>
    <w:p w14:paraId="118D3547" w14:textId="7141B291" w:rsidR="00A96B7C" w:rsidRDefault="00A96B7C" w:rsidP="006E7F7E">
      <w:pPr>
        <w:spacing w:line="480" w:lineRule="auto"/>
        <w:jc w:val="both"/>
      </w:pPr>
    </w:p>
    <w:p w14:paraId="2BB52878" w14:textId="5C697200" w:rsidR="00427ACB" w:rsidRDefault="00A96B7C" w:rsidP="00FC1BEE">
      <w:pPr>
        <w:spacing w:line="480" w:lineRule="auto"/>
        <w:jc w:val="both"/>
      </w:pPr>
      <w:r>
        <w:t>O</w:t>
      </w:r>
      <w:r w:rsidRPr="00A96B7C">
        <w:t>ne of our main purposes</w:t>
      </w:r>
      <w:r>
        <w:t xml:space="preserve"> in this essay</w:t>
      </w:r>
      <w:r w:rsidRPr="00A96B7C">
        <w:t xml:space="preserve"> is to argue that the word </w:t>
      </w:r>
      <w:r w:rsidR="0029590F">
        <w:t>“</w:t>
      </w:r>
      <w:r w:rsidRPr="00A96B7C">
        <w:t>populism</w:t>
      </w:r>
      <w:r w:rsidR="0029590F">
        <w:t>”</w:t>
      </w:r>
      <w:r w:rsidRPr="00A96B7C">
        <w:t xml:space="preserve"> has been used too broadly to be analytically useful</w:t>
      </w:r>
      <w:r w:rsidR="00FC1BEE">
        <w:t>. Reflecting its late 19</w:t>
      </w:r>
      <w:r w:rsidR="00FC1BEE" w:rsidRPr="00FC1BEE">
        <w:rPr>
          <w:vertAlign w:val="superscript"/>
        </w:rPr>
        <w:t>th</w:t>
      </w:r>
      <w:r w:rsidR="00FC1BEE">
        <w:t xml:space="preserve"> century American origins, it is applied not only to populists such as Trump or Modi, but to movements such as the Populists demanding economic reform. </w:t>
      </w:r>
      <w:r w:rsidR="0029590F">
        <w:t>In our view it would be better if</w:t>
      </w:r>
      <w:r w:rsidRPr="00A96B7C">
        <w:t xml:space="preserve"> </w:t>
      </w:r>
      <w:r w:rsidR="00FC1BEE">
        <w:t>the word</w:t>
      </w:r>
      <w:r w:rsidR="0029590F">
        <w:t xml:space="preserve"> were </w:t>
      </w:r>
      <w:r w:rsidR="0029590F" w:rsidRPr="00E47231">
        <w:rPr>
          <w:i/>
          <w:iCs/>
        </w:rPr>
        <w:t>not</w:t>
      </w:r>
      <w:r w:rsidR="0029590F">
        <w:t xml:space="preserve"> used</w:t>
      </w:r>
      <w:r w:rsidRPr="00A96B7C">
        <w:t xml:space="preserve"> to </w:t>
      </w:r>
      <w:r>
        <w:lastRenderedPageBreak/>
        <w:t>describe Rodrik’s</w:t>
      </w:r>
      <w:r w:rsidRPr="00A96B7C">
        <w:t xml:space="preserve"> “economic populists” unless they were also, in his terms, “political populists”.</w:t>
      </w:r>
      <w:r>
        <w:t xml:space="preserve"> </w:t>
      </w:r>
      <w:r w:rsidR="00904057">
        <w:t>“Economic reformers”</w:t>
      </w:r>
      <w:r w:rsidR="00782A74">
        <w:t>, “economic radicals”,</w:t>
      </w:r>
      <w:r w:rsidR="00904057">
        <w:t xml:space="preserve"> or “advocates of discretionary economic policies” seem to us to be less loaded and less </w:t>
      </w:r>
      <w:r w:rsidR="00427ACB">
        <w:t xml:space="preserve">potentially </w:t>
      </w:r>
      <w:r w:rsidR="00904057">
        <w:t>mis-leading</w:t>
      </w:r>
      <w:r w:rsidR="00427ACB">
        <w:t xml:space="preserve"> (if inelegant)</w:t>
      </w:r>
      <w:r w:rsidR="00904057">
        <w:t xml:space="preserve"> labels</w:t>
      </w:r>
      <w:r w:rsidR="0027578A">
        <w:t>: while populists have often advocated removing the constraints facing economic policymakers, not all “economic populists” have been populist</w:t>
      </w:r>
      <w:r w:rsidR="00904057">
        <w:t>.</w:t>
      </w:r>
      <w:r w:rsidR="0027578A">
        <w:t xml:space="preserve"> Late 19</w:t>
      </w:r>
      <w:r w:rsidR="0027578A" w:rsidRPr="0027578A">
        <w:rPr>
          <w:vertAlign w:val="superscript"/>
        </w:rPr>
        <w:t>th</w:t>
      </w:r>
      <w:r w:rsidR="0027578A">
        <w:t xml:space="preserve"> century American </w:t>
      </w:r>
      <w:r>
        <w:t>Populists</w:t>
      </w:r>
      <w:r w:rsidR="0027578A">
        <w:t>, with their opposition to</w:t>
      </w:r>
      <w:r>
        <w:t xml:space="preserve"> the gold standard</w:t>
      </w:r>
      <w:r w:rsidR="0027578A">
        <w:t xml:space="preserve"> and advocacy of other policies then seen as unacceptably radical,</w:t>
      </w:r>
      <w:r>
        <w:t xml:space="preserve"> constitute a </w:t>
      </w:r>
      <w:r w:rsidR="0027578A">
        <w:t>case in point</w:t>
      </w:r>
      <w:r>
        <w:t xml:space="preserve">. </w:t>
      </w:r>
    </w:p>
    <w:p w14:paraId="6C40F035" w14:textId="77777777" w:rsidR="00427ACB" w:rsidRDefault="00427ACB" w:rsidP="00FC1BEE">
      <w:pPr>
        <w:spacing w:line="480" w:lineRule="auto"/>
        <w:jc w:val="both"/>
      </w:pPr>
    </w:p>
    <w:p w14:paraId="1DB06523" w14:textId="2BF8BB87" w:rsidR="001850E0" w:rsidRPr="00D85654" w:rsidRDefault="00A96B7C" w:rsidP="00427ACB">
      <w:pPr>
        <w:spacing w:line="480" w:lineRule="auto"/>
        <w:jc w:val="both"/>
      </w:pPr>
      <w:r>
        <w:t xml:space="preserve">How did American economists of the 1890s view </w:t>
      </w:r>
      <w:r w:rsidR="00D84CB4" w:rsidRPr="0055314F">
        <w:t>the principal economic policy of the Bryan campaigns, the free coinage of silver at 16-1?</w:t>
      </w:r>
      <w:r w:rsidR="00427ACB">
        <w:t xml:space="preserve"> </w:t>
      </w:r>
      <w:r w:rsidR="00D84CB4" w:rsidRPr="0055314F">
        <w:t xml:space="preserve">Irving Fisher </w:t>
      </w:r>
      <w:r w:rsidR="00EB4C6A">
        <w:t>was</w:t>
      </w:r>
      <w:r w:rsidR="00D84CB4" w:rsidRPr="0055314F">
        <w:t xml:space="preserve"> </w:t>
      </w:r>
      <w:r w:rsidR="00D85654">
        <w:t>vociferous</w:t>
      </w:r>
      <w:r w:rsidR="00D84CB4" w:rsidRPr="0055314F">
        <w:t xml:space="preserve"> in </w:t>
      </w:r>
      <w:r w:rsidR="00EB4C6A">
        <w:t>his</w:t>
      </w:r>
      <w:r w:rsidR="00D84CB4" w:rsidRPr="0055314F">
        <w:t xml:space="preserve"> opposition to the free coinage policy. Although </w:t>
      </w:r>
      <w:r w:rsidR="005B3F57">
        <w:t>he</w:t>
      </w:r>
      <w:r w:rsidR="00D84CB4" w:rsidRPr="0055314F">
        <w:t xml:space="preserve"> acknowledged that the currency debate reflected the distributional conflict between creditor and debtor, and that the appreciation of gold had been to the detriment of debtors, the inviolability of the debt contract was paramount – when the farmer took out a mortgage in nominal terms it was they </w:t>
      </w:r>
      <w:r w:rsidR="00632486" w:rsidRPr="0055314F">
        <w:t>who</w:t>
      </w:r>
      <w:r w:rsidR="00D84CB4" w:rsidRPr="0055314F">
        <w:t xml:space="preserve"> assumed the risk.</w:t>
      </w:r>
      <w:r w:rsidR="00866279">
        <w:rPr>
          <w:rStyle w:val="FootnoteReference"/>
        </w:rPr>
        <w:footnoteReference w:id="38"/>
      </w:r>
      <w:r w:rsidR="00D84CB4" w:rsidRPr="0055314F">
        <w:t xml:space="preserve"> </w:t>
      </w:r>
      <w:r w:rsidR="00D85654">
        <w:t xml:space="preserve"> </w:t>
      </w:r>
      <w:r w:rsidR="00D84CB4" w:rsidRPr="0055314F">
        <w:t xml:space="preserve">F.W. Taussig also rejected the call for a greater use of silver, arguing that deflation was not due to monetary factors: </w:t>
      </w:r>
      <w:r w:rsidR="00632486" w:rsidRPr="0055314F">
        <w:t>‘</w:t>
      </w:r>
      <w:r w:rsidR="00D84CB4" w:rsidRPr="0055314F">
        <w:t>there are no serious evils due to an insufficient supply of money. General depression does not exist. Debtors as a class are suffering no hardships</w:t>
      </w:r>
      <w:r w:rsidR="0027162C">
        <w:t>’</w:t>
      </w:r>
      <w:r w:rsidR="00D84CB4" w:rsidRPr="0055314F">
        <w:t>.</w:t>
      </w:r>
      <w:r w:rsidR="00866279">
        <w:rPr>
          <w:rStyle w:val="FootnoteReference"/>
        </w:rPr>
        <w:footnoteReference w:id="39"/>
      </w:r>
      <w:r w:rsidR="00D84CB4" w:rsidRPr="0055314F">
        <w:t xml:space="preserve"> </w:t>
      </w:r>
      <w:r w:rsidR="001850E0">
        <w:t xml:space="preserve">Some economists were </w:t>
      </w:r>
      <w:r w:rsidR="00D85654">
        <w:t xml:space="preserve">even </w:t>
      </w:r>
      <w:r w:rsidR="001850E0">
        <w:t xml:space="preserve">more outspoken. Harvard’s Francis Amasa Walker warned that ‘paper money would </w:t>
      </w:r>
      <w:r w:rsidR="001850E0" w:rsidRPr="001850E0">
        <w:rPr>
          <w:lang w:val="en-IE"/>
        </w:rPr>
        <w:t>weaken the power of fathers and husbands and result in “effeminacy”</w:t>
      </w:r>
      <w:r w:rsidR="001850E0">
        <w:rPr>
          <w:lang w:val="en-IE"/>
        </w:rPr>
        <w:t>…</w:t>
      </w:r>
      <w:r w:rsidR="001850E0" w:rsidRPr="001850E0">
        <w:rPr>
          <w:lang w:val="en-IE"/>
        </w:rPr>
        <w:t xml:space="preserve">Populist silver was nothing short of a diabolic conspiracy to reduce the “highest civilization” to the level of “pagan </w:t>
      </w:r>
      <w:proofErr w:type="spellStart"/>
      <w:r w:rsidR="001850E0" w:rsidRPr="001850E0">
        <w:rPr>
          <w:lang w:val="en-IE"/>
        </w:rPr>
        <w:t>Asiatics</w:t>
      </w:r>
      <w:proofErr w:type="spellEnd"/>
      <w:r w:rsidR="001850E0" w:rsidRPr="001850E0">
        <w:rPr>
          <w:lang w:val="en-IE"/>
        </w:rPr>
        <w:t>”</w:t>
      </w:r>
      <w:r w:rsidR="001850E0">
        <w:rPr>
          <w:lang w:val="en-IE"/>
        </w:rPr>
        <w:t>’.</w:t>
      </w:r>
      <w:r w:rsidR="003631E6">
        <w:rPr>
          <w:rStyle w:val="FootnoteReference"/>
          <w:lang w:val="en-IE"/>
        </w:rPr>
        <w:footnoteReference w:id="40"/>
      </w:r>
      <w:r w:rsidR="001850E0">
        <w:rPr>
          <w:lang w:val="en-IE"/>
        </w:rPr>
        <w:t xml:space="preserve"> As Charles Postel comments, ‘</w:t>
      </w:r>
      <w:r w:rsidR="001850E0" w:rsidRPr="001850E0">
        <w:rPr>
          <w:lang w:val="en-IE"/>
        </w:rPr>
        <w:t xml:space="preserve">This is how the better people talked, and </w:t>
      </w:r>
      <w:r w:rsidR="001850E0" w:rsidRPr="001850E0">
        <w:rPr>
          <w:lang w:val="en-IE"/>
        </w:rPr>
        <w:lastRenderedPageBreak/>
        <w:t>how learned professors wrote</w:t>
      </w:r>
      <w:r w:rsidR="001850E0">
        <w:rPr>
          <w:lang w:val="en-IE"/>
        </w:rPr>
        <w:t>’</w:t>
      </w:r>
      <w:r w:rsidR="00544C3E">
        <w:rPr>
          <w:lang w:val="en-IE"/>
        </w:rPr>
        <w:t xml:space="preserve">: something to bear in mind perhaps when assessing who was, and who was not, </w:t>
      </w:r>
      <w:r w:rsidR="00C72DEA">
        <w:rPr>
          <w:lang w:val="en-IE"/>
        </w:rPr>
        <w:t xml:space="preserve">a </w:t>
      </w:r>
      <w:r w:rsidR="00544C3E">
        <w:rPr>
          <w:lang w:val="en-IE"/>
        </w:rPr>
        <w:t>populist in late 19</w:t>
      </w:r>
      <w:r w:rsidR="00544C3E" w:rsidRPr="00544C3E">
        <w:rPr>
          <w:vertAlign w:val="superscript"/>
          <w:lang w:val="en-IE"/>
        </w:rPr>
        <w:t>th</w:t>
      </w:r>
      <w:r w:rsidR="00544C3E">
        <w:rPr>
          <w:lang w:val="en-IE"/>
        </w:rPr>
        <w:t xml:space="preserve"> century America.</w:t>
      </w:r>
      <w:r w:rsidR="003631E6">
        <w:rPr>
          <w:rStyle w:val="FootnoteReference"/>
          <w:lang w:val="en-IE"/>
        </w:rPr>
        <w:footnoteReference w:id="41"/>
      </w:r>
    </w:p>
    <w:p w14:paraId="2AC6EFB3" w14:textId="77777777" w:rsidR="00632486" w:rsidRPr="0055314F" w:rsidRDefault="00632486" w:rsidP="006E7F7E">
      <w:pPr>
        <w:spacing w:line="480" w:lineRule="auto"/>
        <w:jc w:val="both"/>
      </w:pPr>
    </w:p>
    <w:p w14:paraId="270BA87B" w14:textId="47EE9F57" w:rsidR="00D84CB4" w:rsidRPr="0055314F" w:rsidRDefault="00632486" w:rsidP="006E7F7E">
      <w:pPr>
        <w:spacing w:line="480" w:lineRule="auto"/>
        <w:jc w:val="both"/>
      </w:pPr>
      <w:r w:rsidRPr="0055314F">
        <w:t>The example of</w:t>
      </w:r>
      <w:r w:rsidR="00D84CB4" w:rsidRPr="0055314F">
        <w:t xml:space="preserve"> Elisha B</w:t>
      </w:r>
      <w:r w:rsidR="00C72DEA">
        <w:t>.</w:t>
      </w:r>
      <w:r w:rsidR="00D84CB4" w:rsidRPr="0055314F">
        <w:t xml:space="preserve"> Andrews, President of Brown University and US Commissioner to the International Monetary Conference in Brussels in 1892, </w:t>
      </w:r>
      <w:r w:rsidRPr="0055314F">
        <w:t xml:space="preserve">offers an instructive contrast. </w:t>
      </w:r>
      <w:r w:rsidR="005321F7" w:rsidRPr="0055314F">
        <w:t xml:space="preserve">Unlike Fisher and Taussig, </w:t>
      </w:r>
      <w:r w:rsidRPr="0055314F">
        <w:t xml:space="preserve">Brown </w:t>
      </w:r>
      <w:r w:rsidR="00D84CB4" w:rsidRPr="0055314F">
        <w:t>vocally supported the free coinage of silver. His views were not welcomed by the trustees of Brown, however. In 1897 the University requested that Andrews supress the public expression of his views, concerned that it would offend wealthy donors. In response, Andrews resigned as President and the issue became a high-profile case of attack on academic freedom. After protest by Andrews’ fellow professors, the trustees were forced to reject the resignation and Andrews remained in post.</w:t>
      </w:r>
      <w:r w:rsidR="003631E6">
        <w:rPr>
          <w:rStyle w:val="FootnoteReference"/>
        </w:rPr>
        <w:footnoteReference w:id="42"/>
      </w:r>
    </w:p>
    <w:p w14:paraId="0DB94825" w14:textId="77777777" w:rsidR="00632486" w:rsidRPr="0055314F" w:rsidRDefault="00632486" w:rsidP="006E7F7E">
      <w:pPr>
        <w:spacing w:line="480" w:lineRule="auto"/>
        <w:jc w:val="both"/>
      </w:pPr>
    </w:p>
    <w:p w14:paraId="054B4C1B" w14:textId="48E25D3A" w:rsidR="00D84CB4" w:rsidRPr="0055314F" w:rsidRDefault="00D84CB4" w:rsidP="006E7F7E">
      <w:pPr>
        <w:spacing w:line="480" w:lineRule="auto"/>
        <w:jc w:val="both"/>
      </w:pPr>
      <w:r w:rsidRPr="0055314F">
        <w:t xml:space="preserve">The views of Andrews and others largely reflected the debate over whether deflation was indeed a monetary phenomenon or rather the result of improvements in </w:t>
      </w:r>
      <w:r w:rsidR="005B3F57" w:rsidRPr="0055314F">
        <w:t xml:space="preserve">production </w:t>
      </w:r>
      <w:r w:rsidRPr="0055314F">
        <w:t>technology. As Andrews saw it:</w:t>
      </w:r>
    </w:p>
    <w:p w14:paraId="03BA2B23" w14:textId="77777777" w:rsidR="006F0625" w:rsidRPr="0055314F" w:rsidRDefault="006F0625" w:rsidP="006E7F7E">
      <w:pPr>
        <w:spacing w:line="480" w:lineRule="auto"/>
        <w:jc w:val="both"/>
      </w:pPr>
    </w:p>
    <w:p w14:paraId="60294C89" w14:textId="0F713225" w:rsidR="00D84CB4" w:rsidRPr="0055314F" w:rsidRDefault="00D84CB4" w:rsidP="006E7F7E">
      <w:pPr>
        <w:spacing w:line="480" w:lineRule="auto"/>
        <w:ind w:left="567" w:right="567"/>
        <w:jc w:val="both"/>
      </w:pPr>
      <w:r w:rsidRPr="0055314F">
        <w:t>What people seem to mean when denying appreciation in gold while admitting that general prices have fallen is that the altered form of equation between gold and commodities has not originated on the gold side of the balance</w:t>
      </w:r>
      <w:r w:rsidR="00B1540E">
        <w:t>…</w:t>
      </w:r>
      <w:r w:rsidRPr="0055314F">
        <w:t>but has sprung up on the goods side, to wit, has come wholly from a lessening of the effort which men have to put forth to create commodities. Distinguished as are the writers vouching for this view, I cannot but think them in error.</w:t>
      </w:r>
      <w:r w:rsidR="003631E6">
        <w:rPr>
          <w:rStyle w:val="FootnoteReference"/>
        </w:rPr>
        <w:footnoteReference w:id="43"/>
      </w:r>
      <w:r w:rsidR="004F70F3" w:rsidRPr="0055314F">
        <w:t xml:space="preserve">  </w:t>
      </w:r>
    </w:p>
    <w:p w14:paraId="3A3E9EE4" w14:textId="2B6A0241" w:rsidR="00D84CB4" w:rsidRPr="0055314F" w:rsidRDefault="00D84CB4" w:rsidP="006E7F7E">
      <w:pPr>
        <w:spacing w:line="480" w:lineRule="auto"/>
        <w:jc w:val="both"/>
      </w:pPr>
    </w:p>
    <w:p w14:paraId="5C1EFF1A" w14:textId="0197B9FB" w:rsidR="00D350AF" w:rsidRDefault="005B745E" w:rsidP="006E7F7E">
      <w:pPr>
        <w:spacing w:line="480" w:lineRule="auto"/>
        <w:jc w:val="both"/>
      </w:pPr>
      <w:r>
        <w:t>T</w:t>
      </w:r>
      <w:r w:rsidR="005321F7" w:rsidRPr="0055314F">
        <w:t>he consensus today would surely be that on this point Andrews was entirely correct.</w:t>
      </w:r>
      <w:r w:rsidR="004F70F3" w:rsidRPr="0055314F">
        <w:t xml:space="preserve"> </w:t>
      </w:r>
      <w:r w:rsidR="00D84CB4" w:rsidRPr="0055314F">
        <w:t xml:space="preserve">Milton Friedman, with the advantage of nearly 100 years of hindsight, was sympathetic to the bimetallist cause, arguing that a bimetallic system based on a 16-1 ratio would have delivered greater price stability than the gold standard. </w:t>
      </w:r>
      <w:r w:rsidR="004F70F3" w:rsidRPr="0055314F">
        <w:t xml:space="preserve">As for the argument that Populist policies reflected special interests, </w:t>
      </w:r>
      <w:r w:rsidR="00D84CB4" w:rsidRPr="0055314F">
        <w:t>Friedman noted that special interests were involved on both sides of the debate, whether it was silver mining interests</w:t>
      </w:r>
      <w:r w:rsidR="004F70F3" w:rsidRPr="0055314F">
        <w:t xml:space="preserve"> on the one hand,</w:t>
      </w:r>
      <w:r w:rsidR="00D84CB4" w:rsidRPr="0055314F">
        <w:t xml:space="preserve"> or </w:t>
      </w:r>
      <w:r w:rsidR="004F70F3" w:rsidRPr="0055314F">
        <w:t>‘</w:t>
      </w:r>
      <w:r w:rsidR="00D84CB4" w:rsidRPr="0055314F">
        <w:t xml:space="preserve">Wall Street… </w:t>
      </w:r>
      <w:proofErr w:type="spellStart"/>
      <w:r w:rsidR="00D84CB4" w:rsidRPr="0055314F">
        <w:t>monometalists</w:t>
      </w:r>
      <w:proofErr w:type="spellEnd"/>
      <w:r w:rsidR="004F70F3" w:rsidRPr="0055314F">
        <w:t>’</w:t>
      </w:r>
      <w:r w:rsidR="00D84CB4" w:rsidRPr="0055314F">
        <w:t xml:space="preserve"> </w:t>
      </w:r>
      <w:r w:rsidR="004F70F3" w:rsidRPr="0055314F">
        <w:t>on the other</w:t>
      </w:r>
      <w:r w:rsidR="00D84CB4" w:rsidRPr="0055314F">
        <w:t>.</w:t>
      </w:r>
      <w:r w:rsidR="003631E6">
        <w:rPr>
          <w:rStyle w:val="FootnoteReference"/>
        </w:rPr>
        <w:footnoteReference w:id="44"/>
      </w:r>
      <w:r w:rsidR="00D84CB4" w:rsidRPr="0055314F">
        <w:t xml:space="preserve"> </w:t>
      </w:r>
      <w:r w:rsidR="001B0664">
        <w:t xml:space="preserve">The </w:t>
      </w:r>
      <w:r w:rsidR="00501AB1">
        <w:t>gold</w:t>
      </w:r>
      <w:r w:rsidR="001B0664">
        <w:t xml:space="preserve"> standard</w:t>
      </w:r>
      <w:r w:rsidR="00501AB1">
        <w:t xml:space="preserve"> </w:t>
      </w:r>
      <w:r w:rsidR="001B0664">
        <w:t xml:space="preserve">is </w:t>
      </w:r>
      <w:r w:rsidR="00D32C15">
        <w:t>today</w:t>
      </w:r>
      <w:r w:rsidR="00501AB1">
        <w:t xml:space="preserve"> a populist cause, </w:t>
      </w:r>
      <w:r w:rsidR="001B0664">
        <w:t>advocated by</w:t>
      </w:r>
      <w:r w:rsidR="00501AB1">
        <w:t xml:space="preserve"> sections of the American Tea Party, </w:t>
      </w:r>
      <w:r w:rsidR="001B0664">
        <w:t>with the argument traceable</w:t>
      </w:r>
      <w:r w:rsidR="00501AB1">
        <w:t xml:space="preserve"> back</w:t>
      </w:r>
      <w:r w:rsidR="001B0664">
        <w:t>,</w:t>
      </w:r>
      <w:r w:rsidR="00501AB1">
        <w:t xml:space="preserve"> not to the Populists, but to their conservative opponents</w:t>
      </w:r>
      <w:r w:rsidR="003A259E" w:rsidRPr="0055314F">
        <w:t>.</w:t>
      </w:r>
      <w:r w:rsidR="00B60809">
        <w:rPr>
          <w:rStyle w:val="FootnoteReference"/>
        </w:rPr>
        <w:footnoteReference w:id="45"/>
      </w:r>
      <w:r w:rsidR="003A259E" w:rsidRPr="0055314F">
        <w:t xml:space="preserve"> Once again</w:t>
      </w:r>
      <w:r w:rsidR="003402CD" w:rsidRPr="0055314F">
        <w:t>, if</w:t>
      </w:r>
      <w:r w:rsidR="003A259E" w:rsidRPr="0055314F">
        <w:t xml:space="preserve"> </w:t>
      </w:r>
      <w:r w:rsidR="001F3744">
        <w:t xml:space="preserve">as some economists argue </w:t>
      </w:r>
      <w:r w:rsidR="003402CD" w:rsidRPr="0055314F">
        <w:t>promoting harmful economic policies is a defining characteristic of populism,</w:t>
      </w:r>
      <w:r w:rsidR="001F3744">
        <w:rPr>
          <w:rStyle w:val="FootnoteReference"/>
        </w:rPr>
        <w:footnoteReference w:id="46"/>
      </w:r>
      <w:r w:rsidR="003402CD" w:rsidRPr="0055314F">
        <w:t xml:space="preserve"> then it is hard to conclude that the Populists were populist. It was their opponents in America’s nascent economics departments who were more mistaken in their policy prescriptions.</w:t>
      </w:r>
    </w:p>
    <w:p w14:paraId="4B7188C4" w14:textId="77777777" w:rsidR="00166951" w:rsidRPr="0055314F" w:rsidRDefault="00166951" w:rsidP="006E7F7E">
      <w:pPr>
        <w:spacing w:line="480" w:lineRule="auto"/>
        <w:jc w:val="both"/>
      </w:pPr>
    </w:p>
    <w:p w14:paraId="4AD20402" w14:textId="60003B01" w:rsidR="000470EB" w:rsidRPr="000C6F6C" w:rsidRDefault="009B36BA" w:rsidP="000470EB">
      <w:pPr>
        <w:spacing w:line="480" w:lineRule="auto"/>
        <w:jc w:val="both"/>
        <w:rPr>
          <w:caps/>
        </w:rPr>
      </w:pPr>
      <w:r>
        <w:rPr>
          <w:lang w:val="en-IE"/>
        </w:rPr>
        <w:t>Late 19</w:t>
      </w:r>
      <w:r w:rsidRPr="009B36BA">
        <w:rPr>
          <w:vertAlign w:val="superscript"/>
          <w:lang w:val="en-IE"/>
        </w:rPr>
        <w:t>th</w:t>
      </w:r>
      <w:r>
        <w:rPr>
          <w:lang w:val="en-IE"/>
        </w:rPr>
        <w:t xml:space="preserve"> century Populism was not populist. If an American precursor of modern populism is to be sought, the nativist and anti-Catholic Know Nothings would seem a far more logical candidate.</w:t>
      </w:r>
      <w:r w:rsidR="00B60809">
        <w:rPr>
          <w:rStyle w:val="FootnoteReference"/>
          <w:lang w:val="en-IE"/>
        </w:rPr>
        <w:footnoteReference w:id="47"/>
      </w:r>
      <w:r>
        <w:rPr>
          <w:caps/>
        </w:rPr>
        <w:t xml:space="preserve"> </w:t>
      </w:r>
      <w:r>
        <w:t>And yet, comments Goodwyn</w:t>
      </w:r>
      <w:r w:rsidR="00B60809">
        <w:t>,</w:t>
      </w:r>
      <w:r>
        <w:t xml:space="preserve"> ‘Hofstad</w:t>
      </w:r>
      <w:r w:rsidR="00D92344">
        <w:t>t</w:t>
      </w:r>
      <w:r>
        <w:t>er won his war’.</w:t>
      </w:r>
      <w:r w:rsidR="00B60809">
        <w:rPr>
          <w:rStyle w:val="FootnoteReference"/>
        </w:rPr>
        <w:footnoteReference w:id="48"/>
      </w:r>
      <w:r>
        <w:t xml:space="preserve"> </w:t>
      </w:r>
      <w:r w:rsidR="00B86B65">
        <w:t xml:space="preserve">As a recent article on the ‘spectral afterlife’ of the 1950s view of Populism </w:t>
      </w:r>
      <w:r w:rsidR="00D32C15">
        <w:t>notes</w:t>
      </w:r>
      <w:r w:rsidR="00B86B65">
        <w:t xml:space="preserve">, </w:t>
      </w:r>
      <w:r w:rsidR="00B86B65" w:rsidRPr="000470EB">
        <w:rPr>
          <w:lang w:val="en-IE"/>
        </w:rPr>
        <w:t>Hofstadter</w:t>
      </w:r>
      <w:r w:rsidR="00B86B65">
        <w:rPr>
          <w:lang w:val="en-IE"/>
        </w:rPr>
        <w:t>’s</w:t>
      </w:r>
      <w:r w:rsidR="00B86B65" w:rsidRPr="000470EB">
        <w:rPr>
          <w:lang w:val="en-IE"/>
        </w:rPr>
        <w:t xml:space="preserve"> </w:t>
      </w:r>
      <w:r w:rsidR="00B86B65">
        <w:t>‘</w:t>
      </w:r>
      <w:r w:rsidR="00B86B65" w:rsidRPr="003C7CBC">
        <w:rPr>
          <w:lang w:val="en-IE"/>
        </w:rPr>
        <w:t>vision continued to condition the language of the global social sciences for subsequent decades</w:t>
      </w:r>
      <w:r w:rsidR="00B86B65">
        <w:rPr>
          <w:lang w:val="en-IE"/>
        </w:rPr>
        <w:t>’.</w:t>
      </w:r>
      <w:r w:rsidR="00B60809">
        <w:rPr>
          <w:rStyle w:val="FootnoteReference"/>
          <w:lang w:val="en-IE"/>
        </w:rPr>
        <w:footnoteReference w:id="49"/>
      </w:r>
      <w:r w:rsidR="00B86B65">
        <w:rPr>
          <w:lang w:val="en-IE"/>
        </w:rPr>
        <w:t xml:space="preserve"> </w:t>
      </w:r>
      <w:r w:rsidR="000470EB">
        <w:t>In the words of Postel,</w:t>
      </w:r>
    </w:p>
    <w:p w14:paraId="293B8BCD" w14:textId="77777777" w:rsidR="000470EB" w:rsidRDefault="000470EB" w:rsidP="000470EB">
      <w:pPr>
        <w:spacing w:line="480" w:lineRule="auto"/>
        <w:jc w:val="both"/>
      </w:pPr>
    </w:p>
    <w:p w14:paraId="52B963A6" w14:textId="56F5F837" w:rsidR="00166951" w:rsidRDefault="000470EB" w:rsidP="00166951">
      <w:pPr>
        <w:spacing w:line="480" w:lineRule="auto"/>
        <w:ind w:left="567" w:right="567"/>
        <w:jc w:val="both"/>
        <w:rPr>
          <w:lang w:val="en-IE"/>
        </w:rPr>
      </w:pPr>
      <w:r w:rsidRPr="000470EB">
        <w:rPr>
          <w:lang w:val="en-IE"/>
        </w:rPr>
        <w:t>By the end of the 1960s, the so-called Hofstadter thesis was in tatters</w:t>
      </w:r>
      <w:r w:rsidR="00166951">
        <w:rPr>
          <w:lang w:val="en-IE"/>
        </w:rPr>
        <w:t>…</w:t>
      </w:r>
      <w:r w:rsidRPr="000470EB">
        <w:rPr>
          <w:lang w:val="en-IE"/>
        </w:rPr>
        <w:t xml:space="preserve">Yet, mainly outside of the historical profession, the Hofstadter thesis has maintained its influence on political analysis. </w:t>
      </w:r>
      <w:r w:rsidRPr="000470EB">
        <w:rPr>
          <w:i/>
          <w:iCs/>
          <w:lang w:val="en-IE"/>
        </w:rPr>
        <w:t xml:space="preserve">The Age of Reform </w:t>
      </w:r>
      <w:r w:rsidRPr="000470EB">
        <w:rPr>
          <w:lang w:val="en-IE"/>
        </w:rPr>
        <w:t>has been described as “the most influential book ever published on the history of twentieth-century America.” To this day, it informs the views of a number of intellectuals who admire its elegant style and embrace an argument that reinforces their own notions about the supposed deficiencies in the mentality of rural and working people.</w:t>
      </w:r>
      <w:r w:rsidR="00B60809">
        <w:rPr>
          <w:rStyle w:val="FootnoteReference"/>
          <w:lang w:val="en-IE"/>
        </w:rPr>
        <w:footnoteReference w:id="50"/>
      </w:r>
      <w:r w:rsidRPr="000470EB">
        <w:rPr>
          <w:lang w:val="en-IE"/>
        </w:rPr>
        <w:t xml:space="preserve"> </w:t>
      </w:r>
    </w:p>
    <w:p w14:paraId="5FF72D29" w14:textId="77777777" w:rsidR="00297214" w:rsidRDefault="00297214" w:rsidP="00166951">
      <w:pPr>
        <w:spacing w:line="480" w:lineRule="auto"/>
        <w:ind w:right="567"/>
        <w:jc w:val="both"/>
        <w:rPr>
          <w:b/>
          <w:bCs/>
        </w:rPr>
      </w:pPr>
    </w:p>
    <w:p w14:paraId="3DA91543" w14:textId="2977474D" w:rsidR="00DE36C6" w:rsidRPr="00166951" w:rsidRDefault="00571D00" w:rsidP="00166951">
      <w:pPr>
        <w:spacing w:line="480" w:lineRule="auto"/>
        <w:ind w:right="567"/>
        <w:jc w:val="both"/>
      </w:pPr>
      <w:r>
        <w:rPr>
          <w:b/>
          <w:bCs/>
        </w:rPr>
        <w:t>III</w:t>
      </w:r>
      <w:r w:rsidR="00DE36C6" w:rsidRPr="0055314F">
        <w:rPr>
          <w:b/>
          <w:bCs/>
        </w:rPr>
        <w:t xml:space="preserve">. </w:t>
      </w:r>
      <w:r>
        <w:rPr>
          <w:b/>
          <w:bCs/>
        </w:rPr>
        <w:t>TRADE POLICY</w:t>
      </w:r>
    </w:p>
    <w:p w14:paraId="438B9F7B" w14:textId="5E71FC89" w:rsidR="00E2772C" w:rsidRPr="0055314F" w:rsidRDefault="00E2772C" w:rsidP="006E7F7E">
      <w:pPr>
        <w:spacing w:line="480" w:lineRule="auto"/>
        <w:jc w:val="both"/>
        <w:rPr>
          <w:b/>
          <w:bCs/>
        </w:rPr>
      </w:pPr>
    </w:p>
    <w:p w14:paraId="15DF426A" w14:textId="44BF849A" w:rsidR="006F1553" w:rsidRPr="0055314F" w:rsidRDefault="00E2772C" w:rsidP="006E7F7E">
      <w:pPr>
        <w:spacing w:line="480" w:lineRule="auto"/>
        <w:jc w:val="both"/>
      </w:pPr>
      <w:r w:rsidRPr="0055314F">
        <w:t>Although not an explicit policy of the Populist party in 1892, the anti-tariff position of the Bryan campaign in 1896 continued the free-trade tradition of the Democratic party.</w:t>
      </w:r>
      <w:r w:rsidRPr="0055314F">
        <w:rPr>
          <w:vertAlign w:val="superscript"/>
        </w:rPr>
        <w:footnoteReference w:id="51"/>
      </w:r>
      <w:r w:rsidR="00BE5506">
        <w:t xml:space="preserve"> Populists argued that tariffs were regressive, and should be replaced with </w:t>
      </w:r>
      <w:r w:rsidR="008B4B6B">
        <w:t>an</w:t>
      </w:r>
      <w:r w:rsidR="00BE5506">
        <w:t xml:space="preserve"> income tax.</w:t>
      </w:r>
      <w:r w:rsidR="00B60809">
        <w:rPr>
          <w:rStyle w:val="FootnoteReference"/>
        </w:rPr>
        <w:footnoteReference w:id="52"/>
      </w:r>
      <w:r w:rsidRPr="0055314F">
        <w:t xml:space="preserve"> </w:t>
      </w:r>
      <w:r w:rsidR="006F1553" w:rsidRPr="0055314F">
        <w:t xml:space="preserve">In sharp contrast, Bryan’s Republican opponent, William McKinley, campaigned on a protectionist platform. This might seem paradoxical </w:t>
      </w:r>
      <w:r w:rsidR="00CA2CCD" w:rsidRPr="0055314F">
        <w:t>if one accepted</w:t>
      </w:r>
      <w:r w:rsidR="00841376" w:rsidRPr="0055314F">
        <w:t xml:space="preserve"> two </w:t>
      </w:r>
      <w:r w:rsidR="00CA2CCD" w:rsidRPr="0055314F">
        <w:t>premises</w:t>
      </w:r>
      <w:r w:rsidR="00841376" w:rsidRPr="0055314F">
        <w:t xml:space="preserve">: </w:t>
      </w:r>
      <w:r w:rsidR="00CA2CCD" w:rsidRPr="0055314F">
        <w:t xml:space="preserve">that </w:t>
      </w:r>
      <w:r w:rsidR="006F1553" w:rsidRPr="0055314F">
        <w:t xml:space="preserve">the Populists </w:t>
      </w:r>
      <w:r w:rsidR="00841376" w:rsidRPr="0055314F">
        <w:t>were</w:t>
      </w:r>
      <w:r w:rsidR="006F1553" w:rsidRPr="0055314F">
        <w:t xml:space="preserve"> populist</w:t>
      </w:r>
      <w:r w:rsidR="00841376" w:rsidRPr="0055314F">
        <w:t>;</w:t>
      </w:r>
      <w:r w:rsidR="006F1553" w:rsidRPr="0055314F">
        <w:t xml:space="preserve"> and </w:t>
      </w:r>
      <w:r w:rsidR="00CA2CCD" w:rsidRPr="0055314F">
        <w:t xml:space="preserve">that </w:t>
      </w:r>
      <w:r w:rsidR="006F1553" w:rsidRPr="0055314F">
        <w:t xml:space="preserve">populists are typically protectionist. </w:t>
      </w:r>
      <w:r w:rsidR="00BF21BF">
        <w:t>The</w:t>
      </w:r>
      <w:r w:rsidR="00841376" w:rsidRPr="0055314F">
        <w:t xml:space="preserve"> first of these </w:t>
      </w:r>
      <w:r w:rsidR="00CA2CCD" w:rsidRPr="0055314F">
        <w:t>premises</w:t>
      </w:r>
      <w:r w:rsidR="00841376" w:rsidRPr="0055314F">
        <w:t xml:space="preserve"> </w:t>
      </w:r>
      <w:r w:rsidR="00BF21BF">
        <w:t xml:space="preserve">is false, </w:t>
      </w:r>
      <w:r w:rsidR="00841376" w:rsidRPr="0055314F">
        <w:t>but what about the second?</w:t>
      </w:r>
    </w:p>
    <w:p w14:paraId="4117BFDD" w14:textId="4728598D" w:rsidR="00CA2CCD" w:rsidRPr="0055314F" w:rsidRDefault="00CA2CCD" w:rsidP="006E7F7E">
      <w:pPr>
        <w:spacing w:line="480" w:lineRule="auto"/>
        <w:jc w:val="both"/>
      </w:pPr>
    </w:p>
    <w:p w14:paraId="71CE5BAC" w14:textId="3196BD73" w:rsidR="006F1553" w:rsidRPr="0055314F" w:rsidRDefault="00155254" w:rsidP="006E7F7E">
      <w:pPr>
        <w:spacing w:line="480" w:lineRule="auto"/>
        <w:jc w:val="both"/>
      </w:pPr>
      <w:r w:rsidRPr="0055314F">
        <w:t xml:space="preserve">If populism is defined as opposing the “ordinary people” to the “elite”, then it seems natural to ask what trade policies were advocated historically by parties supporting the working class. </w:t>
      </w:r>
      <w:r w:rsidRPr="0055314F">
        <w:lastRenderedPageBreak/>
        <w:t>In 19</w:t>
      </w:r>
      <w:r w:rsidRPr="00D0620C">
        <w:rPr>
          <w:vertAlign w:val="superscript"/>
        </w:rPr>
        <w:t>th</w:t>
      </w:r>
      <w:r w:rsidRPr="0055314F">
        <w:t xml:space="preserve"> century Europe, the answer is – by and large – that the nascent socialist parties promoting the interests of the industrial working class were in favour of free trade, especially in agriculture.</w:t>
      </w:r>
      <w:r w:rsidR="00B60809">
        <w:rPr>
          <w:rStyle w:val="FootnoteReference"/>
        </w:rPr>
        <w:footnoteReference w:id="53"/>
      </w:r>
      <w:r w:rsidRPr="0055314F">
        <w:t xml:space="preserve"> This was clearly the case in Germany, where the Social Democrats favoured free trade, in Switzerland, in Italy, and in Belgium. It was less clearly so in France, where socialists opposed protection in 1892, but where trade unions in certain occupations took a protectionist position in the years immediately prior to World War I. In 1904, the British Labour Party</w:t>
      </w:r>
      <w:r w:rsidR="00547AAC" w:rsidRPr="0055314F">
        <w:t xml:space="preserve"> tabled a motion at an international socialist congress in Amsterdam declaring that 'protection does not benefit the wage-earner and that it is a barrier to international disarmament and peace'.</w:t>
      </w:r>
      <w:r w:rsidR="00B60809">
        <w:rPr>
          <w:rStyle w:val="FootnoteReference"/>
        </w:rPr>
        <w:footnoteReference w:id="54"/>
      </w:r>
    </w:p>
    <w:p w14:paraId="78DED7AC" w14:textId="1804EA9B" w:rsidR="00547AAC" w:rsidRPr="0055314F" w:rsidRDefault="00547AAC" w:rsidP="006E7F7E">
      <w:pPr>
        <w:spacing w:line="480" w:lineRule="auto"/>
        <w:jc w:val="both"/>
      </w:pPr>
    </w:p>
    <w:p w14:paraId="3FD8CCF4" w14:textId="6C3D392F" w:rsidR="00E2772C" w:rsidRPr="0055314F" w:rsidRDefault="00547AAC" w:rsidP="006E7F7E">
      <w:pPr>
        <w:spacing w:line="480" w:lineRule="auto"/>
        <w:jc w:val="both"/>
      </w:pPr>
      <w:r w:rsidRPr="0055314F">
        <w:t>In fact, during this period it was elite interests that supported protectionism in Europe</w:t>
      </w:r>
      <w:r w:rsidR="003977E5" w:rsidRPr="0055314F">
        <w:t>, in particular landowners.</w:t>
      </w:r>
      <w:r w:rsidR="00D93F04" w:rsidRPr="0055314F">
        <w:t xml:space="preserve"> British Tories, Germany Junkers, and Swedish aristocrats all favoured agricultural tariffs. In some cases their advocacy was characterised by nationalism, anti-Semitism, and a backward-looking agricultural romanticism – Adolf Wagner, the prominent German economist and protectionist </w:t>
      </w:r>
      <w:r w:rsidR="004A4E47" w:rsidRPr="0055314F">
        <w:t xml:space="preserve">who </w:t>
      </w:r>
      <w:r w:rsidR="00D93F04" w:rsidRPr="0055314F">
        <w:t xml:space="preserve">welcomed the label "agrarian reactionary", </w:t>
      </w:r>
      <w:r w:rsidR="006505E6" w:rsidRPr="0055314F">
        <w:t>offers a prominent</w:t>
      </w:r>
      <w:r w:rsidR="00D93F04" w:rsidRPr="0055314F">
        <w:t xml:space="preserve"> example.</w:t>
      </w:r>
      <w:r w:rsidR="004E311A">
        <w:rPr>
          <w:rStyle w:val="FootnoteReference"/>
        </w:rPr>
        <w:footnoteReference w:id="55"/>
      </w:r>
      <w:r w:rsidR="006505E6" w:rsidRPr="0055314F">
        <w:t xml:space="preserve"> But as a staunch advocate of the aristocratic Prussian land-owning aristocracy he </w:t>
      </w:r>
      <w:r w:rsidR="004C4636" w:rsidRPr="0055314F">
        <w:t>makes an unconvincing</w:t>
      </w:r>
      <w:r w:rsidR="006505E6" w:rsidRPr="0055314F">
        <w:t xml:space="preserve"> populist. The British Conservative politician, Joseph Chamberlain, was an ardent British nationalist and advocate of imperialism, as well as a prominent protectionist. In his case, protectionism did not just serve the interests of the large landowners who had been his party's traditional supporters, </w:t>
      </w:r>
      <w:r w:rsidR="004A4E47" w:rsidRPr="0055314F">
        <w:t xml:space="preserve">but </w:t>
      </w:r>
      <w:r w:rsidR="006505E6" w:rsidRPr="0055314F">
        <w:t xml:space="preserve">was meant to further the political integration of the British Empire by making it possible to discriminate between "British" and "foreign" countries. Once again, </w:t>
      </w:r>
      <w:r w:rsidR="004A4E47" w:rsidRPr="0055314F">
        <w:t xml:space="preserve">while </w:t>
      </w:r>
      <w:r w:rsidR="006505E6" w:rsidRPr="0055314F">
        <w:t xml:space="preserve">we can see a link between protectionism </w:t>
      </w:r>
      <w:r w:rsidR="006505E6" w:rsidRPr="0055314F">
        <w:lastRenderedPageBreak/>
        <w:t>and nationalism</w:t>
      </w:r>
      <w:r w:rsidR="004A4E47" w:rsidRPr="0055314F">
        <w:t xml:space="preserve">, the </w:t>
      </w:r>
      <w:r w:rsidR="006F0625" w:rsidRPr="0055314F">
        <w:t xml:space="preserve">economic </w:t>
      </w:r>
      <w:r w:rsidR="004A4E47" w:rsidRPr="0055314F">
        <w:t xml:space="preserve">interests that were being advanced were </w:t>
      </w:r>
      <w:r w:rsidR="008D40B7" w:rsidRPr="0055314F">
        <w:t>largely</w:t>
      </w:r>
      <w:r w:rsidR="004A4E47" w:rsidRPr="0055314F">
        <w:t xml:space="preserve"> those of the landed elite</w:t>
      </w:r>
      <w:r w:rsidR="004C4636" w:rsidRPr="0055314F">
        <w:t xml:space="preserve">. Chamberlain is </w:t>
      </w:r>
      <w:r w:rsidR="00DE3C8F">
        <w:t>sometimes</w:t>
      </w:r>
      <w:r w:rsidR="004C4636" w:rsidRPr="0055314F">
        <w:t xml:space="preserve"> described as a “populist”</w:t>
      </w:r>
      <w:r w:rsidR="00222C3E" w:rsidRPr="0055314F">
        <w:t xml:space="preserve">, </w:t>
      </w:r>
      <w:r w:rsidR="009A0594">
        <w:t>but</w:t>
      </w:r>
      <w:r w:rsidR="008D40B7" w:rsidRPr="0055314F">
        <w:t xml:space="preserve"> in the British context</w:t>
      </w:r>
      <w:r w:rsidR="00222C3E" w:rsidRPr="0055314F">
        <w:t xml:space="preserve"> so</w:t>
      </w:r>
      <w:r w:rsidR="008D40B7" w:rsidRPr="0055314F">
        <w:t xml:space="preserve"> too</w:t>
      </w:r>
      <w:r w:rsidR="00222C3E" w:rsidRPr="0055314F">
        <w:t xml:space="preserve"> are politicians as diverse as William Gladstone and Margaret Thatcher.</w:t>
      </w:r>
      <w:r w:rsidR="004E311A">
        <w:rPr>
          <w:rStyle w:val="FootnoteReference"/>
        </w:rPr>
        <w:footnoteReference w:id="56"/>
      </w:r>
    </w:p>
    <w:p w14:paraId="609C1C1C" w14:textId="5FEF4C51" w:rsidR="00412AD3" w:rsidRPr="0055314F" w:rsidRDefault="00412AD3" w:rsidP="006E7F7E">
      <w:pPr>
        <w:spacing w:line="480" w:lineRule="auto"/>
        <w:jc w:val="both"/>
      </w:pPr>
    </w:p>
    <w:p w14:paraId="514C7D69" w14:textId="6943728C" w:rsidR="007F1891" w:rsidRPr="0055314F" w:rsidRDefault="00412AD3" w:rsidP="006E7F7E">
      <w:pPr>
        <w:spacing w:line="480" w:lineRule="auto"/>
        <w:jc w:val="both"/>
      </w:pPr>
      <w:r w:rsidRPr="0055314F">
        <w:t xml:space="preserve">One may doubt whether Chamberlain meets Müller’s definition of a populist, but that is not the point. Rather, </w:t>
      </w:r>
      <w:r w:rsidR="005120BB" w:rsidRPr="0055314F">
        <w:t xml:space="preserve">what </w:t>
      </w:r>
      <w:r w:rsidRPr="0055314F">
        <w:t xml:space="preserve">we </w:t>
      </w:r>
      <w:r w:rsidR="005120BB" w:rsidRPr="0055314F">
        <w:t xml:space="preserve">wish to </w:t>
      </w:r>
      <w:r w:rsidRPr="0055314F">
        <w:t>stress is that late 19</w:t>
      </w:r>
      <w:r w:rsidRPr="0055314F">
        <w:rPr>
          <w:vertAlign w:val="superscript"/>
        </w:rPr>
        <w:t>th</w:t>
      </w:r>
      <w:r w:rsidRPr="0055314F">
        <w:t xml:space="preserve"> century protectionism was not </w:t>
      </w:r>
      <w:r w:rsidR="006F0625" w:rsidRPr="0055314F">
        <w:t xml:space="preserve">solely or even primarily </w:t>
      </w:r>
      <w:r w:rsidRPr="0055314F">
        <w:t>the result of political opinions regarding elites, or xenophobia, or other intellectual or cultural factors. Rather, it was well explained by economic interests, and in particular by differing factor proportions across countries in a rapidly globalizing world.</w:t>
      </w:r>
      <w:r w:rsidR="004E311A">
        <w:rPr>
          <w:rStyle w:val="FootnoteReference"/>
        </w:rPr>
        <w:footnoteReference w:id="57"/>
      </w:r>
      <w:r w:rsidR="005120BB" w:rsidRPr="0055314F">
        <w:t xml:space="preserve"> Relatively scarce factors, such as European land or New World labour, tended to be protectionist, while relatively abundant factors, such as European workers and New World landowners, tended to be in favour of free trade. As societies became more democratic, politics moved in a more labour-friendly direction, producing more liberal trade policies in Europe but more protectionist ones in land-abundant and labour-scarce countries.</w:t>
      </w:r>
      <w:r w:rsidR="004E311A">
        <w:rPr>
          <w:rStyle w:val="FootnoteReference"/>
        </w:rPr>
        <w:footnoteReference w:id="58"/>
      </w:r>
      <w:r w:rsidR="005120BB" w:rsidRPr="0055314F">
        <w:t xml:space="preserve"> It is hardly surprising that those wishing to protect themselves from foreign competition often appealed to nationalist sentiment in an attempt to bolster their position. But whether protectionists represented the elite, as in Germany, or the working classes, as in Australia, depended entirely on relative </w:t>
      </w:r>
      <w:r w:rsidR="00221531" w:rsidRPr="0055314F">
        <w:t xml:space="preserve">factor </w:t>
      </w:r>
      <w:r w:rsidR="005120BB" w:rsidRPr="0055314F">
        <w:t>proportions and patterns of comparative advantage.</w:t>
      </w:r>
      <w:r w:rsidR="005741F4" w:rsidRPr="0055314F">
        <w:t xml:space="preserve"> Protectionism and populism – insofar as the latter </w:t>
      </w:r>
      <w:r w:rsidR="00005A7B">
        <w:t xml:space="preserve">even </w:t>
      </w:r>
      <w:r w:rsidR="005741F4" w:rsidRPr="0055314F">
        <w:t>existed at the time – were logically distinct categories, with no clear correlation between the two.</w:t>
      </w:r>
    </w:p>
    <w:p w14:paraId="43183A92" w14:textId="77777777" w:rsidR="007F1891" w:rsidRPr="0055314F" w:rsidRDefault="007F1891" w:rsidP="006E7F7E">
      <w:pPr>
        <w:spacing w:line="480" w:lineRule="auto"/>
        <w:jc w:val="both"/>
      </w:pPr>
    </w:p>
    <w:p w14:paraId="730D3859" w14:textId="2D9426EE" w:rsidR="00E755BE" w:rsidRDefault="007F1891" w:rsidP="006E7F7E">
      <w:pPr>
        <w:spacing w:line="480" w:lineRule="auto"/>
        <w:jc w:val="both"/>
      </w:pPr>
      <w:r w:rsidRPr="0055314F">
        <w:lastRenderedPageBreak/>
        <w:t>Viewed in this light, the fact that 21</w:t>
      </w:r>
      <w:r w:rsidRPr="003B1BBB">
        <w:rPr>
          <w:vertAlign w:val="superscript"/>
        </w:rPr>
        <w:t>st</w:t>
      </w:r>
      <w:r w:rsidRPr="0055314F">
        <w:t xml:space="preserve">-century populists are often protectionist appears more </w:t>
      </w:r>
      <w:r w:rsidR="00AC0A8D" w:rsidRPr="0055314F">
        <w:t>to be</w:t>
      </w:r>
      <w:r w:rsidRPr="0055314F">
        <w:t xml:space="preserve"> an accident of </w:t>
      </w:r>
      <w:r w:rsidR="00AC0A8D" w:rsidRPr="0055314F">
        <w:t xml:space="preserve">contemporary economic </w:t>
      </w:r>
      <w:r w:rsidRPr="0055314F">
        <w:t>history than anything else. Rich countries are labour-scarce</w:t>
      </w:r>
      <w:r w:rsidR="00403508" w:rsidRPr="0055314F">
        <w:t xml:space="preserve"> </w:t>
      </w:r>
      <w:r w:rsidR="001E5E9D" w:rsidRPr="0055314F">
        <w:t xml:space="preserve">relative to poor countries in general </w:t>
      </w:r>
      <w:r w:rsidR="00433F6A" w:rsidRPr="0055314F">
        <w:t>and China in particular</w:t>
      </w:r>
      <w:r w:rsidR="00AC0A8D" w:rsidRPr="0055314F">
        <w:t xml:space="preserve">. </w:t>
      </w:r>
      <w:r w:rsidR="00E62937" w:rsidRPr="0055314F">
        <w:t>The standard Stolper-Samuelson model suggests</w:t>
      </w:r>
      <w:r w:rsidR="00AC0A8D" w:rsidRPr="0055314F">
        <w:t xml:space="preserve"> that </w:t>
      </w:r>
      <w:r w:rsidR="00E62937" w:rsidRPr="0055314F">
        <w:t>unskilled workers</w:t>
      </w:r>
      <w:r w:rsidR="00AC0A8D" w:rsidRPr="0055314F">
        <w:t xml:space="preserve"> in such countries </w:t>
      </w:r>
      <w:r w:rsidR="00E62937" w:rsidRPr="0055314F">
        <w:t>should be opposed</w:t>
      </w:r>
      <w:r w:rsidR="00AC0A8D" w:rsidRPr="0055314F">
        <w:t xml:space="preserve"> to free trade</w:t>
      </w:r>
      <w:r w:rsidR="00E62937" w:rsidRPr="0055314F">
        <w:t>, and</w:t>
      </w:r>
      <w:r w:rsidR="00522D7C" w:rsidRPr="0055314F">
        <w:t xml:space="preserve"> </w:t>
      </w:r>
      <w:r w:rsidR="00E62937" w:rsidRPr="0055314F">
        <w:t>a</w:t>
      </w:r>
      <w:r w:rsidR="00CD2325" w:rsidRPr="0055314F">
        <w:t xml:space="preserve">bundant survey evidence suggests that unskilled workers in rich countries are </w:t>
      </w:r>
      <w:r w:rsidR="00E62937" w:rsidRPr="0055314F">
        <w:t xml:space="preserve">indeed </w:t>
      </w:r>
      <w:r w:rsidR="00CD2325" w:rsidRPr="0055314F">
        <w:t>more protectionist than the highly skilled</w:t>
      </w:r>
      <w:r w:rsidR="00E62937" w:rsidRPr="0055314F">
        <w:t>. This is</w:t>
      </w:r>
      <w:r w:rsidR="00CD2325" w:rsidRPr="0055314F">
        <w:t xml:space="preserve"> consistent with economic self-interest</w:t>
      </w:r>
      <w:r w:rsidR="00A46D09" w:rsidRPr="0055314F">
        <w:t xml:space="preserve"> and the logic of the Heckscher-Ohlin model</w:t>
      </w:r>
      <w:r w:rsidR="00E62937" w:rsidRPr="0055314F">
        <w:t>, as well as with empirical evidence suggesting that import competition has indeed harmed workers</w:t>
      </w:r>
      <w:r w:rsidR="00CD2325" w:rsidRPr="0055314F">
        <w:t>.</w:t>
      </w:r>
      <w:r w:rsidR="001E32E9">
        <w:rPr>
          <w:rStyle w:val="FootnoteReference"/>
        </w:rPr>
        <w:footnoteReference w:id="59"/>
      </w:r>
      <w:r w:rsidR="00CD2325" w:rsidRPr="0055314F">
        <w:t xml:space="preserve"> The alternative view is that such attitudes reflect xenophobia or a lack of understanding of complex economic issues</w:t>
      </w:r>
      <w:r w:rsidR="00DD1376" w:rsidRPr="0055314F">
        <w:t>, one of the supposed attributes of populist</w:t>
      </w:r>
      <w:r w:rsidR="00DE3C8F">
        <w:t xml:space="preserve"> supporter</w:t>
      </w:r>
      <w:r w:rsidR="007177AE">
        <w:t>s</w:t>
      </w:r>
      <w:r w:rsidR="00CD2325" w:rsidRPr="0055314F">
        <w:t>.</w:t>
      </w:r>
      <w:r w:rsidR="001E32E9">
        <w:rPr>
          <w:rStyle w:val="FootnoteReference"/>
        </w:rPr>
        <w:footnoteReference w:id="60"/>
      </w:r>
      <w:r w:rsidR="00CD2325" w:rsidRPr="0055314F">
        <w:t xml:space="preserve"> But if that were the case, you would expect to see less educated workers – the paradigmatic target population for </w:t>
      </w:r>
      <w:r w:rsidR="00FF2D8F">
        <w:t xml:space="preserve">today’s </w:t>
      </w:r>
      <w:r w:rsidR="00CD2325" w:rsidRPr="0055314F">
        <w:t xml:space="preserve">populist politicians – being opposed to free trade everywhere. On the contrary: </w:t>
      </w:r>
      <w:r w:rsidR="00E62937" w:rsidRPr="0055314F">
        <w:t>while they seem to be in</w:t>
      </w:r>
      <w:r w:rsidR="00CD2325" w:rsidRPr="0055314F">
        <w:t xml:space="preserve"> rich countries, </w:t>
      </w:r>
      <w:r w:rsidR="00E62937" w:rsidRPr="0055314F">
        <w:t>the same is not true in</w:t>
      </w:r>
      <w:r w:rsidR="00CD2325" w:rsidRPr="0055314F">
        <w:t xml:space="preserve"> poor ones, just as standard Stolper-Samuelson logic suggests.</w:t>
      </w:r>
      <w:r w:rsidR="001E32E9">
        <w:rPr>
          <w:rStyle w:val="FootnoteReference"/>
        </w:rPr>
        <w:footnoteReference w:id="61"/>
      </w:r>
      <w:r w:rsidR="00522D7C" w:rsidRPr="0055314F">
        <w:t xml:space="preserve"> While 61</w:t>
      </w:r>
      <w:r w:rsidR="00CB33C2">
        <w:t xml:space="preserve"> per cent</w:t>
      </w:r>
      <w:r w:rsidR="00522D7C" w:rsidRPr="0055314F">
        <w:t xml:space="preserve"> of Chinese survey respondents believe that trade increases wages, only 17</w:t>
      </w:r>
      <w:r w:rsidR="00CB33C2">
        <w:t xml:space="preserve"> per cent</w:t>
      </w:r>
      <w:r w:rsidR="00522D7C" w:rsidRPr="0055314F">
        <w:t xml:space="preserve"> of Americans take the same view; 45</w:t>
      </w:r>
      <w:r w:rsidR="00CB33C2">
        <w:t xml:space="preserve"> per cent</w:t>
      </w:r>
      <w:r w:rsidR="00522D7C" w:rsidRPr="0055314F">
        <w:t xml:space="preserve"> of American respondents, but only 12</w:t>
      </w:r>
      <w:r w:rsidR="00CB33C2">
        <w:t xml:space="preserve"> per cent</w:t>
      </w:r>
      <w:r w:rsidR="00522D7C" w:rsidRPr="0055314F">
        <w:t xml:space="preserve"> of Chinese respondents, think that trade lowers wages.</w:t>
      </w:r>
      <w:r w:rsidR="001E32E9">
        <w:rPr>
          <w:rStyle w:val="FootnoteReference"/>
        </w:rPr>
        <w:footnoteReference w:id="62"/>
      </w:r>
      <w:r w:rsidR="00522D7C" w:rsidRPr="0055314F">
        <w:t xml:space="preserve"> </w:t>
      </w:r>
    </w:p>
    <w:p w14:paraId="57D059BD" w14:textId="77777777" w:rsidR="00FC7825" w:rsidRPr="0055314F" w:rsidRDefault="00FC7825" w:rsidP="006E7F7E">
      <w:pPr>
        <w:spacing w:line="480" w:lineRule="auto"/>
        <w:jc w:val="both"/>
      </w:pPr>
    </w:p>
    <w:p w14:paraId="7A4F99B6" w14:textId="670573BD" w:rsidR="00412AD3" w:rsidRPr="0055314F" w:rsidRDefault="00522D7C" w:rsidP="006E7F7E">
      <w:pPr>
        <w:spacing w:line="480" w:lineRule="auto"/>
        <w:jc w:val="both"/>
      </w:pPr>
      <w:r w:rsidRPr="0055314F">
        <w:t>It is unsurprising that populist politicians in rich countries are today latching onto the grievances of unskilled workers in the search for votes</w:t>
      </w:r>
      <w:r w:rsidR="008D40B7" w:rsidRPr="0055314F">
        <w:t>, and promoting protectionism,</w:t>
      </w:r>
      <w:r w:rsidR="00E62937" w:rsidRPr="0055314F">
        <w:t xml:space="preserve"> </w:t>
      </w:r>
      <w:r w:rsidR="00EA628E">
        <w:t xml:space="preserve">which </w:t>
      </w:r>
      <w:r w:rsidR="00EA628E">
        <w:lastRenderedPageBreak/>
        <w:t>as Rodrik points out can easily be framed in an “us versus them” manner.</w:t>
      </w:r>
      <w:r w:rsidR="00753F17">
        <w:rPr>
          <w:rStyle w:val="FootnoteReference"/>
        </w:rPr>
        <w:footnoteReference w:id="63"/>
      </w:r>
      <w:r w:rsidR="00EA628E">
        <w:t xml:space="preserve"> B</w:t>
      </w:r>
      <w:r w:rsidR="00E62937" w:rsidRPr="0055314F">
        <w:t>ut</w:t>
      </w:r>
      <w:r w:rsidRPr="0055314F">
        <w:t xml:space="preserve"> </w:t>
      </w:r>
      <w:r w:rsidR="00E62937" w:rsidRPr="0055314F">
        <w:t>s</w:t>
      </w:r>
      <w:r w:rsidRPr="0055314F">
        <w:t>uch electoral ploys would be unsuccessful in countries where workers felt that globalization was benefiting them.</w:t>
      </w:r>
      <w:r w:rsidR="00E62937" w:rsidRPr="0055314F">
        <w:t xml:space="preserve"> Demagoguery and protectionism may sometimes go hand in hand, but they are logically distinct categories and whether they do or not is entirely circumstantial.</w:t>
      </w:r>
      <w:r w:rsidR="00D74A5D">
        <w:rPr>
          <w:rStyle w:val="FootnoteReference"/>
        </w:rPr>
        <w:footnoteReference w:id="64"/>
      </w:r>
    </w:p>
    <w:p w14:paraId="55F1FF37" w14:textId="77777777" w:rsidR="00E2772C" w:rsidRPr="0055314F" w:rsidRDefault="00E2772C" w:rsidP="006E7F7E">
      <w:pPr>
        <w:spacing w:line="480" w:lineRule="auto"/>
        <w:jc w:val="both"/>
        <w:rPr>
          <w:b/>
          <w:bCs/>
        </w:rPr>
      </w:pPr>
    </w:p>
    <w:p w14:paraId="63AA817E" w14:textId="3B53598E" w:rsidR="00D350AF" w:rsidRPr="0055314F" w:rsidRDefault="00571D00" w:rsidP="006E7F7E">
      <w:pPr>
        <w:spacing w:line="480" w:lineRule="auto"/>
        <w:jc w:val="both"/>
        <w:rPr>
          <w:b/>
          <w:bCs/>
        </w:rPr>
      </w:pPr>
      <w:r>
        <w:rPr>
          <w:b/>
          <w:bCs/>
        </w:rPr>
        <w:t>IV</w:t>
      </w:r>
      <w:r w:rsidR="00D350AF" w:rsidRPr="0055314F">
        <w:rPr>
          <w:b/>
          <w:bCs/>
        </w:rPr>
        <w:t xml:space="preserve">. </w:t>
      </w:r>
      <w:r>
        <w:rPr>
          <w:b/>
          <w:bCs/>
        </w:rPr>
        <w:t>POPULISM IN THE</w:t>
      </w:r>
      <w:r w:rsidR="00D350AF" w:rsidRPr="0055314F">
        <w:rPr>
          <w:b/>
          <w:bCs/>
        </w:rPr>
        <w:t xml:space="preserve"> 1930s</w:t>
      </w:r>
    </w:p>
    <w:p w14:paraId="55D1AE18" w14:textId="6810B79E" w:rsidR="00EB43B0" w:rsidRPr="0055314F" w:rsidRDefault="00EB43B0" w:rsidP="006E7F7E">
      <w:pPr>
        <w:spacing w:line="480" w:lineRule="auto"/>
        <w:jc w:val="both"/>
        <w:rPr>
          <w:b/>
          <w:bCs/>
        </w:rPr>
      </w:pPr>
    </w:p>
    <w:p w14:paraId="10FF17EC" w14:textId="66A3E071" w:rsidR="00FC7825" w:rsidRDefault="00EB43B0" w:rsidP="006E7F7E">
      <w:pPr>
        <w:spacing w:line="480" w:lineRule="auto"/>
        <w:jc w:val="both"/>
      </w:pPr>
      <w:r w:rsidRPr="0055314F">
        <w:t>While the term “populist” may have its origins in the late nineteenth century, the economic, social</w:t>
      </w:r>
      <w:r w:rsidR="00F7634C" w:rsidRPr="0055314F">
        <w:t>,</w:t>
      </w:r>
      <w:r w:rsidRPr="0055314F">
        <w:t xml:space="preserve"> and political cris</w:t>
      </w:r>
      <w:r w:rsidR="006931BC" w:rsidRPr="0055314F">
        <w:t>e</w:t>
      </w:r>
      <w:r w:rsidRPr="0055314F">
        <w:t>s of the Great Depression propelled a number of</w:t>
      </w:r>
      <w:r w:rsidR="0062015B">
        <w:t xml:space="preserve"> genuinely</w:t>
      </w:r>
      <w:r w:rsidRPr="0055314F">
        <w:t xml:space="preserve"> populist movements to political prominence, with some ultimately being swept into power.</w:t>
      </w:r>
      <w:r w:rsidR="006931BC" w:rsidRPr="0055314F">
        <w:rPr>
          <w:rStyle w:val="FootnoteReference"/>
        </w:rPr>
        <w:footnoteReference w:id="65"/>
      </w:r>
      <w:r w:rsidR="00CE02B4" w:rsidRPr="0055314F">
        <w:t xml:space="preserve"> </w:t>
      </w:r>
      <w:r w:rsidRPr="0055314F">
        <w:t xml:space="preserve">While </w:t>
      </w:r>
      <w:r w:rsidR="00826E05" w:rsidRPr="0055314F">
        <w:t xml:space="preserve">the </w:t>
      </w:r>
      <w:r w:rsidRPr="0055314F">
        <w:t xml:space="preserve">German and Italian </w:t>
      </w:r>
      <w:r w:rsidR="000F3C07" w:rsidRPr="0055314F">
        <w:t>cases</w:t>
      </w:r>
      <w:r w:rsidRPr="0055314F">
        <w:t xml:space="preserve"> are well-documented, </w:t>
      </w:r>
      <w:r w:rsidR="000F3C07" w:rsidRPr="0055314F">
        <w:t>the rise of interwar populism</w:t>
      </w:r>
      <w:r w:rsidRPr="0055314F">
        <w:t xml:space="preserve"> was </w:t>
      </w:r>
      <w:r w:rsidR="000F3C07" w:rsidRPr="0055314F">
        <w:t xml:space="preserve">far </w:t>
      </w:r>
      <w:r w:rsidRPr="0055314F">
        <w:t>more widespread</w:t>
      </w:r>
      <w:r w:rsidR="00295A8C">
        <w:t>:</w:t>
      </w:r>
      <w:r w:rsidR="00B55475">
        <w:t xml:space="preserve"> Luebbert and Berg-Schlosser and Mitchell</w:t>
      </w:r>
      <w:r w:rsidR="003D533C">
        <w:t>,</w:t>
      </w:r>
      <w:r w:rsidR="00B55475">
        <w:t xml:space="preserve"> </w:t>
      </w:r>
      <w:r w:rsidR="00295A8C">
        <w:t>among others</w:t>
      </w:r>
      <w:r w:rsidR="003D533C">
        <w:t>,</w:t>
      </w:r>
      <w:r w:rsidR="00295A8C">
        <w:t xml:space="preserve"> provide</w:t>
      </w:r>
      <w:r w:rsidR="00B55475">
        <w:t xml:space="preserve"> wide-ranging analyses of the European experience</w:t>
      </w:r>
      <w:r w:rsidRPr="0055314F">
        <w:t>.</w:t>
      </w:r>
      <w:r w:rsidR="003D533C">
        <w:rPr>
          <w:rStyle w:val="FootnoteReference"/>
        </w:rPr>
        <w:footnoteReference w:id="66"/>
      </w:r>
      <w:r w:rsidRPr="0055314F">
        <w:t xml:space="preserve"> In a paper co-authored with Barry </w:t>
      </w:r>
      <w:proofErr w:type="spellStart"/>
      <w:r w:rsidRPr="0055314F">
        <w:t>Eichengreen</w:t>
      </w:r>
      <w:proofErr w:type="spellEnd"/>
      <w:r w:rsidRPr="0055314F">
        <w:t xml:space="preserve">, we studied the rise </w:t>
      </w:r>
      <w:r w:rsidR="006C525D" w:rsidRPr="0055314F">
        <w:t>in the 1930s of what Sartori termed</w:t>
      </w:r>
      <w:r w:rsidRPr="0055314F">
        <w:t xml:space="preserve"> </w:t>
      </w:r>
      <w:r w:rsidR="006C525D" w:rsidRPr="0055314F">
        <w:t xml:space="preserve">anti-system parties: parties seeking to change not </w:t>
      </w:r>
      <w:r w:rsidR="009A0594">
        <w:t xml:space="preserve">only </w:t>
      </w:r>
      <w:r w:rsidR="006C525D" w:rsidRPr="0055314F">
        <w:t>the government but the system of government.</w:t>
      </w:r>
      <w:r w:rsidR="003D533C">
        <w:rPr>
          <w:rStyle w:val="FootnoteReference"/>
        </w:rPr>
        <w:footnoteReference w:id="67"/>
      </w:r>
      <w:r w:rsidR="006C525D" w:rsidRPr="0055314F">
        <w:t xml:space="preserve"> These included, on the right, parties such as the German National Socialists, the Hungarian </w:t>
      </w:r>
      <w:r w:rsidR="00E53154">
        <w:t>Arrow</w:t>
      </w:r>
      <w:r w:rsidR="00E77FE1">
        <w:t xml:space="preserve"> </w:t>
      </w:r>
      <w:r w:rsidR="006C525D" w:rsidRPr="0055314F">
        <w:t xml:space="preserve">Cross, and the Romanian Iron Guard, and on the left communist movements in many </w:t>
      </w:r>
      <w:r w:rsidR="006C525D" w:rsidRPr="0055314F">
        <w:lastRenderedPageBreak/>
        <w:t>countries.</w:t>
      </w:r>
      <w:r w:rsidR="003D533C">
        <w:rPr>
          <w:rStyle w:val="FootnoteReference"/>
        </w:rPr>
        <w:footnoteReference w:id="68"/>
      </w:r>
      <w:r w:rsidR="006C525D" w:rsidRPr="0055314F">
        <w:t xml:space="preserve"> </w:t>
      </w:r>
      <w:r w:rsidR="00CE02B4" w:rsidRPr="0055314F">
        <w:t xml:space="preserve">Extremists on both left and right saw their vote share grow during the 1930s. Curiously, while the Depression was a crisis of capitalism par excellence, the far right benefitted more often than the far left, although there were exceptions to </w:t>
      </w:r>
      <w:r w:rsidR="00F7634C" w:rsidRPr="0055314F">
        <w:t>the</w:t>
      </w:r>
      <w:r w:rsidR="00CE02B4" w:rsidRPr="0055314F">
        <w:t xml:space="preserve"> rule (notably in Bulgaria, Chile, France, and Greece). </w:t>
      </w:r>
      <w:r w:rsidR="00FB4E0F" w:rsidRPr="0055314F">
        <w:t xml:space="preserve">This seems to be a more general phenomenon: using data for 20 countries over 140 years, Funke et al. find that extreme right-wing parties tend to do well after financial crises. In our work we therefore focussed </w:t>
      </w:r>
      <w:r w:rsidR="000C5B4C" w:rsidRPr="0055314F">
        <w:t xml:space="preserve">in particular on right-wing </w:t>
      </w:r>
      <w:r w:rsidR="00FB4E0F" w:rsidRPr="0055314F">
        <w:t>anti-system</w:t>
      </w:r>
      <w:r w:rsidR="000C5B4C" w:rsidRPr="0055314F">
        <w:t xml:space="preserve"> parties</w:t>
      </w:r>
      <w:r w:rsidR="00CE02B4" w:rsidRPr="0055314F">
        <w:t>.</w:t>
      </w:r>
      <w:r w:rsidR="003D533C">
        <w:rPr>
          <w:rStyle w:val="FootnoteReference"/>
        </w:rPr>
        <w:footnoteReference w:id="69"/>
      </w:r>
      <w:r w:rsidR="00CE02B4" w:rsidRPr="0055314F">
        <w:t xml:space="preserve"> </w:t>
      </w:r>
    </w:p>
    <w:p w14:paraId="736384A4" w14:textId="77777777" w:rsidR="00FC7825" w:rsidRDefault="00FC7825" w:rsidP="006E7F7E">
      <w:pPr>
        <w:spacing w:line="480" w:lineRule="auto"/>
        <w:jc w:val="both"/>
      </w:pPr>
    </w:p>
    <w:p w14:paraId="64610DA0" w14:textId="522B1302" w:rsidR="00EB43B0" w:rsidRPr="0055314F" w:rsidRDefault="00CE02B4" w:rsidP="006E7F7E">
      <w:pPr>
        <w:spacing w:line="480" w:lineRule="auto"/>
        <w:jc w:val="both"/>
      </w:pPr>
      <w:r w:rsidRPr="0055314F">
        <w:t xml:space="preserve">Being on the losing side in World War I boosted communist support in 1919, and support for fascism a decade later. Political systems </w:t>
      </w:r>
      <w:r w:rsidR="000C5B4C" w:rsidRPr="0055314F">
        <w:t>confronting</w:t>
      </w:r>
      <w:r w:rsidRPr="0055314F">
        <w:t xml:space="preserve"> new parties</w:t>
      </w:r>
      <w:r w:rsidR="000C5B4C" w:rsidRPr="0055314F">
        <w:t xml:space="preserve"> with</w:t>
      </w:r>
      <w:r w:rsidRPr="0055314F">
        <w:t xml:space="preserve"> a lower threshold</w:t>
      </w:r>
      <w:r w:rsidR="000C5B4C" w:rsidRPr="0055314F">
        <w:t xml:space="preserve"> </w:t>
      </w:r>
      <w:r w:rsidR="00826E05" w:rsidRPr="0055314F">
        <w:t>before</w:t>
      </w:r>
      <w:r w:rsidRPr="0055314F">
        <w:t xml:space="preserve"> </w:t>
      </w:r>
      <w:r w:rsidR="00826E05" w:rsidRPr="0055314F">
        <w:t>they could</w:t>
      </w:r>
      <w:r w:rsidRPr="0055314F">
        <w:t xml:space="preserve"> gain parliamentary representation saw </w:t>
      </w:r>
      <w:r w:rsidR="000C5B4C" w:rsidRPr="0055314F">
        <w:t xml:space="preserve">not only more extremist parliamentarians </w:t>
      </w:r>
      <w:r w:rsidR="00F23B8A" w:rsidRPr="0055314F">
        <w:t xml:space="preserve">for a given voting pattern, </w:t>
      </w:r>
      <w:r w:rsidR="000C5B4C" w:rsidRPr="0055314F">
        <w:t xml:space="preserve">but a </w:t>
      </w:r>
      <w:r w:rsidRPr="0055314F">
        <w:t xml:space="preserve">higher </w:t>
      </w:r>
      <w:r w:rsidR="000C5B4C" w:rsidRPr="0055314F">
        <w:t>extremist vote share</w:t>
      </w:r>
      <w:r w:rsidR="00F23B8A" w:rsidRPr="0055314F">
        <w:t xml:space="preserve"> in the first place</w:t>
      </w:r>
      <w:r w:rsidR="000C5B4C" w:rsidRPr="0055314F">
        <w:t>. Countries with a longer history of democracy seemed to gain a certain immunity from the extremist virus, consistent with theories stressing the stabilising impact of social and political capital.</w:t>
      </w:r>
      <w:r w:rsidR="003F0C2B">
        <w:rPr>
          <w:rStyle w:val="FootnoteReference"/>
        </w:rPr>
        <w:footnoteReference w:id="70"/>
      </w:r>
      <w:r w:rsidR="000C5B4C" w:rsidRPr="0055314F">
        <w:t xml:space="preserve"> And there was a strong correlation between sustained, poor economic performance and voting for right-wing extremists. Economics mattered, but so did various historical and institutional factors.</w:t>
      </w:r>
    </w:p>
    <w:p w14:paraId="2331FE17" w14:textId="4FED768C" w:rsidR="00FD3BF4" w:rsidRPr="0055314F" w:rsidRDefault="00FD3BF4" w:rsidP="006E7F7E">
      <w:pPr>
        <w:spacing w:line="480" w:lineRule="auto"/>
        <w:jc w:val="both"/>
      </w:pPr>
    </w:p>
    <w:p w14:paraId="63E9A98E" w14:textId="5FF3679E" w:rsidR="00FD3BF4" w:rsidRPr="0055314F" w:rsidRDefault="00FD3BF4" w:rsidP="006E7F7E">
      <w:pPr>
        <w:spacing w:line="480" w:lineRule="auto"/>
        <w:jc w:val="both"/>
      </w:pPr>
      <w:r w:rsidRPr="0055314F">
        <w:t>What groups supported populists in the 1930s? While</w:t>
      </w:r>
      <w:r w:rsidR="00953673" w:rsidRPr="0055314F">
        <w:t xml:space="preserve"> the stereotypical</w:t>
      </w:r>
      <w:r w:rsidRPr="0055314F">
        <w:t xml:space="preserve"> populist voter in </w:t>
      </w:r>
      <w:r w:rsidR="00953673" w:rsidRPr="0055314F">
        <w:t xml:space="preserve">a </w:t>
      </w:r>
      <w:r w:rsidRPr="0055314F">
        <w:t>rich countr</w:t>
      </w:r>
      <w:r w:rsidR="00953673" w:rsidRPr="0055314F">
        <w:t>y</w:t>
      </w:r>
      <w:r w:rsidRPr="0055314F">
        <w:t xml:space="preserve"> </w:t>
      </w:r>
      <w:r w:rsidR="00953673" w:rsidRPr="0055314F">
        <w:t xml:space="preserve">today </w:t>
      </w:r>
      <w:r w:rsidRPr="0055314F">
        <w:t xml:space="preserve">may </w:t>
      </w:r>
      <w:r w:rsidR="00953673" w:rsidRPr="0055314F">
        <w:t xml:space="preserve">be a blue collar worker in a declining industrial region, we should beware of assuming that the same was true during the interwar period. Blue collar workers </w:t>
      </w:r>
      <w:r w:rsidR="00DE3C8F">
        <w:t>did</w:t>
      </w:r>
      <w:r w:rsidR="009A6806" w:rsidRPr="0055314F">
        <w:t xml:space="preserve"> not</w:t>
      </w:r>
      <w:r w:rsidR="00953673" w:rsidRPr="0055314F">
        <w:t xml:space="preserve"> </w:t>
      </w:r>
      <w:r w:rsidR="009A6806" w:rsidRPr="0055314F">
        <w:t xml:space="preserve">disproportionately vote for the Nazis in Germany, for example, and when they were </w:t>
      </w:r>
      <w:r w:rsidR="009A6806" w:rsidRPr="0055314F">
        <w:lastRenderedPageBreak/>
        <w:t>laid off it was to</w:t>
      </w:r>
      <w:r w:rsidR="00F23B8A" w:rsidRPr="0055314F">
        <w:t>wards</w:t>
      </w:r>
      <w:r w:rsidR="009A6806" w:rsidRPr="0055314F">
        <w:t xml:space="preserve"> the Communists rather than the extreme right </w:t>
      </w:r>
      <w:r w:rsidR="00F23B8A" w:rsidRPr="0055314F">
        <w:t>that</w:t>
      </w:r>
      <w:r w:rsidR="009A6806" w:rsidRPr="0055314F">
        <w:t xml:space="preserve"> </w:t>
      </w:r>
      <w:r w:rsidR="00DE3C8F">
        <w:t>those with extremist inclinations</w:t>
      </w:r>
      <w:r w:rsidR="009A6806" w:rsidRPr="0055314F">
        <w:t xml:space="preserve"> turned.  Rather, it was what King et al. term the </w:t>
      </w:r>
      <w:r w:rsidR="009176F8">
        <w:t>‘</w:t>
      </w:r>
      <w:r w:rsidR="009A6806" w:rsidRPr="0055314F">
        <w:t>working poor</w:t>
      </w:r>
      <w:r w:rsidR="009176F8">
        <w:t>’</w:t>
      </w:r>
      <w:r w:rsidR="009A6806" w:rsidRPr="0055314F">
        <w:t xml:space="preserve"> –self-employed shopkeepers, artisans, professionals, small farmers, and so on -- who were the mainspring of Nazi electoral support.</w:t>
      </w:r>
      <w:r w:rsidR="00B71B48">
        <w:rPr>
          <w:rStyle w:val="FootnoteReference"/>
        </w:rPr>
        <w:footnoteReference w:id="71"/>
      </w:r>
      <w:r w:rsidR="009A6806" w:rsidRPr="0055314F">
        <w:t xml:space="preserve"> When the focus is on people who went one step further and actually joined the party, on average it was those who were better educated and enjoyed a higher occupational status who seem to have made that decision.</w:t>
      </w:r>
      <w:r w:rsidR="00B71B48">
        <w:rPr>
          <w:rStyle w:val="FootnoteReference"/>
        </w:rPr>
        <w:footnoteReference w:id="72"/>
      </w:r>
      <w:r w:rsidR="009A6806" w:rsidRPr="0055314F">
        <w:t xml:space="preserve"> </w:t>
      </w:r>
      <w:r w:rsidR="00F23B8A" w:rsidRPr="0055314F">
        <w:t xml:space="preserve">If the Nazis are regarded as populist, then arguments linking populism with poor education and low occupational status do not fare </w:t>
      </w:r>
      <w:r w:rsidR="002A59EE">
        <w:t xml:space="preserve">particularly </w:t>
      </w:r>
      <w:r w:rsidR="00F23B8A" w:rsidRPr="0055314F">
        <w:t xml:space="preserve">well in interwar Germany. </w:t>
      </w:r>
      <w:r w:rsidR="00F7634C" w:rsidRPr="0055314F">
        <w:t>As</w:t>
      </w:r>
      <w:r w:rsidR="002A59EE">
        <w:t xml:space="preserve"> a side note, as</w:t>
      </w:r>
      <w:r w:rsidR="00F7634C" w:rsidRPr="0055314F">
        <w:t xml:space="preserve"> far as culture is concerned</w:t>
      </w:r>
      <w:r w:rsidR="002A59EE">
        <w:t>,</w:t>
      </w:r>
      <w:r w:rsidR="009A6806" w:rsidRPr="0055314F">
        <w:t xml:space="preserve"> </w:t>
      </w:r>
      <w:r w:rsidR="00F7634C" w:rsidRPr="0055314F">
        <w:t xml:space="preserve">in </w:t>
      </w:r>
      <w:r w:rsidR="00EB26B1" w:rsidRPr="0055314F">
        <w:t>German</w:t>
      </w:r>
      <w:r w:rsidR="00F7634C" w:rsidRPr="0055314F">
        <w:t>y</w:t>
      </w:r>
      <w:r w:rsidR="00EB26B1" w:rsidRPr="0055314F">
        <w:t xml:space="preserve"> </w:t>
      </w:r>
      <w:r w:rsidR="009A6806" w:rsidRPr="0055314F">
        <w:t>Protestants were more likely than Catholics to support the Nazis.</w:t>
      </w:r>
    </w:p>
    <w:p w14:paraId="1DA47C1A" w14:textId="4A39BD7F" w:rsidR="009A6806" w:rsidRPr="0055314F" w:rsidRDefault="009A6806" w:rsidP="006E7F7E">
      <w:pPr>
        <w:spacing w:line="480" w:lineRule="auto"/>
        <w:jc w:val="both"/>
      </w:pPr>
    </w:p>
    <w:p w14:paraId="3767A8A9" w14:textId="005278E7" w:rsidR="002031C9" w:rsidRDefault="00A27E65" w:rsidP="002031C9">
      <w:pPr>
        <w:spacing w:line="480" w:lineRule="auto"/>
        <w:jc w:val="both"/>
      </w:pPr>
      <w:r w:rsidRPr="0055314F">
        <w:t xml:space="preserve">The German case may be </w:t>
      </w:r>
      <w:r w:rsidR="00EB26B1" w:rsidRPr="0055314F">
        <w:t xml:space="preserve">well-known, but what about populism elsewhere? Turning </w:t>
      </w:r>
      <w:r w:rsidR="00A3242C" w:rsidRPr="0055314F">
        <w:t xml:space="preserve">once </w:t>
      </w:r>
      <w:r w:rsidR="00EB26B1" w:rsidRPr="0055314F">
        <w:t>again to the United States, there figures such as Huey Long</w:t>
      </w:r>
      <w:r w:rsidR="00FC7825">
        <w:t xml:space="preserve"> and </w:t>
      </w:r>
      <w:r w:rsidR="00FC7825" w:rsidRPr="0055314F">
        <w:t xml:space="preserve">Fr Charles </w:t>
      </w:r>
      <w:r w:rsidR="00C26802" w:rsidRPr="0055314F">
        <w:t>Coughlin</w:t>
      </w:r>
      <w:r w:rsidR="00C26802">
        <w:t xml:space="preserve"> </w:t>
      </w:r>
      <w:r w:rsidR="00C26802" w:rsidRPr="0055314F">
        <w:t>attracted</w:t>
      </w:r>
      <w:r w:rsidR="00EB26B1" w:rsidRPr="0055314F">
        <w:t xml:space="preserve"> mass support. A Canadian-born priest from Royal Oak Michigan, Coughlin pioneered the new medium of radio to transmit his message to as many as 30 million weekly listeners.</w:t>
      </w:r>
      <w:r w:rsidR="00B71B48">
        <w:rPr>
          <w:rStyle w:val="FootnoteReference"/>
        </w:rPr>
        <w:footnoteReference w:id="73"/>
      </w:r>
      <w:r w:rsidR="00EB26B1" w:rsidRPr="0055314F">
        <w:t xml:space="preserve"> The </w:t>
      </w:r>
      <w:r w:rsidR="006930DD">
        <w:t>“</w:t>
      </w:r>
      <w:r w:rsidR="00EB26B1" w:rsidRPr="0055314F">
        <w:t>Radio Priest</w:t>
      </w:r>
      <w:r w:rsidR="006930DD">
        <w:t>”</w:t>
      </w:r>
      <w:r w:rsidR="00EB26B1" w:rsidRPr="0055314F">
        <w:t xml:space="preserve"> used </w:t>
      </w:r>
      <w:r w:rsidR="006E7F7E" w:rsidRPr="0055314F">
        <w:t xml:space="preserve">his platform to attack </w:t>
      </w:r>
      <w:r w:rsidR="006930DD">
        <w:t>“</w:t>
      </w:r>
      <w:r w:rsidR="006E7F7E" w:rsidRPr="0055314F">
        <w:t>international bankers</w:t>
      </w:r>
      <w:r w:rsidR="006930DD">
        <w:t>”</w:t>
      </w:r>
      <w:r w:rsidR="006E7F7E" w:rsidRPr="0055314F">
        <w:t xml:space="preserve"> (an often-exploited antisemitic trope) and </w:t>
      </w:r>
      <w:r w:rsidR="00BF3156" w:rsidRPr="00EB26B1">
        <w:t>advocated fighting deflation through the coinage of silver, echoing the calls of Bryan and the Populists of a generation before.</w:t>
      </w:r>
      <w:r w:rsidR="008D4A8E">
        <w:rPr>
          <w:rStyle w:val="FootnoteReference"/>
        </w:rPr>
        <w:footnoteReference w:id="74"/>
      </w:r>
      <w:r w:rsidR="00BF3156" w:rsidRPr="00EB26B1">
        <w:t xml:space="preserve"> By the late 1930s Coughlin’s broadcast</w:t>
      </w:r>
      <w:r w:rsidR="00BF3156">
        <w:t>s</w:t>
      </w:r>
      <w:r w:rsidR="00BF3156" w:rsidRPr="00EB26B1">
        <w:t xml:space="preserve"> had become more extreme. Through his magazine, </w:t>
      </w:r>
      <w:r w:rsidR="00BF3156" w:rsidRPr="00EB26B1">
        <w:rPr>
          <w:i/>
          <w:iCs/>
        </w:rPr>
        <w:t>Social Justice</w:t>
      </w:r>
      <w:r w:rsidR="00BF3156" w:rsidRPr="00EB26B1">
        <w:t xml:space="preserve">, Coughlin openly expressed praise for European fascist regimes and propagated antisemitic conspiracy theories, serially publishing the fraudulent </w:t>
      </w:r>
      <w:r w:rsidR="00BF3156" w:rsidRPr="00EB26B1">
        <w:rPr>
          <w:i/>
          <w:iCs/>
        </w:rPr>
        <w:t>Protocols of the Elders of Zion</w:t>
      </w:r>
      <w:r w:rsidR="00BF3156" w:rsidRPr="00EB26B1">
        <w:t>.</w:t>
      </w:r>
      <w:bookmarkStart w:id="0" w:name="_Hlk127865565"/>
      <w:r w:rsidR="005A5B85">
        <w:rPr>
          <w:rStyle w:val="FootnoteReference"/>
        </w:rPr>
        <w:footnoteReference w:id="75"/>
      </w:r>
    </w:p>
    <w:p w14:paraId="73539358" w14:textId="0714DF66" w:rsidR="00232230" w:rsidRDefault="00232230" w:rsidP="002031C9">
      <w:pPr>
        <w:spacing w:line="480" w:lineRule="auto"/>
        <w:jc w:val="both"/>
      </w:pPr>
    </w:p>
    <w:p w14:paraId="63C97229" w14:textId="4891F95D" w:rsidR="00232230" w:rsidRDefault="00232230" w:rsidP="00232230">
      <w:pPr>
        <w:spacing w:line="480" w:lineRule="auto"/>
        <w:jc w:val="both"/>
      </w:pPr>
      <w:r w:rsidRPr="00EB26B1">
        <w:t>While US populists in the 1930s may not have been successful electorally, they have nonetheless been credited with shifting Roosevelt’s policies in a more redistributive direction after 1935, although to what extent is unclear.</w:t>
      </w:r>
      <w:r w:rsidR="00207A92">
        <w:rPr>
          <w:rStyle w:val="FootnoteReference"/>
        </w:rPr>
        <w:footnoteReference w:id="76"/>
      </w:r>
      <w:r w:rsidRPr="00EB26B1">
        <w:t xml:space="preserve"> Both Long and Coughlin supported Roosevelt in 1932 </w:t>
      </w:r>
      <w:r>
        <w:t xml:space="preserve">but </w:t>
      </w:r>
      <w:r w:rsidRPr="00EB26B1">
        <w:t>bec</w:t>
      </w:r>
      <w:r>
        <w:t>a</w:t>
      </w:r>
      <w:r w:rsidRPr="00EB26B1">
        <w:t xml:space="preserve">me disillusioned during his first </w:t>
      </w:r>
      <w:r w:rsidRPr="0055314F">
        <w:t>term.</w:t>
      </w:r>
      <w:r>
        <w:t xml:space="preserve"> </w:t>
      </w:r>
      <w:r w:rsidRPr="0055314F">
        <w:t>Wang</w:t>
      </w:r>
      <w:r w:rsidR="00207A92">
        <w:t xml:space="preserve"> </w:t>
      </w:r>
      <w:r w:rsidRPr="0055314F">
        <w:t>has recently argued that increased exposure to Coughlin’s radio broadcasts reduced Roosevelt’s vote share in 1936, increased support for pro-Nazi organisations in the late 1930s, and lowered purchases of War Bonds in the 1940s.</w:t>
      </w:r>
      <w:r w:rsidR="00207A92">
        <w:rPr>
          <w:rStyle w:val="FootnoteReference"/>
        </w:rPr>
        <w:footnoteReference w:id="77"/>
      </w:r>
      <w:r w:rsidRPr="0055314F">
        <w:t xml:space="preserve"> </w:t>
      </w:r>
    </w:p>
    <w:p w14:paraId="46CB0E97" w14:textId="77777777" w:rsidR="00232230" w:rsidRDefault="00232230" w:rsidP="002031C9">
      <w:pPr>
        <w:spacing w:line="480" w:lineRule="auto"/>
        <w:jc w:val="both"/>
      </w:pPr>
    </w:p>
    <w:p w14:paraId="46DA06C5" w14:textId="40BCCC03" w:rsidR="003E01CB" w:rsidRDefault="003E01CB" w:rsidP="003E01CB">
      <w:pPr>
        <w:spacing w:line="480" w:lineRule="auto"/>
        <w:jc w:val="both"/>
      </w:pPr>
      <w:r>
        <w:t>To what extent did the profiles of 1930s</w:t>
      </w:r>
      <w:r w:rsidRPr="0055314F">
        <w:t xml:space="preserve"> US populists match </w:t>
      </w:r>
      <w:r>
        <w:t>those</w:t>
      </w:r>
      <w:r w:rsidRPr="0055314F">
        <w:t xml:space="preserve"> of other populists of the time, or of populists today? An April 1938 Gallup poll asked a series of questions on Coughlin.</w:t>
      </w:r>
      <w:r w:rsidR="00207A92">
        <w:rPr>
          <w:rStyle w:val="FootnoteReference"/>
        </w:rPr>
        <w:footnoteReference w:id="78"/>
      </w:r>
      <w:r w:rsidRPr="0055314F">
        <w:t xml:space="preserve"> At the time of the poll, the US economy was experiencing a sharp downturn. Between the second quarter of 1937 and the first quarter of 1938, GDP per capita fell by 11</w:t>
      </w:r>
      <w:r>
        <w:t xml:space="preserve"> per cent</w:t>
      </w:r>
      <w:r w:rsidRPr="0055314F">
        <w:t xml:space="preserve"> and industrial production fell by 30</w:t>
      </w:r>
      <w:r>
        <w:t xml:space="preserve"> per cent</w:t>
      </w:r>
      <w:r w:rsidRPr="0055314F">
        <w:t>, with the period becoming known as the ‘recession within the depression’.</w:t>
      </w:r>
      <w:r w:rsidR="00D10154">
        <w:rPr>
          <w:rStyle w:val="FootnoteReference"/>
        </w:rPr>
        <w:footnoteReference w:id="79"/>
      </w:r>
      <w:r w:rsidRPr="0055314F">
        <w:t xml:space="preserve"> 26</w:t>
      </w:r>
      <w:r>
        <w:t xml:space="preserve"> per cent</w:t>
      </w:r>
      <w:r w:rsidRPr="0055314F">
        <w:t xml:space="preserve"> of respondents said that they had listened regularly to </w:t>
      </w:r>
      <w:r>
        <w:t>him</w:t>
      </w:r>
      <w:r w:rsidRPr="0055314F">
        <w:t xml:space="preserve"> before the 1936 election, and 22</w:t>
      </w:r>
      <w:r>
        <w:t xml:space="preserve"> per cent</w:t>
      </w:r>
      <w:r w:rsidRPr="0055314F">
        <w:t xml:space="preserve"> approved of what he said.</w:t>
      </w:r>
      <w:r w:rsidRPr="0055314F">
        <w:rPr>
          <w:vertAlign w:val="superscript"/>
        </w:rPr>
        <w:footnoteReference w:id="80"/>
      </w:r>
      <w:r w:rsidRPr="0055314F">
        <w:t xml:space="preserve"> The cross-tabulations in Table </w:t>
      </w:r>
      <w:r>
        <w:t>2</w:t>
      </w:r>
      <w:r w:rsidRPr="0055314F">
        <w:t xml:space="preserve"> give some insight into the characteristics of Coughlin supporters, by dividing respondents into those who indicated approval of </w:t>
      </w:r>
      <w:r>
        <w:t>his</w:t>
      </w:r>
      <w:r w:rsidRPr="0055314F">
        <w:t xml:space="preserve"> message and those who did not. </w:t>
      </w:r>
    </w:p>
    <w:p w14:paraId="3542907A" w14:textId="77777777" w:rsidR="003E01CB" w:rsidRPr="0055314F" w:rsidRDefault="003E01CB" w:rsidP="003E01CB">
      <w:pPr>
        <w:spacing w:line="480" w:lineRule="auto"/>
        <w:jc w:val="both"/>
      </w:pPr>
    </w:p>
    <w:p w14:paraId="55AD7B26" w14:textId="77777777" w:rsidR="003E01CB" w:rsidRPr="0055314F" w:rsidRDefault="003E01CB" w:rsidP="003E01CB">
      <w:pPr>
        <w:spacing w:line="480" w:lineRule="auto"/>
        <w:jc w:val="both"/>
      </w:pPr>
      <w:r w:rsidRPr="0055314F">
        <w:lastRenderedPageBreak/>
        <w:t xml:space="preserve">Coughlin supporters were </w:t>
      </w:r>
      <w:r w:rsidRPr="003E01CB">
        <w:t>more inclined to be male</w:t>
      </w:r>
      <w:r w:rsidRPr="0055314F">
        <w:t xml:space="preserve"> and over the age of forty. He found greater approval among blue collar </w:t>
      </w:r>
      <w:r>
        <w:t>workers</w:t>
      </w:r>
      <w:r w:rsidRPr="0055314F">
        <w:t xml:space="preserve"> and less among farmers. There was also a strong geographic dimension to his support, with Coughlin supporters showing a greater concentration in the Northeast and Midwest, while being underrepresented in the South and West of the country. The urban slant of his support is also evident.</w:t>
      </w:r>
    </w:p>
    <w:p w14:paraId="7B5A510B" w14:textId="77777777" w:rsidR="003E01CB" w:rsidRPr="0055314F" w:rsidRDefault="003E01CB" w:rsidP="003E01CB">
      <w:pPr>
        <w:spacing w:line="480" w:lineRule="auto"/>
        <w:jc w:val="both"/>
      </w:pPr>
    </w:p>
    <w:p w14:paraId="52E416F2" w14:textId="038B9D69" w:rsidR="003E01CB" w:rsidRPr="0055314F" w:rsidRDefault="003E01CB" w:rsidP="003E01CB">
      <w:pPr>
        <w:spacing w:line="480" w:lineRule="auto"/>
        <w:jc w:val="both"/>
      </w:pPr>
      <w:r w:rsidRPr="0055314F">
        <w:t>Coughlin supporters</w:t>
      </w:r>
      <w:r>
        <w:t xml:space="preserve"> were economically disaffected – a</w:t>
      </w:r>
      <w:r w:rsidRPr="0055314F">
        <w:t xml:space="preserve"> </w:t>
      </w:r>
      <w:r>
        <w:t>‘</w:t>
      </w:r>
      <w:r w:rsidRPr="0055314F">
        <w:t>congregation of despair</w:t>
      </w:r>
      <w:r>
        <w:t>’.</w:t>
      </w:r>
      <w:r w:rsidR="00D10154">
        <w:rPr>
          <w:rStyle w:val="FootnoteReference"/>
        </w:rPr>
        <w:footnoteReference w:id="81"/>
      </w:r>
      <w:r w:rsidRPr="0055314F">
        <w:t xml:space="preserve"> </w:t>
      </w:r>
      <w:r>
        <w:t xml:space="preserve">They </w:t>
      </w:r>
      <w:r w:rsidRPr="0055314F">
        <w:t>were 13 percentage points more inclined to call the present state of the economy a depression rather than a recession</w:t>
      </w:r>
      <w:r>
        <w:t>. T</w:t>
      </w:r>
      <w:r w:rsidRPr="0055314F">
        <w:t xml:space="preserve">hey were more </w:t>
      </w:r>
      <w:r>
        <w:t>likely</w:t>
      </w:r>
      <w:r w:rsidRPr="0055314F">
        <w:t xml:space="preserve"> to expect inflation</w:t>
      </w:r>
      <w:r>
        <w:t xml:space="preserve">, and </w:t>
      </w:r>
      <w:r w:rsidRPr="0055314F">
        <w:t xml:space="preserve">markedly less </w:t>
      </w:r>
      <w:r>
        <w:t>likely</w:t>
      </w:r>
      <w:r w:rsidRPr="0055314F">
        <w:t xml:space="preserve"> to feel better off in 1938 than they had been in 1937, or relative to the depression of the early 1930</w:t>
      </w:r>
      <w:r>
        <w:t xml:space="preserve">s. </w:t>
      </w:r>
      <w:r w:rsidRPr="0055314F">
        <w:t xml:space="preserve">Coughlin supporters </w:t>
      </w:r>
      <w:r>
        <w:t xml:space="preserve">were </w:t>
      </w:r>
      <w:r w:rsidRPr="0055314F">
        <w:t>more inclined to blame the incumbent presidents of the time</w:t>
      </w:r>
      <w:r>
        <w:t xml:space="preserve"> </w:t>
      </w:r>
      <w:r w:rsidRPr="0055314F">
        <w:t>for the downturns of the 1930s.</w:t>
      </w:r>
      <w:r>
        <w:t xml:space="preserve"> They</w:t>
      </w:r>
      <w:r w:rsidRPr="0055314F">
        <w:t xml:space="preserve"> were just as likely to have voted for Roosevelt in 1936, but turned against the president following the election. They were more in favour of reform</w:t>
      </w:r>
      <w:r>
        <w:t>ing</w:t>
      </w:r>
      <w:r w:rsidRPr="0055314F">
        <w:t xml:space="preserve"> the current party system and leaned slightly conservative. Most striking perhaps is the view of 41</w:t>
      </w:r>
      <w:r>
        <w:t xml:space="preserve"> per cent</w:t>
      </w:r>
      <w:r w:rsidRPr="0055314F">
        <w:t xml:space="preserve"> of Coughlin supporters that the policies and acts of the Roosevelt administration might lead to dictatorship. Clearly, there was deep mistrust in the administration among this constituency.</w:t>
      </w:r>
    </w:p>
    <w:p w14:paraId="6639C1E3" w14:textId="77777777" w:rsidR="00232230" w:rsidRDefault="00232230">
      <w:pPr>
        <w:rPr>
          <w:b/>
          <w:bCs/>
        </w:rPr>
      </w:pPr>
      <w:r>
        <w:rPr>
          <w:b/>
          <w:bCs/>
        </w:rPr>
        <w:br w:type="page"/>
      </w:r>
    </w:p>
    <w:p w14:paraId="41CD5C81" w14:textId="422D7DA4" w:rsidR="002A59EE" w:rsidRPr="002031C9" w:rsidRDefault="00EB26B1" w:rsidP="002031C9">
      <w:pPr>
        <w:jc w:val="both"/>
      </w:pPr>
      <w:r w:rsidRPr="0055314F">
        <w:rPr>
          <w:b/>
          <w:bCs/>
        </w:rPr>
        <w:lastRenderedPageBreak/>
        <w:t xml:space="preserve">Table </w:t>
      </w:r>
      <w:r w:rsidR="00C26802">
        <w:rPr>
          <w:b/>
          <w:bCs/>
        </w:rPr>
        <w:t>2</w:t>
      </w:r>
      <w:r w:rsidR="000318B9" w:rsidRPr="0055314F">
        <w:rPr>
          <w:b/>
          <w:bCs/>
        </w:rPr>
        <w:t xml:space="preserve">. </w:t>
      </w:r>
      <w:r w:rsidR="00740764" w:rsidRPr="0055314F">
        <w:rPr>
          <w:b/>
          <w:bCs/>
        </w:rPr>
        <w:t>Attitudes towards Fr Coughlin</w:t>
      </w:r>
    </w:p>
    <w:tbl>
      <w:tblPr>
        <w:tblW w:w="9130" w:type="dxa"/>
        <w:tblLook w:val="04A0" w:firstRow="1" w:lastRow="0" w:firstColumn="1" w:lastColumn="0" w:noHBand="0" w:noVBand="1"/>
      </w:tblPr>
      <w:tblGrid>
        <w:gridCol w:w="3857"/>
        <w:gridCol w:w="1328"/>
        <w:gridCol w:w="789"/>
        <w:gridCol w:w="1157"/>
        <w:gridCol w:w="1011"/>
        <w:gridCol w:w="1011"/>
      </w:tblGrid>
      <w:tr w:rsidR="0067023F" w:rsidRPr="0067023F" w14:paraId="0A411D0A" w14:textId="77777777" w:rsidTr="002031C9">
        <w:trPr>
          <w:trHeight w:val="264"/>
        </w:trPr>
        <w:tc>
          <w:tcPr>
            <w:tcW w:w="3857" w:type="dxa"/>
            <w:tcBorders>
              <w:top w:val="single" w:sz="4" w:space="0" w:color="auto"/>
              <w:left w:val="nil"/>
              <w:bottom w:val="nil"/>
              <w:right w:val="nil"/>
            </w:tcBorders>
            <w:shd w:val="clear" w:color="auto" w:fill="auto"/>
            <w:noWrap/>
            <w:vAlign w:val="center"/>
            <w:hideMark/>
          </w:tcPr>
          <w:p w14:paraId="1400C02C" w14:textId="77777777" w:rsidR="0067023F" w:rsidRPr="0067023F" w:rsidRDefault="0067023F" w:rsidP="0067023F">
            <w:pPr>
              <w:jc w:val="center"/>
              <w:rPr>
                <w:rFonts w:ascii="Times New Roman" w:eastAsia="Times New Roman" w:hAnsi="Times New Roman" w:cs="Times New Roman"/>
                <w:b/>
                <w:bCs/>
                <w:color w:val="000000"/>
                <w:lang w:eastAsia="en-GB"/>
              </w:rPr>
            </w:pPr>
            <w:r w:rsidRPr="0067023F">
              <w:rPr>
                <w:rFonts w:ascii="Times New Roman" w:eastAsia="Times New Roman" w:hAnsi="Times New Roman" w:cs="Times New Roman"/>
                <w:b/>
                <w:bCs/>
                <w:color w:val="000000"/>
                <w:lang w:eastAsia="en-GB"/>
              </w:rPr>
              <w:t> </w:t>
            </w:r>
          </w:p>
        </w:tc>
        <w:tc>
          <w:tcPr>
            <w:tcW w:w="1328" w:type="dxa"/>
            <w:tcBorders>
              <w:top w:val="single" w:sz="4" w:space="0" w:color="auto"/>
              <w:left w:val="nil"/>
              <w:bottom w:val="nil"/>
              <w:right w:val="nil"/>
            </w:tcBorders>
            <w:shd w:val="clear" w:color="auto" w:fill="auto"/>
            <w:noWrap/>
            <w:vAlign w:val="bottom"/>
            <w:hideMark/>
          </w:tcPr>
          <w:p w14:paraId="7BD92169" w14:textId="77777777" w:rsidR="0067023F" w:rsidRPr="0067023F" w:rsidRDefault="0067023F" w:rsidP="0067023F">
            <w:pPr>
              <w:jc w:val="center"/>
              <w:rPr>
                <w:rFonts w:ascii="Times New Roman" w:eastAsia="Times New Roman" w:hAnsi="Times New Roman" w:cs="Times New Roman"/>
                <w:i/>
                <w:iCs/>
                <w:color w:val="000000"/>
                <w:sz w:val="22"/>
                <w:szCs w:val="22"/>
                <w:lang w:eastAsia="en-GB"/>
              </w:rPr>
            </w:pPr>
            <w:r w:rsidRPr="0067023F">
              <w:rPr>
                <w:rFonts w:ascii="Times New Roman" w:eastAsia="Times New Roman" w:hAnsi="Times New Roman" w:cs="Times New Roman"/>
                <w:i/>
                <w:iCs/>
                <w:color w:val="000000"/>
                <w:sz w:val="22"/>
                <w:szCs w:val="22"/>
                <w:lang w:eastAsia="en-GB"/>
              </w:rPr>
              <w:t>Fr Coughlin</w:t>
            </w:r>
          </w:p>
        </w:tc>
        <w:tc>
          <w:tcPr>
            <w:tcW w:w="789" w:type="dxa"/>
            <w:tcBorders>
              <w:top w:val="single" w:sz="4" w:space="0" w:color="auto"/>
              <w:left w:val="nil"/>
              <w:bottom w:val="nil"/>
              <w:right w:val="nil"/>
            </w:tcBorders>
            <w:shd w:val="clear" w:color="auto" w:fill="auto"/>
            <w:noWrap/>
            <w:vAlign w:val="bottom"/>
            <w:hideMark/>
          </w:tcPr>
          <w:p w14:paraId="53E3B9A5" w14:textId="77777777" w:rsidR="0067023F" w:rsidRPr="0067023F" w:rsidRDefault="0067023F" w:rsidP="0067023F">
            <w:pPr>
              <w:jc w:val="center"/>
              <w:rPr>
                <w:rFonts w:ascii="Times New Roman" w:eastAsia="Times New Roman" w:hAnsi="Times New Roman" w:cs="Times New Roman"/>
                <w:i/>
                <w:iCs/>
                <w:color w:val="000000"/>
                <w:sz w:val="22"/>
                <w:szCs w:val="22"/>
                <w:lang w:eastAsia="en-GB"/>
              </w:rPr>
            </w:pPr>
            <w:r w:rsidRPr="0067023F">
              <w:rPr>
                <w:rFonts w:ascii="Times New Roman" w:eastAsia="Times New Roman" w:hAnsi="Times New Roman" w:cs="Times New Roman"/>
                <w:i/>
                <w:iCs/>
                <w:color w:val="000000"/>
                <w:sz w:val="22"/>
                <w:szCs w:val="22"/>
                <w:lang w:eastAsia="en-GB"/>
              </w:rPr>
              <w:t>Other</w:t>
            </w:r>
          </w:p>
        </w:tc>
        <w:tc>
          <w:tcPr>
            <w:tcW w:w="1134" w:type="dxa"/>
            <w:tcBorders>
              <w:top w:val="single" w:sz="4" w:space="0" w:color="auto"/>
              <w:left w:val="single" w:sz="4" w:space="0" w:color="auto"/>
              <w:bottom w:val="nil"/>
              <w:right w:val="nil"/>
            </w:tcBorders>
            <w:shd w:val="clear" w:color="auto" w:fill="auto"/>
            <w:noWrap/>
            <w:vAlign w:val="center"/>
            <w:hideMark/>
          </w:tcPr>
          <w:p w14:paraId="6255DC8F" w14:textId="77777777" w:rsidR="0067023F" w:rsidRPr="0067023F" w:rsidRDefault="0067023F" w:rsidP="0067023F">
            <w:pPr>
              <w:jc w:val="center"/>
              <w:rPr>
                <w:rFonts w:ascii="Times New Roman" w:eastAsia="Times New Roman" w:hAnsi="Times New Roman" w:cs="Times New Roman"/>
                <w:color w:val="000000"/>
                <w:lang w:eastAsia="en-GB"/>
              </w:rPr>
            </w:pPr>
            <w:r w:rsidRPr="0067023F">
              <w:rPr>
                <w:rFonts w:ascii="Times New Roman" w:eastAsia="Times New Roman" w:hAnsi="Times New Roman" w:cs="Times New Roman"/>
                <w:color w:val="000000"/>
                <w:lang w:eastAsia="en-GB"/>
              </w:rPr>
              <w:t> </w:t>
            </w:r>
          </w:p>
        </w:tc>
        <w:tc>
          <w:tcPr>
            <w:tcW w:w="1011" w:type="dxa"/>
            <w:tcBorders>
              <w:top w:val="single" w:sz="4" w:space="0" w:color="auto"/>
              <w:left w:val="nil"/>
              <w:bottom w:val="nil"/>
              <w:right w:val="nil"/>
            </w:tcBorders>
            <w:shd w:val="clear" w:color="auto" w:fill="auto"/>
            <w:noWrap/>
            <w:vAlign w:val="center"/>
            <w:hideMark/>
          </w:tcPr>
          <w:p w14:paraId="12FB5030" w14:textId="77777777" w:rsidR="0067023F" w:rsidRPr="0067023F" w:rsidRDefault="0067023F" w:rsidP="0067023F">
            <w:pPr>
              <w:jc w:val="center"/>
              <w:rPr>
                <w:rFonts w:ascii="Times New Roman" w:eastAsia="Times New Roman" w:hAnsi="Times New Roman" w:cs="Times New Roman"/>
                <w:color w:val="000000"/>
                <w:lang w:eastAsia="en-GB"/>
              </w:rPr>
            </w:pPr>
            <w:r w:rsidRPr="0067023F">
              <w:rPr>
                <w:rFonts w:ascii="Times New Roman" w:eastAsia="Times New Roman" w:hAnsi="Times New Roman" w:cs="Times New Roman"/>
                <w:color w:val="000000"/>
                <w:lang w:eastAsia="en-GB"/>
              </w:rPr>
              <w:t> </w:t>
            </w:r>
          </w:p>
        </w:tc>
        <w:tc>
          <w:tcPr>
            <w:tcW w:w="1011" w:type="dxa"/>
            <w:tcBorders>
              <w:top w:val="single" w:sz="4" w:space="0" w:color="auto"/>
              <w:left w:val="nil"/>
              <w:bottom w:val="nil"/>
              <w:right w:val="nil"/>
            </w:tcBorders>
            <w:shd w:val="clear" w:color="auto" w:fill="auto"/>
            <w:noWrap/>
            <w:vAlign w:val="center"/>
            <w:hideMark/>
          </w:tcPr>
          <w:p w14:paraId="4E400D0A" w14:textId="77777777" w:rsidR="0067023F" w:rsidRPr="0067023F" w:rsidRDefault="0067023F" w:rsidP="0067023F">
            <w:pPr>
              <w:jc w:val="center"/>
              <w:rPr>
                <w:rFonts w:ascii="Times New Roman" w:eastAsia="Times New Roman" w:hAnsi="Times New Roman" w:cs="Times New Roman"/>
                <w:color w:val="000000"/>
                <w:lang w:eastAsia="en-GB"/>
              </w:rPr>
            </w:pPr>
            <w:r w:rsidRPr="0067023F">
              <w:rPr>
                <w:rFonts w:ascii="Times New Roman" w:eastAsia="Times New Roman" w:hAnsi="Times New Roman" w:cs="Times New Roman"/>
                <w:color w:val="000000"/>
                <w:lang w:eastAsia="en-GB"/>
              </w:rPr>
              <w:t> </w:t>
            </w:r>
          </w:p>
        </w:tc>
      </w:tr>
      <w:tr w:rsidR="0067023F" w:rsidRPr="0067023F" w14:paraId="485DF53A" w14:textId="77777777" w:rsidTr="002031C9">
        <w:trPr>
          <w:trHeight w:val="264"/>
        </w:trPr>
        <w:tc>
          <w:tcPr>
            <w:tcW w:w="3857" w:type="dxa"/>
            <w:tcBorders>
              <w:top w:val="nil"/>
              <w:left w:val="nil"/>
              <w:bottom w:val="nil"/>
              <w:right w:val="nil"/>
            </w:tcBorders>
            <w:shd w:val="clear" w:color="auto" w:fill="auto"/>
            <w:noWrap/>
            <w:vAlign w:val="center"/>
            <w:hideMark/>
          </w:tcPr>
          <w:p w14:paraId="7F03CB64" w14:textId="77777777" w:rsidR="0067023F" w:rsidRPr="0067023F" w:rsidRDefault="0067023F" w:rsidP="0067023F">
            <w:pPr>
              <w:jc w:val="center"/>
              <w:rPr>
                <w:rFonts w:ascii="Times New Roman" w:eastAsia="Times New Roman" w:hAnsi="Times New Roman" w:cs="Times New Roman"/>
                <w:color w:val="000000"/>
                <w:lang w:eastAsia="en-GB"/>
              </w:rPr>
            </w:pPr>
          </w:p>
        </w:tc>
        <w:tc>
          <w:tcPr>
            <w:tcW w:w="1328" w:type="dxa"/>
            <w:tcBorders>
              <w:top w:val="nil"/>
              <w:left w:val="nil"/>
              <w:bottom w:val="nil"/>
              <w:right w:val="nil"/>
            </w:tcBorders>
            <w:shd w:val="clear" w:color="auto" w:fill="auto"/>
            <w:noWrap/>
            <w:vAlign w:val="center"/>
            <w:hideMark/>
          </w:tcPr>
          <w:p w14:paraId="4F9EB57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I</w:t>
            </w:r>
          </w:p>
        </w:tc>
        <w:tc>
          <w:tcPr>
            <w:tcW w:w="789" w:type="dxa"/>
            <w:tcBorders>
              <w:top w:val="nil"/>
              <w:left w:val="nil"/>
              <w:bottom w:val="nil"/>
              <w:right w:val="nil"/>
            </w:tcBorders>
            <w:shd w:val="clear" w:color="auto" w:fill="auto"/>
            <w:noWrap/>
            <w:vAlign w:val="center"/>
            <w:hideMark/>
          </w:tcPr>
          <w:p w14:paraId="16A44CB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II</w:t>
            </w:r>
          </w:p>
        </w:tc>
        <w:tc>
          <w:tcPr>
            <w:tcW w:w="1134" w:type="dxa"/>
            <w:tcBorders>
              <w:top w:val="nil"/>
              <w:left w:val="single" w:sz="4" w:space="0" w:color="auto"/>
              <w:bottom w:val="nil"/>
              <w:right w:val="nil"/>
            </w:tcBorders>
            <w:shd w:val="clear" w:color="auto" w:fill="auto"/>
            <w:noWrap/>
            <w:vAlign w:val="center"/>
            <w:hideMark/>
          </w:tcPr>
          <w:p w14:paraId="381F714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III</w:t>
            </w:r>
          </w:p>
        </w:tc>
        <w:tc>
          <w:tcPr>
            <w:tcW w:w="1011" w:type="dxa"/>
            <w:tcBorders>
              <w:top w:val="nil"/>
              <w:left w:val="nil"/>
              <w:bottom w:val="nil"/>
              <w:right w:val="nil"/>
            </w:tcBorders>
            <w:shd w:val="clear" w:color="auto" w:fill="auto"/>
            <w:noWrap/>
            <w:vAlign w:val="center"/>
            <w:hideMark/>
          </w:tcPr>
          <w:p w14:paraId="2948989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IV</w:t>
            </w:r>
          </w:p>
        </w:tc>
        <w:tc>
          <w:tcPr>
            <w:tcW w:w="1011" w:type="dxa"/>
            <w:tcBorders>
              <w:top w:val="nil"/>
              <w:left w:val="nil"/>
              <w:bottom w:val="nil"/>
              <w:right w:val="nil"/>
            </w:tcBorders>
            <w:shd w:val="clear" w:color="auto" w:fill="auto"/>
            <w:noWrap/>
            <w:vAlign w:val="center"/>
            <w:hideMark/>
          </w:tcPr>
          <w:p w14:paraId="61139C3F"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V</w:t>
            </w:r>
          </w:p>
        </w:tc>
      </w:tr>
      <w:tr w:rsidR="0067023F" w:rsidRPr="0067023F" w14:paraId="00D5B819" w14:textId="77777777" w:rsidTr="002031C9">
        <w:trPr>
          <w:trHeight w:val="264"/>
        </w:trPr>
        <w:tc>
          <w:tcPr>
            <w:tcW w:w="3857" w:type="dxa"/>
            <w:tcBorders>
              <w:top w:val="nil"/>
              <w:left w:val="nil"/>
              <w:bottom w:val="single" w:sz="4" w:space="0" w:color="auto"/>
              <w:right w:val="nil"/>
            </w:tcBorders>
            <w:shd w:val="clear" w:color="auto" w:fill="auto"/>
            <w:noWrap/>
            <w:vAlign w:val="bottom"/>
            <w:hideMark/>
          </w:tcPr>
          <w:p w14:paraId="579591D4" w14:textId="77777777" w:rsidR="0067023F" w:rsidRPr="0067023F" w:rsidRDefault="0067023F" w:rsidP="0067023F">
            <w:pP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328" w:type="dxa"/>
            <w:tcBorders>
              <w:top w:val="nil"/>
              <w:left w:val="nil"/>
              <w:bottom w:val="single" w:sz="4" w:space="0" w:color="auto"/>
              <w:right w:val="nil"/>
            </w:tcBorders>
            <w:shd w:val="clear" w:color="auto" w:fill="auto"/>
            <w:noWrap/>
            <w:vAlign w:val="center"/>
            <w:hideMark/>
          </w:tcPr>
          <w:p w14:paraId="2008511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Share</w:t>
            </w:r>
          </w:p>
        </w:tc>
        <w:tc>
          <w:tcPr>
            <w:tcW w:w="789" w:type="dxa"/>
            <w:tcBorders>
              <w:top w:val="nil"/>
              <w:left w:val="nil"/>
              <w:bottom w:val="single" w:sz="4" w:space="0" w:color="auto"/>
              <w:right w:val="nil"/>
            </w:tcBorders>
            <w:shd w:val="clear" w:color="auto" w:fill="auto"/>
            <w:noWrap/>
            <w:vAlign w:val="center"/>
            <w:hideMark/>
          </w:tcPr>
          <w:p w14:paraId="7A1C192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Share</w:t>
            </w:r>
          </w:p>
        </w:tc>
        <w:tc>
          <w:tcPr>
            <w:tcW w:w="1134" w:type="dxa"/>
            <w:tcBorders>
              <w:top w:val="nil"/>
              <w:left w:val="single" w:sz="4" w:space="0" w:color="auto"/>
              <w:bottom w:val="single" w:sz="4" w:space="0" w:color="auto"/>
              <w:right w:val="nil"/>
            </w:tcBorders>
            <w:shd w:val="clear" w:color="auto" w:fill="auto"/>
            <w:noWrap/>
            <w:vAlign w:val="center"/>
            <w:hideMark/>
          </w:tcPr>
          <w:p w14:paraId="22FEBF2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Difference</w:t>
            </w:r>
          </w:p>
        </w:tc>
        <w:tc>
          <w:tcPr>
            <w:tcW w:w="1011" w:type="dxa"/>
            <w:tcBorders>
              <w:top w:val="nil"/>
              <w:left w:val="nil"/>
              <w:bottom w:val="single" w:sz="4" w:space="0" w:color="auto"/>
              <w:right w:val="nil"/>
            </w:tcBorders>
            <w:shd w:val="clear" w:color="auto" w:fill="auto"/>
            <w:noWrap/>
            <w:vAlign w:val="center"/>
            <w:hideMark/>
          </w:tcPr>
          <w:p w14:paraId="21F8BD2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χ</w:t>
            </w:r>
            <w:r w:rsidRPr="0067023F">
              <w:rPr>
                <w:rFonts w:ascii="Times New Roman" w:eastAsia="Times New Roman" w:hAnsi="Times New Roman" w:cs="Times New Roman"/>
                <w:color w:val="000000"/>
                <w:sz w:val="22"/>
                <w:szCs w:val="22"/>
                <w:vertAlign w:val="superscript"/>
                <w:lang w:eastAsia="en-GB"/>
              </w:rPr>
              <w:t>2</w:t>
            </w:r>
            <w:r w:rsidRPr="0067023F">
              <w:rPr>
                <w:rFonts w:ascii="Times New Roman" w:eastAsia="Times New Roman" w:hAnsi="Times New Roman" w:cs="Times New Roman"/>
                <w:color w:val="000000"/>
                <w:sz w:val="22"/>
                <w:szCs w:val="22"/>
                <w:lang w:eastAsia="en-GB"/>
              </w:rPr>
              <w:t xml:space="preserve"> test stat.</w:t>
            </w:r>
          </w:p>
        </w:tc>
        <w:tc>
          <w:tcPr>
            <w:tcW w:w="1011" w:type="dxa"/>
            <w:tcBorders>
              <w:top w:val="nil"/>
              <w:left w:val="nil"/>
              <w:bottom w:val="single" w:sz="4" w:space="0" w:color="auto"/>
              <w:right w:val="nil"/>
            </w:tcBorders>
            <w:shd w:val="clear" w:color="auto" w:fill="auto"/>
            <w:noWrap/>
            <w:vAlign w:val="center"/>
            <w:hideMark/>
          </w:tcPr>
          <w:p w14:paraId="5E7D1D3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p-value</w:t>
            </w:r>
          </w:p>
        </w:tc>
      </w:tr>
      <w:tr w:rsidR="0067023F" w:rsidRPr="0067023F" w14:paraId="2E96394D" w14:textId="77777777" w:rsidTr="002031C9">
        <w:trPr>
          <w:trHeight w:val="264"/>
        </w:trPr>
        <w:tc>
          <w:tcPr>
            <w:tcW w:w="3857" w:type="dxa"/>
            <w:tcBorders>
              <w:top w:val="nil"/>
              <w:left w:val="nil"/>
              <w:bottom w:val="nil"/>
              <w:right w:val="nil"/>
            </w:tcBorders>
            <w:shd w:val="clear" w:color="auto" w:fill="auto"/>
            <w:noWrap/>
            <w:vAlign w:val="bottom"/>
            <w:hideMark/>
          </w:tcPr>
          <w:p w14:paraId="22043BA6" w14:textId="77777777" w:rsidR="0067023F" w:rsidRPr="0067023F" w:rsidRDefault="0067023F" w:rsidP="0067023F">
            <w:pPr>
              <w:rPr>
                <w:rFonts w:ascii="Times New Roman" w:eastAsia="Times New Roman" w:hAnsi="Times New Roman" w:cs="Times New Roman"/>
                <w:b/>
                <w:bCs/>
                <w:color w:val="000000"/>
                <w:sz w:val="22"/>
                <w:szCs w:val="22"/>
                <w:lang w:eastAsia="en-GB"/>
              </w:rPr>
            </w:pPr>
            <w:r w:rsidRPr="0067023F">
              <w:rPr>
                <w:rFonts w:ascii="Times New Roman" w:eastAsia="Times New Roman" w:hAnsi="Times New Roman" w:cs="Times New Roman"/>
                <w:b/>
                <w:bCs/>
                <w:color w:val="000000"/>
                <w:sz w:val="22"/>
                <w:szCs w:val="22"/>
                <w:lang w:eastAsia="en-GB"/>
              </w:rPr>
              <w:t>Characteristics</w:t>
            </w:r>
          </w:p>
        </w:tc>
        <w:tc>
          <w:tcPr>
            <w:tcW w:w="1328" w:type="dxa"/>
            <w:tcBorders>
              <w:top w:val="nil"/>
              <w:left w:val="nil"/>
              <w:bottom w:val="nil"/>
              <w:right w:val="nil"/>
            </w:tcBorders>
            <w:shd w:val="clear" w:color="auto" w:fill="auto"/>
            <w:noWrap/>
            <w:vAlign w:val="center"/>
            <w:hideMark/>
          </w:tcPr>
          <w:p w14:paraId="17711B5C" w14:textId="77777777" w:rsidR="0067023F" w:rsidRPr="0067023F" w:rsidRDefault="0067023F" w:rsidP="0067023F">
            <w:pPr>
              <w:rPr>
                <w:rFonts w:ascii="Times New Roman" w:eastAsia="Times New Roman" w:hAnsi="Times New Roman" w:cs="Times New Roman"/>
                <w:b/>
                <w:bCs/>
                <w:color w:val="000000"/>
                <w:sz w:val="22"/>
                <w:szCs w:val="22"/>
                <w:lang w:eastAsia="en-GB"/>
              </w:rPr>
            </w:pPr>
          </w:p>
        </w:tc>
        <w:tc>
          <w:tcPr>
            <w:tcW w:w="789" w:type="dxa"/>
            <w:tcBorders>
              <w:top w:val="nil"/>
              <w:left w:val="nil"/>
              <w:bottom w:val="nil"/>
              <w:right w:val="nil"/>
            </w:tcBorders>
            <w:shd w:val="clear" w:color="auto" w:fill="auto"/>
            <w:noWrap/>
            <w:vAlign w:val="center"/>
            <w:hideMark/>
          </w:tcPr>
          <w:p w14:paraId="69336569" w14:textId="77777777" w:rsidR="0067023F" w:rsidRPr="0067023F" w:rsidRDefault="0067023F" w:rsidP="0067023F">
            <w:pPr>
              <w:jc w:val="center"/>
              <w:rPr>
                <w:rFonts w:ascii="Times New Roman" w:eastAsia="Times New Roman" w:hAnsi="Times New Roman" w:cs="Times New Roman"/>
                <w:sz w:val="20"/>
                <w:szCs w:val="20"/>
                <w:lang w:eastAsia="en-GB"/>
              </w:rPr>
            </w:pPr>
          </w:p>
        </w:tc>
        <w:tc>
          <w:tcPr>
            <w:tcW w:w="1134" w:type="dxa"/>
            <w:tcBorders>
              <w:top w:val="nil"/>
              <w:left w:val="single" w:sz="4" w:space="0" w:color="auto"/>
              <w:bottom w:val="nil"/>
              <w:right w:val="nil"/>
            </w:tcBorders>
            <w:shd w:val="clear" w:color="auto" w:fill="auto"/>
            <w:noWrap/>
            <w:vAlign w:val="center"/>
            <w:hideMark/>
          </w:tcPr>
          <w:p w14:paraId="73C64C3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011" w:type="dxa"/>
            <w:tcBorders>
              <w:top w:val="nil"/>
              <w:left w:val="nil"/>
              <w:bottom w:val="nil"/>
              <w:right w:val="nil"/>
            </w:tcBorders>
            <w:shd w:val="clear" w:color="auto" w:fill="auto"/>
            <w:noWrap/>
            <w:vAlign w:val="center"/>
            <w:hideMark/>
          </w:tcPr>
          <w:p w14:paraId="1965CA4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p>
        </w:tc>
        <w:tc>
          <w:tcPr>
            <w:tcW w:w="1011" w:type="dxa"/>
            <w:tcBorders>
              <w:top w:val="nil"/>
              <w:left w:val="nil"/>
              <w:bottom w:val="nil"/>
              <w:right w:val="nil"/>
            </w:tcBorders>
            <w:shd w:val="clear" w:color="auto" w:fill="auto"/>
            <w:noWrap/>
            <w:vAlign w:val="center"/>
            <w:hideMark/>
          </w:tcPr>
          <w:p w14:paraId="710D8438" w14:textId="77777777" w:rsidR="0067023F" w:rsidRPr="0067023F" w:rsidRDefault="0067023F" w:rsidP="0067023F">
            <w:pPr>
              <w:jc w:val="center"/>
              <w:rPr>
                <w:rFonts w:ascii="Times New Roman" w:eastAsia="Times New Roman" w:hAnsi="Times New Roman" w:cs="Times New Roman"/>
                <w:sz w:val="20"/>
                <w:szCs w:val="20"/>
                <w:lang w:eastAsia="en-GB"/>
              </w:rPr>
            </w:pPr>
          </w:p>
        </w:tc>
      </w:tr>
      <w:tr w:rsidR="0067023F" w:rsidRPr="0067023F" w14:paraId="75397843" w14:textId="77777777" w:rsidTr="002031C9">
        <w:trPr>
          <w:trHeight w:val="264"/>
        </w:trPr>
        <w:tc>
          <w:tcPr>
            <w:tcW w:w="3857" w:type="dxa"/>
            <w:tcBorders>
              <w:top w:val="nil"/>
              <w:left w:val="nil"/>
              <w:bottom w:val="nil"/>
              <w:right w:val="nil"/>
            </w:tcBorders>
            <w:shd w:val="clear" w:color="auto" w:fill="auto"/>
            <w:noWrap/>
            <w:vAlign w:val="bottom"/>
            <w:hideMark/>
          </w:tcPr>
          <w:p w14:paraId="54211A9C"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Female</w:t>
            </w:r>
          </w:p>
        </w:tc>
        <w:tc>
          <w:tcPr>
            <w:tcW w:w="1328" w:type="dxa"/>
            <w:tcBorders>
              <w:top w:val="nil"/>
              <w:left w:val="nil"/>
              <w:bottom w:val="nil"/>
              <w:right w:val="nil"/>
            </w:tcBorders>
            <w:shd w:val="clear" w:color="auto" w:fill="auto"/>
            <w:noWrap/>
            <w:vAlign w:val="center"/>
            <w:hideMark/>
          </w:tcPr>
          <w:p w14:paraId="1506B22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0.46</w:t>
            </w:r>
          </w:p>
        </w:tc>
        <w:tc>
          <w:tcPr>
            <w:tcW w:w="789" w:type="dxa"/>
            <w:tcBorders>
              <w:top w:val="nil"/>
              <w:left w:val="nil"/>
              <w:bottom w:val="nil"/>
              <w:right w:val="nil"/>
            </w:tcBorders>
            <w:shd w:val="clear" w:color="auto" w:fill="auto"/>
            <w:noWrap/>
            <w:vAlign w:val="center"/>
            <w:hideMark/>
          </w:tcPr>
          <w:p w14:paraId="3CEC859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0.51</w:t>
            </w:r>
          </w:p>
        </w:tc>
        <w:tc>
          <w:tcPr>
            <w:tcW w:w="1134" w:type="dxa"/>
            <w:tcBorders>
              <w:top w:val="nil"/>
              <w:left w:val="single" w:sz="4" w:space="0" w:color="auto"/>
              <w:bottom w:val="nil"/>
              <w:right w:val="nil"/>
            </w:tcBorders>
            <w:shd w:val="clear" w:color="auto" w:fill="auto"/>
            <w:noWrap/>
            <w:vAlign w:val="center"/>
            <w:hideMark/>
          </w:tcPr>
          <w:p w14:paraId="58CCBC8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-0.05</w:t>
            </w:r>
          </w:p>
        </w:tc>
        <w:tc>
          <w:tcPr>
            <w:tcW w:w="1011" w:type="dxa"/>
            <w:tcBorders>
              <w:top w:val="nil"/>
              <w:left w:val="nil"/>
              <w:bottom w:val="nil"/>
              <w:right w:val="nil"/>
            </w:tcBorders>
            <w:shd w:val="clear" w:color="auto" w:fill="auto"/>
            <w:noWrap/>
            <w:vAlign w:val="center"/>
            <w:hideMark/>
          </w:tcPr>
          <w:p w14:paraId="4169715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3.11</w:t>
            </w:r>
          </w:p>
        </w:tc>
        <w:tc>
          <w:tcPr>
            <w:tcW w:w="1011" w:type="dxa"/>
            <w:tcBorders>
              <w:top w:val="nil"/>
              <w:left w:val="nil"/>
              <w:bottom w:val="nil"/>
              <w:right w:val="nil"/>
            </w:tcBorders>
            <w:shd w:val="clear" w:color="auto" w:fill="auto"/>
            <w:noWrap/>
            <w:vAlign w:val="center"/>
            <w:hideMark/>
          </w:tcPr>
          <w:p w14:paraId="052EF353"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0.08</w:t>
            </w:r>
          </w:p>
        </w:tc>
      </w:tr>
      <w:tr w:rsidR="0067023F" w:rsidRPr="0067023F" w14:paraId="26328B9F" w14:textId="77777777" w:rsidTr="002031C9">
        <w:trPr>
          <w:trHeight w:val="264"/>
        </w:trPr>
        <w:tc>
          <w:tcPr>
            <w:tcW w:w="3857" w:type="dxa"/>
            <w:tcBorders>
              <w:top w:val="nil"/>
              <w:left w:val="nil"/>
              <w:bottom w:val="nil"/>
              <w:right w:val="nil"/>
            </w:tcBorders>
            <w:shd w:val="clear" w:color="auto" w:fill="auto"/>
            <w:noWrap/>
            <w:vAlign w:val="bottom"/>
            <w:hideMark/>
          </w:tcPr>
          <w:p w14:paraId="38C79CA0"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Black</w:t>
            </w:r>
          </w:p>
        </w:tc>
        <w:tc>
          <w:tcPr>
            <w:tcW w:w="1328" w:type="dxa"/>
            <w:tcBorders>
              <w:top w:val="nil"/>
              <w:left w:val="nil"/>
              <w:bottom w:val="nil"/>
              <w:right w:val="nil"/>
            </w:tcBorders>
            <w:shd w:val="clear" w:color="auto" w:fill="auto"/>
            <w:noWrap/>
            <w:vAlign w:val="center"/>
            <w:hideMark/>
          </w:tcPr>
          <w:p w14:paraId="5CD06A6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0.11</w:t>
            </w:r>
          </w:p>
        </w:tc>
        <w:tc>
          <w:tcPr>
            <w:tcW w:w="789" w:type="dxa"/>
            <w:tcBorders>
              <w:top w:val="nil"/>
              <w:left w:val="nil"/>
              <w:bottom w:val="nil"/>
              <w:right w:val="nil"/>
            </w:tcBorders>
            <w:shd w:val="clear" w:color="auto" w:fill="auto"/>
            <w:noWrap/>
            <w:vAlign w:val="center"/>
            <w:hideMark/>
          </w:tcPr>
          <w:p w14:paraId="428E1DA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0.08</w:t>
            </w:r>
          </w:p>
        </w:tc>
        <w:tc>
          <w:tcPr>
            <w:tcW w:w="1134" w:type="dxa"/>
            <w:tcBorders>
              <w:top w:val="nil"/>
              <w:left w:val="single" w:sz="4" w:space="0" w:color="auto"/>
              <w:bottom w:val="nil"/>
              <w:right w:val="nil"/>
            </w:tcBorders>
            <w:shd w:val="clear" w:color="auto" w:fill="auto"/>
            <w:noWrap/>
            <w:vAlign w:val="center"/>
            <w:hideMark/>
          </w:tcPr>
          <w:p w14:paraId="6114404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0.03</w:t>
            </w:r>
          </w:p>
        </w:tc>
        <w:tc>
          <w:tcPr>
            <w:tcW w:w="1011" w:type="dxa"/>
            <w:tcBorders>
              <w:top w:val="nil"/>
              <w:left w:val="nil"/>
              <w:bottom w:val="nil"/>
              <w:right w:val="nil"/>
            </w:tcBorders>
            <w:shd w:val="clear" w:color="auto" w:fill="auto"/>
            <w:noWrap/>
            <w:vAlign w:val="center"/>
            <w:hideMark/>
          </w:tcPr>
          <w:p w14:paraId="60F3790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1.13</w:t>
            </w:r>
          </w:p>
        </w:tc>
        <w:tc>
          <w:tcPr>
            <w:tcW w:w="1011" w:type="dxa"/>
            <w:tcBorders>
              <w:top w:val="nil"/>
              <w:left w:val="nil"/>
              <w:bottom w:val="nil"/>
              <w:right w:val="nil"/>
            </w:tcBorders>
            <w:shd w:val="clear" w:color="auto" w:fill="auto"/>
            <w:noWrap/>
            <w:vAlign w:val="center"/>
            <w:hideMark/>
          </w:tcPr>
          <w:p w14:paraId="7776DE1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0.29</w:t>
            </w:r>
          </w:p>
        </w:tc>
      </w:tr>
      <w:tr w:rsidR="0067023F" w:rsidRPr="0067023F" w14:paraId="6C75CCB2" w14:textId="77777777" w:rsidTr="002031C9">
        <w:trPr>
          <w:trHeight w:val="264"/>
        </w:trPr>
        <w:tc>
          <w:tcPr>
            <w:tcW w:w="3857" w:type="dxa"/>
            <w:tcBorders>
              <w:top w:val="nil"/>
              <w:left w:val="nil"/>
              <w:bottom w:val="nil"/>
              <w:right w:val="nil"/>
            </w:tcBorders>
            <w:shd w:val="clear" w:color="auto" w:fill="auto"/>
            <w:noWrap/>
            <w:vAlign w:val="bottom"/>
            <w:hideMark/>
          </w:tcPr>
          <w:p w14:paraId="7C230B08"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Over 40 years of age</w:t>
            </w:r>
          </w:p>
        </w:tc>
        <w:tc>
          <w:tcPr>
            <w:tcW w:w="1328" w:type="dxa"/>
            <w:tcBorders>
              <w:top w:val="nil"/>
              <w:left w:val="nil"/>
              <w:bottom w:val="nil"/>
              <w:right w:val="nil"/>
            </w:tcBorders>
            <w:shd w:val="clear" w:color="auto" w:fill="auto"/>
            <w:noWrap/>
            <w:vAlign w:val="center"/>
            <w:hideMark/>
          </w:tcPr>
          <w:p w14:paraId="676B1B8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0.51</w:t>
            </w:r>
          </w:p>
        </w:tc>
        <w:tc>
          <w:tcPr>
            <w:tcW w:w="789" w:type="dxa"/>
            <w:tcBorders>
              <w:top w:val="nil"/>
              <w:left w:val="nil"/>
              <w:bottom w:val="nil"/>
              <w:right w:val="nil"/>
            </w:tcBorders>
            <w:shd w:val="clear" w:color="auto" w:fill="auto"/>
            <w:noWrap/>
            <w:vAlign w:val="center"/>
            <w:hideMark/>
          </w:tcPr>
          <w:p w14:paraId="130CF4E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0.45</w:t>
            </w:r>
          </w:p>
        </w:tc>
        <w:tc>
          <w:tcPr>
            <w:tcW w:w="1134" w:type="dxa"/>
            <w:tcBorders>
              <w:top w:val="nil"/>
              <w:left w:val="single" w:sz="4" w:space="0" w:color="auto"/>
              <w:bottom w:val="nil"/>
              <w:right w:val="nil"/>
            </w:tcBorders>
            <w:shd w:val="clear" w:color="auto" w:fill="auto"/>
            <w:noWrap/>
            <w:vAlign w:val="center"/>
            <w:hideMark/>
          </w:tcPr>
          <w:p w14:paraId="731CCF8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0.07</w:t>
            </w:r>
          </w:p>
        </w:tc>
        <w:tc>
          <w:tcPr>
            <w:tcW w:w="1011" w:type="dxa"/>
            <w:tcBorders>
              <w:top w:val="nil"/>
              <w:left w:val="nil"/>
              <w:bottom w:val="nil"/>
              <w:right w:val="nil"/>
            </w:tcBorders>
            <w:shd w:val="clear" w:color="auto" w:fill="auto"/>
            <w:noWrap/>
            <w:vAlign w:val="center"/>
            <w:hideMark/>
          </w:tcPr>
          <w:p w14:paraId="33519CE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5.04</w:t>
            </w:r>
          </w:p>
        </w:tc>
        <w:tc>
          <w:tcPr>
            <w:tcW w:w="1011" w:type="dxa"/>
            <w:tcBorders>
              <w:top w:val="nil"/>
              <w:left w:val="nil"/>
              <w:bottom w:val="nil"/>
              <w:right w:val="nil"/>
            </w:tcBorders>
            <w:shd w:val="clear" w:color="auto" w:fill="auto"/>
            <w:noWrap/>
            <w:vAlign w:val="center"/>
            <w:hideMark/>
          </w:tcPr>
          <w:p w14:paraId="5CFCE1F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0.02</w:t>
            </w:r>
          </w:p>
        </w:tc>
      </w:tr>
      <w:tr w:rsidR="0067023F" w:rsidRPr="0067023F" w14:paraId="2C46E937" w14:textId="77777777" w:rsidTr="002031C9">
        <w:trPr>
          <w:trHeight w:val="264"/>
        </w:trPr>
        <w:tc>
          <w:tcPr>
            <w:tcW w:w="3857" w:type="dxa"/>
            <w:tcBorders>
              <w:top w:val="nil"/>
              <w:left w:val="nil"/>
              <w:bottom w:val="nil"/>
              <w:right w:val="nil"/>
            </w:tcBorders>
            <w:shd w:val="clear" w:color="auto" w:fill="auto"/>
            <w:noWrap/>
            <w:vAlign w:val="bottom"/>
            <w:hideMark/>
          </w:tcPr>
          <w:p w14:paraId="7E3AAE30" w14:textId="77777777" w:rsidR="0067023F" w:rsidRPr="0067023F" w:rsidRDefault="0067023F" w:rsidP="0067023F">
            <w:pPr>
              <w:rPr>
                <w:rFonts w:ascii="Times New Roman" w:eastAsia="Times New Roman" w:hAnsi="Times New Roman" w:cs="Times New Roman"/>
                <w:b/>
                <w:bCs/>
                <w:color w:val="000000"/>
                <w:sz w:val="22"/>
                <w:szCs w:val="22"/>
                <w:lang w:eastAsia="en-GB"/>
              </w:rPr>
            </w:pPr>
            <w:r w:rsidRPr="0067023F">
              <w:rPr>
                <w:rFonts w:ascii="Times New Roman" w:eastAsia="Times New Roman" w:hAnsi="Times New Roman" w:cs="Times New Roman"/>
                <w:b/>
                <w:bCs/>
                <w:color w:val="000000"/>
                <w:sz w:val="22"/>
                <w:szCs w:val="22"/>
                <w:lang w:eastAsia="en-GB"/>
              </w:rPr>
              <w:t>Coughlin Listener</w:t>
            </w:r>
          </w:p>
        </w:tc>
        <w:tc>
          <w:tcPr>
            <w:tcW w:w="1328" w:type="dxa"/>
            <w:tcBorders>
              <w:top w:val="nil"/>
              <w:left w:val="nil"/>
              <w:bottom w:val="nil"/>
              <w:right w:val="nil"/>
            </w:tcBorders>
            <w:shd w:val="clear" w:color="auto" w:fill="auto"/>
            <w:noWrap/>
            <w:vAlign w:val="center"/>
            <w:hideMark/>
          </w:tcPr>
          <w:p w14:paraId="2C396C70" w14:textId="77777777" w:rsidR="0067023F" w:rsidRPr="0067023F" w:rsidRDefault="0067023F" w:rsidP="0067023F">
            <w:pPr>
              <w:rPr>
                <w:rFonts w:ascii="Times New Roman" w:eastAsia="Times New Roman" w:hAnsi="Times New Roman" w:cs="Times New Roman"/>
                <w:b/>
                <w:bCs/>
                <w:color w:val="000000"/>
                <w:sz w:val="22"/>
                <w:szCs w:val="22"/>
                <w:lang w:eastAsia="en-GB"/>
              </w:rPr>
            </w:pPr>
          </w:p>
        </w:tc>
        <w:tc>
          <w:tcPr>
            <w:tcW w:w="789" w:type="dxa"/>
            <w:tcBorders>
              <w:top w:val="nil"/>
              <w:left w:val="nil"/>
              <w:bottom w:val="nil"/>
              <w:right w:val="nil"/>
            </w:tcBorders>
            <w:shd w:val="clear" w:color="auto" w:fill="auto"/>
            <w:noWrap/>
            <w:vAlign w:val="center"/>
            <w:hideMark/>
          </w:tcPr>
          <w:p w14:paraId="3201C80D" w14:textId="77777777" w:rsidR="0067023F" w:rsidRPr="0067023F" w:rsidRDefault="0067023F" w:rsidP="0067023F">
            <w:pPr>
              <w:jc w:val="center"/>
              <w:rPr>
                <w:rFonts w:ascii="Times New Roman" w:eastAsia="Times New Roman" w:hAnsi="Times New Roman" w:cs="Times New Roman"/>
                <w:sz w:val="20"/>
                <w:szCs w:val="20"/>
                <w:lang w:eastAsia="en-GB"/>
              </w:rPr>
            </w:pPr>
          </w:p>
        </w:tc>
        <w:tc>
          <w:tcPr>
            <w:tcW w:w="1134" w:type="dxa"/>
            <w:tcBorders>
              <w:top w:val="nil"/>
              <w:left w:val="single" w:sz="4" w:space="0" w:color="auto"/>
              <w:bottom w:val="nil"/>
              <w:right w:val="nil"/>
            </w:tcBorders>
            <w:shd w:val="clear" w:color="auto" w:fill="auto"/>
            <w:noWrap/>
            <w:vAlign w:val="center"/>
            <w:hideMark/>
          </w:tcPr>
          <w:p w14:paraId="0964598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011" w:type="dxa"/>
            <w:tcBorders>
              <w:top w:val="nil"/>
              <w:left w:val="nil"/>
              <w:bottom w:val="nil"/>
              <w:right w:val="nil"/>
            </w:tcBorders>
            <w:shd w:val="clear" w:color="auto" w:fill="auto"/>
            <w:noWrap/>
            <w:vAlign w:val="center"/>
            <w:hideMark/>
          </w:tcPr>
          <w:p w14:paraId="69CAD8A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p>
        </w:tc>
        <w:tc>
          <w:tcPr>
            <w:tcW w:w="1011" w:type="dxa"/>
            <w:tcBorders>
              <w:top w:val="nil"/>
              <w:left w:val="nil"/>
              <w:bottom w:val="nil"/>
              <w:right w:val="nil"/>
            </w:tcBorders>
            <w:shd w:val="clear" w:color="auto" w:fill="auto"/>
            <w:noWrap/>
            <w:vAlign w:val="center"/>
            <w:hideMark/>
          </w:tcPr>
          <w:p w14:paraId="25E70F69" w14:textId="77777777" w:rsidR="0067023F" w:rsidRPr="0067023F" w:rsidRDefault="0067023F" w:rsidP="0067023F">
            <w:pPr>
              <w:jc w:val="center"/>
              <w:rPr>
                <w:rFonts w:ascii="Times New Roman" w:eastAsia="Times New Roman" w:hAnsi="Times New Roman" w:cs="Times New Roman"/>
                <w:sz w:val="20"/>
                <w:szCs w:val="20"/>
                <w:lang w:eastAsia="en-GB"/>
              </w:rPr>
            </w:pPr>
          </w:p>
        </w:tc>
      </w:tr>
      <w:tr w:rsidR="0067023F" w:rsidRPr="0067023F" w14:paraId="5DD9B092" w14:textId="77777777" w:rsidTr="002031C9">
        <w:trPr>
          <w:trHeight w:val="264"/>
        </w:trPr>
        <w:tc>
          <w:tcPr>
            <w:tcW w:w="3857" w:type="dxa"/>
            <w:tcBorders>
              <w:top w:val="nil"/>
              <w:left w:val="nil"/>
              <w:bottom w:val="nil"/>
              <w:right w:val="nil"/>
            </w:tcBorders>
            <w:shd w:val="clear" w:color="auto" w:fill="auto"/>
            <w:noWrap/>
            <w:vAlign w:val="bottom"/>
            <w:hideMark/>
          </w:tcPr>
          <w:p w14:paraId="376DB40E"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xml:space="preserve">Recent </w:t>
            </w:r>
          </w:p>
        </w:tc>
        <w:tc>
          <w:tcPr>
            <w:tcW w:w="1328" w:type="dxa"/>
            <w:tcBorders>
              <w:top w:val="nil"/>
              <w:left w:val="nil"/>
              <w:bottom w:val="nil"/>
              <w:right w:val="nil"/>
            </w:tcBorders>
            <w:shd w:val="clear" w:color="auto" w:fill="auto"/>
            <w:noWrap/>
            <w:vAlign w:val="center"/>
            <w:hideMark/>
          </w:tcPr>
          <w:p w14:paraId="06A1451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0.55</w:t>
            </w:r>
          </w:p>
        </w:tc>
        <w:tc>
          <w:tcPr>
            <w:tcW w:w="789" w:type="dxa"/>
            <w:tcBorders>
              <w:top w:val="nil"/>
              <w:left w:val="nil"/>
              <w:bottom w:val="nil"/>
              <w:right w:val="nil"/>
            </w:tcBorders>
            <w:shd w:val="clear" w:color="auto" w:fill="auto"/>
            <w:noWrap/>
            <w:vAlign w:val="center"/>
            <w:hideMark/>
          </w:tcPr>
          <w:p w14:paraId="73E4728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0.14</w:t>
            </w:r>
          </w:p>
        </w:tc>
        <w:tc>
          <w:tcPr>
            <w:tcW w:w="1134" w:type="dxa"/>
            <w:tcBorders>
              <w:top w:val="nil"/>
              <w:left w:val="single" w:sz="4" w:space="0" w:color="auto"/>
              <w:bottom w:val="nil"/>
              <w:right w:val="nil"/>
            </w:tcBorders>
            <w:shd w:val="clear" w:color="auto" w:fill="auto"/>
            <w:noWrap/>
            <w:vAlign w:val="center"/>
            <w:hideMark/>
          </w:tcPr>
          <w:p w14:paraId="1E0B53F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0.42</w:t>
            </w:r>
          </w:p>
        </w:tc>
        <w:tc>
          <w:tcPr>
            <w:tcW w:w="1011" w:type="dxa"/>
            <w:tcBorders>
              <w:top w:val="nil"/>
              <w:left w:val="nil"/>
              <w:bottom w:val="nil"/>
              <w:right w:val="nil"/>
            </w:tcBorders>
            <w:shd w:val="clear" w:color="auto" w:fill="auto"/>
            <w:noWrap/>
            <w:vAlign w:val="center"/>
            <w:hideMark/>
          </w:tcPr>
          <w:p w14:paraId="33A1860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300.10</w:t>
            </w:r>
          </w:p>
        </w:tc>
        <w:tc>
          <w:tcPr>
            <w:tcW w:w="1011" w:type="dxa"/>
            <w:tcBorders>
              <w:top w:val="nil"/>
              <w:left w:val="nil"/>
              <w:bottom w:val="nil"/>
              <w:right w:val="nil"/>
            </w:tcBorders>
            <w:shd w:val="clear" w:color="auto" w:fill="auto"/>
            <w:noWrap/>
            <w:vAlign w:val="center"/>
            <w:hideMark/>
          </w:tcPr>
          <w:p w14:paraId="56A0473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2BDE757A" w14:textId="77777777" w:rsidTr="002031C9">
        <w:trPr>
          <w:trHeight w:val="264"/>
        </w:trPr>
        <w:tc>
          <w:tcPr>
            <w:tcW w:w="3857" w:type="dxa"/>
            <w:tcBorders>
              <w:top w:val="nil"/>
              <w:left w:val="nil"/>
              <w:bottom w:val="nil"/>
              <w:right w:val="nil"/>
            </w:tcBorders>
            <w:shd w:val="clear" w:color="auto" w:fill="auto"/>
            <w:noWrap/>
            <w:vAlign w:val="bottom"/>
            <w:hideMark/>
          </w:tcPr>
          <w:p w14:paraId="0357C0D6"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Regular</w:t>
            </w:r>
          </w:p>
        </w:tc>
        <w:tc>
          <w:tcPr>
            <w:tcW w:w="1328" w:type="dxa"/>
            <w:tcBorders>
              <w:top w:val="nil"/>
              <w:left w:val="nil"/>
              <w:bottom w:val="nil"/>
              <w:right w:val="nil"/>
            </w:tcBorders>
            <w:shd w:val="clear" w:color="auto" w:fill="auto"/>
            <w:noWrap/>
            <w:vAlign w:val="center"/>
            <w:hideMark/>
          </w:tcPr>
          <w:p w14:paraId="588D858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0.30</w:t>
            </w:r>
          </w:p>
        </w:tc>
        <w:tc>
          <w:tcPr>
            <w:tcW w:w="789" w:type="dxa"/>
            <w:tcBorders>
              <w:top w:val="nil"/>
              <w:left w:val="nil"/>
              <w:bottom w:val="nil"/>
              <w:right w:val="nil"/>
            </w:tcBorders>
            <w:shd w:val="clear" w:color="auto" w:fill="auto"/>
            <w:noWrap/>
            <w:vAlign w:val="center"/>
            <w:hideMark/>
          </w:tcPr>
          <w:p w14:paraId="4848068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0.03</w:t>
            </w:r>
          </w:p>
        </w:tc>
        <w:tc>
          <w:tcPr>
            <w:tcW w:w="1134" w:type="dxa"/>
            <w:tcBorders>
              <w:top w:val="nil"/>
              <w:left w:val="single" w:sz="4" w:space="0" w:color="auto"/>
              <w:bottom w:val="nil"/>
              <w:right w:val="nil"/>
            </w:tcBorders>
            <w:shd w:val="clear" w:color="auto" w:fill="auto"/>
            <w:noWrap/>
            <w:vAlign w:val="center"/>
            <w:hideMark/>
          </w:tcPr>
          <w:p w14:paraId="0E2E256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0.27</w:t>
            </w:r>
          </w:p>
        </w:tc>
        <w:tc>
          <w:tcPr>
            <w:tcW w:w="1011" w:type="dxa"/>
            <w:tcBorders>
              <w:top w:val="nil"/>
              <w:left w:val="nil"/>
              <w:bottom w:val="nil"/>
              <w:right w:val="nil"/>
            </w:tcBorders>
            <w:shd w:val="clear" w:color="auto" w:fill="auto"/>
            <w:noWrap/>
            <w:vAlign w:val="center"/>
            <w:hideMark/>
          </w:tcPr>
          <w:p w14:paraId="1B5DD68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246.27</w:t>
            </w:r>
          </w:p>
        </w:tc>
        <w:tc>
          <w:tcPr>
            <w:tcW w:w="1011" w:type="dxa"/>
            <w:tcBorders>
              <w:top w:val="nil"/>
              <w:left w:val="nil"/>
              <w:bottom w:val="nil"/>
              <w:right w:val="nil"/>
            </w:tcBorders>
            <w:shd w:val="clear" w:color="auto" w:fill="auto"/>
            <w:noWrap/>
            <w:vAlign w:val="center"/>
            <w:hideMark/>
          </w:tcPr>
          <w:p w14:paraId="79FAF6E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5AA91671" w14:textId="77777777" w:rsidTr="002031C9">
        <w:trPr>
          <w:trHeight w:val="264"/>
        </w:trPr>
        <w:tc>
          <w:tcPr>
            <w:tcW w:w="3857" w:type="dxa"/>
            <w:tcBorders>
              <w:top w:val="nil"/>
              <w:left w:val="nil"/>
              <w:bottom w:val="nil"/>
              <w:right w:val="nil"/>
            </w:tcBorders>
            <w:shd w:val="clear" w:color="auto" w:fill="auto"/>
            <w:noWrap/>
            <w:vAlign w:val="bottom"/>
            <w:hideMark/>
          </w:tcPr>
          <w:p w14:paraId="104D8B7C"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Regular before 1936 election</w:t>
            </w:r>
          </w:p>
        </w:tc>
        <w:tc>
          <w:tcPr>
            <w:tcW w:w="1328" w:type="dxa"/>
            <w:tcBorders>
              <w:top w:val="nil"/>
              <w:left w:val="nil"/>
              <w:bottom w:val="nil"/>
              <w:right w:val="nil"/>
            </w:tcBorders>
            <w:shd w:val="clear" w:color="auto" w:fill="auto"/>
            <w:noWrap/>
            <w:vAlign w:val="center"/>
            <w:hideMark/>
          </w:tcPr>
          <w:p w14:paraId="09ECD67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0.65</w:t>
            </w:r>
          </w:p>
        </w:tc>
        <w:tc>
          <w:tcPr>
            <w:tcW w:w="789" w:type="dxa"/>
            <w:tcBorders>
              <w:top w:val="nil"/>
              <w:left w:val="nil"/>
              <w:bottom w:val="nil"/>
              <w:right w:val="nil"/>
            </w:tcBorders>
            <w:shd w:val="clear" w:color="auto" w:fill="auto"/>
            <w:noWrap/>
            <w:vAlign w:val="center"/>
            <w:hideMark/>
          </w:tcPr>
          <w:p w14:paraId="5DEB379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0.15</w:t>
            </w:r>
          </w:p>
        </w:tc>
        <w:tc>
          <w:tcPr>
            <w:tcW w:w="1134" w:type="dxa"/>
            <w:tcBorders>
              <w:top w:val="nil"/>
              <w:left w:val="single" w:sz="4" w:space="0" w:color="auto"/>
              <w:bottom w:val="nil"/>
              <w:right w:val="nil"/>
            </w:tcBorders>
            <w:shd w:val="clear" w:color="auto" w:fill="auto"/>
            <w:noWrap/>
            <w:vAlign w:val="center"/>
            <w:hideMark/>
          </w:tcPr>
          <w:p w14:paraId="23C1735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0.50</w:t>
            </w:r>
          </w:p>
        </w:tc>
        <w:tc>
          <w:tcPr>
            <w:tcW w:w="1011" w:type="dxa"/>
            <w:tcBorders>
              <w:top w:val="nil"/>
              <w:left w:val="nil"/>
              <w:bottom w:val="nil"/>
              <w:right w:val="nil"/>
            </w:tcBorders>
            <w:shd w:val="clear" w:color="auto" w:fill="auto"/>
            <w:noWrap/>
            <w:vAlign w:val="center"/>
            <w:hideMark/>
          </w:tcPr>
          <w:p w14:paraId="4F72299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399.46</w:t>
            </w:r>
          </w:p>
        </w:tc>
        <w:tc>
          <w:tcPr>
            <w:tcW w:w="1011" w:type="dxa"/>
            <w:tcBorders>
              <w:top w:val="nil"/>
              <w:left w:val="nil"/>
              <w:bottom w:val="nil"/>
              <w:right w:val="nil"/>
            </w:tcBorders>
            <w:shd w:val="clear" w:color="auto" w:fill="auto"/>
            <w:noWrap/>
            <w:vAlign w:val="center"/>
            <w:hideMark/>
          </w:tcPr>
          <w:p w14:paraId="69B1878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1A35D687" w14:textId="77777777" w:rsidTr="002031C9">
        <w:trPr>
          <w:trHeight w:val="264"/>
        </w:trPr>
        <w:tc>
          <w:tcPr>
            <w:tcW w:w="3857" w:type="dxa"/>
            <w:tcBorders>
              <w:top w:val="nil"/>
              <w:left w:val="nil"/>
              <w:bottom w:val="nil"/>
              <w:right w:val="nil"/>
            </w:tcBorders>
            <w:shd w:val="clear" w:color="auto" w:fill="auto"/>
            <w:noWrap/>
            <w:vAlign w:val="bottom"/>
            <w:hideMark/>
          </w:tcPr>
          <w:p w14:paraId="23CEC312" w14:textId="77777777" w:rsidR="0067023F" w:rsidRPr="0067023F" w:rsidRDefault="0067023F" w:rsidP="0067023F">
            <w:pPr>
              <w:rPr>
                <w:rFonts w:ascii="Times New Roman" w:eastAsia="Times New Roman" w:hAnsi="Times New Roman" w:cs="Times New Roman"/>
                <w:b/>
                <w:bCs/>
                <w:color w:val="000000"/>
                <w:sz w:val="22"/>
                <w:szCs w:val="22"/>
                <w:lang w:eastAsia="en-GB"/>
              </w:rPr>
            </w:pPr>
            <w:r w:rsidRPr="0067023F">
              <w:rPr>
                <w:rFonts w:ascii="Times New Roman" w:eastAsia="Times New Roman" w:hAnsi="Times New Roman" w:cs="Times New Roman"/>
                <w:b/>
                <w:bCs/>
                <w:color w:val="000000"/>
                <w:sz w:val="22"/>
                <w:szCs w:val="22"/>
                <w:lang w:eastAsia="en-GB"/>
              </w:rPr>
              <w:t>Occupation</w:t>
            </w:r>
          </w:p>
        </w:tc>
        <w:tc>
          <w:tcPr>
            <w:tcW w:w="1328" w:type="dxa"/>
            <w:tcBorders>
              <w:top w:val="nil"/>
              <w:left w:val="nil"/>
              <w:bottom w:val="nil"/>
              <w:right w:val="nil"/>
            </w:tcBorders>
            <w:shd w:val="clear" w:color="auto" w:fill="auto"/>
            <w:noWrap/>
            <w:vAlign w:val="center"/>
            <w:hideMark/>
          </w:tcPr>
          <w:p w14:paraId="4E1E5118" w14:textId="77777777" w:rsidR="0067023F" w:rsidRPr="0067023F" w:rsidRDefault="0067023F" w:rsidP="0067023F">
            <w:pPr>
              <w:rPr>
                <w:rFonts w:ascii="Times New Roman" w:eastAsia="Times New Roman" w:hAnsi="Times New Roman" w:cs="Times New Roman"/>
                <w:b/>
                <w:bCs/>
                <w:color w:val="000000"/>
                <w:sz w:val="22"/>
                <w:szCs w:val="22"/>
                <w:lang w:eastAsia="en-GB"/>
              </w:rPr>
            </w:pPr>
          </w:p>
        </w:tc>
        <w:tc>
          <w:tcPr>
            <w:tcW w:w="789" w:type="dxa"/>
            <w:tcBorders>
              <w:top w:val="nil"/>
              <w:left w:val="nil"/>
              <w:bottom w:val="nil"/>
              <w:right w:val="nil"/>
            </w:tcBorders>
            <w:shd w:val="clear" w:color="auto" w:fill="auto"/>
            <w:noWrap/>
            <w:vAlign w:val="center"/>
            <w:hideMark/>
          </w:tcPr>
          <w:p w14:paraId="7C19F176" w14:textId="77777777" w:rsidR="0067023F" w:rsidRPr="0067023F" w:rsidRDefault="0067023F" w:rsidP="0067023F">
            <w:pPr>
              <w:jc w:val="center"/>
              <w:rPr>
                <w:rFonts w:ascii="Times New Roman" w:eastAsia="Times New Roman" w:hAnsi="Times New Roman" w:cs="Times New Roman"/>
                <w:sz w:val="20"/>
                <w:szCs w:val="20"/>
                <w:lang w:eastAsia="en-GB"/>
              </w:rPr>
            </w:pPr>
          </w:p>
        </w:tc>
        <w:tc>
          <w:tcPr>
            <w:tcW w:w="1134" w:type="dxa"/>
            <w:tcBorders>
              <w:top w:val="nil"/>
              <w:left w:val="single" w:sz="4" w:space="0" w:color="auto"/>
              <w:bottom w:val="nil"/>
              <w:right w:val="nil"/>
            </w:tcBorders>
            <w:shd w:val="clear" w:color="auto" w:fill="auto"/>
            <w:noWrap/>
            <w:vAlign w:val="center"/>
            <w:hideMark/>
          </w:tcPr>
          <w:p w14:paraId="0A5143B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011" w:type="dxa"/>
            <w:tcBorders>
              <w:top w:val="nil"/>
              <w:left w:val="nil"/>
              <w:bottom w:val="nil"/>
              <w:right w:val="nil"/>
            </w:tcBorders>
            <w:shd w:val="clear" w:color="auto" w:fill="auto"/>
            <w:noWrap/>
            <w:vAlign w:val="center"/>
            <w:hideMark/>
          </w:tcPr>
          <w:p w14:paraId="6A9F831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p>
        </w:tc>
        <w:tc>
          <w:tcPr>
            <w:tcW w:w="1011" w:type="dxa"/>
            <w:tcBorders>
              <w:top w:val="nil"/>
              <w:left w:val="nil"/>
              <w:bottom w:val="nil"/>
              <w:right w:val="nil"/>
            </w:tcBorders>
            <w:shd w:val="clear" w:color="auto" w:fill="auto"/>
            <w:noWrap/>
            <w:vAlign w:val="center"/>
            <w:hideMark/>
          </w:tcPr>
          <w:p w14:paraId="047511BB" w14:textId="77777777" w:rsidR="0067023F" w:rsidRPr="0067023F" w:rsidRDefault="0067023F" w:rsidP="0067023F">
            <w:pPr>
              <w:jc w:val="center"/>
              <w:rPr>
                <w:rFonts w:ascii="Times New Roman" w:eastAsia="Times New Roman" w:hAnsi="Times New Roman" w:cs="Times New Roman"/>
                <w:sz w:val="20"/>
                <w:szCs w:val="20"/>
                <w:lang w:eastAsia="en-GB"/>
              </w:rPr>
            </w:pPr>
          </w:p>
        </w:tc>
      </w:tr>
      <w:tr w:rsidR="0067023F" w:rsidRPr="0067023F" w14:paraId="7EFB4751" w14:textId="77777777" w:rsidTr="002031C9">
        <w:trPr>
          <w:trHeight w:val="264"/>
        </w:trPr>
        <w:tc>
          <w:tcPr>
            <w:tcW w:w="3857" w:type="dxa"/>
            <w:tcBorders>
              <w:top w:val="nil"/>
              <w:left w:val="nil"/>
              <w:bottom w:val="nil"/>
              <w:right w:val="nil"/>
            </w:tcBorders>
            <w:shd w:val="clear" w:color="auto" w:fill="auto"/>
            <w:noWrap/>
            <w:vAlign w:val="bottom"/>
            <w:hideMark/>
          </w:tcPr>
          <w:p w14:paraId="1E73B73C"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Professional</w:t>
            </w:r>
          </w:p>
        </w:tc>
        <w:tc>
          <w:tcPr>
            <w:tcW w:w="1328" w:type="dxa"/>
            <w:tcBorders>
              <w:top w:val="nil"/>
              <w:left w:val="nil"/>
              <w:bottom w:val="nil"/>
              <w:right w:val="nil"/>
            </w:tcBorders>
            <w:shd w:val="clear" w:color="auto" w:fill="auto"/>
            <w:noWrap/>
            <w:vAlign w:val="center"/>
            <w:hideMark/>
          </w:tcPr>
          <w:p w14:paraId="5849497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0.08</w:t>
            </w:r>
          </w:p>
        </w:tc>
        <w:tc>
          <w:tcPr>
            <w:tcW w:w="789" w:type="dxa"/>
            <w:tcBorders>
              <w:top w:val="nil"/>
              <w:left w:val="nil"/>
              <w:bottom w:val="nil"/>
              <w:right w:val="nil"/>
            </w:tcBorders>
            <w:shd w:val="clear" w:color="auto" w:fill="auto"/>
            <w:noWrap/>
            <w:vAlign w:val="center"/>
            <w:hideMark/>
          </w:tcPr>
          <w:p w14:paraId="0E9558A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0.09</w:t>
            </w:r>
          </w:p>
        </w:tc>
        <w:tc>
          <w:tcPr>
            <w:tcW w:w="1134" w:type="dxa"/>
            <w:tcBorders>
              <w:top w:val="nil"/>
              <w:left w:val="single" w:sz="4" w:space="0" w:color="auto"/>
              <w:bottom w:val="nil"/>
              <w:right w:val="nil"/>
            </w:tcBorders>
            <w:shd w:val="clear" w:color="auto" w:fill="auto"/>
            <w:noWrap/>
            <w:vAlign w:val="center"/>
            <w:hideMark/>
          </w:tcPr>
          <w:p w14:paraId="12774F3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c>
          <w:tcPr>
            <w:tcW w:w="1011" w:type="dxa"/>
            <w:tcBorders>
              <w:top w:val="nil"/>
              <w:left w:val="nil"/>
              <w:bottom w:val="nil"/>
              <w:right w:val="nil"/>
            </w:tcBorders>
            <w:shd w:val="clear" w:color="auto" w:fill="auto"/>
            <w:noWrap/>
            <w:vAlign w:val="center"/>
            <w:hideMark/>
          </w:tcPr>
          <w:p w14:paraId="0625F80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0.05</w:t>
            </w:r>
          </w:p>
        </w:tc>
        <w:tc>
          <w:tcPr>
            <w:tcW w:w="1011" w:type="dxa"/>
            <w:tcBorders>
              <w:top w:val="nil"/>
              <w:left w:val="nil"/>
              <w:bottom w:val="nil"/>
              <w:right w:val="nil"/>
            </w:tcBorders>
            <w:shd w:val="clear" w:color="auto" w:fill="auto"/>
            <w:noWrap/>
            <w:vAlign w:val="center"/>
            <w:hideMark/>
          </w:tcPr>
          <w:p w14:paraId="79A9B7C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0.83</w:t>
            </w:r>
          </w:p>
        </w:tc>
      </w:tr>
      <w:tr w:rsidR="0067023F" w:rsidRPr="0067023F" w14:paraId="10327ACC" w14:textId="77777777" w:rsidTr="002031C9">
        <w:trPr>
          <w:trHeight w:val="264"/>
        </w:trPr>
        <w:tc>
          <w:tcPr>
            <w:tcW w:w="3857" w:type="dxa"/>
            <w:tcBorders>
              <w:top w:val="nil"/>
              <w:left w:val="nil"/>
              <w:bottom w:val="nil"/>
              <w:right w:val="nil"/>
            </w:tcBorders>
            <w:shd w:val="clear" w:color="auto" w:fill="auto"/>
            <w:noWrap/>
            <w:vAlign w:val="bottom"/>
            <w:hideMark/>
          </w:tcPr>
          <w:p w14:paraId="08EBF753"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White Collar</w:t>
            </w:r>
          </w:p>
        </w:tc>
        <w:tc>
          <w:tcPr>
            <w:tcW w:w="1328" w:type="dxa"/>
            <w:tcBorders>
              <w:top w:val="nil"/>
              <w:left w:val="nil"/>
              <w:bottom w:val="nil"/>
              <w:right w:val="nil"/>
            </w:tcBorders>
            <w:shd w:val="clear" w:color="auto" w:fill="auto"/>
            <w:noWrap/>
            <w:vAlign w:val="center"/>
            <w:hideMark/>
          </w:tcPr>
          <w:p w14:paraId="5F7BD93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0.15</w:t>
            </w:r>
          </w:p>
        </w:tc>
        <w:tc>
          <w:tcPr>
            <w:tcW w:w="789" w:type="dxa"/>
            <w:tcBorders>
              <w:top w:val="nil"/>
              <w:left w:val="nil"/>
              <w:bottom w:val="nil"/>
              <w:right w:val="nil"/>
            </w:tcBorders>
            <w:shd w:val="clear" w:color="auto" w:fill="auto"/>
            <w:noWrap/>
            <w:vAlign w:val="center"/>
            <w:hideMark/>
          </w:tcPr>
          <w:p w14:paraId="2D49A17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0.15</w:t>
            </w:r>
          </w:p>
        </w:tc>
        <w:tc>
          <w:tcPr>
            <w:tcW w:w="1134" w:type="dxa"/>
            <w:tcBorders>
              <w:top w:val="nil"/>
              <w:left w:val="single" w:sz="4" w:space="0" w:color="auto"/>
              <w:bottom w:val="nil"/>
              <w:right w:val="nil"/>
            </w:tcBorders>
            <w:shd w:val="clear" w:color="auto" w:fill="auto"/>
            <w:noWrap/>
            <w:vAlign w:val="center"/>
            <w:hideMark/>
          </w:tcPr>
          <w:p w14:paraId="7CC46E2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c>
          <w:tcPr>
            <w:tcW w:w="1011" w:type="dxa"/>
            <w:tcBorders>
              <w:top w:val="nil"/>
              <w:left w:val="nil"/>
              <w:bottom w:val="nil"/>
              <w:right w:val="nil"/>
            </w:tcBorders>
            <w:shd w:val="clear" w:color="auto" w:fill="auto"/>
            <w:noWrap/>
            <w:vAlign w:val="center"/>
            <w:hideMark/>
          </w:tcPr>
          <w:p w14:paraId="16C2CE2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0.02</w:t>
            </w:r>
          </w:p>
        </w:tc>
        <w:tc>
          <w:tcPr>
            <w:tcW w:w="1011" w:type="dxa"/>
            <w:tcBorders>
              <w:top w:val="nil"/>
              <w:left w:val="nil"/>
              <w:bottom w:val="nil"/>
              <w:right w:val="nil"/>
            </w:tcBorders>
            <w:shd w:val="clear" w:color="auto" w:fill="auto"/>
            <w:noWrap/>
            <w:vAlign w:val="center"/>
            <w:hideMark/>
          </w:tcPr>
          <w:p w14:paraId="4A6B449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0.90</w:t>
            </w:r>
          </w:p>
        </w:tc>
      </w:tr>
      <w:tr w:rsidR="0067023F" w:rsidRPr="0067023F" w14:paraId="56871BA3" w14:textId="77777777" w:rsidTr="002031C9">
        <w:trPr>
          <w:trHeight w:val="264"/>
        </w:trPr>
        <w:tc>
          <w:tcPr>
            <w:tcW w:w="3857" w:type="dxa"/>
            <w:tcBorders>
              <w:top w:val="nil"/>
              <w:left w:val="nil"/>
              <w:bottom w:val="nil"/>
              <w:right w:val="nil"/>
            </w:tcBorders>
            <w:shd w:val="clear" w:color="auto" w:fill="auto"/>
            <w:noWrap/>
            <w:vAlign w:val="bottom"/>
            <w:hideMark/>
          </w:tcPr>
          <w:p w14:paraId="7B9D8AD8"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Labour</w:t>
            </w:r>
          </w:p>
        </w:tc>
        <w:tc>
          <w:tcPr>
            <w:tcW w:w="1328" w:type="dxa"/>
            <w:tcBorders>
              <w:top w:val="nil"/>
              <w:left w:val="nil"/>
              <w:bottom w:val="nil"/>
              <w:right w:val="nil"/>
            </w:tcBorders>
            <w:shd w:val="clear" w:color="auto" w:fill="auto"/>
            <w:noWrap/>
            <w:vAlign w:val="center"/>
            <w:hideMark/>
          </w:tcPr>
          <w:p w14:paraId="65E47D2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0.33</w:t>
            </w:r>
          </w:p>
        </w:tc>
        <w:tc>
          <w:tcPr>
            <w:tcW w:w="789" w:type="dxa"/>
            <w:tcBorders>
              <w:top w:val="nil"/>
              <w:left w:val="nil"/>
              <w:bottom w:val="nil"/>
              <w:right w:val="nil"/>
            </w:tcBorders>
            <w:shd w:val="clear" w:color="auto" w:fill="auto"/>
            <w:noWrap/>
            <w:vAlign w:val="center"/>
            <w:hideMark/>
          </w:tcPr>
          <w:p w14:paraId="09A1FE3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0.24</w:t>
            </w:r>
          </w:p>
        </w:tc>
        <w:tc>
          <w:tcPr>
            <w:tcW w:w="1134" w:type="dxa"/>
            <w:tcBorders>
              <w:top w:val="nil"/>
              <w:left w:val="single" w:sz="4" w:space="0" w:color="auto"/>
              <w:bottom w:val="nil"/>
              <w:right w:val="nil"/>
            </w:tcBorders>
            <w:shd w:val="clear" w:color="auto" w:fill="auto"/>
            <w:noWrap/>
            <w:vAlign w:val="center"/>
            <w:hideMark/>
          </w:tcPr>
          <w:p w14:paraId="26A31F1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0.09</w:t>
            </w:r>
          </w:p>
        </w:tc>
        <w:tc>
          <w:tcPr>
            <w:tcW w:w="1011" w:type="dxa"/>
            <w:tcBorders>
              <w:top w:val="nil"/>
              <w:left w:val="nil"/>
              <w:bottom w:val="nil"/>
              <w:right w:val="nil"/>
            </w:tcBorders>
            <w:shd w:val="clear" w:color="auto" w:fill="auto"/>
            <w:noWrap/>
            <w:vAlign w:val="center"/>
            <w:hideMark/>
          </w:tcPr>
          <w:p w14:paraId="5AEB656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11.55</w:t>
            </w:r>
          </w:p>
        </w:tc>
        <w:tc>
          <w:tcPr>
            <w:tcW w:w="1011" w:type="dxa"/>
            <w:tcBorders>
              <w:top w:val="nil"/>
              <w:left w:val="nil"/>
              <w:bottom w:val="nil"/>
              <w:right w:val="nil"/>
            </w:tcBorders>
            <w:shd w:val="clear" w:color="auto" w:fill="auto"/>
            <w:noWrap/>
            <w:vAlign w:val="center"/>
            <w:hideMark/>
          </w:tcPr>
          <w:p w14:paraId="139F04C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1143C6D0" w14:textId="77777777" w:rsidTr="002031C9">
        <w:trPr>
          <w:trHeight w:val="264"/>
        </w:trPr>
        <w:tc>
          <w:tcPr>
            <w:tcW w:w="3857" w:type="dxa"/>
            <w:tcBorders>
              <w:top w:val="nil"/>
              <w:left w:val="nil"/>
              <w:bottom w:val="nil"/>
              <w:right w:val="nil"/>
            </w:tcBorders>
            <w:shd w:val="clear" w:color="auto" w:fill="auto"/>
            <w:noWrap/>
            <w:vAlign w:val="bottom"/>
            <w:hideMark/>
          </w:tcPr>
          <w:p w14:paraId="183C11C9"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Unemployed</w:t>
            </w:r>
          </w:p>
        </w:tc>
        <w:tc>
          <w:tcPr>
            <w:tcW w:w="1328" w:type="dxa"/>
            <w:tcBorders>
              <w:top w:val="nil"/>
              <w:left w:val="nil"/>
              <w:bottom w:val="nil"/>
              <w:right w:val="nil"/>
            </w:tcBorders>
            <w:shd w:val="clear" w:color="auto" w:fill="auto"/>
            <w:noWrap/>
            <w:vAlign w:val="center"/>
            <w:hideMark/>
          </w:tcPr>
          <w:p w14:paraId="5383102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0.19</w:t>
            </w:r>
          </w:p>
        </w:tc>
        <w:tc>
          <w:tcPr>
            <w:tcW w:w="789" w:type="dxa"/>
            <w:tcBorders>
              <w:top w:val="nil"/>
              <w:left w:val="nil"/>
              <w:bottom w:val="nil"/>
              <w:right w:val="nil"/>
            </w:tcBorders>
            <w:shd w:val="clear" w:color="auto" w:fill="auto"/>
            <w:noWrap/>
            <w:vAlign w:val="center"/>
            <w:hideMark/>
          </w:tcPr>
          <w:p w14:paraId="660EA01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0.17</w:t>
            </w:r>
          </w:p>
        </w:tc>
        <w:tc>
          <w:tcPr>
            <w:tcW w:w="1134" w:type="dxa"/>
            <w:tcBorders>
              <w:top w:val="nil"/>
              <w:left w:val="single" w:sz="4" w:space="0" w:color="auto"/>
              <w:bottom w:val="nil"/>
              <w:right w:val="nil"/>
            </w:tcBorders>
            <w:shd w:val="clear" w:color="auto" w:fill="auto"/>
            <w:noWrap/>
            <w:vAlign w:val="center"/>
            <w:hideMark/>
          </w:tcPr>
          <w:p w14:paraId="5A20BE5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0.02</w:t>
            </w:r>
          </w:p>
        </w:tc>
        <w:tc>
          <w:tcPr>
            <w:tcW w:w="1011" w:type="dxa"/>
            <w:tcBorders>
              <w:top w:val="nil"/>
              <w:left w:val="nil"/>
              <w:bottom w:val="nil"/>
              <w:right w:val="nil"/>
            </w:tcBorders>
            <w:shd w:val="clear" w:color="auto" w:fill="auto"/>
            <w:noWrap/>
            <w:vAlign w:val="center"/>
            <w:hideMark/>
          </w:tcPr>
          <w:p w14:paraId="3531FE1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0.71</w:t>
            </w:r>
          </w:p>
        </w:tc>
        <w:tc>
          <w:tcPr>
            <w:tcW w:w="1011" w:type="dxa"/>
            <w:tcBorders>
              <w:top w:val="nil"/>
              <w:left w:val="nil"/>
              <w:bottom w:val="nil"/>
              <w:right w:val="nil"/>
            </w:tcBorders>
            <w:shd w:val="clear" w:color="auto" w:fill="auto"/>
            <w:noWrap/>
            <w:vAlign w:val="center"/>
            <w:hideMark/>
          </w:tcPr>
          <w:p w14:paraId="59EDC24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0.40</w:t>
            </w:r>
          </w:p>
        </w:tc>
      </w:tr>
      <w:tr w:rsidR="0067023F" w:rsidRPr="0067023F" w14:paraId="7769DECF" w14:textId="77777777" w:rsidTr="002031C9">
        <w:trPr>
          <w:trHeight w:val="264"/>
        </w:trPr>
        <w:tc>
          <w:tcPr>
            <w:tcW w:w="3857" w:type="dxa"/>
            <w:tcBorders>
              <w:top w:val="nil"/>
              <w:left w:val="nil"/>
              <w:bottom w:val="nil"/>
              <w:right w:val="nil"/>
            </w:tcBorders>
            <w:shd w:val="clear" w:color="auto" w:fill="auto"/>
            <w:noWrap/>
            <w:vAlign w:val="bottom"/>
            <w:hideMark/>
          </w:tcPr>
          <w:p w14:paraId="702ECDEF"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None/Other</w:t>
            </w:r>
          </w:p>
        </w:tc>
        <w:tc>
          <w:tcPr>
            <w:tcW w:w="1328" w:type="dxa"/>
            <w:tcBorders>
              <w:top w:val="nil"/>
              <w:left w:val="nil"/>
              <w:bottom w:val="nil"/>
              <w:right w:val="nil"/>
            </w:tcBorders>
            <w:shd w:val="clear" w:color="auto" w:fill="auto"/>
            <w:noWrap/>
            <w:vAlign w:val="center"/>
            <w:hideMark/>
          </w:tcPr>
          <w:p w14:paraId="4E9F48C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0.09</w:t>
            </w:r>
          </w:p>
        </w:tc>
        <w:tc>
          <w:tcPr>
            <w:tcW w:w="789" w:type="dxa"/>
            <w:tcBorders>
              <w:top w:val="nil"/>
              <w:left w:val="nil"/>
              <w:bottom w:val="nil"/>
              <w:right w:val="nil"/>
            </w:tcBorders>
            <w:shd w:val="clear" w:color="auto" w:fill="auto"/>
            <w:noWrap/>
            <w:vAlign w:val="center"/>
            <w:hideMark/>
          </w:tcPr>
          <w:p w14:paraId="4FB6E29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0.14</w:t>
            </w:r>
          </w:p>
        </w:tc>
        <w:tc>
          <w:tcPr>
            <w:tcW w:w="1134" w:type="dxa"/>
            <w:tcBorders>
              <w:top w:val="nil"/>
              <w:left w:val="single" w:sz="4" w:space="0" w:color="auto"/>
              <w:bottom w:val="nil"/>
              <w:right w:val="nil"/>
            </w:tcBorders>
            <w:shd w:val="clear" w:color="auto" w:fill="auto"/>
            <w:noWrap/>
            <w:vAlign w:val="center"/>
            <w:hideMark/>
          </w:tcPr>
          <w:p w14:paraId="361E8EF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-0.04</w:t>
            </w:r>
          </w:p>
        </w:tc>
        <w:tc>
          <w:tcPr>
            <w:tcW w:w="1011" w:type="dxa"/>
            <w:tcBorders>
              <w:top w:val="nil"/>
              <w:left w:val="nil"/>
              <w:bottom w:val="nil"/>
              <w:right w:val="nil"/>
            </w:tcBorders>
            <w:shd w:val="clear" w:color="auto" w:fill="auto"/>
            <w:noWrap/>
            <w:vAlign w:val="center"/>
            <w:hideMark/>
          </w:tcPr>
          <w:p w14:paraId="4D5FA61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4.34</w:t>
            </w:r>
          </w:p>
        </w:tc>
        <w:tc>
          <w:tcPr>
            <w:tcW w:w="1011" w:type="dxa"/>
            <w:tcBorders>
              <w:top w:val="nil"/>
              <w:left w:val="nil"/>
              <w:bottom w:val="nil"/>
              <w:right w:val="nil"/>
            </w:tcBorders>
            <w:shd w:val="clear" w:color="auto" w:fill="auto"/>
            <w:noWrap/>
            <w:vAlign w:val="center"/>
            <w:hideMark/>
          </w:tcPr>
          <w:p w14:paraId="6972E28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0.04</w:t>
            </w:r>
          </w:p>
        </w:tc>
      </w:tr>
      <w:tr w:rsidR="0067023F" w:rsidRPr="0067023F" w14:paraId="429B5148" w14:textId="77777777" w:rsidTr="002031C9">
        <w:trPr>
          <w:trHeight w:val="264"/>
        </w:trPr>
        <w:tc>
          <w:tcPr>
            <w:tcW w:w="3857" w:type="dxa"/>
            <w:tcBorders>
              <w:top w:val="nil"/>
              <w:left w:val="nil"/>
              <w:bottom w:val="nil"/>
              <w:right w:val="nil"/>
            </w:tcBorders>
            <w:shd w:val="clear" w:color="auto" w:fill="auto"/>
            <w:noWrap/>
            <w:vAlign w:val="bottom"/>
            <w:hideMark/>
          </w:tcPr>
          <w:p w14:paraId="3395B61E"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Farmer</w:t>
            </w:r>
          </w:p>
        </w:tc>
        <w:tc>
          <w:tcPr>
            <w:tcW w:w="1328" w:type="dxa"/>
            <w:tcBorders>
              <w:top w:val="nil"/>
              <w:left w:val="nil"/>
              <w:bottom w:val="nil"/>
              <w:right w:val="nil"/>
            </w:tcBorders>
            <w:shd w:val="clear" w:color="auto" w:fill="auto"/>
            <w:noWrap/>
            <w:vAlign w:val="center"/>
            <w:hideMark/>
          </w:tcPr>
          <w:p w14:paraId="11786DC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0.15</w:t>
            </w:r>
          </w:p>
        </w:tc>
        <w:tc>
          <w:tcPr>
            <w:tcW w:w="789" w:type="dxa"/>
            <w:tcBorders>
              <w:top w:val="nil"/>
              <w:left w:val="nil"/>
              <w:bottom w:val="nil"/>
              <w:right w:val="nil"/>
            </w:tcBorders>
            <w:shd w:val="clear" w:color="auto" w:fill="auto"/>
            <w:noWrap/>
            <w:vAlign w:val="center"/>
            <w:hideMark/>
          </w:tcPr>
          <w:p w14:paraId="541711D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0.22</w:t>
            </w:r>
          </w:p>
        </w:tc>
        <w:tc>
          <w:tcPr>
            <w:tcW w:w="1134" w:type="dxa"/>
            <w:tcBorders>
              <w:top w:val="nil"/>
              <w:left w:val="single" w:sz="4" w:space="0" w:color="auto"/>
              <w:bottom w:val="nil"/>
              <w:right w:val="nil"/>
            </w:tcBorders>
            <w:shd w:val="clear" w:color="auto" w:fill="auto"/>
            <w:noWrap/>
            <w:vAlign w:val="center"/>
            <w:hideMark/>
          </w:tcPr>
          <w:p w14:paraId="1414AD6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-0.07</w:t>
            </w:r>
          </w:p>
        </w:tc>
        <w:tc>
          <w:tcPr>
            <w:tcW w:w="1011" w:type="dxa"/>
            <w:tcBorders>
              <w:top w:val="nil"/>
              <w:left w:val="nil"/>
              <w:bottom w:val="nil"/>
              <w:right w:val="nil"/>
            </w:tcBorders>
            <w:shd w:val="clear" w:color="auto" w:fill="auto"/>
            <w:noWrap/>
            <w:vAlign w:val="center"/>
            <w:hideMark/>
          </w:tcPr>
          <w:p w14:paraId="784C9CF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10.56</w:t>
            </w:r>
          </w:p>
        </w:tc>
        <w:tc>
          <w:tcPr>
            <w:tcW w:w="1011" w:type="dxa"/>
            <w:tcBorders>
              <w:top w:val="nil"/>
              <w:left w:val="nil"/>
              <w:bottom w:val="nil"/>
              <w:right w:val="nil"/>
            </w:tcBorders>
            <w:shd w:val="clear" w:color="auto" w:fill="auto"/>
            <w:noWrap/>
            <w:vAlign w:val="center"/>
            <w:hideMark/>
          </w:tcPr>
          <w:p w14:paraId="2E2E55B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2F16FA12" w14:textId="77777777" w:rsidTr="002031C9">
        <w:trPr>
          <w:trHeight w:val="264"/>
        </w:trPr>
        <w:tc>
          <w:tcPr>
            <w:tcW w:w="3857" w:type="dxa"/>
            <w:tcBorders>
              <w:top w:val="nil"/>
              <w:left w:val="nil"/>
              <w:bottom w:val="nil"/>
              <w:right w:val="nil"/>
            </w:tcBorders>
            <w:shd w:val="clear" w:color="auto" w:fill="auto"/>
            <w:noWrap/>
            <w:vAlign w:val="bottom"/>
            <w:hideMark/>
          </w:tcPr>
          <w:p w14:paraId="5B89FE09" w14:textId="77777777" w:rsidR="0067023F" w:rsidRPr="0067023F" w:rsidRDefault="0067023F" w:rsidP="0067023F">
            <w:pPr>
              <w:rPr>
                <w:rFonts w:ascii="Times New Roman" w:eastAsia="Times New Roman" w:hAnsi="Times New Roman" w:cs="Times New Roman"/>
                <w:b/>
                <w:bCs/>
                <w:color w:val="000000"/>
                <w:sz w:val="22"/>
                <w:szCs w:val="22"/>
                <w:lang w:eastAsia="en-GB"/>
              </w:rPr>
            </w:pPr>
            <w:r w:rsidRPr="0067023F">
              <w:rPr>
                <w:rFonts w:ascii="Times New Roman" w:eastAsia="Times New Roman" w:hAnsi="Times New Roman" w:cs="Times New Roman"/>
                <w:b/>
                <w:bCs/>
                <w:color w:val="000000"/>
                <w:sz w:val="22"/>
                <w:szCs w:val="22"/>
                <w:lang w:eastAsia="en-GB"/>
              </w:rPr>
              <w:t>Geographic</w:t>
            </w:r>
          </w:p>
        </w:tc>
        <w:tc>
          <w:tcPr>
            <w:tcW w:w="1328" w:type="dxa"/>
            <w:tcBorders>
              <w:top w:val="nil"/>
              <w:left w:val="nil"/>
              <w:bottom w:val="nil"/>
              <w:right w:val="nil"/>
            </w:tcBorders>
            <w:shd w:val="clear" w:color="auto" w:fill="auto"/>
            <w:noWrap/>
            <w:vAlign w:val="center"/>
            <w:hideMark/>
          </w:tcPr>
          <w:p w14:paraId="57E39907" w14:textId="77777777" w:rsidR="0067023F" w:rsidRPr="0067023F" w:rsidRDefault="0067023F" w:rsidP="0067023F">
            <w:pPr>
              <w:rPr>
                <w:rFonts w:ascii="Times New Roman" w:eastAsia="Times New Roman" w:hAnsi="Times New Roman" w:cs="Times New Roman"/>
                <w:b/>
                <w:bCs/>
                <w:color w:val="000000"/>
                <w:sz w:val="22"/>
                <w:szCs w:val="22"/>
                <w:lang w:eastAsia="en-GB"/>
              </w:rPr>
            </w:pPr>
          </w:p>
        </w:tc>
        <w:tc>
          <w:tcPr>
            <w:tcW w:w="789" w:type="dxa"/>
            <w:tcBorders>
              <w:top w:val="nil"/>
              <w:left w:val="nil"/>
              <w:bottom w:val="nil"/>
              <w:right w:val="nil"/>
            </w:tcBorders>
            <w:shd w:val="clear" w:color="auto" w:fill="auto"/>
            <w:noWrap/>
            <w:vAlign w:val="center"/>
            <w:hideMark/>
          </w:tcPr>
          <w:p w14:paraId="517281C0" w14:textId="77777777" w:rsidR="0067023F" w:rsidRPr="0067023F" w:rsidRDefault="0067023F" w:rsidP="0067023F">
            <w:pPr>
              <w:jc w:val="center"/>
              <w:rPr>
                <w:rFonts w:ascii="Times New Roman" w:eastAsia="Times New Roman" w:hAnsi="Times New Roman" w:cs="Times New Roman"/>
                <w:sz w:val="20"/>
                <w:szCs w:val="20"/>
                <w:lang w:eastAsia="en-GB"/>
              </w:rPr>
            </w:pPr>
          </w:p>
        </w:tc>
        <w:tc>
          <w:tcPr>
            <w:tcW w:w="1134" w:type="dxa"/>
            <w:tcBorders>
              <w:top w:val="nil"/>
              <w:left w:val="single" w:sz="4" w:space="0" w:color="auto"/>
              <w:bottom w:val="nil"/>
              <w:right w:val="nil"/>
            </w:tcBorders>
            <w:shd w:val="clear" w:color="auto" w:fill="auto"/>
            <w:noWrap/>
            <w:vAlign w:val="center"/>
            <w:hideMark/>
          </w:tcPr>
          <w:p w14:paraId="30E8854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011" w:type="dxa"/>
            <w:tcBorders>
              <w:top w:val="nil"/>
              <w:left w:val="nil"/>
              <w:bottom w:val="nil"/>
              <w:right w:val="nil"/>
            </w:tcBorders>
            <w:shd w:val="clear" w:color="auto" w:fill="auto"/>
            <w:noWrap/>
            <w:vAlign w:val="center"/>
            <w:hideMark/>
          </w:tcPr>
          <w:p w14:paraId="634DEF8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p>
        </w:tc>
        <w:tc>
          <w:tcPr>
            <w:tcW w:w="1011" w:type="dxa"/>
            <w:tcBorders>
              <w:top w:val="nil"/>
              <w:left w:val="nil"/>
              <w:bottom w:val="nil"/>
              <w:right w:val="nil"/>
            </w:tcBorders>
            <w:shd w:val="clear" w:color="auto" w:fill="auto"/>
            <w:noWrap/>
            <w:vAlign w:val="center"/>
            <w:hideMark/>
          </w:tcPr>
          <w:p w14:paraId="3FEAD5C0" w14:textId="77777777" w:rsidR="0067023F" w:rsidRPr="0067023F" w:rsidRDefault="0067023F" w:rsidP="0067023F">
            <w:pPr>
              <w:jc w:val="center"/>
              <w:rPr>
                <w:rFonts w:ascii="Times New Roman" w:eastAsia="Times New Roman" w:hAnsi="Times New Roman" w:cs="Times New Roman"/>
                <w:sz w:val="20"/>
                <w:szCs w:val="20"/>
                <w:lang w:eastAsia="en-GB"/>
              </w:rPr>
            </w:pPr>
          </w:p>
        </w:tc>
      </w:tr>
      <w:tr w:rsidR="0067023F" w:rsidRPr="0067023F" w14:paraId="482E0EA2" w14:textId="77777777" w:rsidTr="002031C9">
        <w:trPr>
          <w:trHeight w:val="264"/>
        </w:trPr>
        <w:tc>
          <w:tcPr>
            <w:tcW w:w="3857" w:type="dxa"/>
            <w:tcBorders>
              <w:top w:val="nil"/>
              <w:left w:val="nil"/>
              <w:bottom w:val="nil"/>
              <w:right w:val="nil"/>
            </w:tcBorders>
            <w:shd w:val="clear" w:color="auto" w:fill="auto"/>
            <w:noWrap/>
            <w:vAlign w:val="bottom"/>
            <w:hideMark/>
          </w:tcPr>
          <w:p w14:paraId="1F845DC8"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Northeast</w:t>
            </w:r>
          </w:p>
        </w:tc>
        <w:tc>
          <w:tcPr>
            <w:tcW w:w="1328" w:type="dxa"/>
            <w:tcBorders>
              <w:top w:val="nil"/>
              <w:left w:val="nil"/>
              <w:bottom w:val="nil"/>
              <w:right w:val="nil"/>
            </w:tcBorders>
            <w:shd w:val="clear" w:color="auto" w:fill="auto"/>
            <w:noWrap/>
            <w:vAlign w:val="center"/>
            <w:hideMark/>
          </w:tcPr>
          <w:p w14:paraId="340E81F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0.45</w:t>
            </w:r>
          </w:p>
        </w:tc>
        <w:tc>
          <w:tcPr>
            <w:tcW w:w="789" w:type="dxa"/>
            <w:tcBorders>
              <w:top w:val="nil"/>
              <w:left w:val="nil"/>
              <w:bottom w:val="nil"/>
              <w:right w:val="nil"/>
            </w:tcBorders>
            <w:shd w:val="clear" w:color="auto" w:fill="auto"/>
            <w:noWrap/>
            <w:vAlign w:val="center"/>
            <w:hideMark/>
          </w:tcPr>
          <w:p w14:paraId="2B9BF4E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0.28</w:t>
            </w:r>
          </w:p>
        </w:tc>
        <w:tc>
          <w:tcPr>
            <w:tcW w:w="1134" w:type="dxa"/>
            <w:tcBorders>
              <w:top w:val="nil"/>
              <w:left w:val="single" w:sz="4" w:space="0" w:color="auto"/>
              <w:bottom w:val="nil"/>
              <w:right w:val="nil"/>
            </w:tcBorders>
            <w:shd w:val="clear" w:color="auto" w:fill="auto"/>
            <w:noWrap/>
            <w:vAlign w:val="center"/>
            <w:hideMark/>
          </w:tcPr>
          <w:p w14:paraId="190F59E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0.16</w:t>
            </w:r>
          </w:p>
        </w:tc>
        <w:tc>
          <w:tcPr>
            <w:tcW w:w="1011" w:type="dxa"/>
            <w:tcBorders>
              <w:top w:val="nil"/>
              <w:left w:val="nil"/>
              <w:bottom w:val="nil"/>
              <w:right w:val="nil"/>
            </w:tcBorders>
            <w:shd w:val="clear" w:color="auto" w:fill="auto"/>
            <w:noWrap/>
            <w:vAlign w:val="center"/>
            <w:hideMark/>
          </w:tcPr>
          <w:p w14:paraId="7CF7A7EF"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36.91</w:t>
            </w:r>
          </w:p>
        </w:tc>
        <w:tc>
          <w:tcPr>
            <w:tcW w:w="1011" w:type="dxa"/>
            <w:tcBorders>
              <w:top w:val="nil"/>
              <w:left w:val="nil"/>
              <w:bottom w:val="nil"/>
              <w:right w:val="nil"/>
            </w:tcBorders>
            <w:shd w:val="clear" w:color="auto" w:fill="auto"/>
            <w:noWrap/>
            <w:vAlign w:val="center"/>
            <w:hideMark/>
          </w:tcPr>
          <w:p w14:paraId="43F2798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2D7EA37F" w14:textId="77777777" w:rsidTr="002031C9">
        <w:trPr>
          <w:trHeight w:val="264"/>
        </w:trPr>
        <w:tc>
          <w:tcPr>
            <w:tcW w:w="3857" w:type="dxa"/>
            <w:tcBorders>
              <w:top w:val="nil"/>
              <w:left w:val="nil"/>
              <w:bottom w:val="nil"/>
              <w:right w:val="nil"/>
            </w:tcBorders>
            <w:shd w:val="clear" w:color="auto" w:fill="auto"/>
            <w:noWrap/>
            <w:vAlign w:val="bottom"/>
            <w:hideMark/>
          </w:tcPr>
          <w:p w14:paraId="29F432B9"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Midwest</w:t>
            </w:r>
          </w:p>
        </w:tc>
        <w:tc>
          <w:tcPr>
            <w:tcW w:w="1328" w:type="dxa"/>
            <w:tcBorders>
              <w:top w:val="nil"/>
              <w:left w:val="nil"/>
              <w:bottom w:val="nil"/>
              <w:right w:val="nil"/>
            </w:tcBorders>
            <w:shd w:val="clear" w:color="auto" w:fill="auto"/>
            <w:noWrap/>
            <w:vAlign w:val="center"/>
            <w:hideMark/>
          </w:tcPr>
          <w:p w14:paraId="184A9CD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0.42</w:t>
            </w:r>
          </w:p>
        </w:tc>
        <w:tc>
          <w:tcPr>
            <w:tcW w:w="789" w:type="dxa"/>
            <w:tcBorders>
              <w:top w:val="nil"/>
              <w:left w:val="nil"/>
              <w:bottom w:val="nil"/>
              <w:right w:val="nil"/>
            </w:tcBorders>
            <w:shd w:val="clear" w:color="auto" w:fill="auto"/>
            <w:noWrap/>
            <w:vAlign w:val="center"/>
            <w:hideMark/>
          </w:tcPr>
          <w:p w14:paraId="016F3EA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0.29</w:t>
            </w:r>
          </w:p>
        </w:tc>
        <w:tc>
          <w:tcPr>
            <w:tcW w:w="1134" w:type="dxa"/>
            <w:tcBorders>
              <w:top w:val="nil"/>
              <w:left w:val="single" w:sz="4" w:space="0" w:color="auto"/>
              <w:bottom w:val="nil"/>
              <w:right w:val="nil"/>
            </w:tcBorders>
            <w:shd w:val="clear" w:color="auto" w:fill="auto"/>
            <w:noWrap/>
            <w:vAlign w:val="center"/>
            <w:hideMark/>
          </w:tcPr>
          <w:p w14:paraId="23C2FA5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0.14</w:t>
            </w:r>
          </w:p>
        </w:tc>
        <w:tc>
          <w:tcPr>
            <w:tcW w:w="1011" w:type="dxa"/>
            <w:tcBorders>
              <w:top w:val="nil"/>
              <w:left w:val="nil"/>
              <w:bottom w:val="nil"/>
              <w:right w:val="nil"/>
            </w:tcBorders>
            <w:shd w:val="clear" w:color="auto" w:fill="auto"/>
            <w:noWrap/>
            <w:vAlign w:val="center"/>
            <w:hideMark/>
          </w:tcPr>
          <w:p w14:paraId="0A0995A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27.56</w:t>
            </w:r>
          </w:p>
        </w:tc>
        <w:tc>
          <w:tcPr>
            <w:tcW w:w="1011" w:type="dxa"/>
            <w:tcBorders>
              <w:top w:val="nil"/>
              <w:left w:val="nil"/>
              <w:bottom w:val="nil"/>
              <w:right w:val="nil"/>
            </w:tcBorders>
            <w:shd w:val="clear" w:color="auto" w:fill="auto"/>
            <w:noWrap/>
            <w:vAlign w:val="center"/>
            <w:hideMark/>
          </w:tcPr>
          <w:p w14:paraId="2CBEC45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03774FF3" w14:textId="77777777" w:rsidTr="002031C9">
        <w:trPr>
          <w:trHeight w:val="264"/>
        </w:trPr>
        <w:tc>
          <w:tcPr>
            <w:tcW w:w="3857" w:type="dxa"/>
            <w:tcBorders>
              <w:top w:val="nil"/>
              <w:left w:val="nil"/>
              <w:bottom w:val="nil"/>
              <w:right w:val="nil"/>
            </w:tcBorders>
            <w:shd w:val="clear" w:color="auto" w:fill="auto"/>
            <w:noWrap/>
            <w:vAlign w:val="bottom"/>
            <w:hideMark/>
          </w:tcPr>
          <w:p w14:paraId="6E52FA37"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South</w:t>
            </w:r>
          </w:p>
        </w:tc>
        <w:tc>
          <w:tcPr>
            <w:tcW w:w="1328" w:type="dxa"/>
            <w:tcBorders>
              <w:top w:val="nil"/>
              <w:left w:val="nil"/>
              <w:bottom w:val="nil"/>
              <w:right w:val="nil"/>
            </w:tcBorders>
            <w:shd w:val="clear" w:color="auto" w:fill="auto"/>
            <w:noWrap/>
            <w:vAlign w:val="center"/>
            <w:hideMark/>
          </w:tcPr>
          <w:p w14:paraId="0056059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0.06</w:t>
            </w:r>
          </w:p>
        </w:tc>
        <w:tc>
          <w:tcPr>
            <w:tcW w:w="789" w:type="dxa"/>
            <w:tcBorders>
              <w:top w:val="nil"/>
              <w:left w:val="nil"/>
              <w:bottom w:val="nil"/>
              <w:right w:val="nil"/>
            </w:tcBorders>
            <w:shd w:val="clear" w:color="auto" w:fill="auto"/>
            <w:noWrap/>
            <w:vAlign w:val="center"/>
            <w:hideMark/>
          </w:tcPr>
          <w:p w14:paraId="7F20EF1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0.31</w:t>
            </w:r>
          </w:p>
        </w:tc>
        <w:tc>
          <w:tcPr>
            <w:tcW w:w="1134" w:type="dxa"/>
            <w:tcBorders>
              <w:top w:val="nil"/>
              <w:left w:val="single" w:sz="4" w:space="0" w:color="auto"/>
              <w:bottom w:val="nil"/>
              <w:right w:val="nil"/>
            </w:tcBorders>
            <w:shd w:val="clear" w:color="auto" w:fill="auto"/>
            <w:noWrap/>
            <w:vAlign w:val="center"/>
            <w:hideMark/>
          </w:tcPr>
          <w:p w14:paraId="2D80DD3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-0.24</w:t>
            </w:r>
          </w:p>
        </w:tc>
        <w:tc>
          <w:tcPr>
            <w:tcW w:w="1011" w:type="dxa"/>
            <w:tcBorders>
              <w:top w:val="nil"/>
              <w:left w:val="nil"/>
              <w:bottom w:val="nil"/>
              <w:right w:val="nil"/>
            </w:tcBorders>
            <w:shd w:val="clear" w:color="auto" w:fill="auto"/>
            <w:noWrap/>
            <w:vAlign w:val="center"/>
            <w:hideMark/>
          </w:tcPr>
          <w:p w14:paraId="43B2332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64.03</w:t>
            </w:r>
          </w:p>
        </w:tc>
        <w:tc>
          <w:tcPr>
            <w:tcW w:w="1011" w:type="dxa"/>
            <w:tcBorders>
              <w:top w:val="nil"/>
              <w:left w:val="nil"/>
              <w:bottom w:val="nil"/>
              <w:right w:val="nil"/>
            </w:tcBorders>
            <w:shd w:val="clear" w:color="auto" w:fill="auto"/>
            <w:noWrap/>
            <w:vAlign w:val="center"/>
            <w:hideMark/>
          </w:tcPr>
          <w:p w14:paraId="266172A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58099936" w14:textId="77777777" w:rsidTr="002031C9">
        <w:trPr>
          <w:trHeight w:val="264"/>
        </w:trPr>
        <w:tc>
          <w:tcPr>
            <w:tcW w:w="3857" w:type="dxa"/>
            <w:tcBorders>
              <w:top w:val="nil"/>
              <w:left w:val="nil"/>
              <w:bottom w:val="nil"/>
              <w:right w:val="nil"/>
            </w:tcBorders>
            <w:shd w:val="clear" w:color="auto" w:fill="auto"/>
            <w:noWrap/>
            <w:vAlign w:val="bottom"/>
            <w:hideMark/>
          </w:tcPr>
          <w:p w14:paraId="1342DF5E"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West</w:t>
            </w:r>
          </w:p>
        </w:tc>
        <w:tc>
          <w:tcPr>
            <w:tcW w:w="1328" w:type="dxa"/>
            <w:tcBorders>
              <w:top w:val="nil"/>
              <w:left w:val="nil"/>
              <w:bottom w:val="nil"/>
              <w:right w:val="nil"/>
            </w:tcBorders>
            <w:shd w:val="clear" w:color="auto" w:fill="auto"/>
            <w:noWrap/>
            <w:vAlign w:val="center"/>
            <w:hideMark/>
          </w:tcPr>
          <w:p w14:paraId="077FD49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0.06</w:t>
            </w:r>
          </w:p>
        </w:tc>
        <w:tc>
          <w:tcPr>
            <w:tcW w:w="789" w:type="dxa"/>
            <w:tcBorders>
              <w:top w:val="nil"/>
              <w:left w:val="nil"/>
              <w:bottom w:val="nil"/>
              <w:right w:val="nil"/>
            </w:tcBorders>
            <w:shd w:val="clear" w:color="auto" w:fill="auto"/>
            <w:noWrap/>
            <w:vAlign w:val="center"/>
            <w:hideMark/>
          </w:tcPr>
          <w:p w14:paraId="4E0A9A1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0.12</w:t>
            </w:r>
          </w:p>
        </w:tc>
        <w:tc>
          <w:tcPr>
            <w:tcW w:w="1134" w:type="dxa"/>
            <w:tcBorders>
              <w:top w:val="nil"/>
              <w:left w:val="single" w:sz="4" w:space="0" w:color="auto"/>
              <w:bottom w:val="nil"/>
              <w:right w:val="nil"/>
            </w:tcBorders>
            <w:shd w:val="clear" w:color="auto" w:fill="auto"/>
            <w:noWrap/>
            <w:vAlign w:val="center"/>
            <w:hideMark/>
          </w:tcPr>
          <w:p w14:paraId="07C62EE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-0.06</w:t>
            </w:r>
          </w:p>
        </w:tc>
        <w:tc>
          <w:tcPr>
            <w:tcW w:w="1011" w:type="dxa"/>
            <w:tcBorders>
              <w:top w:val="nil"/>
              <w:left w:val="nil"/>
              <w:bottom w:val="nil"/>
              <w:right w:val="nil"/>
            </w:tcBorders>
            <w:shd w:val="clear" w:color="auto" w:fill="auto"/>
            <w:noWrap/>
            <w:vAlign w:val="center"/>
            <w:hideMark/>
          </w:tcPr>
          <w:p w14:paraId="5902703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14.30</w:t>
            </w:r>
          </w:p>
        </w:tc>
        <w:tc>
          <w:tcPr>
            <w:tcW w:w="1011" w:type="dxa"/>
            <w:tcBorders>
              <w:top w:val="nil"/>
              <w:left w:val="nil"/>
              <w:bottom w:val="nil"/>
              <w:right w:val="nil"/>
            </w:tcBorders>
            <w:shd w:val="clear" w:color="auto" w:fill="auto"/>
            <w:noWrap/>
            <w:vAlign w:val="center"/>
            <w:hideMark/>
          </w:tcPr>
          <w:p w14:paraId="4D97EA7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1D4B4416" w14:textId="77777777" w:rsidTr="002031C9">
        <w:trPr>
          <w:trHeight w:val="264"/>
        </w:trPr>
        <w:tc>
          <w:tcPr>
            <w:tcW w:w="3857" w:type="dxa"/>
            <w:tcBorders>
              <w:top w:val="nil"/>
              <w:left w:val="nil"/>
              <w:bottom w:val="nil"/>
              <w:right w:val="nil"/>
            </w:tcBorders>
            <w:shd w:val="clear" w:color="auto" w:fill="auto"/>
            <w:noWrap/>
            <w:vAlign w:val="bottom"/>
            <w:hideMark/>
          </w:tcPr>
          <w:p w14:paraId="0347943F"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Urban</w:t>
            </w:r>
          </w:p>
        </w:tc>
        <w:tc>
          <w:tcPr>
            <w:tcW w:w="1328" w:type="dxa"/>
            <w:tcBorders>
              <w:top w:val="nil"/>
              <w:left w:val="nil"/>
              <w:bottom w:val="nil"/>
              <w:right w:val="nil"/>
            </w:tcBorders>
            <w:shd w:val="clear" w:color="auto" w:fill="auto"/>
            <w:noWrap/>
            <w:vAlign w:val="center"/>
            <w:hideMark/>
          </w:tcPr>
          <w:p w14:paraId="6C0EF06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0.68</w:t>
            </w:r>
          </w:p>
        </w:tc>
        <w:tc>
          <w:tcPr>
            <w:tcW w:w="789" w:type="dxa"/>
            <w:tcBorders>
              <w:top w:val="nil"/>
              <w:left w:val="nil"/>
              <w:bottom w:val="nil"/>
              <w:right w:val="nil"/>
            </w:tcBorders>
            <w:shd w:val="clear" w:color="auto" w:fill="auto"/>
            <w:noWrap/>
            <w:vAlign w:val="center"/>
            <w:hideMark/>
          </w:tcPr>
          <w:p w14:paraId="14289BA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0.55</w:t>
            </w:r>
          </w:p>
        </w:tc>
        <w:tc>
          <w:tcPr>
            <w:tcW w:w="1134" w:type="dxa"/>
            <w:tcBorders>
              <w:top w:val="nil"/>
              <w:left w:val="single" w:sz="4" w:space="0" w:color="auto"/>
              <w:bottom w:val="nil"/>
              <w:right w:val="nil"/>
            </w:tcBorders>
            <w:shd w:val="clear" w:color="auto" w:fill="auto"/>
            <w:noWrap/>
            <w:vAlign w:val="center"/>
            <w:hideMark/>
          </w:tcPr>
          <w:p w14:paraId="74E7003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0.13</w:t>
            </w:r>
          </w:p>
        </w:tc>
        <w:tc>
          <w:tcPr>
            <w:tcW w:w="1011" w:type="dxa"/>
            <w:tcBorders>
              <w:top w:val="nil"/>
              <w:left w:val="nil"/>
              <w:bottom w:val="nil"/>
              <w:right w:val="nil"/>
            </w:tcBorders>
            <w:shd w:val="clear" w:color="auto" w:fill="auto"/>
            <w:noWrap/>
            <w:vAlign w:val="center"/>
            <w:hideMark/>
          </w:tcPr>
          <w:p w14:paraId="5CFF6B6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22.34</w:t>
            </w:r>
          </w:p>
        </w:tc>
        <w:tc>
          <w:tcPr>
            <w:tcW w:w="1011" w:type="dxa"/>
            <w:tcBorders>
              <w:top w:val="nil"/>
              <w:left w:val="nil"/>
              <w:bottom w:val="nil"/>
              <w:right w:val="nil"/>
            </w:tcBorders>
            <w:shd w:val="clear" w:color="auto" w:fill="auto"/>
            <w:noWrap/>
            <w:vAlign w:val="center"/>
            <w:hideMark/>
          </w:tcPr>
          <w:p w14:paraId="4DC86EB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2CF18FE4" w14:textId="77777777" w:rsidTr="002031C9">
        <w:trPr>
          <w:trHeight w:val="264"/>
        </w:trPr>
        <w:tc>
          <w:tcPr>
            <w:tcW w:w="3857" w:type="dxa"/>
            <w:tcBorders>
              <w:top w:val="nil"/>
              <w:left w:val="nil"/>
              <w:bottom w:val="nil"/>
              <w:right w:val="nil"/>
            </w:tcBorders>
            <w:shd w:val="clear" w:color="auto" w:fill="auto"/>
            <w:noWrap/>
            <w:vAlign w:val="bottom"/>
            <w:hideMark/>
          </w:tcPr>
          <w:p w14:paraId="6B7FB3EA" w14:textId="77777777" w:rsidR="0067023F" w:rsidRPr="0067023F" w:rsidRDefault="0067023F" w:rsidP="0067023F">
            <w:pPr>
              <w:rPr>
                <w:rFonts w:ascii="Times New Roman" w:eastAsia="Times New Roman" w:hAnsi="Times New Roman" w:cs="Times New Roman"/>
                <w:b/>
                <w:bCs/>
                <w:color w:val="000000"/>
                <w:sz w:val="22"/>
                <w:szCs w:val="22"/>
                <w:lang w:eastAsia="en-GB"/>
              </w:rPr>
            </w:pPr>
            <w:r w:rsidRPr="0067023F">
              <w:rPr>
                <w:rFonts w:ascii="Times New Roman" w:eastAsia="Times New Roman" w:hAnsi="Times New Roman" w:cs="Times New Roman"/>
                <w:b/>
                <w:bCs/>
                <w:color w:val="000000"/>
                <w:sz w:val="22"/>
                <w:szCs w:val="22"/>
                <w:lang w:eastAsia="en-GB"/>
              </w:rPr>
              <w:t>Economic</w:t>
            </w:r>
          </w:p>
        </w:tc>
        <w:tc>
          <w:tcPr>
            <w:tcW w:w="1328" w:type="dxa"/>
            <w:tcBorders>
              <w:top w:val="nil"/>
              <w:left w:val="nil"/>
              <w:bottom w:val="nil"/>
              <w:right w:val="nil"/>
            </w:tcBorders>
            <w:shd w:val="clear" w:color="auto" w:fill="auto"/>
            <w:noWrap/>
            <w:vAlign w:val="center"/>
            <w:hideMark/>
          </w:tcPr>
          <w:p w14:paraId="1D26137E" w14:textId="77777777" w:rsidR="0067023F" w:rsidRPr="0067023F" w:rsidRDefault="0067023F" w:rsidP="0067023F">
            <w:pPr>
              <w:rPr>
                <w:rFonts w:ascii="Times New Roman" w:eastAsia="Times New Roman" w:hAnsi="Times New Roman" w:cs="Times New Roman"/>
                <w:b/>
                <w:bCs/>
                <w:color w:val="000000"/>
                <w:sz w:val="22"/>
                <w:szCs w:val="22"/>
                <w:lang w:eastAsia="en-GB"/>
              </w:rPr>
            </w:pPr>
          </w:p>
        </w:tc>
        <w:tc>
          <w:tcPr>
            <w:tcW w:w="789" w:type="dxa"/>
            <w:tcBorders>
              <w:top w:val="nil"/>
              <w:left w:val="nil"/>
              <w:bottom w:val="nil"/>
              <w:right w:val="nil"/>
            </w:tcBorders>
            <w:shd w:val="clear" w:color="auto" w:fill="auto"/>
            <w:noWrap/>
            <w:vAlign w:val="center"/>
            <w:hideMark/>
          </w:tcPr>
          <w:p w14:paraId="58C6896F" w14:textId="77777777" w:rsidR="0067023F" w:rsidRPr="0067023F" w:rsidRDefault="0067023F" w:rsidP="0067023F">
            <w:pPr>
              <w:jc w:val="center"/>
              <w:rPr>
                <w:rFonts w:ascii="Times New Roman" w:eastAsia="Times New Roman" w:hAnsi="Times New Roman" w:cs="Times New Roman"/>
                <w:sz w:val="20"/>
                <w:szCs w:val="20"/>
                <w:lang w:eastAsia="en-GB"/>
              </w:rPr>
            </w:pPr>
          </w:p>
        </w:tc>
        <w:tc>
          <w:tcPr>
            <w:tcW w:w="1134" w:type="dxa"/>
            <w:tcBorders>
              <w:top w:val="nil"/>
              <w:left w:val="single" w:sz="4" w:space="0" w:color="auto"/>
              <w:bottom w:val="nil"/>
              <w:right w:val="nil"/>
            </w:tcBorders>
            <w:shd w:val="clear" w:color="auto" w:fill="auto"/>
            <w:noWrap/>
            <w:vAlign w:val="center"/>
            <w:hideMark/>
          </w:tcPr>
          <w:p w14:paraId="53935E2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011" w:type="dxa"/>
            <w:tcBorders>
              <w:top w:val="nil"/>
              <w:left w:val="nil"/>
              <w:bottom w:val="nil"/>
              <w:right w:val="nil"/>
            </w:tcBorders>
            <w:shd w:val="clear" w:color="auto" w:fill="auto"/>
            <w:noWrap/>
            <w:vAlign w:val="center"/>
            <w:hideMark/>
          </w:tcPr>
          <w:p w14:paraId="579027E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p>
        </w:tc>
        <w:tc>
          <w:tcPr>
            <w:tcW w:w="1011" w:type="dxa"/>
            <w:tcBorders>
              <w:top w:val="nil"/>
              <w:left w:val="nil"/>
              <w:bottom w:val="nil"/>
              <w:right w:val="nil"/>
            </w:tcBorders>
            <w:shd w:val="clear" w:color="auto" w:fill="auto"/>
            <w:noWrap/>
            <w:vAlign w:val="center"/>
            <w:hideMark/>
          </w:tcPr>
          <w:p w14:paraId="5056CC89" w14:textId="77777777" w:rsidR="0067023F" w:rsidRPr="0067023F" w:rsidRDefault="0067023F" w:rsidP="0067023F">
            <w:pPr>
              <w:jc w:val="center"/>
              <w:rPr>
                <w:rFonts w:ascii="Times New Roman" w:eastAsia="Times New Roman" w:hAnsi="Times New Roman" w:cs="Times New Roman"/>
                <w:sz w:val="20"/>
                <w:szCs w:val="20"/>
                <w:lang w:eastAsia="en-GB"/>
              </w:rPr>
            </w:pPr>
          </w:p>
        </w:tc>
      </w:tr>
      <w:tr w:rsidR="0067023F" w:rsidRPr="0067023F" w14:paraId="6479302E" w14:textId="77777777" w:rsidTr="002031C9">
        <w:trPr>
          <w:trHeight w:val="529"/>
        </w:trPr>
        <w:tc>
          <w:tcPr>
            <w:tcW w:w="3857" w:type="dxa"/>
            <w:tcBorders>
              <w:top w:val="nil"/>
              <w:left w:val="nil"/>
              <w:bottom w:val="nil"/>
              <w:right w:val="nil"/>
            </w:tcBorders>
            <w:shd w:val="clear" w:color="auto" w:fill="auto"/>
            <w:vAlign w:val="bottom"/>
            <w:hideMark/>
          </w:tcPr>
          <w:p w14:paraId="4F1BC675" w14:textId="77777777" w:rsidR="007B31A5"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Present state of business</w:t>
            </w:r>
          </w:p>
          <w:p w14:paraId="4A29FBCA" w14:textId="1211C769"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a depression?</w:t>
            </w:r>
          </w:p>
        </w:tc>
        <w:tc>
          <w:tcPr>
            <w:tcW w:w="1328" w:type="dxa"/>
            <w:tcBorders>
              <w:top w:val="nil"/>
              <w:left w:val="nil"/>
              <w:bottom w:val="nil"/>
              <w:right w:val="nil"/>
            </w:tcBorders>
            <w:shd w:val="clear" w:color="auto" w:fill="auto"/>
            <w:noWrap/>
            <w:vAlign w:val="center"/>
            <w:hideMark/>
          </w:tcPr>
          <w:p w14:paraId="47AD45A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0.60</w:t>
            </w:r>
          </w:p>
        </w:tc>
        <w:tc>
          <w:tcPr>
            <w:tcW w:w="789" w:type="dxa"/>
            <w:tcBorders>
              <w:top w:val="nil"/>
              <w:left w:val="nil"/>
              <w:bottom w:val="nil"/>
              <w:right w:val="nil"/>
            </w:tcBorders>
            <w:shd w:val="clear" w:color="auto" w:fill="auto"/>
            <w:noWrap/>
            <w:vAlign w:val="center"/>
            <w:hideMark/>
          </w:tcPr>
          <w:p w14:paraId="5D57011F"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0.46</w:t>
            </w:r>
          </w:p>
        </w:tc>
        <w:tc>
          <w:tcPr>
            <w:tcW w:w="1134" w:type="dxa"/>
            <w:tcBorders>
              <w:top w:val="nil"/>
              <w:left w:val="single" w:sz="4" w:space="0" w:color="auto"/>
              <w:bottom w:val="nil"/>
              <w:right w:val="nil"/>
            </w:tcBorders>
            <w:shd w:val="clear" w:color="auto" w:fill="auto"/>
            <w:noWrap/>
            <w:vAlign w:val="center"/>
            <w:hideMark/>
          </w:tcPr>
          <w:p w14:paraId="6DD2E51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0.13</w:t>
            </w:r>
          </w:p>
        </w:tc>
        <w:tc>
          <w:tcPr>
            <w:tcW w:w="1011" w:type="dxa"/>
            <w:tcBorders>
              <w:top w:val="nil"/>
              <w:left w:val="nil"/>
              <w:bottom w:val="nil"/>
              <w:right w:val="nil"/>
            </w:tcBorders>
            <w:shd w:val="clear" w:color="auto" w:fill="auto"/>
            <w:noWrap/>
            <w:vAlign w:val="center"/>
            <w:hideMark/>
          </w:tcPr>
          <w:p w14:paraId="4EAB939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21.30</w:t>
            </w:r>
          </w:p>
        </w:tc>
        <w:tc>
          <w:tcPr>
            <w:tcW w:w="1011" w:type="dxa"/>
            <w:tcBorders>
              <w:top w:val="nil"/>
              <w:left w:val="nil"/>
              <w:bottom w:val="nil"/>
              <w:right w:val="nil"/>
            </w:tcBorders>
            <w:shd w:val="clear" w:color="auto" w:fill="auto"/>
            <w:noWrap/>
            <w:vAlign w:val="center"/>
            <w:hideMark/>
          </w:tcPr>
          <w:p w14:paraId="274A325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6547C3D5" w14:textId="77777777" w:rsidTr="002031C9">
        <w:trPr>
          <w:trHeight w:val="264"/>
        </w:trPr>
        <w:tc>
          <w:tcPr>
            <w:tcW w:w="3857" w:type="dxa"/>
            <w:tcBorders>
              <w:top w:val="nil"/>
              <w:left w:val="nil"/>
              <w:bottom w:val="nil"/>
              <w:right w:val="nil"/>
            </w:tcBorders>
            <w:shd w:val="clear" w:color="auto" w:fill="auto"/>
            <w:noWrap/>
            <w:vAlign w:val="bottom"/>
            <w:hideMark/>
          </w:tcPr>
          <w:p w14:paraId="183A3DFD"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Prices will be higher in 3 months</w:t>
            </w:r>
          </w:p>
        </w:tc>
        <w:tc>
          <w:tcPr>
            <w:tcW w:w="1328" w:type="dxa"/>
            <w:tcBorders>
              <w:top w:val="nil"/>
              <w:left w:val="nil"/>
              <w:bottom w:val="nil"/>
              <w:right w:val="nil"/>
            </w:tcBorders>
            <w:shd w:val="clear" w:color="auto" w:fill="auto"/>
            <w:noWrap/>
            <w:vAlign w:val="center"/>
            <w:hideMark/>
          </w:tcPr>
          <w:p w14:paraId="0D68CE4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0.51</w:t>
            </w:r>
          </w:p>
        </w:tc>
        <w:tc>
          <w:tcPr>
            <w:tcW w:w="789" w:type="dxa"/>
            <w:tcBorders>
              <w:top w:val="nil"/>
              <w:left w:val="nil"/>
              <w:bottom w:val="nil"/>
              <w:right w:val="nil"/>
            </w:tcBorders>
            <w:shd w:val="clear" w:color="auto" w:fill="auto"/>
            <w:noWrap/>
            <w:vAlign w:val="center"/>
            <w:hideMark/>
          </w:tcPr>
          <w:p w14:paraId="08BD681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0.42</w:t>
            </w:r>
          </w:p>
        </w:tc>
        <w:tc>
          <w:tcPr>
            <w:tcW w:w="1134" w:type="dxa"/>
            <w:tcBorders>
              <w:top w:val="nil"/>
              <w:left w:val="single" w:sz="4" w:space="0" w:color="auto"/>
              <w:bottom w:val="nil"/>
              <w:right w:val="nil"/>
            </w:tcBorders>
            <w:shd w:val="clear" w:color="auto" w:fill="auto"/>
            <w:noWrap/>
            <w:vAlign w:val="center"/>
            <w:hideMark/>
          </w:tcPr>
          <w:p w14:paraId="654DD61F"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0.09</w:t>
            </w:r>
          </w:p>
        </w:tc>
        <w:tc>
          <w:tcPr>
            <w:tcW w:w="1011" w:type="dxa"/>
            <w:tcBorders>
              <w:top w:val="nil"/>
              <w:left w:val="nil"/>
              <w:bottom w:val="nil"/>
              <w:right w:val="nil"/>
            </w:tcBorders>
            <w:shd w:val="clear" w:color="auto" w:fill="auto"/>
            <w:noWrap/>
            <w:vAlign w:val="center"/>
            <w:hideMark/>
          </w:tcPr>
          <w:p w14:paraId="761C58D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10.04</w:t>
            </w:r>
          </w:p>
        </w:tc>
        <w:tc>
          <w:tcPr>
            <w:tcW w:w="1011" w:type="dxa"/>
            <w:tcBorders>
              <w:top w:val="nil"/>
              <w:left w:val="nil"/>
              <w:bottom w:val="nil"/>
              <w:right w:val="nil"/>
            </w:tcBorders>
            <w:shd w:val="clear" w:color="auto" w:fill="auto"/>
            <w:noWrap/>
            <w:vAlign w:val="center"/>
            <w:hideMark/>
          </w:tcPr>
          <w:p w14:paraId="3888704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2F7B2DE3" w14:textId="77777777" w:rsidTr="002031C9">
        <w:trPr>
          <w:trHeight w:val="264"/>
        </w:trPr>
        <w:tc>
          <w:tcPr>
            <w:tcW w:w="3857" w:type="dxa"/>
            <w:tcBorders>
              <w:top w:val="nil"/>
              <w:left w:val="nil"/>
              <w:bottom w:val="nil"/>
              <w:right w:val="nil"/>
            </w:tcBorders>
            <w:shd w:val="clear" w:color="auto" w:fill="auto"/>
            <w:noWrap/>
            <w:vAlign w:val="bottom"/>
            <w:hideMark/>
          </w:tcPr>
          <w:p w14:paraId="0D30A823"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Prices will be lower in 3 months</w:t>
            </w:r>
          </w:p>
        </w:tc>
        <w:tc>
          <w:tcPr>
            <w:tcW w:w="1328" w:type="dxa"/>
            <w:tcBorders>
              <w:top w:val="nil"/>
              <w:left w:val="nil"/>
              <w:bottom w:val="nil"/>
              <w:right w:val="nil"/>
            </w:tcBorders>
            <w:shd w:val="clear" w:color="auto" w:fill="auto"/>
            <w:noWrap/>
            <w:vAlign w:val="center"/>
            <w:hideMark/>
          </w:tcPr>
          <w:p w14:paraId="1EAEED7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0.32</w:t>
            </w:r>
          </w:p>
        </w:tc>
        <w:tc>
          <w:tcPr>
            <w:tcW w:w="789" w:type="dxa"/>
            <w:tcBorders>
              <w:top w:val="nil"/>
              <w:left w:val="nil"/>
              <w:bottom w:val="nil"/>
              <w:right w:val="nil"/>
            </w:tcBorders>
            <w:shd w:val="clear" w:color="auto" w:fill="auto"/>
            <w:noWrap/>
            <w:vAlign w:val="center"/>
            <w:hideMark/>
          </w:tcPr>
          <w:p w14:paraId="37D8517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0.31</w:t>
            </w:r>
          </w:p>
        </w:tc>
        <w:tc>
          <w:tcPr>
            <w:tcW w:w="1134" w:type="dxa"/>
            <w:tcBorders>
              <w:top w:val="nil"/>
              <w:left w:val="single" w:sz="4" w:space="0" w:color="auto"/>
              <w:bottom w:val="nil"/>
              <w:right w:val="nil"/>
            </w:tcBorders>
            <w:shd w:val="clear" w:color="auto" w:fill="auto"/>
            <w:noWrap/>
            <w:vAlign w:val="center"/>
            <w:hideMark/>
          </w:tcPr>
          <w:p w14:paraId="00B9D8F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0.01</w:t>
            </w:r>
          </w:p>
        </w:tc>
        <w:tc>
          <w:tcPr>
            <w:tcW w:w="1011" w:type="dxa"/>
            <w:tcBorders>
              <w:top w:val="nil"/>
              <w:left w:val="nil"/>
              <w:bottom w:val="nil"/>
              <w:right w:val="nil"/>
            </w:tcBorders>
            <w:shd w:val="clear" w:color="auto" w:fill="auto"/>
            <w:noWrap/>
            <w:vAlign w:val="center"/>
            <w:hideMark/>
          </w:tcPr>
          <w:p w14:paraId="74C4241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0.08</w:t>
            </w:r>
          </w:p>
        </w:tc>
        <w:tc>
          <w:tcPr>
            <w:tcW w:w="1011" w:type="dxa"/>
            <w:tcBorders>
              <w:top w:val="nil"/>
              <w:left w:val="nil"/>
              <w:bottom w:val="nil"/>
              <w:right w:val="nil"/>
            </w:tcBorders>
            <w:shd w:val="clear" w:color="auto" w:fill="auto"/>
            <w:noWrap/>
            <w:vAlign w:val="center"/>
            <w:hideMark/>
          </w:tcPr>
          <w:p w14:paraId="23A942F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0.78</w:t>
            </w:r>
          </w:p>
        </w:tc>
      </w:tr>
      <w:tr w:rsidR="0067023F" w:rsidRPr="0067023F" w14:paraId="191411E0" w14:textId="77777777" w:rsidTr="002031C9">
        <w:trPr>
          <w:trHeight w:val="264"/>
        </w:trPr>
        <w:tc>
          <w:tcPr>
            <w:tcW w:w="3857" w:type="dxa"/>
            <w:tcBorders>
              <w:top w:val="nil"/>
              <w:left w:val="nil"/>
              <w:bottom w:val="nil"/>
              <w:right w:val="nil"/>
            </w:tcBorders>
            <w:shd w:val="clear" w:color="auto" w:fill="auto"/>
            <w:noWrap/>
            <w:vAlign w:val="bottom"/>
            <w:hideMark/>
          </w:tcPr>
          <w:p w14:paraId="239C38BB"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Feel better off than last depression?</w:t>
            </w:r>
          </w:p>
        </w:tc>
        <w:tc>
          <w:tcPr>
            <w:tcW w:w="1328" w:type="dxa"/>
            <w:tcBorders>
              <w:top w:val="nil"/>
              <w:left w:val="nil"/>
              <w:bottom w:val="nil"/>
              <w:right w:val="nil"/>
            </w:tcBorders>
            <w:shd w:val="clear" w:color="auto" w:fill="auto"/>
            <w:noWrap/>
            <w:vAlign w:val="center"/>
            <w:hideMark/>
          </w:tcPr>
          <w:p w14:paraId="3B391A8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0.33</w:t>
            </w:r>
          </w:p>
        </w:tc>
        <w:tc>
          <w:tcPr>
            <w:tcW w:w="789" w:type="dxa"/>
            <w:tcBorders>
              <w:top w:val="nil"/>
              <w:left w:val="nil"/>
              <w:bottom w:val="nil"/>
              <w:right w:val="nil"/>
            </w:tcBorders>
            <w:shd w:val="clear" w:color="auto" w:fill="auto"/>
            <w:noWrap/>
            <w:vAlign w:val="center"/>
            <w:hideMark/>
          </w:tcPr>
          <w:p w14:paraId="18BC6B0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0.44</w:t>
            </w:r>
          </w:p>
        </w:tc>
        <w:tc>
          <w:tcPr>
            <w:tcW w:w="1134" w:type="dxa"/>
            <w:tcBorders>
              <w:top w:val="nil"/>
              <w:left w:val="single" w:sz="4" w:space="0" w:color="auto"/>
              <w:bottom w:val="nil"/>
              <w:right w:val="nil"/>
            </w:tcBorders>
            <w:shd w:val="clear" w:color="auto" w:fill="auto"/>
            <w:noWrap/>
            <w:vAlign w:val="center"/>
            <w:hideMark/>
          </w:tcPr>
          <w:p w14:paraId="0F6333F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-0.10</w:t>
            </w:r>
          </w:p>
        </w:tc>
        <w:tc>
          <w:tcPr>
            <w:tcW w:w="1011" w:type="dxa"/>
            <w:tcBorders>
              <w:top w:val="nil"/>
              <w:left w:val="nil"/>
              <w:bottom w:val="nil"/>
              <w:right w:val="nil"/>
            </w:tcBorders>
            <w:shd w:val="clear" w:color="auto" w:fill="auto"/>
            <w:noWrap/>
            <w:vAlign w:val="center"/>
            <w:hideMark/>
          </w:tcPr>
          <w:p w14:paraId="6BCDD363"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11.73</w:t>
            </w:r>
          </w:p>
        </w:tc>
        <w:tc>
          <w:tcPr>
            <w:tcW w:w="1011" w:type="dxa"/>
            <w:tcBorders>
              <w:top w:val="nil"/>
              <w:left w:val="nil"/>
              <w:bottom w:val="nil"/>
              <w:right w:val="nil"/>
            </w:tcBorders>
            <w:shd w:val="clear" w:color="auto" w:fill="auto"/>
            <w:noWrap/>
            <w:vAlign w:val="center"/>
            <w:hideMark/>
          </w:tcPr>
          <w:p w14:paraId="5233677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7CCF2004" w14:textId="77777777" w:rsidTr="002031C9">
        <w:trPr>
          <w:trHeight w:val="264"/>
        </w:trPr>
        <w:tc>
          <w:tcPr>
            <w:tcW w:w="3857" w:type="dxa"/>
            <w:tcBorders>
              <w:top w:val="nil"/>
              <w:left w:val="nil"/>
              <w:bottom w:val="nil"/>
              <w:right w:val="nil"/>
            </w:tcBorders>
            <w:shd w:val="clear" w:color="auto" w:fill="auto"/>
            <w:noWrap/>
            <w:vAlign w:val="bottom"/>
            <w:hideMark/>
          </w:tcPr>
          <w:p w14:paraId="31FE7E37"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Feel better off than 1 year ago?</w:t>
            </w:r>
          </w:p>
        </w:tc>
        <w:tc>
          <w:tcPr>
            <w:tcW w:w="1328" w:type="dxa"/>
            <w:tcBorders>
              <w:top w:val="nil"/>
              <w:left w:val="nil"/>
              <w:bottom w:val="nil"/>
              <w:right w:val="nil"/>
            </w:tcBorders>
            <w:shd w:val="clear" w:color="auto" w:fill="auto"/>
            <w:noWrap/>
            <w:vAlign w:val="center"/>
            <w:hideMark/>
          </w:tcPr>
          <w:p w14:paraId="0B3CD48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0.26</w:t>
            </w:r>
          </w:p>
        </w:tc>
        <w:tc>
          <w:tcPr>
            <w:tcW w:w="789" w:type="dxa"/>
            <w:tcBorders>
              <w:top w:val="nil"/>
              <w:left w:val="nil"/>
              <w:bottom w:val="nil"/>
              <w:right w:val="nil"/>
            </w:tcBorders>
            <w:shd w:val="clear" w:color="auto" w:fill="auto"/>
            <w:noWrap/>
            <w:vAlign w:val="center"/>
            <w:hideMark/>
          </w:tcPr>
          <w:p w14:paraId="37B2230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0.37</w:t>
            </w:r>
          </w:p>
        </w:tc>
        <w:tc>
          <w:tcPr>
            <w:tcW w:w="1134" w:type="dxa"/>
            <w:tcBorders>
              <w:top w:val="nil"/>
              <w:left w:val="single" w:sz="4" w:space="0" w:color="auto"/>
              <w:bottom w:val="nil"/>
              <w:right w:val="nil"/>
            </w:tcBorders>
            <w:shd w:val="clear" w:color="auto" w:fill="auto"/>
            <w:noWrap/>
            <w:vAlign w:val="center"/>
            <w:hideMark/>
          </w:tcPr>
          <w:p w14:paraId="47F5765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-0.11</w:t>
            </w:r>
          </w:p>
        </w:tc>
        <w:tc>
          <w:tcPr>
            <w:tcW w:w="1011" w:type="dxa"/>
            <w:tcBorders>
              <w:top w:val="nil"/>
              <w:left w:val="nil"/>
              <w:bottom w:val="nil"/>
              <w:right w:val="nil"/>
            </w:tcBorders>
            <w:shd w:val="clear" w:color="auto" w:fill="auto"/>
            <w:noWrap/>
            <w:vAlign w:val="center"/>
            <w:hideMark/>
          </w:tcPr>
          <w:p w14:paraId="2EC8C78F"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12.75</w:t>
            </w:r>
          </w:p>
        </w:tc>
        <w:tc>
          <w:tcPr>
            <w:tcW w:w="1011" w:type="dxa"/>
            <w:tcBorders>
              <w:top w:val="nil"/>
              <w:left w:val="nil"/>
              <w:bottom w:val="nil"/>
              <w:right w:val="nil"/>
            </w:tcBorders>
            <w:shd w:val="clear" w:color="auto" w:fill="auto"/>
            <w:noWrap/>
            <w:vAlign w:val="center"/>
            <w:hideMark/>
          </w:tcPr>
          <w:p w14:paraId="679C9363"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3CE4F6C1" w14:textId="77777777" w:rsidTr="002031C9">
        <w:trPr>
          <w:trHeight w:val="264"/>
        </w:trPr>
        <w:tc>
          <w:tcPr>
            <w:tcW w:w="3857" w:type="dxa"/>
            <w:tcBorders>
              <w:top w:val="nil"/>
              <w:left w:val="nil"/>
              <w:bottom w:val="nil"/>
              <w:right w:val="nil"/>
            </w:tcBorders>
            <w:shd w:val="clear" w:color="auto" w:fill="auto"/>
            <w:vAlign w:val="bottom"/>
            <w:hideMark/>
          </w:tcPr>
          <w:p w14:paraId="59AA98D1" w14:textId="77777777" w:rsidR="007B31A5"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Call this a 'Roosevelt'</w:t>
            </w:r>
          </w:p>
          <w:p w14:paraId="310C3E9A" w14:textId="5277D170"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depression/recession?</w:t>
            </w:r>
          </w:p>
        </w:tc>
        <w:tc>
          <w:tcPr>
            <w:tcW w:w="1328" w:type="dxa"/>
            <w:tcBorders>
              <w:top w:val="nil"/>
              <w:left w:val="nil"/>
              <w:bottom w:val="nil"/>
              <w:right w:val="nil"/>
            </w:tcBorders>
            <w:shd w:val="clear" w:color="auto" w:fill="auto"/>
            <w:noWrap/>
            <w:vAlign w:val="center"/>
            <w:hideMark/>
          </w:tcPr>
          <w:p w14:paraId="3DCA6B3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0.40</w:t>
            </w:r>
          </w:p>
        </w:tc>
        <w:tc>
          <w:tcPr>
            <w:tcW w:w="789" w:type="dxa"/>
            <w:tcBorders>
              <w:top w:val="nil"/>
              <w:left w:val="nil"/>
              <w:bottom w:val="nil"/>
              <w:right w:val="nil"/>
            </w:tcBorders>
            <w:shd w:val="clear" w:color="auto" w:fill="auto"/>
            <w:noWrap/>
            <w:vAlign w:val="center"/>
            <w:hideMark/>
          </w:tcPr>
          <w:p w14:paraId="1981067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0.30</w:t>
            </w:r>
          </w:p>
        </w:tc>
        <w:tc>
          <w:tcPr>
            <w:tcW w:w="1134" w:type="dxa"/>
            <w:tcBorders>
              <w:top w:val="nil"/>
              <w:left w:val="single" w:sz="4" w:space="0" w:color="auto"/>
              <w:bottom w:val="nil"/>
              <w:right w:val="nil"/>
            </w:tcBorders>
            <w:shd w:val="clear" w:color="auto" w:fill="auto"/>
            <w:noWrap/>
            <w:vAlign w:val="center"/>
            <w:hideMark/>
          </w:tcPr>
          <w:p w14:paraId="05E0B32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0.09</w:t>
            </w:r>
          </w:p>
        </w:tc>
        <w:tc>
          <w:tcPr>
            <w:tcW w:w="1011" w:type="dxa"/>
            <w:tcBorders>
              <w:top w:val="nil"/>
              <w:left w:val="nil"/>
              <w:bottom w:val="nil"/>
              <w:right w:val="nil"/>
            </w:tcBorders>
            <w:shd w:val="clear" w:color="auto" w:fill="auto"/>
            <w:noWrap/>
            <w:vAlign w:val="center"/>
            <w:hideMark/>
          </w:tcPr>
          <w:p w14:paraId="1845CF6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12.32</w:t>
            </w:r>
          </w:p>
        </w:tc>
        <w:tc>
          <w:tcPr>
            <w:tcW w:w="1011" w:type="dxa"/>
            <w:tcBorders>
              <w:top w:val="nil"/>
              <w:left w:val="nil"/>
              <w:bottom w:val="nil"/>
              <w:right w:val="nil"/>
            </w:tcBorders>
            <w:shd w:val="clear" w:color="auto" w:fill="auto"/>
            <w:noWrap/>
            <w:vAlign w:val="center"/>
            <w:hideMark/>
          </w:tcPr>
          <w:p w14:paraId="4932CCBB"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7650ACCC" w14:textId="77777777" w:rsidTr="002031C9">
        <w:trPr>
          <w:trHeight w:val="264"/>
        </w:trPr>
        <w:tc>
          <w:tcPr>
            <w:tcW w:w="3857" w:type="dxa"/>
            <w:tcBorders>
              <w:top w:val="nil"/>
              <w:left w:val="nil"/>
              <w:bottom w:val="nil"/>
              <w:right w:val="nil"/>
            </w:tcBorders>
            <w:shd w:val="clear" w:color="auto" w:fill="auto"/>
            <w:noWrap/>
            <w:vAlign w:val="bottom"/>
            <w:hideMark/>
          </w:tcPr>
          <w:p w14:paraId="36DB1544"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Call 1929 a 'Hoover' depression?</w:t>
            </w:r>
          </w:p>
        </w:tc>
        <w:tc>
          <w:tcPr>
            <w:tcW w:w="1328" w:type="dxa"/>
            <w:tcBorders>
              <w:top w:val="nil"/>
              <w:left w:val="nil"/>
              <w:bottom w:val="nil"/>
              <w:right w:val="nil"/>
            </w:tcBorders>
            <w:shd w:val="clear" w:color="auto" w:fill="auto"/>
            <w:noWrap/>
            <w:vAlign w:val="center"/>
            <w:hideMark/>
          </w:tcPr>
          <w:p w14:paraId="0DCBB2A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0.29</w:t>
            </w:r>
          </w:p>
        </w:tc>
        <w:tc>
          <w:tcPr>
            <w:tcW w:w="789" w:type="dxa"/>
            <w:tcBorders>
              <w:top w:val="nil"/>
              <w:left w:val="nil"/>
              <w:bottom w:val="nil"/>
              <w:right w:val="nil"/>
            </w:tcBorders>
            <w:shd w:val="clear" w:color="auto" w:fill="auto"/>
            <w:noWrap/>
            <w:vAlign w:val="center"/>
            <w:hideMark/>
          </w:tcPr>
          <w:p w14:paraId="5A91D8E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0.25</w:t>
            </w:r>
          </w:p>
        </w:tc>
        <w:tc>
          <w:tcPr>
            <w:tcW w:w="1134" w:type="dxa"/>
            <w:tcBorders>
              <w:top w:val="nil"/>
              <w:left w:val="single" w:sz="4" w:space="0" w:color="auto"/>
              <w:bottom w:val="nil"/>
              <w:right w:val="nil"/>
            </w:tcBorders>
            <w:shd w:val="clear" w:color="auto" w:fill="auto"/>
            <w:noWrap/>
            <w:vAlign w:val="center"/>
            <w:hideMark/>
          </w:tcPr>
          <w:p w14:paraId="283A27A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0.05</w:t>
            </w:r>
          </w:p>
        </w:tc>
        <w:tc>
          <w:tcPr>
            <w:tcW w:w="1011" w:type="dxa"/>
            <w:tcBorders>
              <w:top w:val="nil"/>
              <w:left w:val="nil"/>
              <w:bottom w:val="nil"/>
              <w:right w:val="nil"/>
            </w:tcBorders>
            <w:shd w:val="clear" w:color="auto" w:fill="auto"/>
            <w:noWrap/>
            <w:vAlign w:val="center"/>
            <w:hideMark/>
          </w:tcPr>
          <w:p w14:paraId="5A0EF09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3.55</w:t>
            </w:r>
          </w:p>
        </w:tc>
        <w:tc>
          <w:tcPr>
            <w:tcW w:w="1011" w:type="dxa"/>
            <w:tcBorders>
              <w:top w:val="nil"/>
              <w:left w:val="nil"/>
              <w:bottom w:val="nil"/>
              <w:right w:val="nil"/>
            </w:tcBorders>
            <w:shd w:val="clear" w:color="auto" w:fill="auto"/>
            <w:noWrap/>
            <w:vAlign w:val="center"/>
            <w:hideMark/>
          </w:tcPr>
          <w:p w14:paraId="0A30343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0.06</w:t>
            </w:r>
          </w:p>
        </w:tc>
      </w:tr>
      <w:tr w:rsidR="0067023F" w:rsidRPr="0067023F" w14:paraId="451D89E5" w14:textId="77777777" w:rsidTr="002031C9">
        <w:trPr>
          <w:trHeight w:val="264"/>
        </w:trPr>
        <w:tc>
          <w:tcPr>
            <w:tcW w:w="3857" w:type="dxa"/>
            <w:tcBorders>
              <w:top w:val="nil"/>
              <w:left w:val="nil"/>
              <w:bottom w:val="nil"/>
              <w:right w:val="nil"/>
            </w:tcBorders>
            <w:shd w:val="clear" w:color="auto" w:fill="auto"/>
            <w:noWrap/>
            <w:vAlign w:val="bottom"/>
            <w:hideMark/>
          </w:tcPr>
          <w:p w14:paraId="1002077F"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Car owner</w:t>
            </w:r>
          </w:p>
        </w:tc>
        <w:tc>
          <w:tcPr>
            <w:tcW w:w="1328" w:type="dxa"/>
            <w:tcBorders>
              <w:top w:val="nil"/>
              <w:left w:val="nil"/>
              <w:bottom w:val="nil"/>
              <w:right w:val="nil"/>
            </w:tcBorders>
            <w:shd w:val="clear" w:color="auto" w:fill="auto"/>
            <w:noWrap/>
            <w:vAlign w:val="center"/>
            <w:hideMark/>
          </w:tcPr>
          <w:p w14:paraId="38E6508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0.41</w:t>
            </w:r>
          </w:p>
        </w:tc>
        <w:tc>
          <w:tcPr>
            <w:tcW w:w="789" w:type="dxa"/>
            <w:tcBorders>
              <w:top w:val="nil"/>
              <w:left w:val="nil"/>
              <w:bottom w:val="nil"/>
              <w:right w:val="nil"/>
            </w:tcBorders>
            <w:shd w:val="clear" w:color="auto" w:fill="auto"/>
            <w:noWrap/>
            <w:vAlign w:val="center"/>
            <w:hideMark/>
          </w:tcPr>
          <w:p w14:paraId="76AB35A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0.45</w:t>
            </w:r>
          </w:p>
        </w:tc>
        <w:tc>
          <w:tcPr>
            <w:tcW w:w="1134" w:type="dxa"/>
            <w:tcBorders>
              <w:top w:val="nil"/>
              <w:left w:val="single" w:sz="4" w:space="0" w:color="auto"/>
              <w:bottom w:val="nil"/>
              <w:right w:val="nil"/>
            </w:tcBorders>
            <w:shd w:val="clear" w:color="auto" w:fill="auto"/>
            <w:noWrap/>
            <w:vAlign w:val="center"/>
            <w:hideMark/>
          </w:tcPr>
          <w:p w14:paraId="213580B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-0.03</w:t>
            </w:r>
          </w:p>
        </w:tc>
        <w:tc>
          <w:tcPr>
            <w:tcW w:w="1011" w:type="dxa"/>
            <w:tcBorders>
              <w:top w:val="nil"/>
              <w:left w:val="nil"/>
              <w:bottom w:val="nil"/>
              <w:right w:val="nil"/>
            </w:tcBorders>
            <w:shd w:val="clear" w:color="auto" w:fill="auto"/>
            <w:noWrap/>
            <w:vAlign w:val="center"/>
            <w:hideMark/>
          </w:tcPr>
          <w:p w14:paraId="1C979F8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1.33</w:t>
            </w:r>
          </w:p>
        </w:tc>
        <w:tc>
          <w:tcPr>
            <w:tcW w:w="1011" w:type="dxa"/>
            <w:tcBorders>
              <w:top w:val="nil"/>
              <w:left w:val="nil"/>
              <w:bottom w:val="nil"/>
              <w:right w:val="nil"/>
            </w:tcBorders>
            <w:shd w:val="clear" w:color="auto" w:fill="auto"/>
            <w:noWrap/>
            <w:vAlign w:val="center"/>
            <w:hideMark/>
          </w:tcPr>
          <w:p w14:paraId="7FCF0C73"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0.25</w:t>
            </w:r>
          </w:p>
        </w:tc>
      </w:tr>
      <w:tr w:rsidR="0067023F" w:rsidRPr="0067023F" w14:paraId="3355DCC2" w14:textId="77777777" w:rsidTr="002031C9">
        <w:trPr>
          <w:trHeight w:val="264"/>
        </w:trPr>
        <w:tc>
          <w:tcPr>
            <w:tcW w:w="3857" w:type="dxa"/>
            <w:tcBorders>
              <w:top w:val="nil"/>
              <w:left w:val="nil"/>
              <w:bottom w:val="nil"/>
              <w:right w:val="nil"/>
            </w:tcBorders>
            <w:shd w:val="clear" w:color="auto" w:fill="auto"/>
            <w:noWrap/>
            <w:vAlign w:val="bottom"/>
            <w:hideMark/>
          </w:tcPr>
          <w:p w14:paraId="193FE23F"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Telephone owner</w:t>
            </w:r>
          </w:p>
        </w:tc>
        <w:tc>
          <w:tcPr>
            <w:tcW w:w="1328" w:type="dxa"/>
            <w:tcBorders>
              <w:top w:val="nil"/>
              <w:left w:val="nil"/>
              <w:bottom w:val="nil"/>
              <w:right w:val="nil"/>
            </w:tcBorders>
            <w:shd w:val="clear" w:color="auto" w:fill="auto"/>
            <w:noWrap/>
            <w:vAlign w:val="center"/>
            <w:hideMark/>
          </w:tcPr>
          <w:p w14:paraId="42D74C6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0.39</w:t>
            </w:r>
          </w:p>
        </w:tc>
        <w:tc>
          <w:tcPr>
            <w:tcW w:w="789" w:type="dxa"/>
            <w:tcBorders>
              <w:top w:val="nil"/>
              <w:left w:val="nil"/>
              <w:bottom w:val="nil"/>
              <w:right w:val="nil"/>
            </w:tcBorders>
            <w:shd w:val="clear" w:color="auto" w:fill="auto"/>
            <w:noWrap/>
            <w:vAlign w:val="center"/>
            <w:hideMark/>
          </w:tcPr>
          <w:p w14:paraId="5899CF4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0.38</w:t>
            </w:r>
          </w:p>
        </w:tc>
        <w:tc>
          <w:tcPr>
            <w:tcW w:w="1134" w:type="dxa"/>
            <w:tcBorders>
              <w:top w:val="nil"/>
              <w:left w:val="single" w:sz="4" w:space="0" w:color="auto"/>
              <w:bottom w:val="nil"/>
              <w:right w:val="nil"/>
            </w:tcBorders>
            <w:shd w:val="clear" w:color="auto" w:fill="auto"/>
            <w:noWrap/>
            <w:vAlign w:val="center"/>
            <w:hideMark/>
          </w:tcPr>
          <w:p w14:paraId="1FB18673"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0.01</w:t>
            </w:r>
          </w:p>
        </w:tc>
        <w:tc>
          <w:tcPr>
            <w:tcW w:w="1011" w:type="dxa"/>
            <w:tcBorders>
              <w:top w:val="nil"/>
              <w:left w:val="nil"/>
              <w:bottom w:val="nil"/>
              <w:right w:val="nil"/>
            </w:tcBorders>
            <w:shd w:val="clear" w:color="auto" w:fill="auto"/>
            <w:noWrap/>
            <w:vAlign w:val="center"/>
            <w:hideMark/>
          </w:tcPr>
          <w:p w14:paraId="787FB15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0.17</w:t>
            </w:r>
          </w:p>
        </w:tc>
        <w:tc>
          <w:tcPr>
            <w:tcW w:w="1011" w:type="dxa"/>
            <w:tcBorders>
              <w:top w:val="nil"/>
              <w:left w:val="nil"/>
              <w:bottom w:val="nil"/>
              <w:right w:val="nil"/>
            </w:tcBorders>
            <w:shd w:val="clear" w:color="auto" w:fill="auto"/>
            <w:noWrap/>
            <w:vAlign w:val="center"/>
            <w:hideMark/>
          </w:tcPr>
          <w:p w14:paraId="55C2F5A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0.68</w:t>
            </w:r>
          </w:p>
        </w:tc>
      </w:tr>
      <w:tr w:rsidR="0067023F" w:rsidRPr="0067023F" w14:paraId="78B1A8DE" w14:textId="77777777" w:rsidTr="002031C9">
        <w:trPr>
          <w:trHeight w:val="264"/>
        </w:trPr>
        <w:tc>
          <w:tcPr>
            <w:tcW w:w="3857" w:type="dxa"/>
            <w:tcBorders>
              <w:top w:val="nil"/>
              <w:left w:val="nil"/>
              <w:bottom w:val="nil"/>
              <w:right w:val="nil"/>
            </w:tcBorders>
            <w:shd w:val="clear" w:color="auto" w:fill="auto"/>
            <w:noWrap/>
            <w:vAlign w:val="bottom"/>
            <w:hideMark/>
          </w:tcPr>
          <w:p w14:paraId="0002CBF5" w14:textId="77777777" w:rsidR="0067023F" w:rsidRPr="0067023F" w:rsidRDefault="0067023F" w:rsidP="0067023F">
            <w:pPr>
              <w:rPr>
                <w:rFonts w:ascii="Times New Roman" w:eastAsia="Times New Roman" w:hAnsi="Times New Roman" w:cs="Times New Roman"/>
                <w:b/>
                <w:bCs/>
                <w:color w:val="000000"/>
                <w:sz w:val="22"/>
                <w:szCs w:val="22"/>
                <w:lang w:eastAsia="en-GB"/>
              </w:rPr>
            </w:pPr>
            <w:r w:rsidRPr="0067023F">
              <w:rPr>
                <w:rFonts w:ascii="Times New Roman" w:eastAsia="Times New Roman" w:hAnsi="Times New Roman" w:cs="Times New Roman"/>
                <w:b/>
                <w:bCs/>
                <w:color w:val="000000"/>
                <w:sz w:val="22"/>
                <w:szCs w:val="22"/>
                <w:lang w:eastAsia="en-GB"/>
              </w:rPr>
              <w:t>Political</w:t>
            </w:r>
          </w:p>
        </w:tc>
        <w:tc>
          <w:tcPr>
            <w:tcW w:w="1328" w:type="dxa"/>
            <w:tcBorders>
              <w:top w:val="nil"/>
              <w:left w:val="nil"/>
              <w:bottom w:val="nil"/>
              <w:right w:val="nil"/>
            </w:tcBorders>
            <w:shd w:val="clear" w:color="auto" w:fill="auto"/>
            <w:noWrap/>
            <w:vAlign w:val="center"/>
            <w:hideMark/>
          </w:tcPr>
          <w:p w14:paraId="06572271" w14:textId="77777777" w:rsidR="0067023F" w:rsidRPr="0067023F" w:rsidRDefault="0067023F" w:rsidP="0067023F">
            <w:pPr>
              <w:rPr>
                <w:rFonts w:ascii="Times New Roman" w:eastAsia="Times New Roman" w:hAnsi="Times New Roman" w:cs="Times New Roman"/>
                <w:b/>
                <w:bCs/>
                <w:color w:val="000000"/>
                <w:sz w:val="22"/>
                <w:szCs w:val="22"/>
                <w:lang w:eastAsia="en-GB"/>
              </w:rPr>
            </w:pPr>
          </w:p>
        </w:tc>
        <w:tc>
          <w:tcPr>
            <w:tcW w:w="789" w:type="dxa"/>
            <w:tcBorders>
              <w:top w:val="nil"/>
              <w:left w:val="nil"/>
              <w:bottom w:val="nil"/>
              <w:right w:val="nil"/>
            </w:tcBorders>
            <w:shd w:val="clear" w:color="auto" w:fill="auto"/>
            <w:noWrap/>
            <w:vAlign w:val="center"/>
            <w:hideMark/>
          </w:tcPr>
          <w:p w14:paraId="57D0F183" w14:textId="77777777" w:rsidR="0067023F" w:rsidRPr="0067023F" w:rsidRDefault="0067023F" w:rsidP="0067023F">
            <w:pPr>
              <w:jc w:val="center"/>
              <w:rPr>
                <w:rFonts w:ascii="Times New Roman" w:eastAsia="Times New Roman" w:hAnsi="Times New Roman" w:cs="Times New Roman"/>
                <w:sz w:val="20"/>
                <w:szCs w:val="20"/>
                <w:lang w:eastAsia="en-GB"/>
              </w:rPr>
            </w:pPr>
          </w:p>
        </w:tc>
        <w:tc>
          <w:tcPr>
            <w:tcW w:w="1134" w:type="dxa"/>
            <w:tcBorders>
              <w:top w:val="nil"/>
              <w:left w:val="single" w:sz="4" w:space="0" w:color="auto"/>
              <w:bottom w:val="nil"/>
              <w:right w:val="nil"/>
            </w:tcBorders>
            <w:shd w:val="clear" w:color="auto" w:fill="auto"/>
            <w:noWrap/>
            <w:vAlign w:val="center"/>
            <w:hideMark/>
          </w:tcPr>
          <w:p w14:paraId="05CE199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w:t>
            </w:r>
          </w:p>
        </w:tc>
        <w:tc>
          <w:tcPr>
            <w:tcW w:w="1011" w:type="dxa"/>
            <w:tcBorders>
              <w:top w:val="nil"/>
              <w:left w:val="nil"/>
              <w:bottom w:val="nil"/>
              <w:right w:val="nil"/>
            </w:tcBorders>
            <w:shd w:val="clear" w:color="auto" w:fill="auto"/>
            <w:noWrap/>
            <w:vAlign w:val="center"/>
            <w:hideMark/>
          </w:tcPr>
          <w:p w14:paraId="4EB7640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p>
        </w:tc>
        <w:tc>
          <w:tcPr>
            <w:tcW w:w="1011" w:type="dxa"/>
            <w:tcBorders>
              <w:top w:val="nil"/>
              <w:left w:val="nil"/>
              <w:bottom w:val="nil"/>
              <w:right w:val="nil"/>
            </w:tcBorders>
            <w:shd w:val="clear" w:color="auto" w:fill="auto"/>
            <w:noWrap/>
            <w:vAlign w:val="center"/>
            <w:hideMark/>
          </w:tcPr>
          <w:p w14:paraId="6C865682" w14:textId="77777777" w:rsidR="0067023F" w:rsidRPr="0067023F" w:rsidRDefault="0067023F" w:rsidP="0067023F">
            <w:pPr>
              <w:jc w:val="center"/>
              <w:rPr>
                <w:rFonts w:ascii="Times New Roman" w:eastAsia="Times New Roman" w:hAnsi="Times New Roman" w:cs="Times New Roman"/>
                <w:sz w:val="20"/>
                <w:szCs w:val="20"/>
                <w:lang w:eastAsia="en-GB"/>
              </w:rPr>
            </w:pPr>
          </w:p>
        </w:tc>
      </w:tr>
      <w:tr w:rsidR="0067023F" w:rsidRPr="0067023F" w14:paraId="5FC4D0A3" w14:textId="77777777" w:rsidTr="002031C9">
        <w:trPr>
          <w:trHeight w:val="264"/>
        </w:trPr>
        <w:tc>
          <w:tcPr>
            <w:tcW w:w="3857" w:type="dxa"/>
            <w:tcBorders>
              <w:top w:val="nil"/>
              <w:left w:val="nil"/>
              <w:bottom w:val="nil"/>
              <w:right w:val="nil"/>
            </w:tcBorders>
            <w:shd w:val="clear" w:color="auto" w:fill="auto"/>
            <w:noWrap/>
            <w:vAlign w:val="bottom"/>
            <w:hideMark/>
          </w:tcPr>
          <w:p w14:paraId="52A83F5D"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Voted FDR in 1936</w:t>
            </w:r>
          </w:p>
        </w:tc>
        <w:tc>
          <w:tcPr>
            <w:tcW w:w="1328" w:type="dxa"/>
            <w:tcBorders>
              <w:top w:val="nil"/>
              <w:left w:val="nil"/>
              <w:bottom w:val="nil"/>
              <w:right w:val="nil"/>
            </w:tcBorders>
            <w:shd w:val="clear" w:color="auto" w:fill="auto"/>
            <w:noWrap/>
            <w:vAlign w:val="center"/>
            <w:hideMark/>
          </w:tcPr>
          <w:p w14:paraId="1B93B03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0.49</w:t>
            </w:r>
          </w:p>
        </w:tc>
        <w:tc>
          <w:tcPr>
            <w:tcW w:w="789" w:type="dxa"/>
            <w:tcBorders>
              <w:top w:val="nil"/>
              <w:left w:val="nil"/>
              <w:bottom w:val="nil"/>
              <w:right w:val="nil"/>
            </w:tcBorders>
            <w:shd w:val="clear" w:color="auto" w:fill="auto"/>
            <w:noWrap/>
            <w:vAlign w:val="center"/>
            <w:hideMark/>
          </w:tcPr>
          <w:p w14:paraId="0BDC419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0.51</w:t>
            </w:r>
          </w:p>
        </w:tc>
        <w:tc>
          <w:tcPr>
            <w:tcW w:w="1134" w:type="dxa"/>
            <w:tcBorders>
              <w:top w:val="nil"/>
              <w:left w:val="single" w:sz="4" w:space="0" w:color="auto"/>
              <w:bottom w:val="nil"/>
              <w:right w:val="nil"/>
            </w:tcBorders>
            <w:shd w:val="clear" w:color="auto" w:fill="auto"/>
            <w:noWrap/>
            <w:vAlign w:val="center"/>
            <w:hideMark/>
          </w:tcPr>
          <w:p w14:paraId="1BCD114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-0.02</w:t>
            </w:r>
          </w:p>
        </w:tc>
        <w:tc>
          <w:tcPr>
            <w:tcW w:w="1011" w:type="dxa"/>
            <w:tcBorders>
              <w:top w:val="nil"/>
              <w:left w:val="nil"/>
              <w:bottom w:val="nil"/>
              <w:right w:val="nil"/>
            </w:tcBorders>
            <w:shd w:val="clear" w:color="auto" w:fill="auto"/>
            <w:noWrap/>
            <w:vAlign w:val="center"/>
            <w:hideMark/>
          </w:tcPr>
          <w:p w14:paraId="251BA47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0.46</w:t>
            </w:r>
          </w:p>
        </w:tc>
        <w:tc>
          <w:tcPr>
            <w:tcW w:w="1011" w:type="dxa"/>
            <w:tcBorders>
              <w:top w:val="nil"/>
              <w:left w:val="nil"/>
              <w:bottom w:val="nil"/>
              <w:right w:val="nil"/>
            </w:tcBorders>
            <w:shd w:val="clear" w:color="auto" w:fill="auto"/>
            <w:noWrap/>
            <w:vAlign w:val="center"/>
            <w:hideMark/>
          </w:tcPr>
          <w:p w14:paraId="3080FF0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0.50</w:t>
            </w:r>
          </w:p>
        </w:tc>
      </w:tr>
      <w:tr w:rsidR="0067023F" w:rsidRPr="0067023F" w14:paraId="15B01252" w14:textId="77777777" w:rsidTr="002031C9">
        <w:trPr>
          <w:trHeight w:val="264"/>
        </w:trPr>
        <w:tc>
          <w:tcPr>
            <w:tcW w:w="3857" w:type="dxa"/>
            <w:tcBorders>
              <w:top w:val="nil"/>
              <w:left w:val="nil"/>
              <w:bottom w:val="nil"/>
              <w:right w:val="nil"/>
            </w:tcBorders>
            <w:shd w:val="clear" w:color="auto" w:fill="auto"/>
            <w:noWrap/>
            <w:vAlign w:val="bottom"/>
            <w:hideMark/>
          </w:tcPr>
          <w:p w14:paraId="1C84EB49"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For FDR today</w:t>
            </w:r>
          </w:p>
        </w:tc>
        <w:tc>
          <w:tcPr>
            <w:tcW w:w="1328" w:type="dxa"/>
            <w:tcBorders>
              <w:top w:val="nil"/>
              <w:left w:val="nil"/>
              <w:bottom w:val="nil"/>
              <w:right w:val="nil"/>
            </w:tcBorders>
            <w:shd w:val="clear" w:color="auto" w:fill="auto"/>
            <w:noWrap/>
            <w:vAlign w:val="center"/>
            <w:hideMark/>
          </w:tcPr>
          <w:p w14:paraId="324322D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0.43</w:t>
            </w:r>
          </w:p>
        </w:tc>
        <w:tc>
          <w:tcPr>
            <w:tcW w:w="789" w:type="dxa"/>
            <w:tcBorders>
              <w:top w:val="nil"/>
              <w:left w:val="nil"/>
              <w:bottom w:val="nil"/>
              <w:right w:val="nil"/>
            </w:tcBorders>
            <w:shd w:val="clear" w:color="auto" w:fill="auto"/>
            <w:noWrap/>
            <w:vAlign w:val="center"/>
            <w:hideMark/>
          </w:tcPr>
          <w:p w14:paraId="549C6B5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0.54</w:t>
            </w:r>
          </w:p>
        </w:tc>
        <w:tc>
          <w:tcPr>
            <w:tcW w:w="1134" w:type="dxa"/>
            <w:tcBorders>
              <w:top w:val="nil"/>
              <w:left w:val="single" w:sz="4" w:space="0" w:color="auto"/>
              <w:bottom w:val="nil"/>
              <w:right w:val="nil"/>
            </w:tcBorders>
            <w:shd w:val="clear" w:color="auto" w:fill="auto"/>
            <w:noWrap/>
            <w:vAlign w:val="center"/>
            <w:hideMark/>
          </w:tcPr>
          <w:p w14:paraId="0FCEF5A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-0.11</w:t>
            </w:r>
          </w:p>
        </w:tc>
        <w:tc>
          <w:tcPr>
            <w:tcW w:w="1011" w:type="dxa"/>
            <w:tcBorders>
              <w:top w:val="nil"/>
              <w:left w:val="nil"/>
              <w:bottom w:val="nil"/>
              <w:right w:val="nil"/>
            </w:tcBorders>
            <w:shd w:val="clear" w:color="auto" w:fill="auto"/>
            <w:noWrap/>
            <w:vAlign w:val="center"/>
            <w:hideMark/>
          </w:tcPr>
          <w:p w14:paraId="11B1A8C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13.22</w:t>
            </w:r>
          </w:p>
        </w:tc>
        <w:tc>
          <w:tcPr>
            <w:tcW w:w="1011" w:type="dxa"/>
            <w:tcBorders>
              <w:top w:val="nil"/>
              <w:left w:val="nil"/>
              <w:bottom w:val="nil"/>
              <w:right w:val="nil"/>
            </w:tcBorders>
            <w:shd w:val="clear" w:color="auto" w:fill="auto"/>
            <w:noWrap/>
            <w:vAlign w:val="center"/>
            <w:hideMark/>
          </w:tcPr>
          <w:p w14:paraId="67A3E5B4"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10F822AF" w14:textId="77777777" w:rsidTr="002031C9">
        <w:trPr>
          <w:trHeight w:val="264"/>
        </w:trPr>
        <w:tc>
          <w:tcPr>
            <w:tcW w:w="3857" w:type="dxa"/>
            <w:tcBorders>
              <w:top w:val="nil"/>
              <w:left w:val="nil"/>
              <w:bottom w:val="nil"/>
              <w:right w:val="nil"/>
            </w:tcBorders>
            <w:shd w:val="clear" w:color="auto" w:fill="auto"/>
            <w:noWrap/>
            <w:vAlign w:val="bottom"/>
            <w:hideMark/>
          </w:tcPr>
          <w:p w14:paraId="1EBB84CB"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Attitude changed since last election?</w:t>
            </w:r>
          </w:p>
        </w:tc>
        <w:tc>
          <w:tcPr>
            <w:tcW w:w="1328" w:type="dxa"/>
            <w:tcBorders>
              <w:top w:val="nil"/>
              <w:left w:val="nil"/>
              <w:bottom w:val="nil"/>
              <w:right w:val="nil"/>
            </w:tcBorders>
            <w:shd w:val="clear" w:color="auto" w:fill="auto"/>
            <w:noWrap/>
            <w:vAlign w:val="center"/>
            <w:hideMark/>
          </w:tcPr>
          <w:p w14:paraId="1AE231A5"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0.24</w:t>
            </w:r>
          </w:p>
        </w:tc>
        <w:tc>
          <w:tcPr>
            <w:tcW w:w="789" w:type="dxa"/>
            <w:tcBorders>
              <w:top w:val="nil"/>
              <w:left w:val="nil"/>
              <w:bottom w:val="nil"/>
              <w:right w:val="nil"/>
            </w:tcBorders>
            <w:shd w:val="clear" w:color="auto" w:fill="auto"/>
            <w:noWrap/>
            <w:vAlign w:val="center"/>
            <w:hideMark/>
          </w:tcPr>
          <w:p w14:paraId="72974EDF"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0.16</w:t>
            </w:r>
          </w:p>
        </w:tc>
        <w:tc>
          <w:tcPr>
            <w:tcW w:w="1134" w:type="dxa"/>
            <w:tcBorders>
              <w:top w:val="nil"/>
              <w:left w:val="single" w:sz="4" w:space="0" w:color="auto"/>
              <w:bottom w:val="nil"/>
              <w:right w:val="nil"/>
            </w:tcBorders>
            <w:shd w:val="clear" w:color="auto" w:fill="auto"/>
            <w:noWrap/>
            <w:vAlign w:val="center"/>
            <w:hideMark/>
          </w:tcPr>
          <w:p w14:paraId="31B9A93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0.08</w:t>
            </w:r>
          </w:p>
        </w:tc>
        <w:tc>
          <w:tcPr>
            <w:tcW w:w="1011" w:type="dxa"/>
            <w:tcBorders>
              <w:top w:val="nil"/>
              <w:left w:val="nil"/>
              <w:bottom w:val="nil"/>
              <w:right w:val="nil"/>
            </w:tcBorders>
            <w:shd w:val="clear" w:color="auto" w:fill="auto"/>
            <w:noWrap/>
            <w:vAlign w:val="center"/>
            <w:hideMark/>
          </w:tcPr>
          <w:p w14:paraId="3A9E561D"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12.60</w:t>
            </w:r>
          </w:p>
        </w:tc>
        <w:tc>
          <w:tcPr>
            <w:tcW w:w="1011" w:type="dxa"/>
            <w:tcBorders>
              <w:top w:val="nil"/>
              <w:left w:val="nil"/>
              <w:bottom w:val="nil"/>
              <w:right w:val="nil"/>
            </w:tcBorders>
            <w:shd w:val="clear" w:color="auto" w:fill="auto"/>
            <w:noWrap/>
            <w:vAlign w:val="center"/>
            <w:hideMark/>
          </w:tcPr>
          <w:p w14:paraId="675A5EE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r w:rsidR="0067023F" w:rsidRPr="0067023F" w14:paraId="418F49E8" w14:textId="77777777" w:rsidTr="002031C9">
        <w:trPr>
          <w:trHeight w:val="264"/>
        </w:trPr>
        <w:tc>
          <w:tcPr>
            <w:tcW w:w="3857" w:type="dxa"/>
            <w:tcBorders>
              <w:top w:val="nil"/>
              <w:left w:val="nil"/>
              <w:bottom w:val="nil"/>
              <w:right w:val="nil"/>
            </w:tcBorders>
            <w:shd w:val="clear" w:color="auto" w:fill="auto"/>
            <w:vAlign w:val="bottom"/>
            <w:hideMark/>
          </w:tcPr>
          <w:p w14:paraId="1A5747BA"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 xml:space="preserve">New Liberal and Conservative </w:t>
            </w:r>
            <w:r w:rsidRPr="0067023F">
              <w:rPr>
                <w:rFonts w:ascii="Times New Roman" w:eastAsia="Times New Roman" w:hAnsi="Times New Roman" w:cs="Times New Roman"/>
                <w:color w:val="000000"/>
                <w:sz w:val="22"/>
                <w:szCs w:val="22"/>
                <w:lang w:eastAsia="en-GB"/>
              </w:rPr>
              <w:br/>
              <w:t>parties needed?</w:t>
            </w:r>
          </w:p>
        </w:tc>
        <w:tc>
          <w:tcPr>
            <w:tcW w:w="1328" w:type="dxa"/>
            <w:tcBorders>
              <w:top w:val="nil"/>
              <w:left w:val="nil"/>
              <w:bottom w:val="nil"/>
              <w:right w:val="nil"/>
            </w:tcBorders>
            <w:shd w:val="clear" w:color="auto" w:fill="auto"/>
            <w:noWrap/>
            <w:vAlign w:val="center"/>
            <w:hideMark/>
          </w:tcPr>
          <w:p w14:paraId="21676E3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0.28</w:t>
            </w:r>
          </w:p>
        </w:tc>
        <w:tc>
          <w:tcPr>
            <w:tcW w:w="789" w:type="dxa"/>
            <w:tcBorders>
              <w:top w:val="nil"/>
              <w:left w:val="nil"/>
              <w:bottom w:val="nil"/>
              <w:right w:val="nil"/>
            </w:tcBorders>
            <w:shd w:val="clear" w:color="auto" w:fill="auto"/>
            <w:noWrap/>
            <w:vAlign w:val="center"/>
            <w:hideMark/>
          </w:tcPr>
          <w:p w14:paraId="17FCA81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0.21</w:t>
            </w:r>
          </w:p>
        </w:tc>
        <w:tc>
          <w:tcPr>
            <w:tcW w:w="1134" w:type="dxa"/>
            <w:tcBorders>
              <w:top w:val="nil"/>
              <w:left w:val="single" w:sz="4" w:space="0" w:color="auto"/>
              <w:bottom w:val="nil"/>
              <w:right w:val="nil"/>
            </w:tcBorders>
            <w:shd w:val="clear" w:color="auto" w:fill="auto"/>
            <w:noWrap/>
            <w:vAlign w:val="center"/>
            <w:hideMark/>
          </w:tcPr>
          <w:p w14:paraId="52C998A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0.07</w:t>
            </w:r>
          </w:p>
        </w:tc>
        <w:tc>
          <w:tcPr>
            <w:tcW w:w="1011" w:type="dxa"/>
            <w:tcBorders>
              <w:top w:val="nil"/>
              <w:left w:val="nil"/>
              <w:bottom w:val="nil"/>
              <w:right w:val="nil"/>
            </w:tcBorders>
            <w:shd w:val="clear" w:color="auto" w:fill="auto"/>
            <w:noWrap/>
            <w:vAlign w:val="center"/>
            <w:hideMark/>
          </w:tcPr>
          <w:p w14:paraId="1AF31DA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7.44</w:t>
            </w:r>
          </w:p>
        </w:tc>
        <w:tc>
          <w:tcPr>
            <w:tcW w:w="1011" w:type="dxa"/>
            <w:tcBorders>
              <w:top w:val="nil"/>
              <w:left w:val="nil"/>
              <w:bottom w:val="nil"/>
              <w:right w:val="nil"/>
            </w:tcBorders>
            <w:shd w:val="clear" w:color="auto" w:fill="auto"/>
            <w:noWrap/>
            <w:vAlign w:val="center"/>
            <w:hideMark/>
          </w:tcPr>
          <w:p w14:paraId="7BC4A23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0.01</w:t>
            </w:r>
          </w:p>
        </w:tc>
      </w:tr>
      <w:tr w:rsidR="0067023F" w:rsidRPr="0067023F" w14:paraId="134F9145" w14:textId="77777777" w:rsidTr="002031C9">
        <w:trPr>
          <w:trHeight w:val="264"/>
        </w:trPr>
        <w:tc>
          <w:tcPr>
            <w:tcW w:w="3857" w:type="dxa"/>
            <w:tcBorders>
              <w:top w:val="nil"/>
              <w:left w:val="nil"/>
              <w:bottom w:val="nil"/>
              <w:right w:val="nil"/>
            </w:tcBorders>
            <w:shd w:val="clear" w:color="auto" w:fill="auto"/>
            <w:noWrap/>
            <w:vAlign w:val="bottom"/>
            <w:hideMark/>
          </w:tcPr>
          <w:p w14:paraId="311318EE"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Like to join Conservatives</w:t>
            </w:r>
          </w:p>
        </w:tc>
        <w:tc>
          <w:tcPr>
            <w:tcW w:w="1328" w:type="dxa"/>
            <w:tcBorders>
              <w:top w:val="nil"/>
              <w:left w:val="nil"/>
              <w:bottom w:val="nil"/>
              <w:right w:val="nil"/>
            </w:tcBorders>
            <w:shd w:val="clear" w:color="auto" w:fill="auto"/>
            <w:noWrap/>
            <w:vAlign w:val="center"/>
            <w:hideMark/>
          </w:tcPr>
          <w:p w14:paraId="44B03F8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0.21</w:t>
            </w:r>
          </w:p>
        </w:tc>
        <w:tc>
          <w:tcPr>
            <w:tcW w:w="789" w:type="dxa"/>
            <w:tcBorders>
              <w:top w:val="nil"/>
              <w:left w:val="nil"/>
              <w:bottom w:val="nil"/>
              <w:right w:val="nil"/>
            </w:tcBorders>
            <w:shd w:val="clear" w:color="auto" w:fill="auto"/>
            <w:noWrap/>
            <w:vAlign w:val="center"/>
            <w:hideMark/>
          </w:tcPr>
          <w:p w14:paraId="3881C21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0.17</w:t>
            </w:r>
          </w:p>
        </w:tc>
        <w:tc>
          <w:tcPr>
            <w:tcW w:w="1134" w:type="dxa"/>
            <w:tcBorders>
              <w:top w:val="nil"/>
              <w:left w:val="single" w:sz="4" w:space="0" w:color="auto"/>
              <w:bottom w:val="nil"/>
              <w:right w:val="nil"/>
            </w:tcBorders>
            <w:shd w:val="clear" w:color="auto" w:fill="auto"/>
            <w:noWrap/>
            <w:vAlign w:val="center"/>
            <w:hideMark/>
          </w:tcPr>
          <w:p w14:paraId="64FF87A1"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0.04</w:t>
            </w:r>
          </w:p>
        </w:tc>
        <w:tc>
          <w:tcPr>
            <w:tcW w:w="1011" w:type="dxa"/>
            <w:tcBorders>
              <w:top w:val="nil"/>
              <w:left w:val="nil"/>
              <w:bottom w:val="nil"/>
              <w:right w:val="nil"/>
            </w:tcBorders>
            <w:shd w:val="clear" w:color="auto" w:fill="auto"/>
            <w:noWrap/>
            <w:vAlign w:val="center"/>
            <w:hideMark/>
          </w:tcPr>
          <w:p w14:paraId="3A0309D3"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4.39</w:t>
            </w:r>
          </w:p>
        </w:tc>
        <w:tc>
          <w:tcPr>
            <w:tcW w:w="1011" w:type="dxa"/>
            <w:tcBorders>
              <w:top w:val="nil"/>
              <w:left w:val="nil"/>
              <w:bottom w:val="nil"/>
              <w:right w:val="nil"/>
            </w:tcBorders>
            <w:shd w:val="clear" w:color="auto" w:fill="auto"/>
            <w:noWrap/>
            <w:vAlign w:val="center"/>
            <w:hideMark/>
          </w:tcPr>
          <w:p w14:paraId="219CB16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0.04</w:t>
            </w:r>
          </w:p>
        </w:tc>
      </w:tr>
      <w:tr w:rsidR="0067023F" w:rsidRPr="0067023F" w14:paraId="2BCEE2CA" w14:textId="77777777" w:rsidTr="002031C9">
        <w:trPr>
          <w:trHeight w:val="264"/>
        </w:trPr>
        <w:tc>
          <w:tcPr>
            <w:tcW w:w="3857" w:type="dxa"/>
            <w:tcBorders>
              <w:top w:val="nil"/>
              <w:left w:val="nil"/>
              <w:bottom w:val="nil"/>
              <w:right w:val="nil"/>
            </w:tcBorders>
            <w:shd w:val="clear" w:color="auto" w:fill="auto"/>
            <w:noWrap/>
            <w:vAlign w:val="bottom"/>
            <w:hideMark/>
          </w:tcPr>
          <w:p w14:paraId="6E84C267"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Like to join Liberals</w:t>
            </w:r>
          </w:p>
        </w:tc>
        <w:tc>
          <w:tcPr>
            <w:tcW w:w="1328" w:type="dxa"/>
            <w:tcBorders>
              <w:top w:val="nil"/>
              <w:left w:val="nil"/>
              <w:bottom w:val="nil"/>
              <w:right w:val="nil"/>
            </w:tcBorders>
            <w:shd w:val="clear" w:color="auto" w:fill="auto"/>
            <w:noWrap/>
            <w:vAlign w:val="center"/>
            <w:hideMark/>
          </w:tcPr>
          <w:p w14:paraId="7622EE6A"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0.23</w:t>
            </w:r>
          </w:p>
        </w:tc>
        <w:tc>
          <w:tcPr>
            <w:tcW w:w="789" w:type="dxa"/>
            <w:tcBorders>
              <w:top w:val="nil"/>
              <w:left w:val="nil"/>
              <w:bottom w:val="nil"/>
              <w:right w:val="nil"/>
            </w:tcBorders>
            <w:shd w:val="clear" w:color="auto" w:fill="auto"/>
            <w:noWrap/>
            <w:vAlign w:val="center"/>
            <w:hideMark/>
          </w:tcPr>
          <w:p w14:paraId="3521423C"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0.20</w:t>
            </w:r>
          </w:p>
        </w:tc>
        <w:tc>
          <w:tcPr>
            <w:tcW w:w="1134" w:type="dxa"/>
            <w:tcBorders>
              <w:top w:val="nil"/>
              <w:left w:val="single" w:sz="4" w:space="0" w:color="auto"/>
              <w:bottom w:val="nil"/>
              <w:right w:val="nil"/>
            </w:tcBorders>
            <w:shd w:val="clear" w:color="auto" w:fill="auto"/>
            <w:noWrap/>
            <w:vAlign w:val="center"/>
            <w:hideMark/>
          </w:tcPr>
          <w:p w14:paraId="57F6B6A9"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0.03</w:t>
            </w:r>
          </w:p>
        </w:tc>
        <w:tc>
          <w:tcPr>
            <w:tcW w:w="1011" w:type="dxa"/>
            <w:tcBorders>
              <w:top w:val="nil"/>
              <w:left w:val="nil"/>
              <w:bottom w:val="nil"/>
              <w:right w:val="nil"/>
            </w:tcBorders>
            <w:shd w:val="clear" w:color="auto" w:fill="auto"/>
            <w:noWrap/>
            <w:vAlign w:val="center"/>
            <w:hideMark/>
          </w:tcPr>
          <w:p w14:paraId="2ECA5A72"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1.20</w:t>
            </w:r>
          </w:p>
        </w:tc>
        <w:tc>
          <w:tcPr>
            <w:tcW w:w="1011" w:type="dxa"/>
            <w:tcBorders>
              <w:top w:val="nil"/>
              <w:left w:val="nil"/>
              <w:bottom w:val="nil"/>
              <w:right w:val="nil"/>
            </w:tcBorders>
            <w:shd w:val="clear" w:color="auto" w:fill="auto"/>
            <w:noWrap/>
            <w:vAlign w:val="center"/>
            <w:hideMark/>
          </w:tcPr>
          <w:p w14:paraId="23FC9438"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0.27</w:t>
            </w:r>
          </w:p>
        </w:tc>
      </w:tr>
      <w:tr w:rsidR="0067023F" w:rsidRPr="0067023F" w14:paraId="176FD57C" w14:textId="77777777" w:rsidTr="002031C9">
        <w:trPr>
          <w:trHeight w:val="264"/>
        </w:trPr>
        <w:tc>
          <w:tcPr>
            <w:tcW w:w="3857" w:type="dxa"/>
            <w:tcBorders>
              <w:top w:val="nil"/>
              <w:left w:val="nil"/>
              <w:bottom w:val="single" w:sz="4" w:space="0" w:color="auto"/>
              <w:right w:val="nil"/>
            </w:tcBorders>
            <w:shd w:val="clear" w:color="auto" w:fill="auto"/>
            <w:noWrap/>
            <w:vAlign w:val="bottom"/>
            <w:hideMark/>
          </w:tcPr>
          <w:p w14:paraId="3ADF2CEF" w14:textId="77777777" w:rsidR="0067023F" w:rsidRPr="0067023F" w:rsidRDefault="0067023F" w:rsidP="0067023F">
            <w:pPr>
              <w:ind w:firstLineChars="200" w:firstLine="440"/>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FDR may lead to dictatorship?</w:t>
            </w:r>
          </w:p>
        </w:tc>
        <w:tc>
          <w:tcPr>
            <w:tcW w:w="1328" w:type="dxa"/>
            <w:tcBorders>
              <w:top w:val="nil"/>
              <w:left w:val="nil"/>
              <w:bottom w:val="single" w:sz="4" w:space="0" w:color="auto"/>
              <w:right w:val="nil"/>
            </w:tcBorders>
            <w:shd w:val="clear" w:color="auto" w:fill="auto"/>
            <w:noWrap/>
            <w:vAlign w:val="center"/>
            <w:hideMark/>
          </w:tcPr>
          <w:p w14:paraId="1ECBA69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0.41</w:t>
            </w:r>
          </w:p>
        </w:tc>
        <w:tc>
          <w:tcPr>
            <w:tcW w:w="789" w:type="dxa"/>
            <w:tcBorders>
              <w:top w:val="nil"/>
              <w:left w:val="nil"/>
              <w:bottom w:val="single" w:sz="4" w:space="0" w:color="auto"/>
              <w:right w:val="nil"/>
            </w:tcBorders>
            <w:shd w:val="clear" w:color="auto" w:fill="auto"/>
            <w:noWrap/>
            <w:vAlign w:val="center"/>
            <w:hideMark/>
          </w:tcPr>
          <w:p w14:paraId="05C2B990"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0.26</w:t>
            </w:r>
          </w:p>
        </w:tc>
        <w:tc>
          <w:tcPr>
            <w:tcW w:w="1134" w:type="dxa"/>
            <w:tcBorders>
              <w:top w:val="nil"/>
              <w:left w:val="single" w:sz="4" w:space="0" w:color="auto"/>
              <w:bottom w:val="single" w:sz="4" w:space="0" w:color="auto"/>
              <w:right w:val="nil"/>
            </w:tcBorders>
            <w:shd w:val="clear" w:color="auto" w:fill="auto"/>
            <w:noWrap/>
            <w:vAlign w:val="center"/>
            <w:hideMark/>
          </w:tcPr>
          <w:p w14:paraId="1A558076"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0.16</w:t>
            </w:r>
          </w:p>
        </w:tc>
        <w:tc>
          <w:tcPr>
            <w:tcW w:w="1011" w:type="dxa"/>
            <w:tcBorders>
              <w:top w:val="nil"/>
              <w:left w:val="nil"/>
              <w:bottom w:val="single" w:sz="4" w:space="0" w:color="auto"/>
              <w:right w:val="nil"/>
            </w:tcBorders>
            <w:shd w:val="clear" w:color="auto" w:fill="auto"/>
            <w:noWrap/>
            <w:vAlign w:val="center"/>
            <w:hideMark/>
          </w:tcPr>
          <w:p w14:paraId="5D2DFCB7"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36.63</w:t>
            </w:r>
          </w:p>
        </w:tc>
        <w:tc>
          <w:tcPr>
            <w:tcW w:w="1011" w:type="dxa"/>
            <w:tcBorders>
              <w:top w:val="nil"/>
              <w:left w:val="nil"/>
              <w:bottom w:val="single" w:sz="4" w:space="0" w:color="auto"/>
              <w:right w:val="nil"/>
            </w:tcBorders>
            <w:shd w:val="clear" w:color="auto" w:fill="auto"/>
            <w:noWrap/>
            <w:vAlign w:val="center"/>
            <w:hideMark/>
          </w:tcPr>
          <w:p w14:paraId="4844EE1E" w14:textId="77777777" w:rsidR="0067023F" w:rsidRPr="0067023F" w:rsidRDefault="0067023F" w:rsidP="0067023F">
            <w:pPr>
              <w:jc w:val="center"/>
              <w:rPr>
                <w:rFonts w:ascii="Times New Roman" w:eastAsia="Times New Roman" w:hAnsi="Times New Roman" w:cs="Times New Roman"/>
                <w:color w:val="000000"/>
                <w:sz w:val="22"/>
                <w:szCs w:val="22"/>
                <w:lang w:eastAsia="en-GB"/>
              </w:rPr>
            </w:pPr>
            <w:r w:rsidRPr="0067023F">
              <w:rPr>
                <w:rFonts w:ascii="Times New Roman" w:eastAsia="Times New Roman" w:hAnsi="Times New Roman" w:cs="Times New Roman"/>
                <w:color w:val="000000"/>
                <w:sz w:val="22"/>
                <w:szCs w:val="22"/>
                <w:lang w:eastAsia="en-GB"/>
              </w:rPr>
              <w:t>0.00</w:t>
            </w:r>
          </w:p>
        </w:tc>
      </w:tr>
    </w:tbl>
    <w:bookmarkEnd w:id="0"/>
    <w:p w14:paraId="247E0DEC" w14:textId="5E2CC398" w:rsidR="0067023F" w:rsidRPr="009D2244" w:rsidRDefault="0067023F" w:rsidP="006E7F7E">
      <w:pPr>
        <w:jc w:val="both"/>
        <w:rPr>
          <w:sz w:val="19"/>
          <w:szCs w:val="19"/>
        </w:rPr>
      </w:pPr>
      <w:r w:rsidRPr="009D2244">
        <w:rPr>
          <w:sz w:val="19"/>
          <w:szCs w:val="19"/>
        </w:rPr>
        <w:t>Source: Gallup Organization Opinion Poll, April 1938. Weighted responses.</w:t>
      </w:r>
    </w:p>
    <w:p w14:paraId="76589607" w14:textId="0AC21C37" w:rsidR="0067023F" w:rsidRDefault="0067023F" w:rsidP="006E7F7E">
      <w:pPr>
        <w:jc w:val="both"/>
        <w:rPr>
          <w:sz w:val="19"/>
          <w:szCs w:val="19"/>
        </w:rPr>
      </w:pPr>
      <w:r w:rsidRPr="009D2244">
        <w:rPr>
          <w:sz w:val="19"/>
          <w:szCs w:val="19"/>
        </w:rPr>
        <w:t xml:space="preserve">Note: Column I shows the proportion of respondents approving of Fr Coughlin </w:t>
      </w:r>
      <w:r w:rsidR="009D2244">
        <w:rPr>
          <w:sz w:val="19"/>
          <w:szCs w:val="19"/>
        </w:rPr>
        <w:t>displaying</w:t>
      </w:r>
      <w:r w:rsidRPr="009D2244">
        <w:rPr>
          <w:sz w:val="19"/>
          <w:szCs w:val="19"/>
        </w:rPr>
        <w:t xml:space="preserve"> the given characteristic or response </w:t>
      </w:r>
      <w:r w:rsidR="009D2244">
        <w:rPr>
          <w:sz w:val="19"/>
          <w:szCs w:val="19"/>
        </w:rPr>
        <w:t>to a</w:t>
      </w:r>
      <w:r w:rsidRPr="009D2244">
        <w:rPr>
          <w:sz w:val="19"/>
          <w:szCs w:val="19"/>
        </w:rPr>
        <w:t xml:space="preserve"> question. Column II does the same for those who did not indicate approval. Column III gives the difference between Columns I and II. Columns IV and V give the test statistic and p-value for a Pearson chi-squared test of independence, respectively. All variables are binary. N = 2,726</w:t>
      </w:r>
    </w:p>
    <w:p w14:paraId="432D48B7" w14:textId="0027F19A" w:rsidR="003C3E9C" w:rsidRPr="0055314F" w:rsidRDefault="003C3E9C" w:rsidP="006E7F7E">
      <w:pPr>
        <w:spacing w:line="480" w:lineRule="auto"/>
        <w:jc w:val="both"/>
      </w:pPr>
      <w:r w:rsidRPr="0055314F">
        <w:lastRenderedPageBreak/>
        <w:t xml:space="preserve">In summary, Coughlin supporters tended to be older, </w:t>
      </w:r>
      <w:r w:rsidR="002D5233">
        <w:t xml:space="preserve">male, </w:t>
      </w:r>
      <w:r w:rsidRPr="0055314F">
        <w:t>urban, and from the Northeast and Midwest. They had a less positive assessment of the economy</w:t>
      </w:r>
      <w:r w:rsidR="00E229B8">
        <w:t xml:space="preserve"> and</w:t>
      </w:r>
      <w:r w:rsidR="00483F69" w:rsidRPr="0055314F">
        <w:t xml:space="preserve"> were more hostile to Roosevelt than other voters. </w:t>
      </w:r>
      <w:r w:rsidRPr="0055314F">
        <w:t xml:space="preserve">They were more likely to be blue collar workers and less likely to be </w:t>
      </w:r>
      <w:r w:rsidR="00483F69" w:rsidRPr="0055314F">
        <w:t>farmers, although in a multiple regression framework explaining support for Coughlin the sign of a “farmer” dummy variable turns positive once other factors such as region are taken into account. Black respondents were slightly more likely to favour Coughlin, although the effect is not statistically significant; professionals were very slightly less likely, with the impact again being statistically insignificant. While the April 1938 Gallup Poll does not include indicators of respondents’ religion</w:t>
      </w:r>
      <w:r w:rsidR="00484D0F">
        <w:t>,</w:t>
      </w:r>
      <w:r w:rsidR="00483F69" w:rsidRPr="0055314F">
        <w:t xml:space="preserve"> a December 1938 poll reveals that 32</w:t>
      </w:r>
      <w:r w:rsidR="00CB33C2">
        <w:t xml:space="preserve"> per cent</w:t>
      </w:r>
      <w:r w:rsidR="00483F69" w:rsidRPr="0055314F">
        <w:t xml:space="preserve"> of Catholics approved of Fr Coughlin compared to 11</w:t>
      </w:r>
      <w:r w:rsidR="00CB33C2">
        <w:t xml:space="preserve"> per cent</w:t>
      </w:r>
      <w:r w:rsidR="00CB33C2" w:rsidRPr="0055314F">
        <w:t xml:space="preserve"> </w:t>
      </w:r>
      <w:r w:rsidR="00483F69" w:rsidRPr="0055314F">
        <w:t>of non-Catholics.</w:t>
      </w:r>
      <w:r w:rsidR="000841F5">
        <w:rPr>
          <w:rStyle w:val="FootnoteReference"/>
        </w:rPr>
        <w:footnoteReference w:id="82"/>
      </w:r>
    </w:p>
    <w:p w14:paraId="740021D2" w14:textId="441E5DBD" w:rsidR="00483F69" w:rsidRPr="0055314F" w:rsidRDefault="00483F69" w:rsidP="006E7F7E">
      <w:pPr>
        <w:spacing w:line="480" w:lineRule="auto"/>
        <w:jc w:val="both"/>
      </w:pPr>
    </w:p>
    <w:p w14:paraId="74DFA2DB" w14:textId="46228DE3" w:rsidR="00EB26B1" w:rsidRPr="0055314F" w:rsidRDefault="00483F69" w:rsidP="006E7F7E">
      <w:pPr>
        <w:spacing w:line="480" w:lineRule="auto"/>
        <w:jc w:val="both"/>
      </w:pPr>
      <w:r w:rsidRPr="0055314F">
        <w:t xml:space="preserve">The profile of American populists in the 1930s thus differed from that of those who supported the Nazis in Germany at the same time. </w:t>
      </w:r>
      <w:r w:rsidR="006B4B0A" w:rsidRPr="0055314F">
        <w:t>Coughlin supporters</w:t>
      </w:r>
      <w:r w:rsidRPr="0055314F">
        <w:t xml:space="preserve"> were blue collar, whereas in Germany they were more likely to be professional or self-employed;</w:t>
      </w:r>
      <w:r w:rsidR="00BE2661" w:rsidRPr="0055314F">
        <w:t xml:space="preserve"> they were more likely to be urban, whereas small farmers were a mainspring of German Nazi support;</w:t>
      </w:r>
      <w:r w:rsidRPr="0055314F">
        <w:t xml:space="preserve"> </w:t>
      </w:r>
      <w:r w:rsidR="004C487A" w:rsidRPr="0055314F">
        <w:t xml:space="preserve">and they were more likely to be Catholic (unsurprisingly, </w:t>
      </w:r>
      <w:r w:rsidR="006B4B0A" w:rsidRPr="0055314F">
        <w:t>given that</w:t>
      </w:r>
      <w:r w:rsidR="004C487A" w:rsidRPr="0055314F">
        <w:t xml:space="preserve"> Coughlin was a Catholic priest), whereas </w:t>
      </w:r>
      <w:r w:rsidR="00BE2661" w:rsidRPr="0055314F">
        <w:t>in Germany Catholics were less likely to support the Nazis than Protestants.</w:t>
      </w:r>
      <w:r w:rsidR="006B4B0A" w:rsidRPr="0055314F">
        <w:t xml:space="preserve"> Coughlin supporters also differed from those who in the 1930s retained an affection for William Jennings Bryan</w:t>
      </w:r>
      <w:r w:rsidR="00242C0B" w:rsidRPr="0055314F">
        <w:t>:</w:t>
      </w:r>
      <w:r w:rsidR="006B4B0A" w:rsidRPr="0055314F">
        <w:t xml:space="preserve"> w</w:t>
      </w:r>
      <w:r w:rsidR="00EB26B1" w:rsidRPr="0055314F">
        <w:t>hile Bryan supporters were more</w:t>
      </w:r>
      <w:r w:rsidR="006B4B0A" w:rsidRPr="0055314F">
        <w:t xml:space="preserve"> favourably</w:t>
      </w:r>
      <w:r w:rsidR="00EB26B1" w:rsidRPr="0055314F">
        <w:t xml:space="preserve"> inclined towards Roosevelt and his policies, Coughlin supporters held more negative feeling</w:t>
      </w:r>
      <w:r w:rsidR="006B4B0A" w:rsidRPr="0055314F">
        <w:t>s</w:t>
      </w:r>
      <w:r w:rsidR="00EB26B1" w:rsidRPr="0055314F">
        <w:t xml:space="preserve"> towards the </w:t>
      </w:r>
      <w:r w:rsidR="006B4B0A" w:rsidRPr="0055314F">
        <w:t>P</w:t>
      </w:r>
      <w:r w:rsidR="00EB26B1" w:rsidRPr="0055314F">
        <w:t xml:space="preserve">resident, shifting </w:t>
      </w:r>
      <w:r w:rsidR="006B4B0A" w:rsidRPr="0055314F">
        <w:t xml:space="preserve">their </w:t>
      </w:r>
      <w:r w:rsidR="00EB26B1" w:rsidRPr="0055314F">
        <w:t>support away</w:t>
      </w:r>
      <w:r w:rsidR="00016468">
        <w:t xml:space="preserve"> from</w:t>
      </w:r>
      <w:r w:rsidR="00EB26B1" w:rsidRPr="0055314F">
        <w:t xml:space="preserve"> </w:t>
      </w:r>
      <w:r w:rsidR="006B4B0A" w:rsidRPr="0055314F">
        <w:t>him</w:t>
      </w:r>
      <w:r w:rsidR="00EB26B1" w:rsidRPr="0055314F">
        <w:t xml:space="preserve"> between 1936 and 1938 and </w:t>
      </w:r>
      <w:r w:rsidR="006B4B0A" w:rsidRPr="0055314F">
        <w:t>voicing</w:t>
      </w:r>
      <w:r w:rsidR="00EB26B1" w:rsidRPr="0055314F">
        <w:t xml:space="preserve"> concerns that the Roosevelt administration </w:t>
      </w:r>
      <w:r w:rsidR="006B4B0A" w:rsidRPr="0055314F">
        <w:t>might</w:t>
      </w:r>
      <w:r w:rsidR="00EB26B1" w:rsidRPr="0055314F">
        <w:t xml:space="preserve"> lead to dictatorship.</w:t>
      </w:r>
      <w:r w:rsidR="00476B02" w:rsidRPr="0055314F">
        <w:t xml:space="preserve"> Once again, the data suggest that populists and </w:t>
      </w:r>
      <w:r w:rsidR="00476B02" w:rsidRPr="0055314F">
        <w:lastRenderedPageBreak/>
        <w:t xml:space="preserve">Populists were different; they also suggest that it is difficult to generalize across time and space about </w:t>
      </w:r>
      <w:r w:rsidR="0076531D" w:rsidRPr="0055314F">
        <w:t>the sources of support for</w:t>
      </w:r>
      <w:r w:rsidR="00476B02" w:rsidRPr="0055314F">
        <w:t xml:space="preserve"> the former.</w:t>
      </w:r>
    </w:p>
    <w:p w14:paraId="0DA7C1F4" w14:textId="77777777" w:rsidR="00AB5563" w:rsidRPr="0055314F" w:rsidRDefault="00AB5563" w:rsidP="006E7F7E">
      <w:pPr>
        <w:spacing w:line="480" w:lineRule="auto"/>
        <w:jc w:val="both"/>
      </w:pPr>
    </w:p>
    <w:p w14:paraId="101E3AB3" w14:textId="23122F7E" w:rsidR="00F92A3A" w:rsidRDefault="00F92A3A" w:rsidP="006E7F7E">
      <w:pPr>
        <w:spacing w:line="480" w:lineRule="auto"/>
        <w:jc w:val="both"/>
      </w:pPr>
      <w:r w:rsidRPr="0055314F">
        <w:t xml:space="preserve">Are </w:t>
      </w:r>
      <w:r w:rsidR="00C2230A" w:rsidRPr="0055314F">
        <w:t xml:space="preserve">today’s </w:t>
      </w:r>
      <w:r w:rsidRPr="0055314F">
        <w:t xml:space="preserve">populist supporters more similar to </w:t>
      </w:r>
      <w:r w:rsidR="00C2230A" w:rsidRPr="0055314F">
        <w:t xml:space="preserve">the </w:t>
      </w:r>
      <w:r w:rsidRPr="0055314F">
        <w:t xml:space="preserve">Bryan or </w:t>
      </w:r>
      <w:r w:rsidR="00C2230A" w:rsidRPr="0055314F">
        <w:t>the</w:t>
      </w:r>
      <w:r w:rsidR="00880A24" w:rsidRPr="0055314F">
        <w:t xml:space="preserve"> </w:t>
      </w:r>
      <w:r w:rsidRPr="0055314F">
        <w:t xml:space="preserve">Coughlin supporters of the past? A number of </w:t>
      </w:r>
      <w:r w:rsidR="00AB5563" w:rsidRPr="0055314F">
        <w:t xml:space="preserve">recent </w:t>
      </w:r>
      <w:r w:rsidRPr="0055314F">
        <w:t xml:space="preserve">studies have looked at the characteristics of individuals who hold populist attitudes </w:t>
      </w:r>
      <w:r w:rsidR="007340A7" w:rsidRPr="0055314F">
        <w:t>using</w:t>
      </w:r>
      <w:r w:rsidR="00880A24" w:rsidRPr="0055314F">
        <w:t xml:space="preserve"> modern</w:t>
      </w:r>
      <w:r w:rsidRPr="0055314F">
        <w:t xml:space="preserve"> public opinion survey</w:t>
      </w:r>
      <w:r w:rsidR="00C2230A" w:rsidRPr="0055314F">
        <w:t xml:space="preserve"> data</w:t>
      </w:r>
      <w:r w:rsidRPr="0055314F">
        <w:t>.</w:t>
      </w:r>
      <w:r w:rsidR="006E6F5D" w:rsidRPr="0055314F">
        <w:rPr>
          <w:rStyle w:val="FootnoteReference"/>
        </w:rPr>
        <w:footnoteReference w:id="83"/>
      </w:r>
      <w:r w:rsidR="006E6F5D" w:rsidRPr="0055314F">
        <w:t xml:space="preserve"> </w:t>
      </w:r>
      <w:r w:rsidR="00C2230A" w:rsidRPr="0055314F">
        <w:t>Not surprisingly,</w:t>
      </w:r>
      <w:r w:rsidR="006E6F5D" w:rsidRPr="0055314F">
        <w:t xml:space="preserve"> </w:t>
      </w:r>
      <w:r w:rsidR="00C2230A" w:rsidRPr="0055314F">
        <w:t xml:space="preserve">surveys from </w:t>
      </w:r>
      <w:r w:rsidR="006E6F5D" w:rsidRPr="0055314F">
        <w:t>different</w:t>
      </w:r>
      <w:r w:rsidR="007340A7" w:rsidRPr="0055314F">
        <w:t xml:space="preserve"> economic,</w:t>
      </w:r>
      <w:r w:rsidR="006E6F5D" w:rsidRPr="0055314F">
        <w:t xml:space="preserve"> social</w:t>
      </w:r>
      <w:r w:rsidR="00C2230A" w:rsidRPr="0055314F">
        <w:t xml:space="preserve">, </w:t>
      </w:r>
      <w:r w:rsidR="006E6F5D" w:rsidRPr="0055314F">
        <w:t>and political contexts</w:t>
      </w:r>
      <w:r w:rsidR="00272554" w:rsidRPr="0055314F">
        <w:t xml:space="preserve"> </w:t>
      </w:r>
      <w:r w:rsidR="006E6F5D" w:rsidRPr="0055314F">
        <w:t xml:space="preserve">produce mixed results. </w:t>
      </w:r>
      <w:r w:rsidR="00AB5563" w:rsidRPr="0055314F">
        <w:t xml:space="preserve">Nonetheless, </w:t>
      </w:r>
      <w:r w:rsidR="00C2230A" w:rsidRPr="0055314F">
        <w:t xml:space="preserve">age and gender </w:t>
      </w:r>
      <w:r w:rsidR="006E6F5D" w:rsidRPr="0055314F">
        <w:t xml:space="preserve">differences </w:t>
      </w:r>
      <w:r w:rsidR="00272554" w:rsidRPr="0055314F">
        <w:t xml:space="preserve">are </w:t>
      </w:r>
      <w:r w:rsidR="006E6F5D" w:rsidRPr="0055314F">
        <w:t xml:space="preserve">common, with men and older individuals </w:t>
      </w:r>
      <w:r w:rsidR="00B62CEE" w:rsidRPr="0055314F">
        <w:t>being more supportive of</w:t>
      </w:r>
      <w:r w:rsidR="006E6F5D" w:rsidRPr="0055314F">
        <w:t xml:space="preserve"> populism</w:t>
      </w:r>
      <w:r w:rsidR="00AB5563" w:rsidRPr="0055314F">
        <w:t>.</w:t>
      </w:r>
      <w:r w:rsidR="00FF02BF">
        <w:rPr>
          <w:rStyle w:val="FootnoteReference"/>
        </w:rPr>
        <w:footnoteReference w:id="84"/>
      </w:r>
      <w:r w:rsidR="00250876" w:rsidRPr="0055314F">
        <w:t xml:space="preserve"> </w:t>
      </w:r>
      <w:r w:rsidR="00C95B13" w:rsidRPr="0055314F">
        <w:t xml:space="preserve">This is consistent with </w:t>
      </w:r>
      <w:r w:rsidR="00B62CEE" w:rsidRPr="0055314F">
        <w:t xml:space="preserve">what we found for </w:t>
      </w:r>
      <w:r w:rsidR="00C95B13" w:rsidRPr="0055314F">
        <w:t>Coughlin supporters</w:t>
      </w:r>
      <w:r w:rsidR="00010CEE">
        <w:t>: whether gender was more generally correlated in the past with support for populism seems a promising avenue for further research</w:t>
      </w:r>
      <w:r w:rsidR="00C95B13" w:rsidRPr="0055314F">
        <w:t>.</w:t>
      </w:r>
      <w:r w:rsidR="00C95B13" w:rsidRPr="0055314F">
        <w:rPr>
          <w:rStyle w:val="FootnoteReference"/>
        </w:rPr>
        <w:footnoteReference w:id="85"/>
      </w:r>
      <w:r w:rsidR="00C95B13" w:rsidRPr="0055314F">
        <w:t xml:space="preserve"> </w:t>
      </w:r>
      <w:r w:rsidR="00250876" w:rsidRPr="0055314F">
        <w:t xml:space="preserve">Populists </w:t>
      </w:r>
      <w:r w:rsidR="00880A24" w:rsidRPr="0055314F">
        <w:t xml:space="preserve">often </w:t>
      </w:r>
      <w:r w:rsidR="00B62CEE" w:rsidRPr="0055314F">
        <w:t>express</w:t>
      </w:r>
      <w:r w:rsidR="00272554" w:rsidRPr="0055314F">
        <w:t xml:space="preserve"> greater feelings </w:t>
      </w:r>
      <w:r w:rsidR="00250876" w:rsidRPr="0055314F">
        <w:t>of economic insecurity</w:t>
      </w:r>
      <w:r w:rsidR="00B62CEE" w:rsidRPr="0055314F">
        <w:t xml:space="preserve"> and</w:t>
      </w:r>
      <w:r w:rsidR="00250876" w:rsidRPr="0055314F">
        <w:t xml:space="preserve"> </w:t>
      </w:r>
      <w:r w:rsidR="00C95B13" w:rsidRPr="0055314F">
        <w:t>anger towards political institutions</w:t>
      </w:r>
      <w:r w:rsidR="00250876" w:rsidRPr="0055314F">
        <w:t xml:space="preserve"> and are pessimistic about the future</w:t>
      </w:r>
      <w:r w:rsidR="00880A24" w:rsidRPr="0055314F">
        <w:t>.</w:t>
      </w:r>
      <w:r w:rsidR="00F84CDB">
        <w:rPr>
          <w:rStyle w:val="FootnoteReference"/>
        </w:rPr>
        <w:footnoteReference w:id="86"/>
      </w:r>
      <w:r w:rsidR="00250876" w:rsidRPr="0055314F">
        <w:t xml:space="preserve"> </w:t>
      </w:r>
      <w:r w:rsidR="00B62CEE" w:rsidRPr="0055314F">
        <w:t>Along</w:t>
      </w:r>
      <w:r w:rsidR="00250876" w:rsidRPr="0055314F">
        <w:t xml:space="preserve"> these dime</w:t>
      </w:r>
      <w:r w:rsidR="00272554" w:rsidRPr="0055314F">
        <w:t>nsions</w:t>
      </w:r>
      <w:r w:rsidR="007340A7" w:rsidRPr="0055314F">
        <w:t xml:space="preserve"> </w:t>
      </w:r>
      <w:r w:rsidR="00272554" w:rsidRPr="0055314F">
        <w:t xml:space="preserve">modern populists </w:t>
      </w:r>
      <w:r w:rsidR="003D501D">
        <w:t>seem</w:t>
      </w:r>
      <w:r w:rsidR="00C95B13" w:rsidRPr="0055314F">
        <w:t xml:space="preserve"> more closely aligned with </w:t>
      </w:r>
      <w:r w:rsidR="00B62CEE" w:rsidRPr="0055314F">
        <w:t xml:space="preserve">the </w:t>
      </w:r>
      <w:r w:rsidR="00C95B13" w:rsidRPr="0055314F">
        <w:t>Coughlin supporters</w:t>
      </w:r>
      <w:r w:rsidR="00880A24" w:rsidRPr="0055314F">
        <w:t xml:space="preserve"> of the 1930s</w:t>
      </w:r>
      <w:r w:rsidR="00B62CEE" w:rsidRPr="0055314F">
        <w:t xml:space="preserve"> than with those retrospectively favouring Bryan</w:t>
      </w:r>
      <w:r w:rsidR="00C95B13" w:rsidRPr="0055314F">
        <w:t>.</w:t>
      </w:r>
      <w:r w:rsidR="007340A7" w:rsidRPr="0055314F">
        <w:t xml:space="preserve"> While Bryan supporters </w:t>
      </w:r>
      <w:r w:rsidR="00B62CEE" w:rsidRPr="0055314F">
        <w:t>displayed</w:t>
      </w:r>
      <w:r w:rsidR="007340A7" w:rsidRPr="0055314F">
        <w:t xml:space="preserve"> </w:t>
      </w:r>
      <w:r w:rsidR="00274349" w:rsidRPr="0055314F">
        <w:t>relatively little animosity</w:t>
      </w:r>
      <w:r w:rsidR="007340A7" w:rsidRPr="0055314F">
        <w:t xml:space="preserve"> towards the political </w:t>
      </w:r>
      <w:r w:rsidR="00274349" w:rsidRPr="0055314F">
        <w:t>or economic system in 1938, Coughlin support</w:t>
      </w:r>
      <w:r w:rsidR="00880A24" w:rsidRPr="0055314F">
        <w:t>er</w:t>
      </w:r>
      <w:r w:rsidR="00274349" w:rsidRPr="0055314F">
        <w:t xml:space="preserve">s </w:t>
      </w:r>
      <w:r w:rsidR="00B62CEE" w:rsidRPr="0055314F">
        <w:t>described</w:t>
      </w:r>
      <w:r w:rsidR="00880A24" w:rsidRPr="0055314F">
        <w:t xml:space="preserve"> themselves as </w:t>
      </w:r>
      <w:r w:rsidR="00904AEE" w:rsidRPr="0055314F">
        <w:t xml:space="preserve">being </w:t>
      </w:r>
      <w:r w:rsidR="00274349" w:rsidRPr="0055314F">
        <w:t>economically insecure, fe</w:t>
      </w:r>
      <w:r w:rsidR="009832AC" w:rsidRPr="0055314F">
        <w:t xml:space="preserve">lt </w:t>
      </w:r>
      <w:r w:rsidR="00274349" w:rsidRPr="0055314F">
        <w:t xml:space="preserve">that their situation </w:t>
      </w:r>
      <w:r w:rsidR="009832AC" w:rsidRPr="0055314F">
        <w:t>wa</w:t>
      </w:r>
      <w:r w:rsidR="00274349" w:rsidRPr="0055314F">
        <w:t>s deteriorating</w:t>
      </w:r>
      <w:r w:rsidR="00B62CEE" w:rsidRPr="0055314F">
        <w:t>,</w:t>
      </w:r>
      <w:r w:rsidR="00274349" w:rsidRPr="0055314F">
        <w:t xml:space="preserve"> and h</w:t>
      </w:r>
      <w:r w:rsidR="009832AC" w:rsidRPr="0055314F">
        <w:t>ad</w:t>
      </w:r>
      <w:r w:rsidR="00274349" w:rsidRPr="0055314F">
        <w:t xml:space="preserve"> </w:t>
      </w:r>
      <w:r w:rsidR="00880A24" w:rsidRPr="0055314F">
        <w:t xml:space="preserve">relatively </w:t>
      </w:r>
      <w:r w:rsidR="00274349" w:rsidRPr="0055314F">
        <w:t xml:space="preserve">high levels of dissatisfaction and mistrust in the political system. The finding of </w:t>
      </w:r>
      <w:proofErr w:type="spellStart"/>
      <w:r w:rsidR="00274349" w:rsidRPr="0055314F">
        <w:t>Spruyt</w:t>
      </w:r>
      <w:proofErr w:type="spellEnd"/>
      <w:r w:rsidR="00274349" w:rsidRPr="0055314F">
        <w:t xml:space="preserve"> et al</w:t>
      </w:r>
      <w:r w:rsidR="00A76BF6">
        <w:t>.</w:t>
      </w:r>
      <w:r w:rsidR="00274349" w:rsidRPr="0055314F">
        <w:t xml:space="preserve"> </w:t>
      </w:r>
      <w:r w:rsidR="005173A7" w:rsidRPr="0055314F">
        <w:t>that</w:t>
      </w:r>
      <w:r w:rsidR="005173A7" w:rsidRPr="0055314F">
        <w:rPr>
          <w:sz w:val="22"/>
          <w:szCs w:val="22"/>
        </w:rPr>
        <w:t xml:space="preserve"> </w:t>
      </w:r>
      <w:r w:rsidR="00AE61DF" w:rsidRPr="0055314F">
        <w:rPr>
          <w:sz w:val="22"/>
          <w:szCs w:val="22"/>
        </w:rPr>
        <w:t>‘</w:t>
      </w:r>
      <w:r w:rsidR="005173A7" w:rsidRPr="0055314F">
        <w:t xml:space="preserve">populism is embedded in deep feelings of discontent, </w:t>
      </w:r>
      <w:r w:rsidR="005173A7" w:rsidRPr="0055314F">
        <w:lastRenderedPageBreak/>
        <w:t>not only with politics but also with societal life in general</w:t>
      </w:r>
      <w:r w:rsidR="00AE61DF" w:rsidRPr="0055314F">
        <w:t>’</w:t>
      </w:r>
      <w:r w:rsidR="005173A7" w:rsidRPr="0055314F">
        <w:t xml:space="preserve"> resonates</w:t>
      </w:r>
      <w:r w:rsidR="00880A24" w:rsidRPr="0055314F">
        <w:t xml:space="preserve"> with Coughlin supporters in the 1930s</w:t>
      </w:r>
      <w:r w:rsidR="009832AC" w:rsidRPr="0055314F">
        <w:t>,</w:t>
      </w:r>
      <w:r w:rsidR="00880A24" w:rsidRPr="0055314F">
        <w:t xml:space="preserve"> but not with those </w:t>
      </w:r>
      <w:r w:rsidR="00AE61DF" w:rsidRPr="0055314F">
        <w:t>who</w:t>
      </w:r>
      <w:r w:rsidR="00880A24" w:rsidRPr="0055314F">
        <w:t xml:space="preserve"> </w:t>
      </w:r>
      <w:r w:rsidR="00AE61DF" w:rsidRPr="0055314F">
        <w:t>favoured</w:t>
      </w:r>
      <w:r w:rsidR="00880A24" w:rsidRPr="0055314F">
        <w:t xml:space="preserve"> William Jennings Bryan</w:t>
      </w:r>
      <w:r w:rsidR="005173A7" w:rsidRPr="0055314F">
        <w:t>.</w:t>
      </w:r>
      <w:r w:rsidR="00A0045D">
        <w:rPr>
          <w:rStyle w:val="FootnoteReference"/>
        </w:rPr>
        <w:footnoteReference w:id="87"/>
      </w:r>
    </w:p>
    <w:p w14:paraId="3B4C08D0" w14:textId="6EFAEA54" w:rsidR="00391E6F" w:rsidRDefault="00391E6F" w:rsidP="006E7F7E">
      <w:pPr>
        <w:spacing w:line="480" w:lineRule="auto"/>
        <w:jc w:val="both"/>
      </w:pPr>
    </w:p>
    <w:p w14:paraId="3DB9261E" w14:textId="62BC5FB5" w:rsidR="005604D5" w:rsidRPr="00672B0C" w:rsidRDefault="00391E6F" w:rsidP="00672B0C">
      <w:pPr>
        <w:spacing w:line="480" w:lineRule="auto"/>
        <w:jc w:val="both"/>
      </w:pPr>
      <w:r>
        <w:t xml:space="preserve">One final point seems in order regarding the populism of the interwar period: depending on how it is defined, it was not confined to </w:t>
      </w:r>
      <w:r w:rsidR="00D80F54">
        <w:t xml:space="preserve">the industrial societies of </w:t>
      </w:r>
      <w:r>
        <w:t xml:space="preserve">Europe and North America. Rather, the Great Depression led to economic dislocation and distributional conflicts worldwide, </w:t>
      </w:r>
      <w:r w:rsidR="00596AEF">
        <w:t xml:space="preserve">as export prices of primary products collapsed across the Global South. This in turn had </w:t>
      </w:r>
      <w:r w:rsidR="00D80F54">
        <w:t>substantial</w:t>
      </w:r>
      <w:r>
        <w:t xml:space="preserve"> political </w:t>
      </w:r>
      <w:r w:rsidR="00D80F54">
        <w:t>consequences</w:t>
      </w:r>
      <w:r>
        <w:t xml:space="preserve">. </w:t>
      </w:r>
      <w:r w:rsidR="00232A4B">
        <w:t xml:space="preserve">In Latin America, </w:t>
      </w:r>
      <w:r w:rsidR="00596AEF">
        <w:t xml:space="preserve">the Depression made the continuation of orthodox economic policies unsustainable: governments left the gold standard, defaulted on their debts, and erected a variety of barriers to international trade. </w:t>
      </w:r>
      <w:r w:rsidR="00062FC1">
        <w:t>Orthodox</w:t>
      </w:r>
      <w:r w:rsidR="00596AEF">
        <w:t xml:space="preserve"> policies had been favoured by the traditional export-oriented elites, and their dismantling coincided with a rise of populism associated with leaders such as Brazil’s Getúlio Vargas and Mexico’s Lázaro Cárdenas, who would be followed in the 1940s by Argentina’s Juan Perón.</w:t>
      </w:r>
      <w:r w:rsidR="00062FC1">
        <w:t xml:space="preserve"> In many parts of Asia and Africa, </w:t>
      </w:r>
      <w:r w:rsidR="00EA7F12">
        <w:t xml:space="preserve">colonial governments </w:t>
      </w:r>
      <w:r w:rsidR="00016468">
        <w:t xml:space="preserve">and settlers </w:t>
      </w:r>
      <w:r w:rsidR="00EA7F12">
        <w:t xml:space="preserve">attempted to </w:t>
      </w:r>
      <w:r w:rsidR="00D80F54">
        <w:t>place</w:t>
      </w:r>
      <w:r w:rsidR="00EA7F12">
        <w:t xml:space="preserve"> the burden of adjustment on</w:t>
      </w:r>
      <w:r w:rsidR="00016468">
        <w:t>to</w:t>
      </w:r>
      <w:r w:rsidR="00EA7F12">
        <w:t xml:space="preserve"> native populations. The predictable </w:t>
      </w:r>
      <w:r w:rsidR="00D80F54">
        <w:t>consequence</w:t>
      </w:r>
      <w:r w:rsidR="00EA7F12">
        <w:t xml:space="preserve"> was a surge of support for national independence movements, which by definition opposed the interests of local populations against foreign elites.</w:t>
      </w:r>
      <w:r w:rsidR="00E60FFE">
        <w:rPr>
          <w:rStyle w:val="FootnoteReference"/>
        </w:rPr>
        <w:footnoteReference w:id="88"/>
      </w:r>
      <w:r w:rsidR="00EA7F12">
        <w:t xml:space="preserve"> </w:t>
      </w:r>
      <w:r w:rsidR="00300657">
        <w:t>If discourse opposing the people to elites define</w:t>
      </w:r>
      <w:r w:rsidR="00062FC1">
        <w:t>s</w:t>
      </w:r>
      <w:r w:rsidR="00300657">
        <w:t xml:space="preserve"> </w:t>
      </w:r>
      <w:r w:rsidR="00672B0C">
        <w:t>“</w:t>
      </w:r>
      <w:r w:rsidR="00300657">
        <w:t>populism</w:t>
      </w:r>
      <w:r w:rsidR="00672B0C">
        <w:t>”</w:t>
      </w:r>
      <w:r w:rsidR="00300657">
        <w:t xml:space="preserve"> then these movements </w:t>
      </w:r>
      <w:r w:rsidR="00062FC1">
        <w:t>were</w:t>
      </w:r>
      <w:r w:rsidR="00300657">
        <w:t xml:space="preserve"> populist</w:t>
      </w:r>
      <w:r w:rsidR="005604D5">
        <w:t xml:space="preserve">, </w:t>
      </w:r>
      <w:r w:rsidR="00672B0C">
        <w:t>but such a generalization seems unsatisfactory.</w:t>
      </w:r>
      <w:r w:rsidR="00E60FFE">
        <w:rPr>
          <w:rStyle w:val="FootnoteReference"/>
        </w:rPr>
        <w:footnoteReference w:id="89"/>
      </w:r>
      <w:r w:rsidR="00672B0C">
        <w:t xml:space="preserve"> Colonialism was by definition undemocratic, denying local populations the right to govern </w:t>
      </w:r>
      <w:r w:rsidR="00DE0E5D">
        <w:t>themselves</w:t>
      </w:r>
      <w:r w:rsidR="00672B0C">
        <w:t>: national independence movements sought to overturn this state of affairs</w:t>
      </w:r>
      <w:r w:rsidR="00D51FDE">
        <w:t xml:space="preserve"> by</w:t>
      </w:r>
      <w:r w:rsidR="00672B0C">
        <w:t xml:space="preserve"> restoring self-government to the countries concerned. I</w:t>
      </w:r>
      <w:r w:rsidR="00DE0E5D">
        <w:t>t is true that i</w:t>
      </w:r>
      <w:r w:rsidR="00672B0C">
        <w:t xml:space="preserve">n many cases democracy withered after independence, but in others – including the most important </w:t>
      </w:r>
      <w:r w:rsidR="00672B0C">
        <w:lastRenderedPageBreak/>
        <w:t>ex-colony, India – it held firm</w:t>
      </w:r>
      <w:r w:rsidR="00E40010">
        <w:rPr>
          <w:lang w:val="en-IE"/>
        </w:rPr>
        <w:t>.</w:t>
      </w:r>
      <w:r w:rsidR="00617F8B">
        <w:rPr>
          <w:lang w:val="en-IE"/>
        </w:rPr>
        <w:t xml:space="preserve"> Populism degrades the quality of democracy in countries that are already democratic; national independence movements seek to replace non-democratic colonies with independent polities which may become democratic in the future.</w:t>
      </w:r>
    </w:p>
    <w:p w14:paraId="576CB9D5" w14:textId="77777777" w:rsidR="00984CF8" w:rsidRPr="0055314F" w:rsidRDefault="00984CF8" w:rsidP="006E7F7E">
      <w:pPr>
        <w:spacing w:line="480" w:lineRule="auto"/>
        <w:jc w:val="both"/>
        <w:rPr>
          <w:b/>
          <w:bCs/>
        </w:rPr>
      </w:pPr>
    </w:p>
    <w:p w14:paraId="3536643D" w14:textId="44344489" w:rsidR="00571D00" w:rsidRDefault="00571D00" w:rsidP="006E7F7E">
      <w:pPr>
        <w:spacing w:line="480" w:lineRule="auto"/>
        <w:jc w:val="both"/>
        <w:rPr>
          <w:b/>
          <w:bCs/>
        </w:rPr>
      </w:pPr>
      <w:r>
        <w:rPr>
          <w:b/>
          <w:bCs/>
        </w:rPr>
        <w:t>V</w:t>
      </w:r>
      <w:r w:rsidR="00476B02" w:rsidRPr="0055314F">
        <w:rPr>
          <w:b/>
          <w:bCs/>
        </w:rPr>
        <w:t>.</w:t>
      </w:r>
      <w:r>
        <w:rPr>
          <w:b/>
          <w:bCs/>
        </w:rPr>
        <w:t xml:space="preserve"> ECONOMISTS AND ECONOMIC POLICY DURING THE 1930s</w:t>
      </w:r>
    </w:p>
    <w:p w14:paraId="3763B75A" w14:textId="56FA219F" w:rsidR="00991449" w:rsidRPr="0055314F" w:rsidRDefault="00991449" w:rsidP="006E7F7E">
      <w:pPr>
        <w:spacing w:line="480" w:lineRule="auto"/>
        <w:jc w:val="both"/>
      </w:pPr>
    </w:p>
    <w:p w14:paraId="3CF5F6D8" w14:textId="06DFC95E" w:rsidR="006E38F6" w:rsidRPr="00BF32C3" w:rsidRDefault="006C36F1" w:rsidP="00380525">
      <w:pPr>
        <w:spacing w:line="480" w:lineRule="auto"/>
        <w:jc w:val="both"/>
      </w:pPr>
      <w:r>
        <w:t>T</w:t>
      </w:r>
      <w:r w:rsidR="006007B6" w:rsidRPr="00BF32C3">
        <w:t xml:space="preserve">he interwar period is a poor advertisement for </w:t>
      </w:r>
      <w:r w:rsidRPr="00BF32C3">
        <w:t>orthodox economic policies</w:t>
      </w:r>
      <w:r w:rsidR="006007B6" w:rsidRPr="00BF32C3">
        <w:t xml:space="preserve">. It is important </w:t>
      </w:r>
      <w:r w:rsidR="0068472D" w:rsidRPr="00BF32C3">
        <w:t xml:space="preserve">not to overstate the </w:t>
      </w:r>
      <w:r w:rsidR="00ED2AB4" w:rsidRPr="00BF32C3">
        <w:t>argument</w:t>
      </w:r>
      <w:r w:rsidR="0068472D" w:rsidRPr="00BF32C3">
        <w:t xml:space="preserve">: </w:t>
      </w:r>
      <w:r w:rsidR="00380525">
        <w:t>e</w:t>
      </w:r>
      <w:r w:rsidR="00993604" w:rsidRPr="00BF32C3">
        <w:t>conomi</w:t>
      </w:r>
      <w:r w:rsidR="006007B6" w:rsidRPr="00BF32C3">
        <w:t>c</w:t>
      </w:r>
      <w:r w:rsidR="00ED49BD" w:rsidRPr="00BF32C3">
        <w:t>s</w:t>
      </w:r>
      <w:r w:rsidR="00866330" w:rsidRPr="00BF32C3">
        <w:t xml:space="preserve"> </w:t>
      </w:r>
      <w:r w:rsidR="00993604" w:rsidRPr="00BF32C3">
        <w:t>had evolved since the 1890</w:t>
      </w:r>
      <w:r w:rsidR="00BC16F1" w:rsidRPr="00BF32C3">
        <w:t>s</w:t>
      </w:r>
      <w:r w:rsidR="008B2929" w:rsidRPr="00BF32C3">
        <w:t>,</w:t>
      </w:r>
      <w:r w:rsidR="00993604" w:rsidRPr="00BF32C3">
        <w:t xml:space="preserve"> </w:t>
      </w:r>
      <w:r w:rsidR="008B2929" w:rsidRPr="00BF32C3">
        <w:t>being</w:t>
      </w:r>
      <w:r w:rsidR="00993604" w:rsidRPr="00BF32C3">
        <w:t xml:space="preserve"> particularly shaped by the experience of the First World War</w:t>
      </w:r>
      <w:r w:rsidR="000C4346">
        <w:t xml:space="preserve"> which</w:t>
      </w:r>
      <w:r w:rsidR="00993604" w:rsidRPr="00BF32C3">
        <w:t xml:space="preserve"> </w:t>
      </w:r>
      <w:r w:rsidR="00BD21C2" w:rsidRPr="00BF32C3">
        <w:t>encourag</w:t>
      </w:r>
      <w:r w:rsidR="000C4346">
        <w:t>ed</w:t>
      </w:r>
      <w:r w:rsidR="00BD21C2" w:rsidRPr="00BF32C3">
        <w:t xml:space="preserve"> a more positive view of government intervention in the economy. In America, academic economists were already arguing in favour of a range of interventions that would become associated with the New Deal before the crisis hit in 1929.</w:t>
      </w:r>
      <w:r w:rsidR="00222679">
        <w:rPr>
          <w:rStyle w:val="FootnoteReference"/>
        </w:rPr>
        <w:footnoteReference w:id="90"/>
      </w:r>
      <w:r w:rsidR="000C4346">
        <w:t xml:space="preserve"> </w:t>
      </w:r>
      <w:r w:rsidR="00966338" w:rsidRPr="00BF32C3">
        <w:t>On the other hand, Rockoff notes that American macroeconomists were more conservative than microeconomists during this period</w:t>
      </w:r>
      <w:r w:rsidR="00B05FCD" w:rsidRPr="00BF32C3">
        <w:t>.</w:t>
      </w:r>
      <w:r w:rsidR="00222679">
        <w:rPr>
          <w:rStyle w:val="FootnoteReference"/>
        </w:rPr>
        <w:footnoteReference w:id="91"/>
      </w:r>
      <w:r w:rsidR="00966338" w:rsidRPr="00BF32C3">
        <w:t xml:space="preserve"> </w:t>
      </w:r>
      <w:r w:rsidR="00B05FCD" w:rsidRPr="00BF32C3">
        <w:t>B</w:t>
      </w:r>
      <w:r w:rsidR="00966338" w:rsidRPr="00BF32C3">
        <w:t xml:space="preserve">y and large they and their colleagues </w:t>
      </w:r>
      <w:r w:rsidR="00BF32C3" w:rsidRPr="00BF32C3">
        <w:t>in other countries</w:t>
      </w:r>
      <w:r w:rsidR="00966338" w:rsidRPr="00BF32C3">
        <w:t xml:space="preserve"> </w:t>
      </w:r>
      <w:r w:rsidR="00B05FCD" w:rsidRPr="00BF32C3">
        <w:t xml:space="preserve">supported </w:t>
      </w:r>
      <w:r w:rsidR="002C33BA" w:rsidRPr="00BF32C3">
        <w:t>the gold standard</w:t>
      </w:r>
      <w:r w:rsidR="00A83335" w:rsidRPr="00BF32C3">
        <w:t xml:space="preserve"> and the destructive pro-cyclical macroeconomic policies</w:t>
      </w:r>
      <w:r w:rsidR="00FF6C11" w:rsidRPr="00BF32C3">
        <w:t xml:space="preserve"> </w:t>
      </w:r>
      <w:r w:rsidR="00B05FCD" w:rsidRPr="00BF32C3">
        <w:t>associated with it</w:t>
      </w:r>
      <w:r w:rsidR="002C33BA" w:rsidRPr="00BF32C3">
        <w:t>.</w:t>
      </w:r>
      <w:r w:rsidR="00222679">
        <w:rPr>
          <w:rStyle w:val="FootnoteReference"/>
        </w:rPr>
        <w:footnoteReference w:id="92"/>
      </w:r>
      <w:r w:rsidR="00B05FCD" w:rsidRPr="00BF32C3">
        <w:t xml:space="preserve"> </w:t>
      </w:r>
      <w:r w:rsidR="00966338" w:rsidRPr="00BF32C3">
        <w:t xml:space="preserve">While </w:t>
      </w:r>
      <w:r w:rsidR="004D5D8C" w:rsidRPr="00BF32C3">
        <w:t>Keynes famously opposed British restoration policies</w:t>
      </w:r>
      <w:r w:rsidR="00B14A15" w:rsidRPr="00BF32C3">
        <w:t xml:space="preserve"> in the early 1920s </w:t>
      </w:r>
      <w:r w:rsidR="004D5D8C" w:rsidRPr="00BF32C3">
        <w:t>and welcomed Britain’s departure in 1931</w:t>
      </w:r>
      <w:r w:rsidR="00966338" w:rsidRPr="00BF32C3">
        <w:t>,</w:t>
      </w:r>
      <w:r w:rsidR="004D5D8C" w:rsidRPr="00BF32C3">
        <w:t xml:space="preserve"> his position was a minority one</w:t>
      </w:r>
      <w:r w:rsidR="006350A2" w:rsidRPr="00BF32C3">
        <w:t xml:space="preserve"> and </w:t>
      </w:r>
      <w:r w:rsidR="001272ED" w:rsidRPr="00BF32C3">
        <w:t xml:space="preserve">in 1930 </w:t>
      </w:r>
      <w:r w:rsidR="00B14A15" w:rsidRPr="00BF32C3">
        <w:t xml:space="preserve">even he </w:t>
      </w:r>
      <w:r w:rsidR="001272ED" w:rsidRPr="00BF32C3">
        <w:t xml:space="preserve">was not willing to recommend abandoning </w:t>
      </w:r>
      <w:r w:rsidR="00E5522A" w:rsidRPr="00BF32C3">
        <w:t>gold</w:t>
      </w:r>
      <w:r w:rsidR="004D5D8C" w:rsidRPr="00BF32C3">
        <w:t>.</w:t>
      </w:r>
      <w:r w:rsidR="003A1229">
        <w:rPr>
          <w:rStyle w:val="FootnoteReference"/>
        </w:rPr>
        <w:footnoteReference w:id="93"/>
      </w:r>
      <w:r w:rsidR="004D5D8C" w:rsidRPr="00BF32C3">
        <w:t xml:space="preserve"> </w:t>
      </w:r>
      <w:r w:rsidR="005C30F4" w:rsidRPr="00BF32C3">
        <w:t>Most economist</w:t>
      </w:r>
      <w:r w:rsidR="000F14C5" w:rsidRPr="00BF32C3">
        <w:t>s</w:t>
      </w:r>
      <w:r w:rsidR="00EA2D0A">
        <w:t>, with some prominent exceptions such as Gustav Cassel,</w:t>
      </w:r>
      <w:r w:rsidR="005C30F4" w:rsidRPr="00BF32C3">
        <w:t xml:space="preserve"> did not see the gold standard as a cause of the depression and therefore saw little reason to depart from the orthodoxy.</w:t>
      </w:r>
      <w:r w:rsidR="00DB42C1">
        <w:rPr>
          <w:rStyle w:val="FootnoteReference"/>
        </w:rPr>
        <w:footnoteReference w:id="94"/>
      </w:r>
      <w:r w:rsidR="005C30F4" w:rsidRPr="00BF32C3">
        <w:t xml:space="preserve"> </w:t>
      </w:r>
      <w:r w:rsidR="004D5D8C" w:rsidRPr="00BF32C3">
        <w:t xml:space="preserve">Even after Britain’s departure had not resulted in a much-feared </w:t>
      </w:r>
      <w:r w:rsidR="004D5D8C" w:rsidRPr="00BF32C3">
        <w:lastRenderedPageBreak/>
        <w:t xml:space="preserve">economic collapse, most US economists remained committed to gold. </w:t>
      </w:r>
      <w:r w:rsidR="00B14A15" w:rsidRPr="00BF32C3">
        <w:t>For example, i</w:t>
      </w:r>
      <w:r w:rsidR="005C30F4" w:rsidRPr="00BF32C3">
        <w:t xml:space="preserve">n 1933 Jacob </w:t>
      </w:r>
      <w:r w:rsidR="001C2AD9" w:rsidRPr="00BF32C3">
        <w:t>Viner</w:t>
      </w:r>
      <w:r w:rsidR="005C30F4" w:rsidRPr="00BF32C3">
        <w:t xml:space="preserve"> saw the advantages of a policy of inflation but </w:t>
      </w:r>
      <w:r w:rsidR="00B14A15" w:rsidRPr="00BF32C3">
        <w:t xml:space="preserve">argued </w:t>
      </w:r>
      <w:r w:rsidR="005C30F4" w:rsidRPr="00BF32C3">
        <w:t xml:space="preserve">that </w:t>
      </w:r>
      <w:r w:rsidR="00BE3C7A">
        <w:t>such a</w:t>
      </w:r>
      <w:r w:rsidR="005C30F4" w:rsidRPr="00BF32C3">
        <w:t xml:space="preserve"> policy would be incompatible with maintenance</w:t>
      </w:r>
      <w:r w:rsidR="001C2AD9" w:rsidRPr="00BF32C3">
        <w:t xml:space="preserve"> </w:t>
      </w:r>
      <w:r w:rsidR="005C30F4" w:rsidRPr="00BF32C3">
        <w:t xml:space="preserve">of the gold standard, </w:t>
      </w:r>
      <w:r w:rsidR="00016468">
        <w:t>a policy</w:t>
      </w:r>
      <w:r w:rsidR="00B14A15" w:rsidRPr="00BF32C3">
        <w:t xml:space="preserve"> </w:t>
      </w:r>
      <w:r w:rsidR="005C30F4" w:rsidRPr="00BF32C3">
        <w:t xml:space="preserve">he believed the United </w:t>
      </w:r>
      <w:r w:rsidR="00A53825" w:rsidRPr="00BF32C3">
        <w:t>S</w:t>
      </w:r>
      <w:r w:rsidR="005C30F4" w:rsidRPr="00BF32C3">
        <w:t xml:space="preserve">tates should not </w:t>
      </w:r>
      <w:r w:rsidR="004C2782" w:rsidRPr="00BF32C3">
        <w:t>question</w:t>
      </w:r>
      <w:r w:rsidR="005C30F4" w:rsidRPr="00BF32C3">
        <w:t>.</w:t>
      </w:r>
      <w:r w:rsidR="008D1031">
        <w:rPr>
          <w:rStyle w:val="FootnoteReference"/>
        </w:rPr>
        <w:footnoteReference w:id="95"/>
      </w:r>
      <w:r w:rsidR="005C30F4" w:rsidRPr="00BF32C3">
        <w:t xml:space="preserve"> </w:t>
      </w:r>
    </w:p>
    <w:p w14:paraId="0673ABCE" w14:textId="77777777" w:rsidR="00C13769" w:rsidRPr="00BF32C3" w:rsidRDefault="00C13769" w:rsidP="006E7F7E">
      <w:pPr>
        <w:spacing w:line="480" w:lineRule="auto"/>
        <w:jc w:val="both"/>
      </w:pPr>
    </w:p>
    <w:p w14:paraId="6E971CBE" w14:textId="53BB4454" w:rsidR="006E7F7E" w:rsidRPr="0055314F" w:rsidRDefault="006E38F6" w:rsidP="00070257">
      <w:pPr>
        <w:spacing w:line="480" w:lineRule="auto"/>
        <w:jc w:val="both"/>
      </w:pPr>
      <w:r w:rsidRPr="00BF32C3">
        <w:t xml:space="preserve">Britain’s experience of life after gold </w:t>
      </w:r>
      <w:r w:rsidR="00400BB0" w:rsidRPr="00BF32C3">
        <w:t>eventually began to</w:t>
      </w:r>
      <w:r w:rsidR="00B14A15" w:rsidRPr="00BF32C3">
        <w:t xml:space="preserve"> undermine the orthodox position</w:t>
      </w:r>
      <w:r w:rsidR="000C4346">
        <w:t xml:space="preserve">, and as </w:t>
      </w:r>
      <w:r w:rsidR="00536184" w:rsidRPr="00BF32C3">
        <w:t xml:space="preserve">we know </w:t>
      </w:r>
      <w:r w:rsidR="007A08A2" w:rsidRPr="00BF32C3">
        <w:t>Keynesian ideas</w:t>
      </w:r>
      <w:r w:rsidR="00536184" w:rsidRPr="00BF32C3">
        <w:t xml:space="preserve"> eventually carried the day</w:t>
      </w:r>
      <w:r w:rsidR="00400BB0" w:rsidRPr="00BF32C3">
        <w:t xml:space="preserve"> in both Britain and America</w:t>
      </w:r>
      <w:r w:rsidR="00536184" w:rsidRPr="00BF32C3">
        <w:t>.</w:t>
      </w:r>
      <w:r w:rsidR="000C4346">
        <w:t xml:space="preserve"> </w:t>
      </w:r>
      <w:r w:rsidR="00536184" w:rsidRPr="0055314F">
        <w:t>But</w:t>
      </w:r>
      <w:r w:rsidR="007A08A2" w:rsidRPr="0055314F">
        <w:t xml:space="preserve"> during the slump of 1929-32 </w:t>
      </w:r>
      <w:r w:rsidR="00536184" w:rsidRPr="0055314F">
        <w:t xml:space="preserve">academic </w:t>
      </w:r>
      <w:r w:rsidR="007A08A2" w:rsidRPr="0055314F">
        <w:t>macro</w:t>
      </w:r>
      <w:r w:rsidR="00536184" w:rsidRPr="0055314F">
        <w:t xml:space="preserve">economists </w:t>
      </w:r>
      <w:r w:rsidR="007A08A2" w:rsidRPr="0055314F">
        <w:t>were as</w:t>
      </w:r>
      <w:r w:rsidR="00B678D6" w:rsidRPr="0055314F">
        <w:t xml:space="preserve"> likely to advocate </w:t>
      </w:r>
      <w:r w:rsidR="007A08A2" w:rsidRPr="0055314F">
        <w:t>the policies that were creating the crisis as they were to oppose them – if not more so. In sharp contrast, populists</w:t>
      </w:r>
      <w:r w:rsidR="00B2456C" w:rsidRPr="0055314F">
        <w:t xml:space="preserve"> </w:t>
      </w:r>
      <w:r w:rsidR="0055314F" w:rsidRPr="0055314F">
        <w:t>were (unsurprisingly) quick to</w:t>
      </w:r>
      <w:r w:rsidR="00B2456C" w:rsidRPr="0055314F">
        <w:t xml:space="preserve"> attack economic orthodoxy. In 1932 the Nazi politician Gregor Strasser spoke approvingly of ‘the protest of the productive sections of the nation against a degenerate theory of economics’ and </w:t>
      </w:r>
      <w:r w:rsidR="008E6740">
        <w:t xml:space="preserve">lauded </w:t>
      </w:r>
      <w:r w:rsidR="00607149">
        <w:t>their</w:t>
      </w:r>
      <w:r w:rsidR="00B2456C" w:rsidRPr="0055314F">
        <w:t xml:space="preserve"> demand that the state ‘break with the demons of gold’.</w:t>
      </w:r>
      <w:r w:rsidR="005A3337">
        <w:rPr>
          <w:rStyle w:val="FootnoteReference"/>
        </w:rPr>
        <w:footnoteReference w:id="96"/>
      </w:r>
      <w:r w:rsidR="0055314F" w:rsidRPr="0055314F">
        <w:t xml:space="preserve"> The </w:t>
      </w:r>
      <w:r w:rsidR="008E6740">
        <w:t>contrast</w:t>
      </w:r>
      <w:r w:rsidR="0055314F" w:rsidRPr="0055314F">
        <w:t xml:space="preserve"> </w:t>
      </w:r>
      <w:r w:rsidR="000004CA">
        <w:t>between</w:t>
      </w:r>
      <w:r w:rsidR="0055314F" w:rsidRPr="0055314F">
        <w:t xml:space="preserve"> the protest, ‘which has gripped perhaps as many as 95 percent of our people,’ </w:t>
      </w:r>
      <w:r w:rsidR="000004CA">
        <w:t>and</w:t>
      </w:r>
      <w:r w:rsidR="0055314F" w:rsidRPr="0055314F">
        <w:t xml:space="preserve"> a </w:t>
      </w:r>
      <w:r w:rsidR="0055314F">
        <w:t xml:space="preserve">mistaken </w:t>
      </w:r>
      <w:r w:rsidR="0055314F" w:rsidRPr="0055314F">
        <w:t xml:space="preserve">theory </w:t>
      </w:r>
      <w:r w:rsidR="0055314F">
        <w:t xml:space="preserve">presumably </w:t>
      </w:r>
      <w:r w:rsidR="0055314F" w:rsidRPr="0055314F">
        <w:t>promoted by the elite</w:t>
      </w:r>
      <w:r w:rsidR="00607149">
        <w:t>,</w:t>
      </w:r>
      <w:r w:rsidR="0055314F" w:rsidRPr="0055314F">
        <w:t xml:space="preserve"> was classically populist. Unfortunately</w:t>
      </w:r>
      <w:r w:rsidR="008E6740">
        <w:t>,</w:t>
      </w:r>
      <w:r w:rsidR="0055314F" w:rsidRPr="0055314F">
        <w:t xml:space="preserve"> the economics profession</w:t>
      </w:r>
      <w:r w:rsidR="0055314F">
        <w:t xml:space="preserve">, along with </w:t>
      </w:r>
      <w:r w:rsidR="0055314F" w:rsidRPr="0055314F">
        <w:t>mainstream politicians</w:t>
      </w:r>
      <w:r w:rsidR="0055314F">
        <w:t>,</w:t>
      </w:r>
      <w:r w:rsidR="0055314F" w:rsidRPr="0055314F">
        <w:t xml:space="preserve"> </w:t>
      </w:r>
      <w:r w:rsidR="0055314F">
        <w:t>made a compelling target for figures</w:t>
      </w:r>
      <w:r w:rsidR="008E6740">
        <w:t xml:space="preserve"> such as Strasser</w:t>
      </w:r>
      <w:r w:rsidR="00607149">
        <w:t xml:space="preserve"> in the early 1930s</w:t>
      </w:r>
      <w:r w:rsidR="000004CA">
        <w:t xml:space="preserve">, and the policies promoted by many economists helped create the </w:t>
      </w:r>
      <w:r w:rsidR="000C4346">
        <w:t>crisis</w:t>
      </w:r>
      <w:r w:rsidR="000004CA">
        <w:t xml:space="preserve"> which facilitated </w:t>
      </w:r>
      <w:r w:rsidR="008E6740">
        <w:t>the political ascent of populism during this period</w:t>
      </w:r>
      <w:r w:rsidR="0055314F">
        <w:t>.</w:t>
      </w:r>
    </w:p>
    <w:p w14:paraId="4CBB23F9" w14:textId="77777777" w:rsidR="00FA46A6" w:rsidRDefault="00FA46A6" w:rsidP="006E7F7E">
      <w:pPr>
        <w:spacing w:line="480" w:lineRule="auto"/>
        <w:jc w:val="both"/>
      </w:pPr>
    </w:p>
    <w:p w14:paraId="2955F848" w14:textId="3F014EB5" w:rsidR="00DE36C6" w:rsidRPr="0055314F" w:rsidRDefault="00571D00" w:rsidP="006E7F7E">
      <w:pPr>
        <w:spacing w:line="480" w:lineRule="auto"/>
        <w:jc w:val="both"/>
        <w:rPr>
          <w:b/>
          <w:bCs/>
        </w:rPr>
      </w:pPr>
      <w:r>
        <w:rPr>
          <w:b/>
          <w:bCs/>
        </w:rPr>
        <w:t>VI</w:t>
      </w:r>
      <w:r w:rsidR="00DE36C6" w:rsidRPr="0055314F">
        <w:rPr>
          <w:b/>
          <w:bCs/>
        </w:rPr>
        <w:t xml:space="preserve">. </w:t>
      </w:r>
      <w:r>
        <w:rPr>
          <w:b/>
          <w:bCs/>
        </w:rPr>
        <w:t>CONCLUSION</w:t>
      </w:r>
    </w:p>
    <w:p w14:paraId="6222AF68" w14:textId="1B70EB9D" w:rsidR="00DE36C6" w:rsidRDefault="00DE36C6" w:rsidP="006E7F7E">
      <w:pPr>
        <w:spacing w:line="480" w:lineRule="auto"/>
        <w:jc w:val="both"/>
      </w:pPr>
    </w:p>
    <w:p w14:paraId="560BB383" w14:textId="6AAE5CA6" w:rsidR="000004CA" w:rsidRDefault="000004CA" w:rsidP="006E7F7E">
      <w:pPr>
        <w:spacing w:line="480" w:lineRule="auto"/>
        <w:jc w:val="both"/>
      </w:pPr>
      <w:r w:rsidRPr="0055314F">
        <w:lastRenderedPageBreak/>
        <w:t>Robert Solow once argued that a key function of economic history is to remind economists that the validity of their models may depend on social context, varying across time and space.</w:t>
      </w:r>
      <w:r w:rsidR="001661E4">
        <w:rPr>
          <w:rStyle w:val="FootnoteReference"/>
        </w:rPr>
        <w:footnoteReference w:id="97"/>
      </w:r>
      <w:r>
        <w:t xml:space="preserve"> Our first goal in this paper has been to argue that history should </w:t>
      </w:r>
      <w:r w:rsidR="00DC1B9E">
        <w:t xml:space="preserve">also </w:t>
      </w:r>
      <w:r w:rsidR="00CE52C6">
        <w:t>encourage</w:t>
      </w:r>
      <w:r>
        <w:t xml:space="preserve"> economists to </w:t>
      </w:r>
      <w:r w:rsidR="00CE52C6">
        <w:t>avoid</w:t>
      </w:r>
      <w:r>
        <w:t xml:space="preserve"> </w:t>
      </w:r>
      <w:r w:rsidR="00CE52C6">
        <w:t>an overly simplistic</w:t>
      </w:r>
      <w:r>
        <w:t xml:space="preserve"> view </w:t>
      </w:r>
      <w:r w:rsidR="00CE52C6">
        <w:t>of</w:t>
      </w:r>
      <w:r>
        <w:t xml:space="preserve"> populism </w:t>
      </w:r>
      <w:r w:rsidR="00CE52C6">
        <w:t>and its correlates</w:t>
      </w:r>
      <w:r w:rsidR="00C50AB1">
        <w:t xml:space="preserve">. It may seem tempting to project our present-day circumstances </w:t>
      </w:r>
      <w:r w:rsidR="00153217">
        <w:t xml:space="preserve">back </w:t>
      </w:r>
      <w:r w:rsidR="00C50AB1">
        <w:t>onto the past, seek</w:t>
      </w:r>
      <w:r w:rsidR="0019451C">
        <w:t>ing</w:t>
      </w:r>
      <w:r w:rsidR="00C50AB1">
        <w:t xml:space="preserve"> to identify a package of attributes which has been constant over time: anti-elitist and demagogic political discourse, appealing to lower educated and </w:t>
      </w:r>
      <w:r w:rsidR="001703E6">
        <w:t>blue</w:t>
      </w:r>
      <w:r w:rsidR="00DE3C8F">
        <w:t xml:space="preserve"> </w:t>
      </w:r>
      <w:r w:rsidR="001703E6">
        <w:t>collar</w:t>
      </w:r>
      <w:r w:rsidR="00C50AB1">
        <w:t xml:space="preserve"> workers, promoting damaging economic policies, and opposed to globalization in all its forms. But history was more complicated than that. Not everyone called a Populist was a populist; protectionism was frequently opposed by working class voters and promoted by elites; populists were blue collar in some contexts, but better educated and enjoying higher occupational status in others; they were more likely to be Protestant in some contexts, </w:t>
      </w:r>
      <w:r w:rsidR="001703E6">
        <w:t>and</w:t>
      </w:r>
      <w:r w:rsidR="00C50AB1">
        <w:t xml:space="preserve"> more likely to be Catholic in others</w:t>
      </w:r>
      <w:r w:rsidR="00FE6E36">
        <w:t xml:space="preserve">; it was sometimes the elites whose policy prescriptions were both simplistic and </w:t>
      </w:r>
      <w:r w:rsidR="00153217">
        <w:t>destructive</w:t>
      </w:r>
      <w:r w:rsidR="00C50AB1">
        <w:t>.</w:t>
      </w:r>
    </w:p>
    <w:p w14:paraId="165353BC" w14:textId="15C01A8E" w:rsidR="000004CA" w:rsidRDefault="000004CA" w:rsidP="006E7F7E">
      <w:pPr>
        <w:spacing w:line="480" w:lineRule="auto"/>
        <w:jc w:val="both"/>
      </w:pPr>
    </w:p>
    <w:p w14:paraId="739776A1" w14:textId="11F5014C" w:rsidR="00E1510B" w:rsidRPr="00D75115" w:rsidRDefault="00C50AB1" w:rsidP="006E7F7E">
      <w:pPr>
        <w:spacing w:line="480" w:lineRule="auto"/>
        <w:jc w:val="both"/>
        <w:rPr>
          <w:lang w:val="en-IE"/>
        </w:rPr>
      </w:pPr>
      <w:r>
        <w:t xml:space="preserve">We would prefer it if </w:t>
      </w:r>
      <w:r w:rsidR="00F46496">
        <w:t xml:space="preserve">instead of </w:t>
      </w:r>
      <w:r w:rsidR="00FE6E36">
        <w:t>“</w:t>
      </w:r>
      <w:r w:rsidRPr="0055314F">
        <w:t>populism</w:t>
      </w:r>
      <w:r w:rsidR="00FE6E36">
        <w:t>”</w:t>
      </w:r>
      <w:r w:rsidR="00E8169C">
        <w:t>,</w:t>
      </w:r>
      <w:r w:rsidRPr="0055314F">
        <w:t xml:space="preserve"> </w:t>
      </w:r>
      <w:r w:rsidR="00F46496">
        <w:t xml:space="preserve">scholars </w:t>
      </w:r>
      <w:r w:rsidR="00C44744">
        <w:t>used terms</w:t>
      </w:r>
      <w:r w:rsidR="00F46496">
        <w:t xml:space="preserve"> such as</w:t>
      </w:r>
      <w:r>
        <w:t xml:space="preserve"> </w:t>
      </w:r>
      <w:r w:rsidRPr="0055314F">
        <w:t>demagoguery</w:t>
      </w:r>
      <w:r w:rsidR="00F46496">
        <w:t xml:space="preserve"> </w:t>
      </w:r>
      <w:r w:rsidR="002562FD">
        <w:t>or</w:t>
      </w:r>
      <w:r w:rsidR="00F46496">
        <w:t xml:space="preserve"> illiberal democracy</w:t>
      </w:r>
      <w:r>
        <w:t>.</w:t>
      </w:r>
      <w:r w:rsidR="001661E4">
        <w:rPr>
          <w:rStyle w:val="FootnoteReference"/>
        </w:rPr>
        <w:footnoteReference w:id="98"/>
      </w:r>
      <w:r>
        <w:t xml:space="preserve"> </w:t>
      </w:r>
      <w:r w:rsidR="002562FD">
        <w:t>This would make it possible to use the world “populism” to describe Rodrik’s “economic populists” without fear of confusion, and in a manner more consistent with the late 19</w:t>
      </w:r>
      <w:r w:rsidR="002562FD" w:rsidRPr="002562FD">
        <w:rPr>
          <w:vertAlign w:val="superscript"/>
        </w:rPr>
        <w:t>th</w:t>
      </w:r>
      <w:r w:rsidR="002562FD">
        <w:t xml:space="preserve"> century origins of the word.</w:t>
      </w:r>
      <w:r w:rsidR="001661E4">
        <w:rPr>
          <w:rStyle w:val="FootnoteReference"/>
        </w:rPr>
        <w:footnoteReference w:id="99"/>
      </w:r>
      <w:r w:rsidR="002562FD">
        <w:t xml:space="preserve"> As it is, t</w:t>
      </w:r>
      <w:r w:rsidR="00F46496">
        <w:t>he</w:t>
      </w:r>
      <w:r w:rsidR="00E1510B">
        <w:t xml:space="preserve"> linguistic association </w:t>
      </w:r>
      <w:r w:rsidR="002562FD">
        <w:t>between “populism” and</w:t>
      </w:r>
      <w:r w:rsidR="00E1510B">
        <w:t xml:space="preserve"> </w:t>
      </w:r>
      <w:r w:rsidR="002562FD">
        <w:t xml:space="preserve">American </w:t>
      </w:r>
      <w:r w:rsidR="00E1510B">
        <w:t>Populist</w:t>
      </w:r>
      <w:r w:rsidR="002562FD">
        <w:t>s</w:t>
      </w:r>
      <w:r w:rsidR="00E1510B">
        <w:t xml:space="preserve"> encourages </w:t>
      </w:r>
      <w:r w:rsidR="00F52814">
        <w:t>not only</w:t>
      </w:r>
      <w:r w:rsidR="00E1510B">
        <w:t xml:space="preserve"> historical confusion, </w:t>
      </w:r>
      <w:r w:rsidR="00F52814">
        <w:t>but</w:t>
      </w:r>
      <w:r w:rsidR="00E1510B">
        <w:t xml:space="preserve"> a tendency to ascribe to popular protest movements sinister </w:t>
      </w:r>
      <w:r w:rsidR="002F374E">
        <w:t xml:space="preserve">and anti-democratic </w:t>
      </w:r>
      <w:r w:rsidR="00E1510B">
        <w:t xml:space="preserve">tendencies even when this is unwarranted. </w:t>
      </w:r>
      <w:r w:rsidR="00F46496">
        <w:t xml:space="preserve">Historians </w:t>
      </w:r>
      <w:r w:rsidR="001C1728">
        <w:t xml:space="preserve">tend to be suspicious of over-generalization and historians </w:t>
      </w:r>
      <w:r w:rsidR="00F46496">
        <w:t xml:space="preserve">of Populism are, unsurprisingly, particularly </w:t>
      </w:r>
      <w:r w:rsidR="001C1728">
        <w:t>unhappy</w:t>
      </w:r>
      <w:r w:rsidR="00F46496">
        <w:t xml:space="preserve"> </w:t>
      </w:r>
      <w:r w:rsidR="001C1728">
        <w:t>with</w:t>
      </w:r>
      <w:r w:rsidR="00F46496">
        <w:t xml:space="preserve"> the </w:t>
      </w:r>
      <w:r w:rsidR="00E53FB4">
        <w:t>way in which</w:t>
      </w:r>
      <w:r w:rsidR="00F46496">
        <w:t xml:space="preserve"> social scientists</w:t>
      </w:r>
      <w:r w:rsidR="00E53FB4">
        <w:t xml:space="preserve"> use </w:t>
      </w:r>
      <w:r w:rsidR="00E53FB4">
        <w:lastRenderedPageBreak/>
        <w:t xml:space="preserve">the </w:t>
      </w:r>
      <w:r w:rsidR="006B1FDE">
        <w:t>word</w:t>
      </w:r>
      <w:r w:rsidR="00F46496">
        <w:t>: in the opinion of Lawrence Goodwyn, for example,‘</w:t>
      </w:r>
      <w:r w:rsidR="00F46496" w:rsidRPr="00F46496">
        <w:rPr>
          <w:lang w:val="en-IE"/>
        </w:rPr>
        <w:t>"populism" is one of those terms that have been employed so indiscriminately that political science might be better served if it were quietly dropped</w:t>
      </w:r>
      <w:r w:rsidR="00F46496">
        <w:rPr>
          <w:lang w:val="en-IE"/>
        </w:rPr>
        <w:t>’.</w:t>
      </w:r>
      <w:r w:rsidR="00D75115">
        <w:rPr>
          <w:rStyle w:val="FootnoteReference"/>
          <w:lang w:val="en-IE"/>
        </w:rPr>
        <w:footnoteReference w:id="100"/>
      </w:r>
      <w:r w:rsidR="00F46496">
        <w:rPr>
          <w:lang w:val="en-IE"/>
        </w:rPr>
        <w:t xml:space="preserve"> </w:t>
      </w:r>
      <w:r w:rsidR="00DE36C6" w:rsidRPr="0055314F">
        <w:t>But</w:t>
      </w:r>
      <w:r w:rsidR="00E53FB4">
        <w:t xml:space="preserve"> </w:t>
      </w:r>
      <w:r w:rsidR="00DE36C6" w:rsidRPr="0055314F">
        <w:t xml:space="preserve">if we are </w:t>
      </w:r>
      <w:r w:rsidR="00F46496">
        <w:t>stuck with the label</w:t>
      </w:r>
      <w:r w:rsidR="00E1510B">
        <w:t>,</w:t>
      </w:r>
      <w:r w:rsidR="000D6462">
        <w:t xml:space="preserve"> and its current meaning,</w:t>
      </w:r>
      <w:r w:rsidR="00DE36C6" w:rsidRPr="0055314F">
        <w:t xml:space="preserve"> the</w:t>
      </w:r>
      <w:r w:rsidR="00FE6E36">
        <w:t>n the</w:t>
      </w:r>
      <w:r w:rsidR="00DE36C6" w:rsidRPr="0055314F">
        <w:t xml:space="preserve"> least we can do is to stop conflating populism, hostility to globalization, advocacy of simplistic </w:t>
      </w:r>
      <w:r w:rsidR="002562FD">
        <w:t xml:space="preserve">and harmful </w:t>
      </w:r>
      <w:r w:rsidR="00DE36C6" w:rsidRPr="0055314F">
        <w:t xml:space="preserve">economic policies, and </w:t>
      </w:r>
      <w:r w:rsidR="00FE6E36">
        <w:t>19</w:t>
      </w:r>
      <w:r w:rsidR="00FE6E36" w:rsidRPr="00FE6E36">
        <w:rPr>
          <w:vertAlign w:val="superscript"/>
        </w:rPr>
        <w:t>th</w:t>
      </w:r>
      <w:r w:rsidR="00FE6E36">
        <w:t xml:space="preserve"> century</w:t>
      </w:r>
      <w:r w:rsidR="00DE36C6" w:rsidRPr="0055314F">
        <w:t xml:space="preserve"> US </w:t>
      </w:r>
      <w:r w:rsidR="00FE6E36">
        <w:t>P</w:t>
      </w:r>
      <w:r w:rsidR="00DE36C6" w:rsidRPr="0055314F">
        <w:t xml:space="preserve">opulism. These are separate </w:t>
      </w:r>
      <w:r w:rsidR="00E1510B">
        <w:t>categories</w:t>
      </w:r>
      <w:r w:rsidR="00DE36C6" w:rsidRPr="0055314F">
        <w:t xml:space="preserve"> that sometimes intersect, </w:t>
      </w:r>
      <w:r w:rsidR="00FE6E36">
        <w:t>but</w:t>
      </w:r>
      <w:r w:rsidR="00DE36C6" w:rsidRPr="0055314F">
        <w:t xml:space="preserve"> sometimes do not. </w:t>
      </w:r>
    </w:p>
    <w:p w14:paraId="15CCFC50" w14:textId="77777777" w:rsidR="00E1510B" w:rsidRDefault="00E1510B" w:rsidP="006E7F7E">
      <w:pPr>
        <w:spacing w:line="480" w:lineRule="auto"/>
        <w:jc w:val="both"/>
      </w:pPr>
    </w:p>
    <w:p w14:paraId="3A064728" w14:textId="5E9E15F8" w:rsidR="003F2D8B" w:rsidRPr="0055314F" w:rsidRDefault="00E1510B" w:rsidP="006E7F7E">
      <w:pPr>
        <w:spacing w:line="480" w:lineRule="auto"/>
        <w:jc w:val="both"/>
      </w:pPr>
      <w:r>
        <w:t xml:space="preserve">Our second purpose has been to suggest that </w:t>
      </w:r>
      <w:r w:rsidR="00DE36C6" w:rsidRPr="0055314F">
        <w:t xml:space="preserve">economists need to be especially careful not to engage in such conflations, and especially wary of condemning </w:t>
      </w:r>
      <w:r w:rsidR="0018106B">
        <w:t>popular protest</w:t>
      </w:r>
      <w:r w:rsidR="00DE36C6" w:rsidRPr="0055314F">
        <w:t xml:space="preserve"> movements as </w:t>
      </w:r>
      <w:r w:rsidR="00FE6E36">
        <w:t>“</w:t>
      </w:r>
      <w:r w:rsidR="00DE36C6" w:rsidRPr="0055314F">
        <w:t>populist</w:t>
      </w:r>
      <w:r w:rsidR="00FE6E36">
        <w:t>”</w:t>
      </w:r>
      <w:r w:rsidR="00DE36C6" w:rsidRPr="0055314F">
        <w:t xml:space="preserve">, since </w:t>
      </w:r>
      <w:r w:rsidR="0018106B">
        <w:t xml:space="preserve">in the past </w:t>
      </w:r>
      <w:r>
        <w:t>the profession has</w:t>
      </w:r>
      <w:r w:rsidR="00DE36C6" w:rsidRPr="0055314F">
        <w:t xml:space="preserve"> </w:t>
      </w:r>
      <w:r w:rsidR="008E6740">
        <w:t>sometimes</w:t>
      </w:r>
      <w:r w:rsidR="00DE36C6" w:rsidRPr="0055314F">
        <w:t xml:space="preserve"> been on the wrong side of </w:t>
      </w:r>
      <w:r w:rsidR="007F03F9">
        <w:t xml:space="preserve">economic </w:t>
      </w:r>
      <w:r w:rsidR="00FA4E42">
        <w:t>policy</w:t>
      </w:r>
      <w:r w:rsidR="00DE36C6" w:rsidRPr="0055314F">
        <w:t xml:space="preserve"> debate</w:t>
      </w:r>
      <w:r w:rsidR="0018106B">
        <w:t>s, while protestors have been on the right side</w:t>
      </w:r>
      <w:r w:rsidR="00DE36C6" w:rsidRPr="0055314F">
        <w:t>.</w:t>
      </w:r>
      <w:r w:rsidR="00991449" w:rsidRPr="0055314F">
        <w:t xml:space="preserve"> </w:t>
      </w:r>
      <w:r w:rsidRPr="0055314F">
        <w:t xml:space="preserve">Given the common belief </w:t>
      </w:r>
      <w:r w:rsidR="001703E6">
        <w:t xml:space="preserve">among economists </w:t>
      </w:r>
      <w:r w:rsidRPr="0055314F">
        <w:t xml:space="preserve">that populism typically advocates irresponsible economic policies, </w:t>
      </w:r>
      <w:r>
        <w:t xml:space="preserve">it seems particularly important to </w:t>
      </w:r>
      <w:r w:rsidR="002F374E">
        <w:t>acknowledge</w:t>
      </w:r>
      <w:r w:rsidRPr="0055314F">
        <w:t xml:space="preserve"> the destructive impact of orthodox </w:t>
      </w:r>
      <w:r>
        <w:t>macro</w:t>
      </w:r>
      <w:r w:rsidRPr="0055314F">
        <w:t xml:space="preserve">economic beliefs in the 1930s. Respectable German opinion may have regarded support for such policies as </w:t>
      </w:r>
      <w:r w:rsidR="00C44744">
        <w:t>‘</w:t>
      </w:r>
      <w:r w:rsidRPr="0055314F">
        <w:t>a kind of bulwark against Hitler’, but they ultimately caused the Great Depression that made his rise to power possible.</w:t>
      </w:r>
      <w:r w:rsidR="001661E4">
        <w:rPr>
          <w:rStyle w:val="FootnoteReference"/>
        </w:rPr>
        <w:footnoteReference w:id="101"/>
      </w:r>
      <w:r w:rsidRPr="0055314F">
        <w:t xml:space="preserve"> </w:t>
      </w:r>
      <w:r w:rsidR="00FE6E36">
        <w:t xml:space="preserve">Nor should we </w:t>
      </w:r>
      <w:r w:rsidR="00FA4E42">
        <w:t xml:space="preserve">automatically </w:t>
      </w:r>
      <w:r w:rsidR="00FE6E36">
        <w:t>assume that the economics profession is no longer capable of such errors.</w:t>
      </w:r>
    </w:p>
    <w:p w14:paraId="73210E0B" w14:textId="0D6826BA" w:rsidR="00533F9D" w:rsidRDefault="00533F9D" w:rsidP="006E7F7E">
      <w:pPr>
        <w:spacing w:line="480" w:lineRule="auto"/>
        <w:jc w:val="both"/>
      </w:pPr>
    </w:p>
    <w:p w14:paraId="1B3490EE" w14:textId="5E776B88" w:rsidR="000004CA" w:rsidRDefault="00E1510B" w:rsidP="006E7F7E">
      <w:pPr>
        <w:spacing w:line="480" w:lineRule="auto"/>
        <w:jc w:val="both"/>
      </w:pPr>
      <w:r>
        <w:t>Economic history should</w:t>
      </w:r>
      <w:r w:rsidR="000004CA" w:rsidRPr="0055314F">
        <w:t xml:space="preserve"> serve as a warning to </w:t>
      </w:r>
      <w:r>
        <w:t>economists</w:t>
      </w:r>
      <w:r w:rsidR="000004CA" w:rsidRPr="0055314F">
        <w:t xml:space="preserve"> that their policy advice, depending as it does on the conventional</w:t>
      </w:r>
      <w:r w:rsidR="0018106B">
        <w:t xml:space="preserve"> intellectual</w:t>
      </w:r>
      <w:r w:rsidR="000004CA" w:rsidRPr="0055314F">
        <w:t xml:space="preserve"> wisdom of the time, can sometimes be </w:t>
      </w:r>
      <w:r w:rsidR="0018106B">
        <w:t>dangerously</w:t>
      </w:r>
      <w:r w:rsidR="000004CA" w:rsidRPr="0055314F">
        <w:t xml:space="preserve"> wrong.</w:t>
      </w:r>
      <w:r w:rsidR="000004CA">
        <w:t xml:space="preserve"> </w:t>
      </w:r>
      <w:r>
        <w:t>As Solow pointed out, context matters: t</w:t>
      </w:r>
      <w:r w:rsidR="000004CA">
        <w:t xml:space="preserve">he gold standard had worked well enough </w:t>
      </w:r>
      <w:r w:rsidR="000004CA">
        <w:lastRenderedPageBreak/>
        <w:t>before 1914 but was economically and politically ill-suited to the interwar world</w:t>
      </w:r>
      <w:r>
        <w:t>, something insufficiently appreciated by the profession at that time</w:t>
      </w:r>
      <w:r w:rsidR="000004CA">
        <w:t>.</w:t>
      </w:r>
      <w:r w:rsidR="00152A6E">
        <w:rPr>
          <w:rStyle w:val="FootnoteReference"/>
        </w:rPr>
        <w:footnoteReference w:id="102"/>
      </w:r>
      <w:r w:rsidR="000004CA">
        <w:t xml:space="preserve"> </w:t>
      </w:r>
      <w:r w:rsidR="000004CA" w:rsidRPr="0055314F">
        <w:t xml:space="preserve">Indeed, even policies opposed not only by orthodox interwar </w:t>
      </w:r>
      <w:r w:rsidR="000004CA">
        <w:t xml:space="preserve">monetary </w:t>
      </w:r>
      <w:r w:rsidR="000004CA" w:rsidRPr="0055314F">
        <w:t xml:space="preserve">economists, but by their modern counterparts, such as </w:t>
      </w:r>
      <w:r w:rsidR="000004CA">
        <w:t xml:space="preserve">protectionism, </w:t>
      </w:r>
      <w:r w:rsidR="000004CA" w:rsidRPr="0055314F">
        <w:t>debt default, or facilitating greater monopoly power for both firms and workers, may have been neutral or even beneficial in their effects in the peculiar deflationary environment of the 1930s.</w:t>
      </w:r>
      <w:r w:rsidR="00152A6E">
        <w:rPr>
          <w:rStyle w:val="FootnoteReference"/>
        </w:rPr>
        <w:footnoteReference w:id="103"/>
      </w:r>
      <w:r w:rsidR="000004CA" w:rsidRPr="0055314F">
        <w:t xml:space="preserve"> </w:t>
      </w:r>
    </w:p>
    <w:p w14:paraId="3391A7EC" w14:textId="75E3D54F" w:rsidR="00FE6E36" w:rsidRDefault="00FE6E36" w:rsidP="006E7F7E">
      <w:pPr>
        <w:spacing w:line="480" w:lineRule="auto"/>
        <w:jc w:val="both"/>
      </w:pPr>
    </w:p>
    <w:p w14:paraId="61EEFA25" w14:textId="12D75017" w:rsidR="003F2D8B" w:rsidRDefault="00FE6E36" w:rsidP="006E7F7E">
      <w:pPr>
        <w:spacing w:line="480" w:lineRule="auto"/>
        <w:jc w:val="both"/>
      </w:pPr>
      <w:r>
        <w:t xml:space="preserve">Few would </w:t>
      </w:r>
      <w:r w:rsidR="00E47CCE">
        <w:t>deny</w:t>
      </w:r>
      <w:r>
        <w:t xml:space="preserve"> that populism is a danger to </w:t>
      </w:r>
      <w:r w:rsidR="00784F6A">
        <w:t xml:space="preserve">liberal </w:t>
      </w:r>
      <w:r>
        <w:t xml:space="preserve">democracy, but </w:t>
      </w:r>
      <w:r w:rsidR="002F374E">
        <w:t xml:space="preserve">as </w:t>
      </w:r>
      <w:r w:rsidR="00784F6A" w:rsidRPr="0055314F">
        <w:t xml:space="preserve">Müller </w:t>
      </w:r>
      <w:r w:rsidR="002F374E">
        <w:t xml:space="preserve">points out </w:t>
      </w:r>
      <w:r>
        <w:t xml:space="preserve">so </w:t>
      </w:r>
      <w:r w:rsidR="00FA4E42">
        <w:t xml:space="preserve">too </w:t>
      </w:r>
      <w:r>
        <w:t>is an insistence that there is no alternative to the preferred economic policy mix of the day.</w:t>
      </w:r>
      <w:r w:rsidR="004B2F15">
        <w:t xml:space="preserve"> </w:t>
      </w:r>
      <w:r w:rsidR="00371AA7">
        <w:t>As noted earlier e</w:t>
      </w:r>
      <w:r w:rsidR="0048099F">
        <w:t xml:space="preserve">conomists often favour rules over discretion, but too many rules and too little discretion seem incompatible with the principle that voters have the right to change government policy </w:t>
      </w:r>
      <w:r w:rsidR="007809DF">
        <w:t>via</w:t>
      </w:r>
      <w:r w:rsidR="0048099F">
        <w:t xml:space="preserve"> the ballot box. </w:t>
      </w:r>
      <w:r w:rsidR="007809DF">
        <w:t xml:space="preserve">Moreover, </w:t>
      </w:r>
      <w:r w:rsidR="00C51FBA">
        <w:t>rules</w:t>
      </w:r>
      <w:r w:rsidR="007809DF">
        <w:t xml:space="preserve"> can themselves encourage populism: in Mudde’s pithy formulation, populism can be ‘</w:t>
      </w:r>
      <w:r w:rsidR="007809DF" w:rsidRPr="00B05CAC">
        <w:t>an illiberal democratic response to undemocratic liberalism</w:t>
      </w:r>
      <w:r w:rsidR="007809DF">
        <w:t>’.</w:t>
      </w:r>
      <w:r w:rsidR="00DA1AC3">
        <w:rPr>
          <w:rStyle w:val="FootnoteReference"/>
        </w:rPr>
        <w:footnoteReference w:id="104"/>
      </w:r>
      <w:r w:rsidR="007809DF">
        <w:t xml:space="preserve"> </w:t>
      </w:r>
      <w:r w:rsidR="004B2F15">
        <w:t>History teaches humility and suggests that economists should beware of falling into such trap</w:t>
      </w:r>
      <w:r w:rsidR="0018106B">
        <w:t>s</w:t>
      </w:r>
      <w:r w:rsidR="003F2D8B">
        <w:t xml:space="preserve">, but </w:t>
      </w:r>
      <w:r w:rsidR="00B91AC9">
        <w:t>not all have heeded this warning</w:t>
      </w:r>
      <w:r w:rsidR="004B2F15">
        <w:t>.</w:t>
      </w:r>
      <w:r w:rsidR="003F2D8B">
        <w:t xml:space="preserve"> The argument encountered earlier that politicians need to be saved from themselves can </w:t>
      </w:r>
      <w:r w:rsidR="000B36D9">
        <w:t xml:space="preserve">too easily </w:t>
      </w:r>
      <w:r w:rsidR="003F2D8B">
        <w:t xml:space="preserve">shade into the argument that voters should not be given a say on policies that affect them. As late as 1969, Fritz Machlup </w:t>
      </w:r>
      <w:r w:rsidR="00797C11">
        <w:t>felt</w:t>
      </w:r>
      <w:r w:rsidR="003F2D8B">
        <w:t xml:space="preserve"> able to write the following:</w:t>
      </w:r>
    </w:p>
    <w:p w14:paraId="598764B7" w14:textId="3A2F9A8C" w:rsidR="003F2D8B" w:rsidRDefault="003F2D8B" w:rsidP="006E7F7E">
      <w:pPr>
        <w:spacing w:line="480" w:lineRule="auto"/>
        <w:jc w:val="both"/>
      </w:pPr>
    </w:p>
    <w:p w14:paraId="7CAAA28A" w14:textId="4452170B" w:rsidR="003F2D8B" w:rsidRPr="003F2D8B" w:rsidRDefault="003F2D8B" w:rsidP="006E7F7E">
      <w:pPr>
        <w:spacing w:line="480" w:lineRule="auto"/>
        <w:ind w:left="397" w:right="397"/>
        <w:jc w:val="both"/>
        <w:rPr>
          <w:lang w:val="en-US"/>
        </w:rPr>
      </w:pPr>
      <w:r w:rsidRPr="003F2D8B">
        <w:t xml:space="preserve">Let me recall Mill’s dictum that there can be no liberty for “savages.” Replace this harsh word by “politically and intellectually immature people” and reflect on the </w:t>
      </w:r>
      <w:r w:rsidRPr="003F2D8B">
        <w:lastRenderedPageBreak/>
        <w:t>proposition that full democracy may not be the most suitable system of government for such people; that, for example, the unlimited right to vote and elect the men who will govern the country may lead to the destruction of many other freedoms and also of any real chance for economic development</w:t>
      </w:r>
      <w:r>
        <w:rPr>
          <w:lang w:val="en-US"/>
        </w:rPr>
        <w:t>.</w:t>
      </w:r>
      <w:r w:rsidR="00DA1AC3">
        <w:rPr>
          <w:rStyle w:val="FootnoteReference"/>
          <w:lang w:val="en-US"/>
        </w:rPr>
        <w:footnoteReference w:id="105"/>
      </w:r>
    </w:p>
    <w:p w14:paraId="4F48AD13" w14:textId="77777777" w:rsidR="003F2D8B" w:rsidRPr="003F2D8B" w:rsidRDefault="003F2D8B" w:rsidP="006E7F7E">
      <w:pPr>
        <w:spacing w:line="480" w:lineRule="auto"/>
        <w:jc w:val="both"/>
      </w:pPr>
    </w:p>
    <w:p w14:paraId="28247F4E" w14:textId="487EA2C6" w:rsidR="000004CA" w:rsidRPr="0055314F" w:rsidRDefault="002F374E" w:rsidP="006E7F7E">
      <w:pPr>
        <w:spacing w:line="480" w:lineRule="auto"/>
        <w:jc w:val="both"/>
      </w:pPr>
      <w:r>
        <w:t>As Peter Mair eloquently argued, democracy is hollowed out when voters are told that they can change the managers but not the policies being managed.</w:t>
      </w:r>
      <w:r w:rsidR="00DA1AC3">
        <w:rPr>
          <w:rStyle w:val="FootnoteReference"/>
        </w:rPr>
        <w:footnoteReference w:id="106"/>
      </w:r>
      <w:r>
        <w:t xml:space="preserve"> </w:t>
      </w:r>
      <w:r w:rsidR="00FE6E36" w:rsidRPr="0055314F">
        <w:t xml:space="preserve"> </w:t>
      </w:r>
      <w:r w:rsidR="00FE6E36">
        <w:t xml:space="preserve">It is precisely in such circumstances that </w:t>
      </w:r>
      <w:r w:rsidR="0018106B">
        <w:t>they</w:t>
      </w:r>
      <w:r w:rsidR="00FE6E36">
        <w:t xml:space="preserve"> may turn to populis</w:t>
      </w:r>
      <w:r w:rsidR="007F4403">
        <w:t>m</w:t>
      </w:r>
      <w:r>
        <w:t>, as happened with tragic consequences in the interwar period.</w:t>
      </w:r>
      <w:r w:rsidR="004B2F15">
        <w:t xml:space="preserve"> In contrast, when popular demands for major policy reform are </w:t>
      </w:r>
      <w:r w:rsidR="0018106B">
        <w:t xml:space="preserve">satisfactorily </w:t>
      </w:r>
      <w:r w:rsidR="004B2F15">
        <w:t>met by democratic politicians</w:t>
      </w:r>
      <w:r w:rsidR="00797C11">
        <w:t>,</w:t>
      </w:r>
      <w:r w:rsidR="004B2F15">
        <w:t xml:space="preserve"> </w:t>
      </w:r>
      <w:r w:rsidR="009828F9">
        <w:t xml:space="preserve">democracy is strengthened and </w:t>
      </w:r>
      <w:r w:rsidR="008E6740" w:rsidRPr="0055314F">
        <w:t>demagoguery</w:t>
      </w:r>
      <w:r w:rsidR="008E6740">
        <w:t xml:space="preserve"> </w:t>
      </w:r>
      <w:r w:rsidR="004B2F15">
        <w:t>weakened.</w:t>
      </w:r>
      <w:r w:rsidR="00DA1AC3">
        <w:rPr>
          <w:rStyle w:val="FootnoteReference"/>
        </w:rPr>
        <w:footnoteReference w:id="107"/>
      </w:r>
    </w:p>
    <w:p w14:paraId="4E6C1B69" w14:textId="77777777" w:rsidR="00571D00" w:rsidRDefault="00571D00" w:rsidP="006E7F7E">
      <w:pPr>
        <w:spacing w:line="480" w:lineRule="auto"/>
        <w:jc w:val="both"/>
      </w:pPr>
    </w:p>
    <w:p w14:paraId="77FA1C30" w14:textId="68058D96" w:rsidR="00571D00" w:rsidRPr="00BE2F45" w:rsidRDefault="00EA2D0A" w:rsidP="006E7F7E">
      <w:pPr>
        <w:jc w:val="both"/>
        <w:rPr>
          <w:b/>
          <w:bCs/>
        </w:rPr>
      </w:pPr>
      <w:r>
        <w:rPr>
          <w:b/>
          <w:bCs/>
        </w:rPr>
        <w:br w:type="page"/>
      </w:r>
      <w:r w:rsidR="00571D00">
        <w:rPr>
          <w:b/>
          <w:bCs/>
        </w:rPr>
        <w:lastRenderedPageBreak/>
        <w:t>REFERENCES</w:t>
      </w:r>
    </w:p>
    <w:p w14:paraId="51185D1D" w14:textId="77777777" w:rsidR="00571D00" w:rsidRDefault="00571D00" w:rsidP="00571D00">
      <w:pPr>
        <w:spacing w:line="480" w:lineRule="auto"/>
      </w:pPr>
    </w:p>
    <w:p w14:paraId="27CD564D" w14:textId="4140899C" w:rsidR="00902359" w:rsidRPr="00902359" w:rsidRDefault="00902359" w:rsidP="00902359">
      <w:pPr>
        <w:spacing w:line="480" w:lineRule="auto"/>
        <w:ind w:hanging="720"/>
        <w:rPr>
          <w:lang w:val="en-US"/>
        </w:rPr>
      </w:pPr>
      <w:r w:rsidRPr="00902359">
        <w:rPr>
          <w:lang w:val="en-US"/>
        </w:rPr>
        <w:t xml:space="preserve">Adams, P. and Thornton, E. S., </w:t>
      </w:r>
      <w:r w:rsidRPr="00902359">
        <w:rPr>
          <w:i/>
          <w:iCs/>
          <w:lang w:val="en-US"/>
        </w:rPr>
        <w:t xml:space="preserve">A populist assault: Sarah </w:t>
      </w:r>
      <w:r>
        <w:rPr>
          <w:i/>
          <w:iCs/>
          <w:lang w:val="en-US"/>
        </w:rPr>
        <w:t>E</w:t>
      </w:r>
      <w:r w:rsidRPr="00902359">
        <w:rPr>
          <w:i/>
          <w:iCs/>
          <w:lang w:val="en-US"/>
        </w:rPr>
        <w:t xml:space="preserve">. </w:t>
      </w:r>
      <w:r>
        <w:rPr>
          <w:i/>
          <w:iCs/>
          <w:lang w:val="en-US"/>
        </w:rPr>
        <w:t>v</w:t>
      </w:r>
      <w:r w:rsidRPr="00902359">
        <w:rPr>
          <w:i/>
          <w:iCs/>
          <w:lang w:val="en-US"/>
        </w:rPr>
        <w:t xml:space="preserve">an de </w:t>
      </w:r>
      <w:proofErr w:type="spellStart"/>
      <w:r>
        <w:rPr>
          <w:i/>
          <w:iCs/>
          <w:lang w:val="en-US"/>
        </w:rPr>
        <w:t>V</w:t>
      </w:r>
      <w:r w:rsidRPr="00902359">
        <w:rPr>
          <w:i/>
          <w:iCs/>
          <w:lang w:val="en-US"/>
        </w:rPr>
        <w:t>ort</w:t>
      </w:r>
      <w:proofErr w:type="spellEnd"/>
      <w:r w:rsidRPr="00902359">
        <w:rPr>
          <w:i/>
          <w:iCs/>
          <w:lang w:val="en-US"/>
        </w:rPr>
        <w:t xml:space="preserve"> </w:t>
      </w:r>
      <w:r>
        <w:rPr>
          <w:i/>
          <w:iCs/>
          <w:lang w:val="en-US"/>
        </w:rPr>
        <w:t>E</w:t>
      </w:r>
      <w:r w:rsidRPr="00902359">
        <w:rPr>
          <w:i/>
          <w:iCs/>
          <w:lang w:val="en-US"/>
        </w:rPr>
        <w:t xml:space="preserve">mery on </w:t>
      </w:r>
      <w:r>
        <w:rPr>
          <w:i/>
          <w:iCs/>
          <w:lang w:val="en-US"/>
        </w:rPr>
        <w:t>A</w:t>
      </w:r>
      <w:r w:rsidRPr="00902359">
        <w:rPr>
          <w:i/>
          <w:iCs/>
          <w:lang w:val="en-US"/>
        </w:rPr>
        <w:t>merican democracy, 1862-1895</w:t>
      </w:r>
      <w:r w:rsidRPr="00902359">
        <w:rPr>
          <w:lang w:val="en-US"/>
        </w:rPr>
        <w:t xml:space="preserve"> (Bowling Green, Ohio, 1982).</w:t>
      </w:r>
    </w:p>
    <w:p w14:paraId="50C5CC74" w14:textId="48FCDD94" w:rsidR="00EA2D0A" w:rsidRPr="00EA2D0A" w:rsidRDefault="00EA2D0A" w:rsidP="00EA2D0A">
      <w:pPr>
        <w:spacing w:line="480" w:lineRule="auto"/>
        <w:ind w:hanging="720"/>
      </w:pPr>
      <w:proofErr w:type="spellStart"/>
      <w:r w:rsidRPr="00EA2D0A">
        <w:t>Alabrese</w:t>
      </w:r>
      <w:proofErr w:type="spellEnd"/>
      <w:r w:rsidRPr="00EA2D0A">
        <w:t>, E., Becker, S. O., Fetzer, T. and Novy, D.</w:t>
      </w:r>
      <w:r w:rsidR="000C3A60">
        <w:t>,</w:t>
      </w:r>
      <w:r w:rsidRPr="00EA2D0A">
        <w:t xml:space="preserve"> 'Who voted for </w:t>
      </w:r>
      <w:r w:rsidR="00797C11" w:rsidRPr="00EA2D0A">
        <w:t>Brexit</w:t>
      </w:r>
      <w:r w:rsidRPr="00EA2D0A">
        <w:t xml:space="preserve">? Individual and regional data combined', </w:t>
      </w:r>
      <w:r w:rsidRPr="00EA2D0A">
        <w:rPr>
          <w:i/>
          <w:iCs/>
        </w:rPr>
        <w:t>European Journal of Political Economy</w:t>
      </w:r>
      <w:r w:rsidR="00720C42">
        <w:rPr>
          <w:i/>
          <w:iCs/>
        </w:rPr>
        <w:t>,</w:t>
      </w:r>
      <w:r w:rsidRPr="00EA2D0A">
        <w:t xml:space="preserve"> 56 (2019), pp. 132-150.</w:t>
      </w:r>
    </w:p>
    <w:p w14:paraId="3929901B" w14:textId="55454947" w:rsidR="00B75FA6" w:rsidRDefault="00B75FA6" w:rsidP="00B75FA6">
      <w:pPr>
        <w:spacing w:line="480" w:lineRule="auto"/>
        <w:ind w:hanging="720"/>
      </w:pPr>
      <w:r w:rsidRPr="00B75FA6">
        <w:t xml:space="preserve">Ali, O. H., </w:t>
      </w:r>
      <w:r w:rsidRPr="00B75FA6">
        <w:rPr>
          <w:i/>
          <w:iCs/>
        </w:rPr>
        <w:t>In the lion's mouth: Black populism in the new south, 1886-1900</w:t>
      </w:r>
      <w:r>
        <w:rPr>
          <w:i/>
          <w:iCs/>
        </w:rPr>
        <w:t xml:space="preserve"> </w:t>
      </w:r>
      <w:r w:rsidRPr="00B75FA6">
        <w:t>(Jackson, 2010).</w:t>
      </w:r>
    </w:p>
    <w:p w14:paraId="5E190FAB" w14:textId="53922C4B" w:rsidR="00D631A1" w:rsidRDefault="00D631A1" w:rsidP="00D631A1">
      <w:pPr>
        <w:spacing w:line="480" w:lineRule="auto"/>
        <w:ind w:hanging="720"/>
      </w:pPr>
      <w:r w:rsidRPr="00D631A1">
        <w:t xml:space="preserve">Almond, G. A. and Verba, S., </w:t>
      </w:r>
      <w:r w:rsidRPr="00D631A1">
        <w:rPr>
          <w:i/>
          <w:iCs/>
        </w:rPr>
        <w:t>The civic culture: Political attitudes and democracy in five nations</w:t>
      </w:r>
      <w:r w:rsidRPr="00D631A1">
        <w:t xml:space="preserve"> (Princeton, 1963).</w:t>
      </w:r>
    </w:p>
    <w:p w14:paraId="244B52BD" w14:textId="0BCDAA30" w:rsidR="00816BA2" w:rsidRPr="0055314F" w:rsidRDefault="00816BA2" w:rsidP="00816BA2">
      <w:pPr>
        <w:spacing w:line="480" w:lineRule="auto"/>
        <w:ind w:hanging="720"/>
      </w:pPr>
      <w:proofErr w:type="spellStart"/>
      <w:r w:rsidRPr="00816BA2">
        <w:t>Alsan</w:t>
      </w:r>
      <w:proofErr w:type="spellEnd"/>
      <w:r w:rsidRPr="00816BA2">
        <w:t>, M., Eriksson, K. and Niemesh, G.</w:t>
      </w:r>
      <w:r>
        <w:t>,</w:t>
      </w:r>
      <w:r w:rsidRPr="00816BA2">
        <w:t xml:space="preserve"> 'Understanding the success of the know-nothing party', </w:t>
      </w:r>
      <w:r w:rsidRPr="00816BA2">
        <w:rPr>
          <w:i/>
          <w:iCs/>
        </w:rPr>
        <w:t>National Bureau of Economic Research Working Paper Series</w:t>
      </w:r>
      <w:r w:rsidRPr="00816BA2">
        <w:t xml:space="preserve"> No. 28078 (2020).</w:t>
      </w:r>
    </w:p>
    <w:p w14:paraId="14D62F43" w14:textId="4B4FEDDB" w:rsidR="00EA2D0A" w:rsidRPr="00EA2D0A" w:rsidRDefault="00EA2D0A" w:rsidP="00EA2D0A">
      <w:pPr>
        <w:spacing w:line="480" w:lineRule="auto"/>
        <w:ind w:hanging="720"/>
      </w:pPr>
      <w:r w:rsidRPr="00EA2D0A">
        <w:t>Amenta, E., Dunleavy, K. and Bernstein, M.</w:t>
      </w:r>
      <w:r w:rsidR="000C3A60">
        <w:t>,</w:t>
      </w:r>
      <w:r w:rsidRPr="00EA2D0A">
        <w:t xml:space="preserve"> 'Stolen thunder? Huey </w:t>
      </w:r>
      <w:r>
        <w:t>L</w:t>
      </w:r>
      <w:r w:rsidRPr="00EA2D0A">
        <w:t xml:space="preserve">ong's "share our wealth," political mediation, and the second new deal', </w:t>
      </w:r>
      <w:r w:rsidRPr="00EA2D0A">
        <w:rPr>
          <w:i/>
          <w:iCs/>
        </w:rPr>
        <w:t>American Sociological Review</w:t>
      </w:r>
      <w:r w:rsidR="00720C42">
        <w:rPr>
          <w:i/>
          <w:iCs/>
        </w:rPr>
        <w:t>,</w:t>
      </w:r>
      <w:r w:rsidRPr="00EA2D0A">
        <w:t xml:space="preserve"> 59 (1994), pp. 678-702.</w:t>
      </w:r>
    </w:p>
    <w:p w14:paraId="3CD9BFFB" w14:textId="23725A58" w:rsidR="00571D00" w:rsidRDefault="00571D00" w:rsidP="004270CC">
      <w:pPr>
        <w:spacing w:line="480" w:lineRule="auto"/>
        <w:ind w:hanging="720"/>
      </w:pPr>
      <w:r w:rsidRPr="0003596E">
        <w:t xml:space="preserve">Andrews, E. B., </w:t>
      </w:r>
      <w:r w:rsidR="006A0624">
        <w:t>‘</w:t>
      </w:r>
      <w:r w:rsidRPr="000C3A60">
        <w:t>The Case for Bimetallism</w:t>
      </w:r>
      <w:r w:rsidR="006A0624">
        <w:t>’</w:t>
      </w:r>
      <w:r w:rsidRPr="000C3A60">
        <w:t xml:space="preserve">, </w:t>
      </w:r>
      <w:r w:rsidRPr="0003596E">
        <w:rPr>
          <w:i/>
          <w:iCs/>
        </w:rPr>
        <w:t>Rhodes' Journal of Banking: A Practical Banker's Magazine</w:t>
      </w:r>
      <w:r w:rsidRPr="000C3A60">
        <w:t xml:space="preserve">, 21 </w:t>
      </w:r>
      <w:r w:rsidR="00E13605" w:rsidRPr="000C3A60">
        <w:t xml:space="preserve">(1894), </w:t>
      </w:r>
      <w:r w:rsidRPr="000C3A60">
        <w:t>pp.425-436.</w:t>
      </w:r>
    </w:p>
    <w:p w14:paraId="69955185" w14:textId="5464BCAE" w:rsidR="00AD5816" w:rsidRDefault="00AD5816" w:rsidP="00AD5816">
      <w:pPr>
        <w:spacing w:line="480" w:lineRule="auto"/>
        <w:ind w:hanging="720"/>
      </w:pPr>
      <w:r w:rsidRPr="00AD5816">
        <w:t>Autor, D. H., Dorn, D. and Hanson, G. H.</w:t>
      </w:r>
      <w:r w:rsidR="000C3A60">
        <w:t>,</w:t>
      </w:r>
      <w:r w:rsidRPr="00AD5816">
        <w:t xml:space="preserve"> 'The </w:t>
      </w:r>
      <w:r>
        <w:t>C</w:t>
      </w:r>
      <w:r w:rsidRPr="00AD5816">
        <w:t xml:space="preserve">hina syndrome: Local </w:t>
      </w:r>
      <w:proofErr w:type="spellStart"/>
      <w:r w:rsidRPr="00AD5816">
        <w:t>labor</w:t>
      </w:r>
      <w:proofErr w:type="spellEnd"/>
      <w:r w:rsidRPr="00AD5816">
        <w:t xml:space="preserve"> market effects of import competition in the </w:t>
      </w:r>
      <w:r>
        <w:t>U</w:t>
      </w:r>
      <w:r w:rsidRPr="00AD5816">
        <w:t xml:space="preserve">nited </w:t>
      </w:r>
      <w:r>
        <w:t>S</w:t>
      </w:r>
      <w:r w:rsidRPr="00AD5816">
        <w:t xml:space="preserve">tates', </w:t>
      </w:r>
      <w:r w:rsidRPr="00AD5816">
        <w:rPr>
          <w:i/>
          <w:iCs/>
        </w:rPr>
        <w:t>American Economic Review</w:t>
      </w:r>
      <w:r w:rsidR="00720C42">
        <w:rPr>
          <w:i/>
          <w:iCs/>
        </w:rPr>
        <w:t>,</w:t>
      </w:r>
      <w:r w:rsidRPr="00AD5816">
        <w:t xml:space="preserve"> 103 (2013), pp. 2121-2168.</w:t>
      </w:r>
    </w:p>
    <w:p w14:paraId="60F6A822" w14:textId="37A73C0C" w:rsidR="00D002BA" w:rsidRPr="0055314F" w:rsidRDefault="00D002BA" w:rsidP="00D002BA">
      <w:pPr>
        <w:spacing w:line="480" w:lineRule="auto"/>
        <w:ind w:hanging="720"/>
      </w:pPr>
      <w:r w:rsidRPr="00D002BA">
        <w:t>Bairoch, P.</w:t>
      </w:r>
      <w:r w:rsidR="000C3A60">
        <w:t>,</w:t>
      </w:r>
      <w:r w:rsidRPr="00D002BA">
        <w:t xml:space="preserve"> 'European trade policy, 1815–1914', in P. Mathias and S. Pollard eds., </w:t>
      </w:r>
      <w:r w:rsidRPr="00D002BA">
        <w:rPr>
          <w:i/>
          <w:iCs/>
        </w:rPr>
        <w:t xml:space="preserve">The Cambridge economic history of Europe from the decline of the </w:t>
      </w:r>
      <w:r>
        <w:rPr>
          <w:i/>
          <w:iCs/>
        </w:rPr>
        <w:t>R</w:t>
      </w:r>
      <w:r w:rsidRPr="00D002BA">
        <w:rPr>
          <w:i/>
          <w:iCs/>
        </w:rPr>
        <w:t xml:space="preserve">oman </w:t>
      </w:r>
      <w:r>
        <w:rPr>
          <w:i/>
          <w:iCs/>
        </w:rPr>
        <w:t>E</w:t>
      </w:r>
      <w:r w:rsidRPr="00D002BA">
        <w:rPr>
          <w:i/>
          <w:iCs/>
        </w:rPr>
        <w:t>mpire</w:t>
      </w:r>
      <w:r w:rsidRPr="00D002BA">
        <w:t xml:space="preserve"> (Cambridge, 1989), pp. 1-160.</w:t>
      </w:r>
    </w:p>
    <w:p w14:paraId="597164C0" w14:textId="432BB6C1" w:rsidR="0038635F" w:rsidRDefault="0038635F" w:rsidP="0038635F">
      <w:pPr>
        <w:spacing w:line="480" w:lineRule="auto"/>
        <w:ind w:hanging="720"/>
      </w:pPr>
      <w:r w:rsidRPr="00334B10">
        <w:t>Barkin, K.</w:t>
      </w:r>
      <w:r w:rsidR="000C3A60">
        <w:t>,</w:t>
      </w:r>
      <w:r w:rsidRPr="00334B10">
        <w:t xml:space="preserve"> 'Adolf </w:t>
      </w:r>
      <w:r>
        <w:t>W</w:t>
      </w:r>
      <w:r w:rsidRPr="00334B10">
        <w:t xml:space="preserve">agner and German industrial development', </w:t>
      </w:r>
      <w:r w:rsidRPr="00334B10">
        <w:rPr>
          <w:i/>
          <w:iCs/>
        </w:rPr>
        <w:t>The Journal of Modern History</w:t>
      </w:r>
      <w:r w:rsidR="00720C42">
        <w:rPr>
          <w:i/>
          <w:iCs/>
        </w:rPr>
        <w:t>,</w:t>
      </w:r>
      <w:r w:rsidRPr="00334B10">
        <w:t xml:space="preserve"> 41</w:t>
      </w:r>
      <w:r>
        <w:t xml:space="preserve"> </w:t>
      </w:r>
      <w:r w:rsidRPr="00334B10">
        <w:t>(1969), pp. 144-159.</w:t>
      </w:r>
    </w:p>
    <w:p w14:paraId="7F0ED483" w14:textId="1C11E56B" w:rsidR="008B1EDB" w:rsidRDefault="008B1EDB" w:rsidP="005210AC">
      <w:pPr>
        <w:spacing w:line="480" w:lineRule="auto"/>
        <w:ind w:hanging="720"/>
        <w:rPr>
          <w:lang w:val="en-US"/>
        </w:rPr>
      </w:pPr>
      <w:r w:rsidRPr="008B1EDB">
        <w:rPr>
          <w:lang w:val="en-US"/>
        </w:rPr>
        <w:lastRenderedPageBreak/>
        <w:t xml:space="preserve">Barnett, W. A. 'An interview with </w:t>
      </w:r>
      <w:r>
        <w:rPr>
          <w:lang w:val="en-US"/>
        </w:rPr>
        <w:t>P</w:t>
      </w:r>
      <w:r w:rsidRPr="008B1EDB">
        <w:rPr>
          <w:lang w:val="en-US"/>
        </w:rPr>
        <w:t xml:space="preserve">aul </w:t>
      </w:r>
      <w:r>
        <w:rPr>
          <w:lang w:val="en-US"/>
        </w:rPr>
        <w:t>A</w:t>
      </w:r>
      <w:r w:rsidRPr="008B1EDB">
        <w:rPr>
          <w:lang w:val="en-US"/>
        </w:rPr>
        <w:t xml:space="preserve">. Samuelson', </w:t>
      </w:r>
      <w:r w:rsidRPr="008B1EDB">
        <w:rPr>
          <w:i/>
          <w:iCs/>
          <w:lang w:val="en-US"/>
        </w:rPr>
        <w:t>Macroeconomic Dynamics</w:t>
      </w:r>
      <w:r w:rsidRPr="008B1EDB">
        <w:rPr>
          <w:lang w:val="en-US"/>
        </w:rPr>
        <w:t xml:space="preserve"> 8 (2004), pp. 519-542.</w:t>
      </w:r>
    </w:p>
    <w:p w14:paraId="759AF92F" w14:textId="3155E36D" w:rsidR="005956C2" w:rsidRDefault="005956C2" w:rsidP="005956C2">
      <w:pPr>
        <w:spacing w:line="480" w:lineRule="auto"/>
        <w:ind w:hanging="720"/>
        <w:rPr>
          <w:lang w:val="en-US"/>
        </w:rPr>
      </w:pPr>
      <w:r w:rsidRPr="005956C2">
        <w:rPr>
          <w:lang w:val="en-US"/>
        </w:rPr>
        <w:t xml:space="preserve">Berg-Schlosser, D. and Mitchell, J., eds., </w:t>
      </w:r>
      <w:r w:rsidRPr="005956C2">
        <w:rPr>
          <w:i/>
          <w:iCs/>
          <w:lang w:val="en-US"/>
        </w:rPr>
        <w:t xml:space="preserve">Authoritarianism and democracy in </w:t>
      </w:r>
      <w:r>
        <w:rPr>
          <w:i/>
          <w:iCs/>
          <w:lang w:val="en-US"/>
        </w:rPr>
        <w:t>E</w:t>
      </w:r>
      <w:r w:rsidRPr="005956C2">
        <w:rPr>
          <w:i/>
          <w:iCs/>
          <w:lang w:val="en-US"/>
        </w:rPr>
        <w:t>urope, 1919-39 : Comparative analyses</w:t>
      </w:r>
      <w:r w:rsidRPr="005956C2">
        <w:rPr>
          <w:lang w:val="en-US"/>
        </w:rPr>
        <w:t xml:space="preserve"> (Basingstoke, 2002).</w:t>
      </w:r>
    </w:p>
    <w:p w14:paraId="12D9C36B" w14:textId="44E85A39" w:rsidR="003F0EFA" w:rsidRPr="008B1EDB" w:rsidRDefault="003F0EFA" w:rsidP="005956C2">
      <w:pPr>
        <w:spacing w:line="480" w:lineRule="auto"/>
        <w:ind w:hanging="720"/>
        <w:rPr>
          <w:lang w:val="en-US"/>
        </w:rPr>
      </w:pPr>
      <w:r w:rsidRPr="003F0EFA">
        <w:t>Berman S.</w:t>
      </w:r>
      <w:r>
        <w:t>,</w:t>
      </w:r>
      <w:r w:rsidRPr="003F0EFA">
        <w:t xml:space="preserve"> </w:t>
      </w:r>
      <w:r w:rsidRPr="003F0EFA">
        <w:rPr>
          <w:i/>
          <w:iCs/>
        </w:rPr>
        <w:t>The primacy of politics: Social democracy and the making of Europe's twentieth century</w:t>
      </w:r>
      <w:r w:rsidRPr="003F0EFA">
        <w:t xml:space="preserve"> </w:t>
      </w:r>
      <w:r>
        <w:t>(</w:t>
      </w:r>
      <w:r w:rsidRPr="003F0EFA">
        <w:t>Cambridge</w:t>
      </w:r>
      <w:r>
        <w:t xml:space="preserve">, </w:t>
      </w:r>
      <w:r w:rsidRPr="003F0EFA">
        <w:t>2006</w:t>
      </w:r>
      <w:r>
        <w:t>).</w:t>
      </w:r>
    </w:p>
    <w:p w14:paraId="386723FC" w14:textId="09F27CB6" w:rsidR="00571D00" w:rsidRDefault="00571D00" w:rsidP="004270CC">
      <w:pPr>
        <w:spacing w:line="480" w:lineRule="auto"/>
        <w:ind w:hanging="720"/>
      </w:pPr>
      <w:r w:rsidRPr="000C3A60">
        <w:t xml:space="preserve">Bernanke, B. and James, H., </w:t>
      </w:r>
      <w:r w:rsidR="0003596E">
        <w:t>‘</w:t>
      </w:r>
      <w:r w:rsidRPr="000C3A60">
        <w:t xml:space="preserve">The </w:t>
      </w:r>
      <w:r w:rsidR="0003596E">
        <w:t>g</w:t>
      </w:r>
      <w:r w:rsidRPr="000C3A60">
        <w:t xml:space="preserve">old </w:t>
      </w:r>
      <w:r w:rsidR="0003596E">
        <w:t>s</w:t>
      </w:r>
      <w:r w:rsidRPr="000C3A60">
        <w:t xml:space="preserve">tandard, </w:t>
      </w:r>
      <w:r w:rsidR="0003596E">
        <w:t>d</w:t>
      </w:r>
      <w:r w:rsidRPr="000C3A60">
        <w:t xml:space="preserve">eflation, and </w:t>
      </w:r>
      <w:r w:rsidR="0003596E">
        <w:t>f</w:t>
      </w:r>
      <w:r w:rsidRPr="000C3A60">
        <w:t xml:space="preserve">inancial </w:t>
      </w:r>
      <w:r w:rsidR="0003596E">
        <w:t>c</w:t>
      </w:r>
      <w:r w:rsidRPr="0003596E">
        <w:t xml:space="preserve">risis in the Great Depression: An </w:t>
      </w:r>
      <w:r w:rsidR="0003596E">
        <w:t>i</w:t>
      </w:r>
      <w:r w:rsidRPr="000C3A60">
        <w:t xml:space="preserve">nternational </w:t>
      </w:r>
      <w:r w:rsidR="0003596E">
        <w:t>c</w:t>
      </w:r>
      <w:r w:rsidRPr="000C3A60">
        <w:t>omparison</w:t>
      </w:r>
      <w:r w:rsidR="0003596E">
        <w:t>’,</w:t>
      </w:r>
      <w:r w:rsidRPr="000C3A60">
        <w:t xml:space="preserve"> in G. Hubbard ed.</w:t>
      </w:r>
      <w:r w:rsidR="0003596E">
        <w:t>,</w:t>
      </w:r>
      <w:r w:rsidRPr="000C3A60">
        <w:t xml:space="preserve"> </w:t>
      </w:r>
      <w:r w:rsidRPr="000C3A60">
        <w:rPr>
          <w:i/>
          <w:iCs/>
        </w:rPr>
        <w:t>Financial Markets and Financial Crises</w:t>
      </w:r>
      <w:r w:rsidRPr="000C3A60">
        <w:t xml:space="preserve"> </w:t>
      </w:r>
      <w:r w:rsidR="00016803" w:rsidRPr="000C3A60">
        <w:t xml:space="preserve">(Chicago, 1991), </w:t>
      </w:r>
      <w:r w:rsidRPr="000C3A60">
        <w:t>pp.33-68.</w:t>
      </w:r>
    </w:p>
    <w:p w14:paraId="1FA2C835" w14:textId="36A708F7" w:rsidR="004270CC" w:rsidRDefault="004270CC" w:rsidP="004270CC">
      <w:pPr>
        <w:spacing w:line="480" w:lineRule="auto"/>
        <w:ind w:hanging="720"/>
      </w:pPr>
      <w:r w:rsidRPr="004270CC">
        <w:t xml:space="preserve">Bernhardt, D., Krasa, S. and </w:t>
      </w:r>
      <w:proofErr w:type="spellStart"/>
      <w:r w:rsidRPr="004270CC">
        <w:t>Shadmehr</w:t>
      </w:r>
      <w:proofErr w:type="spellEnd"/>
      <w:r w:rsidRPr="004270CC">
        <w:t>, M.</w:t>
      </w:r>
      <w:r w:rsidR="000C3A60">
        <w:t>,</w:t>
      </w:r>
      <w:r w:rsidRPr="004270CC">
        <w:t xml:space="preserve"> 'Demagogues and the economic fragility of democracies', </w:t>
      </w:r>
      <w:r w:rsidRPr="004270CC">
        <w:rPr>
          <w:i/>
          <w:iCs/>
        </w:rPr>
        <w:t>American Economic Review</w:t>
      </w:r>
      <w:r w:rsidR="00720C42">
        <w:rPr>
          <w:i/>
          <w:iCs/>
        </w:rPr>
        <w:t>,</w:t>
      </w:r>
      <w:r w:rsidRPr="004270CC">
        <w:t xml:space="preserve"> 112 (2022), pp. 3331-3366.</w:t>
      </w:r>
    </w:p>
    <w:p w14:paraId="5A72E7F9" w14:textId="5E218B7D" w:rsidR="00EF4D54" w:rsidRPr="0055314F" w:rsidRDefault="00EF4D54" w:rsidP="00EF4D54">
      <w:pPr>
        <w:spacing w:line="480" w:lineRule="auto"/>
        <w:ind w:hanging="720"/>
      </w:pPr>
      <w:r w:rsidRPr="00EF4D54">
        <w:t xml:space="preserve">Betz, H.-G. 'A distant mirror: Nineteenth-century populism, nativism, and contemporary right-wing radical politics', </w:t>
      </w:r>
      <w:r w:rsidRPr="00EF4D54">
        <w:rPr>
          <w:i/>
          <w:iCs/>
        </w:rPr>
        <w:t>Democracy and Security</w:t>
      </w:r>
      <w:r w:rsidRPr="00EF4D54">
        <w:t xml:space="preserve"> 9 (2013), pp. 200-220.</w:t>
      </w:r>
    </w:p>
    <w:p w14:paraId="02EC647E" w14:textId="410FC412" w:rsidR="004270CC" w:rsidRDefault="004270CC" w:rsidP="004270CC">
      <w:pPr>
        <w:spacing w:line="480" w:lineRule="auto"/>
        <w:ind w:hanging="720"/>
      </w:pPr>
      <w:r w:rsidRPr="004270CC">
        <w:t>Blum, M. and de Bromhead, A.</w:t>
      </w:r>
      <w:r w:rsidR="000C3A60">
        <w:t>,</w:t>
      </w:r>
      <w:r w:rsidRPr="004270CC">
        <w:t xml:space="preserve"> 'Rise and fall in the </w:t>
      </w:r>
      <w:r>
        <w:t>T</w:t>
      </w:r>
      <w:r w:rsidRPr="004270CC">
        <w:t xml:space="preserve">hird </w:t>
      </w:r>
      <w:r>
        <w:t>R</w:t>
      </w:r>
      <w:r w:rsidRPr="004270CC">
        <w:t xml:space="preserve">eich: Social advancement and Nazi membership', </w:t>
      </w:r>
      <w:r w:rsidRPr="004270CC">
        <w:rPr>
          <w:i/>
          <w:iCs/>
        </w:rPr>
        <w:t>European Economic Review</w:t>
      </w:r>
      <w:r w:rsidR="00720C42">
        <w:rPr>
          <w:i/>
          <w:iCs/>
        </w:rPr>
        <w:t>,</w:t>
      </w:r>
      <w:r w:rsidRPr="004270CC">
        <w:t xml:space="preserve"> 120 (2019), p</w:t>
      </w:r>
      <w:r w:rsidR="00016803">
        <w:t>p</w:t>
      </w:r>
      <w:r w:rsidRPr="004270CC">
        <w:t xml:space="preserve">. </w:t>
      </w:r>
      <w:r w:rsidR="00016803" w:rsidRPr="004270CC">
        <w:t>1</w:t>
      </w:r>
      <w:r w:rsidR="00016803">
        <w:t>-40</w:t>
      </w:r>
      <w:r w:rsidRPr="004270CC">
        <w:t>.</w:t>
      </w:r>
    </w:p>
    <w:p w14:paraId="2A419B2F" w14:textId="14E1C64D" w:rsidR="00C62997" w:rsidRPr="004270CC" w:rsidRDefault="00C62997" w:rsidP="00C62997">
      <w:pPr>
        <w:spacing w:line="480" w:lineRule="auto"/>
        <w:ind w:hanging="720"/>
      </w:pPr>
      <w:r w:rsidRPr="00C62997">
        <w:t>Borchardt, K.</w:t>
      </w:r>
      <w:r w:rsidR="000C3A60">
        <w:t>,</w:t>
      </w:r>
      <w:r w:rsidRPr="00C62997">
        <w:t xml:space="preserve"> 'Could and should Germany have followed </w:t>
      </w:r>
      <w:r>
        <w:t>G</w:t>
      </w:r>
      <w:r w:rsidRPr="00C62997">
        <w:t xml:space="preserve">reat Britain in leaving the gold standard?', </w:t>
      </w:r>
      <w:r w:rsidRPr="00C62997">
        <w:rPr>
          <w:i/>
          <w:iCs/>
        </w:rPr>
        <w:t>Journal of European Economic History</w:t>
      </w:r>
      <w:r w:rsidR="00720C42">
        <w:rPr>
          <w:i/>
          <w:iCs/>
        </w:rPr>
        <w:t>,</w:t>
      </w:r>
      <w:r w:rsidRPr="00C62997">
        <w:t xml:space="preserve"> 13 (1984), pp. 471-497.</w:t>
      </w:r>
    </w:p>
    <w:p w14:paraId="6B35761A" w14:textId="1D12E9B2" w:rsidR="00CF60A1" w:rsidRPr="00CF60A1" w:rsidRDefault="00CF60A1" w:rsidP="00CF60A1">
      <w:pPr>
        <w:spacing w:line="480" w:lineRule="auto"/>
        <w:ind w:hanging="720"/>
      </w:pPr>
      <w:r w:rsidRPr="00CF60A1">
        <w:t xml:space="preserve">Brinkley, A., </w:t>
      </w:r>
      <w:r w:rsidRPr="00CF60A1">
        <w:rPr>
          <w:i/>
          <w:iCs/>
        </w:rPr>
        <w:t xml:space="preserve">Voices of protest: Huey </w:t>
      </w:r>
      <w:r>
        <w:rPr>
          <w:i/>
          <w:iCs/>
        </w:rPr>
        <w:t>L</w:t>
      </w:r>
      <w:r w:rsidRPr="00CF60A1">
        <w:rPr>
          <w:i/>
          <w:iCs/>
        </w:rPr>
        <w:t xml:space="preserve">ong, </w:t>
      </w:r>
      <w:r>
        <w:rPr>
          <w:i/>
          <w:iCs/>
        </w:rPr>
        <w:t>F</w:t>
      </w:r>
      <w:r w:rsidRPr="00CF60A1">
        <w:rPr>
          <w:i/>
          <w:iCs/>
        </w:rPr>
        <w:t>ather Coughlin, and the great depression</w:t>
      </w:r>
      <w:r w:rsidRPr="00CF60A1">
        <w:t xml:space="preserve"> (New York, </w:t>
      </w:r>
      <w:r w:rsidR="00A9624F">
        <w:t>2011</w:t>
      </w:r>
      <w:r w:rsidRPr="00CF60A1">
        <w:t>).</w:t>
      </w:r>
    </w:p>
    <w:p w14:paraId="0E00F018" w14:textId="2A6BA0E2" w:rsidR="00D631A1" w:rsidRDefault="00D631A1" w:rsidP="00D631A1">
      <w:pPr>
        <w:spacing w:line="480" w:lineRule="auto"/>
        <w:ind w:hanging="720"/>
      </w:pPr>
      <w:r w:rsidRPr="00D631A1">
        <w:t xml:space="preserve">Brown, D. S., </w:t>
      </w:r>
      <w:r w:rsidRPr="00D631A1">
        <w:rPr>
          <w:i/>
          <w:iCs/>
        </w:rPr>
        <w:t>Richard Hofstadter: An intellectual biography</w:t>
      </w:r>
      <w:r w:rsidRPr="00D631A1">
        <w:t xml:space="preserve"> (Chicago, 2006).</w:t>
      </w:r>
    </w:p>
    <w:p w14:paraId="36FA7A56" w14:textId="348130B2" w:rsidR="00B75FA6" w:rsidRDefault="00B75FA6" w:rsidP="00B75FA6">
      <w:pPr>
        <w:spacing w:line="480" w:lineRule="auto"/>
        <w:ind w:hanging="720"/>
      </w:pPr>
      <w:r w:rsidRPr="00B75FA6">
        <w:t>Clarke, P.</w:t>
      </w:r>
      <w:r w:rsidR="000C3A60">
        <w:t>,</w:t>
      </w:r>
      <w:r w:rsidRPr="00B75FA6">
        <w:t xml:space="preserve"> 'Margaret </w:t>
      </w:r>
      <w:r>
        <w:t>T</w:t>
      </w:r>
      <w:r w:rsidRPr="00B75FA6">
        <w:t xml:space="preserve">hatcher's leadership in historical perspective', </w:t>
      </w:r>
      <w:r w:rsidRPr="00B75FA6">
        <w:rPr>
          <w:i/>
          <w:iCs/>
        </w:rPr>
        <w:t>Parliamentary Affairs</w:t>
      </w:r>
      <w:r w:rsidR="00720C42">
        <w:rPr>
          <w:i/>
          <w:iCs/>
        </w:rPr>
        <w:t>,</w:t>
      </w:r>
      <w:r w:rsidRPr="00B75FA6">
        <w:t xml:space="preserve"> 45 (1992), pp. 1-17.</w:t>
      </w:r>
    </w:p>
    <w:p w14:paraId="1EFE29FA" w14:textId="2AAF0DAF" w:rsidR="00CF60A1" w:rsidRDefault="00CF60A1" w:rsidP="00CF60A1">
      <w:pPr>
        <w:spacing w:line="480" w:lineRule="auto"/>
        <w:ind w:hanging="720"/>
      </w:pPr>
      <w:r w:rsidRPr="00CF60A1">
        <w:t>Clemens, M. A. and Williamson, J. G.</w:t>
      </w:r>
      <w:r w:rsidR="000C3A60">
        <w:t>,</w:t>
      </w:r>
      <w:r w:rsidRPr="00CF60A1">
        <w:t xml:space="preserve"> 'Why did the tariff–growth correlation change after 1950?', </w:t>
      </w:r>
      <w:r w:rsidRPr="00CF60A1">
        <w:rPr>
          <w:i/>
          <w:iCs/>
        </w:rPr>
        <w:t>Journal of Economic Growth</w:t>
      </w:r>
      <w:r w:rsidR="00720C42">
        <w:rPr>
          <w:i/>
          <w:iCs/>
        </w:rPr>
        <w:t>,</w:t>
      </w:r>
      <w:r w:rsidRPr="00CF60A1">
        <w:t xml:space="preserve"> 9</w:t>
      </w:r>
      <w:r>
        <w:t xml:space="preserve"> </w:t>
      </w:r>
      <w:r w:rsidRPr="00CF60A1">
        <w:t>(2004), pp. 5-46.</w:t>
      </w:r>
    </w:p>
    <w:p w14:paraId="18ACB2DE" w14:textId="3229494A" w:rsidR="00944575" w:rsidRPr="00944575" w:rsidRDefault="00944575" w:rsidP="00282D14">
      <w:pPr>
        <w:spacing w:line="480" w:lineRule="auto"/>
        <w:ind w:hanging="720"/>
        <w:rPr>
          <w:lang w:val="en-US"/>
        </w:rPr>
      </w:pPr>
      <w:r w:rsidRPr="00944575">
        <w:rPr>
          <w:lang w:val="en-US"/>
        </w:rPr>
        <w:lastRenderedPageBreak/>
        <w:t xml:space="preserve">Cohen, A. 'Some socio-political aspects of the </w:t>
      </w:r>
      <w:r>
        <w:rPr>
          <w:lang w:val="en-US"/>
        </w:rPr>
        <w:t>A</w:t>
      </w:r>
      <w:r w:rsidRPr="00944575">
        <w:rPr>
          <w:lang w:val="en-US"/>
        </w:rPr>
        <w:t xml:space="preserve">rrow </w:t>
      </w:r>
      <w:r>
        <w:rPr>
          <w:lang w:val="en-US"/>
        </w:rPr>
        <w:t>C</w:t>
      </w:r>
      <w:r w:rsidRPr="00944575">
        <w:rPr>
          <w:lang w:val="en-US"/>
        </w:rPr>
        <w:t xml:space="preserve">ross party in </w:t>
      </w:r>
      <w:r>
        <w:rPr>
          <w:lang w:val="en-US"/>
        </w:rPr>
        <w:t>H</w:t>
      </w:r>
      <w:r w:rsidRPr="00944575">
        <w:rPr>
          <w:lang w:val="en-US"/>
        </w:rPr>
        <w:t xml:space="preserve">ungary', </w:t>
      </w:r>
      <w:r w:rsidRPr="00944575">
        <w:rPr>
          <w:i/>
          <w:iCs/>
          <w:lang w:val="en-US"/>
        </w:rPr>
        <w:t>East European Quarterly</w:t>
      </w:r>
      <w:r w:rsidRPr="00944575">
        <w:rPr>
          <w:lang w:val="en-US"/>
        </w:rPr>
        <w:t xml:space="preserve"> 21 (1987), p. 369.</w:t>
      </w:r>
    </w:p>
    <w:p w14:paraId="72F58C7F" w14:textId="5F34A848" w:rsidR="00D74A5D" w:rsidRPr="00D74A5D" w:rsidRDefault="00D74A5D" w:rsidP="00D74A5D">
      <w:pPr>
        <w:spacing w:line="480" w:lineRule="auto"/>
        <w:ind w:hanging="720"/>
        <w:rPr>
          <w:lang w:val="en-US"/>
        </w:rPr>
      </w:pPr>
      <w:r w:rsidRPr="00D74A5D">
        <w:rPr>
          <w:lang w:val="en-US"/>
        </w:rPr>
        <w:t xml:space="preserve">de Bromhead, A. 'Women voters and trade protectionism in the interwar years', </w:t>
      </w:r>
      <w:r w:rsidRPr="00D74A5D">
        <w:rPr>
          <w:i/>
          <w:iCs/>
          <w:lang w:val="en-US"/>
        </w:rPr>
        <w:t>Oxford Economic Papers</w:t>
      </w:r>
      <w:r w:rsidRPr="00D74A5D">
        <w:rPr>
          <w:lang w:val="en-US"/>
        </w:rPr>
        <w:t xml:space="preserve"> 70 (2018), pp. 22-46.</w:t>
      </w:r>
    </w:p>
    <w:p w14:paraId="66382BF2" w14:textId="3D618584" w:rsidR="00CF60A1" w:rsidRPr="00CF60A1" w:rsidRDefault="00CF60A1" w:rsidP="00CF60A1">
      <w:pPr>
        <w:spacing w:line="480" w:lineRule="auto"/>
        <w:ind w:hanging="720"/>
      </w:pPr>
      <w:r w:rsidRPr="00CF60A1">
        <w:t xml:space="preserve">de Bromhead, A., </w:t>
      </w:r>
      <w:proofErr w:type="spellStart"/>
      <w:r w:rsidRPr="00CF60A1">
        <w:t>Eichengreen</w:t>
      </w:r>
      <w:proofErr w:type="spellEnd"/>
      <w:r w:rsidRPr="00CF60A1">
        <w:t>, B. and O'Rourke, K. H.</w:t>
      </w:r>
      <w:r w:rsidR="000C3A60">
        <w:t>,</w:t>
      </w:r>
      <w:r w:rsidRPr="00CF60A1">
        <w:t xml:space="preserve"> 'Political extremism in the 1920s and 1930s: Do </w:t>
      </w:r>
      <w:r>
        <w:t>G</w:t>
      </w:r>
      <w:r w:rsidRPr="00CF60A1">
        <w:t xml:space="preserve">erman lessons generalize?', </w:t>
      </w:r>
      <w:r w:rsidRPr="00CF60A1">
        <w:rPr>
          <w:i/>
          <w:iCs/>
        </w:rPr>
        <w:t>The Journal of Economic History</w:t>
      </w:r>
      <w:r w:rsidR="00720C42">
        <w:rPr>
          <w:i/>
          <w:iCs/>
        </w:rPr>
        <w:t>,</w:t>
      </w:r>
      <w:r w:rsidRPr="00CF60A1">
        <w:t xml:space="preserve"> 73 (2013), pp. 371-406.</w:t>
      </w:r>
    </w:p>
    <w:p w14:paraId="0F4EE5C5" w14:textId="77777777" w:rsidR="000C65F5" w:rsidRPr="0055314F" w:rsidRDefault="000C65F5" w:rsidP="000C65F5">
      <w:pPr>
        <w:spacing w:line="480" w:lineRule="auto"/>
        <w:ind w:hanging="720"/>
      </w:pPr>
      <w:r w:rsidRPr="003B25F0">
        <w:t xml:space="preserve">de Cleen, B. 'Populism and nationalism', in C. Rovira Kaltwasser, P. Taggart, P. Ochoa Espejo and P. Ostiguy eds., </w:t>
      </w:r>
      <w:r w:rsidRPr="003B25F0">
        <w:rPr>
          <w:i/>
          <w:iCs/>
        </w:rPr>
        <w:t>The Oxford Handbook of Populism</w:t>
      </w:r>
      <w:r w:rsidRPr="003B25F0">
        <w:t>, (Oxford, 2017), pp. 342–362.</w:t>
      </w:r>
    </w:p>
    <w:p w14:paraId="48793062" w14:textId="361EF06A" w:rsidR="00CF60A1" w:rsidRPr="00CF60A1" w:rsidRDefault="00CF60A1" w:rsidP="00CF60A1">
      <w:pPr>
        <w:spacing w:line="480" w:lineRule="auto"/>
        <w:ind w:hanging="720"/>
      </w:pPr>
      <w:r w:rsidRPr="00CF60A1">
        <w:t>Dornbusch, R. and Edwards, S.</w:t>
      </w:r>
      <w:r w:rsidR="000C3A60">
        <w:t>,</w:t>
      </w:r>
      <w:r w:rsidRPr="00CF60A1">
        <w:t xml:space="preserve"> 'Macroeconomic populism', </w:t>
      </w:r>
      <w:r w:rsidRPr="00CF60A1">
        <w:rPr>
          <w:i/>
          <w:iCs/>
        </w:rPr>
        <w:t>Journal of Development Economics</w:t>
      </w:r>
      <w:r w:rsidR="00720C42">
        <w:rPr>
          <w:i/>
          <w:iCs/>
        </w:rPr>
        <w:t>,</w:t>
      </w:r>
      <w:r w:rsidRPr="00CF60A1">
        <w:t xml:space="preserve"> 32</w:t>
      </w:r>
      <w:r>
        <w:t xml:space="preserve"> </w:t>
      </w:r>
      <w:r w:rsidRPr="00CF60A1">
        <w:t>(1990), pp. 247-277.</w:t>
      </w:r>
    </w:p>
    <w:p w14:paraId="029EC178" w14:textId="5BF9EDEB" w:rsidR="00571D00" w:rsidRPr="0055314F" w:rsidRDefault="00571D00" w:rsidP="004270CC">
      <w:pPr>
        <w:spacing w:line="480" w:lineRule="auto"/>
        <w:ind w:hanging="720"/>
      </w:pPr>
      <w:r w:rsidRPr="000C3A60">
        <w:t xml:space="preserve">Dornbusch, R. and Edwards, S., </w:t>
      </w:r>
      <w:r w:rsidR="00BA1484">
        <w:t>‘</w:t>
      </w:r>
      <w:r w:rsidRPr="000C3A60">
        <w:t>The macroeconomics of populism</w:t>
      </w:r>
      <w:r w:rsidR="00BA1484">
        <w:t>’, in R. Dornbusch and S. Edwards eds.,</w:t>
      </w:r>
      <w:r w:rsidRPr="000C3A60">
        <w:t> </w:t>
      </w:r>
      <w:r w:rsidRPr="000C3A60">
        <w:rPr>
          <w:i/>
          <w:iCs/>
        </w:rPr>
        <w:t>The macroeconomics of populism in Latin America</w:t>
      </w:r>
      <w:r w:rsidRPr="000C3A60">
        <w:t xml:space="preserve"> </w:t>
      </w:r>
      <w:r w:rsidR="00C8350E" w:rsidRPr="000C3A60">
        <w:t xml:space="preserve">(Chicago, 1991), </w:t>
      </w:r>
      <w:r w:rsidRPr="000C3A60">
        <w:t>pp.7-13.</w:t>
      </w:r>
    </w:p>
    <w:p w14:paraId="208BE0AF" w14:textId="5F3C5E6C" w:rsidR="00037DB9" w:rsidRDefault="00037DB9" w:rsidP="006F5B36">
      <w:pPr>
        <w:spacing w:line="480" w:lineRule="auto"/>
        <w:ind w:hanging="720"/>
      </w:pPr>
      <w:r w:rsidRPr="00037DB9">
        <w:t xml:space="preserve">Eatwell, R. 'Populism and fascism', in C. Rovira Kaltwasser, P. Taggart, P. Ochoa Espejo and P. Ostiguy eds., </w:t>
      </w:r>
      <w:r w:rsidRPr="00037DB9">
        <w:rPr>
          <w:i/>
          <w:iCs/>
        </w:rPr>
        <w:t>The Oxford Handbook of Populism</w:t>
      </w:r>
      <w:r w:rsidRPr="00037DB9">
        <w:t>, (Oxford, 2017), pp. 363–383.</w:t>
      </w:r>
    </w:p>
    <w:p w14:paraId="314F0E5A" w14:textId="436E5881" w:rsidR="00152A6E" w:rsidRPr="006F5B36" w:rsidRDefault="00152A6E" w:rsidP="006F5B36">
      <w:pPr>
        <w:spacing w:line="480" w:lineRule="auto"/>
        <w:ind w:hanging="720"/>
      </w:pPr>
      <w:r>
        <w:t>E</w:t>
      </w:r>
      <w:r w:rsidRPr="00152A6E">
        <w:t>ggertsson</w:t>
      </w:r>
      <w:r>
        <w:t>,</w:t>
      </w:r>
      <w:r w:rsidRPr="00152A6E">
        <w:t xml:space="preserve"> G</w:t>
      </w:r>
      <w:r>
        <w:t>.</w:t>
      </w:r>
      <w:r w:rsidRPr="00152A6E">
        <w:t>B.</w:t>
      </w:r>
      <w:r>
        <w:t>,</w:t>
      </w:r>
      <w:r w:rsidRPr="00152A6E">
        <w:t xml:space="preserve"> </w:t>
      </w:r>
      <w:r>
        <w:t>‘</w:t>
      </w:r>
      <w:r w:rsidRPr="00152A6E">
        <w:t>Was the new deal contractionary?</w:t>
      </w:r>
      <w:r>
        <w:t>’,</w:t>
      </w:r>
      <w:r w:rsidRPr="00152A6E">
        <w:t xml:space="preserve"> </w:t>
      </w:r>
      <w:r w:rsidRPr="00152A6E">
        <w:rPr>
          <w:i/>
          <w:iCs/>
        </w:rPr>
        <w:t>American Economic Review</w:t>
      </w:r>
      <w:r>
        <w:t xml:space="preserve">, </w:t>
      </w:r>
      <w:r w:rsidR="0067127C">
        <w:t xml:space="preserve">102 </w:t>
      </w:r>
      <w:r>
        <w:t>(</w:t>
      </w:r>
      <w:r w:rsidRPr="00152A6E">
        <w:t>2012</w:t>
      </w:r>
      <w:r>
        <w:t>)</w:t>
      </w:r>
      <w:r w:rsidR="0067127C">
        <w:t>,</w:t>
      </w:r>
      <w:r w:rsidRPr="00152A6E">
        <w:t xml:space="preserve"> </w:t>
      </w:r>
      <w:r w:rsidR="0067127C">
        <w:t>pp.</w:t>
      </w:r>
      <w:r w:rsidRPr="00152A6E">
        <w:t>524-55.</w:t>
      </w:r>
    </w:p>
    <w:p w14:paraId="0BA7374C" w14:textId="2FBA8375" w:rsidR="006F5B36" w:rsidRPr="006F5B36" w:rsidRDefault="006F5B36" w:rsidP="006F5B36">
      <w:pPr>
        <w:spacing w:line="480" w:lineRule="auto"/>
        <w:ind w:hanging="720"/>
      </w:pPr>
      <w:proofErr w:type="spellStart"/>
      <w:r w:rsidRPr="006F5B36">
        <w:t>Eichengreen</w:t>
      </w:r>
      <w:proofErr w:type="spellEnd"/>
      <w:r w:rsidRPr="006F5B36">
        <w:t>, B.</w:t>
      </w:r>
      <w:r w:rsidR="000C3A60">
        <w:t>,</w:t>
      </w:r>
      <w:r w:rsidRPr="006F5B36">
        <w:t xml:space="preserve"> 'Historical research on international lending and debt', </w:t>
      </w:r>
      <w:r w:rsidRPr="006F5B36">
        <w:rPr>
          <w:i/>
          <w:iCs/>
        </w:rPr>
        <w:t>Journal of Economic Perspectives</w:t>
      </w:r>
      <w:r w:rsidR="00720C42">
        <w:rPr>
          <w:i/>
          <w:iCs/>
        </w:rPr>
        <w:t>,</w:t>
      </w:r>
      <w:r w:rsidRPr="006F5B36">
        <w:t xml:space="preserve"> 5 (1991), pp. 149-169.</w:t>
      </w:r>
    </w:p>
    <w:p w14:paraId="09987E8F" w14:textId="07F2398D" w:rsidR="00D002BA" w:rsidRPr="00D002BA" w:rsidRDefault="00D002BA" w:rsidP="00D002BA">
      <w:pPr>
        <w:spacing w:line="480" w:lineRule="auto"/>
        <w:ind w:hanging="720"/>
      </w:pPr>
      <w:proofErr w:type="spellStart"/>
      <w:r w:rsidRPr="00D002BA">
        <w:t>Eichengreen</w:t>
      </w:r>
      <w:proofErr w:type="spellEnd"/>
      <w:r w:rsidRPr="00D002BA">
        <w:t xml:space="preserve">, B. J., </w:t>
      </w:r>
      <w:r w:rsidRPr="00D002BA">
        <w:rPr>
          <w:i/>
          <w:iCs/>
        </w:rPr>
        <w:t>Golden fetters: The gold standard and the great depression, 1919-1939</w:t>
      </w:r>
      <w:r w:rsidRPr="00D002BA">
        <w:t xml:space="preserve"> (New York; Oxford, 1992).</w:t>
      </w:r>
    </w:p>
    <w:p w14:paraId="3990DE7C" w14:textId="27E6D785" w:rsidR="006F5B36" w:rsidRPr="006F5B36" w:rsidRDefault="006F5B36" w:rsidP="006F5B36">
      <w:pPr>
        <w:spacing w:line="480" w:lineRule="auto"/>
        <w:ind w:hanging="720"/>
      </w:pPr>
      <w:proofErr w:type="spellStart"/>
      <w:r w:rsidRPr="006F5B36">
        <w:t>Eichengreen</w:t>
      </w:r>
      <w:proofErr w:type="spellEnd"/>
      <w:r w:rsidRPr="006F5B36">
        <w:t xml:space="preserve">, B. J., </w:t>
      </w:r>
      <w:r w:rsidRPr="006F5B36">
        <w:rPr>
          <w:i/>
          <w:iCs/>
        </w:rPr>
        <w:t>The populist temptation: Economic grievance and political reaction in the modern era</w:t>
      </w:r>
      <w:r w:rsidRPr="006F5B36">
        <w:t xml:space="preserve"> (New York, 2018).</w:t>
      </w:r>
    </w:p>
    <w:p w14:paraId="6B4E8F1F" w14:textId="2151F599" w:rsidR="006F5B36" w:rsidRPr="006F5B36" w:rsidRDefault="006F5B36" w:rsidP="006F5B36">
      <w:pPr>
        <w:spacing w:line="480" w:lineRule="auto"/>
        <w:ind w:hanging="720"/>
      </w:pPr>
      <w:proofErr w:type="spellStart"/>
      <w:r w:rsidRPr="006F5B36">
        <w:t>Eichengreen</w:t>
      </w:r>
      <w:proofErr w:type="spellEnd"/>
      <w:r w:rsidRPr="006F5B36">
        <w:t xml:space="preserve">, B., Haines, M., </w:t>
      </w:r>
      <w:proofErr w:type="spellStart"/>
      <w:r w:rsidRPr="006F5B36">
        <w:t>Jaremski</w:t>
      </w:r>
      <w:proofErr w:type="spellEnd"/>
      <w:r w:rsidRPr="006F5B36">
        <w:t>, M. and Leblang, D.</w:t>
      </w:r>
      <w:r w:rsidR="000C3A60">
        <w:t>,</w:t>
      </w:r>
      <w:r w:rsidRPr="006F5B36">
        <w:t xml:space="preserve"> 'Populists at the polls: Economic factors in the </w:t>
      </w:r>
      <w:r>
        <w:t>US</w:t>
      </w:r>
      <w:r w:rsidRPr="006F5B36">
        <w:t xml:space="preserve"> presidential election of 1896', </w:t>
      </w:r>
      <w:r w:rsidRPr="006F5B36">
        <w:rPr>
          <w:i/>
          <w:iCs/>
        </w:rPr>
        <w:t xml:space="preserve">Research in </w:t>
      </w:r>
      <w:r>
        <w:rPr>
          <w:i/>
          <w:iCs/>
        </w:rPr>
        <w:t>E</w:t>
      </w:r>
      <w:r w:rsidRPr="006F5B36">
        <w:rPr>
          <w:i/>
          <w:iCs/>
        </w:rPr>
        <w:t xml:space="preserve">conomic </w:t>
      </w:r>
      <w:r>
        <w:rPr>
          <w:i/>
          <w:iCs/>
        </w:rPr>
        <w:t>H</w:t>
      </w:r>
      <w:r w:rsidRPr="006F5B36">
        <w:rPr>
          <w:i/>
          <w:iCs/>
        </w:rPr>
        <w:t>istory</w:t>
      </w:r>
      <w:r w:rsidR="00720C42">
        <w:rPr>
          <w:i/>
          <w:iCs/>
        </w:rPr>
        <w:t>,</w:t>
      </w:r>
      <w:r w:rsidRPr="006F5B36">
        <w:t xml:space="preserve"> </w:t>
      </w:r>
      <w:r>
        <w:t>(</w:t>
      </w:r>
      <w:r w:rsidRPr="006F5B36">
        <w:t>2019), pp. 91-131.</w:t>
      </w:r>
    </w:p>
    <w:p w14:paraId="6B4779CB" w14:textId="6047BD1B" w:rsidR="006F5B36" w:rsidRPr="006F5B36" w:rsidRDefault="006F5B36" w:rsidP="006F5B36">
      <w:pPr>
        <w:spacing w:line="480" w:lineRule="auto"/>
        <w:ind w:hanging="720"/>
      </w:pPr>
      <w:proofErr w:type="spellStart"/>
      <w:r w:rsidRPr="006F5B36">
        <w:lastRenderedPageBreak/>
        <w:t>Eichengreen</w:t>
      </w:r>
      <w:proofErr w:type="spellEnd"/>
      <w:r w:rsidRPr="006F5B36">
        <w:t>, B. and Sachs, J.</w:t>
      </w:r>
      <w:r w:rsidR="000C3A60">
        <w:t>,</w:t>
      </w:r>
      <w:r w:rsidRPr="006F5B36">
        <w:t xml:space="preserve"> 'Exchange rates and economic recovery in the 1930s', </w:t>
      </w:r>
      <w:r w:rsidRPr="006F5B36">
        <w:rPr>
          <w:i/>
          <w:iCs/>
        </w:rPr>
        <w:t>The Journal of Economic History</w:t>
      </w:r>
      <w:r w:rsidR="00720C42">
        <w:rPr>
          <w:i/>
          <w:iCs/>
        </w:rPr>
        <w:t>,</w:t>
      </w:r>
      <w:r w:rsidRPr="006F5B36">
        <w:t xml:space="preserve"> 45 (1985), pp. 925-946.</w:t>
      </w:r>
    </w:p>
    <w:p w14:paraId="3747D9B2" w14:textId="10D3F2A9" w:rsidR="006F5B36" w:rsidRDefault="006F5B36" w:rsidP="006F5B36">
      <w:pPr>
        <w:spacing w:line="480" w:lineRule="auto"/>
        <w:ind w:hanging="720"/>
      </w:pPr>
      <w:proofErr w:type="spellStart"/>
      <w:r w:rsidRPr="006F5B36">
        <w:t>Eichengreen</w:t>
      </w:r>
      <w:proofErr w:type="spellEnd"/>
      <w:r w:rsidRPr="006F5B36">
        <w:t>, B. and Temin, P.</w:t>
      </w:r>
      <w:r w:rsidR="000C3A60">
        <w:t>,</w:t>
      </w:r>
      <w:r w:rsidRPr="006F5B36">
        <w:t xml:space="preserve"> 'Fetters of gold and paper', </w:t>
      </w:r>
      <w:r w:rsidRPr="006F5B36">
        <w:rPr>
          <w:i/>
          <w:iCs/>
        </w:rPr>
        <w:t>Oxford Review of Economic Policy</w:t>
      </w:r>
      <w:r w:rsidRPr="006F5B36">
        <w:t xml:space="preserve"> 26 (2010), pp. 370-384.</w:t>
      </w:r>
    </w:p>
    <w:p w14:paraId="2E7930D1" w14:textId="22C05265" w:rsidR="00571D00" w:rsidRPr="000C3A60" w:rsidRDefault="00571D00" w:rsidP="004270CC">
      <w:pPr>
        <w:spacing w:line="480" w:lineRule="auto"/>
        <w:ind w:hanging="720"/>
      </w:pPr>
      <w:r w:rsidRPr="000C3A60">
        <w:t>Fisher, I., </w:t>
      </w:r>
      <w:r w:rsidRPr="000C3A60">
        <w:rPr>
          <w:i/>
          <w:iCs/>
        </w:rPr>
        <w:t xml:space="preserve">Appreciation and </w:t>
      </w:r>
      <w:r w:rsidR="000C3A60">
        <w:rPr>
          <w:i/>
          <w:iCs/>
        </w:rPr>
        <w:t>i</w:t>
      </w:r>
      <w:r w:rsidRPr="000C3A60">
        <w:rPr>
          <w:i/>
          <w:iCs/>
        </w:rPr>
        <w:t xml:space="preserve">nterest: A </w:t>
      </w:r>
      <w:r w:rsidR="000C3A60">
        <w:rPr>
          <w:i/>
          <w:iCs/>
        </w:rPr>
        <w:t>s</w:t>
      </w:r>
      <w:r w:rsidRPr="000C3A60">
        <w:rPr>
          <w:i/>
          <w:iCs/>
        </w:rPr>
        <w:t xml:space="preserve">tudy of the </w:t>
      </w:r>
      <w:r w:rsidR="000C3A60">
        <w:rPr>
          <w:i/>
          <w:iCs/>
        </w:rPr>
        <w:t>i</w:t>
      </w:r>
      <w:r w:rsidRPr="000C3A60">
        <w:rPr>
          <w:i/>
          <w:iCs/>
        </w:rPr>
        <w:t xml:space="preserve">nfluence of </w:t>
      </w:r>
      <w:r w:rsidR="000C3A60">
        <w:rPr>
          <w:i/>
          <w:iCs/>
        </w:rPr>
        <w:t>m</w:t>
      </w:r>
      <w:r w:rsidRPr="000C3A60">
        <w:rPr>
          <w:i/>
          <w:iCs/>
        </w:rPr>
        <w:t xml:space="preserve">onetary </w:t>
      </w:r>
      <w:r w:rsidR="000C3A60">
        <w:rPr>
          <w:i/>
          <w:iCs/>
        </w:rPr>
        <w:t>a</w:t>
      </w:r>
      <w:r w:rsidRPr="000C3A60">
        <w:rPr>
          <w:i/>
          <w:iCs/>
        </w:rPr>
        <w:t xml:space="preserve">ppreciation and </w:t>
      </w:r>
      <w:r w:rsidR="000C3A60">
        <w:rPr>
          <w:i/>
          <w:iCs/>
        </w:rPr>
        <w:t>d</w:t>
      </w:r>
      <w:r w:rsidRPr="000C3A60">
        <w:rPr>
          <w:i/>
          <w:iCs/>
        </w:rPr>
        <w:t xml:space="preserve">epreciation on the </w:t>
      </w:r>
      <w:r w:rsidR="000C3A60">
        <w:rPr>
          <w:i/>
          <w:iCs/>
        </w:rPr>
        <w:t>r</w:t>
      </w:r>
      <w:r w:rsidRPr="000C3A60">
        <w:rPr>
          <w:i/>
          <w:iCs/>
        </w:rPr>
        <w:t xml:space="preserve">ate of </w:t>
      </w:r>
      <w:r w:rsidR="000C3A60">
        <w:rPr>
          <w:i/>
          <w:iCs/>
        </w:rPr>
        <w:t>i</w:t>
      </w:r>
      <w:r w:rsidRPr="000C3A60">
        <w:rPr>
          <w:i/>
          <w:iCs/>
        </w:rPr>
        <w:t xml:space="preserve">nterest with </w:t>
      </w:r>
      <w:r w:rsidR="000C3A60">
        <w:rPr>
          <w:i/>
          <w:iCs/>
        </w:rPr>
        <w:t>a</w:t>
      </w:r>
      <w:r w:rsidRPr="000C3A60">
        <w:rPr>
          <w:i/>
          <w:iCs/>
        </w:rPr>
        <w:t xml:space="preserve">pplications to the </w:t>
      </w:r>
      <w:r w:rsidR="000C3A60">
        <w:rPr>
          <w:i/>
          <w:iCs/>
        </w:rPr>
        <w:t>b</w:t>
      </w:r>
      <w:r w:rsidRPr="000C3A60">
        <w:rPr>
          <w:i/>
          <w:iCs/>
        </w:rPr>
        <w:t xml:space="preserve">imetallic </w:t>
      </w:r>
      <w:r w:rsidR="000C3A60">
        <w:rPr>
          <w:i/>
          <w:iCs/>
        </w:rPr>
        <w:t>c</w:t>
      </w:r>
      <w:r w:rsidRPr="000C3A60">
        <w:rPr>
          <w:i/>
          <w:iCs/>
        </w:rPr>
        <w:t xml:space="preserve">ontroversy and the </w:t>
      </w:r>
      <w:r w:rsidR="000C3A60">
        <w:rPr>
          <w:i/>
          <w:iCs/>
        </w:rPr>
        <w:t>t</w:t>
      </w:r>
      <w:r w:rsidRPr="000C3A60">
        <w:rPr>
          <w:i/>
          <w:iCs/>
        </w:rPr>
        <w:t xml:space="preserve">heory of </w:t>
      </w:r>
      <w:r w:rsidR="000C3A60">
        <w:rPr>
          <w:i/>
          <w:iCs/>
        </w:rPr>
        <w:t>i</w:t>
      </w:r>
      <w:r w:rsidRPr="000C3A60">
        <w:rPr>
          <w:i/>
          <w:iCs/>
        </w:rPr>
        <w:t>nterest</w:t>
      </w:r>
      <w:r w:rsidR="00C8350E" w:rsidRPr="000C3A60">
        <w:t xml:space="preserve"> (New York, 1896).</w:t>
      </w:r>
    </w:p>
    <w:p w14:paraId="21E57AF7" w14:textId="777B923D" w:rsidR="00571D00" w:rsidRPr="0055314F" w:rsidRDefault="00571D00" w:rsidP="004270CC">
      <w:pPr>
        <w:spacing w:line="480" w:lineRule="auto"/>
        <w:ind w:hanging="720"/>
      </w:pPr>
      <w:r w:rsidRPr="000C3A60">
        <w:t xml:space="preserve">Fortune Magazine. Roper Fortune # 2: General/Buying/Politics, 1938 Roper #31097152, Version 3. The Roper Organization Cornell University, Ithaca, NY: Roper </w:t>
      </w:r>
      <w:proofErr w:type="spellStart"/>
      <w:r w:rsidRPr="000C3A60">
        <w:t>Center</w:t>
      </w:r>
      <w:proofErr w:type="spellEnd"/>
      <w:r w:rsidRPr="000C3A60">
        <w:t xml:space="preserve"> for Public Opinion Research </w:t>
      </w:r>
      <w:r w:rsidR="000F3D4D" w:rsidRPr="000C3A60">
        <w:t>https://</w:t>
      </w:r>
      <w:r w:rsidRPr="000C3A60">
        <w:t>doi:10.25940/ROPER-31097152</w:t>
      </w:r>
      <w:r w:rsidR="000F3D4D" w:rsidRPr="000F3D4D">
        <w:t>, 1938.</w:t>
      </w:r>
    </w:p>
    <w:p w14:paraId="14E707C6" w14:textId="17335A27" w:rsidR="007217E0" w:rsidRPr="007217E0" w:rsidRDefault="007217E0" w:rsidP="007217E0">
      <w:pPr>
        <w:spacing w:line="480" w:lineRule="auto"/>
        <w:ind w:hanging="720"/>
      </w:pPr>
      <w:r w:rsidRPr="007217E0">
        <w:t>Friedman, M.</w:t>
      </w:r>
      <w:r w:rsidR="000C3A60">
        <w:t>,</w:t>
      </w:r>
      <w:r w:rsidRPr="007217E0">
        <w:t xml:space="preserve"> 'Bimetallism revisited', </w:t>
      </w:r>
      <w:r w:rsidRPr="007217E0">
        <w:rPr>
          <w:i/>
          <w:iCs/>
        </w:rPr>
        <w:t>Journal of Economic Perspectives</w:t>
      </w:r>
      <w:r w:rsidR="00720C42">
        <w:rPr>
          <w:i/>
          <w:iCs/>
        </w:rPr>
        <w:t>,</w:t>
      </w:r>
      <w:r w:rsidRPr="007217E0">
        <w:t xml:space="preserve"> 4 (1990), pp. 85-104.</w:t>
      </w:r>
    </w:p>
    <w:p w14:paraId="3CBD37A3" w14:textId="3490202A" w:rsidR="004270CC" w:rsidRPr="004270CC" w:rsidRDefault="004270CC" w:rsidP="004270CC">
      <w:pPr>
        <w:spacing w:line="480" w:lineRule="auto"/>
        <w:ind w:hanging="720"/>
      </w:pPr>
      <w:r w:rsidRPr="004270CC">
        <w:t xml:space="preserve">Frank, T., </w:t>
      </w:r>
      <w:r w:rsidRPr="004270CC">
        <w:rPr>
          <w:i/>
          <w:iCs/>
        </w:rPr>
        <w:t>The people, no: A brief history of anti-populism</w:t>
      </w:r>
      <w:r w:rsidRPr="004270CC">
        <w:t xml:space="preserve"> (New York, 2020).</w:t>
      </w:r>
    </w:p>
    <w:p w14:paraId="508D90BE" w14:textId="09FC783C" w:rsidR="007217E0" w:rsidRPr="006A0624" w:rsidRDefault="007217E0" w:rsidP="007217E0">
      <w:pPr>
        <w:spacing w:line="480" w:lineRule="auto"/>
        <w:ind w:hanging="720"/>
      </w:pPr>
      <w:r w:rsidRPr="007217E0">
        <w:t xml:space="preserve">Funke, M., </w:t>
      </w:r>
      <w:proofErr w:type="spellStart"/>
      <w:r w:rsidRPr="007217E0">
        <w:t>Schularick</w:t>
      </w:r>
      <w:proofErr w:type="spellEnd"/>
      <w:r w:rsidRPr="007217E0">
        <w:t>, M. and Trebesch, C.</w:t>
      </w:r>
      <w:r w:rsidR="000C3A60">
        <w:t>,</w:t>
      </w:r>
      <w:r w:rsidRPr="007217E0">
        <w:t xml:space="preserve"> 'Going to extremes: Politics after financial crises, 1870–</w:t>
      </w:r>
      <w:r w:rsidRPr="006A0624">
        <w:t xml:space="preserve">2014', </w:t>
      </w:r>
      <w:r w:rsidRPr="006A0624">
        <w:rPr>
          <w:i/>
          <w:iCs/>
        </w:rPr>
        <w:t>European Economic Review</w:t>
      </w:r>
      <w:r w:rsidR="006A0624" w:rsidRPr="006A0624">
        <w:rPr>
          <w:i/>
          <w:iCs/>
        </w:rPr>
        <w:t>,</w:t>
      </w:r>
      <w:r w:rsidRPr="006A0624">
        <w:t xml:space="preserve"> 88 (2016), pp. 227-260.</w:t>
      </w:r>
    </w:p>
    <w:p w14:paraId="2209EA94" w14:textId="28165A1E" w:rsidR="00571D00" w:rsidRPr="000C3A60" w:rsidRDefault="00571D00" w:rsidP="004270CC">
      <w:pPr>
        <w:spacing w:line="480" w:lineRule="auto"/>
        <w:ind w:hanging="720"/>
      </w:pPr>
      <w:r w:rsidRPr="000C3A60">
        <w:t xml:space="preserve">Funke, M., </w:t>
      </w:r>
      <w:proofErr w:type="spellStart"/>
      <w:r w:rsidRPr="000C3A60">
        <w:t>Schularick</w:t>
      </w:r>
      <w:proofErr w:type="spellEnd"/>
      <w:r w:rsidRPr="000C3A60">
        <w:t xml:space="preserve">, M. and Trebesch, C., Populist </w:t>
      </w:r>
      <w:r w:rsidR="000C3A60">
        <w:t>l</w:t>
      </w:r>
      <w:r w:rsidRPr="000C3A60">
        <w:t xml:space="preserve">eaders and the </w:t>
      </w:r>
      <w:r w:rsidR="000C3A60">
        <w:t>e</w:t>
      </w:r>
      <w:r w:rsidRPr="000C3A60">
        <w:t>conomy</w:t>
      </w:r>
      <w:r w:rsidRPr="000C3A60">
        <w:rPr>
          <w:i/>
          <w:iCs/>
        </w:rPr>
        <w:t>, CEPR Discussion Paper</w:t>
      </w:r>
      <w:r w:rsidR="00720C42">
        <w:rPr>
          <w:i/>
          <w:iCs/>
        </w:rPr>
        <w:t>,</w:t>
      </w:r>
      <w:r w:rsidRPr="000C3A60">
        <w:t xml:space="preserve"> 15405 v.3</w:t>
      </w:r>
      <w:r w:rsidR="00A6502D" w:rsidRPr="000C3A60">
        <w:t xml:space="preserve"> (2022).</w:t>
      </w:r>
    </w:p>
    <w:p w14:paraId="7EFC0372" w14:textId="77777777" w:rsidR="00D52059" w:rsidRPr="000C3A60" w:rsidRDefault="00571D00" w:rsidP="00D52059">
      <w:pPr>
        <w:spacing w:line="480" w:lineRule="auto"/>
        <w:ind w:hanging="720"/>
      </w:pPr>
      <w:r w:rsidRPr="000C3A60">
        <w:t xml:space="preserve">Gallup Organization, Gallup Poll 1938-0118: Depression/Political Parties/Father Coughlin’s Radio Talks/Telephone/Finances, 1938.” Roper 31087102, Version 3. </w:t>
      </w:r>
      <w:r w:rsidR="00D52059" w:rsidRPr="000C3A60">
        <w:t xml:space="preserve">Gallup Organization , Cornell University, Ithaca, NY: Roper </w:t>
      </w:r>
      <w:proofErr w:type="spellStart"/>
      <w:r w:rsidR="00D52059" w:rsidRPr="000C3A60">
        <w:t>Center</w:t>
      </w:r>
      <w:proofErr w:type="spellEnd"/>
      <w:r w:rsidR="00D52059" w:rsidRPr="000C3A60">
        <w:t xml:space="preserve"> for Public Opinion Research</w:t>
      </w:r>
      <w:r w:rsidR="00D52059">
        <w:t xml:space="preserve">, </w:t>
      </w:r>
      <w:hyperlink r:id="rId8" w:history="1">
        <w:r w:rsidR="00D52059" w:rsidRPr="000C3A60">
          <w:rPr>
            <w:rStyle w:val="Hyperlink"/>
          </w:rPr>
          <w:t>https://doi.org/10.25940/ROPER-31087102</w:t>
        </w:r>
      </w:hyperlink>
      <w:r w:rsidR="00D52059" w:rsidRPr="000C3A60">
        <w:t>. (1938a)</w:t>
      </w:r>
    </w:p>
    <w:p w14:paraId="78AC10AB" w14:textId="74ED66E2" w:rsidR="00571D00" w:rsidRDefault="00571D00" w:rsidP="004270CC">
      <w:pPr>
        <w:spacing w:line="480" w:lineRule="auto"/>
        <w:ind w:hanging="720"/>
      </w:pPr>
      <w:r w:rsidRPr="000C3A60">
        <w:t>Gallup Organization.</w:t>
      </w:r>
      <w:r w:rsidRPr="000C3A60">
        <w:rPr>
          <w:b/>
          <w:bCs/>
        </w:rPr>
        <w:t xml:space="preserve"> </w:t>
      </w:r>
      <w:r w:rsidRPr="000C3A60">
        <w:t>Gallup Poll 1938-0141: Father Coughlin’s Radio Talks/World’s Fair/ Spanish Civil War/Radio, 1938</w:t>
      </w:r>
      <w:r w:rsidR="006A0624" w:rsidRPr="000C3A60">
        <w:t>,</w:t>
      </w:r>
      <w:r w:rsidRPr="000C3A60">
        <w:t xml:space="preserve">Roper 31087125, Version 3. Gallup Organization </w:t>
      </w:r>
      <w:r w:rsidR="006A0624" w:rsidRPr="000C3A60">
        <w:t>,</w:t>
      </w:r>
      <w:r w:rsidRPr="000C3A60">
        <w:t xml:space="preserve"> Cornell University, Ithaca, NY: Roper </w:t>
      </w:r>
      <w:proofErr w:type="spellStart"/>
      <w:r w:rsidRPr="000C3A60">
        <w:t>Center</w:t>
      </w:r>
      <w:proofErr w:type="spellEnd"/>
      <w:r w:rsidRPr="000C3A60">
        <w:t xml:space="preserve"> for Public Opinion Research </w:t>
      </w:r>
      <w:r w:rsidR="006A0624" w:rsidRPr="006A0624">
        <w:t xml:space="preserve">, </w:t>
      </w:r>
      <w:hyperlink r:id="rId9" w:history="1">
        <w:r w:rsidRPr="000C3A60">
          <w:rPr>
            <w:rStyle w:val="Hyperlink"/>
          </w:rPr>
          <w:t>https://doi.org/10.25940/ROPER-31087125</w:t>
        </w:r>
      </w:hyperlink>
      <w:r w:rsidRPr="006A0624">
        <w:t>.</w:t>
      </w:r>
      <w:r w:rsidR="006A0624" w:rsidRPr="006A0624">
        <w:t xml:space="preserve"> (1938b)</w:t>
      </w:r>
    </w:p>
    <w:p w14:paraId="49118B29" w14:textId="06E01F21" w:rsidR="00282D14" w:rsidRPr="00282D14" w:rsidRDefault="00282D14" w:rsidP="00282D14">
      <w:pPr>
        <w:spacing w:line="480" w:lineRule="auto"/>
        <w:ind w:hanging="720"/>
        <w:rPr>
          <w:lang w:val="en-US"/>
        </w:rPr>
      </w:pPr>
      <w:r w:rsidRPr="00282D14">
        <w:rPr>
          <w:lang w:val="en-US"/>
        </w:rPr>
        <w:lastRenderedPageBreak/>
        <w:t>Gilberg, T. '</w:t>
      </w:r>
      <w:proofErr w:type="spellStart"/>
      <w:r w:rsidRPr="00282D14">
        <w:rPr>
          <w:lang w:val="en-US"/>
        </w:rPr>
        <w:t>Ethnochauvinism</w:t>
      </w:r>
      <w:proofErr w:type="spellEnd"/>
      <w:r w:rsidRPr="00282D14">
        <w:rPr>
          <w:lang w:val="en-US"/>
        </w:rPr>
        <w:t xml:space="preserve">, agrarian populism, and neofascism in Romania and the Balkans', in P. H. Merkl and L. Weinberg eds., </w:t>
      </w:r>
      <w:r w:rsidRPr="00282D14">
        <w:rPr>
          <w:i/>
          <w:iCs/>
          <w:lang w:val="en-US"/>
        </w:rPr>
        <w:t>Encounters with the contemporary radical right</w:t>
      </w:r>
      <w:r w:rsidRPr="00282D14">
        <w:rPr>
          <w:lang w:val="en-US"/>
        </w:rPr>
        <w:t>, (Boulder, 1993), pp. 95-110.</w:t>
      </w:r>
    </w:p>
    <w:p w14:paraId="5290E57C" w14:textId="77777777" w:rsidR="00282D14" w:rsidRPr="00282D14" w:rsidRDefault="00282D14" w:rsidP="004270CC">
      <w:pPr>
        <w:spacing w:line="480" w:lineRule="auto"/>
        <w:ind w:hanging="720"/>
        <w:rPr>
          <w:lang w:val="en-US"/>
        </w:rPr>
      </w:pPr>
    </w:p>
    <w:p w14:paraId="398099AB" w14:textId="7C8C0377" w:rsidR="00034F8F" w:rsidRDefault="00034F8F" w:rsidP="00034F8F">
      <w:pPr>
        <w:spacing w:line="480" w:lineRule="auto"/>
        <w:ind w:hanging="720"/>
      </w:pPr>
      <w:r w:rsidRPr="00034F8F">
        <w:t>Goodwyn, L. C.</w:t>
      </w:r>
      <w:r w:rsidR="000C3A60">
        <w:t>,</w:t>
      </w:r>
      <w:r w:rsidRPr="00034F8F">
        <w:t xml:space="preserve"> 'Populist dreams and </w:t>
      </w:r>
      <w:r>
        <w:t>N</w:t>
      </w:r>
      <w:r w:rsidRPr="00034F8F">
        <w:t xml:space="preserve">egro rights: East Texas as a case study', </w:t>
      </w:r>
      <w:r w:rsidRPr="00034F8F">
        <w:rPr>
          <w:i/>
          <w:iCs/>
        </w:rPr>
        <w:t>The American Historical Review</w:t>
      </w:r>
      <w:r w:rsidR="00720C42">
        <w:rPr>
          <w:i/>
          <w:iCs/>
        </w:rPr>
        <w:t>,</w:t>
      </w:r>
      <w:r w:rsidRPr="00034F8F">
        <w:t xml:space="preserve"> 76 (1971), pp. 1435-1456.</w:t>
      </w:r>
    </w:p>
    <w:p w14:paraId="38C8E540" w14:textId="0D9F2410" w:rsidR="00034F8F" w:rsidRDefault="00034F8F" w:rsidP="00034F8F">
      <w:pPr>
        <w:spacing w:line="480" w:lineRule="auto"/>
        <w:ind w:hanging="720"/>
      </w:pPr>
      <w:r w:rsidRPr="00034F8F">
        <w:t xml:space="preserve">Goodwyn, L., </w:t>
      </w:r>
      <w:r w:rsidRPr="00034F8F">
        <w:rPr>
          <w:i/>
          <w:iCs/>
        </w:rPr>
        <w:t xml:space="preserve">Democratic promise: The </w:t>
      </w:r>
      <w:r>
        <w:rPr>
          <w:i/>
          <w:iCs/>
        </w:rPr>
        <w:t>P</w:t>
      </w:r>
      <w:r w:rsidRPr="00034F8F">
        <w:rPr>
          <w:i/>
          <w:iCs/>
        </w:rPr>
        <w:t>opulist moment in America</w:t>
      </w:r>
      <w:r w:rsidRPr="00034F8F">
        <w:t xml:space="preserve"> (New York, 1976).</w:t>
      </w:r>
    </w:p>
    <w:p w14:paraId="02A330BB" w14:textId="77777777" w:rsidR="00B74248" w:rsidRPr="005F250C" w:rsidRDefault="00B74248" w:rsidP="00B74248">
      <w:pPr>
        <w:spacing w:line="480" w:lineRule="auto"/>
        <w:ind w:hanging="720"/>
      </w:pPr>
      <w:r w:rsidRPr="005F250C">
        <w:t xml:space="preserve">Goodwyn, L. 'Rethinking “populism”: Paradoxes of historiography and democracy', </w:t>
      </w:r>
      <w:r w:rsidRPr="005F250C">
        <w:rPr>
          <w:i/>
          <w:iCs/>
        </w:rPr>
        <w:t>Telos</w:t>
      </w:r>
      <w:r w:rsidRPr="005F250C">
        <w:t xml:space="preserve"> 88 (1991), pp. 37-56.</w:t>
      </w:r>
    </w:p>
    <w:p w14:paraId="2B5A22FC" w14:textId="379BA16D" w:rsidR="007217E0" w:rsidRPr="007217E0" w:rsidRDefault="007217E0" w:rsidP="007217E0">
      <w:pPr>
        <w:spacing w:line="480" w:lineRule="auto"/>
        <w:ind w:hanging="720"/>
      </w:pPr>
      <w:proofErr w:type="spellStart"/>
      <w:r w:rsidRPr="007217E0">
        <w:t>Guriev</w:t>
      </w:r>
      <w:proofErr w:type="spellEnd"/>
      <w:r w:rsidRPr="007217E0">
        <w:t>, S. and Papaioannou, E.</w:t>
      </w:r>
      <w:r w:rsidR="000C3A60">
        <w:t>,</w:t>
      </w:r>
      <w:r w:rsidRPr="007217E0">
        <w:t xml:space="preserve"> 'The political economy of populism', </w:t>
      </w:r>
      <w:r w:rsidRPr="007217E0">
        <w:rPr>
          <w:i/>
          <w:iCs/>
        </w:rPr>
        <w:t>Journal of Economic Literature</w:t>
      </w:r>
      <w:r w:rsidR="00720C42">
        <w:rPr>
          <w:i/>
          <w:iCs/>
        </w:rPr>
        <w:t>,</w:t>
      </w:r>
      <w:r w:rsidRPr="007217E0">
        <w:t xml:space="preserve"> 60 (2022), pp. 753-832.</w:t>
      </w:r>
    </w:p>
    <w:p w14:paraId="780C0FE4" w14:textId="6837CD91" w:rsidR="00C62997" w:rsidRDefault="00C62997" w:rsidP="00C62997">
      <w:pPr>
        <w:spacing w:line="480" w:lineRule="auto"/>
        <w:ind w:hanging="720"/>
      </w:pPr>
      <w:r w:rsidRPr="00C62997">
        <w:t xml:space="preserve">Hahn, S., </w:t>
      </w:r>
      <w:r w:rsidRPr="00C62997">
        <w:rPr>
          <w:i/>
          <w:iCs/>
        </w:rPr>
        <w:t>A nation under our feet: Black political struggles in the rural south, from slavery to the great migration</w:t>
      </w:r>
      <w:r w:rsidRPr="00C62997">
        <w:t xml:space="preserve"> (Cambridge, Mass., 2003).</w:t>
      </w:r>
    </w:p>
    <w:p w14:paraId="0B1FA9E5" w14:textId="232C957F" w:rsidR="00D002BA" w:rsidRDefault="00D002BA" w:rsidP="00D002BA">
      <w:pPr>
        <w:spacing w:line="480" w:lineRule="auto"/>
        <w:ind w:hanging="720"/>
      </w:pPr>
      <w:proofErr w:type="spellStart"/>
      <w:r w:rsidRPr="00D002BA">
        <w:t>Hainmueller</w:t>
      </w:r>
      <w:proofErr w:type="spellEnd"/>
      <w:r w:rsidRPr="00D002BA">
        <w:t>, J. and Hiscox, M. J.</w:t>
      </w:r>
      <w:r w:rsidR="000C3A60">
        <w:t>,</w:t>
      </w:r>
      <w:r w:rsidRPr="00D002BA">
        <w:t xml:space="preserve"> 'Learning to love globalization: Education and individual attitudes toward international trade', </w:t>
      </w:r>
      <w:r w:rsidRPr="00D002BA">
        <w:rPr>
          <w:i/>
          <w:iCs/>
        </w:rPr>
        <w:t>International Organization</w:t>
      </w:r>
      <w:r w:rsidR="00720C42">
        <w:rPr>
          <w:i/>
          <w:iCs/>
        </w:rPr>
        <w:t>,</w:t>
      </w:r>
      <w:r w:rsidRPr="00D002BA">
        <w:t xml:space="preserve"> 60 (2006), pp. 469-498.</w:t>
      </w:r>
    </w:p>
    <w:p w14:paraId="45E19D56" w14:textId="182EBA4F" w:rsidR="00034F8F" w:rsidRDefault="00034F8F" w:rsidP="00034F8F">
      <w:pPr>
        <w:spacing w:line="480" w:lineRule="auto"/>
        <w:ind w:hanging="720"/>
      </w:pPr>
      <w:r w:rsidRPr="00034F8F">
        <w:t xml:space="preserve">Hofstadter, R., </w:t>
      </w:r>
      <w:r w:rsidRPr="00034F8F">
        <w:rPr>
          <w:i/>
          <w:iCs/>
        </w:rPr>
        <w:t xml:space="preserve">The age of reform: From Bryan to </w:t>
      </w:r>
      <w:r>
        <w:rPr>
          <w:i/>
          <w:iCs/>
        </w:rPr>
        <w:t>F</w:t>
      </w:r>
      <w:r w:rsidRPr="00034F8F">
        <w:rPr>
          <w:i/>
          <w:iCs/>
        </w:rPr>
        <w:t>.D.R</w:t>
      </w:r>
      <w:r w:rsidRPr="00034F8F">
        <w:t xml:space="preserve"> (New York, 1955).</w:t>
      </w:r>
    </w:p>
    <w:p w14:paraId="3DF78E3C" w14:textId="3053D169" w:rsidR="00571D00" w:rsidRPr="0055314F" w:rsidRDefault="00571D00" w:rsidP="004270CC">
      <w:pPr>
        <w:spacing w:line="480" w:lineRule="auto"/>
        <w:ind w:hanging="720"/>
      </w:pPr>
      <w:r w:rsidRPr="000C3A60">
        <w:t>Inglehart, R.F. and Norris, P.,</w:t>
      </w:r>
      <w:r w:rsidR="00720C42">
        <w:t xml:space="preserve"> </w:t>
      </w:r>
      <w:r w:rsidR="006A0624" w:rsidRPr="000C3A60">
        <w:t>‘</w:t>
      </w:r>
      <w:r w:rsidRPr="000C3A60">
        <w:t>Trump, Brexit, and the rise of populism: Economic have-nots and cultural backlash</w:t>
      </w:r>
      <w:r w:rsidR="006A0624" w:rsidRPr="000C3A60">
        <w:t>’,</w:t>
      </w:r>
      <w:r w:rsidRPr="000C3A60">
        <w:t xml:space="preserve"> </w:t>
      </w:r>
      <w:r w:rsidRPr="00720C42">
        <w:rPr>
          <w:i/>
          <w:iCs/>
        </w:rPr>
        <w:t>HKS Working Paper</w:t>
      </w:r>
      <w:r w:rsidR="00720C42">
        <w:rPr>
          <w:i/>
          <w:iCs/>
        </w:rPr>
        <w:t>,</w:t>
      </w:r>
      <w:r w:rsidRPr="000C3A60">
        <w:t xml:space="preserve"> 16-026</w:t>
      </w:r>
      <w:r w:rsidR="006A0624" w:rsidRPr="006A0624">
        <w:t xml:space="preserve"> (2016)</w:t>
      </w:r>
      <w:r w:rsidR="00720C42">
        <w:t>.</w:t>
      </w:r>
    </w:p>
    <w:p w14:paraId="6568C850" w14:textId="1A958589" w:rsidR="007217E0" w:rsidRPr="007217E0" w:rsidRDefault="007217E0" w:rsidP="007217E0">
      <w:pPr>
        <w:spacing w:line="480" w:lineRule="auto"/>
        <w:ind w:hanging="720"/>
      </w:pPr>
      <w:r w:rsidRPr="007217E0">
        <w:t>Irwin, D. A.</w:t>
      </w:r>
      <w:r w:rsidR="000C3A60">
        <w:t>,</w:t>
      </w:r>
      <w:r w:rsidRPr="007217E0">
        <w:t xml:space="preserve"> 'Gold sterilization and the recession of 1937–1938', </w:t>
      </w:r>
      <w:r w:rsidRPr="007217E0">
        <w:rPr>
          <w:i/>
          <w:iCs/>
        </w:rPr>
        <w:t>Financial History Review</w:t>
      </w:r>
      <w:r w:rsidR="00720C42">
        <w:rPr>
          <w:i/>
          <w:iCs/>
        </w:rPr>
        <w:t>,</w:t>
      </w:r>
      <w:r w:rsidRPr="007217E0">
        <w:t xml:space="preserve"> 19 (2012), pp. 249-267.</w:t>
      </w:r>
    </w:p>
    <w:p w14:paraId="4BDEE8F7" w14:textId="75308AD2" w:rsidR="007217E0" w:rsidRDefault="007217E0" w:rsidP="007217E0">
      <w:pPr>
        <w:spacing w:line="480" w:lineRule="auto"/>
        <w:ind w:hanging="720"/>
      </w:pPr>
      <w:r w:rsidRPr="007217E0">
        <w:t>Irwin, D. A.</w:t>
      </w:r>
      <w:r w:rsidR="000C3A60">
        <w:t>,</w:t>
      </w:r>
      <w:r w:rsidRPr="007217E0">
        <w:t xml:space="preserve"> 'Who anticipated the great depression? Gustav Cassel versus Keynes and Hayek on the interwar gold standard', </w:t>
      </w:r>
      <w:r w:rsidRPr="007217E0">
        <w:rPr>
          <w:i/>
          <w:iCs/>
        </w:rPr>
        <w:t>Journal of Money, Credit and Banking</w:t>
      </w:r>
      <w:r w:rsidR="00720C42">
        <w:rPr>
          <w:i/>
          <w:iCs/>
        </w:rPr>
        <w:t>,</w:t>
      </w:r>
      <w:r w:rsidRPr="007217E0">
        <w:t xml:space="preserve"> 46 (2014), pp. 199-227.</w:t>
      </w:r>
    </w:p>
    <w:p w14:paraId="6118B578" w14:textId="373857C1" w:rsidR="003C7CBC" w:rsidRPr="007217E0" w:rsidRDefault="003C7CBC" w:rsidP="003C7CBC">
      <w:pPr>
        <w:spacing w:line="480" w:lineRule="auto"/>
        <w:ind w:hanging="720"/>
      </w:pPr>
      <w:r w:rsidRPr="003C7CBC">
        <w:t xml:space="preserve">Jäger, A. 'Populism and the historians: Richard </w:t>
      </w:r>
      <w:r w:rsidR="00D92344">
        <w:t>H</w:t>
      </w:r>
      <w:r w:rsidRPr="003C7CBC">
        <w:t xml:space="preserve">ofstadter and the birth of a global populism debate', </w:t>
      </w:r>
      <w:r w:rsidRPr="003C7CBC">
        <w:rPr>
          <w:i/>
          <w:iCs/>
        </w:rPr>
        <w:t>History of Political Thought</w:t>
      </w:r>
      <w:r w:rsidRPr="003C7CBC">
        <w:t xml:space="preserve"> 44 (2023), pp. 153-194.</w:t>
      </w:r>
    </w:p>
    <w:p w14:paraId="0410B746" w14:textId="4EBE620A" w:rsidR="007217E0" w:rsidRPr="007217E0" w:rsidRDefault="007217E0" w:rsidP="007217E0">
      <w:pPr>
        <w:spacing w:line="480" w:lineRule="auto"/>
        <w:ind w:hanging="720"/>
      </w:pPr>
      <w:r w:rsidRPr="007217E0">
        <w:lastRenderedPageBreak/>
        <w:t xml:space="preserve">Kazin, M., </w:t>
      </w:r>
      <w:r w:rsidRPr="007217E0">
        <w:rPr>
          <w:i/>
          <w:iCs/>
        </w:rPr>
        <w:t>The populist persuasio</w:t>
      </w:r>
      <w:r w:rsidR="003B278E">
        <w:rPr>
          <w:i/>
          <w:iCs/>
        </w:rPr>
        <w:t>n</w:t>
      </w:r>
      <w:r w:rsidRPr="007217E0">
        <w:rPr>
          <w:i/>
          <w:iCs/>
        </w:rPr>
        <w:t xml:space="preserve">: An </w:t>
      </w:r>
      <w:r w:rsidR="003B278E" w:rsidRPr="007217E0">
        <w:rPr>
          <w:i/>
          <w:iCs/>
        </w:rPr>
        <w:t>American</w:t>
      </w:r>
      <w:r w:rsidRPr="007217E0">
        <w:rPr>
          <w:i/>
          <w:iCs/>
        </w:rPr>
        <w:t xml:space="preserve"> history</w:t>
      </w:r>
      <w:r w:rsidRPr="007217E0">
        <w:t xml:space="preserve"> (Ithaca, 1998).</w:t>
      </w:r>
    </w:p>
    <w:p w14:paraId="1DDD2C19" w14:textId="1ED98199" w:rsidR="007217E0" w:rsidRPr="006A0624" w:rsidRDefault="007217E0" w:rsidP="007217E0">
      <w:pPr>
        <w:spacing w:line="480" w:lineRule="auto"/>
        <w:ind w:hanging="720"/>
      </w:pPr>
      <w:r w:rsidRPr="007217E0">
        <w:t xml:space="preserve">Kennedy, D. M., </w:t>
      </w:r>
      <w:r w:rsidRPr="007217E0">
        <w:rPr>
          <w:i/>
          <w:iCs/>
        </w:rPr>
        <w:t xml:space="preserve">Freedom from fear: The </w:t>
      </w:r>
      <w:r>
        <w:rPr>
          <w:i/>
          <w:iCs/>
        </w:rPr>
        <w:t>A</w:t>
      </w:r>
      <w:r w:rsidRPr="007217E0">
        <w:rPr>
          <w:i/>
          <w:iCs/>
        </w:rPr>
        <w:t>merican people in depression and war, 1929-1945</w:t>
      </w:r>
      <w:r w:rsidRPr="007217E0">
        <w:t xml:space="preserve"> </w:t>
      </w:r>
      <w:r w:rsidRPr="006A0624">
        <w:t>(Oxford, 1999).</w:t>
      </w:r>
    </w:p>
    <w:p w14:paraId="081ACD2B" w14:textId="624A8104" w:rsidR="007217E0" w:rsidRPr="007217E0" w:rsidRDefault="007217E0" w:rsidP="007217E0">
      <w:pPr>
        <w:spacing w:line="480" w:lineRule="auto"/>
        <w:ind w:hanging="720"/>
      </w:pPr>
      <w:r w:rsidRPr="007217E0">
        <w:t>King, G., Rosen, O. R. I., Tanner, M. and Wagner, A. F.</w:t>
      </w:r>
      <w:r w:rsidR="000C3A60">
        <w:t>,</w:t>
      </w:r>
      <w:r w:rsidRPr="007217E0">
        <w:t xml:space="preserve"> 'Ordinary economic voting </w:t>
      </w:r>
      <w:proofErr w:type="spellStart"/>
      <w:r w:rsidRPr="007217E0">
        <w:t>behavior</w:t>
      </w:r>
      <w:proofErr w:type="spellEnd"/>
      <w:r w:rsidRPr="007217E0">
        <w:t xml:space="preserve"> in the extraordinary election of Adolf </w:t>
      </w:r>
      <w:r>
        <w:t>H</w:t>
      </w:r>
      <w:r w:rsidRPr="007217E0">
        <w:t xml:space="preserve">itler', </w:t>
      </w:r>
      <w:r w:rsidRPr="007217E0">
        <w:rPr>
          <w:i/>
          <w:iCs/>
        </w:rPr>
        <w:t>The Journal of Economic History</w:t>
      </w:r>
      <w:r w:rsidR="00720C42">
        <w:rPr>
          <w:i/>
          <w:iCs/>
        </w:rPr>
        <w:t>,</w:t>
      </w:r>
      <w:r w:rsidRPr="007217E0">
        <w:t xml:space="preserve"> 68 (2008), pp. 951-996.</w:t>
      </w:r>
    </w:p>
    <w:p w14:paraId="059F2BA4" w14:textId="5F44517D" w:rsidR="007217E0" w:rsidRPr="0055314F" w:rsidRDefault="007217E0" w:rsidP="007217E0">
      <w:pPr>
        <w:spacing w:line="480" w:lineRule="auto"/>
        <w:ind w:hanging="720"/>
      </w:pPr>
      <w:r w:rsidRPr="007217E0">
        <w:t>Kreitner, R.</w:t>
      </w:r>
      <w:r w:rsidR="000C3A60">
        <w:t>,</w:t>
      </w:r>
      <w:r w:rsidRPr="007217E0">
        <w:t xml:space="preserve"> 'Money in the 1890s: The circulation of politics, economics, and law', </w:t>
      </w:r>
      <w:r w:rsidRPr="007217E0">
        <w:rPr>
          <w:i/>
          <w:iCs/>
        </w:rPr>
        <w:t>UC Irvine Law Review</w:t>
      </w:r>
      <w:r w:rsidR="00720C42">
        <w:rPr>
          <w:i/>
          <w:iCs/>
        </w:rPr>
        <w:t>,</w:t>
      </w:r>
      <w:r w:rsidRPr="007217E0">
        <w:t xml:space="preserve"> 1 (2011), pp. 975-1014.</w:t>
      </w:r>
    </w:p>
    <w:p w14:paraId="07C0E1C2" w14:textId="47029ABF" w:rsidR="007217E0" w:rsidRDefault="007217E0" w:rsidP="007217E0">
      <w:pPr>
        <w:spacing w:line="480" w:lineRule="auto"/>
        <w:ind w:hanging="720"/>
      </w:pPr>
      <w:proofErr w:type="spellStart"/>
      <w:r w:rsidRPr="007217E0">
        <w:t>Liberini</w:t>
      </w:r>
      <w:proofErr w:type="spellEnd"/>
      <w:r w:rsidRPr="007217E0">
        <w:t xml:space="preserve">, F., Oswald, A. J., Proto, E. and </w:t>
      </w:r>
      <w:proofErr w:type="spellStart"/>
      <w:r w:rsidRPr="007217E0">
        <w:t>Redoano</w:t>
      </w:r>
      <w:proofErr w:type="spellEnd"/>
      <w:r w:rsidRPr="007217E0">
        <w:t>, M.</w:t>
      </w:r>
      <w:r w:rsidR="000C3A60">
        <w:t>,</w:t>
      </w:r>
      <w:r w:rsidRPr="007217E0">
        <w:t xml:space="preserve"> 'Was </w:t>
      </w:r>
      <w:r>
        <w:t>B</w:t>
      </w:r>
      <w:r w:rsidRPr="007217E0">
        <w:t xml:space="preserve">rexit triggered by the old and unhappy? Or by financial feelings?', </w:t>
      </w:r>
      <w:r w:rsidRPr="007217E0">
        <w:rPr>
          <w:i/>
          <w:iCs/>
        </w:rPr>
        <w:t xml:space="preserve">Journal of Economic </w:t>
      </w:r>
      <w:proofErr w:type="spellStart"/>
      <w:r w:rsidRPr="007217E0">
        <w:rPr>
          <w:i/>
          <w:iCs/>
        </w:rPr>
        <w:t>Behavior</w:t>
      </w:r>
      <w:proofErr w:type="spellEnd"/>
      <w:r w:rsidRPr="007217E0">
        <w:rPr>
          <w:i/>
          <w:iCs/>
        </w:rPr>
        <w:t xml:space="preserve"> &amp; Organization</w:t>
      </w:r>
      <w:r w:rsidR="00720C42">
        <w:rPr>
          <w:i/>
          <w:iCs/>
        </w:rPr>
        <w:t>,</w:t>
      </w:r>
      <w:r w:rsidRPr="007217E0">
        <w:t xml:space="preserve"> 161 (2019), pp. 287-302.</w:t>
      </w:r>
    </w:p>
    <w:p w14:paraId="49F77C89" w14:textId="63934BBF" w:rsidR="005956C2" w:rsidRDefault="005956C2" w:rsidP="005956C2">
      <w:pPr>
        <w:spacing w:line="480" w:lineRule="auto"/>
        <w:ind w:hanging="720"/>
        <w:rPr>
          <w:lang w:val="en-US"/>
        </w:rPr>
      </w:pPr>
      <w:r w:rsidRPr="005956C2">
        <w:rPr>
          <w:lang w:val="en-US"/>
        </w:rPr>
        <w:t xml:space="preserve">Luebbert, G. M., </w:t>
      </w:r>
      <w:r w:rsidRPr="005956C2">
        <w:rPr>
          <w:i/>
          <w:iCs/>
          <w:lang w:val="en-US"/>
        </w:rPr>
        <w:t xml:space="preserve">Liberalism, fascism, or social democracy : Social classes and the political origins of regimes in interwar </w:t>
      </w:r>
      <w:r>
        <w:rPr>
          <w:i/>
          <w:iCs/>
          <w:lang w:val="en-US"/>
        </w:rPr>
        <w:t>E</w:t>
      </w:r>
      <w:r w:rsidRPr="005956C2">
        <w:rPr>
          <w:i/>
          <w:iCs/>
          <w:lang w:val="en-US"/>
        </w:rPr>
        <w:t>urope</w:t>
      </w:r>
      <w:r w:rsidRPr="005956C2">
        <w:rPr>
          <w:lang w:val="en-US"/>
        </w:rPr>
        <w:t xml:space="preserve"> (Oxford, 1991).</w:t>
      </w:r>
    </w:p>
    <w:p w14:paraId="2CAC6E9F" w14:textId="724B3A91" w:rsidR="004055DF" w:rsidRPr="005956C2" w:rsidRDefault="004055DF" w:rsidP="005956C2">
      <w:pPr>
        <w:spacing w:line="480" w:lineRule="auto"/>
        <w:ind w:hanging="720"/>
        <w:rPr>
          <w:lang w:val="en-US"/>
        </w:rPr>
      </w:pPr>
      <w:r w:rsidRPr="004055DF">
        <w:t>Mair</w:t>
      </w:r>
      <w:r>
        <w:t>,</w:t>
      </w:r>
      <w:r w:rsidRPr="004055DF">
        <w:t xml:space="preserve"> P.</w:t>
      </w:r>
      <w:r>
        <w:t>,</w:t>
      </w:r>
      <w:r w:rsidRPr="004055DF">
        <w:t xml:space="preserve"> </w:t>
      </w:r>
      <w:r w:rsidRPr="004055DF">
        <w:rPr>
          <w:i/>
          <w:iCs/>
        </w:rPr>
        <w:t>Ruling the void: The hollowing of Western democracy</w:t>
      </w:r>
      <w:r>
        <w:t xml:space="preserve"> (London, 2013).</w:t>
      </w:r>
    </w:p>
    <w:p w14:paraId="78E2792C" w14:textId="03EE3890" w:rsidR="00D002BA" w:rsidRDefault="00D002BA" w:rsidP="00D002BA">
      <w:pPr>
        <w:spacing w:line="480" w:lineRule="auto"/>
        <w:ind w:hanging="720"/>
      </w:pPr>
      <w:r w:rsidRPr="00D002BA">
        <w:t>Mayda, A. M. and Rodrik, D.</w:t>
      </w:r>
      <w:r w:rsidR="000C3A60">
        <w:t>,</w:t>
      </w:r>
      <w:r w:rsidRPr="00D002BA">
        <w:t xml:space="preserve"> 'Why are some people (and countries) more protectionist than others?', </w:t>
      </w:r>
      <w:r w:rsidRPr="00D002BA">
        <w:rPr>
          <w:i/>
          <w:iCs/>
        </w:rPr>
        <w:t>European Economic Review</w:t>
      </w:r>
      <w:r w:rsidR="00010713">
        <w:rPr>
          <w:i/>
          <w:iCs/>
        </w:rPr>
        <w:t>,</w:t>
      </w:r>
      <w:r w:rsidRPr="00D002BA">
        <w:t xml:space="preserve"> 49 (2005), pp. 1393-1430.</w:t>
      </w:r>
    </w:p>
    <w:p w14:paraId="162C14FF" w14:textId="1CE97FFD" w:rsidR="00571D00" w:rsidRPr="0055314F" w:rsidRDefault="00571D00" w:rsidP="00D002BA">
      <w:pPr>
        <w:spacing w:line="480" w:lineRule="auto"/>
        <w:ind w:hanging="720"/>
      </w:pPr>
      <w:r w:rsidRPr="000C3A60">
        <w:t>Mead, E.</w:t>
      </w:r>
      <w:r w:rsidR="00B97065" w:rsidRPr="000C3A60">
        <w:t>,</w:t>
      </w:r>
      <w:r w:rsidRPr="000C3A60">
        <w:t xml:space="preserve"> </w:t>
      </w:r>
      <w:r w:rsidRPr="000C3A60">
        <w:rPr>
          <w:i/>
          <w:iCs/>
        </w:rPr>
        <w:t xml:space="preserve">Academic </w:t>
      </w:r>
      <w:r w:rsidR="00B97065" w:rsidRPr="000C3A60">
        <w:rPr>
          <w:i/>
          <w:iCs/>
        </w:rPr>
        <w:t>f</w:t>
      </w:r>
      <w:r w:rsidRPr="000C3A60">
        <w:rPr>
          <w:i/>
          <w:iCs/>
        </w:rPr>
        <w:t xml:space="preserve">reedom in America: The </w:t>
      </w:r>
      <w:r w:rsidR="00B97065" w:rsidRPr="000C3A60">
        <w:rPr>
          <w:i/>
          <w:iCs/>
        </w:rPr>
        <w:t>c</w:t>
      </w:r>
      <w:r w:rsidRPr="000C3A60">
        <w:rPr>
          <w:i/>
          <w:iCs/>
        </w:rPr>
        <w:t>ollision at Brown University</w:t>
      </w:r>
      <w:r w:rsidR="000C3A60">
        <w:rPr>
          <w:i/>
          <w:iCs/>
        </w:rPr>
        <w:t xml:space="preserve"> </w:t>
      </w:r>
      <w:r w:rsidR="00B97065" w:rsidRPr="005B4BB7">
        <w:t>https://archive.org/details/academicfreedom00andrgoog</w:t>
      </w:r>
      <w:r w:rsidR="00B97065" w:rsidRPr="000C3A60" w:rsidDel="00B97065">
        <w:t xml:space="preserve"> </w:t>
      </w:r>
      <w:r w:rsidRPr="000C3A60">
        <w:t xml:space="preserve">, </w:t>
      </w:r>
      <w:r w:rsidR="006A0624" w:rsidRPr="005B4BB7">
        <w:t>(</w:t>
      </w:r>
      <w:r w:rsidR="00B97065" w:rsidRPr="005B4BB7">
        <w:t xml:space="preserve">Boston, </w:t>
      </w:r>
      <w:r w:rsidR="006A0624" w:rsidRPr="005B4BB7">
        <w:t>1897)</w:t>
      </w:r>
    </w:p>
    <w:p w14:paraId="05308058" w14:textId="4D033D9A" w:rsidR="00334B10" w:rsidRPr="0055314F" w:rsidRDefault="00334B10" w:rsidP="00390D09">
      <w:pPr>
        <w:spacing w:line="480" w:lineRule="auto"/>
        <w:ind w:hanging="720"/>
      </w:pPr>
      <w:r w:rsidRPr="00334B10">
        <w:t>Miller, W. R.</w:t>
      </w:r>
      <w:r>
        <w:t>, ed.,</w:t>
      </w:r>
      <w:r w:rsidRPr="00334B10">
        <w:t xml:space="preserve"> 'The </w:t>
      </w:r>
      <w:r>
        <w:t>P</w:t>
      </w:r>
      <w:r w:rsidRPr="00334B10">
        <w:t xml:space="preserve">opulist vision: A roundtable discussion', </w:t>
      </w:r>
      <w:r w:rsidRPr="00334B10">
        <w:rPr>
          <w:i/>
          <w:iCs/>
        </w:rPr>
        <w:t>Kansas History: A Journal of the Central Plains</w:t>
      </w:r>
      <w:r w:rsidR="00010713">
        <w:rPr>
          <w:i/>
          <w:iCs/>
        </w:rPr>
        <w:t>,</w:t>
      </w:r>
      <w:r w:rsidRPr="00334B10">
        <w:t xml:space="preserve"> 32 (2009), pp. 18–45.</w:t>
      </w:r>
    </w:p>
    <w:p w14:paraId="01F37174" w14:textId="2D051728" w:rsidR="00592942" w:rsidRPr="00592942" w:rsidRDefault="00592942" w:rsidP="00592942">
      <w:pPr>
        <w:spacing w:line="480" w:lineRule="auto"/>
        <w:ind w:hanging="720"/>
      </w:pPr>
      <w:bookmarkStart w:id="1" w:name="_Hlk104216530"/>
      <w:r w:rsidRPr="00592942">
        <w:t>Morrison, J. A.</w:t>
      </w:r>
      <w:r w:rsidR="000C3A60">
        <w:t>,</w:t>
      </w:r>
      <w:r w:rsidRPr="00592942">
        <w:t xml:space="preserve"> 'Shocking intellectual austerity: The role of ideas in the demise of the gold standard in </w:t>
      </w:r>
      <w:r w:rsidR="003B278E" w:rsidRPr="00592942">
        <w:t>Britain</w:t>
      </w:r>
      <w:r w:rsidRPr="00592942">
        <w:t xml:space="preserve">', </w:t>
      </w:r>
      <w:r w:rsidRPr="00592942">
        <w:rPr>
          <w:i/>
          <w:iCs/>
        </w:rPr>
        <w:t>International Organization</w:t>
      </w:r>
      <w:r w:rsidR="00010713">
        <w:rPr>
          <w:i/>
          <w:iCs/>
        </w:rPr>
        <w:t>,</w:t>
      </w:r>
      <w:r w:rsidRPr="00592942">
        <w:t xml:space="preserve"> 70 (2016), pp. 175-207.</w:t>
      </w:r>
    </w:p>
    <w:bookmarkEnd w:id="1"/>
    <w:p w14:paraId="4CB87778" w14:textId="1DB4156F" w:rsidR="00041F5F" w:rsidRPr="0055314F" w:rsidRDefault="00041F5F" w:rsidP="00041F5F">
      <w:pPr>
        <w:spacing w:line="480" w:lineRule="auto"/>
        <w:ind w:hanging="720"/>
      </w:pPr>
      <w:r w:rsidRPr="00041F5F">
        <w:t xml:space="preserve">Mudde, C. 'Populism in </w:t>
      </w:r>
      <w:r w:rsidR="005115C1" w:rsidRPr="00041F5F">
        <w:t>Europe</w:t>
      </w:r>
      <w:r w:rsidRPr="00041F5F">
        <w:t xml:space="preserve">: An illiberal democratic response to undemocratic liberalism', </w:t>
      </w:r>
      <w:r w:rsidRPr="00041F5F">
        <w:rPr>
          <w:i/>
          <w:iCs/>
        </w:rPr>
        <w:t>Government and Opposition</w:t>
      </w:r>
      <w:r w:rsidRPr="00041F5F">
        <w:t xml:space="preserve"> 56 (2021), pp. 577-597.</w:t>
      </w:r>
    </w:p>
    <w:p w14:paraId="09C812BB" w14:textId="4334893B" w:rsidR="00592942" w:rsidRPr="00592942" w:rsidRDefault="00592942" w:rsidP="00592942">
      <w:pPr>
        <w:spacing w:line="480" w:lineRule="auto"/>
        <w:ind w:hanging="720"/>
      </w:pPr>
      <w:r w:rsidRPr="00592942">
        <w:lastRenderedPageBreak/>
        <w:t xml:space="preserve">Mudde, C. and Rovira Kaltwasser, C., </w:t>
      </w:r>
      <w:r w:rsidR="003B278E" w:rsidRPr="00592942">
        <w:rPr>
          <w:i/>
          <w:iCs/>
        </w:rPr>
        <w:t>Populism:</w:t>
      </w:r>
      <w:r w:rsidRPr="00592942">
        <w:rPr>
          <w:i/>
          <w:iCs/>
        </w:rPr>
        <w:t xml:space="preserve"> A very short introduction</w:t>
      </w:r>
      <w:r w:rsidR="000C3A60">
        <w:t xml:space="preserve"> </w:t>
      </w:r>
      <w:r w:rsidRPr="00592942">
        <w:t>(</w:t>
      </w:r>
      <w:r>
        <w:t>Oxford</w:t>
      </w:r>
      <w:r w:rsidRPr="00592942">
        <w:t>, 2017).</w:t>
      </w:r>
    </w:p>
    <w:p w14:paraId="0017BB19" w14:textId="77777777" w:rsidR="00592942" w:rsidRPr="00592942" w:rsidRDefault="00592942" w:rsidP="00592942">
      <w:pPr>
        <w:spacing w:line="480" w:lineRule="auto"/>
        <w:ind w:hanging="720"/>
      </w:pPr>
      <w:r w:rsidRPr="00592942">
        <w:t xml:space="preserve">Müller, J.-W., </w:t>
      </w:r>
      <w:r w:rsidRPr="00592942">
        <w:rPr>
          <w:i/>
          <w:iCs/>
        </w:rPr>
        <w:t>What is populism?</w:t>
      </w:r>
      <w:r w:rsidRPr="00592942">
        <w:t xml:space="preserve"> (London, 2017).</w:t>
      </w:r>
    </w:p>
    <w:p w14:paraId="0F2B2782" w14:textId="6E959BEF" w:rsidR="00571D00" w:rsidRDefault="00571D00" w:rsidP="004270CC">
      <w:pPr>
        <w:spacing w:line="480" w:lineRule="auto"/>
        <w:ind w:hanging="720"/>
      </w:pPr>
      <w:r w:rsidRPr="000C3A60">
        <w:t xml:space="preserve">Oliver, J.E. and Rahn, W.M., </w:t>
      </w:r>
      <w:r w:rsidR="00701DDA" w:rsidRPr="000C3A60">
        <w:t>‘</w:t>
      </w:r>
      <w:r w:rsidRPr="000C3A60">
        <w:t xml:space="preserve">Rise of the </w:t>
      </w:r>
      <w:proofErr w:type="spellStart"/>
      <w:r w:rsidRPr="000C3A60">
        <w:t>Trumpenvolk</w:t>
      </w:r>
      <w:proofErr w:type="spellEnd"/>
      <w:r w:rsidRPr="000C3A60">
        <w:t>: Populism in the 2016 Election</w:t>
      </w:r>
      <w:r w:rsidR="00701DDA" w:rsidRPr="000C3A60">
        <w:t>’,</w:t>
      </w:r>
      <w:r w:rsidRPr="000C3A60">
        <w:t> </w:t>
      </w:r>
      <w:r w:rsidRPr="000C3A60">
        <w:rPr>
          <w:i/>
          <w:iCs/>
        </w:rPr>
        <w:t>The ANNALS of the American Academy of Political and Social Science</w:t>
      </w:r>
      <w:r w:rsidRPr="000C3A60">
        <w:t>, 667</w:t>
      </w:r>
      <w:r w:rsidR="00701DDA" w:rsidRPr="000C3A60">
        <w:t xml:space="preserve"> (2016)</w:t>
      </w:r>
      <w:r w:rsidRPr="000C3A60">
        <w:t>, pp.189-206.</w:t>
      </w:r>
    </w:p>
    <w:p w14:paraId="463B6C17" w14:textId="32B1C782" w:rsidR="00272C5C" w:rsidRDefault="00272C5C" w:rsidP="00C62997">
      <w:pPr>
        <w:spacing w:line="480" w:lineRule="auto"/>
        <w:ind w:hanging="720"/>
      </w:pPr>
      <w:r w:rsidRPr="00272C5C">
        <w:t>O'Rourke, K. H.</w:t>
      </w:r>
      <w:r w:rsidR="000C3A60">
        <w:t>,</w:t>
      </w:r>
      <w:r w:rsidRPr="00272C5C">
        <w:t xml:space="preserve"> </w:t>
      </w:r>
      <w:r w:rsidR="00010713">
        <w:t>‘</w:t>
      </w:r>
      <w:r w:rsidRPr="00272C5C">
        <w:t xml:space="preserve">Economists and the European democratic deficit', </w:t>
      </w:r>
      <w:r w:rsidRPr="00272C5C">
        <w:rPr>
          <w:i/>
          <w:iCs/>
        </w:rPr>
        <w:t>Critical Quarterly</w:t>
      </w:r>
      <w:r w:rsidR="00010713">
        <w:rPr>
          <w:i/>
          <w:iCs/>
        </w:rPr>
        <w:t>,</w:t>
      </w:r>
      <w:r w:rsidRPr="00272C5C">
        <w:t xml:space="preserve"> 57 (2015), pp. 121-126.</w:t>
      </w:r>
    </w:p>
    <w:p w14:paraId="31F26A5C" w14:textId="693F8B3C" w:rsidR="00D002BA" w:rsidRDefault="00D002BA" w:rsidP="00D002BA">
      <w:pPr>
        <w:spacing w:line="480" w:lineRule="auto"/>
        <w:ind w:hanging="720"/>
      </w:pPr>
      <w:r w:rsidRPr="00D002BA">
        <w:t>O'Rourke, K. H. and Sinnott, R.</w:t>
      </w:r>
      <w:r w:rsidR="000C3A60">
        <w:t>,</w:t>
      </w:r>
      <w:r w:rsidRPr="00D002BA">
        <w:t xml:space="preserve"> 'The determinants of individual trade policy preferences: International survey', </w:t>
      </w:r>
      <w:r w:rsidRPr="00D002BA">
        <w:rPr>
          <w:i/>
          <w:iCs/>
        </w:rPr>
        <w:t>Brookings Trade Forum</w:t>
      </w:r>
      <w:r w:rsidRPr="00D002BA">
        <w:t xml:space="preserve"> (2001), pp. 157-206.</w:t>
      </w:r>
    </w:p>
    <w:p w14:paraId="4694EC45" w14:textId="47BCC6A8" w:rsidR="00EC4F66" w:rsidRDefault="00EC4F66" w:rsidP="00EC4F66">
      <w:pPr>
        <w:spacing w:line="480" w:lineRule="auto"/>
        <w:ind w:hanging="720"/>
      </w:pPr>
      <w:r w:rsidRPr="00EC4F66">
        <w:t>O’Rourke, K. H. and Taylor, A. M.</w:t>
      </w:r>
      <w:r w:rsidR="000C3A60">
        <w:t>,</w:t>
      </w:r>
      <w:r w:rsidRPr="00EC4F66">
        <w:t xml:space="preserve"> 'Democracy and protectionism', in T. J. Hatton, K. H. O’Rourke and A. M. Taylor eds., </w:t>
      </w:r>
      <w:r w:rsidRPr="00EC4F66">
        <w:rPr>
          <w:i/>
          <w:iCs/>
        </w:rPr>
        <w:t xml:space="preserve">The new comparative economic history: Essays in </w:t>
      </w:r>
      <w:proofErr w:type="spellStart"/>
      <w:r w:rsidRPr="00EC4F66">
        <w:rPr>
          <w:i/>
          <w:iCs/>
        </w:rPr>
        <w:t>honor</w:t>
      </w:r>
      <w:proofErr w:type="spellEnd"/>
      <w:r w:rsidRPr="00EC4F66">
        <w:rPr>
          <w:i/>
          <w:iCs/>
        </w:rPr>
        <w:t xml:space="preserve"> of Jeffrey </w:t>
      </w:r>
      <w:r>
        <w:rPr>
          <w:i/>
          <w:iCs/>
        </w:rPr>
        <w:t>G</w:t>
      </w:r>
      <w:r w:rsidRPr="00EC4F66">
        <w:rPr>
          <w:i/>
          <w:iCs/>
        </w:rPr>
        <w:t>. Williamson</w:t>
      </w:r>
      <w:r w:rsidRPr="00EC4F66">
        <w:t xml:space="preserve"> (Cambridge, Massachusetts, 2007), pp. 193-216.</w:t>
      </w:r>
    </w:p>
    <w:p w14:paraId="24B47495" w14:textId="2902B88A" w:rsidR="00D002BA" w:rsidRPr="0055314F" w:rsidRDefault="00D002BA" w:rsidP="00D002BA">
      <w:pPr>
        <w:spacing w:line="480" w:lineRule="auto"/>
        <w:ind w:hanging="720"/>
      </w:pPr>
      <w:r w:rsidRPr="00D002BA">
        <w:t xml:space="preserve">O'Rourke, K. H. and Williamson, J. G., </w:t>
      </w:r>
      <w:r w:rsidRPr="00D002BA">
        <w:rPr>
          <w:i/>
          <w:iCs/>
        </w:rPr>
        <w:t>Globalization and history: The evolution of a nineteenth-century Atlantic economy</w:t>
      </w:r>
      <w:r w:rsidRPr="00D002BA">
        <w:t xml:space="preserve"> (Cambridge, Mass., 1999).</w:t>
      </w:r>
    </w:p>
    <w:p w14:paraId="1360FFCE" w14:textId="732DC99D" w:rsidR="00B75FA6" w:rsidRDefault="00B75FA6" w:rsidP="00B75FA6">
      <w:pPr>
        <w:spacing w:line="480" w:lineRule="auto"/>
        <w:ind w:hanging="720"/>
      </w:pPr>
      <w:proofErr w:type="spellStart"/>
      <w:r w:rsidRPr="00B75FA6">
        <w:t>Pavcnik</w:t>
      </w:r>
      <w:proofErr w:type="spellEnd"/>
      <w:r w:rsidRPr="00B75FA6">
        <w:t xml:space="preserve">, N. 'The impact of trade on inequality in developing countries', </w:t>
      </w:r>
      <w:r w:rsidR="000F2100">
        <w:rPr>
          <w:i/>
          <w:iCs/>
        </w:rPr>
        <w:t>NBER</w:t>
      </w:r>
      <w:r w:rsidRPr="00B75FA6">
        <w:rPr>
          <w:i/>
          <w:iCs/>
        </w:rPr>
        <w:t xml:space="preserve"> Working Paper Series</w:t>
      </w:r>
      <w:r w:rsidR="00010713">
        <w:rPr>
          <w:i/>
          <w:iCs/>
        </w:rPr>
        <w:t>,</w:t>
      </w:r>
      <w:r w:rsidRPr="00B75FA6">
        <w:t xml:space="preserve"> 23878 (2017).</w:t>
      </w:r>
    </w:p>
    <w:p w14:paraId="045BED01" w14:textId="3E9C8B90" w:rsidR="00D631A1" w:rsidRPr="0055314F" w:rsidRDefault="00D631A1" w:rsidP="00D631A1">
      <w:pPr>
        <w:spacing w:line="480" w:lineRule="auto"/>
        <w:ind w:hanging="720"/>
      </w:pPr>
      <w:r w:rsidRPr="00D631A1">
        <w:t xml:space="preserve">Persson, T. and </w:t>
      </w:r>
      <w:proofErr w:type="spellStart"/>
      <w:r w:rsidRPr="00D631A1">
        <w:t>Tabellini</w:t>
      </w:r>
      <w:proofErr w:type="spellEnd"/>
      <w:r w:rsidRPr="00D631A1">
        <w:t>, G.</w:t>
      </w:r>
      <w:r w:rsidR="000F2100">
        <w:t>,</w:t>
      </w:r>
      <w:r w:rsidRPr="00D631A1">
        <w:t xml:space="preserve"> 'Democratic capital: The nexus of political and economic change', </w:t>
      </w:r>
      <w:r w:rsidRPr="00D631A1">
        <w:rPr>
          <w:i/>
          <w:iCs/>
        </w:rPr>
        <w:t>American Economic Journal: Macroeconomics</w:t>
      </w:r>
      <w:r w:rsidR="00010713">
        <w:rPr>
          <w:i/>
          <w:iCs/>
        </w:rPr>
        <w:t>,</w:t>
      </w:r>
      <w:r w:rsidRPr="00D631A1">
        <w:t xml:space="preserve"> 1 (2009), pp. 88-126.</w:t>
      </w:r>
    </w:p>
    <w:p w14:paraId="51ECC504" w14:textId="3F996BE9" w:rsidR="00C14D20" w:rsidRDefault="00C14D20" w:rsidP="00D002BA">
      <w:pPr>
        <w:spacing w:line="480" w:lineRule="auto"/>
        <w:ind w:hanging="720"/>
      </w:pPr>
      <w:r w:rsidRPr="00C14D20">
        <w:t xml:space="preserve">Postel, C., </w:t>
      </w:r>
      <w:r w:rsidRPr="00C14D20">
        <w:rPr>
          <w:i/>
          <w:iCs/>
        </w:rPr>
        <w:t xml:space="preserve">The </w:t>
      </w:r>
      <w:r>
        <w:rPr>
          <w:i/>
          <w:iCs/>
        </w:rPr>
        <w:t>P</w:t>
      </w:r>
      <w:r w:rsidRPr="00C14D20">
        <w:rPr>
          <w:i/>
          <w:iCs/>
        </w:rPr>
        <w:t>opulist vision</w:t>
      </w:r>
      <w:r w:rsidRPr="00C14D20">
        <w:t xml:space="preserve"> (Oxford, 2007).</w:t>
      </w:r>
    </w:p>
    <w:p w14:paraId="3BCDDBA2" w14:textId="644D6F18" w:rsidR="002E2AB6" w:rsidRDefault="002E2AB6" w:rsidP="002E2AB6">
      <w:pPr>
        <w:spacing w:line="480" w:lineRule="auto"/>
        <w:ind w:hanging="720"/>
        <w:rPr>
          <w:lang w:val="en-IE"/>
        </w:rPr>
      </w:pPr>
      <w:r>
        <w:t>Postel, C., ‘</w:t>
      </w:r>
      <w:r w:rsidRPr="002E2AB6">
        <w:rPr>
          <w:lang w:val="en-IE"/>
        </w:rPr>
        <w:t>If Trump and Sanders Are Both Populists, What Does Populist Mean?</w:t>
      </w:r>
      <w:r>
        <w:rPr>
          <w:lang w:val="en-IE"/>
        </w:rPr>
        <w:t>’ The American Historian</w:t>
      </w:r>
      <w:r w:rsidR="00C16E9B">
        <w:rPr>
          <w:lang w:val="en-IE"/>
        </w:rPr>
        <w:t>, February (2016</w:t>
      </w:r>
      <w:r w:rsidR="00544C3E">
        <w:rPr>
          <w:lang w:val="en-IE"/>
        </w:rPr>
        <w:t>a</w:t>
      </w:r>
      <w:r w:rsidR="00C16E9B">
        <w:rPr>
          <w:lang w:val="en-IE"/>
        </w:rPr>
        <w:t xml:space="preserve">), available at </w:t>
      </w:r>
      <w:hyperlink r:id="rId10" w:history="1">
        <w:r w:rsidR="00C16E9B" w:rsidRPr="005A374A">
          <w:rPr>
            <w:rStyle w:val="Hyperlink"/>
            <w:lang w:val="en-IE"/>
          </w:rPr>
          <w:t>https://www.oah.org/tah/issues/2016/february/if-trump-and-sanders-are-both-populists-what-does-populist-mean/</w:t>
        </w:r>
      </w:hyperlink>
      <w:r w:rsidR="00C16E9B">
        <w:rPr>
          <w:lang w:val="en-IE"/>
        </w:rPr>
        <w:t xml:space="preserve"> (accessed 4 April, 2023).</w:t>
      </w:r>
    </w:p>
    <w:p w14:paraId="2358907A" w14:textId="02C1BDC8" w:rsidR="00544C3E" w:rsidRPr="00544C3E" w:rsidRDefault="00544C3E" w:rsidP="00544C3E">
      <w:pPr>
        <w:spacing w:line="480" w:lineRule="auto"/>
        <w:ind w:hanging="720"/>
      </w:pPr>
      <w:r w:rsidRPr="00544C3E">
        <w:t xml:space="preserve">Postel, C. 'The American populist and anti-populist legacy', in J. </w:t>
      </w:r>
      <w:proofErr w:type="spellStart"/>
      <w:r w:rsidRPr="00544C3E">
        <w:t>Abromeit</w:t>
      </w:r>
      <w:proofErr w:type="spellEnd"/>
      <w:r w:rsidRPr="00544C3E">
        <w:t xml:space="preserve">, Y. Norman, G. Marotta and B. M. Chesterton eds., </w:t>
      </w:r>
      <w:r w:rsidRPr="00544C3E">
        <w:rPr>
          <w:i/>
          <w:iCs/>
        </w:rPr>
        <w:t>Transformations of populism in Europe and the Americas : History and recent tendencies</w:t>
      </w:r>
      <w:r w:rsidRPr="00544C3E">
        <w:t>, (London, 2016</w:t>
      </w:r>
      <w:r w:rsidR="00A344BB">
        <w:t>b</w:t>
      </w:r>
      <w:r w:rsidRPr="00544C3E">
        <w:t>), pp. 116-135.</w:t>
      </w:r>
    </w:p>
    <w:p w14:paraId="21DD7290" w14:textId="16A2F326" w:rsidR="004270CC" w:rsidRPr="004270CC" w:rsidRDefault="004270CC" w:rsidP="004270CC">
      <w:pPr>
        <w:spacing w:line="480" w:lineRule="auto"/>
        <w:ind w:hanging="720"/>
      </w:pPr>
      <w:r w:rsidRPr="004270CC">
        <w:lastRenderedPageBreak/>
        <w:t>Rockoff, H.</w:t>
      </w:r>
      <w:r w:rsidR="000F2100">
        <w:t>,</w:t>
      </w:r>
      <w:r w:rsidRPr="004270CC">
        <w:t xml:space="preserve"> 'By way of analogy: The expansion of the federal government in the 1930s', in M. D. Bordo, C. Goldin and E. N. White eds., </w:t>
      </w:r>
      <w:r w:rsidRPr="004270CC">
        <w:rPr>
          <w:i/>
          <w:iCs/>
        </w:rPr>
        <w:t>The defining moment: The great depression and the American economy in the twentieth century</w:t>
      </w:r>
      <w:r w:rsidRPr="004270CC">
        <w:t xml:space="preserve"> (Chicago, 1998), pp. 125-154.</w:t>
      </w:r>
    </w:p>
    <w:p w14:paraId="010944C7" w14:textId="0456B87F" w:rsidR="004270CC" w:rsidRDefault="004270CC" w:rsidP="004270CC">
      <w:pPr>
        <w:spacing w:line="480" w:lineRule="auto"/>
        <w:ind w:hanging="720"/>
      </w:pPr>
      <w:r w:rsidRPr="004270CC">
        <w:t>Rockoff, H.</w:t>
      </w:r>
      <w:r w:rsidR="000F2100">
        <w:t>,</w:t>
      </w:r>
      <w:r w:rsidRPr="004270CC">
        <w:t xml:space="preserve"> 'Until it's over, over there: The us economy in world war </w:t>
      </w:r>
      <w:r w:rsidR="003B278E">
        <w:t>I</w:t>
      </w:r>
      <w:r w:rsidRPr="004270CC">
        <w:t xml:space="preserve">', in M. Harrison and S. </w:t>
      </w:r>
      <w:proofErr w:type="spellStart"/>
      <w:r w:rsidRPr="004270CC">
        <w:t>Broadberry</w:t>
      </w:r>
      <w:proofErr w:type="spellEnd"/>
      <w:r w:rsidRPr="004270CC">
        <w:t xml:space="preserve"> eds., </w:t>
      </w:r>
      <w:r w:rsidRPr="004270CC">
        <w:rPr>
          <w:i/>
          <w:iCs/>
        </w:rPr>
        <w:t xml:space="preserve">The economics of </w:t>
      </w:r>
      <w:r>
        <w:rPr>
          <w:i/>
          <w:iCs/>
        </w:rPr>
        <w:t>W</w:t>
      </w:r>
      <w:r w:rsidRPr="004270CC">
        <w:rPr>
          <w:i/>
          <w:iCs/>
        </w:rPr>
        <w:t xml:space="preserve">orld </w:t>
      </w:r>
      <w:r>
        <w:rPr>
          <w:i/>
          <w:iCs/>
        </w:rPr>
        <w:t>W</w:t>
      </w:r>
      <w:r w:rsidRPr="004270CC">
        <w:rPr>
          <w:i/>
          <w:iCs/>
        </w:rPr>
        <w:t xml:space="preserve">ar </w:t>
      </w:r>
      <w:r>
        <w:rPr>
          <w:i/>
          <w:iCs/>
        </w:rPr>
        <w:t>I</w:t>
      </w:r>
      <w:r w:rsidRPr="004270CC">
        <w:t xml:space="preserve"> (Cambridge, 2005), pp. 310-343.</w:t>
      </w:r>
    </w:p>
    <w:p w14:paraId="29888421" w14:textId="0DF0A2C0" w:rsidR="00592942" w:rsidRDefault="00592942" w:rsidP="00592942">
      <w:pPr>
        <w:spacing w:line="480" w:lineRule="auto"/>
        <w:ind w:hanging="720"/>
      </w:pPr>
      <w:r w:rsidRPr="00592942">
        <w:t>Rodrik, D.</w:t>
      </w:r>
      <w:r w:rsidR="00720C42">
        <w:t>,</w:t>
      </w:r>
      <w:r w:rsidRPr="00592942">
        <w:t xml:space="preserve"> 'Is populism necessarily bad economics?', </w:t>
      </w:r>
      <w:r w:rsidRPr="00592942">
        <w:rPr>
          <w:i/>
          <w:iCs/>
        </w:rPr>
        <w:t>AEA Papers and Proceedings</w:t>
      </w:r>
      <w:r w:rsidR="00010713">
        <w:rPr>
          <w:i/>
          <w:iCs/>
        </w:rPr>
        <w:t>,</w:t>
      </w:r>
      <w:r w:rsidRPr="00592942">
        <w:t xml:space="preserve"> 108 (2018), pp. 196-199.</w:t>
      </w:r>
    </w:p>
    <w:p w14:paraId="4139B1B0" w14:textId="5D2E5956" w:rsidR="00BE5506" w:rsidRPr="00592942" w:rsidRDefault="00BE5506" w:rsidP="00BE5506">
      <w:pPr>
        <w:spacing w:line="480" w:lineRule="auto"/>
        <w:ind w:hanging="720"/>
      </w:pPr>
      <w:r w:rsidRPr="00BE5506">
        <w:t xml:space="preserve">Rodrik, D. 'Why does globalization fuel populism? Economics, culture, and the rise of right-wing populism', </w:t>
      </w:r>
      <w:r w:rsidRPr="00BE5506">
        <w:rPr>
          <w:i/>
          <w:iCs/>
        </w:rPr>
        <w:t>Annual Review of Economics</w:t>
      </w:r>
      <w:r w:rsidRPr="00BE5506">
        <w:t xml:space="preserve"> 13 (2021), pp. 133-170.</w:t>
      </w:r>
    </w:p>
    <w:p w14:paraId="5B022991" w14:textId="3A9F57F9" w:rsidR="00D002BA" w:rsidRDefault="00D002BA" w:rsidP="00D002BA">
      <w:pPr>
        <w:spacing w:line="480" w:lineRule="auto"/>
        <w:ind w:hanging="720"/>
      </w:pPr>
      <w:r w:rsidRPr="00D002BA">
        <w:t xml:space="preserve">Rogowski, R., </w:t>
      </w:r>
      <w:r w:rsidRPr="00D002BA">
        <w:rPr>
          <w:i/>
          <w:iCs/>
        </w:rPr>
        <w:t xml:space="preserve">Commerce and </w:t>
      </w:r>
      <w:r w:rsidR="003B278E" w:rsidRPr="00D002BA">
        <w:rPr>
          <w:i/>
          <w:iCs/>
        </w:rPr>
        <w:t>coalitions:</w:t>
      </w:r>
      <w:r w:rsidRPr="00D002BA">
        <w:rPr>
          <w:i/>
          <w:iCs/>
        </w:rPr>
        <w:t xml:space="preserve"> How trade affects domestic political alignments</w:t>
      </w:r>
      <w:r w:rsidRPr="00D002BA">
        <w:t xml:space="preserve"> (Princeton, 1989).</w:t>
      </w:r>
    </w:p>
    <w:p w14:paraId="5609A19E" w14:textId="70A4C859" w:rsidR="00C70947" w:rsidRPr="0055314F" w:rsidRDefault="00C70947" w:rsidP="00D002BA">
      <w:pPr>
        <w:spacing w:line="480" w:lineRule="auto"/>
        <w:ind w:hanging="720"/>
      </w:pPr>
      <w:r w:rsidRPr="00C70947">
        <w:t>Rothermund</w:t>
      </w:r>
      <w:r w:rsidR="00824C21">
        <w:t>,</w:t>
      </w:r>
      <w:r w:rsidRPr="00C70947">
        <w:t xml:space="preserve"> D.</w:t>
      </w:r>
      <w:r w:rsidR="00824C21">
        <w:t>,</w:t>
      </w:r>
      <w:r w:rsidRPr="00C70947">
        <w:t xml:space="preserve"> </w:t>
      </w:r>
      <w:r>
        <w:t>The political consequences of the depression</w:t>
      </w:r>
      <w:r w:rsidRPr="00C70947">
        <w:t>: Fascism in Europe, populism in Latin America and freedom movements in the colonies. In</w:t>
      </w:r>
      <w:r>
        <w:t xml:space="preserve"> </w:t>
      </w:r>
      <w:r w:rsidRPr="00C70947">
        <w:rPr>
          <w:i/>
          <w:iCs/>
        </w:rPr>
        <w:t>The Global Impact of the Great Depression</w:t>
      </w:r>
      <w:r w:rsidRPr="00C70947">
        <w:t xml:space="preserve"> </w:t>
      </w:r>
      <w:r w:rsidRPr="00C70947">
        <w:rPr>
          <w:i/>
          <w:iCs/>
        </w:rPr>
        <w:t>1929-1939</w:t>
      </w:r>
      <w:r w:rsidRPr="00C70947">
        <w:t xml:space="preserve"> </w:t>
      </w:r>
      <w:r>
        <w:t>(</w:t>
      </w:r>
      <w:r w:rsidR="00824C21">
        <w:t xml:space="preserve">New York, </w:t>
      </w:r>
      <w:r>
        <w:t>1996)</w:t>
      </w:r>
      <w:r w:rsidR="0053121E">
        <w:t>, Chapter 14.</w:t>
      </w:r>
    </w:p>
    <w:p w14:paraId="16E59025" w14:textId="77FDF39B" w:rsidR="00592942" w:rsidRPr="00592942" w:rsidRDefault="00592942" w:rsidP="00592942">
      <w:pPr>
        <w:spacing w:line="480" w:lineRule="auto"/>
        <w:ind w:hanging="720"/>
      </w:pPr>
      <w:r w:rsidRPr="00592942">
        <w:t xml:space="preserve">Sartori, G., </w:t>
      </w:r>
      <w:r w:rsidRPr="00592942">
        <w:rPr>
          <w:i/>
          <w:iCs/>
        </w:rPr>
        <w:t>Parties and party systems: A framework for analysis</w:t>
      </w:r>
      <w:r w:rsidRPr="00592942">
        <w:t xml:space="preserve"> (Cambridge, 1976).</w:t>
      </w:r>
    </w:p>
    <w:p w14:paraId="6AA2C548" w14:textId="1B65EA0F" w:rsidR="00592942" w:rsidRPr="00592942" w:rsidRDefault="00592942" w:rsidP="00592942">
      <w:pPr>
        <w:spacing w:line="480" w:lineRule="auto"/>
        <w:ind w:hanging="720"/>
      </w:pPr>
      <w:r w:rsidRPr="00592942">
        <w:t>Shenton, J. P.</w:t>
      </w:r>
      <w:r w:rsidR="00720C42">
        <w:t>,</w:t>
      </w:r>
      <w:r w:rsidRPr="00592942">
        <w:t xml:space="preserve"> 'The </w:t>
      </w:r>
      <w:r>
        <w:t>C</w:t>
      </w:r>
      <w:r w:rsidRPr="00592942">
        <w:t xml:space="preserve">oughlin movement and the new deal', </w:t>
      </w:r>
      <w:r w:rsidRPr="00592942">
        <w:rPr>
          <w:i/>
          <w:iCs/>
        </w:rPr>
        <w:t>Political Science Quarterly</w:t>
      </w:r>
      <w:r w:rsidR="00010713">
        <w:rPr>
          <w:i/>
          <w:iCs/>
        </w:rPr>
        <w:t>,</w:t>
      </w:r>
      <w:r w:rsidRPr="00592942">
        <w:t xml:space="preserve"> 73 (1958), pp. 352-373.</w:t>
      </w:r>
    </w:p>
    <w:p w14:paraId="3755D628" w14:textId="377CDAD3" w:rsidR="00571D00" w:rsidRDefault="00571D00" w:rsidP="00720C42">
      <w:pPr>
        <w:spacing w:line="480" w:lineRule="auto"/>
        <w:ind w:hanging="720"/>
      </w:pPr>
      <w:r w:rsidRPr="000C3A60">
        <w:t xml:space="preserve">Silver, L., </w:t>
      </w:r>
      <w:r w:rsidR="00701DDA" w:rsidRPr="000C3A60">
        <w:t>‘</w:t>
      </w:r>
      <w:r w:rsidRPr="000C3A60">
        <w:t>How traditional and Populist Party support differs across Western Europe</w:t>
      </w:r>
      <w:r w:rsidR="00701DDA" w:rsidRPr="000C3A60">
        <w:t>’</w:t>
      </w:r>
      <w:r w:rsidRPr="000C3A60">
        <w:t>,</w:t>
      </w:r>
      <w:r w:rsidRPr="00701DDA">
        <w:t xml:space="preserve"> </w:t>
      </w:r>
      <w:r w:rsidR="00701DDA" w:rsidRPr="00701DDA">
        <w:t xml:space="preserve">Pew Research </w:t>
      </w:r>
      <w:proofErr w:type="spellStart"/>
      <w:r w:rsidR="00701DDA" w:rsidRPr="00701DDA">
        <w:t>Center</w:t>
      </w:r>
      <w:proofErr w:type="spellEnd"/>
      <w:r w:rsidR="00701DDA" w:rsidRPr="00701DDA">
        <w:t>. (20</w:t>
      </w:r>
      <w:r w:rsidR="0096320D">
        <w:t>18</w:t>
      </w:r>
      <w:r w:rsidR="00701DDA" w:rsidRPr="00701DDA">
        <w:t>) https://www.pewresearch.org/fact-tank/2018/09/12/how-traditional-and-populist-party-support-differs-across-western-europe/ (accessed on 18 Feb. 2023).</w:t>
      </w:r>
      <w:r w:rsidR="00701DDA">
        <w:t xml:space="preserve"> </w:t>
      </w:r>
    </w:p>
    <w:p w14:paraId="2855A36C" w14:textId="5FA50B51" w:rsidR="00B91AC9" w:rsidRDefault="00B91AC9" w:rsidP="00B91AC9">
      <w:pPr>
        <w:spacing w:line="480" w:lineRule="auto"/>
        <w:ind w:hanging="720"/>
      </w:pPr>
      <w:r w:rsidRPr="00B91AC9">
        <w:t xml:space="preserve">Slobodian, Q., </w:t>
      </w:r>
      <w:r w:rsidRPr="00B91AC9">
        <w:rPr>
          <w:i/>
          <w:iCs/>
        </w:rPr>
        <w:t>Globalists : The end of empire and the birth of neoliberalism</w:t>
      </w:r>
      <w:r w:rsidRPr="00B91AC9">
        <w:t xml:space="preserve"> (Cambridge, Massachusetts, 2018).</w:t>
      </w:r>
    </w:p>
    <w:p w14:paraId="2865C721" w14:textId="2FD10EA0" w:rsidR="00030F72" w:rsidRPr="0055314F" w:rsidRDefault="00030F72" w:rsidP="00030F72">
      <w:pPr>
        <w:spacing w:line="480" w:lineRule="auto"/>
        <w:ind w:hanging="720"/>
      </w:pPr>
      <w:r w:rsidRPr="00030F72">
        <w:t>Solow, R. E.</w:t>
      </w:r>
      <w:r w:rsidR="00720C42">
        <w:t>,</w:t>
      </w:r>
      <w:r w:rsidRPr="00030F72">
        <w:t xml:space="preserve"> 'Economics: Is something missing?', in W. N. Parker ed., </w:t>
      </w:r>
      <w:r w:rsidRPr="00030F72">
        <w:rPr>
          <w:i/>
          <w:iCs/>
        </w:rPr>
        <w:t>Economic history and the modern economist</w:t>
      </w:r>
      <w:r w:rsidRPr="00030F72">
        <w:t xml:space="preserve"> (Oxford, 1986), pp. 21-29.</w:t>
      </w:r>
    </w:p>
    <w:p w14:paraId="79474551" w14:textId="022AED6A" w:rsidR="00592942" w:rsidRPr="00592942" w:rsidRDefault="00592942" w:rsidP="00592942">
      <w:pPr>
        <w:spacing w:line="480" w:lineRule="auto"/>
        <w:ind w:hanging="720"/>
      </w:pPr>
      <w:proofErr w:type="spellStart"/>
      <w:r w:rsidRPr="00592942">
        <w:lastRenderedPageBreak/>
        <w:t>Spruyt</w:t>
      </w:r>
      <w:proofErr w:type="spellEnd"/>
      <w:r w:rsidRPr="00592942">
        <w:t xml:space="preserve">, B., </w:t>
      </w:r>
      <w:proofErr w:type="spellStart"/>
      <w:r w:rsidRPr="00592942">
        <w:t>Keppens</w:t>
      </w:r>
      <w:proofErr w:type="spellEnd"/>
      <w:r w:rsidRPr="00592942">
        <w:t xml:space="preserve">, G. and Van </w:t>
      </w:r>
      <w:proofErr w:type="spellStart"/>
      <w:r w:rsidRPr="00592942">
        <w:t>Droogenbroeck</w:t>
      </w:r>
      <w:proofErr w:type="spellEnd"/>
      <w:r w:rsidRPr="00592942">
        <w:t>, F.</w:t>
      </w:r>
      <w:r w:rsidR="00720C42">
        <w:t>,</w:t>
      </w:r>
      <w:r w:rsidRPr="00592942">
        <w:t xml:space="preserve"> 'Who supports populism and what attracts people to it?', </w:t>
      </w:r>
      <w:r w:rsidRPr="00592942">
        <w:rPr>
          <w:i/>
          <w:iCs/>
        </w:rPr>
        <w:t>Political Research Quarterly</w:t>
      </w:r>
      <w:r w:rsidR="00010713">
        <w:rPr>
          <w:i/>
          <w:iCs/>
        </w:rPr>
        <w:t>,</w:t>
      </w:r>
      <w:r w:rsidRPr="00592942">
        <w:t xml:space="preserve"> 69 (2016), pp. 335-346.</w:t>
      </w:r>
    </w:p>
    <w:p w14:paraId="0F4FCF71" w14:textId="43E2B474" w:rsidR="00571D00" w:rsidRPr="0055314F" w:rsidRDefault="00571D00" w:rsidP="004270CC">
      <w:pPr>
        <w:spacing w:line="480" w:lineRule="auto"/>
        <w:ind w:hanging="720"/>
      </w:pPr>
      <w:r w:rsidRPr="000C3A60">
        <w:t xml:space="preserve">Stein, H., </w:t>
      </w:r>
      <w:r w:rsidR="005C5F06" w:rsidRPr="000C3A60">
        <w:t>‘</w:t>
      </w:r>
      <w:r w:rsidRPr="000C3A60">
        <w:t>Pre-revolutionary fiscal policy: The regime of Herbert Hoover</w:t>
      </w:r>
      <w:r w:rsidR="005C5F06" w:rsidRPr="000C3A60">
        <w:t>’,</w:t>
      </w:r>
      <w:r w:rsidRPr="000C3A60">
        <w:t> </w:t>
      </w:r>
      <w:r w:rsidRPr="000C3A60">
        <w:rPr>
          <w:i/>
          <w:iCs/>
        </w:rPr>
        <w:t>The Journal of Law and Economics</w:t>
      </w:r>
      <w:r w:rsidR="00010713">
        <w:rPr>
          <w:i/>
          <w:iCs/>
        </w:rPr>
        <w:t>,</w:t>
      </w:r>
      <w:r w:rsidRPr="000C3A60">
        <w:t> 9</w:t>
      </w:r>
      <w:r w:rsidR="005C5F06" w:rsidRPr="000C3A60">
        <w:t xml:space="preserve"> (1966)</w:t>
      </w:r>
      <w:r w:rsidRPr="000C3A60">
        <w:t>, pp.189-223.</w:t>
      </w:r>
    </w:p>
    <w:p w14:paraId="3C1FFCB8" w14:textId="6B31A1C7" w:rsidR="00571D00" w:rsidRPr="0055314F" w:rsidRDefault="00571D00" w:rsidP="004270CC">
      <w:pPr>
        <w:spacing w:line="480" w:lineRule="auto"/>
        <w:ind w:hanging="720"/>
      </w:pPr>
      <w:r w:rsidRPr="000C3A60">
        <w:t>Taussig, F.W., </w:t>
      </w:r>
      <w:r w:rsidRPr="000C3A60">
        <w:rPr>
          <w:i/>
          <w:iCs/>
        </w:rPr>
        <w:t>The Silver Situation in the United States</w:t>
      </w:r>
      <w:r w:rsidRPr="000C3A60">
        <w:t xml:space="preserve"> </w:t>
      </w:r>
      <w:r w:rsidR="007414DD" w:rsidRPr="007414DD">
        <w:t>(Baltimore, 1892).</w:t>
      </w:r>
    </w:p>
    <w:p w14:paraId="539C040E" w14:textId="23184572" w:rsidR="00D631A1" w:rsidRDefault="00D631A1" w:rsidP="00D631A1">
      <w:pPr>
        <w:spacing w:line="480" w:lineRule="auto"/>
        <w:ind w:hanging="720"/>
      </w:pPr>
      <w:r w:rsidRPr="00D631A1">
        <w:t xml:space="preserve">Temin, P., </w:t>
      </w:r>
      <w:r w:rsidRPr="00D631A1">
        <w:rPr>
          <w:i/>
          <w:iCs/>
        </w:rPr>
        <w:t>Lessons from the great depression</w:t>
      </w:r>
      <w:r w:rsidRPr="00D631A1">
        <w:t xml:space="preserve"> (Cambridge, Massachusetts, 1989).</w:t>
      </w:r>
    </w:p>
    <w:p w14:paraId="3B176014" w14:textId="609DD4AC" w:rsidR="00BD2854" w:rsidRDefault="00BD2854" w:rsidP="00BD2854">
      <w:pPr>
        <w:spacing w:line="480" w:lineRule="auto"/>
        <w:ind w:hanging="720"/>
      </w:pPr>
      <w:r w:rsidRPr="00BD2854">
        <w:t>Wang, T.</w:t>
      </w:r>
      <w:r w:rsidR="00720C42">
        <w:t>,</w:t>
      </w:r>
      <w:r w:rsidRPr="00BD2854">
        <w:t xml:space="preserve"> 'Media, pulpit, and populist persuasion: Evidence from </w:t>
      </w:r>
      <w:r>
        <w:t>F</w:t>
      </w:r>
      <w:r w:rsidRPr="00BD2854">
        <w:t xml:space="preserve">ather </w:t>
      </w:r>
      <w:r>
        <w:t>C</w:t>
      </w:r>
      <w:r w:rsidRPr="00BD2854">
        <w:t xml:space="preserve">oughlin', </w:t>
      </w:r>
      <w:r w:rsidRPr="00BD2854">
        <w:rPr>
          <w:i/>
          <w:iCs/>
        </w:rPr>
        <w:t xml:space="preserve">American </w:t>
      </w:r>
      <w:r w:rsidRPr="0096320D">
        <w:rPr>
          <w:i/>
          <w:iCs/>
        </w:rPr>
        <w:t>Economic Review</w:t>
      </w:r>
      <w:r w:rsidR="00010713">
        <w:rPr>
          <w:i/>
          <w:iCs/>
        </w:rPr>
        <w:t>,</w:t>
      </w:r>
      <w:r w:rsidRPr="0096320D">
        <w:t xml:space="preserve"> 111 (2021), pp. 3064-3092.</w:t>
      </w:r>
    </w:p>
    <w:p w14:paraId="25CC156B" w14:textId="1EB1AE61" w:rsidR="00331EA8" w:rsidRPr="0096320D" w:rsidRDefault="00331EA8" w:rsidP="00BD2854">
      <w:pPr>
        <w:spacing w:line="480" w:lineRule="auto"/>
        <w:ind w:hanging="720"/>
      </w:pPr>
      <w:r w:rsidRPr="00331EA8">
        <w:t>Weintraub ER.</w:t>
      </w:r>
      <w:r>
        <w:t>,</w:t>
      </w:r>
      <w:r w:rsidRPr="00331EA8">
        <w:t xml:space="preserve"> </w:t>
      </w:r>
      <w:r>
        <w:t>‘</w:t>
      </w:r>
      <w:r w:rsidRPr="00331EA8">
        <w:t>MIT’s openness to Jewish economists.</w:t>
      </w:r>
      <w:r>
        <w:t>’</w:t>
      </w:r>
      <w:r w:rsidRPr="00331EA8">
        <w:t xml:space="preserve"> </w:t>
      </w:r>
      <w:r w:rsidRPr="00331EA8">
        <w:rPr>
          <w:i/>
          <w:iCs/>
        </w:rPr>
        <w:t>History of Political Economy</w:t>
      </w:r>
      <w:r>
        <w:rPr>
          <w:i/>
          <w:iCs/>
        </w:rPr>
        <w:t>,</w:t>
      </w:r>
      <w:r w:rsidRPr="00331EA8">
        <w:t xml:space="preserve"> 46</w:t>
      </w:r>
      <w:r>
        <w:t xml:space="preserve"> (2014), pp.</w:t>
      </w:r>
      <w:r w:rsidRPr="00331EA8">
        <w:t>45-59.</w:t>
      </w:r>
    </w:p>
    <w:p w14:paraId="139B17B4" w14:textId="78630ED5" w:rsidR="00BE2F45" w:rsidRDefault="00571D00" w:rsidP="00A76BF6">
      <w:pPr>
        <w:spacing w:line="480" w:lineRule="auto"/>
        <w:ind w:hanging="720"/>
        <w:rPr>
          <w:i/>
          <w:iCs/>
        </w:rPr>
      </w:pPr>
      <w:r w:rsidRPr="000C3A60">
        <w:t xml:space="preserve">Wike, R., </w:t>
      </w:r>
      <w:r w:rsidR="0096320D" w:rsidRPr="000C3A60">
        <w:t>‘</w:t>
      </w:r>
      <w:r w:rsidRPr="000C3A60">
        <w:t>5 charts showing where France's National Front draws its support</w:t>
      </w:r>
      <w:r w:rsidR="0096320D" w:rsidRPr="000C3A60">
        <w:t>’</w:t>
      </w:r>
      <w:r w:rsidRPr="000C3A60">
        <w:t xml:space="preserve">, </w:t>
      </w:r>
      <w:r w:rsidRPr="000C3A60">
        <w:rPr>
          <w:i/>
          <w:iCs/>
        </w:rPr>
        <w:t xml:space="preserve">Pew Research </w:t>
      </w:r>
      <w:proofErr w:type="spellStart"/>
      <w:r w:rsidRPr="000C3A60">
        <w:rPr>
          <w:i/>
          <w:iCs/>
        </w:rPr>
        <w:t>Center</w:t>
      </w:r>
      <w:proofErr w:type="spellEnd"/>
      <w:r w:rsidRPr="000C3A60">
        <w:t xml:space="preserve">. https://www.pewresearch.org/fact-tank/2017/04/21/5-charts-showing-where-frances-national-front-draws-its-support/ </w:t>
      </w:r>
      <w:r w:rsidR="0096320D" w:rsidRPr="000C3A60">
        <w:t xml:space="preserve">(2017) </w:t>
      </w:r>
      <w:r w:rsidRPr="000C3A60">
        <w:t>(</w:t>
      </w:r>
      <w:r w:rsidR="0096320D" w:rsidRPr="000C3A60">
        <w:t>a</w:t>
      </w:r>
      <w:r w:rsidRPr="000C3A60">
        <w:t>ccessed: 19</w:t>
      </w:r>
      <w:r w:rsidR="0096320D" w:rsidRPr="000C3A60">
        <w:t xml:space="preserve"> Feb</w:t>
      </w:r>
      <w:r w:rsidRPr="000C3A60">
        <w:t>2023).</w:t>
      </w:r>
      <w:r w:rsidRPr="0055314F">
        <w:t xml:space="preserve"> </w:t>
      </w:r>
    </w:p>
    <w:p w14:paraId="3A8F8537" w14:textId="77777777" w:rsidR="003C7CBC" w:rsidRDefault="003C7CBC">
      <w:pPr>
        <w:spacing w:line="480" w:lineRule="auto"/>
        <w:rPr>
          <w:i/>
          <w:iCs/>
        </w:rPr>
      </w:pPr>
    </w:p>
    <w:sectPr w:rsidR="003C7CBC" w:rsidSect="006E6371">
      <w:footerReference w:type="even" r:id="rId11"/>
      <w:footerReference w:type="default" r:id="rId12"/>
      <w:pgSz w:w="11900" w:h="16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6C5B18" w14:textId="77777777" w:rsidR="00570BC8" w:rsidRDefault="00570BC8" w:rsidP="006E6371">
      <w:r>
        <w:separator/>
      </w:r>
    </w:p>
  </w:endnote>
  <w:endnote w:type="continuationSeparator" w:id="0">
    <w:p w14:paraId="582FE6C4" w14:textId="77777777" w:rsidR="00570BC8" w:rsidRDefault="00570BC8" w:rsidP="006E6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1499256"/>
      <w:docPartObj>
        <w:docPartGallery w:val="Page Numbers (Bottom of Page)"/>
        <w:docPartUnique/>
      </w:docPartObj>
    </w:sdtPr>
    <w:sdtContent>
      <w:p w14:paraId="5A275B9E" w14:textId="50E0562D" w:rsidR="004550A2" w:rsidRDefault="004550A2" w:rsidP="007A08A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25</w:t>
        </w:r>
        <w:r>
          <w:rPr>
            <w:rStyle w:val="PageNumber"/>
          </w:rPr>
          <w:fldChar w:fldCharType="end"/>
        </w:r>
      </w:p>
    </w:sdtContent>
  </w:sdt>
  <w:p w14:paraId="5F30472C" w14:textId="77777777" w:rsidR="004550A2" w:rsidRDefault="004550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1834777"/>
      <w:docPartObj>
        <w:docPartGallery w:val="Page Numbers (Bottom of Page)"/>
        <w:docPartUnique/>
      </w:docPartObj>
    </w:sdtPr>
    <w:sdtContent>
      <w:p w14:paraId="2AC37A1B" w14:textId="15EDCB63" w:rsidR="004550A2" w:rsidRDefault="004550A2" w:rsidP="007A08A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1C4176D" w14:textId="77777777" w:rsidR="004550A2" w:rsidRDefault="004550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689F78" w14:textId="77777777" w:rsidR="00570BC8" w:rsidRDefault="00570BC8" w:rsidP="006E6371">
      <w:r>
        <w:separator/>
      </w:r>
    </w:p>
  </w:footnote>
  <w:footnote w:type="continuationSeparator" w:id="0">
    <w:p w14:paraId="678B221C" w14:textId="77777777" w:rsidR="00570BC8" w:rsidRDefault="00570BC8" w:rsidP="006E6371">
      <w:r>
        <w:continuationSeparator/>
      </w:r>
    </w:p>
  </w:footnote>
  <w:footnote w:id="1">
    <w:p w14:paraId="2E493BB5" w14:textId="0232535C" w:rsidR="007B6350" w:rsidRPr="007B6350" w:rsidRDefault="007B6350">
      <w:pPr>
        <w:pStyle w:val="FootnoteText"/>
      </w:pPr>
      <w:r>
        <w:rPr>
          <w:rStyle w:val="FootnoteReference"/>
        </w:rPr>
        <w:footnoteRef/>
      </w:r>
      <w:r>
        <w:t xml:space="preserve"> </w:t>
      </w:r>
      <w:proofErr w:type="spellStart"/>
      <w:r>
        <w:t>Eichengreen</w:t>
      </w:r>
      <w:proofErr w:type="spellEnd"/>
      <w:r>
        <w:t>, ‘</w:t>
      </w:r>
      <w:r w:rsidRPr="00A51C28">
        <w:rPr>
          <w:i/>
          <w:iCs/>
        </w:rPr>
        <w:t>Populist temptation’</w:t>
      </w:r>
      <w:r>
        <w:t xml:space="preserve">; </w:t>
      </w:r>
      <w:proofErr w:type="spellStart"/>
      <w:r w:rsidRPr="0055314F">
        <w:t>Guriev</w:t>
      </w:r>
      <w:proofErr w:type="spellEnd"/>
      <w:r w:rsidRPr="0055314F">
        <w:t xml:space="preserve"> and Papaioannou</w:t>
      </w:r>
      <w:r>
        <w:t xml:space="preserve">, </w:t>
      </w:r>
      <w:r w:rsidR="00A51C28">
        <w:t>‘</w:t>
      </w:r>
      <w:r>
        <w:t>P</w:t>
      </w:r>
      <w:r w:rsidRPr="007217E0">
        <w:t>olitical economy</w:t>
      </w:r>
      <w:r>
        <w:t>’</w:t>
      </w:r>
      <w:r w:rsidR="00A51C28">
        <w:t>.</w:t>
      </w:r>
    </w:p>
  </w:footnote>
  <w:footnote w:id="2">
    <w:p w14:paraId="484A494B" w14:textId="47C6091A" w:rsidR="00483A5A" w:rsidRPr="007742EA" w:rsidRDefault="00483A5A" w:rsidP="00483A5A">
      <w:pPr>
        <w:pStyle w:val="FootnoteText"/>
      </w:pPr>
      <w:r>
        <w:rPr>
          <w:rStyle w:val="FootnoteReference"/>
        </w:rPr>
        <w:footnoteRef/>
      </w:r>
      <w:r>
        <w:t xml:space="preserve"> This focus reflects our comparative advantage; we do not deny that identity politics and other cultural factors may fuel populism, in addition to the economic grievances that we discuss.</w:t>
      </w:r>
    </w:p>
  </w:footnote>
  <w:footnote w:id="3">
    <w:p w14:paraId="29FF11DC" w14:textId="2B7D0B44" w:rsidR="007B6350" w:rsidRPr="007B6350" w:rsidRDefault="007B6350">
      <w:pPr>
        <w:pStyle w:val="FootnoteText"/>
      </w:pPr>
      <w:r>
        <w:rPr>
          <w:rStyle w:val="FootnoteReference"/>
        </w:rPr>
        <w:footnoteRef/>
      </w:r>
      <w:r>
        <w:t xml:space="preserve"> C</w:t>
      </w:r>
      <w:r w:rsidRPr="0055314F">
        <w:t xml:space="preserve">ited in Frank, </w:t>
      </w:r>
      <w:r>
        <w:t>‘The people’</w:t>
      </w:r>
      <w:r w:rsidRPr="0055314F">
        <w:t>, p. 205</w:t>
      </w:r>
      <w:r w:rsidR="00A51C28">
        <w:t>.</w:t>
      </w:r>
    </w:p>
  </w:footnote>
  <w:footnote w:id="4">
    <w:p w14:paraId="576E73EA" w14:textId="5FAAADAE" w:rsidR="004550A2" w:rsidRPr="00401944" w:rsidRDefault="004550A2" w:rsidP="00401944">
      <w:pPr>
        <w:pStyle w:val="FootnoteText"/>
        <w:rPr>
          <w:lang w:val="en-US"/>
        </w:rPr>
      </w:pPr>
      <w:r>
        <w:rPr>
          <w:rStyle w:val="FootnoteReference"/>
        </w:rPr>
        <w:footnoteRef/>
      </w:r>
      <w:r>
        <w:t xml:space="preserve"> </w:t>
      </w:r>
      <w:r w:rsidR="00523D4D" w:rsidRPr="00523D4D">
        <w:rPr>
          <w:lang w:val="en-US"/>
        </w:rPr>
        <w:t>Lawrence Goodwyn, “</w:t>
      </w:r>
      <w:r w:rsidR="00523D4D" w:rsidRPr="00523D4D">
        <w:t>What a Populist Was, and Why Carter Isn't On</w:t>
      </w:r>
      <w:r w:rsidR="00523D4D" w:rsidRPr="00523D4D">
        <w:rPr>
          <w:lang w:val="en-US"/>
        </w:rPr>
        <w:t xml:space="preserve">e”, New York Times, 6 November, 1977. Available at </w:t>
      </w:r>
      <w:hyperlink r:id="rId1" w:history="1">
        <w:r w:rsidR="00523D4D" w:rsidRPr="00523D4D">
          <w:rPr>
            <w:rStyle w:val="Hyperlink"/>
            <w:lang w:val="en-US"/>
          </w:rPr>
          <w:t>https://www.nytimes.com/1977/11/06/archives/what-a-populist-was-and-why-carter-isnt-one.html</w:t>
        </w:r>
      </w:hyperlink>
      <w:r w:rsidR="00523D4D" w:rsidRPr="00523D4D">
        <w:rPr>
          <w:lang w:val="en-US"/>
        </w:rPr>
        <w:t xml:space="preserve"> (accessed March 17, 2022).</w:t>
      </w:r>
    </w:p>
    <w:p w14:paraId="2A3B2849" w14:textId="4361CE78" w:rsidR="004550A2" w:rsidRPr="00AE4694" w:rsidRDefault="004550A2">
      <w:pPr>
        <w:pStyle w:val="FootnoteText"/>
        <w:rPr>
          <w:lang w:val="en-US"/>
        </w:rPr>
      </w:pPr>
    </w:p>
  </w:footnote>
  <w:footnote w:id="5">
    <w:p w14:paraId="4595CBDD" w14:textId="0024E56E" w:rsidR="00A51C28" w:rsidRPr="00A51C28" w:rsidRDefault="00A51C28">
      <w:pPr>
        <w:pStyle w:val="FootnoteText"/>
        <w:rPr>
          <w:lang w:val="de-DE"/>
        </w:rPr>
      </w:pPr>
      <w:r>
        <w:rPr>
          <w:rStyle w:val="FootnoteReference"/>
        </w:rPr>
        <w:footnoteRef/>
      </w:r>
      <w:r w:rsidRPr="00A51C28">
        <w:rPr>
          <w:lang w:val="de-DE"/>
        </w:rPr>
        <w:t xml:space="preserve"> Mudde and Kaltwasser, ‘</w:t>
      </w:r>
      <w:proofErr w:type="spellStart"/>
      <w:r w:rsidRPr="00A51C28">
        <w:rPr>
          <w:i/>
          <w:iCs/>
          <w:lang w:val="de-DE"/>
        </w:rPr>
        <w:t>Populism</w:t>
      </w:r>
      <w:proofErr w:type="spellEnd"/>
      <w:r w:rsidRPr="00A51C28">
        <w:rPr>
          <w:i/>
          <w:iCs/>
          <w:lang w:val="de-DE"/>
        </w:rPr>
        <w:t>’</w:t>
      </w:r>
      <w:r w:rsidRPr="00A51C28">
        <w:rPr>
          <w:lang w:val="de-DE"/>
        </w:rPr>
        <w:t>, pp. 5-6)</w:t>
      </w:r>
    </w:p>
  </w:footnote>
  <w:footnote w:id="6">
    <w:p w14:paraId="6E775273" w14:textId="349C73C9" w:rsidR="006E31CF" w:rsidRPr="006E31CF" w:rsidRDefault="006E31CF">
      <w:pPr>
        <w:pStyle w:val="FootnoteText"/>
      </w:pPr>
      <w:r>
        <w:rPr>
          <w:rStyle w:val="FootnoteReference"/>
        </w:rPr>
        <w:footnoteRef/>
      </w:r>
      <w:r>
        <w:t xml:space="preserve"> </w:t>
      </w:r>
      <w:r w:rsidRPr="0055314F">
        <w:t xml:space="preserve">Müller </w:t>
      </w:r>
      <w:r>
        <w:t>‘</w:t>
      </w:r>
      <w:r w:rsidRPr="006E31CF">
        <w:rPr>
          <w:i/>
          <w:iCs/>
        </w:rPr>
        <w:t>What is populism</w:t>
      </w:r>
      <w:r>
        <w:t>?’</w:t>
      </w:r>
      <w:r w:rsidRPr="006E31CF">
        <w:t>, pp. 2-3, 19-20</w:t>
      </w:r>
    </w:p>
  </w:footnote>
  <w:footnote w:id="7">
    <w:p w14:paraId="11410D02" w14:textId="2A719138" w:rsidR="004550A2" w:rsidRPr="006B6679" w:rsidRDefault="004550A2">
      <w:pPr>
        <w:pStyle w:val="FootnoteText"/>
        <w:rPr>
          <w:lang w:val="en-IE"/>
        </w:rPr>
      </w:pPr>
      <w:r>
        <w:rPr>
          <w:rStyle w:val="FootnoteReference"/>
        </w:rPr>
        <w:footnoteRef/>
      </w:r>
      <w:r>
        <w:t xml:space="preserve"> This is related to Mudde’s concept of ‘monism’, according to which populists reject pluralism, believing that there are only two groups in society (the people and the elites), only one of which (the people, all of whom share the same interests and values) is legitimate.</w:t>
      </w:r>
      <w:r w:rsidR="006E31CF">
        <w:t xml:space="preserve"> See Mudde, ‘Populism in Europe’, p. 579.</w:t>
      </w:r>
    </w:p>
  </w:footnote>
  <w:footnote w:id="8">
    <w:p w14:paraId="2ED485FD" w14:textId="033E5452" w:rsidR="006E31CF" w:rsidRPr="006E31CF" w:rsidRDefault="006E31CF">
      <w:pPr>
        <w:pStyle w:val="FootnoteText"/>
      </w:pPr>
      <w:r>
        <w:rPr>
          <w:rStyle w:val="FootnoteReference"/>
        </w:rPr>
        <w:footnoteRef/>
      </w:r>
      <w:r>
        <w:t xml:space="preserve"> </w:t>
      </w:r>
      <w:proofErr w:type="spellStart"/>
      <w:r>
        <w:t>Eichengreen</w:t>
      </w:r>
      <w:proofErr w:type="spellEnd"/>
      <w:r>
        <w:t>, ‘</w:t>
      </w:r>
      <w:r w:rsidRPr="006E31CF">
        <w:rPr>
          <w:i/>
          <w:iCs/>
        </w:rPr>
        <w:t>Populist temptation</w:t>
      </w:r>
      <w:r>
        <w:t>’,</w:t>
      </w:r>
      <w:r w:rsidRPr="0055314F">
        <w:t xml:space="preserve"> p. 1</w:t>
      </w:r>
      <w:r>
        <w:t>.</w:t>
      </w:r>
    </w:p>
  </w:footnote>
  <w:footnote w:id="9">
    <w:p w14:paraId="0D77DAF3" w14:textId="7F575818" w:rsidR="00091FD3" w:rsidRPr="007B6350" w:rsidRDefault="00091FD3" w:rsidP="00091FD3">
      <w:pPr>
        <w:pStyle w:val="FootnoteText"/>
      </w:pPr>
      <w:r>
        <w:rPr>
          <w:rStyle w:val="FootnoteReference"/>
        </w:rPr>
        <w:footnoteRef/>
      </w:r>
      <w:r>
        <w:t xml:space="preserve"> </w:t>
      </w:r>
      <w:r w:rsidR="0054469A">
        <w:t>i</w:t>
      </w:r>
      <w:r>
        <w:t xml:space="preserve">bid. p.7 ; </w:t>
      </w:r>
      <w:proofErr w:type="spellStart"/>
      <w:r w:rsidRPr="0055314F">
        <w:t>Guriev</w:t>
      </w:r>
      <w:proofErr w:type="spellEnd"/>
      <w:r w:rsidRPr="0055314F">
        <w:t xml:space="preserve"> and Papaioannou</w:t>
      </w:r>
      <w:r>
        <w:t>, ‘P</w:t>
      </w:r>
      <w:r w:rsidRPr="007217E0">
        <w:t>olitical economy</w:t>
      </w:r>
      <w:r>
        <w:t>’, p.761.</w:t>
      </w:r>
    </w:p>
    <w:p w14:paraId="2532279A" w14:textId="4A1760B0" w:rsidR="00091FD3" w:rsidRPr="00091FD3" w:rsidRDefault="00091FD3">
      <w:pPr>
        <w:pStyle w:val="FootnoteText"/>
      </w:pPr>
    </w:p>
  </w:footnote>
  <w:footnote w:id="10">
    <w:p w14:paraId="74B144AE" w14:textId="1EFAE23E" w:rsidR="006E31CF" w:rsidRPr="006E31CF" w:rsidRDefault="006E31CF">
      <w:pPr>
        <w:pStyle w:val="FootnoteText"/>
      </w:pPr>
      <w:r>
        <w:rPr>
          <w:rStyle w:val="FootnoteReference"/>
        </w:rPr>
        <w:footnoteRef/>
      </w:r>
      <w:r>
        <w:t xml:space="preserve"> Postel, ‘Trump and Sanders’</w:t>
      </w:r>
    </w:p>
  </w:footnote>
  <w:footnote w:id="11">
    <w:p w14:paraId="73402C30" w14:textId="5C648CCC" w:rsidR="006E31CF" w:rsidRPr="006E31CF" w:rsidRDefault="006E31CF">
      <w:pPr>
        <w:pStyle w:val="FootnoteText"/>
      </w:pPr>
      <w:r>
        <w:rPr>
          <w:rStyle w:val="FootnoteReference"/>
        </w:rPr>
        <w:footnoteRef/>
      </w:r>
      <w:r>
        <w:t xml:space="preserve"> Postel, ‘</w:t>
      </w:r>
      <w:r w:rsidRPr="006E31CF">
        <w:rPr>
          <w:i/>
          <w:iCs/>
        </w:rPr>
        <w:t>Populist vision</w:t>
      </w:r>
      <w:r>
        <w:t>’, pp. 12-13.</w:t>
      </w:r>
    </w:p>
  </w:footnote>
  <w:footnote w:id="12">
    <w:p w14:paraId="3CFA3634" w14:textId="497BD57B" w:rsidR="00525C1D" w:rsidRPr="00525C1D" w:rsidRDefault="00525C1D">
      <w:pPr>
        <w:pStyle w:val="FootnoteText"/>
      </w:pPr>
      <w:r>
        <w:rPr>
          <w:rStyle w:val="FootnoteReference"/>
        </w:rPr>
        <w:footnoteRef/>
      </w:r>
      <w:r>
        <w:t xml:space="preserve"> Hofstadter ‘</w:t>
      </w:r>
      <w:r>
        <w:rPr>
          <w:i/>
          <w:iCs/>
        </w:rPr>
        <w:t>A</w:t>
      </w:r>
      <w:r w:rsidRPr="00525C1D">
        <w:rPr>
          <w:i/>
          <w:iCs/>
        </w:rPr>
        <w:t>ge of reform</w:t>
      </w:r>
      <w:r>
        <w:t>’</w:t>
      </w:r>
    </w:p>
  </w:footnote>
  <w:footnote w:id="13">
    <w:p w14:paraId="38F43FD2" w14:textId="2C7E02DD" w:rsidR="00525C1D" w:rsidRPr="00525C1D" w:rsidRDefault="00525C1D">
      <w:pPr>
        <w:pStyle w:val="FootnoteText"/>
      </w:pPr>
      <w:r>
        <w:rPr>
          <w:rStyle w:val="FootnoteReference"/>
        </w:rPr>
        <w:footnoteRef/>
      </w:r>
      <w:r>
        <w:t xml:space="preserve"> </w:t>
      </w:r>
      <w:r w:rsidRPr="00525C1D">
        <w:t xml:space="preserve">Müller, </w:t>
      </w:r>
      <w:r>
        <w:t>‘</w:t>
      </w:r>
      <w:r w:rsidRPr="00525C1D">
        <w:rPr>
          <w:i/>
          <w:iCs/>
        </w:rPr>
        <w:t>What is populism?</w:t>
      </w:r>
      <w:r>
        <w:rPr>
          <w:i/>
          <w:iCs/>
        </w:rPr>
        <w:t>’</w:t>
      </w:r>
      <w:r w:rsidRPr="0055314F">
        <w:t>, pp. 85-91</w:t>
      </w:r>
      <w:r>
        <w:t>.</w:t>
      </w:r>
    </w:p>
  </w:footnote>
  <w:footnote w:id="14">
    <w:p w14:paraId="07D9BB5B" w14:textId="03CDB966" w:rsidR="002908A0" w:rsidRPr="002908A0" w:rsidRDefault="002908A0">
      <w:pPr>
        <w:pStyle w:val="FootnoteText"/>
      </w:pPr>
      <w:r>
        <w:rPr>
          <w:rStyle w:val="FootnoteReference"/>
        </w:rPr>
        <w:footnoteRef/>
      </w:r>
      <w:r>
        <w:t xml:space="preserve"> </w:t>
      </w:r>
      <w:proofErr w:type="spellStart"/>
      <w:r>
        <w:t>Eichengreen</w:t>
      </w:r>
      <w:proofErr w:type="spellEnd"/>
      <w:r>
        <w:t>, ‘</w:t>
      </w:r>
      <w:r w:rsidRPr="00A51C28">
        <w:rPr>
          <w:i/>
          <w:iCs/>
        </w:rPr>
        <w:t>Populist temptation’</w:t>
      </w:r>
    </w:p>
  </w:footnote>
  <w:footnote w:id="15">
    <w:p w14:paraId="48E9E7DA" w14:textId="4BB21223" w:rsidR="00525C1D" w:rsidRPr="00525C1D" w:rsidRDefault="00525C1D">
      <w:pPr>
        <w:pStyle w:val="FootnoteText"/>
      </w:pPr>
      <w:r>
        <w:rPr>
          <w:rStyle w:val="FootnoteReference"/>
        </w:rPr>
        <w:footnoteRef/>
      </w:r>
      <w:r>
        <w:t xml:space="preserve"> Hofstadter ‘</w:t>
      </w:r>
      <w:r>
        <w:rPr>
          <w:i/>
          <w:iCs/>
        </w:rPr>
        <w:t>A</w:t>
      </w:r>
      <w:r w:rsidRPr="00525C1D">
        <w:rPr>
          <w:i/>
          <w:iCs/>
        </w:rPr>
        <w:t>ge of reform</w:t>
      </w:r>
      <w:r>
        <w:t>’, p.80.</w:t>
      </w:r>
    </w:p>
  </w:footnote>
  <w:footnote w:id="16">
    <w:p w14:paraId="60EB21F2" w14:textId="77777777" w:rsidR="004550A2" w:rsidRDefault="004550A2" w:rsidP="00363BCF">
      <w:pPr>
        <w:pStyle w:val="FootnoteText"/>
      </w:pPr>
      <w:r>
        <w:rPr>
          <w:rStyle w:val="FootnoteReference"/>
        </w:rPr>
        <w:footnoteRef/>
      </w:r>
      <w:r>
        <w:t xml:space="preserve"> See </w:t>
      </w:r>
      <w:hyperlink r:id="rId2" w:history="1">
        <w:r w:rsidRPr="000B4858">
          <w:rPr>
            <w:rStyle w:val="Hyperlink"/>
          </w:rPr>
          <w:t>http://historymatters.gmu.edu/d/5361/</w:t>
        </w:r>
      </w:hyperlink>
      <w:r>
        <w:t xml:space="preserve"> (accessed 21 April, 2022).</w:t>
      </w:r>
    </w:p>
  </w:footnote>
  <w:footnote w:id="17">
    <w:p w14:paraId="0A4470C5" w14:textId="4F404FBA" w:rsidR="002908A0" w:rsidRPr="002908A0" w:rsidRDefault="002908A0">
      <w:pPr>
        <w:pStyle w:val="FootnoteText"/>
      </w:pPr>
      <w:r>
        <w:rPr>
          <w:rStyle w:val="FootnoteReference"/>
        </w:rPr>
        <w:footnoteRef/>
      </w:r>
      <w:r>
        <w:t xml:space="preserve"> Postel, ‘</w:t>
      </w:r>
      <w:r w:rsidRPr="006E31CF">
        <w:rPr>
          <w:i/>
          <w:iCs/>
        </w:rPr>
        <w:t>Populist vision</w:t>
      </w:r>
      <w:r>
        <w:t>’, pp. 18-19.</w:t>
      </w:r>
    </w:p>
  </w:footnote>
  <w:footnote w:id="18">
    <w:p w14:paraId="4451F9BE" w14:textId="3860C63B" w:rsidR="002908A0" w:rsidRPr="002908A0" w:rsidRDefault="002908A0">
      <w:pPr>
        <w:pStyle w:val="FootnoteText"/>
      </w:pPr>
      <w:r>
        <w:rPr>
          <w:rStyle w:val="FootnoteReference"/>
        </w:rPr>
        <w:footnoteRef/>
      </w:r>
      <w:r>
        <w:t xml:space="preserve"> </w:t>
      </w:r>
      <w:r w:rsidR="00CD6EC1">
        <w:t>Brown, ‘</w:t>
      </w:r>
      <w:r w:rsidR="00CD6EC1" w:rsidRPr="00D631A1">
        <w:rPr>
          <w:i/>
          <w:iCs/>
        </w:rPr>
        <w:t>Hofstadter</w:t>
      </w:r>
      <w:r w:rsidR="00091FD3">
        <w:rPr>
          <w:i/>
          <w:iCs/>
        </w:rPr>
        <w:t>’</w:t>
      </w:r>
      <w:r w:rsidR="00CD6EC1" w:rsidRPr="00CD6EC1">
        <w:t>, p.118.</w:t>
      </w:r>
    </w:p>
  </w:footnote>
  <w:footnote w:id="19">
    <w:p w14:paraId="280694FD" w14:textId="73A19049" w:rsidR="004550A2" w:rsidRPr="008B1EDB" w:rsidRDefault="004550A2" w:rsidP="008B1EDB">
      <w:pPr>
        <w:pStyle w:val="FootnoteText"/>
        <w:rPr>
          <w:lang w:val="en-US"/>
        </w:rPr>
      </w:pPr>
      <w:r>
        <w:rPr>
          <w:rStyle w:val="FootnoteReference"/>
        </w:rPr>
        <w:footnoteRef/>
      </w:r>
      <w:r>
        <w:t xml:space="preserve"> </w:t>
      </w:r>
      <w:r w:rsidR="00CD6EC1">
        <w:t>Miller, ‘Populist vision</w:t>
      </w:r>
      <w:r w:rsidR="00091FD3">
        <w:t>,</w:t>
      </w:r>
      <w:r w:rsidR="00CD6EC1">
        <w:t xml:space="preserve">’ p.34. </w:t>
      </w:r>
      <w:r w:rsidR="008B1EDB">
        <w:t xml:space="preserve">According to </w:t>
      </w:r>
      <w:r w:rsidR="00CB2C98">
        <w:rPr>
          <w:lang w:val="en-US"/>
        </w:rPr>
        <w:t>Paul Samuelson</w:t>
      </w:r>
      <w:r w:rsidR="008B1EDB">
        <w:rPr>
          <w:lang w:val="en-US"/>
        </w:rPr>
        <w:t xml:space="preserve"> </w:t>
      </w:r>
      <w:r w:rsidR="003E2FEC">
        <w:rPr>
          <w:lang w:val="en-US"/>
        </w:rPr>
        <w:t>‘</w:t>
      </w:r>
      <w:r w:rsidR="008B1EDB" w:rsidRPr="008B1EDB">
        <w:rPr>
          <w:lang w:val="en-AE"/>
        </w:rPr>
        <w:t>Anti-Semitism was omni-present in pre-World War II academic life</w:t>
      </w:r>
      <w:r w:rsidR="003E2FEC">
        <w:rPr>
          <w:lang w:val="en-US"/>
        </w:rPr>
        <w:t>’</w:t>
      </w:r>
      <w:r w:rsidR="00CD6EC1">
        <w:rPr>
          <w:lang w:val="en-US"/>
        </w:rPr>
        <w:t xml:space="preserve">. </w:t>
      </w:r>
      <w:r w:rsidR="00416DBF">
        <w:rPr>
          <w:lang w:val="en-US"/>
        </w:rPr>
        <w:t>S</w:t>
      </w:r>
      <w:r w:rsidR="00CD6EC1">
        <w:rPr>
          <w:lang w:val="en-US"/>
        </w:rPr>
        <w:t>ee</w:t>
      </w:r>
      <w:r w:rsidR="00416DBF">
        <w:rPr>
          <w:lang w:val="en-US"/>
        </w:rPr>
        <w:t xml:space="preserve"> </w:t>
      </w:r>
      <w:r w:rsidR="008B1EDB">
        <w:rPr>
          <w:lang w:val="en-US"/>
        </w:rPr>
        <w:t xml:space="preserve">Barnett, </w:t>
      </w:r>
      <w:r w:rsidR="00CD6EC1">
        <w:rPr>
          <w:lang w:val="en-US"/>
        </w:rPr>
        <w:t>‘Interview’</w:t>
      </w:r>
      <w:r w:rsidR="008B1EDB">
        <w:rPr>
          <w:lang w:val="en-US"/>
        </w:rPr>
        <w:t>, p. 531. See also Weintraub</w:t>
      </w:r>
      <w:r w:rsidR="00416DBF">
        <w:rPr>
          <w:lang w:val="en-US"/>
        </w:rPr>
        <w:t>,</w:t>
      </w:r>
      <w:r w:rsidR="008B1EDB">
        <w:rPr>
          <w:lang w:val="en-US"/>
        </w:rPr>
        <w:t xml:space="preserve"> </w:t>
      </w:r>
      <w:r w:rsidR="00416DBF">
        <w:rPr>
          <w:lang w:val="en-US"/>
        </w:rPr>
        <w:t>‘MIT’s openness’</w:t>
      </w:r>
      <w:r w:rsidR="00CA6D03">
        <w:rPr>
          <w:lang w:val="en-US"/>
        </w:rPr>
        <w:t xml:space="preserve"> on anti-Semitism in the economics profession</w:t>
      </w:r>
      <w:r w:rsidR="008B1EDB">
        <w:rPr>
          <w:lang w:val="en-US"/>
        </w:rPr>
        <w:t>. It would be curious indeed if the anti-Semitism of</w:t>
      </w:r>
      <w:r w:rsidR="00CA6D03">
        <w:rPr>
          <w:lang w:val="en-US"/>
        </w:rPr>
        <w:t xml:space="preserve"> such mid-20</w:t>
      </w:r>
      <w:r w:rsidR="00CA6D03" w:rsidRPr="00CA6D03">
        <w:rPr>
          <w:vertAlign w:val="superscript"/>
          <w:lang w:val="en-US"/>
        </w:rPr>
        <w:t>th</w:t>
      </w:r>
      <w:r w:rsidR="00CA6D03">
        <w:rPr>
          <w:lang w:val="en-US"/>
        </w:rPr>
        <w:t xml:space="preserve"> century academic luminaries as</w:t>
      </w:r>
      <w:r w:rsidR="008B1EDB">
        <w:rPr>
          <w:lang w:val="en-US"/>
        </w:rPr>
        <w:t xml:space="preserve"> the chairman of the Harvard economics department</w:t>
      </w:r>
      <w:r w:rsidR="00CA6D03">
        <w:rPr>
          <w:lang w:val="en-US"/>
        </w:rPr>
        <w:t>, or</w:t>
      </w:r>
      <w:r w:rsidR="008B1EDB">
        <w:rPr>
          <w:lang w:val="en-US"/>
        </w:rPr>
        <w:t xml:space="preserve"> the president of Johns Hopkins, were due to </w:t>
      </w:r>
      <w:r w:rsidR="00CD6FB0">
        <w:rPr>
          <w:lang w:val="en-US"/>
        </w:rPr>
        <w:t>‘</w:t>
      </w:r>
      <w:r w:rsidR="008B1EDB">
        <w:t>the Greenback-Populist tradition</w:t>
      </w:r>
      <w:r w:rsidR="00CD6FB0">
        <w:t>’</w:t>
      </w:r>
      <w:r w:rsidR="008B1EDB">
        <w:t>.</w:t>
      </w:r>
    </w:p>
  </w:footnote>
  <w:footnote w:id="20">
    <w:p w14:paraId="49C393A6" w14:textId="1C71BEA2" w:rsidR="004550A2" w:rsidRDefault="004550A2">
      <w:pPr>
        <w:pStyle w:val="FootnoteText"/>
      </w:pPr>
      <w:r>
        <w:rPr>
          <w:rStyle w:val="FootnoteReference"/>
        </w:rPr>
        <w:footnoteRef/>
      </w:r>
      <w:r>
        <w:t xml:space="preserve"> </w:t>
      </w:r>
      <w:hyperlink r:id="rId3" w:history="1">
        <w:r w:rsidRPr="00526399">
          <w:rPr>
            <w:rStyle w:val="Hyperlink"/>
          </w:rPr>
          <w:t>https://www.presidency.ucsb.edu/documents/1896-democratic-party-platform</w:t>
        </w:r>
      </w:hyperlink>
      <w:r>
        <w:t>, accessed 22 April, 2022.</w:t>
      </w:r>
    </w:p>
  </w:footnote>
  <w:footnote w:id="21">
    <w:p w14:paraId="6E549A51" w14:textId="3409015D" w:rsidR="004550A2" w:rsidRDefault="004550A2">
      <w:pPr>
        <w:pStyle w:val="FootnoteText"/>
      </w:pPr>
      <w:r>
        <w:rPr>
          <w:rStyle w:val="FootnoteReference"/>
        </w:rPr>
        <w:footnoteRef/>
      </w:r>
      <w:r>
        <w:t xml:space="preserve"> </w:t>
      </w:r>
      <w:hyperlink r:id="rId4" w:history="1">
        <w:r w:rsidRPr="00526399">
          <w:rPr>
            <w:rStyle w:val="Hyperlink"/>
          </w:rPr>
          <w:t>https://www.presidency.ucsb.edu/documents/republican-party-platform-1896</w:t>
        </w:r>
      </w:hyperlink>
      <w:r>
        <w:t>, accessed 22 April, 2022.</w:t>
      </w:r>
    </w:p>
  </w:footnote>
  <w:footnote w:id="22">
    <w:p w14:paraId="1941EBAC" w14:textId="53DDD46A" w:rsidR="00091FD3" w:rsidRPr="00091FD3" w:rsidRDefault="00091FD3">
      <w:pPr>
        <w:pStyle w:val="FootnoteText"/>
      </w:pPr>
      <w:r>
        <w:rPr>
          <w:rStyle w:val="FootnoteReference"/>
        </w:rPr>
        <w:footnoteRef/>
      </w:r>
      <w:r>
        <w:t xml:space="preserve"> Goodwyn, ‘Populist dreams’.</w:t>
      </w:r>
    </w:p>
  </w:footnote>
  <w:footnote w:id="23">
    <w:p w14:paraId="5C176BC7" w14:textId="38AC8104" w:rsidR="00091FD3" w:rsidRPr="00091FD3" w:rsidRDefault="00091FD3">
      <w:pPr>
        <w:pStyle w:val="FootnoteText"/>
      </w:pPr>
      <w:r>
        <w:rPr>
          <w:rStyle w:val="FootnoteReference"/>
        </w:rPr>
        <w:footnoteRef/>
      </w:r>
      <w:r>
        <w:t xml:space="preserve"> Goodwyn, ‘</w:t>
      </w:r>
      <w:r w:rsidRPr="00091FD3">
        <w:rPr>
          <w:i/>
          <w:iCs/>
        </w:rPr>
        <w:t>Democratic promise</w:t>
      </w:r>
      <w:r>
        <w:t>’.</w:t>
      </w:r>
    </w:p>
  </w:footnote>
  <w:footnote w:id="24">
    <w:p w14:paraId="0400C9DC" w14:textId="707DF3DC" w:rsidR="00091FD3" w:rsidRPr="00091FD3" w:rsidRDefault="00091FD3">
      <w:pPr>
        <w:pStyle w:val="FootnoteText"/>
        <w:rPr>
          <w:lang w:val="fr-FR"/>
        </w:rPr>
      </w:pPr>
      <w:r>
        <w:rPr>
          <w:rStyle w:val="FootnoteReference"/>
        </w:rPr>
        <w:footnoteRef/>
      </w:r>
      <w:r w:rsidRPr="00091FD3">
        <w:rPr>
          <w:lang w:val="fr-FR"/>
        </w:rPr>
        <w:t xml:space="preserve"> Hahn, ‘</w:t>
      </w:r>
      <w:r w:rsidRPr="00091FD3">
        <w:rPr>
          <w:i/>
          <w:iCs/>
          <w:lang w:val="fr-FR"/>
        </w:rPr>
        <w:t>A nation</w:t>
      </w:r>
      <w:r w:rsidRPr="00091FD3">
        <w:rPr>
          <w:lang w:val="fr-FR"/>
        </w:rPr>
        <w:t xml:space="preserve">’, pp.431-440; Postel, </w:t>
      </w:r>
      <w:r>
        <w:rPr>
          <w:lang w:val="fr-FR"/>
        </w:rPr>
        <w:t>‘</w:t>
      </w:r>
      <w:proofErr w:type="spellStart"/>
      <w:r w:rsidRPr="00091FD3">
        <w:rPr>
          <w:i/>
          <w:iCs/>
          <w:lang w:val="fr-FR"/>
        </w:rPr>
        <w:t>Populist</w:t>
      </w:r>
      <w:proofErr w:type="spellEnd"/>
      <w:r w:rsidRPr="00091FD3">
        <w:rPr>
          <w:i/>
          <w:iCs/>
          <w:lang w:val="fr-FR"/>
        </w:rPr>
        <w:t xml:space="preserve"> vision</w:t>
      </w:r>
      <w:r>
        <w:rPr>
          <w:lang w:val="fr-FR"/>
        </w:rPr>
        <w:t>’, Ch. 6.</w:t>
      </w:r>
    </w:p>
  </w:footnote>
  <w:footnote w:id="25">
    <w:p w14:paraId="0F0EF649" w14:textId="2B74C0D9" w:rsidR="00A22B1B" w:rsidRPr="00A22B1B" w:rsidRDefault="00A22B1B">
      <w:pPr>
        <w:pStyle w:val="FootnoteText"/>
      </w:pPr>
      <w:r>
        <w:rPr>
          <w:rStyle w:val="FootnoteReference"/>
        </w:rPr>
        <w:footnoteRef/>
      </w:r>
      <w:r>
        <w:t xml:space="preserve"> Ali, ‘</w:t>
      </w:r>
      <w:r w:rsidRPr="00A22B1B">
        <w:rPr>
          <w:i/>
          <w:iCs/>
        </w:rPr>
        <w:t>Lion’s mouth’</w:t>
      </w:r>
      <w:r>
        <w:rPr>
          <w:i/>
          <w:iCs/>
        </w:rPr>
        <w:t>.</w:t>
      </w:r>
    </w:p>
  </w:footnote>
  <w:footnote w:id="26">
    <w:p w14:paraId="2C8E1AE7" w14:textId="19183ACE" w:rsidR="00D534C7" w:rsidRPr="00D534C7" w:rsidRDefault="00D534C7">
      <w:pPr>
        <w:pStyle w:val="FootnoteText"/>
      </w:pPr>
      <w:r>
        <w:rPr>
          <w:rStyle w:val="FootnoteReference"/>
        </w:rPr>
        <w:footnoteRef/>
      </w:r>
      <w:r>
        <w:t xml:space="preserve"> Postel, ‘</w:t>
      </w:r>
      <w:r w:rsidRPr="00D534C7">
        <w:rPr>
          <w:i/>
          <w:iCs/>
        </w:rPr>
        <w:t>Populist vision</w:t>
      </w:r>
      <w:r>
        <w:t>’</w:t>
      </w:r>
    </w:p>
  </w:footnote>
  <w:footnote w:id="27">
    <w:p w14:paraId="060671A9" w14:textId="600C25A2" w:rsidR="00B66EB5" w:rsidRPr="006D5E40" w:rsidRDefault="00B66EB5" w:rsidP="006D5E40">
      <w:pPr>
        <w:pStyle w:val="FootnoteText"/>
        <w:rPr>
          <w:lang w:val="en-US"/>
        </w:rPr>
      </w:pPr>
      <w:r>
        <w:rPr>
          <w:rStyle w:val="FootnoteReference"/>
        </w:rPr>
        <w:footnoteRef/>
      </w:r>
      <w:r>
        <w:t xml:space="preserve"> </w:t>
      </w:r>
      <w:r w:rsidR="00D534C7">
        <w:t>Adams and Thornton, ‘</w:t>
      </w:r>
      <w:r w:rsidR="00D534C7" w:rsidRPr="00D534C7">
        <w:rPr>
          <w:i/>
          <w:iCs/>
        </w:rPr>
        <w:t>Populist assault’</w:t>
      </w:r>
      <w:r w:rsidR="00D534C7">
        <w:t>; Postel, ‘</w:t>
      </w:r>
      <w:r w:rsidR="00D534C7" w:rsidRPr="00D534C7">
        <w:rPr>
          <w:i/>
          <w:iCs/>
        </w:rPr>
        <w:t>Populist vision</w:t>
      </w:r>
      <w:r w:rsidR="00D534C7">
        <w:t xml:space="preserve">’, p.72. </w:t>
      </w:r>
      <w:r w:rsidR="006D5E40">
        <w:rPr>
          <w:lang w:val="en-US"/>
        </w:rPr>
        <w:t>It is perhaps worth noting that the three states (</w:t>
      </w:r>
      <w:r w:rsidR="006D5E40" w:rsidRPr="00B66EB5">
        <w:rPr>
          <w:lang w:val="en-AE"/>
        </w:rPr>
        <w:t>Colorado, Utah and Wyoming</w:t>
      </w:r>
      <w:r w:rsidR="006D5E40">
        <w:rPr>
          <w:lang w:val="en-US"/>
        </w:rPr>
        <w:t>) that had extended the franchise to women before the 1896 election voted for Bryan</w:t>
      </w:r>
      <w:r w:rsidR="001641BF">
        <w:rPr>
          <w:lang w:val="en-US"/>
        </w:rPr>
        <w:t>.</w:t>
      </w:r>
    </w:p>
  </w:footnote>
  <w:footnote w:id="28">
    <w:p w14:paraId="2BCE8A9A" w14:textId="4A1F0B94" w:rsidR="00D534C7" w:rsidRPr="00D534C7" w:rsidRDefault="00D534C7">
      <w:pPr>
        <w:pStyle w:val="FootnoteText"/>
      </w:pPr>
      <w:r>
        <w:rPr>
          <w:rStyle w:val="FootnoteReference"/>
        </w:rPr>
        <w:footnoteRef/>
      </w:r>
      <w:r>
        <w:t xml:space="preserve"> </w:t>
      </w:r>
      <w:r w:rsidR="0054469A">
        <w:t>i</w:t>
      </w:r>
      <w:r>
        <w:t>bid, p.15</w:t>
      </w:r>
    </w:p>
  </w:footnote>
  <w:footnote w:id="29">
    <w:p w14:paraId="2DD2F96C" w14:textId="45B2C2A4" w:rsidR="005770B3" w:rsidRPr="005770B3" w:rsidRDefault="005770B3">
      <w:pPr>
        <w:pStyle w:val="FootnoteText"/>
      </w:pPr>
      <w:r>
        <w:rPr>
          <w:rStyle w:val="FootnoteReference"/>
        </w:rPr>
        <w:footnoteRef/>
      </w:r>
      <w:r>
        <w:t xml:space="preserve"> </w:t>
      </w:r>
      <w:proofErr w:type="spellStart"/>
      <w:r>
        <w:t>Eichengreen</w:t>
      </w:r>
      <w:proofErr w:type="spellEnd"/>
      <w:r>
        <w:t>, ‘Populists at the polls’</w:t>
      </w:r>
    </w:p>
  </w:footnote>
  <w:footnote w:id="30">
    <w:p w14:paraId="4811BB6C" w14:textId="640B4565" w:rsidR="005770B3" w:rsidRPr="005770B3" w:rsidRDefault="005770B3">
      <w:pPr>
        <w:pStyle w:val="FootnoteText"/>
      </w:pPr>
      <w:r>
        <w:rPr>
          <w:rStyle w:val="FootnoteReference"/>
        </w:rPr>
        <w:footnoteRef/>
      </w:r>
      <w:r>
        <w:t xml:space="preserve"> Fortune magazine, ‘General/Buying/Politics’.</w:t>
      </w:r>
    </w:p>
  </w:footnote>
  <w:footnote w:id="31">
    <w:p w14:paraId="7BB22C0A" w14:textId="223422AD" w:rsidR="004550A2" w:rsidRDefault="004550A2" w:rsidP="00EA5C13">
      <w:pPr>
        <w:pStyle w:val="FootnoteText"/>
      </w:pPr>
      <w:r>
        <w:rPr>
          <w:rStyle w:val="FootnoteReference"/>
        </w:rPr>
        <w:footnoteRef/>
      </w:r>
      <w:r>
        <w:t xml:space="preserve"> Of course, although endorsed by the Populist party in the 1896 and 1900 presidential elections, Bryan was a Democrat. However, we assume in this analysis that support for Bryan is a reasonable proxy for retrospective support for Populism.</w:t>
      </w:r>
    </w:p>
  </w:footnote>
  <w:footnote w:id="32">
    <w:p w14:paraId="60E1374C" w14:textId="4CE23951" w:rsidR="005770B3" w:rsidRPr="005770B3" w:rsidRDefault="005770B3">
      <w:pPr>
        <w:pStyle w:val="FootnoteText"/>
      </w:pPr>
      <w:r>
        <w:rPr>
          <w:rStyle w:val="FootnoteReference"/>
        </w:rPr>
        <w:footnoteRef/>
      </w:r>
      <w:r>
        <w:t xml:space="preserve"> </w:t>
      </w:r>
      <w:proofErr w:type="spellStart"/>
      <w:r>
        <w:t>Eichengreen</w:t>
      </w:r>
      <w:proofErr w:type="spellEnd"/>
      <w:r>
        <w:t>, ‘Populists at the polls’</w:t>
      </w:r>
    </w:p>
  </w:footnote>
  <w:footnote w:id="33">
    <w:p w14:paraId="4E616E4F" w14:textId="62948593" w:rsidR="005770B3" w:rsidRPr="005770B3" w:rsidRDefault="005770B3">
      <w:pPr>
        <w:pStyle w:val="FootnoteText"/>
      </w:pPr>
      <w:r>
        <w:rPr>
          <w:rStyle w:val="FootnoteReference"/>
        </w:rPr>
        <w:footnoteRef/>
      </w:r>
      <w:r>
        <w:t xml:space="preserve"> </w:t>
      </w:r>
      <w:r w:rsidRPr="00CF60A1">
        <w:t>Dornbusch</w:t>
      </w:r>
      <w:r>
        <w:t xml:space="preserve"> and Edwards, </w:t>
      </w:r>
      <w:r w:rsidRPr="00CF60A1">
        <w:t>'Macroeconomic populism'</w:t>
      </w:r>
      <w:r>
        <w:t>.</w:t>
      </w:r>
    </w:p>
  </w:footnote>
  <w:footnote w:id="34">
    <w:p w14:paraId="15852386" w14:textId="0E3BF82B" w:rsidR="005770B3" w:rsidRPr="005770B3" w:rsidRDefault="005770B3" w:rsidP="005770B3">
      <w:pPr>
        <w:pStyle w:val="FootnoteText"/>
      </w:pPr>
      <w:r>
        <w:rPr>
          <w:rStyle w:val="FootnoteReference"/>
        </w:rPr>
        <w:footnoteRef/>
      </w:r>
      <w:r>
        <w:t xml:space="preserve"> </w:t>
      </w:r>
      <w:r w:rsidRPr="00CF60A1">
        <w:t>Dornbusch</w:t>
      </w:r>
      <w:r>
        <w:t xml:space="preserve"> and Edwards, </w:t>
      </w:r>
      <w:r w:rsidRPr="00CF60A1">
        <w:t>'</w:t>
      </w:r>
      <w:r>
        <w:t xml:space="preserve">The </w:t>
      </w:r>
      <w:r w:rsidRPr="00CF60A1">
        <w:t xml:space="preserve">Macroeconomic </w:t>
      </w:r>
      <w:r>
        <w:t xml:space="preserve">of </w:t>
      </w:r>
      <w:r w:rsidRPr="00CF60A1">
        <w:t>populism'</w:t>
      </w:r>
      <w:r>
        <w:t>, p.9</w:t>
      </w:r>
    </w:p>
    <w:p w14:paraId="3B548B57" w14:textId="2FB08279" w:rsidR="005770B3" w:rsidRPr="005770B3" w:rsidRDefault="005770B3">
      <w:pPr>
        <w:pStyle w:val="FootnoteText"/>
      </w:pPr>
    </w:p>
  </w:footnote>
  <w:footnote w:id="35">
    <w:p w14:paraId="5B9D6950" w14:textId="41E76973" w:rsidR="005770B3" w:rsidRPr="00866279" w:rsidRDefault="005770B3">
      <w:pPr>
        <w:pStyle w:val="FootnoteText"/>
        <w:rPr>
          <w:lang w:val="en-IE"/>
        </w:rPr>
      </w:pPr>
      <w:r>
        <w:rPr>
          <w:rStyle w:val="FootnoteReference"/>
        </w:rPr>
        <w:footnoteRef/>
      </w:r>
      <w:r w:rsidRPr="00866279">
        <w:rPr>
          <w:lang w:val="en-IE"/>
        </w:rPr>
        <w:t xml:space="preserve"> Funke et al., ‘Populist leaders’.</w:t>
      </w:r>
    </w:p>
  </w:footnote>
  <w:footnote w:id="36">
    <w:p w14:paraId="055472CA" w14:textId="3A428490" w:rsidR="00866279" w:rsidRPr="00866279" w:rsidRDefault="00866279">
      <w:pPr>
        <w:pStyle w:val="FootnoteText"/>
      </w:pPr>
      <w:r>
        <w:rPr>
          <w:rStyle w:val="FootnoteReference"/>
        </w:rPr>
        <w:footnoteRef/>
      </w:r>
      <w:r>
        <w:t xml:space="preserve"> Rodrik, ‘Bad economics’.</w:t>
      </w:r>
    </w:p>
  </w:footnote>
  <w:footnote w:id="37">
    <w:p w14:paraId="6D7DA173" w14:textId="2A99A0A1" w:rsidR="00866279" w:rsidRPr="00866279" w:rsidRDefault="00866279">
      <w:pPr>
        <w:pStyle w:val="FootnoteText"/>
      </w:pPr>
      <w:r>
        <w:rPr>
          <w:rStyle w:val="FootnoteReference"/>
        </w:rPr>
        <w:footnoteRef/>
      </w:r>
      <w:r>
        <w:t xml:space="preserve"> O’Rourke, ‘Democratic deficit’.</w:t>
      </w:r>
    </w:p>
  </w:footnote>
  <w:footnote w:id="38">
    <w:p w14:paraId="304C323E" w14:textId="3D55FA51" w:rsidR="00866279" w:rsidRPr="00866279" w:rsidRDefault="00866279">
      <w:pPr>
        <w:pStyle w:val="FootnoteText"/>
      </w:pPr>
      <w:r>
        <w:rPr>
          <w:rStyle w:val="FootnoteReference"/>
        </w:rPr>
        <w:footnoteRef/>
      </w:r>
      <w:r>
        <w:t xml:space="preserve"> </w:t>
      </w:r>
      <w:r w:rsidRPr="0055314F">
        <w:t>Fisher</w:t>
      </w:r>
      <w:r>
        <w:t>, ‘</w:t>
      </w:r>
      <w:r w:rsidRPr="00866279">
        <w:rPr>
          <w:i/>
          <w:iCs/>
        </w:rPr>
        <w:t>Appreciation and interest</w:t>
      </w:r>
      <w:r>
        <w:t xml:space="preserve">’; </w:t>
      </w:r>
      <w:r w:rsidRPr="0055314F">
        <w:t>Kreitner</w:t>
      </w:r>
      <w:r>
        <w:t>, ‘Money’.</w:t>
      </w:r>
    </w:p>
  </w:footnote>
  <w:footnote w:id="39">
    <w:p w14:paraId="274D534D" w14:textId="0ACDB215" w:rsidR="00866279" w:rsidRPr="001661E4" w:rsidRDefault="00866279">
      <w:pPr>
        <w:pStyle w:val="FootnoteText"/>
        <w:rPr>
          <w:lang w:val="de-DE"/>
        </w:rPr>
      </w:pPr>
      <w:r>
        <w:rPr>
          <w:rStyle w:val="FootnoteReference"/>
        </w:rPr>
        <w:footnoteRef/>
      </w:r>
      <w:r w:rsidRPr="001661E4">
        <w:rPr>
          <w:lang w:val="de-DE"/>
        </w:rPr>
        <w:t xml:space="preserve"> </w:t>
      </w:r>
      <w:proofErr w:type="spellStart"/>
      <w:r w:rsidRPr="001661E4">
        <w:rPr>
          <w:lang w:val="de-DE"/>
        </w:rPr>
        <w:t>Taussig</w:t>
      </w:r>
      <w:proofErr w:type="spellEnd"/>
      <w:r w:rsidRPr="001661E4">
        <w:rPr>
          <w:lang w:val="de-DE"/>
        </w:rPr>
        <w:t>, ‘</w:t>
      </w:r>
      <w:proofErr w:type="spellStart"/>
      <w:r w:rsidRPr="001661E4">
        <w:rPr>
          <w:i/>
          <w:iCs/>
          <w:lang w:val="de-DE"/>
        </w:rPr>
        <w:t>Silver</w:t>
      </w:r>
      <w:proofErr w:type="spellEnd"/>
      <w:r w:rsidRPr="001661E4">
        <w:rPr>
          <w:i/>
          <w:iCs/>
          <w:lang w:val="de-DE"/>
        </w:rPr>
        <w:t xml:space="preserve"> </w:t>
      </w:r>
      <w:proofErr w:type="spellStart"/>
      <w:r w:rsidRPr="001661E4">
        <w:rPr>
          <w:i/>
          <w:iCs/>
          <w:lang w:val="de-DE"/>
        </w:rPr>
        <w:t>situation</w:t>
      </w:r>
      <w:proofErr w:type="spellEnd"/>
      <w:r w:rsidRPr="001661E4">
        <w:rPr>
          <w:i/>
          <w:iCs/>
          <w:lang w:val="de-DE"/>
        </w:rPr>
        <w:t>’</w:t>
      </w:r>
      <w:r w:rsidRPr="001661E4">
        <w:rPr>
          <w:lang w:val="de-DE"/>
        </w:rPr>
        <w:t>, p.107.</w:t>
      </w:r>
    </w:p>
  </w:footnote>
  <w:footnote w:id="40">
    <w:p w14:paraId="006869F0" w14:textId="40B4D967" w:rsidR="003631E6" w:rsidRPr="001661E4" w:rsidRDefault="003631E6">
      <w:pPr>
        <w:pStyle w:val="FootnoteText"/>
        <w:rPr>
          <w:lang w:val="de-DE"/>
        </w:rPr>
      </w:pPr>
      <w:r>
        <w:rPr>
          <w:rStyle w:val="FootnoteReference"/>
        </w:rPr>
        <w:footnoteRef/>
      </w:r>
      <w:r w:rsidRPr="001661E4">
        <w:rPr>
          <w:lang w:val="de-DE"/>
        </w:rPr>
        <w:t xml:space="preserve"> Postel, ‘Anti-populist </w:t>
      </w:r>
      <w:proofErr w:type="spellStart"/>
      <w:r w:rsidRPr="001661E4">
        <w:rPr>
          <w:lang w:val="de-DE"/>
        </w:rPr>
        <w:t>legacy</w:t>
      </w:r>
      <w:proofErr w:type="spellEnd"/>
      <w:r w:rsidRPr="001661E4">
        <w:rPr>
          <w:lang w:val="de-DE"/>
        </w:rPr>
        <w:t>’, p.125.</w:t>
      </w:r>
    </w:p>
  </w:footnote>
  <w:footnote w:id="41">
    <w:p w14:paraId="003EE757" w14:textId="287540AD" w:rsidR="003631E6" w:rsidRPr="003631E6" w:rsidRDefault="003631E6">
      <w:pPr>
        <w:pStyle w:val="FootnoteText"/>
      </w:pPr>
      <w:r>
        <w:rPr>
          <w:rStyle w:val="FootnoteReference"/>
        </w:rPr>
        <w:footnoteRef/>
      </w:r>
      <w:r>
        <w:t xml:space="preserve"> </w:t>
      </w:r>
      <w:r w:rsidR="0054469A">
        <w:t>i</w:t>
      </w:r>
      <w:r>
        <w:t>bid.</w:t>
      </w:r>
    </w:p>
  </w:footnote>
  <w:footnote w:id="42">
    <w:p w14:paraId="0A1D82FA" w14:textId="1D36DD8A" w:rsidR="003631E6" w:rsidRPr="003631E6" w:rsidRDefault="003631E6">
      <w:pPr>
        <w:pStyle w:val="FootnoteText"/>
      </w:pPr>
      <w:r>
        <w:rPr>
          <w:rStyle w:val="FootnoteReference"/>
        </w:rPr>
        <w:footnoteRef/>
      </w:r>
      <w:r>
        <w:t xml:space="preserve"> Mead, ‘</w:t>
      </w:r>
      <w:r w:rsidRPr="000C3A60">
        <w:rPr>
          <w:i/>
          <w:iCs/>
        </w:rPr>
        <w:t>Academic freedom</w:t>
      </w:r>
      <w:r>
        <w:rPr>
          <w:i/>
          <w:iCs/>
        </w:rPr>
        <w:t>’.</w:t>
      </w:r>
    </w:p>
  </w:footnote>
  <w:footnote w:id="43">
    <w:p w14:paraId="138A82DB" w14:textId="48161D0F" w:rsidR="003631E6" w:rsidRPr="003631E6" w:rsidRDefault="003631E6">
      <w:pPr>
        <w:pStyle w:val="FootnoteText"/>
      </w:pPr>
      <w:r>
        <w:rPr>
          <w:rStyle w:val="FootnoteReference"/>
        </w:rPr>
        <w:footnoteRef/>
      </w:r>
      <w:r>
        <w:t xml:space="preserve"> Andrews, ‘</w:t>
      </w:r>
      <w:r w:rsidRPr="000C3A60">
        <w:t xml:space="preserve">Case for </w:t>
      </w:r>
      <w:r w:rsidR="00D05F3A">
        <w:t>b</w:t>
      </w:r>
      <w:r w:rsidRPr="000C3A60">
        <w:t>imetallism</w:t>
      </w:r>
      <w:r>
        <w:t>’, p.425.</w:t>
      </w:r>
    </w:p>
  </w:footnote>
  <w:footnote w:id="44">
    <w:p w14:paraId="243C6327" w14:textId="78FDCFF5" w:rsidR="003631E6" w:rsidRPr="003631E6" w:rsidRDefault="003631E6">
      <w:pPr>
        <w:pStyle w:val="FootnoteText"/>
      </w:pPr>
      <w:r>
        <w:rPr>
          <w:rStyle w:val="FootnoteReference"/>
        </w:rPr>
        <w:footnoteRef/>
      </w:r>
      <w:r>
        <w:t xml:space="preserve"> </w:t>
      </w:r>
      <w:r w:rsidRPr="007217E0">
        <w:t>Friedman</w:t>
      </w:r>
      <w:r>
        <w:t>, ‘</w:t>
      </w:r>
      <w:r w:rsidRPr="007217E0">
        <w:t>Bimetallism revisited</w:t>
      </w:r>
      <w:r>
        <w:t>’, p.94..</w:t>
      </w:r>
    </w:p>
  </w:footnote>
  <w:footnote w:id="45">
    <w:p w14:paraId="73162500" w14:textId="0BBF5D51" w:rsidR="00B60809" w:rsidRPr="00B60809" w:rsidRDefault="00B60809">
      <w:pPr>
        <w:pStyle w:val="FootnoteText"/>
      </w:pPr>
      <w:r>
        <w:rPr>
          <w:rStyle w:val="FootnoteReference"/>
        </w:rPr>
        <w:footnoteRef/>
      </w:r>
      <w:r>
        <w:t xml:space="preserve"> Postel, ‘Anti-populist legacy’.</w:t>
      </w:r>
    </w:p>
  </w:footnote>
  <w:footnote w:id="46">
    <w:p w14:paraId="2DDBE432" w14:textId="3EE4CE24" w:rsidR="001F3744" w:rsidRPr="001F3744" w:rsidRDefault="001F3744">
      <w:pPr>
        <w:pStyle w:val="FootnoteText"/>
      </w:pPr>
      <w:r>
        <w:rPr>
          <w:rStyle w:val="FootnoteReference"/>
        </w:rPr>
        <w:footnoteRef/>
      </w:r>
      <w:r>
        <w:t xml:space="preserve"> </w:t>
      </w:r>
      <w:r w:rsidR="00904057">
        <w:t>To repeat, w</w:t>
      </w:r>
      <w:r>
        <w:t>e obviously disagree.</w:t>
      </w:r>
    </w:p>
  </w:footnote>
  <w:footnote w:id="47">
    <w:p w14:paraId="3CF46DBC" w14:textId="721667F5" w:rsidR="00B60809" w:rsidRPr="00B60809" w:rsidRDefault="00B60809">
      <w:pPr>
        <w:pStyle w:val="FootnoteText"/>
        <w:rPr>
          <w:lang w:val="en-IE"/>
        </w:rPr>
      </w:pPr>
      <w:r>
        <w:rPr>
          <w:rStyle w:val="FootnoteReference"/>
        </w:rPr>
        <w:footnoteRef/>
      </w:r>
      <w:r w:rsidRPr="00B60809">
        <w:rPr>
          <w:lang w:val="en-IE"/>
        </w:rPr>
        <w:t xml:space="preserve"> Betz, ‘Distant mirror’; </w:t>
      </w:r>
      <w:proofErr w:type="spellStart"/>
      <w:r w:rsidRPr="00B60809">
        <w:rPr>
          <w:lang w:val="en-IE"/>
        </w:rPr>
        <w:t>Alsan</w:t>
      </w:r>
      <w:proofErr w:type="spellEnd"/>
      <w:r w:rsidRPr="00B60809">
        <w:rPr>
          <w:lang w:val="en-IE"/>
        </w:rPr>
        <w:t xml:space="preserve"> et al., ‘Know-no</w:t>
      </w:r>
      <w:r>
        <w:rPr>
          <w:lang w:val="en-IE"/>
        </w:rPr>
        <w:t>thing party’.</w:t>
      </w:r>
    </w:p>
  </w:footnote>
  <w:footnote w:id="48">
    <w:p w14:paraId="580DF48C" w14:textId="0EBC0E50" w:rsidR="00B60809" w:rsidRPr="00B60809" w:rsidRDefault="00B60809">
      <w:pPr>
        <w:pStyle w:val="FootnoteText"/>
      </w:pPr>
      <w:r>
        <w:rPr>
          <w:rStyle w:val="FootnoteReference"/>
        </w:rPr>
        <w:footnoteRef/>
      </w:r>
      <w:r>
        <w:t xml:space="preserve"> Goodwyn,</w:t>
      </w:r>
      <w:r w:rsidRPr="00B60809">
        <w:t xml:space="preserve"> </w:t>
      </w:r>
      <w:r>
        <w:t>‘</w:t>
      </w:r>
      <w:r w:rsidRPr="005F250C">
        <w:t>Rethinking “populism”</w:t>
      </w:r>
      <w:r>
        <w:t>’, p.43.</w:t>
      </w:r>
    </w:p>
  </w:footnote>
  <w:footnote w:id="49">
    <w:p w14:paraId="5D68DF56" w14:textId="11EE64BA" w:rsidR="00B60809" w:rsidRPr="00B60809" w:rsidRDefault="00B60809">
      <w:pPr>
        <w:pStyle w:val="FootnoteText"/>
      </w:pPr>
      <w:r>
        <w:rPr>
          <w:rStyle w:val="FootnoteReference"/>
        </w:rPr>
        <w:footnoteRef/>
      </w:r>
      <w:r>
        <w:t xml:space="preserve"> </w:t>
      </w:r>
      <w:r w:rsidRPr="003C7CBC">
        <w:t>Jäger</w:t>
      </w:r>
      <w:r>
        <w:t>, ‘Populism and the historians’, pp.153,155.</w:t>
      </w:r>
    </w:p>
  </w:footnote>
  <w:footnote w:id="50">
    <w:p w14:paraId="0FEB385C" w14:textId="41E34860" w:rsidR="00B60809" w:rsidRPr="00B60809" w:rsidRDefault="00B60809">
      <w:pPr>
        <w:pStyle w:val="FootnoteText"/>
      </w:pPr>
      <w:r>
        <w:rPr>
          <w:rStyle w:val="FootnoteReference"/>
        </w:rPr>
        <w:footnoteRef/>
      </w:r>
      <w:r>
        <w:t xml:space="preserve"> Postel, ‘Anti-populist legacy’, p.121.</w:t>
      </w:r>
    </w:p>
  </w:footnote>
  <w:footnote w:id="51">
    <w:p w14:paraId="7B3B7CA9" w14:textId="39E22ABC" w:rsidR="004550A2" w:rsidRDefault="004550A2" w:rsidP="00E2772C">
      <w:pPr>
        <w:pStyle w:val="FootnoteText"/>
      </w:pPr>
      <w:r>
        <w:rPr>
          <w:rStyle w:val="FootnoteReference"/>
        </w:rPr>
        <w:footnoteRef/>
      </w:r>
      <w:r>
        <w:t xml:space="preserve"> The preamble to the Omaha Platform of the People’s Party of 1892, written by Ignatius Donnelly, called the late 19</w:t>
      </w:r>
      <w:r w:rsidRPr="00B354FB">
        <w:rPr>
          <w:vertAlign w:val="superscript"/>
        </w:rPr>
        <w:t>th</w:t>
      </w:r>
      <w:r>
        <w:t xml:space="preserve"> century tariff debate a </w:t>
      </w:r>
      <w:r w:rsidR="00E33F19">
        <w:t>‘</w:t>
      </w:r>
      <w:r>
        <w:t>sham battle</w:t>
      </w:r>
      <w:r w:rsidR="00E33F19">
        <w:t>’</w:t>
      </w:r>
      <w:r>
        <w:t>, designed to distract voters from the abuses of capitalists, banks and trusts (</w:t>
      </w:r>
      <w:r w:rsidRPr="00C2328C">
        <w:t xml:space="preserve">See </w:t>
      </w:r>
      <w:hyperlink r:id="rId5" w:history="1">
        <w:r w:rsidRPr="00C2328C">
          <w:rPr>
            <w:rStyle w:val="Hyperlink"/>
          </w:rPr>
          <w:t>http://historymatters.gmu.edu/d/5361/</w:t>
        </w:r>
      </w:hyperlink>
      <w:r w:rsidRPr="00C2328C">
        <w:t xml:space="preserve"> (accessed 21 April, 2022).</w:t>
      </w:r>
      <w:r>
        <w:t>).</w:t>
      </w:r>
    </w:p>
  </w:footnote>
  <w:footnote w:id="52">
    <w:p w14:paraId="7DD5B629" w14:textId="1C9AC9A3" w:rsidR="00B60809" w:rsidRPr="00B60809" w:rsidRDefault="00B60809">
      <w:pPr>
        <w:pStyle w:val="FootnoteText"/>
      </w:pPr>
      <w:r>
        <w:rPr>
          <w:rStyle w:val="FootnoteReference"/>
        </w:rPr>
        <w:footnoteRef/>
      </w:r>
      <w:r>
        <w:t xml:space="preserve"> Rodrik, ‘</w:t>
      </w:r>
      <w:r w:rsidRPr="00BE5506">
        <w:t>Why does globalization fuel populism?</w:t>
      </w:r>
      <w:r>
        <w:t>’, p.166.</w:t>
      </w:r>
    </w:p>
  </w:footnote>
  <w:footnote w:id="53">
    <w:p w14:paraId="28526105" w14:textId="77F5D392" w:rsidR="00B60809" w:rsidRPr="00B60809" w:rsidRDefault="00B60809">
      <w:pPr>
        <w:pStyle w:val="FootnoteText"/>
      </w:pPr>
      <w:r>
        <w:rPr>
          <w:rStyle w:val="FootnoteReference"/>
        </w:rPr>
        <w:footnoteRef/>
      </w:r>
      <w:r>
        <w:t xml:space="preserve"> Bairoch, ‘European trade policy’.</w:t>
      </w:r>
    </w:p>
  </w:footnote>
  <w:footnote w:id="54">
    <w:p w14:paraId="6C0BB414" w14:textId="5844CB7D" w:rsidR="00B60809" w:rsidRPr="00B60809" w:rsidRDefault="00B60809">
      <w:pPr>
        <w:pStyle w:val="FootnoteText"/>
      </w:pPr>
      <w:r>
        <w:rPr>
          <w:rStyle w:val="FootnoteReference"/>
        </w:rPr>
        <w:footnoteRef/>
      </w:r>
      <w:r>
        <w:t xml:space="preserve"> </w:t>
      </w:r>
      <w:r w:rsidR="0054469A">
        <w:t>i</w:t>
      </w:r>
      <w:r>
        <w:t>bid, p.135.</w:t>
      </w:r>
    </w:p>
  </w:footnote>
  <w:footnote w:id="55">
    <w:p w14:paraId="7E6A220F" w14:textId="114D6DF1" w:rsidR="004E311A" w:rsidRPr="004E311A" w:rsidRDefault="004E311A">
      <w:pPr>
        <w:pStyle w:val="FootnoteText"/>
      </w:pPr>
      <w:r>
        <w:rPr>
          <w:rStyle w:val="FootnoteReference"/>
        </w:rPr>
        <w:footnoteRef/>
      </w:r>
      <w:r>
        <w:t xml:space="preserve"> Barkin, ‘Adolf Wagner’.</w:t>
      </w:r>
    </w:p>
  </w:footnote>
  <w:footnote w:id="56">
    <w:p w14:paraId="4DBD476E" w14:textId="2E8ABCA6" w:rsidR="004E311A" w:rsidRPr="004E311A" w:rsidRDefault="004E311A">
      <w:pPr>
        <w:pStyle w:val="FootnoteText"/>
      </w:pPr>
      <w:r>
        <w:rPr>
          <w:rStyle w:val="FootnoteReference"/>
        </w:rPr>
        <w:footnoteRef/>
      </w:r>
      <w:r>
        <w:t xml:space="preserve"> See for example Clarke, ‘</w:t>
      </w:r>
      <w:r w:rsidRPr="004E311A">
        <w:t>Margaret Thatcher's leadership</w:t>
      </w:r>
      <w:r>
        <w:t>’.</w:t>
      </w:r>
    </w:p>
  </w:footnote>
  <w:footnote w:id="57">
    <w:p w14:paraId="1D98FE9D" w14:textId="00F3CD1B" w:rsidR="004E311A" w:rsidRPr="004E311A" w:rsidRDefault="004E311A">
      <w:pPr>
        <w:pStyle w:val="FootnoteText"/>
      </w:pPr>
      <w:r>
        <w:rPr>
          <w:rStyle w:val="FootnoteReference"/>
        </w:rPr>
        <w:footnoteRef/>
      </w:r>
      <w:r>
        <w:t xml:space="preserve"> </w:t>
      </w:r>
      <w:r w:rsidRPr="00D002BA">
        <w:t>Rogowski</w:t>
      </w:r>
      <w:r>
        <w:t>, ‘</w:t>
      </w:r>
      <w:r w:rsidRPr="00D002BA">
        <w:rPr>
          <w:i/>
          <w:iCs/>
        </w:rPr>
        <w:t>Commerce and coalitions</w:t>
      </w:r>
      <w:r>
        <w:rPr>
          <w:i/>
          <w:iCs/>
        </w:rPr>
        <w:t xml:space="preserve">’; </w:t>
      </w:r>
      <w:r w:rsidRPr="0055314F">
        <w:t>O’Rourke and Williamson</w:t>
      </w:r>
      <w:r>
        <w:t>, ‘</w:t>
      </w:r>
      <w:r w:rsidRPr="00D002BA">
        <w:rPr>
          <w:i/>
          <w:iCs/>
        </w:rPr>
        <w:t>Globalization and history</w:t>
      </w:r>
      <w:r>
        <w:rPr>
          <w:i/>
          <w:iCs/>
        </w:rPr>
        <w:t>’.</w:t>
      </w:r>
    </w:p>
  </w:footnote>
  <w:footnote w:id="58">
    <w:p w14:paraId="46CA8DEE" w14:textId="0746E4DC" w:rsidR="004E311A" w:rsidRPr="004E311A" w:rsidRDefault="004E311A">
      <w:pPr>
        <w:pStyle w:val="FootnoteText"/>
      </w:pPr>
      <w:r>
        <w:rPr>
          <w:rStyle w:val="FootnoteReference"/>
        </w:rPr>
        <w:footnoteRef/>
      </w:r>
      <w:r>
        <w:t xml:space="preserve"> </w:t>
      </w:r>
      <w:r w:rsidRPr="0055314F">
        <w:t>O’Rourke and Taylor</w:t>
      </w:r>
      <w:r>
        <w:t>, ‘</w:t>
      </w:r>
      <w:r w:rsidRPr="00EC4F66">
        <w:t>Democracy and protectionism</w:t>
      </w:r>
      <w:r>
        <w:t>’.</w:t>
      </w:r>
    </w:p>
  </w:footnote>
  <w:footnote w:id="59">
    <w:p w14:paraId="72A5A32E" w14:textId="5E897B7A" w:rsidR="001E32E9" w:rsidRPr="001E32E9" w:rsidRDefault="001E32E9">
      <w:pPr>
        <w:pStyle w:val="FootnoteText"/>
        <w:rPr>
          <w:lang w:val="en-IE"/>
        </w:rPr>
      </w:pPr>
      <w:r>
        <w:rPr>
          <w:rStyle w:val="FootnoteReference"/>
        </w:rPr>
        <w:footnoteRef/>
      </w:r>
      <w:r w:rsidRPr="001E32E9">
        <w:rPr>
          <w:lang w:val="en-IE"/>
        </w:rPr>
        <w:t xml:space="preserve"> Autor et al., ‘China syndrome’</w:t>
      </w:r>
    </w:p>
  </w:footnote>
  <w:footnote w:id="60">
    <w:p w14:paraId="40B756F5" w14:textId="064A4AE6" w:rsidR="001E32E9" w:rsidRPr="001E32E9" w:rsidRDefault="001E32E9">
      <w:pPr>
        <w:pStyle w:val="FootnoteText"/>
      </w:pPr>
      <w:r>
        <w:rPr>
          <w:rStyle w:val="FootnoteReference"/>
        </w:rPr>
        <w:footnoteRef/>
      </w:r>
      <w:r>
        <w:t xml:space="preserve"> </w:t>
      </w:r>
      <w:proofErr w:type="spellStart"/>
      <w:r w:rsidRPr="0055314F">
        <w:t>Hainmueller</w:t>
      </w:r>
      <w:proofErr w:type="spellEnd"/>
      <w:r w:rsidRPr="0055314F">
        <w:t xml:space="preserve"> and Hiscox</w:t>
      </w:r>
      <w:r>
        <w:t>, ‘</w:t>
      </w:r>
      <w:r w:rsidRPr="00D002BA">
        <w:t>Learning to love globalization</w:t>
      </w:r>
      <w:r>
        <w:t>’.</w:t>
      </w:r>
    </w:p>
  </w:footnote>
  <w:footnote w:id="61">
    <w:p w14:paraId="2DFCC1BC" w14:textId="73CDBEF8" w:rsidR="001E32E9" w:rsidRPr="001E32E9" w:rsidRDefault="001E32E9">
      <w:pPr>
        <w:pStyle w:val="FootnoteText"/>
      </w:pPr>
      <w:r>
        <w:rPr>
          <w:rStyle w:val="FootnoteReference"/>
        </w:rPr>
        <w:footnoteRef/>
      </w:r>
      <w:r>
        <w:t xml:space="preserve"> </w:t>
      </w:r>
      <w:r w:rsidRPr="0055314F">
        <w:t xml:space="preserve">O’Rourke and Sinnott, </w:t>
      </w:r>
      <w:r>
        <w:t>‘T</w:t>
      </w:r>
      <w:r w:rsidRPr="00D002BA">
        <w:t>rade policy preferences</w:t>
      </w:r>
      <w:r>
        <w:t>’</w:t>
      </w:r>
      <w:r w:rsidRPr="0055314F">
        <w:t xml:space="preserve">; Mayda and Rodrik, </w:t>
      </w:r>
      <w:r>
        <w:t>‘</w:t>
      </w:r>
      <w:r w:rsidRPr="00D002BA">
        <w:t>Why are some people (and countries) more protectionist</w:t>
      </w:r>
      <w:r>
        <w:t>’.</w:t>
      </w:r>
    </w:p>
  </w:footnote>
  <w:footnote w:id="62">
    <w:p w14:paraId="6F81EED4" w14:textId="2F14642A" w:rsidR="001E32E9" w:rsidRPr="001E32E9" w:rsidRDefault="001E32E9">
      <w:pPr>
        <w:pStyle w:val="FootnoteText"/>
      </w:pPr>
      <w:r>
        <w:rPr>
          <w:rStyle w:val="FootnoteReference"/>
        </w:rPr>
        <w:footnoteRef/>
      </w:r>
      <w:r>
        <w:t xml:space="preserve"> </w:t>
      </w:r>
      <w:proofErr w:type="spellStart"/>
      <w:r w:rsidR="00E207CE" w:rsidRPr="0055314F">
        <w:t>Pavcnik</w:t>
      </w:r>
      <w:proofErr w:type="spellEnd"/>
      <w:r w:rsidR="00E207CE">
        <w:t>, ‘T</w:t>
      </w:r>
      <w:r w:rsidR="00E207CE" w:rsidRPr="00B75FA6">
        <w:t>he impact of trade on inequality</w:t>
      </w:r>
      <w:r w:rsidR="00E207CE">
        <w:t>’.</w:t>
      </w:r>
    </w:p>
  </w:footnote>
  <w:footnote w:id="63">
    <w:p w14:paraId="31D5AF79" w14:textId="0E0C63F5" w:rsidR="00753F17" w:rsidRPr="00753F17" w:rsidRDefault="00753F17">
      <w:pPr>
        <w:pStyle w:val="FootnoteText"/>
      </w:pPr>
      <w:r>
        <w:rPr>
          <w:rStyle w:val="FootnoteReference"/>
        </w:rPr>
        <w:footnoteRef/>
      </w:r>
      <w:r>
        <w:t xml:space="preserve"> Rodrik, ‘</w:t>
      </w:r>
      <w:r w:rsidRPr="00BE5506">
        <w:t>Why does globalization fuel populism?</w:t>
      </w:r>
      <w:r>
        <w:t>’, p.162.</w:t>
      </w:r>
    </w:p>
  </w:footnote>
  <w:footnote w:id="64">
    <w:p w14:paraId="0DCA837C" w14:textId="371CD2DA" w:rsidR="00D74A5D" w:rsidRPr="00D74A5D" w:rsidRDefault="00D74A5D">
      <w:pPr>
        <w:pStyle w:val="FootnoteText"/>
      </w:pPr>
      <w:r>
        <w:rPr>
          <w:rStyle w:val="FootnoteReference"/>
        </w:rPr>
        <w:footnoteRef/>
      </w:r>
      <w:r>
        <w:t xml:space="preserve"> As an aide, we note that whereas survey evidence typically finds that women are less likely to support populists than men (see below), it also typically finds that women are more protectionist than men (O’Rourke and Sinnott, 2001; de Bromhead, 2018).</w:t>
      </w:r>
    </w:p>
  </w:footnote>
  <w:footnote w:id="65">
    <w:p w14:paraId="05B8291B" w14:textId="72BED843" w:rsidR="004550A2" w:rsidRPr="006931BC" w:rsidRDefault="004550A2">
      <w:pPr>
        <w:pStyle w:val="FootnoteText"/>
        <w:rPr>
          <w:lang w:val="en-US"/>
        </w:rPr>
      </w:pPr>
      <w:r>
        <w:rPr>
          <w:rStyle w:val="FootnoteReference"/>
        </w:rPr>
        <w:footnoteRef/>
      </w:r>
      <w:r>
        <w:t xml:space="preserve"> While no-one would deny the rise of political extremism during the interwar period, it should be noted that there is scholarly disagreement about which parties qualified as “populist”. For Mudde and Kaltwasser (2017, p. 33), while </w:t>
      </w:r>
      <w:r w:rsidR="00552A77">
        <w:t>‘</w:t>
      </w:r>
      <w:r>
        <w:t>Communism and fascism flirted with populism</w:t>
      </w:r>
      <w:r w:rsidR="00552A77">
        <w:t>’</w:t>
      </w:r>
      <w:r>
        <w:t xml:space="preserve">, they were more elitist than populist, and specific communist doctrines such as class struggle were in direct opposition to key populist ideas. See also Eatwell (2017). </w:t>
      </w:r>
      <w:r w:rsidRPr="004A4E47">
        <w:t>Müller (2017</w:t>
      </w:r>
      <w:r>
        <w:t>, p. 93), on the other hand, has no hesitation in classifying the German National Socialist and Italian Fascist parties as populist, and his lead has generally been followed by the economists and economic historians cited above.</w:t>
      </w:r>
    </w:p>
  </w:footnote>
  <w:footnote w:id="66">
    <w:p w14:paraId="71989554" w14:textId="6C81F509" w:rsidR="003D533C" w:rsidRPr="003D533C" w:rsidRDefault="003D533C">
      <w:pPr>
        <w:pStyle w:val="FootnoteText"/>
      </w:pPr>
      <w:r>
        <w:rPr>
          <w:rStyle w:val="FootnoteReference"/>
        </w:rPr>
        <w:footnoteRef/>
      </w:r>
      <w:r>
        <w:t xml:space="preserve"> Luebbert, ‘</w:t>
      </w:r>
      <w:r w:rsidRPr="005956C2">
        <w:rPr>
          <w:i/>
          <w:iCs/>
          <w:lang w:val="en-US"/>
        </w:rPr>
        <w:t>Liberalism, fascism, or social democracy</w:t>
      </w:r>
      <w:r>
        <w:rPr>
          <w:i/>
          <w:iCs/>
          <w:lang w:val="en-US"/>
        </w:rPr>
        <w:t>’</w:t>
      </w:r>
      <w:r>
        <w:t>; Berg-Schlosser and Mitchell, ‘</w:t>
      </w:r>
      <w:r w:rsidRPr="005956C2">
        <w:rPr>
          <w:i/>
          <w:iCs/>
          <w:lang w:val="en-US"/>
        </w:rPr>
        <w:t>Authoritarianism and democracy</w:t>
      </w:r>
      <w:r>
        <w:rPr>
          <w:i/>
          <w:iCs/>
          <w:lang w:val="en-US"/>
        </w:rPr>
        <w:t>’.</w:t>
      </w:r>
    </w:p>
  </w:footnote>
  <w:footnote w:id="67">
    <w:p w14:paraId="3378DD41" w14:textId="2179EE4B" w:rsidR="003D533C" w:rsidRPr="003D533C" w:rsidRDefault="003D533C">
      <w:pPr>
        <w:pStyle w:val="FootnoteText"/>
        <w:rPr>
          <w:lang w:val="en-IE"/>
        </w:rPr>
      </w:pPr>
      <w:r>
        <w:rPr>
          <w:rStyle w:val="FootnoteReference"/>
        </w:rPr>
        <w:footnoteRef/>
      </w:r>
      <w:r w:rsidRPr="001661E4">
        <w:rPr>
          <w:lang w:val="en-IE"/>
        </w:rPr>
        <w:t xml:space="preserve"> </w:t>
      </w:r>
      <w:r w:rsidRPr="003D533C">
        <w:rPr>
          <w:lang w:val="en-IE"/>
        </w:rPr>
        <w:t>de Bromhead et al., ‘Political extremism’;</w:t>
      </w:r>
      <w:r w:rsidRPr="001661E4">
        <w:rPr>
          <w:lang w:val="en-IE"/>
        </w:rPr>
        <w:t xml:space="preserve"> </w:t>
      </w:r>
      <w:r w:rsidRPr="003D533C">
        <w:rPr>
          <w:lang w:val="en-IE"/>
        </w:rPr>
        <w:t>Sartori, ‘</w:t>
      </w:r>
      <w:r w:rsidRPr="00592942">
        <w:rPr>
          <w:i/>
          <w:iCs/>
        </w:rPr>
        <w:t>Parties and party systems</w:t>
      </w:r>
      <w:r>
        <w:rPr>
          <w:i/>
          <w:iCs/>
        </w:rPr>
        <w:t>’.</w:t>
      </w:r>
    </w:p>
  </w:footnote>
  <w:footnote w:id="68">
    <w:p w14:paraId="563F523D" w14:textId="30EC8EA9" w:rsidR="003D533C" w:rsidRPr="003D533C" w:rsidRDefault="003D533C">
      <w:pPr>
        <w:pStyle w:val="FootnoteText"/>
      </w:pPr>
      <w:r>
        <w:rPr>
          <w:rStyle w:val="FootnoteReference"/>
        </w:rPr>
        <w:footnoteRef/>
      </w:r>
      <w:r>
        <w:t xml:space="preserve"> Cohen, ‘</w:t>
      </w:r>
      <w:r>
        <w:rPr>
          <w:lang w:val="en-US"/>
        </w:rPr>
        <w:t>A</w:t>
      </w:r>
      <w:r w:rsidRPr="00944575">
        <w:rPr>
          <w:lang w:val="en-US"/>
        </w:rPr>
        <w:t xml:space="preserve">rrow </w:t>
      </w:r>
      <w:r>
        <w:rPr>
          <w:lang w:val="en-US"/>
        </w:rPr>
        <w:t>C</w:t>
      </w:r>
      <w:r w:rsidRPr="00944575">
        <w:rPr>
          <w:lang w:val="en-US"/>
        </w:rPr>
        <w:t xml:space="preserve">ross party in </w:t>
      </w:r>
      <w:r>
        <w:rPr>
          <w:lang w:val="en-US"/>
        </w:rPr>
        <w:t>H</w:t>
      </w:r>
      <w:r w:rsidRPr="00944575">
        <w:rPr>
          <w:lang w:val="en-US"/>
        </w:rPr>
        <w:t>ungary</w:t>
      </w:r>
      <w:r>
        <w:t>’; Gilberg, ‘</w:t>
      </w:r>
      <w:proofErr w:type="spellStart"/>
      <w:r w:rsidRPr="00282D14">
        <w:rPr>
          <w:lang w:val="en-US"/>
        </w:rPr>
        <w:t>Ethnochauvinism</w:t>
      </w:r>
      <w:proofErr w:type="spellEnd"/>
      <w:r>
        <w:rPr>
          <w:lang w:val="en-US"/>
        </w:rPr>
        <w:t>’.</w:t>
      </w:r>
    </w:p>
  </w:footnote>
  <w:footnote w:id="69">
    <w:p w14:paraId="218759BE" w14:textId="0499D0D9" w:rsidR="003D533C" w:rsidRPr="003D533C" w:rsidRDefault="003D533C">
      <w:pPr>
        <w:pStyle w:val="FootnoteText"/>
      </w:pPr>
      <w:r>
        <w:rPr>
          <w:rStyle w:val="FootnoteReference"/>
        </w:rPr>
        <w:footnoteRef/>
      </w:r>
      <w:r>
        <w:t xml:space="preserve"> </w:t>
      </w:r>
      <w:r w:rsidRPr="0055314F">
        <w:t>Funke et al.</w:t>
      </w:r>
      <w:r>
        <w:t>, ‘</w:t>
      </w:r>
      <w:r w:rsidRPr="003D533C">
        <w:t>Going to extremes</w:t>
      </w:r>
      <w:r>
        <w:t>’.</w:t>
      </w:r>
    </w:p>
  </w:footnote>
  <w:footnote w:id="70">
    <w:p w14:paraId="473E366E" w14:textId="47338C18" w:rsidR="003F0C2B" w:rsidRPr="003F0C2B" w:rsidRDefault="003F0C2B">
      <w:pPr>
        <w:pStyle w:val="FootnoteText"/>
      </w:pPr>
      <w:r>
        <w:rPr>
          <w:rStyle w:val="FootnoteReference"/>
        </w:rPr>
        <w:footnoteRef/>
      </w:r>
      <w:r>
        <w:t xml:space="preserve"> </w:t>
      </w:r>
      <w:r w:rsidRPr="0055314F">
        <w:t xml:space="preserve">Almond and Verba, </w:t>
      </w:r>
      <w:r w:rsidR="00B71B48">
        <w:t>‘</w:t>
      </w:r>
      <w:r w:rsidR="00B71B48" w:rsidRPr="00D631A1">
        <w:rPr>
          <w:i/>
          <w:iCs/>
        </w:rPr>
        <w:t>The civic culture</w:t>
      </w:r>
      <w:r w:rsidR="00B71B48">
        <w:rPr>
          <w:i/>
          <w:iCs/>
        </w:rPr>
        <w:t>’</w:t>
      </w:r>
      <w:r w:rsidRPr="0055314F">
        <w:t xml:space="preserve">; Persson and </w:t>
      </w:r>
      <w:proofErr w:type="spellStart"/>
      <w:r w:rsidRPr="0055314F">
        <w:t>Tabellini</w:t>
      </w:r>
      <w:proofErr w:type="spellEnd"/>
      <w:r w:rsidRPr="0055314F">
        <w:t>,</w:t>
      </w:r>
      <w:r w:rsidR="00B71B48">
        <w:t xml:space="preserve"> ‘</w:t>
      </w:r>
      <w:r w:rsidR="00B71B48" w:rsidRPr="00D631A1">
        <w:t>Democratic capital</w:t>
      </w:r>
      <w:r w:rsidR="00B71B48">
        <w:t>’.</w:t>
      </w:r>
    </w:p>
  </w:footnote>
  <w:footnote w:id="71">
    <w:p w14:paraId="56974567" w14:textId="3EAB9183" w:rsidR="00B71B48" w:rsidRPr="00B71B48" w:rsidRDefault="00B71B48">
      <w:pPr>
        <w:pStyle w:val="FootnoteText"/>
      </w:pPr>
      <w:r>
        <w:rPr>
          <w:rStyle w:val="FootnoteReference"/>
        </w:rPr>
        <w:footnoteRef/>
      </w:r>
      <w:r>
        <w:t xml:space="preserve"> King et al., ‘Ordinary economic voting </w:t>
      </w:r>
      <w:proofErr w:type="spellStart"/>
      <w:r>
        <w:t>behavior</w:t>
      </w:r>
      <w:proofErr w:type="spellEnd"/>
      <w:r>
        <w:t>’.</w:t>
      </w:r>
    </w:p>
  </w:footnote>
  <w:footnote w:id="72">
    <w:p w14:paraId="234F418F" w14:textId="4CDC18EB" w:rsidR="00B71B48" w:rsidRPr="00B71B48" w:rsidRDefault="00B71B48">
      <w:pPr>
        <w:pStyle w:val="FootnoteText"/>
      </w:pPr>
      <w:r>
        <w:rPr>
          <w:rStyle w:val="FootnoteReference"/>
        </w:rPr>
        <w:footnoteRef/>
      </w:r>
      <w:r>
        <w:t xml:space="preserve"> </w:t>
      </w:r>
      <w:r w:rsidRPr="0055314F">
        <w:t xml:space="preserve">Blum and de Bromhead, </w:t>
      </w:r>
      <w:r>
        <w:t>‘</w:t>
      </w:r>
      <w:r w:rsidRPr="004270CC">
        <w:t xml:space="preserve">Rise and fall in the </w:t>
      </w:r>
      <w:r>
        <w:t>T</w:t>
      </w:r>
      <w:r w:rsidRPr="004270CC">
        <w:t xml:space="preserve">hird </w:t>
      </w:r>
      <w:r>
        <w:t>R</w:t>
      </w:r>
      <w:r w:rsidRPr="004270CC">
        <w:t>eich</w:t>
      </w:r>
      <w:r>
        <w:t>’.</w:t>
      </w:r>
    </w:p>
  </w:footnote>
  <w:footnote w:id="73">
    <w:p w14:paraId="4A8B0648" w14:textId="5F88D02A" w:rsidR="00B71B48" w:rsidRPr="00B71B48" w:rsidRDefault="00B71B48">
      <w:pPr>
        <w:pStyle w:val="FootnoteText"/>
      </w:pPr>
      <w:r>
        <w:rPr>
          <w:rStyle w:val="FootnoteReference"/>
        </w:rPr>
        <w:footnoteRef/>
      </w:r>
      <w:r>
        <w:t xml:space="preserve"> Wang, ‘</w:t>
      </w:r>
      <w:r w:rsidRPr="00BD2854">
        <w:t>Media, pulpit, and populist persuasion</w:t>
      </w:r>
      <w:r>
        <w:t>’.</w:t>
      </w:r>
    </w:p>
  </w:footnote>
  <w:footnote w:id="74">
    <w:p w14:paraId="23F947A3" w14:textId="6C4DEC97" w:rsidR="008D4A8E" w:rsidRPr="008D4A8E" w:rsidRDefault="008D4A8E">
      <w:pPr>
        <w:pStyle w:val="FootnoteText"/>
      </w:pPr>
      <w:r>
        <w:rPr>
          <w:rStyle w:val="FootnoteReference"/>
        </w:rPr>
        <w:footnoteRef/>
      </w:r>
      <w:r>
        <w:t xml:space="preserve"> </w:t>
      </w:r>
      <w:r w:rsidRPr="00EB26B1">
        <w:t xml:space="preserve">Shenton, </w:t>
      </w:r>
      <w:r>
        <w:t>‘</w:t>
      </w:r>
      <w:r w:rsidRPr="00592942">
        <w:t xml:space="preserve">The </w:t>
      </w:r>
      <w:r>
        <w:t>C</w:t>
      </w:r>
      <w:r w:rsidRPr="00592942">
        <w:t>oughlin movement</w:t>
      </w:r>
      <w:r>
        <w:t>’; Kazin, ‘</w:t>
      </w:r>
      <w:r w:rsidRPr="007217E0">
        <w:rPr>
          <w:i/>
          <w:iCs/>
        </w:rPr>
        <w:t>The populist persuasio</w:t>
      </w:r>
      <w:r>
        <w:rPr>
          <w:i/>
          <w:iCs/>
        </w:rPr>
        <w:t>n’.</w:t>
      </w:r>
    </w:p>
  </w:footnote>
  <w:footnote w:id="75">
    <w:p w14:paraId="36947EA5" w14:textId="6B807EA0" w:rsidR="005A5B85" w:rsidRPr="005A5B85" w:rsidRDefault="005A5B85">
      <w:pPr>
        <w:pStyle w:val="FootnoteText"/>
      </w:pPr>
      <w:r>
        <w:rPr>
          <w:rStyle w:val="FootnoteReference"/>
        </w:rPr>
        <w:footnoteRef/>
      </w:r>
      <w:r>
        <w:t xml:space="preserve"> </w:t>
      </w:r>
      <w:r w:rsidRPr="00EB26B1">
        <w:t>Brinkley</w:t>
      </w:r>
      <w:r>
        <w:t>, ‘</w:t>
      </w:r>
      <w:r w:rsidRPr="005A5B85">
        <w:rPr>
          <w:i/>
          <w:iCs/>
        </w:rPr>
        <w:t>Voices of protest</w:t>
      </w:r>
      <w:r>
        <w:rPr>
          <w:i/>
          <w:iCs/>
        </w:rPr>
        <w:t>’</w:t>
      </w:r>
      <w:r w:rsidR="00207A92">
        <w:rPr>
          <w:i/>
          <w:iCs/>
        </w:rPr>
        <w:t>.</w:t>
      </w:r>
    </w:p>
  </w:footnote>
  <w:footnote w:id="76">
    <w:p w14:paraId="612AF09D" w14:textId="4E107AEF" w:rsidR="00207A92" w:rsidRPr="00207A92" w:rsidRDefault="00207A92">
      <w:pPr>
        <w:pStyle w:val="FootnoteText"/>
        <w:rPr>
          <w:lang w:val="en-IE"/>
        </w:rPr>
      </w:pPr>
      <w:r>
        <w:rPr>
          <w:rStyle w:val="FootnoteReference"/>
        </w:rPr>
        <w:footnoteRef/>
      </w:r>
      <w:r w:rsidRPr="00207A92">
        <w:rPr>
          <w:lang w:val="en-IE"/>
        </w:rPr>
        <w:t xml:space="preserve"> Amenta et al., ‘Stolen thunder’; Kennedy, </w:t>
      </w:r>
      <w:r>
        <w:rPr>
          <w:lang w:val="en-IE"/>
        </w:rPr>
        <w:t>‘</w:t>
      </w:r>
      <w:r w:rsidRPr="007217E0">
        <w:rPr>
          <w:i/>
          <w:iCs/>
        </w:rPr>
        <w:t>Freedom from fear</w:t>
      </w:r>
      <w:r>
        <w:rPr>
          <w:i/>
          <w:iCs/>
        </w:rPr>
        <w:t>’.</w:t>
      </w:r>
    </w:p>
  </w:footnote>
  <w:footnote w:id="77">
    <w:p w14:paraId="23184FC9" w14:textId="07B73350" w:rsidR="00207A92" w:rsidRPr="00207A92" w:rsidRDefault="00207A92">
      <w:pPr>
        <w:pStyle w:val="FootnoteText"/>
      </w:pPr>
      <w:r>
        <w:rPr>
          <w:rStyle w:val="FootnoteReference"/>
        </w:rPr>
        <w:footnoteRef/>
      </w:r>
      <w:r>
        <w:t xml:space="preserve"> Wang, ‘</w:t>
      </w:r>
      <w:r w:rsidRPr="00BD2854">
        <w:t>Media, pulpit, and populist persuasion</w:t>
      </w:r>
      <w:r>
        <w:t>’.</w:t>
      </w:r>
    </w:p>
  </w:footnote>
  <w:footnote w:id="78">
    <w:p w14:paraId="58880EA9" w14:textId="3EEA06D3" w:rsidR="00207A92" w:rsidRPr="00207A92" w:rsidRDefault="00207A92">
      <w:pPr>
        <w:pStyle w:val="FootnoteText"/>
      </w:pPr>
      <w:r>
        <w:rPr>
          <w:rStyle w:val="FootnoteReference"/>
        </w:rPr>
        <w:footnoteRef/>
      </w:r>
      <w:r>
        <w:t xml:space="preserve"> </w:t>
      </w:r>
      <w:r w:rsidRPr="0055314F">
        <w:t xml:space="preserve">Gallup Organisation, </w:t>
      </w:r>
      <w:r>
        <w:t>‘</w:t>
      </w:r>
      <w:r w:rsidR="00D52059" w:rsidRPr="00D52059">
        <w:t>Depression/Political Parties/Father Coughlin's Radio Talks/Telephone/Finances</w:t>
      </w:r>
      <w:r>
        <w:t>’.</w:t>
      </w:r>
    </w:p>
  </w:footnote>
  <w:footnote w:id="79">
    <w:p w14:paraId="777F7D73" w14:textId="02D66CF6" w:rsidR="00D10154" w:rsidRPr="00D10154" w:rsidRDefault="00D10154">
      <w:pPr>
        <w:pStyle w:val="FootnoteText"/>
      </w:pPr>
      <w:r>
        <w:rPr>
          <w:rStyle w:val="FootnoteReference"/>
        </w:rPr>
        <w:footnoteRef/>
      </w:r>
      <w:r>
        <w:t xml:space="preserve"> Irwin, ‘</w:t>
      </w:r>
      <w:r w:rsidRPr="007217E0">
        <w:t>Gold sterilization</w:t>
      </w:r>
      <w:r>
        <w:t>’.</w:t>
      </w:r>
    </w:p>
  </w:footnote>
  <w:footnote w:id="80">
    <w:p w14:paraId="28E4D553" w14:textId="4A414B12" w:rsidR="003E01CB" w:rsidRDefault="003E01CB" w:rsidP="003E01CB">
      <w:pPr>
        <w:pStyle w:val="FootnoteText"/>
      </w:pPr>
      <w:r>
        <w:rPr>
          <w:rStyle w:val="FootnoteReference"/>
        </w:rPr>
        <w:footnoteRef/>
      </w:r>
      <w:r>
        <w:t xml:space="preserve"> Q3D asked </w:t>
      </w:r>
      <w:r w:rsidR="00552A77">
        <w:t>‘</w:t>
      </w:r>
      <w:r>
        <w:t>I</w:t>
      </w:r>
      <w:r w:rsidRPr="00343523">
        <w:t>n general, do you approve or disapprove of what he says?</w:t>
      </w:r>
      <w:r w:rsidR="00552A77">
        <w:t>’</w:t>
      </w:r>
      <w:r>
        <w:t xml:space="preserve"> The 22 per cent</w:t>
      </w:r>
      <w:r w:rsidRPr="0055314F">
        <w:t xml:space="preserve"> </w:t>
      </w:r>
      <w:r>
        <w:t xml:space="preserve">approval figure compares to the 51 per cent of survey respondents declaring that they were </w:t>
      </w:r>
      <w:r w:rsidR="00552A77">
        <w:t>‘</w:t>
      </w:r>
      <w:r>
        <w:t>for Roosevelt today</w:t>
      </w:r>
      <w:r w:rsidR="00552A77">
        <w:t>’</w:t>
      </w:r>
      <w:r>
        <w:t>.</w:t>
      </w:r>
    </w:p>
  </w:footnote>
  <w:footnote w:id="81">
    <w:p w14:paraId="54E5AFF5" w14:textId="1FE3DC6A" w:rsidR="00D10154" w:rsidRPr="00D10154" w:rsidRDefault="00D10154">
      <w:pPr>
        <w:pStyle w:val="FootnoteText"/>
      </w:pPr>
      <w:r>
        <w:rPr>
          <w:rStyle w:val="FootnoteReference"/>
        </w:rPr>
        <w:footnoteRef/>
      </w:r>
      <w:r>
        <w:t xml:space="preserve"> Shenton, ‘</w:t>
      </w:r>
      <w:r w:rsidRPr="00592942">
        <w:t xml:space="preserve">The </w:t>
      </w:r>
      <w:r>
        <w:t>C</w:t>
      </w:r>
      <w:r w:rsidRPr="00592942">
        <w:t>oughlin movement</w:t>
      </w:r>
      <w:r>
        <w:t>’, p.363.</w:t>
      </w:r>
    </w:p>
  </w:footnote>
  <w:footnote w:id="82">
    <w:p w14:paraId="4D84418D" w14:textId="5197D240" w:rsidR="000841F5" w:rsidRPr="000841F5" w:rsidRDefault="000841F5">
      <w:pPr>
        <w:pStyle w:val="FootnoteText"/>
      </w:pPr>
      <w:r>
        <w:rPr>
          <w:rStyle w:val="FootnoteReference"/>
        </w:rPr>
        <w:footnoteRef/>
      </w:r>
      <w:r>
        <w:t xml:space="preserve"> </w:t>
      </w:r>
      <w:r w:rsidR="00484D0F">
        <w:t>Gallup Organisation, ‘</w:t>
      </w:r>
      <w:r w:rsidR="00484D0F" w:rsidRPr="000C3A60">
        <w:t>Father Coughlin’s Radio Talks/World’s Fair/ Spanish Civil War/Radio</w:t>
      </w:r>
      <w:r w:rsidR="00F84CDB">
        <w:t>’</w:t>
      </w:r>
      <w:r w:rsidR="00484D0F">
        <w:t xml:space="preserve">. </w:t>
      </w:r>
      <w:r>
        <w:t xml:space="preserve">On the other side of the ledger </w:t>
      </w:r>
      <w:r w:rsidR="005308D3">
        <w:t xml:space="preserve">it was presumably Protestants who </w:t>
      </w:r>
      <w:r w:rsidR="001136D1">
        <w:t xml:space="preserve">in the 1930s </w:t>
      </w:r>
      <w:r w:rsidR="005308D3">
        <w:t xml:space="preserve">supported the anti-Catholic and anti-Semitic, as well as racist, </w:t>
      </w:r>
      <w:r>
        <w:t>Ku Klux Klan.</w:t>
      </w:r>
    </w:p>
  </w:footnote>
  <w:footnote w:id="83">
    <w:p w14:paraId="6261219E" w14:textId="5C2725C2" w:rsidR="004550A2" w:rsidRPr="006E6F5D" w:rsidRDefault="004550A2">
      <w:pPr>
        <w:pStyle w:val="FootnoteText"/>
      </w:pPr>
      <w:r>
        <w:rPr>
          <w:rStyle w:val="FootnoteReference"/>
        </w:rPr>
        <w:footnoteRef/>
      </w:r>
      <w:r>
        <w:t xml:space="preserve"> </w:t>
      </w:r>
      <w:r w:rsidR="00FF02BF">
        <w:t xml:space="preserve">See </w:t>
      </w:r>
      <w:r w:rsidR="00FF02BF" w:rsidRPr="0055314F">
        <w:t xml:space="preserve">Inglehart and Norris, </w:t>
      </w:r>
      <w:r w:rsidR="00FF02BF">
        <w:t>‘</w:t>
      </w:r>
      <w:r w:rsidR="00FF02BF" w:rsidRPr="000C3A60">
        <w:t>Trump, Brexit, and the rise of populism</w:t>
      </w:r>
      <w:r w:rsidR="00FF02BF">
        <w:t>’</w:t>
      </w:r>
      <w:r w:rsidR="00FF02BF" w:rsidRPr="0055314F">
        <w:t xml:space="preserve">; Oliver and Rahn, </w:t>
      </w:r>
      <w:r w:rsidR="00FF02BF">
        <w:t>‘</w:t>
      </w:r>
      <w:r w:rsidR="00FF02BF" w:rsidRPr="000C3A60">
        <w:t xml:space="preserve">Rise of the </w:t>
      </w:r>
      <w:proofErr w:type="spellStart"/>
      <w:r w:rsidR="00FF02BF" w:rsidRPr="000C3A60">
        <w:t>Trumpenvolk</w:t>
      </w:r>
      <w:proofErr w:type="spellEnd"/>
      <w:r w:rsidR="00FF02BF">
        <w:t xml:space="preserve">’. </w:t>
      </w:r>
      <w:r>
        <w:t>This includes those defined as populist on the basis of “populist” survey responses, as well as those intending to vote for populist candidates or causes such as Donald Trump, Marine Le Pen, or Brexit.</w:t>
      </w:r>
    </w:p>
  </w:footnote>
  <w:footnote w:id="84">
    <w:p w14:paraId="12A46D58" w14:textId="35733992" w:rsidR="00FF02BF" w:rsidRPr="00FF02BF" w:rsidRDefault="00FF02BF">
      <w:pPr>
        <w:pStyle w:val="FootnoteText"/>
      </w:pPr>
      <w:r>
        <w:rPr>
          <w:rStyle w:val="FootnoteReference"/>
        </w:rPr>
        <w:footnoteRef/>
      </w:r>
      <w:r>
        <w:t xml:space="preserve"> </w:t>
      </w:r>
      <w:proofErr w:type="spellStart"/>
      <w:r w:rsidRPr="0055314F">
        <w:t>Alabrese</w:t>
      </w:r>
      <w:proofErr w:type="spellEnd"/>
      <w:r w:rsidRPr="0055314F">
        <w:t xml:space="preserve"> et al., </w:t>
      </w:r>
      <w:r>
        <w:t>‘</w:t>
      </w:r>
      <w:r w:rsidRPr="00EA2D0A">
        <w:t>Who voted for Brexit</w:t>
      </w:r>
      <w:r>
        <w:t>?’</w:t>
      </w:r>
      <w:r w:rsidRPr="0055314F">
        <w:t xml:space="preserve">; Wike, </w:t>
      </w:r>
      <w:r>
        <w:t>‘</w:t>
      </w:r>
      <w:r w:rsidRPr="000C3A60">
        <w:t>5 charts</w:t>
      </w:r>
      <w:r>
        <w:t>’.</w:t>
      </w:r>
    </w:p>
  </w:footnote>
  <w:footnote w:id="85">
    <w:p w14:paraId="2089669D" w14:textId="2B517B4C" w:rsidR="004550A2" w:rsidRPr="00C95B13" w:rsidRDefault="004550A2">
      <w:pPr>
        <w:pStyle w:val="FootnoteText"/>
      </w:pPr>
      <w:r>
        <w:rPr>
          <w:rStyle w:val="FootnoteReference"/>
        </w:rPr>
        <w:footnoteRef/>
      </w:r>
      <w:r>
        <w:t xml:space="preserve"> </w:t>
      </w:r>
      <w:r w:rsidRPr="00C61EED">
        <w:t>In the case of Bryan supporters, this gender and age pattern appears when considering all respondents, not just those over 40.</w:t>
      </w:r>
    </w:p>
  </w:footnote>
  <w:footnote w:id="86">
    <w:p w14:paraId="0C3D6B08" w14:textId="1B1FAF2A" w:rsidR="00F84CDB" w:rsidRPr="00F84CDB" w:rsidRDefault="00F84CDB">
      <w:pPr>
        <w:pStyle w:val="FootnoteText"/>
      </w:pPr>
      <w:r>
        <w:rPr>
          <w:rStyle w:val="FootnoteReference"/>
        </w:rPr>
        <w:footnoteRef/>
      </w:r>
      <w:r>
        <w:t xml:space="preserve"> </w:t>
      </w:r>
      <w:proofErr w:type="spellStart"/>
      <w:r w:rsidRPr="0055314F">
        <w:t>Liberini</w:t>
      </w:r>
      <w:proofErr w:type="spellEnd"/>
      <w:r w:rsidRPr="0055314F">
        <w:t xml:space="preserve"> at al., </w:t>
      </w:r>
      <w:r>
        <w:t>‘</w:t>
      </w:r>
      <w:r w:rsidRPr="007217E0">
        <w:t xml:space="preserve">Was </w:t>
      </w:r>
      <w:r>
        <w:t>B</w:t>
      </w:r>
      <w:r w:rsidRPr="007217E0">
        <w:t>rexit triggered</w:t>
      </w:r>
      <w:r>
        <w:t>’</w:t>
      </w:r>
      <w:r w:rsidRPr="0055314F">
        <w:t xml:space="preserve">; Silver, </w:t>
      </w:r>
      <w:r>
        <w:t>‘</w:t>
      </w:r>
      <w:r w:rsidRPr="000C3A60">
        <w:t>Populist Party support</w:t>
      </w:r>
      <w:r>
        <w:t>’</w:t>
      </w:r>
      <w:r w:rsidRPr="0055314F">
        <w:t xml:space="preserve">; Oliver and Rahn, </w:t>
      </w:r>
      <w:r>
        <w:t>‘</w:t>
      </w:r>
      <w:r w:rsidRPr="000C3A60">
        <w:t xml:space="preserve">Rise of the </w:t>
      </w:r>
      <w:proofErr w:type="spellStart"/>
      <w:r w:rsidRPr="000C3A60">
        <w:t>Trumpenvolk</w:t>
      </w:r>
      <w:proofErr w:type="spellEnd"/>
      <w:r>
        <w:t>’.</w:t>
      </w:r>
    </w:p>
  </w:footnote>
  <w:footnote w:id="87">
    <w:p w14:paraId="0BB4C866" w14:textId="38600D1E" w:rsidR="00A0045D" w:rsidRPr="00A0045D" w:rsidRDefault="00A0045D">
      <w:pPr>
        <w:pStyle w:val="FootnoteText"/>
      </w:pPr>
      <w:r>
        <w:rPr>
          <w:rStyle w:val="FootnoteReference"/>
        </w:rPr>
        <w:footnoteRef/>
      </w:r>
      <w:r>
        <w:t xml:space="preserve"> </w:t>
      </w:r>
      <w:proofErr w:type="spellStart"/>
      <w:r w:rsidRPr="0055314F">
        <w:t>Spruyt</w:t>
      </w:r>
      <w:proofErr w:type="spellEnd"/>
      <w:r w:rsidRPr="0055314F">
        <w:t xml:space="preserve"> et al</w:t>
      </w:r>
      <w:r>
        <w:t>., ‘</w:t>
      </w:r>
      <w:r w:rsidRPr="00592942">
        <w:t>Who supports populism</w:t>
      </w:r>
      <w:r>
        <w:t>’.</w:t>
      </w:r>
    </w:p>
  </w:footnote>
  <w:footnote w:id="88">
    <w:p w14:paraId="39D5DDE0" w14:textId="44FA473C" w:rsidR="00E60FFE" w:rsidRPr="00E60FFE" w:rsidRDefault="00E60FFE">
      <w:pPr>
        <w:pStyle w:val="FootnoteText"/>
      </w:pPr>
      <w:r>
        <w:rPr>
          <w:rStyle w:val="FootnoteReference"/>
        </w:rPr>
        <w:footnoteRef/>
      </w:r>
      <w:r>
        <w:t xml:space="preserve"> Rothermund, ‘Political consequences’.</w:t>
      </w:r>
    </w:p>
  </w:footnote>
  <w:footnote w:id="89">
    <w:p w14:paraId="154A7727" w14:textId="5EF5B885" w:rsidR="00E60FFE" w:rsidRPr="00222679" w:rsidRDefault="00E60FFE">
      <w:pPr>
        <w:pStyle w:val="FootnoteText"/>
        <w:rPr>
          <w:lang w:val="en-IE"/>
        </w:rPr>
      </w:pPr>
      <w:r>
        <w:rPr>
          <w:rStyle w:val="FootnoteReference"/>
        </w:rPr>
        <w:footnoteRef/>
      </w:r>
      <w:r w:rsidRPr="00222679">
        <w:rPr>
          <w:lang w:val="en-IE"/>
        </w:rPr>
        <w:t xml:space="preserve"> de Cleen, ‘Populism and nationalism’.</w:t>
      </w:r>
    </w:p>
  </w:footnote>
  <w:footnote w:id="90">
    <w:p w14:paraId="6600E754" w14:textId="3FC7C2E7" w:rsidR="00222679" w:rsidRPr="00222679" w:rsidRDefault="00222679">
      <w:pPr>
        <w:pStyle w:val="FootnoteText"/>
      </w:pPr>
      <w:r>
        <w:rPr>
          <w:rStyle w:val="FootnoteReference"/>
        </w:rPr>
        <w:footnoteRef/>
      </w:r>
      <w:r>
        <w:t xml:space="preserve"> Rockoff, ‘</w:t>
      </w:r>
      <w:r w:rsidRPr="004270CC">
        <w:t>By way of analogy</w:t>
      </w:r>
      <w:r>
        <w:t>’; idem, ‘</w:t>
      </w:r>
      <w:r w:rsidRPr="004270CC">
        <w:t>Until it's over, over there</w:t>
      </w:r>
      <w:r>
        <w:t>’.</w:t>
      </w:r>
    </w:p>
  </w:footnote>
  <w:footnote w:id="91">
    <w:p w14:paraId="5696BBD5" w14:textId="745A1466" w:rsidR="00222679" w:rsidRPr="00222679" w:rsidRDefault="00222679">
      <w:pPr>
        <w:pStyle w:val="FootnoteText"/>
      </w:pPr>
      <w:r>
        <w:rPr>
          <w:rStyle w:val="FootnoteReference"/>
        </w:rPr>
        <w:footnoteRef/>
      </w:r>
      <w:r>
        <w:t xml:space="preserve"> ibid.</w:t>
      </w:r>
    </w:p>
  </w:footnote>
  <w:footnote w:id="92">
    <w:p w14:paraId="74238780" w14:textId="5238214B" w:rsidR="00222679" w:rsidRPr="00222679" w:rsidRDefault="00222679">
      <w:pPr>
        <w:pStyle w:val="FootnoteText"/>
        <w:rPr>
          <w:lang w:val="en-IE"/>
        </w:rPr>
      </w:pPr>
      <w:r>
        <w:rPr>
          <w:rStyle w:val="FootnoteReference"/>
        </w:rPr>
        <w:footnoteRef/>
      </w:r>
      <w:r w:rsidRPr="00222679">
        <w:rPr>
          <w:lang w:val="en-IE"/>
        </w:rPr>
        <w:t xml:space="preserve"> </w:t>
      </w:r>
      <w:proofErr w:type="spellStart"/>
      <w:r w:rsidRPr="00222679">
        <w:rPr>
          <w:lang w:val="en-IE"/>
        </w:rPr>
        <w:t>Eichengreen</w:t>
      </w:r>
      <w:proofErr w:type="spellEnd"/>
      <w:r w:rsidRPr="00222679">
        <w:rPr>
          <w:lang w:val="en-IE"/>
        </w:rPr>
        <w:t xml:space="preserve"> and Sachs, </w:t>
      </w:r>
      <w:r>
        <w:rPr>
          <w:lang w:val="en-IE"/>
        </w:rPr>
        <w:t>‘</w:t>
      </w:r>
      <w:r w:rsidRPr="00222679">
        <w:rPr>
          <w:lang w:val="en-IE"/>
        </w:rPr>
        <w:t>Exchange rates‘; Temin,</w:t>
      </w:r>
      <w:r>
        <w:rPr>
          <w:lang w:val="en-IE"/>
        </w:rPr>
        <w:t xml:space="preserve"> </w:t>
      </w:r>
      <w:r w:rsidRPr="00222679">
        <w:rPr>
          <w:lang w:val="en-IE"/>
        </w:rPr>
        <w:t>‘</w:t>
      </w:r>
      <w:r w:rsidRPr="00D631A1">
        <w:rPr>
          <w:i/>
          <w:iCs/>
        </w:rPr>
        <w:t>Lessons from the great depression</w:t>
      </w:r>
      <w:r>
        <w:rPr>
          <w:i/>
          <w:iCs/>
        </w:rPr>
        <w:t>’</w:t>
      </w:r>
      <w:r w:rsidRPr="00222679">
        <w:rPr>
          <w:lang w:val="en-IE"/>
        </w:rPr>
        <w:t xml:space="preserve">; Bernanke and James, </w:t>
      </w:r>
      <w:r>
        <w:rPr>
          <w:lang w:val="en-IE"/>
        </w:rPr>
        <w:t>‘</w:t>
      </w:r>
      <w:r w:rsidRPr="000C3A60">
        <w:t xml:space="preserve">The </w:t>
      </w:r>
      <w:r>
        <w:t>g</w:t>
      </w:r>
      <w:r w:rsidRPr="000C3A60">
        <w:t xml:space="preserve">old </w:t>
      </w:r>
      <w:r>
        <w:t>s</w:t>
      </w:r>
      <w:r w:rsidRPr="000C3A60">
        <w:t>tandard</w:t>
      </w:r>
      <w:r>
        <w:t>’</w:t>
      </w:r>
      <w:r w:rsidRPr="00222679">
        <w:rPr>
          <w:lang w:val="en-IE"/>
        </w:rPr>
        <w:t xml:space="preserve">; </w:t>
      </w:r>
      <w:proofErr w:type="spellStart"/>
      <w:r w:rsidRPr="00222679">
        <w:rPr>
          <w:lang w:val="en-IE"/>
        </w:rPr>
        <w:t>Eichengreen</w:t>
      </w:r>
      <w:proofErr w:type="spellEnd"/>
      <w:r>
        <w:rPr>
          <w:lang w:val="en-IE"/>
        </w:rPr>
        <w:t>, ‘Golden fetters’.</w:t>
      </w:r>
    </w:p>
  </w:footnote>
  <w:footnote w:id="93">
    <w:p w14:paraId="4C37B980" w14:textId="233589DF" w:rsidR="003A1229" w:rsidRPr="003A1229" w:rsidRDefault="003A1229">
      <w:pPr>
        <w:pStyle w:val="FootnoteText"/>
      </w:pPr>
      <w:r>
        <w:rPr>
          <w:rStyle w:val="FootnoteReference"/>
        </w:rPr>
        <w:footnoteRef/>
      </w:r>
      <w:r>
        <w:t xml:space="preserve"> Morrison, ‘</w:t>
      </w:r>
      <w:r w:rsidRPr="00592942">
        <w:t>Shocking intellectual austerity</w:t>
      </w:r>
      <w:r>
        <w:t xml:space="preserve">’; </w:t>
      </w:r>
      <w:proofErr w:type="spellStart"/>
      <w:r w:rsidRPr="00BF32C3">
        <w:t>Eichengreen</w:t>
      </w:r>
      <w:proofErr w:type="spellEnd"/>
      <w:r w:rsidRPr="00BF32C3">
        <w:t xml:space="preserve"> and Temin</w:t>
      </w:r>
      <w:r>
        <w:t>, ‘</w:t>
      </w:r>
      <w:r w:rsidRPr="006F5B36">
        <w:t>Fetters of gold and paper</w:t>
      </w:r>
      <w:r>
        <w:t>’.</w:t>
      </w:r>
    </w:p>
  </w:footnote>
  <w:footnote w:id="94">
    <w:p w14:paraId="51920104" w14:textId="31F04275" w:rsidR="00DB42C1" w:rsidRPr="00DB42C1" w:rsidRDefault="00DB42C1">
      <w:pPr>
        <w:pStyle w:val="FootnoteText"/>
      </w:pPr>
      <w:r>
        <w:rPr>
          <w:rStyle w:val="FootnoteReference"/>
        </w:rPr>
        <w:footnoteRef/>
      </w:r>
      <w:r>
        <w:t xml:space="preserve"> Irwin, ‘</w:t>
      </w:r>
      <w:r w:rsidRPr="007217E0">
        <w:t>Who anticipated the great depression</w:t>
      </w:r>
      <w:r>
        <w:t>?’.</w:t>
      </w:r>
    </w:p>
  </w:footnote>
  <w:footnote w:id="95">
    <w:p w14:paraId="26BB949D" w14:textId="56B576F9" w:rsidR="008D1031" w:rsidRPr="008D1031" w:rsidRDefault="008D1031">
      <w:pPr>
        <w:pStyle w:val="FootnoteText"/>
      </w:pPr>
      <w:r>
        <w:rPr>
          <w:rStyle w:val="FootnoteReference"/>
        </w:rPr>
        <w:footnoteRef/>
      </w:r>
      <w:r>
        <w:t xml:space="preserve"> Stein, ‘</w:t>
      </w:r>
      <w:r w:rsidRPr="000C3A60">
        <w:t>Pre-revolutionary fiscal policy</w:t>
      </w:r>
      <w:r>
        <w:t>’.</w:t>
      </w:r>
    </w:p>
  </w:footnote>
  <w:footnote w:id="96">
    <w:p w14:paraId="26A68300" w14:textId="3ED6DA54" w:rsidR="005A3337" w:rsidRPr="005A3337" w:rsidRDefault="005A3337">
      <w:pPr>
        <w:pStyle w:val="FootnoteText"/>
      </w:pPr>
      <w:r>
        <w:rPr>
          <w:rStyle w:val="FootnoteReference"/>
        </w:rPr>
        <w:footnoteRef/>
      </w:r>
      <w:r>
        <w:t xml:space="preserve"> Cited in Berman, ‘</w:t>
      </w:r>
      <w:r w:rsidR="00026035" w:rsidRPr="00DA1AC3">
        <w:rPr>
          <w:i/>
          <w:iCs/>
        </w:rPr>
        <w:t>P</w:t>
      </w:r>
      <w:r w:rsidR="00026035" w:rsidRPr="003F0EFA">
        <w:rPr>
          <w:i/>
          <w:iCs/>
        </w:rPr>
        <w:t>rimacy of politics</w:t>
      </w:r>
      <w:r w:rsidR="001661E4">
        <w:t>’ p.142.</w:t>
      </w:r>
    </w:p>
  </w:footnote>
  <w:footnote w:id="97">
    <w:p w14:paraId="1211A3EC" w14:textId="22481253" w:rsidR="001661E4" w:rsidRPr="001661E4" w:rsidRDefault="001661E4">
      <w:pPr>
        <w:pStyle w:val="FootnoteText"/>
      </w:pPr>
      <w:r>
        <w:rPr>
          <w:rStyle w:val="FootnoteReference"/>
        </w:rPr>
        <w:footnoteRef/>
      </w:r>
      <w:r>
        <w:t xml:space="preserve"> Solow, ‘</w:t>
      </w:r>
      <w:r w:rsidRPr="00030F72">
        <w:t>Economics: Is something missing?</w:t>
      </w:r>
      <w:r>
        <w:t>’.</w:t>
      </w:r>
    </w:p>
  </w:footnote>
  <w:footnote w:id="98">
    <w:p w14:paraId="386F0941" w14:textId="750C427D" w:rsidR="001661E4" w:rsidRPr="001661E4" w:rsidRDefault="001661E4">
      <w:pPr>
        <w:pStyle w:val="FootnoteText"/>
      </w:pPr>
      <w:r>
        <w:rPr>
          <w:rStyle w:val="FootnoteReference"/>
        </w:rPr>
        <w:footnoteRef/>
      </w:r>
      <w:r>
        <w:t xml:space="preserve"> </w:t>
      </w:r>
      <w:r w:rsidRPr="00C50AB1">
        <w:t>Bernhardt</w:t>
      </w:r>
      <w:r>
        <w:t xml:space="preserve"> et al., ‘Demagogues’.</w:t>
      </w:r>
    </w:p>
  </w:footnote>
  <w:footnote w:id="99">
    <w:p w14:paraId="05309115" w14:textId="458C1656" w:rsidR="001661E4" w:rsidRPr="001661E4" w:rsidRDefault="001661E4">
      <w:pPr>
        <w:pStyle w:val="FootnoteText"/>
      </w:pPr>
      <w:r>
        <w:rPr>
          <w:rStyle w:val="FootnoteReference"/>
        </w:rPr>
        <w:footnoteRef/>
      </w:r>
      <w:r>
        <w:t xml:space="preserve"> Frank, ‘</w:t>
      </w:r>
      <w:r w:rsidRPr="004270CC">
        <w:rPr>
          <w:i/>
          <w:iCs/>
        </w:rPr>
        <w:t>The people, no</w:t>
      </w:r>
      <w:r>
        <w:rPr>
          <w:i/>
          <w:iCs/>
        </w:rPr>
        <w:t>’.</w:t>
      </w:r>
    </w:p>
  </w:footnote>
  <w:footnote w:id="100">
    <w:p w14:paraId="28C0AF41" w14:textId="0A16C8AC" w:rsidR="004550A2" w:rsidRPr="00D75115" w:rsidRDefault="004550A2">
      <w:pPr>
        <w:pStyle w:val="FootnoteText"/>
        <w:rPr>
          <w:lang w:val="en-IE"/>
        </w:rPr>
      </w:pPr>
      <w:r>
        <w:rPr>
          <w:rStyle w:val="FootnoteReference"/>
        </w:rPr>
        <w:footnoteRef/>
      </w:r>
      <w:r>
        <w:t xml:space="preserve"> </w:t>
      </w:r>
      <w:r w:rsidR="001661E4">
        <w:rPr>
          <w:lang w:val="en-IE"/>
        </w:rPr>
        <w:t xml:space="preserve">Goodwyn, </w:t>
      </w:r>
      <w:r w:rsidR="001661E4">
        <w:t>‘</w:t>
      </w:r>
      <w:r w:rsidR="001661E4" w:rsidRPr="005F250C">
        <w:t>Rethinking “populism”</w:t>
      </w:r>
      <w:r w:rsidR="001661E4">
        <w:t>’</w:t>
      </w:r>
      <w:r w:rsidR="001661E4">
        <w:rPr>
          <w:lang w:val="en-IE"/>
        </w:rPr>
        <w:t xml:space="preserve">, p. 40. </w:t>
      </w:r>
      <w:r w:rsidRPr="00D75115">
        <w:rPr>
          <w:lang w:val="en-IE"/>
        </w:rPr>
        <w:t xml:space="preserve">For Charles Postel </w:t>
      </w:r>
      <w:r w:rsidR="001661E4">
        <w:rPr>
          <w:lang w:val="en-IE"/>
        </w:rPr>
        <w:t>see</w:t>
      </w:r>
      <w:r w:rsidR="001661E4" w:rsidRPr="001661E4">
        <w:rPr>
          <w:lang w:val="en-IE"/>
        </w:rPr>
        <w:t xml:space="preserve"> ‘Anti-populist legacy’, </w:t>
      </w:r>
      <w:r w:rsidRPr="00D75115">
        <w:rPr>
          <w:lang w:val="en-IE"/>
        </w:rPr>
        <w:t>p. 117, ‘</w:t>
      </w:r>
      <w:r w:rsidRPr="001C1728">
        <w:rPr>
          <w:lang w:val="en-IE"/>
        </w:rPr>
        <w:t>because the concept of populism is so flexible and contingent, it has little value outside of specifically defined meanings in specific places and moments</w:t>
      </w:r>
      <w:r>
        <w:rPr>
          <w:lang w:val="en-IE"/>
        </w:rPr>
        <w:t xml:space="preserve">.’ </w:t>
      </w:r>
    </w:p>
  </w:footnote>
  <w:footnote w:id="101">
    <w:p w14:paraId="42341A6D" w14:textId="17A6E562" w:rsidR="001661E4" w:rsidRPr="001661E4" w:rsidRDefault="001661E4">
      <w:pPr>
        <w:pStyle w:val="FootnoteText"/>
        <w:rPr>
          <w:lang w:val="en-US"/>
        </w:rPr>
      </w:pPr>
      <w:r>
        <w:rPr>
          <w:rStyle w:val="FootnoteReference"/>
        </w:rPr>
        <w:footnoteRef/>
      </w:r>
      <w:r>
        <w:t xml:space="preserve"> </w:t>
      </w:r>
      <w:r w:rsidRPr="0055314F">
        <w:t>Borchardt</w:t>
      </w:r>
      <w:r>
        <w:t>, ‘</w:t>
      </w:r>
      <w:r w:rsidR="00152A6E" w:rsidRPr="00C62997">
        <w:t>Could and should Germany</w:t>
      </w:r>
      <w:r w:rsidR="00152A6E">
        <w:t xml:space="preserve"> </w:t>
      </w:r>
      <w:r w:rsidR="00152A6E" w:rsidRPr="00C62997">
        <w:t xml:space="preserve">have followed </w:t>
      </w:r>
      <w:r w:rsidR="00152A6E">
        <w:t>G</w:t>
      </w:r>
      <w:r w:rsidR="00152A6E" w:rsidRPr="00C62997">
        <w:t>reat Britain</w:t>
      </w:r>
      <w:r>
        <w:t>’, p.497.</w:t>
      </w:r>
    </w:p>
  </w:footnote>
  <w:footnote w:id="102">
    <w:p w14:paraId="163EB60A" w14:textId="3C689A0A" w:rsidR="00152A6E" w:rsidRPr="00152A6E" w:rsidRDefault="00152A6E">
      <w:pPr>
        <w:pStyle w:val="FootnoteText"/>
        <w:rPr>
          <w:lang w:val="en-US"/>
        </w:rPr>
      </w:pPr>
      <w:r>
        <w:rPr>
          <w:rStyle w:val="FootnoteReference"/>
        </w:rPr>
        <w:footnoteRef/>
      </w:r>
      <w:r>
        <w:t xml:space="preserve"> </w:t>
      </w:r>
      <w:proofErr w:type="spellStart"/>
      <w:r>
        <w:rPr>
          <w:lang w:val="en-US"/>
        </w:rPr>
        <w:t>Eichengreen</w:t>
      </w:r>
      <w:proofErr w:type="spellEnd"/>
      <w:r>
        <w:rPr>
          <w:lang w:val="en-US"/>
        </w:rPr>
        <w:t>, ‘</w:t>
      </w:r>
      <w:r w:rsidRPr="00152A6E">
        <w:rPr>
          <w:i/>
          <w:iCs/>
          <w:lang w:val="en-US"/>
        </w:rPr>
        <w:t xml:space="preserve">Golden </w:t>
      </w:r>
      <w:r>
        <w:rPr>
          <w:i/>
          <w:iCs/>
          <w:lang w:val="en-US"/>
        </w:rPr>
        <w:t>f</w:t>
      </w:r>
      <w:r w:rsidRPr="00152A6E">
        <w:rPr>
          <w:i/>
          <w:iCs/>
          <w:lang w:val="en-US"/>
        </w:rPr>
        <w:t>etters’</w:t>
      </w:r>
      <w:r>
        <w:rPr>
          <w:lang w:val="en-US"/>
        </w:rPr>
        <w:t>.</w:t>
      </w:r>
    </w:p>
  </w:footnote>
  <w:footnote w:id="103">
    <w:p w14:paraId="296B2E4D" w14:textId="73D2D3C1" w:rsidR="00152A6E" w:rsidRPr="00152A6E" w:rsidRDefault="00152A6E">
      <w:pPr>
        <w:pStyle w:val="FootnoteText"/>
        <w:rPr>
          <w:lang w:val="en-US"/>
        </w:rPr>
      </w:pPr>
      <w:r>
        <w:rPr>
          <w:rStyle w:val="FootnoteReference"/>
        </w:rPr>
        <w:footnoteRef/>
      </w:r>
      <w:r>
        <w:t xml:space="preserve"> </w:t>
      </w:r>
      <w:proofErr w:type="spellStart"/>
      <w:r w:rsidRPr="0055314F">
        <w:t>Eichengreen</w:t>
      </w:r>
      <w:proofErr w:type="spellEnd"/>
      <w:r w:rsidRPr="0055314F">
        <w:t xml:space="preserve">, </w:t>
      </w:r>
      <w:r>
        <w:t>‘</w:t>
      </w:r>
      <w:r w:rsidRPr="006F5B36">
        <w:t>Historical research</w:t>
      </w:r>
      <w:r>
        <w:t>’</w:t>
      </w:r>
      <w:r w:rsidRPr="0055314F">
        <w:t xml:space="preserve">; Clemens and Williamson, </w:t>
      </w:r>
      <w:r>
        <w:t>‘</w:t>
      </w:r>
      <w:r w:rsidRPr="00CF60A1">
        <w:t>Why did the tariff–growth correlation change</w:t>
      </w:r>
      <w:r>
        <w:t>’</w:t>
      </w:r>
      <w:r w:rsidRPr="0055314F">
        <w:t xml:space="preserve">; Eggertsson, </w:t>
      </w:r>
      <w:r>
        <w:t>‘</w:t>
      </w:r>
      <w:r w:rsidRPr="00152A6E">
        <w:t>Was the new deal contractionary?</w:t>
      </w:r>
      <w:r>
        <w:t>’</w:t>
      </w:r>
    </w:p>
  </w:footnote>
  <w:footnote w:id="104">
    <w:p w14:paraId="69285081" w14:textId="00DFAC46" w:rsidR="00DA1AC3" w:rsidRPr="00DA1AC3" w:rsidRDefault="00DA1AC3">
      <w:pPr>
        <w:pStyle w:val="FootnoteText"/>
        <w:rPr>
          <w:lang w:val="en-US"/>
        </w:rPr>
      </w:pPr>
      <w:r>
        <w:rPr>
          <w:rStyle w:val="FootnoteReference"/>
        </w:rPr>
        <w:footnoteRef/>
      </w:r>
      <w:r>
        <w:t xml:space="preserve"> </w:t>
      </w:r>
      <w:r>
        <w:rPr>
          <w:lang w:val="en-US"/>
        </w:rPr>
        <w:t>Mudde, ‘Populism in Europe’.</w:t>
      </w:r>
    </w:p>
  </w:footnote>
  <w:footnote w:id="105">
    <w:p w14:paraId="06A430FF" w14:textId="59E7CEE0" w:rsidR="00DA1AC3" w:rsidRPr="00DA1AC3" w:rsidRDefault="00DA1AC3">
      <w:pPr>
        <w:pStyle w:val="FootnoteText"/>
        <w:rPr>
          <w:lang w:val="en-US"/>
        </w:rPr>
      </w:pPr>
      <w:r>
        <w:rPr>
          <w:rStyle w:val="FootnoteReference"/>
        </w:rPr>
        <w:footnoteRef/>
      </w:r>
      <w:r>
        <w:t xml:space="preserve"> </w:t>
      </w:r>
      <w:r>
        <w:rPr>
          <w:lang w:val="en-US"/>
        </w:rPr>
        <w:t xml:space="preserve">Cited in </w:t>
      </w:r>
      <w:proofErr w:type="spellStart"/>
      <w:r>
        <w:rPr>
          <w:lang w:val="en-US"/>
        </w:rPr>
        <w:t>Slobodian,’</w:t>
      </w:r>
      <w:r w:rsidRPr="00DA1AC3">
        <w:rPr>
          <w:i/>
          <w:iCs/>
          <w:lang w:val="en-US"/>
        </w:rPr>
        <w:t>Globalists</w:t>
      </w:r>
      <w:proofErr w:type="spellEnd"/>
      <w:r>
        <w:rPr>
          <w:lang w:val="en-US"/>
        </w:rPr>
        <w:t>’, p. 146.</w:t>
      </w:r>
    </w:p>
  </w:footnote>
  <w:footnote w:id="106">
    <w:p w14:paraId="4EAA3C1C" w14:textId="7413E289" w:rsidR="00DA1AC3" w:rsidRPr="00DA1AC3" w:rsidRDefault="00DA1AC3">
      <w:pPr>
        <w:pStyle w:val="FootnoteText"/>
        <w:rPr>
          <w:lang w:val="en-US"/>
        </w:rPr>
      </w:pPr>
      <w:r>
        <w:rPr>
          <w:rStyle w:val="FootnoteReference"/>
        </w:rPr>
        <w:footnoteRef/>
      </w:r>
      <w:r>
        <w:t xml:space="preserve"> </w:t>
      </w:r>
      <w:r>
        <w:rPr>
          <w:lang w:val="en-US"/>
        </w:rPr>
        <w:t>Mair, ‘</w:t>
      </w:r>
      <w:r w:rsidRPr="00DA1AC3">
        <w:rPr>
          <w:i/>
          <w:iCs/>
          <w:lang w:val="en-US"/>
        </w:rPr>
        <w:t>Ruling the void</w:t>
      </w:r>
      <w:r>
        <w:rPr>
          <w:lang w:val="en-US"/>
        </w:rPr>
        <w:t>’.</w:t>
      </w:r>
    </w:p>
  </w:footnote>
  <w:footnote w:id="107">
    <w:p w14:paraId="6036DB53" w14:textId="3E13A891" w:rsidR="00DA1AC3" w:rsidRPr="00DA1AC3" w:rsidRDefault="00DA1AC3">
      <w:pPr>
        <w:pStyle w:val="FootnoteText"/>
        <w:rPr>
          <w:lang w:val="en-US"/>
        </w:rPr>
      </w:pPr>
      <w:r>
        <w:rPr>
          <w:rStyle w:val="FootnoteReference"/>
        </w:rPr>
        <w:footnoteRef/>
      </w:r>
      <w:r>
        <w:t xml:space="preserve"> Berman, ‘</w:t>
      </w:r>
      <w:r w:rsidRPr="00DA1AC3">
        <w:rPr>
          <w:i/>
          <w:iCs/>
        </w:rPr>
        <w:t>P</w:t>
      </w:r>
      <w:r w:rsidRPr="003F0EFA">
        <w:rPr>
          <w:i/>
          <w:iCs/>
        </w:rPr>
        <w:t>rimacy of politics</w:t>
      </w:r>
      <w:r>
        <w:rPr>
          <w:i/>
          <w:iCs/>
        </w:rPr>
        <w:t>’</w:t>
      </w:r>
      <w:r>
        <w:t xml:space="preserve">; </w:t>
      </w:r>
      <w:proofErr w:type="spellStart"/>
      <w:r>
        <w:t>Eichengreen</w:t>
      </w:r>
      <w:proofErr w:type="spellEnd"/>
      <w:r>
        <w:t>, ‘</w:t>
      </w:r>
      <w:r w:rsidRPr="00DA1AC3">
        <w:rPr>
          <w:i/>
          <w:iCs/>
        </w:rPr>
        <w:t>Populist</w:t>
      </w:r>
      <w:r>
        <w:t xml:space="preserve"> </w:t>
      </w:r>
      <w:r w:rsidRPr="00DA1AC3">
        <w:rPr>
          <w:i/>
          <w:iCs/>
        </w:rPr>
        <w:t>temptation’</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CF5E50"/>
    <w:multiLevelType w:val="hybridMultilevel"/>
    <w:tmpl w:val="CC16F110"/>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451E51E5"/>
    <w:multiLevelType w:val="hybridMultilevel"/>
    <w:tmpl w:val="C8D63E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9894520">
    <w:abstractNumId w:val="1"/>
  </w:num>
  <w:num w:numId="2" w16cid:durableId="20975124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6D0"/>
    <w:rsid w:val="000004CA"/>
    <w:rsid w:val="000019D4"/>
    <w:rsid w:val="00005A2E"/>
    <w:rsid w:val="00005A7B"/>
    <w:rsid w:val="00007465"/>
    <w:rsid w:val="00010713"/>
    <w:rsid w:val="00010CEE"/>
    <w:rsid w:val="00011AAC"/>
    <w:rsid w:val="00016468"/>
    <w:rsid w:val="00016803"/>
    <w:rsid w:val="000202D4"/>
    <w:rsid w:val="00020DA3"/>
    <w:rsid w:val="0002234C"/>
    <w:rsid w:val="00026035"/>
    <w:rsid w:val="000276C8"/>
    <w:rsid w:val="00030A67"/>
    <w:rsid w:val="00030F72"/>
    <w:rsid w:val="000318B9"/>
    <w:rsid w:val="00033F9A"/>
    <w:rsid w:val="00034F8F"/>
    <w:rsid w:val="0003596E"/>
    <w:rsid w:val="00037DB9"/>
    <w:rsid w:val="000400F7"/>
    <w:rsid w:val="0004111A"/>
    <w:rsid w:val="00041F5F"/>
    <w:rsid w:val="00042029"/>
    <w:rsid w:val="000425EC"/>
    <w:rsid w:val="000470EB"/>
    <w:rsid w:val="000473B4"/>
    <w:rsid w:val="000474D6"/>
    <w:rsid w:val="00051215"/>
    <w:rsid w:val="00057021"/>
    <w:rsid w:val="00057FE4"/>
    <w:rsid w:val="00062FC1"/>
    <w:rsid w:val="00065B16"/>
    <w:rsid w:val="0006640F"/>
    <w:rsid w:val="00066B00"/>
    <w:rsid w:val="00070257"/>
    <w:rsid w:val="0007307C"/>
    <w:rsid w:val="00075F93"/>
    <w:rsid w:val="000823F6"/>
    <w:rsid w:val="000827FD"/>
    <w:rsid w:val="000841F5"/>
    <w:rsid w:val="000846B9"/>
    <w:rsid w:val="000876C4"/>
    <w:rsid w:val="00091FD3"/>
    <w:rsid w:val="000976F8"/>
    <w:rsid w:val="000A3DC1"/>
    <w:rsid w:val="000A685B"/>
    <w:rsid w:val="000B36D9"/>
    <w:rsid w:val="000B7C51"/>
    <w:rsid w:val="000C04AE"/>
    <w:rsid w:val="000C3A60"/>
    <w:rsid w:val="000C4346"/>
    <w:rsid w:val="000C5B4C"/>
    <w:rsid w:val="000C65F5"/>
    <w:rsid w:val="000C6F6C"/>
    <w:rsid w:val="000C7BD2"/>
    <w:rsid w:val="000D33E4"/>
    <w:rsid w:val="000D6462"/>
    <w:rsid w:val="000D6F3C"/>
    <w:rsid w:val="000D77C2"/>
    <w:rsid w:val="000E0B72"/>
    <w:rsid w:val="000E51AF"/>
    <w:rsid w:val="000E5D42"/>
    <w:rsid w:val="000F02C2"/>
    <w:rsid w:val="000F0A8E"/>
    <w:rsid w:val="000F14C5"/>
    <w:rsid w:val="000F2100"/>
    <w:rsid w:val="000F3A0F"/>
    <w:rsid w:val="000F3C07"/>
    <w:rsid w:val="000F3D4D"/>
    <w:rsid w:val="0010375B"/>
    <w:rsid w:val="0010391A"/>
    <w:rsid w:val="00104B6C"/>
    <w:rsid w:val="001070DC"/>
    <w:rsid w:val="001117F6"/>
    <w:rsid w:val="001136D1"/>
    <w:rsid w:val="00115173"/>
    <w:rsid w:val="001152B0"/>
    <w:rsid w:val="00120A85"/>
    <w:rsid w:val="001249E4"/>
    <w:rsid w:val="00125DAF"/>
    <w:rsid w:val="001261E2"/>
    <w:rsid w:val="001272ED"/>
    <w:rsid w:val="00143654"/>
    <w:rsid w:val="00143AA7"/>
    <w:rsid w:val="001470BF"/>
    <w:rsid w:val="0014767E"/>
    <w:rsid w:val="001513AB"/>
    <w:rsid w:val="00152A6E"/>
    <w:rsid w:val="00153217"/>
    <w:rsid w:val="00154028"/>
    <w:rsid w:val="00155254"/>
    <w:rsid w:val="001641BF"/>
    <w:rsid w:val="001661E4"/>
    <w:rsid w:val="00166951"/>
    <w:rsid w:val="001703E6"/>
    <w:rsid w:val="00172EC3"/>
    <w:rsid w:val="00176119"/>
    <w:rsid w:val="00176857"/>
    <w:rsid w:val="001773B0"/>
    <w:rsid w:val="0018106B"/>
    <w:rsid w:val="001822AA"/>
    <w:rsid w:val="00183570"/>
    <w:rsid w:val="0018422A"/>
    <w:rsid w:val="001850E0"/>
    <w:rsid w:val="001859F2"/>
    <w:rsid w:val="001875C6"/>
    <w:rsid w:val="00187880"/>
    <w:rsid w:val="00190051"/>
    <w:rsid w:val="00190937"/>
    <w:rsid w:val="0019451C"/>
    <w:rsid w:val="001B0664"/>
    <w:rsid w:val="001B281E"/>
    <w:rsid w:val="001B57DD"/>
    <w:rsid w:val="001B64C8"/>
    <w:rsid w:val="001B6644"/>
    <w:rsid w:val="001B7160"/>
    <w:rsid w:val="001C0E2D"/>
    <w:rsid w:val="001C1623"/>
    <w:rsid w:val="001C1728"/>
    <w:rsid w:val="001C2AD9"/>
    <w:rsid w:val="001C4A6F"/>
    <w:rsid w:val="001D27FF"/>
    <w:rsid w:val="001D4C94"/>
    <w:rsid w:val="001D5386"/>
    <w:rsid w:val="001D789D"/>
    <w:rsid w:val="001E1344"/>
    <w:rsid w:val="001E2317"/>
    <w:rsid w:val="001E32E9"/>
    <w:rsid w:val="001E5E9D"/>
    <w:rsid w:val="001E6477"/>
    <w:rsid w:val="001F3744"/>
    <w:rsid w:val="002031C9"/>
    <w:rsid w:val="002074CC"/>
    <w:rsid w:val="00207A92"/>
    <w:rsid w:val="002177BE"/>
    <w:rsid w:val="00221531"/>
    <w:rsid w:val="00222679"/>
    <w:rsid w:val="00222C3E"/>
    <w:rsid w:val="00232230"/>
    <w:rsid w:val="00232504"/>
    <w:rsid w:val="00232A4B"/>
    <w:rsid w:val="00232BC0"/>
    <w:rsid w:val="002351C7"/>
    <w:rsid w:val="0023539C"/>
    <w:rsid w:val="002365A0"/>
    <w:rsid w:val="00242C0B"/>
    <w:rsid w:val="00242F4D"/>
    <w:rsid w:val="00243534"/>
    <w:rsid w:val="00250876"/>
    <w:rsid w:val="002512B4"/>
    <w:rsid w:val="002562FD"/>
    <w:rsid w:val="00257A77"/>
    <w:rsid w:val="00266BD1"/>
    <w:rsid w:val="0027162C"/>
    <w:rsid w:val="00271B44"/>
    <w:rsid w:val="00272554"/>
    <w:rsid w:val="00272C5C"/>
    <w:rsid w:val="0027345A"/>
    <w:rsid w:val="00274349"/>
    <w:rsid w:val="0027578A"/>
    <w:rsid w:val="00282D14"/>
    <w:rsid w:val="0028666C"/>
    <w:rsid w:val="002908A0"/>
    <w:rsid w:val="002928EC"/>
    <w:rsid w:val="00292D0E"/>
    <w:rsid w:val="0029590F"/>
    <w:rsid w:val="00295A8C"/>
    <w:rsid w:val="00297214"/>
    <w:rsid w:val="002A1EBC"/>
    <w:rsid w:val="002A22B1"/>
    <w:rsid w:val="002A4F02"/>
    <w:rsid w:val="002A59EE"/>
    <w:rsid w:val="002A5BD4"/>
    <w:rsid w:val="002A6452"/>
    <w:rsid w:val="002A6A2D"/>
    <w:rsid w:val="002B1018"/>
    <w:rsid w:val="002B21A8"/>
    <w:rsid w:val="002B34F6"/>
    <w:rsid w:val="002B5C81"/>
    <w:rsid w:val="002C2E37"/>
    <w:rsid w:val="002C33BA"/>
    <w:rsid w:val="002D389E"/>
    <w:rsid w:val="002D5233"/>
    <w:rsid w:val="002E2AB6"/>
    <w:rsid w:val="002F374E"/>
    <w:rsid w:val="002F4748"/>
    <w:rsid w:val="002F4980"/>
    <w:rsid w:val="00300657"/>
    <w:rsid w:val="00310DEF"/>
    <w:rsid w:val="003138CF"/>
    <w:rsid w:val="00316593"/>
    <w:rsid w:val="00321B7D"/>
    <w:rsid w:val="00325232"/>
    <w:rsid w:val="00325899"/>
    <w:rsid w:val="00326081"/>
    <w:rsid w:val="00326C43"/>
    <w:rsid w:val="00331DE0"/>
    <w:rsid w:val="00331EA8"/>
    <w:rsid w:val="00333C66"/>
    <w:rsid w:val="00334B10"/>
    <w:rsid w:val="003402CD"/>
    <w:rsid w:val="00341EE7"/>
    <w:rsid w:val="00342C6F"/>
    <w:rsid w:val="00343396"/>
    <w:rsid w:val="00345A4C"/>
    <w:rsid w:val="00351AD1"/>
    <w:rsid w:val="0036130F"/>
    <w:rsid w:val="00361311"/>
    <w:rsid w:val="003631E6"/>
    <w:rsid w:val="00363BCF"/>
    <w:rsid w:val="00366016"/>
    <w:rsid w:val="00371AA7"/>
    <w:rsid w:val="00380525"/>
    <w:rsid w:val="003809CE"/>
    <w:rsid w:val="00382200"/>
    <w:rsid w:val="00382208"/>
    <w:rsid w:val="003828F5"/>
    <w:rsid w:val="00383FFF"/>
    <w:rsid w:val="0038635F"/>
    <w:rsid w:val="00390D09"/>
    <w:rsid w:val="00391E6F"/>
    <w:rsid w:val="003933FC"/>
    <w:rsid w:val="0039670E"/>
    <w:rsid w:val="003977E5"/>
    <w:rsid w:val="003A1229"/>
    <w:rsid w:val="003A259E"/>
    <w:rsid w:val="003A5165"/>
    <w:rsid w:val="003A5325"/>
    <w:rsid w:val="003A6513"/>
    <w:rsid w:val="003A692D"/>
    <w:rsid w:val="003A6C59"/>
    <w:rsid w:val="003A729A"/>
    <w:rsid w:val="003A73C1"/>
    <w:rsid w:val="003B05D5"/>
    <w:rsid w:val="003B1BBB"/>
    <w:rsid w:val="003B25F0"/>
    <w:rsid w:val="003B278E"/>
    <w:rsid w:val="003C2D89"/>
    <w:rsid w:val="003C3E9C"/>
    <w:rsid w:val="003C662A"/>
    <w:rsid w:val="003C7CBC"/>
    <w:rsid w:val="003D501D"/>
    <w:rsid w:val="003D533C"/>
    <w:rsid w:val="003E01CB"/>
    <w:rsid w:val="003E18DD"/>
    <w:rsid w:val="003E1922"/>
    <w:rsid w:val="003E2FEC"/>
    <w:rsid w:val="003E3339"/>
    <w:rsid w:val="003E5EC9"/>
    <w:rsid w:val="003E7453"/>
    <w:rsid w:val="003F0C2B"/>
    <w:rsid w:val="003F0EFA"/>
    <w:rsid w:val="003F1063"/>
    <w:rsid w:val="003F2D8B"/>
    <w:rsid w:val="003F4B1E"/>
    <w:rsid w:val="003F6B0B"/>
    <w:rsid w:val="00400BB0"/>
    <w:rsid w:val="00401944"/>
    <w:rsid w:val="004026AF"/>
    <w:rsid w:val="00403508"/>
    <w:rsid w:val="004055DF"/>
    <w:rsid w:val="00405A80"/>
    <w:rsid w:val="00412AD3"/>
    <w:rsid w:val="004162E7"/>
    <w:rsid w:val="00416DBF"/>
    <w:rsid w:val="00420342"/>
    <w:rsid w:val="004270CC"/>
    <w:rsid w:val="00427ACB"/>
    <w:rsid w:val="00431C30"/>
    <w:rsid w:val="00433F6A"/>
    <w:rsid w:val="00436809"/>
    <w:rsid w:val="00436B42"/>
    <w:rsid w:val="00440404"/>
    <w:rsid w:val="00441C57"/>
    <w:rsid w:val="004511EB"/>
    <w:rsid w:val="00451F76"/>
    <w:rsid w:val="004535D2"/>
    <w:rsid w:val="00454708"/>
    <w:rsid w:val="004550A2"/>
    <w:rsid w:val="00456341"/>
    <w:rsid w:val="00461326"/>
    <w:rsid w:val="00467FC7"/>
    <w:rsid w:val="00470E52"/>
    <w:rsid w:val="00471E57"/>
    <w:rsid w:val="00476B02"/>
    <w:rsid w:val="0048099F"/>
    <w:rsid w:val="00483A5A"/>
    <w:rsid w:val="00483F69"/>
    <w:rsid w:val="00484D0F"/>
    <w:rsid w:val="00485091"/>
    <w:rsid w:val="0048535A"/>
    <w:rsid w:val="00485692"/>
    <w:rsid w:val="00485805"/>
    <w:rsid w:val="004913A5"/>
    <w:rsid w:val="004920CD"/>
    <w:rsid w:val="0049733E"/>
    <w:rsid w:val="004A497F"/>
    <w:rsid w:val="004A4E47"/>
    <w:rsid w:val="004B2194"/>
    <w:rsid w:val="004B2F15"/>
    <w:rsid w:val="004B42A5"/>
    <w:rsid w:val="004B4391"/>
    <w:rsid w:val="004B6C93"/>
    <w:rsid w:val="004B6DC4"/>
    <w:rsid w:val="004C2782"/>
    <w:rsid w:val="004C4636"/>
    <w:rsid w:val="004C487A"/>
    <w:rsid w:val="004D5905"/>
    <w:rsid w:val="004D5A39"/>
    <w:rsid w:val="004D5D8C"/>
    <w:rsid w:val="004E2427"/>
    <w:rsid w:val="004E311A"/>
    <w:rsid w:val="004F181A"/>
    <w:rsid w:val="004F4162"/>
    <w:rsid w:val="004F70F3"/>
    <w:rsid w:val="00501AB1"/>
    <w:rsid w:val="00507CDA"/>
    <w:rsid w:val="005115C1"/>
    <w:rsid w:val="005120BB"/>
    <w:rsid w:val="00514271"/>
    <w:rsid w:val="005173A7"/>
    <w:rsid w:val="005210AC"/>
    <w:rsid w:val="00522D7C"/>
    <w:rsid w:val="00523D4D"/>
    <w:rsid w:val="00525C1D"/>
    <w:rsid w:val="005260AD"/>
    <w:rsid w:val="005308D3"/>
    <w:rsid w:val="0053121E"/>
    <w:rsid w:val="005321F7"/>
    <w:rsid w:val="00532437"/>
    <w:rsid w:val="00533F9D"/>
    <w:rsid w:val="005344DB"/>
    <w:rsid w:val="00535011"/>
    <w:rsid w:val="00536184"/>
    <w:rsid w:val="0054256F"/>
    <w:rsid w:val="0054469A"/>
    <w:rsid w:val="00544C3E"/>
    <w:rsid w:val="00544DE2"/>
    <w:rsid w:val="0054758D"/>
    <w:rsid w:val="00547AAC"/>
    <w:rsid w:val="00550FB2"/>
    <w:rsid w:val="00552A77"/>
    <w:rsid w:val="0055314F"/>
    <w:rsid w:val="005604D5"/>
    <w:rsid w:val="00561684"/>
    <w:rsid w:val="005626E8"/>
    <w:rsid w:val="005653A8"/>
    <w:rsid w:val="00570BC8"/>
    <w:rsid w:val="00571D00"/>
    <w:rsid w:val="0057219D"/>
    <w:rsid w:val="005741F4"/>
    <w:rsid w:val="005770B3"/>
    <w:rsid w:val="00581851"/>
    <w:rsid w:val="005845DA"/>
    <w:rsid w:val="005901EB"/>
    <w:rsid w:val="00592942"/>
    <w:rsid w:val="00593A8F"/>
    <w:rsid w:val="00594B80"/>
    <w:rsid w:val="005956C2"/>
    <w:rsid w:val="00596AEF"/>
    <w:rsid w:val="005A2755"/>
    <w:rsid w:val="005A3337"/>
    <w:rsid w:val="005A58F7"/>
    <w:rsid w:val="005A5B85"/>
    <w:rsid w:val="005A6616"/>
    <w:rsid w:val="005B042B"/>
    <w:rsid w:val="005B3F57"/>
    <w:rsid w:val="005B43A9"/>
    <w:rsid w:val="005B4BB7"/>
    <w:rsid w:val="005B61D8"/>
    <w:rsid w:val="005B745E"/>
    <w:rsid w:val="005C17AB"/>
    <w:rsid w:val="005C30F4"/>
    <w:rsid w:val="005C5F06"/>
    <w:rsid w:val="005D0C93"/>
    <w:rsid w:val="005D1913"/>
    <w:rsid w:val="005D3797"/>
    <w:rsid w:val="005E0D45"/>
    <w:rsid w:val="005E1C3B"/>
    <w:rsid w:val="005E2543"/>
    <w:rsid w:val="005F250C"/>
    <w:rsid w:val="005F4CAA"/>
    <w:rsid w:val="00600386"/>
    <w:rsid w:val="006007B6"/>
    <w:rsid w:val="00601329"/>
    <w:rsid w:val="00601AA6"/>
    <w:rsid w:val="006026E6"/>
    <w:rsid w:val="00605A0D"/>
    <w:rsid w:val="00607149"/>
    <w:rsid w:val="00611F48"/>
    <w:rsid w:val="00612648"/>
    <w:rsid w:val="00617F8B"/>
    <w:rsid w:val="0062015B"/>
    <w:rsid w:val="00632486"/>
    <w:rsid w:val="006350A2"/>
    <w:rsid w:val="006363D9"/>
    <w:rsid w:val="006505E6"/>
    <w:rsid w:val="00660FB5"/>
    <w:rsid w:val="00664DBC"/>
    <w:rsid w:val="00665C6C"/>
    <w:rsid w:val="0067023F"/>
    <w:rsid w:val="0067127C"/>
    <w:rsid w:val="00672B0C"/>
    <w:rsid w:val="006754D0"/>
    <w:rsid w:val="00677695"/>
    <w:rsid w:val="0068472D"/>
    <w:rsid w:val="00687075"/>
    <w:rsid w:val="00691A0B"/>
    <w:rsid w:val="006930DD"/>
    <w:rsid w:val="006931BC"/>
    <w:rsid w:val="00696527"/>
    <w:rsid w:val="00697C11"/>
    <w:rsid w:val="006A0624"/>
    <w:rsid w:val="006A2569"/>
    <w:rsid w:val="006A3A39"/>
    <w:rsid w:val="006A5D8D"/>
    <w:rsid w:val="006A5EF2"/>
    <w:rsid w:val="006B0552"/>
    <w:rsid w:val="006B1FDE"/>
    <w:rsid w:val="006B4B0A"/>
    <w:rsid w:val="006B6679"/>
    <w:rsid w:val="006C02BF"/>
    <w:rsid w:val="006C36F1"/>
    <w:rsid w:val="006C525D"/>
    <w:rsid w:val="006C56C2"/>
    <w:rsid w:val="006D1956"/>
    <w:rsid w:val="006D444E"/>
    <w:rsid w:val="006D4E2D"/>
    <w:rsid w:val="006D5E40"/>
    <w:rsid w:val="006E0D40"/>
    <w:rsid w:val="006E31CF"/>
    <w:rsid w:val="006E38F6"/>
    <w:rsid w:val="006E6371"/>
    <w:rsid w:val="006E6F5D"/>
    <w:rsid w:val="006E7F7E"/>
    <w:rsid w:val="006F0625"/>
    <w:rsid w:val="006F1503"/>
    <w:rsid w:val="006F1553"/>
    <w:rsid w:val="006F49AF"/>
    <w:rsid w:val="006F5B36"/>
    <w:rsid w:val="00701DDA"/>
    <w:rsid w:val="00703903"/>
    <w:rsid w:val="00703AD2"/>
    <w:rsid w:val="0070546D"/>
    <w:rsid w:val="007067F7"/>
    <w:rsid w:val="00707077"/>
    <w:rsid w:val="00712DFB"/>
    <w:rsid w:val="00713A6A"/>
    <w:rsid w:val="0071619A"/>
    <w:rsid w:val="00717054"/>
    <w:rsid w:val="007177AE"/>
    <w:rsid w:val="00720118"/>
    <w:rsid w:val="00720C42"/>
    <w:rsid w:val="007217E0"/>
    <w:rsid w:val="00725ECC"/>
    <w:rsid w:val="0073186D"/>
    <w:rsid w:val="007340A7"/>
    <w:rsid w:val="00736061"/>
    <w:rsid w:val="00737F54"/>
    <w:rsid w:val="00740764"/>
    <w:rsid w:val="007414DD"/>
    <w:rsid w:val="00741EE2"/>
    <w:rsid w:val="0074546F"/>
    <w:rsid w:val="00746ED5"/>
    <w:rsid w:val="00747B3D"/>
    <w:rsid w:val="00752245"/>
    <w:rsid w:val="00752CB2"/>
    <w:rsid w:val="00753B60"/>
    <w:rsid w:val="00753F17"/>
    <w:rsid w:val="0076531D"/>
    <w:rsid w:val="00771F21"/>
    <w:rsid w:val="007742EA"/>
    <w:rsid w:val="00774D5F"/>
    <w:rsid w:val="00777194"/>
    <w:rsid w:val="007809DF"/>
    <w:rsid w:val="0078185C"/>
    <w:rsid w:val="00782A74"/>
    <w:rsid w:val="00784F6A"/>
    <w:rsid w:val="00786CDA"/>
    <w:rsid w:val="0078738D"/>
    <w:rsid w:val="00790CA6"/>
    <w:rsid w:val="007922D1"/>
    <w:rsid w:val="007951E0"/>
    <w:rsid w:val="00797C11"/>
    <w:rsid w:val="007A08A2"/>
    <w:rsid w:val="007A72C8"/>
    <w:rsid w:val="007B0589"/>
    <w:rsid w:val="007B0860"/>
    <w:rsid w:val="007B221C"/>
    <w:rsid w:val="007B31A5"/>
    <w:rsid w:val="007B3215"/>
    <w:rsid w:val="007B6350"/>
    <w:rsid w:val="007C1A34"/>
    <w:rsid w:val="007C730B"/>
    <w:rsid w:val="007C76AE"/>
    <w:rsid w:val="007D21CE"/>
    <w:rsid w:val="007D23ED"/>
    <w:rsid w:val="007D47ED"/>
    <w:rsid w:val="007D5752"/>
    <w:rsid w:val="007D6D74"/>
    <w:rsid w:val="007E2DF9"/>
    <w:rsid w:val="007E4DAE"/>
    <w:rsid w:val="007E5709"/>
    <w:rsid w:val="007F03F9"/>
    <w:rsid w:val="007F1891"/>
    <w:rsid w:val="007F298B"/>
    <w:rsid w:val="007F4403"/>
    <w:rsid w:val="007F45AB"/>
    <w:rsid w:val="008000AE"/>
    <w:rsid w:val="00803E1B"/>
    <w:rsid w:val="00807465"/>
    <w:rsid w:val="00816BA2"/>
    <w:rsid w:val="00816BC9"/>
    <w:rsid w:val="008175D6"/>
    <w:rsid w:val="0082409F"/>
    <w:rsid w:val="00824C21"/>
    <w:rsid w:val="00825937"/>
    <w:rsid w:val="0082671B"/>
    <w:rsid w:val="00826E05"/>
    <w:rsid w:val="0083248B"/>
    <w:rsid w:val="00841376"/>
    <w:rsid w:val="0084162A"/>
    <w:rsid w:val="00841647"/>
    <w:rsid w:val="008546AA"/>
    <w:rsid w:val="00866279"/>
    <w:rsid w:val="00866330"/>
    <w:rsid w:val="00866C49"/>
    <w:rsid w:val="008715C4"/>
    <w:rsid w:val="0087307F"/>
    <w:rsid w:val="008766A6"/>
    <w:rsid w:val="00880A24"/>
    <w:rsid w:val="00882C02"/>
    <w:rsid w:val="00885803"/>
    <w:rsid w:val="00885ABB"/>
    <w:rsid w:val="0088757F"/>
    <w:rsid w:val="00887F65"/>
    <w:rsid w:val="008913C6"/>
    <w:rsid w:val="0089365E"/>
    <w:rsid w:val="008A6279"/>
    <w:rsid w:val="008A753D"/>
    <w:rsid w:val="008B065F"/>
    <w:rsid w:val="008B1EDB"/>
    <w:rsid w:val="008B2929"/>
    <w:rsid w:val="008B4B6B"/>
    <w:rsid w:val="008B71D1"/>
    <w:rsid w:val="008C0AE3"/>
    <w:rsid w:val="008C2851"/>
    <w:rsid w:val="008C393B"/>
    <w:rsid w:val="008D0889"/>
    <w:rsid w:val="008D1031"/>
    <w:rsid w:val="008D40B7"/>
    <w:rsid w:val="008D4A8E"/>
    <w:rsid w:val="008D6756"/>
    <w:rsid w:val="008E6740"/>
    <w:rsid w:val="008F05BB"/>
    <w:rsid w:val="008F1CAD"/>
    <w:rsid w:val="008F22F0"/>
    <w:rsid w:val="008F294F"/>
    <w:rsid w:val="008F622A"/>
    <w:rsid w:val="00902359"/>
    <w:rsid w:val="00904057"/>
    <w:rsid w:val="0090459D"/>
    <w:rsid w:val="00904AEE"/>
    <w:rsid w:val="00906A6E"/>
    <w:rsid w:val="009149D0"/>
    <w:rsid w:val="009176F8"/>
    <w:rsid w:val="009240CA"/>
    <w:rsid w:val="00925993"/>
    <w:rsid w:val="009306F1"/>
    <w:rsid w:val="00932D2C"/>
    <w:rsid w:val="00935222"/>
    <w:rsid w:val="00937C7A"/>
    <w:rsid w:val="00941506"/>
    <w:rsid w:val="00942D9D"/>
    <w:rsid w:val="00944575"/>
    <w:rsid w:val="0095187A"/>
    <w:rsid w:val="00952E29"/>
    <w:rsid w:val="00953673"/>
    <w:rsid w:val="00953B22"/>
    <w:rsid w:val="009542AB"/>
    <w:rsid w:val="00955BE7"/>
    <w:rsid w:val="00960166"/>
    <w:rsid w:val="009602C9"/>
    <w:rsid w:val="00961ADB"/>
    <w:rsid w:val="0096320D"/>
    <w:rsid w:val="009649B9"/>
    <w:rsid w:val="00966338"/>
    <w:rsid w:val="0098151C"/>
    <w:rsid w:val="00982872"/>
    <w:rsid w:val="009828F9"/>
    <w:rsid w:val="00982B1C"/>
    <w:rsid w:val="0098304A"/>
    <w:rsid w:val="009832AC"/>
    <w:rsid w:val="00984CF8"/>
    <w:rsid w:val="00991449"/>
    <w:rsid w:val="00993604"/>
    <w:rsid w:val="009937C1"/>
    <w:rsid w:val="009946D3"/>
    <w:rsid w:val="00995586"/>
    <w:rsid w:val="009A0594"/>
    <w:rsid w:val="009A22E0"/>
    <w:rsid w:val="009A2924"/>
    <w:rsid w:val="009A2D00"/>
    <w:rsid w:val="009A4F52"/>
    <w:rsid w:val="009A5768"/>
    <w:rsid w:val="009A6806"/>
    <w:rsid w:val="009B36BA"/>
    <w:rsid w:val="009B6019"/>
    <w:rsid w:val="009B626E"/>
    <w:rsid w:val="009C074D"/>
    <w:rsid w:val="009C1EBA"/>
    <w:rsid w:val="009C546B"/>
    <w:rsid w:val="009D2244"/>
    <w:rsid w:val="009D4AD9"/>
    <w:rsid w:val="009E1103"/>
    <w:rsid w:val="009E3F8A"/>
    <w:rsid w:val="009E4153"/>
    <w:rsid w:val="009E6F99"/>
    <w:rsid w:val="009F198C"/>
    <w:rsid w:val="009F318B"/>
    <w:rsid w:val="009F4171"/>
    <w:rsid w:val="009F4279"/>
    <w:rsid w:val="009F6C3D"/>
    <w:rsid w:val="00A0045D"/>
    <w:rsid w:val="00A0731D"/>
    <w:rsid w:val="00A10612"/>
    <w:rsid w:val="00A13D4C"/>
    <w:rsid w:val="00A15015"/>
    <w:rsid w:val="00A22538"/>
    <w:rsid w:val="00A22B1B"/>
    <w:rsid w:val="00A22C46"/>
    <w:rsid w:val="00A27E65"/>
    <w:rsid w:val="00A3242C"/>
    <w:rsid w:val="00A344BB"/>
    <w:rsid w:val="00A346D0"/>
    <w:rsid w:val="00A366F2"/>
    <w:rsid w:val="00A37514"/>
    <w:rsid w:val="00A43111"/>
    <w:rsid w:val="00A462CF"/>
    <w:rsid w:val="00A46D09"/>
    <w:rsid w:val="00A51C28"/>
    <w:rsid w:val="00A53825"/>
    <w:rsid w:val="00A550D4"/>
    <w:rsid w:val="00A55853"/>
    <w:rsid w:val="00A57EA6"/>
    <w:rsid w:val="00A6451F"/>
    <w:rsid w:val="00A6502D"/>
    <w:rsid w:val="00A67766"/>
    <w:rsid w:val="00A67BFB"/>
    <w:rsid w:val="00A67DCA"/>
    <w:rsid w:val="00A71699"/>
    <w:rsid w:val="00A757CE"/>
    <w:rsid w:val="00A7661B"/>
    <w:rsid w:val="00A76BF6"/>
    <w:rsid w:val="00A83335"/>
    <w:rsid w:val="00A91589"/>
    <w:rsid w:val="00A91ED7"/>
    <w:rsid w:val="00A9624F"/>
    <w:rsid w:val="00A96B7C"/>
    <w:rsid w:val="00A976D6"/>
    <w:rsid w:val="00AA0528"/>
    <w:rsid w:val="00AA0ABD"/>
    <w:rsid w:val="00AA2780"/>
    <w:rsid w:val="00AB0808"/>
    <w:rsid w:val="00AB2411"/>
    <w:rsid w:val="00AB5563"/>
    <w:rsid w:val="00AB7D65"/>
    <w:rsid w:val="00AC0A8D"/>
    <w:rsid w:val="00AD5816"/>
    <w:rsid w:val="00AD6D6C"/>
    <w:rsid w:val="00AD7784"/>
    <w:rsid w:val="00AE0538"/>
    <w:rsid w:val="00AE3C6E"/>
    <w:rsid w:val="00AE3D8C"/>
    <w:rsid w:val="00AE4694"/>
    <w:rsid w:val="00AE6154"/>
    <w:rsid w:val="00AE61DF"/>
    <w:rsid w:val="00AF07E1"/>
    <w:rsid w:val="00AF7114"/>
    <w:rsid w:val="00B05CAC"/>
    <w:rsid w:val="00B05D1B"/>
    <w:rsid w:val="00B05FCD"/>
    <w:rsid w:val="00B06679"/>
    <w:rsid w:val="00B10AB0"/>
    <w:rsid w:val="00B10B37"/>
    <w:rsid w:val="00B11023"/>
    <w:rsid w:val="00B12EF7"/>
    <w:rsid w:val="00B14A15"/>
    <w:rsid w:val="00B1540E"/>
    <w:rsid w:val="00B202B2"/>
    <w:rsid w:val="00B2456C"/>
    <w:rsid w:val="00B24AAF"/>
    <w:rsid w:val="00B26D81"/>
    <w:rsid w:val="00B31279"/>
    <w:rsid w:val="00B3369A"/>
    <w:rsid w:val="00B37037"/>
    <w:rsid w:val="00B470AD"/>
    <w:rsid w:val="00B55475"/>
    <w:rsid w:val="00B57910"/>
    <w:rsid w:val="00B60809"/>
    <w:rsid w:val="00B620B2"/>
    <w:rsid w:val="00B62851"/>
    <w:rsid w:val="00B62CEE"/>
    <w:rsid w:val="00B6375C"/>
    <w:rsid w:val="00B66EB5"/>
    <w:rsid w:val="00B678D6"/>
    <w:rsid w:val="00B70564"/>
    <w:rsid w:val="00B71B48"/>
    <w:rsid w:val="00B732E6"/>
    <w:rsid w:val="00B73E2C"/>
    <w:rsid w:val="00B74248"/>
    <w:rsid w:val="00B75536"/>
    <w:rsid w:val="00B75FA6"/>
    <w:rsid w:val="00B76ED1"/>
    <w:rsid w:val="00B77C0C"/>
    <w:rsid w:val="00B80B7C"/>
    <w:rsid w:val="00B8377E"/>
    <w:rsid w:val="00B84C16"/>
    <w:rsid w:val="00B86B65"/>
    <w:rsid w:val="00B872F9"/>
    <w:rsid w:val="00B91AC9"/>
    <w:rsid w:val="00B92B19"/>
    <w:rsid w:val="00B958CC"/>
    <w:rsid w:val="00B97065"/>
    <w:rsid w:val="00BA1484"/>
    <w:rsid w:val="00BA444E"/>
    <w:rsid w:val="00BA7C84"/>
    <w:rsid w:val="00BB01CE"/>
    <w:rsid w:val="00BB3C30"/>
    <w:rsid w:val="00BB45AF"/>
    <w:rsid w:val="00BB660A"/>
    <w:rsid w:val="00BB7839"/>
    <w:rsid w:val="00BC16F1"/>
    <w:rsid w:val="00BC4BE0"/>
    <w:rsid w:val="00BC4C0F"/>
    <w:rsid w:val="00BD21C2"/>
    <w:rsid w:val="00BD2854"/>
    <w:rsid w:val="00BE1943"/>
    <w:rsid w:val="00BE2661"/>
    <w:rsid w:val="00BE2F45"/>
    <w:rsid w:val="00BE3C7A"/>
    <w:rsid w:val="00BE5506"/>
    <w:rsid w:val="00BE5E48"/>
    <w:rsid w:val="00BF21BF"/>
    <w:rsid w:val="00BF3156"/>
    <w:rsid w:val="00BF32C3"/>
    <w:rsid w:val="00BF6DE5"/>
    <w:rsid w:val="00C02056"/>
    <w:rsid w:val="00C0579A"/>
    <w:rsid w:val="00C05B17"/>
    <w:rsid w:val="00C10DDD"/>
    <w:rsid w:val="00C13769"/>
    <w:rsid w:val="00C14D20"/>
    <w:rsid w:val="00C14F7F"/>
    <w:rsid w:val="00C1549D"/>
    <w:rsid w:val="00C15A35"/>
    <w:rsid w:val="00C16E9B"/>
    <w:rsid w:val="00C16F58"/>
    <w:rsid w:val="00C17E5A"/>
    <w:rsid w:val="00C21100"/>
    <w:rsid w:val="00C2230A"/>
    <w:rsid w:val="00C23088"/>
    <w:rsid w:val="00C2328C"/>
    <w:rsid w:val="00C26802"/>
    <w:rsid w:val="00C3056A"/>
    <w:rsid w:val="00C36D35"/>
    <w:rsid w:val="00C43483"/>
    <w:rsid w:val="00C44744"/>
    <w:rsid w:val="00C44A2B"/>
    <w:rsid w:val="00C46FEA"/>
    <w:rsid w:val="00C50AB1"/>
    <w:rsid w:val="00C51FBA"/>
    <w:rsid w:val="00C527C8"/>
    <w:rsid w:val="00C53F5B"/>
    <w:rsid w:val="00C55421"/>
    <w:rsid w:val="00C57EE8"/>
    <w:rsid w:val="00C61E0E"/>
    <w:rsid w:val="00C61EED"/>
    <w:rsid w:val="00C62997"/>
    <w:rsid w:val="00C62F1D"/>
    <w:rsid w:val="00C632FB"/>
    <w:rsid w:val="00C66D19"/>
    <w:rsid w:val="00C70947"/>
    <w:rsid w:val="00C72450"/>
    <w:rsid w:val="00C72DEA"/>
    <w:rsid w:val="00C8350E"/>
    <w:rsid w:val="00C84E6F"/>
    <w:rsid w:val="00C92EC9"/>
    <w:rsid w:val="00C95AC3"/>
    <w:rsid w:val="00C95B13"/>
    <w:rsid w:val="00CA2CCD"/>
    <w:rsid w:val="00CA5583"/>
    <w:rsid w:val="00CA6D03"/>
    <w:rsid w:val="00CA7ED4"/>
    <w:rsid w:val="00CB021B"/>
    <w:rsid w:val="00CB11D3"/>
    <w:rsid w:val="00CB2C98"/>
    <w:rsid w:val="00CB33C2"/>
    <w:rsid w:val="00CB43E2"/>
    <w:rsid w:val="00CC1559"/>
    <w:rsid w:val="00CC46CF"/>
    <w:rsid w:val="00CD2325"/>
    <w:rsid w:val="00CD6EC1"/>
    <w:rsid w:val="00CD6FB0"/>
    <w:rsid w:val="00CE0180"/>
    <w:rsid w:val="00CE02B4"/>
    <w:rsid w:val="00CE52C6"/>
    <w:rsid w:val="00CE572A"/>
    <w:rsid w:val="00CE5A80"/>
    <w:rsid w:val="00CF2F1F"/>
    <w:rsid w:val="00CF60A1"/>
    <w:rsid w:val="00CF7344"/>
    <w:rsid w:val="00D002BA"/>
    <w:rsid w:val="00D00AA0"/>
    <w:rsid w:val="00D0259B"/>
    <w:rsid w:val="00D05F3A"/>
    <w:rsid w:val="00D0620C"/>
    <w:rsid w:val="00D10154"/>
    <w:rsid w:val="00D1382F"/>
    <w:rsid w:val="00D1413D"/>
    <w:rsid w:val="00D15291"/>
    <w:rsid w:val="00D16160"/>
    <w:rsid w:val="00D2553C"/>
    <w:rsid w:val="00D260A6"/>
    <w:rsid w:val="00D2630F"/>
    <w:rsid w:val="00D309BF"/>
    <w:rsid w:val="00D31DC1"/>
    <w:rsid w:val="00D32C15"/>
    <w:rsid w:val="00D335DE"/>
    <w:rsid w:val="00D350AF"/>
    <w:rsid w:val="00D421CC"/>
    <w:rsid w:val="00D42854"/>
    <w:rsid w:val="00D42932"/>
    <w:rsid w:val="00D42EE8"/>
    <w:rsid w:val="00D50E53"/>
    <w:rsid w:val="00D5151C"/>
    <w:rsid w:val="00D51FDE"/>
    <w:rsid w:val="00D52059"/>
    <w:rsid w:val="00D534C7"/>
    <w:rsid w:val="00D543DD"/>
    <w:rsid w:val="00D54DC7"/>
    <w:rsid w:val="00D56884"/>
    <w:rsid w:val="00D61F9F"/>
    <w:rsid w:val="00D631A1"/>
    <w:rsid w:val="00D63E8B"/>
    <w:rsid w:val="00D6667C"/>
    <w:rsid w:val="00D67418"/>
    <w:rsid w:val="00D74A5D"/>
    <w:rsid w:val="00D75115"/>
    <w:rsid w:val="00D80F54"/>
    <w:rsid w:val="00D84CB4"/>
    <w:rsid w:val="00D85654"/>
    <w:rsid w:val="00D92344"/>
    <w:rsid w:val="00D93F04"/>
    <w:rsid w:val="00DA0DF3"/>
    <w:rsid w:val="00DA1AC3"/>
    <w:rsid w:val="00DA2160"/>
    <w:rsid w:val="00DB31B1"/>
    <w:rsid w:val="00DB39F0"/>
    <w:rsid w:val="00DB42C1"/>
    <w:rsid w:val="00DB4567"/>
    <w:rsid w:val="00DC04B7"/>
    <w:rsid w:val="00DC1B9E"/>
    <w:rsid w:val="00DC29FF"/>
    <w:rsid w:val="00DC76F7"/>
    <w:rsid w:val="00DC773A"/>
    <w:rsid w:val="00DD1376"/>
    <w:rsid w:val="00DD27CF"/>
    <w:rsid w:val="00DD3739"/>
    <w:rsid w:val="00DE0E5D"/>
    <w:rsid w:val="00DE36C6"/>
    <w:rsid w:val="00DE3C8F"/>
    <w:rsid w:val="00DE3EE4"/>
    <w:rsid w:val="00DE51C1"/>
    <w:rsid w:val="00DE72FA"/>
    <w:rsid w:val="00DF2704"/>
    <w:rsid w:val="00DF5352"/>
    <w:rsid w:val="00DF6C02"/>
    <w:rsid w:val="00E037E7"/>
    <w:rsid w:val="00E13605"/>
    <w:rsid w:val="00E13AE2"/>
    <w:rsid w:val="00E14961"/>
    <w:rsid w:val="00E1510B"/>
    <w:rsid w:val="00E207CE"/>
    <w:rsid w:val="00E20D97"/>
    <w:rsid w:val="00E21069"/>
    <w:rsid w:val="00E229B8"/>
    <w:rsid w:val="00E2720F"/>
    <w:rsid w:val="00E2749D"/>
    <w:rsid w:val="00E276E5"/>
    <w:rsid w:val="00E2772C"/>
    <w:rsid w:val="00E27F97"/>
    <w:rsid w:val="00E33F19"/>
    <w:rsid w:val="00E34AB6"/>
    <w:rsid w:val="00E40010"/>
    <w:rsid w:val="00E401E0"/>
    <w:rsid w:val="00E4069F"/>
    <w:rsid w:val="00E41EB0"/>
    <w:rsid w:val="00E42FD1"/>
    <w:rsid w:val="00E47231"/>
    <w:rsid w:val="00E47CCE"/>
    <w:rsid w:val="00E51E04"/>
    <w:rsid w:val="00E526D0"/>
    <w:rsid w:val="00E53154"/>
    <w:rsid w:val="00E53385"/>
    <w:rsid w:val="00E53FB4"/>
    <w:rsid w:val="00E5522A"/>
    <w:rsid w:val="00E60FFE"/>
    <w:rsid w:val="00E61A31"/>
    <w:rsid w:val="00E62937"/>
    <w:rsid w:val="00E64A7D"/>
    <w:rsid w:val="00E65133"/>
    <w:rsid w:val="00E66AB3"/>
    <w:rsid w:val="00E70B4E"/>
    <w:rsid w:val="00E755BE"/>
    <w:rsid w:val="00E77FE1"/>
    <w:rsid w:val="00E80B3C"/>
    <w:rsid w:val="00E81353"/>
    <w:rsid w:val="00E81366"/>
    <w:rsid w:val="00E8169C"/>
    <w:rsid w:val="00E8624E"/>
    <w:rsid w:val="00E87ED8"/>
    <w:rsid w:val="00E90679"/>
    <w:rsid w:val="00E92510"/>
    <w:rsid w:val="00E94A6F"/>
    <w:rsid w:val="00E976E4"/>
    <w:rsid w:val="00EA07DC"/>
    <w:rsid w:val="00EA2D0A"/>
    <w:rsid w:val="00EA5C13"/>
    <w:rsid w:val="00EA628E"/>
    <w:rsid w:val="00EA7F12"/>
    <w:rsid w:val="00EB26B1"/>
    <w:rsid w:val="00EB43B0"/>
    <w:rsid w:val="00EB4C6A"/>
    <w:rsid w:val="00EB791B"/>
    <w:rsid w:val="00EC4F66"/>
    <w:rsid w:val="00ED2AB4"/>
    <w:rsid w:val="00ED2AEF"/>
    <w:rsid w:val="00ED3D64"/>
    <w:rsid w:val="00ED49BD"/>
    <w:rsid w:val="00ED5352"/>
    <w:rsid w:val="00EE06A1"/>
    <w:rsid w:val="00EE29D7"/>
    <w:rsid w:val="00EE307E"/>
    <w:rsid w:val="00EE3A65"/>
    <w:rsid w:val="00EE42C2"/>
    <w:rsid w:val="00EF4D54"/>
    <w:rsid w:val="00EF5CFE"/>
    <w:rsid w:val="00F04131"/>
    <w:rsid w:val="00F05D45"/>
    <w:rsid w:val="00F07485"/>
    <w:rsid w:val="00F079AF"/>
    <w:rsid w:val="00F07B77"/>
    <w:rsid w:val="00F10BA7"/>
    <w:rsid w:val="00F13B90"/>
    <w:rsid w:val="00F1775B"/>
    <w:rsid w:val="00F23B8A"/>
    <w:rsid w:val="00F27746"/>
    <w:rsid w:val="00F30620"/>
    <w:rsid w:val="00F336F4"/>
    <w:rsid w:val="00F33AFD"/>
    <w:rsid w:val="00F3465D"/>
    <w:rsid w:val="00F37F04"/>
    <w:rsid w:val="00F42F67"/>
    <w:rsid w:val="00F447B6"/>
    <w:rsid w:val="00F45935"/>
    <w:rsid w:val="00F46496"/>
    <w:rsid w:val="00F52478"/>
    <w:rsid w:val="00F52814"/>
    <w:rsid w:val="00F53976"/>
    <w:rsid w:val="00F608CB"/>
    <w:rsid w:val="00F60F1A"/>
    <w:rsid w:val="00F63348"/>
    <w:rsid w:val="00F64737"/>
    <w:rsid w:val="00F65938"/>
    <w:rsid w:val="00F662AB"/>
    <w:rsid w:val="00F72278"/>
    <w:rsid w:val="00F7634C"/>
    <w:rsid w:val="00F76DE0"/>
    <w:rsid w:val="00F80BC8"/>
    <w:rsid w:val="00F847CB"/>
    <w:rsid w:val="00F84CDB"/>
    <w:rsid w:val="00F85111"/>
    <w:rsid w:val="00F918AA"/>
    <w:rsid w:val="00F92A3A"/>
    <w:rsid w:val="00F94110"/>
    <w:rsid w:val="00F94BFF"/>
    <w:rsid w:val="00FA1D39"/>
    <w:rsid w:val="00FA46A6"/>
    <w:rsid w:val="00FA4E42"/>
    <w:rsid w:val="00FB190C"/>
    <w:rsid w:val="00FB246D"/>
    <w:rsid w:val="00FB4E0F"/>
    <w:rsid w:val="00FB4F7F"/>
    <w:rsid w:val="00FB61B6"/>
    <w:rsid w:val="00FC1BBA"/>
    <w:rsid w:val="00FC1BEE"/>
    <w:rsid w:val="00FC2480"/>
    <w:rsid w:val="00FC52FC"/>
    <w:rsid w:val="00FC7825"/>
    <w:rsid w:val="00FD0685"/>
    <w:rsid w:val="00FD1466"/>
    <w:rsid w:val="00FD3BF4"/>
    <w:rsid w:val="00FE1A4F"/>
    <w:rsid w:val="00FE2892"/>
    <w:rsid w:val="00FE6E36"/>
    <w:rsid w:val="00FF02BF"/>
    <w:rsid w:val="00FF0CBB"/>
    <w:rsid w:val="00FF2D8F"/>
    <w:rsid w:val="00FF5CA6"/>
    <w:rsid w:val="00FF6A34"/>
    <w:rsid w:val="00FF6C11"/>
  </w:rsids>
  <m:mathPr>
    <m:mathFont m:val="Cambria Math"/>
    <m:brkBin m:val="before"/>
    <m:brkBinSub m:val="--"/>
    <m:smallFrac m:val="0"/>
    <m:dispDef/>
    <m:lMargin m:val="0"/>
    <m:rMargin m:val="0"/>
    <m:defJc m:val="centerGroup"/>
    <m:wrapIndent m:val="1440"/>
    <m:intLim m:val="subSup"/>
    <m:naryLim m:val="undOvr"/>
  </m:mathPr>
  <w:themeFontLang w:val="en-I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65587"/>
  <w15:chartTrackingRefBased/>
  <w15:docId w15:val="{4843B612-4782-DB42-A0DD-E666CD3A6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4D54"/>
    <w:rPr>
      <w:lang w:val="en-GB"/>
    </w:rPr>
  </w:style>
  <w:style w:type="paragraph" w:styleId="Heading1">
    <w:name w:val="heading 1"/>
    <w:basedOn w:val="Normal"/>
    <w:next w:val="Normal"/>
    <w:link w:val="Heading1Char"/>
    <w:uiPriority w:val="9"/>
    <w:qFormat/>
    <w:rsid w:val="0040194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074C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074CC"/>
    <w:rPr>
      <w:rFonts w:ascii="Times New Roman" w:hAnsi="Times New Roman" w:cs="Times New Roman"/>
      <w:sz w:val="18"/>
      <w:szCs w:val="18"/>
    </w:rPr>
  </w:style>
  <w:style w:type="paragraph" w:styleId="ListParagraph">
    <w:name w:val="List Paragraph"/>
    <w:basedOn w:val="Normal"/>
    <w:uiPriority w:val="34"/>
    <w:qFormat/>
    <w:rsid w:val="00DE36C6"/>
    <w:pPr>
      <w:ind w:left="720"/>
      <w:contextualSpacing/>
    </w:pPr>
  </w:style>
  <w:style w:type="character" w:styleId="Hyperlink">
    <w:name w:val="Hyperlink"/>
    <w:basedOn w:val="DefaultParagraphFont"/>
    <w:uiPriority w:val="99"/>
    <w:unhideWhenUsed/>
    <w:rsid w:val="00DE36C6"/>
    <w:rPr>
      <w:color w:val="0563C1" w:themeColor="hyperlink"/>
      <w:u w:val="single"/>
    </w:rPr>
  </w:style>
  <w:style w:type="paragraph" w:styleId="Footer">
    <w:name w:val="footer"/>
    <w:basedOn w:val="Normal"/>
    <w:link w:val="FooterChar"/>
    <w:uiPriority w:val="99"/>
    <w:unhideWhenUsed/>
    <w:rsid w:val="006E6371"/>
    <w:pPr>
      <w:tabs>
        <w:tab w:val="center" w:pos="4680"/>
        <w:tab w:val="right" w:pos="9360"/>
      </w:tabs>
    </w:pPr>
  </w:style>
  <w:style w:type="character" w:customStyle="1" w:styleId="FooterChar">
    <w:name w:val="Footer Char"/>
    <w:basedOn w:val="DefaultParagraphFont"/>
    <w:link w:val="Footer"/>
    <w:uiPriority w:val="99"/>
    <w:rsid w:val="006E6371"/>
  </w:style>
  <w:style w:type="character" w:styleId="PageNumber">
    <w:name w:val="page number"/>
    <w:basedOn w:val="DefaultParagraphFont"/>
    <w:uiPriority w:val="99"/>
    <w:semiHidden/>
    <w:unhideWhenUsed/>
    <w:rsid w:val="006E6371"/>
  </w:style>
  <w:style w:type="paragraph" w:styleId="FootnoteText">
    <w:name w:val="footnote text"/>
    <w:basedOn w:val="Normal"/>
    <w:link w:val="FootnoteTextChar"/>
    <w:uiPriority w:val="99"/>
    <w:semiHidden/>
    <w:unhideWhenUsed/>
    <w:rsid w:val="00A346D0"/>
    <w:rPr>
      <w:sz w:val="20"/>
      <w:szCs w:val="20"/>
    </w:rPr>
  </w:style>
  <w:style w:type="character" w:customStyle="1" w:styleId="FootnoteTextChar">
    <w:name w:val="Footnote Text Char"/>
    <w:basedOn w:val="DefaultParagraphFont"/>
    <w:link w:val="FootnoteText"/>
    <w:uiPriority w:val="99"/>
    <w:semiHidden/>
    <w:rsid w:val="00A346D0"/>
    <w:rPr>
      <w:sz w:val="20"/>
      <w:szCs w:val="20"/>
    </w:rPr>
  </w:style>
  <w:style w:type="character" w:styleId="FootnoteReference">
    <w:name w:val="footnote reference"/>
    <w:basedOn w:val="DefaultParagraphFont"/>
    <w:uiPriority w:val="99"/>
    <w:semiHidden/>
    <w:unhideWhenUsed/>
    <w:rsid w:val="00A346D0"/>
    <w:rPr>
      <w:vertAlign w:val="superscript"/>
    </w:rPr>
  </w:style>
  <w:style w:type="character" w:customStyle="1" w:styleId="Heading1Char">
    <w:name w:val="Heading 1 Char"/>
    <w:basedOn w:val="DefaultParagraphFont"/>
    <w:link w:val="Heading1"/>
    <w:uiPriority w:val="9"/>
    <w:rsid w:val="00401944"/>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401944"/>
    <w:rPr>
      <w:color w:val="605E5C"/>
      <w:shd w:val="clear" w:color="auto" w:fill="E1DFDD"/>
    </w:rPr>
  </w:style>
  <w:style w:type="character" w:styleId="FollowedHyperlink">
    <w:name w:val="FollowedHyperlink"/>
    <w:basedOn w:val="DefaultParagraphFont"/>
    <w:uiPriority w:val="99"/>
    <w:semiHidden/>
    <w:unhideWhenUsed/>
    <w:rsid w:val="00A91589"/>
    <w:rPr>
      <w:color w:val="954F72" w:themeColor="followedHyperlink"/>
      <w:u w:val="single"/>
    </w:rPr>
  </w:style>
  <w:style w:type="paragraph" w:styleId="NormalWeb">
    <w:name w:val="Normal (Web)"/>
    <w:basedOn w:val="Normal"/>
    <w:uiPriority w:val="99"/>
    <w:semiHidden/>
    <w:unhideWhenUsed/>
    <w:rsid w:val="00D260A6"/>
    <w:rPr>
      <w:rFonts w:ascii="Times New Roman" w:hAnsi="Times New Roman" w:cs="Times New Roman"/>
    </w:rPr>
  </w:style>
  <w:style w:type="character" w:styleId="CommentReference">
    <w:name w:val="annotation reference"/>
    <w:basedOn w:val="DefaultParagraphFont"/>
    <w:uiPriority w:val="99"/>
    <w:semiHidden/>
    <w:unhideWhenUsed/>
    <w:rsid w:val="00932D2C"/>
    <w:rPr>
      <w:sz w:val="16"/>
      <w:szCs w:val="16"/>
    </w:rPr>
  </w:style>
  <w:style w:type="paragraph" w:styleId="CommentText">
    <w:name w:val="annotation text"/>
    <w:basedOn w:val="Normal"/>
    <w:link w:val="CommentTextChar"/>
    <w:uiPriority w:val="99"/>
    <w:unhideWhenUsed/>
    <w:rsid w:val="00932D2C"/>
    <w:rPr>
      <w:sz w:val="20"/>
      <w:szCs w:val="20"/>
    </w:rPr>
  </w:style>
  <w:style w:type="character" w:customStyle="1" w:styleId="CommentTextChar">
    <w:name w:val="Comment Text Char"/>
    <w:basedOn w:val="DefaultParagraphFont"/>
    <w:link w:val="CommentText"/>
    <w:uiPriority w:val="99"/>
    <w:rsid w:val="00932D2C"/>
    <w:rPr>
      <w:sz w:val="20"/>
      <w:szCs w:val="20"/>
    </w:rPr>
  </w:style>
  <w:style w:type="paragraph" w:styleId="CommentSubject">
    <w:name w:val="annotation subject"/>
    <w:basedOn w:val="CommentText"/>
    <w:next w:val="CommentText"/>
    <w:link w:val="CommentSubjectChar"/>
    <w:uiPriority w:val="99"/>
    <w:semiHidden/>
    <w:unhideWhenUsed/>
    <w:rsid w:val="00932D2C"/>
    <w:rPr>
      <w:b/>
      <w:bCs/>
    </w:rPr>
  </w:style>
  <w:style w:type="character" w:customStyle="1" w:styleId="CommentSubjectChar">
    <w:name w:val="Comment Subject Char"/>
    <w:basedOn w:val="CommentTextChar"/>
    <w:link w:val="CommentSubject"/>
    <w:uiPriority w:val="99"/>
    <w:semiHidden/>
    <w:rsid w:val="00932D2C"/>
    <w:rPr>
      <w:b/>
      <w:bCs/>
      <w:sz w:val="20"/>
      <w:szCs w:val="20"/>
    </w:rPr>
  </w:style>
  <w:style w:type="paragraph" w:styleId="Revision">
    <w:name w:val="Revision"/>
    <w:hidden/>
    <w:uiPriority w:val="99"/>
    <w:semiHidden/>
    <w:rsid w:val="00600386"/>
    <w:rPr>
      <w:lang w:val="en-GB"/>
    </w:rPr>
  </w:style>
  <w:style w:type="table" w:styleId="TableGrid">
    <w:name w:val="Table Grid"/>
    <w:basedOn w:val="TableNormal"/>
    <w:uiPriority w:val="39"/>
    <w:rsid w:val="006702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031C9"/>
    <w:pPr>
      <w:tabs>
        <w:tab w:val="center" w:pos="4513"/>
        <w:tab w:val="right" w:pos="9026"/>
      </w:tabs>
    </w:pPr>
  </w:style>
  <w:style w:type="character" w:customStyle="1" w:styleId="HeaderChar">
    <w:name w:val="Header Char"/>
    <w:basedOn w:val="DefaultParagraphFont"/>
    <w:link w:val="Header"/>
    <w:uiPriority w:val="99"/>
    <w:rsid w:val="002031C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09865">
      <w:bodyDiv w:val="1"/>
      <w:marLeft w:val="0"/>
      <w:marRight w:val="0"/>
      <w:marTop w:val="0"/>
      <w:marBottom w:val="0"/>
      <w:divBdr>
        <w:top w:val="none" w:sz="0" w:space="0" w:color="auto"/>
        <w:left w:val="none" w:sz="0" w:space="0" w:color="auto"/>
        <w:bottom w:val="none" w:sz="0" w:space="0" w:color="auto"/>
        <w:right w:val="none" w:sz="0" w:space="0" w:color="auto"/>
      </w:divBdr>
    </w:div>
    <w:div w:id="147788616">
      <w:bodyDiv w:val="1"/>
      <w:marLeft w:val="0"/>
      <w:marRight w:val="0"/>
      <w:marTop w:val="0"/>
      <w:marBottom w:val="0"/>
      <w:divBdr>
        <w:top w:val="none" w:sz="0" w:space="0" w:color="auto"/>
        <w:left w:val="none" w:sz="0" w:space="0" w:color="auto"/>
        <w:bottom w:val="none" w:sz="0" w:space="0" w:color="auto"/>
        <w:right w:val="none" w:sz="0" w:space="0" w:color="auto"/>
      </w:divBdr>
      <w:divsChild>
        <w:div w:id="1993634464">
          <w:marLeft w:val="0"/>
          <w:marRight w:val="0"/>
          <w:marTop w:val="0"/>
          <w:marBottom w:val="0"/>
          <w:divBdr>
            <w:top w:val="none" w:sz="0" w:space="0" w:color="auto"/>
            <w:left w:val="none" w:sz="0" w:space="0" w:color="auto"/>
            <w:bottom w:val="none" w:sz="0" w:space="0" w:color="auto"/>
            <w:right w:val="none" w:sz="0" w:space="0" w:color="auto"/>
          </w:divBdr>
          <w:divsChild>
            <w:div w:id="336882131">
              <w:marLeft w:val="0"/>
              <w:marRight w:val="0"/>
              <w:marTop w:val="0"/>
              <w:marBottom w:val="0"/>
              <w:divBdr>
                <w:top w:val="none" w:sz="0" w:space="0" w:color="auto"/>
                <w:left w:val="none" w:sz="0" w:space="0" w:color="auto"/>
                <w:bottom w:val="none" w:sz="0" w:space="0" w:color="auto"/>
                <w:right w:val="none" w:sz="0" w:space="0" w:color="auto"/>
              </w:divBdr>
              <w:divsChild>
                <w:div w:id="16405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19725">
      <w:bodyDiv w:val="1"/>
      <w:marLeft w:val="0"/>
      <w:marRight w:val="0"/>
      <w:marTop w:val="0"/>
      <w:marBottom w:val="0"/>
      <w:divBdr>
        <w:top w:val="none" w:sz="0" w:space="0" w:color="auto"/>
        <w:left w:val="none" w:sz="0" w:space="0" w:color="auto"/>
        <w:bottom w:val="none" w:sz="0" w:space="0" w:color="auto"/>
        <w:right w:val="none" w:sz="0" w:space="0" w:color="auto"/>
      </w:divBdr>
    </w:div>
    <w:div w:id="162430377">
      <w:bodyDiv w:val="1"/>
      <w:marLeft w:val="0"/>
      <w:marRight w:val="0"/>
      <w:marTop w:val="0"/>
      <w:marBottom w:val="0"/>
      <w:divBdr>
        <w:top w:val="none" w:sz="0" w:space="0" w:color="auto"/>
        <w:left w:val="none" w:sz="0" w:space="0" w:color="auto"/>
        <w:bottom w:val="none" w:sz="0" w:space="0" w:color="auto"/>
        <w:right w:val="none" w:sz="0" w:space="0" w:color="auto"/>
      </w:divBdr>
    </w:div>
    <w:div w:id="187376117">
      <w:bodyDiv w:val="1"/>
      <w:marLeft w:val="0"/>
      <w:marRight w:val="0"/>
      <w:marTop w:val="0"/>
      <w:marBottom w:val="0"/>
      <w:divBdr>
        <w:top w:val="none" w:sz="0" w:space="0" w:color="auto"/>
        <w:left w:val="none" w:sz="0" w:space="0" w:color="auto"/>
        <w:bottom w:val="none" w:sz="0" w:space="0" w:color="auto"/>
        <w:right w:val="none" w:sz="0" w:space="0" w:color="auto"/>
      </w:divBdr>
    </w:div>
    <w:div w:id="227963054">
      <w:bodyDiv w:val="1"/>
      <w:marLeft w:val="0"/>
      <w:marRight w:val="0"/>
      <w:marTop w:val="0"/>
      <w:marBottom w:val="0"/>
      <w:divBdr>
        <w:top w:val="none" w:sz="0" w:space="0" w:color="auto"/>
        <w:left w:val="none" w:sz="0" w:space="0" w:color="auto"/>
        <w:bottom w:val="none" w:sz="0" w:space="0" w:color="auto"/>
        <w:right w:val="none" w:sz="0" w:space="0" w:color="auto"/>
      </w:divBdr>
      <w:divsChild>
        <w:div w:id="1166629261">
          <w:marLeft w:val="0"/>
          <w:marRight w:val="0"/>
          <w:marTop w:val="0"/>
          <w:marBottom w:val="0"/>
          <w:divBdr>
            <w:top w:val="none" w:sz="0" w:space="0" w:color="auto"/>
            <w:left w:val="none" w:sz="0" w:space="0" w:color="auto"/>
            <w:bottom w:val="none" w:sz="0" w:space="0" w:color="auto"/>
            <w:right w:val="none" w:sz="0" w:space="0" w:color="auto"/>
          </w:divBdr>
          <w:divsChild>
            <w:div w:id="1199657911">
              <w:marLeft w:val="0"/>
              <w:marRight w:val="0"/>
              <w:marTop w:val="0"/>
              <w:marBottom w:val="0"/>
              <w:divBdr>
                <w:top w:val="none" w:sz="0" w:space="0" w:color="auto"/>
                <w:left w:val="none" w:sz="0" w:space="0" w:color="auto"/>
                <w:bottom w:val="none" w:sz="0" w:space="0" w:color="auto"/>
                <w:right w:val="none" w:sz="0" w:space="0" w:color="auto"/>
              </w:divBdr>
              <w:divsChild>
                <w:div w:id="56133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689219">
      <w:bodyDiv w:val="1"/>
      <w:marLeft w:val="0"/>
      <w:marRight w:val="0"/>
      <w:marTop w:val="0"/>
      <w:marBottom w:val="0"/>
      <w:divBdr>
        <w:top w:val="none" w:sz="0" w:space="0" w:color="auto"/>
        <w:left w:val="none" w:sz="0" w:space="0" w:color="auto"/>
        <w:bottom w:val="none" w:sz="0" w:space="0" w:color="auto"/>
        <w:right w:val="none" w:sz="0" w:space="0" w:color="auto"/>
      </w:divBdr>
    </w:div>
    <w:div w:id="248388048">
      <w:bodyDiv w:val="1"/>
      <w:marLeft w:val="0"/>
      <w:marRight w:val="0"/>
      <w:marTop w:val="0"/>
      <w:marBottom w:val="0"/>
      <w:divBdr>
        <w:top w:val="none" w:sz="0" w:space="0" w:color="auto"/>
        <w:left w:val="none" w:sz="0" w:space="0" w:color="auto"/>
        <w:bottom w:val="none" w:sz="0" w:space="0" w:color="auto"/>
        <w:right w:val="none" w:sz="0" w:space="0" w:color="auto"/>
      </w:divBdr>
      <w:divsChild>
        <w:div w:id="1659991422">
          <w:marLeft w:val="0"/>
          <w:marRight w:val="0"/>
          <w:marTop w:val="0"/>
          <w:marBottom w:val="0"/>
          <w:divBdr>
            <w:top w:val="none" w:sz="0" w:space="0" w:color="auto"/>
            <w:left w:val="none" w:sz="0" w:space="0" w:color="auto"/>
            <w:bottom w:val="none" w:sz="0" w:space="0" w:color="auto"/>
            <w:right w:val="none" w:sz="0" w:space="0" w:color="auto"/>
          </w:divBdr>
          <w:divsChild>
            <w:div w:id="425266980">
              <w:marLeft w:val="0"/>
              <w:marRight w:val="0"/>
              <w:marTop w:val="0"/>
              <w:marBottom w:val="0"/>
              <w:divBdr>
                <w:top w:val="none" w:sz="0" w:space="0" w:color="auto"/>
                <w:left w:val="none" w:sz="0" w:space="0" w:color="auto"/>
                <w:bottom w:val="none" w:sz="0" w:space="0" w:color="auto"/>
                <w:right w:val="none" w:sz="0" w:space="0" w:color="auto"/>
              </w:divBdr>
              <w:divsChild>
                <w:div w:id="903293879">
                  <w:marLeft w:val="0"/>
                  <w:marRight w:val="0"/>
                  <w:marTop w:val="0"/>
                  <w:marBottom w:val="0"/>
                  <w:divBdr>
                    <w:top w:val="none" w:sz="0" w:space="0" w:color="auto"/>
                    <w:left w:val="none" w:sz="0" w:space="0" w:color="auto"/>
                    <w:bottom w:val="none" w:sz="0" w:space="0" w:color="auto"/>
                    <w:right w:val="none" w:sz="0" w:space="0" w:color="auto"/>
                  </w:divBdr>
                  <w:divsChild>
                    <w:div w:id="194946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590450">
      <w:bodyDiv w:val="1"/>
      <w:marLeft w:val="0"/>
      <w:marRight w:val="0"/>
      <w:marTop w:val="0"/>
      <w:marBottom w:val="0"/>
      <w:divBdr>
        <w:top w:val="none" w:sz="0" w:space="0" w:color="auto"/>
        <w:left w:val="none" w:sz="0" w:space="0" w:color="auto"/>
        <w:bottom w:val="none" w:sz="0" w:space="0" w:color="auto"/>
        <w:right w:val="none" w:sz="0" w:space="0" w:color="auto"/>
      </w:divBdr>
      <w:divsChild>
        <w:div w:id="484854876">
          <w:marLeft w:val="0"/>
          <w:marRight w:val="0"/>
          <w:marTop w:val="0"/>
          <w:marBottom w:val="0"/>
          <w:divBdr>
            <w:top w:val="none" w:sz="0" w:space="0" w:color="auto"/>
            <w:left w:val="none" w:sz="0" w:space="0" w:color="auto"/>
            <w:bottom w:val="none" w:sz="0" w:space="0" w:color="auto"/>
            <w:right w:val="none" w:sz="0" w:space="0" w:color="auto"/>
          </w:divBdr>
          <w:divsChild>
            <w:div w:id="694890627">
              <w:marLeft w:val="0"/>
              <w:marRight w:val="0"/>
              <w:marTop w:val="0"/>
              <w:marBottom w:val="0"/>
              <w:divBdr>
                <w:top w:val="none" w:sz="0" w:space="0" w:color="auto"/>
                <w:left w:val="none" w:sz="0" w:space="0" w:color="auto"/>
                <w:bottom w:val="none" w:sz="0" w:space="0" w:color="auto"/>
                <w:right w:val="none" w:sz="0" w:space="0" w:color="auto"/>
              </w:divBdr>
              <w:divsChild>
                <w:div w:id="113378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941635">
      <w:bodyDiv w:val="1"/>
      <w:marLeft w:val="0"/>
      <w:marRight w:val="0"/>
      <w:marTop w:val="0"/>
      <w:marBottom w:val="0"/>
      <w:divBdr>
        <w:top w:val="none" w:sz="0" w:space="0" w:color="auto"/>
        <w:left w:val="none" w:sz="0" w:space="0" w:color="auto"/>
        <w:bottom w:val="none" w:sz="0" w:space="0" w:color="auto"/>
        <w:right w:val="none" w:sz="0" w:space="0" w:color="auto"/>
      </w:divBdr>
    </w:div>
    <w:div w:id="293801412">
      <w:bodyDiv w:val="1"/>
      <w:marLeft w:val="0"/>
      <w:marRight w:val="0"/>
      <w:marTop w:val="0"/>
      <w:marBottom w:val="0"/>
      <w:divBdr>
        <w:top w:val="none" w:sz="0" w:space="0" w:color="auto"/>
        <w:left w:val="none" w:sz="0" w:space="0" w:color="auto"/>
        <w:bottom w:val="none" w:sz="0" w:space="0" w:color="auto"/>
        <w:right w:val="none" w:sz="0" w:space="0" w:color="auto"/>
      </w:divBdr>
    </w:div>
    <w:div w:id="299312470">
      <w:bodyDiv w:val="1"/>
      <w:marLeft w:val="0"/>
      <w:marRight w:val="0"/>
      <w:marTop w:val="0"/>
      <w:marBottom w:val="0"/>
      <w:divBdr>
        <w:top w:val="none" w:sz="0" w:space="0" w:color="auto"/>
        <w:left w:val="none" w:sz="0" w:space="0" w:color="auto"/>
        <w:bottom w:val="none" w:sz="0" w:space="0" w:color="auto"/>
        <w:right w:val="none" w:sz="0" w:space="0" w:color="auto"/>
      </w:divBdr>
    </w:div>
    <w:div w:id="305821315">
      <w:bodyDiv w:val="1"/>
      <w:marLeft w:val="0"/>
      <w:marRight w:val="0"/>
      <w:marTop w:val="0"/>
      <w:marBottom w:val="0"/>
      <w:divBdr>
        <w:top w:val="none" w:sz="0" w:space="0" w:color="auto"/>
        <w:left w:val="none" w:sz="0" w:space="0" w:color="auto"/>
        <w:bottom w:val="none" w:sz="0" w:space="0" w:color="auto"/>
        <w:right w:val="none" w:sz="0" w:space="0" w:color="auto"/>
      </w:divBdr>
    </w:div>
    <w:div w:id="316105567">
      <w:bodyDiv w:val="1"/>
      <w:marLeft w:val="0"/>
      <w:marRight w:val="0"/>
      <w:marTop w:val="0"/>
      <w:marBottom w:val="0"/>
      <w:divBdr>
        <w:top w:val="none" w:sz="0" w:space="0" w:color="auto"/>
        <w:left w:val="none" w:sz="0" w:space="0" w:color="auto"/>
        <w:bottom w:val="none" w:sz="0" w:space="0" w:color="auto"/>
        <w:right w:val="none" w:sz="0" w:space="0" w:color="auto"/>
      </w:divBdr>
      <w:divsChild>
        <w:div w:id="487553543">
          <w:marLeft w:val="0"/>
          <w:marRight w:val="0"/>
          <w:marTop w:val="0"/>
          <w:marBottom w:val="0"/>
          <w:divBdr>
            <w:top w:val="none" w:sz="0" w:space="0" w:color="auto"/>
            <w:left w:val="none" w:sz="0" w:space="0" w:color="auto"/>
            <w:bottom w:val="none" w:sz="0" w:space="0" w:color="auto"/>
            <w:right w:val="none" w:sz="0" w:space="0" w:color="auto"/>
          </w:divBdr>
          <w:divsChild>
            <w:div w:id="598025733">
              <w:marLeft w:val="0"/>
              <w:marRight w:val="0"/>
              <w:marTop w:val="0"/>
              <w:marBottom w:val="0"/>
              <w:divBdr>
                <w:top w:val="none" w:sz="0" w:space="0" w:color="auto"/>
                <w:left w:val="none" w:sz="0" w:space="0" w:color="auto"/>
                <w:bottom w:val="none" w:sz="0" w:space="0" w:color="auto"/>
                <w:right w:val="none" w:sz="0" w:space="0" w:color="auto"/>
              </w:divBdr>
              <w:divsChild>
                <w:div w:id="1361860458">
                  <w:marLeft w:val="0"/>
                  <w:marRight w:val="0"/>
                  <w:marTop w:val="0"/>
                  <w:marBottom w:val="0"/>
                  <w:divBdr>
                    <w:top w:val="none" w:sz="0" w:space="0" w:color="auto"/>
                    <w:left w:val="none" w:sz="0" w:space="0" w:color="auto"/>
                    <w:bottom w:val="none" w:sz="0" w:space="0" w:color="auto"/>
                    <w:right w:val="none" w:sz="0" w:space="0" w:color="auto"/>
                  </w:divBdr>
                  <w:divsChild>
                    <w:div w:id="198800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081795">
      <w:bodyDiv w:val="1"/>
      <w:marLeft w:val="0"/>
      <w:marRight w:val="0"/>
      <w:marTop w:val="0"/>
      <w:marBottom w:val="0"/>
      <w:divBdr>
        <w:top w:val="none" w:sz="0" w:space="0" w:color="auto"/>
        <w:left w:val="none" w:sz="0" w:space="0" w:color="auto"/>
        <w:bottom w:val="none" w:sz="0" w:space="0" w:color="auto"/>
        <w:right w:val="none" w:sz="0" w:space="0" w:color="auto"/>
      </w:divBdr>
    </w:div>
    <w:div w:id="346176159">
      <w:bodyDiv w:val="1"/>
      <w:marLeft w:val="0"/>
      <w:marRight w:val="0"/>
      <w:marTop w:val="0"/>
      <w:marBottom w:val="0"/>
      <w:divBdr>
        <w:top w:val="none" w:sz="0" w:space="0" w:color="auto"/>
        <w:left w:val="none" w:sz="0" w:space="0" w:color="auto"/>
        <w:bottom w:val="none" w:sz="0" w:space="0" w:color="auto"/>
        <w:right w:val="none" w:sz="0" w:space="0" w:color="auto"/>
      </w:divBdr>
      <w:divsChild>
        <w:div w:id="721321606">
          <w:marLeft w:val="0"/>
          <w:marRight w:val="0"/>
          <w:marTop w:val="0"/>
          <w:marBottom w:val="0"/>
          <w:divBdr>
            <w:top w:val="none" w:sz="0" w:space="0" w:color="auto"/>
            <w:left w:val="none" w:sz="0" w:space="0" w:color="auto"/>
            <w:bottom w:val="none" w:sz="0" w:space="0" w:color="auto"/>
            <w:right w:val="none" w:sz="0" w:space="0" w:color="auto"/>
          </w:divBdr>
          <w:divsChild>
            <w:div w:id="2143880340">
              <w:marLeft w:val="0"/>
              <w:marRight w:val="0"/>
              <w:marTop w:val="0"/>
              <w:marBottom w:val="0"/>
              <w:divBdr>
                <w:top w:val="none" w:sz="0" w:space="0" w:color="auto"/>
                <w:left w:val="none" w:sz="0" w:space="0" w:color="auto"/>
                <w:bottom w:val="none" w:sz="0" w:space="0" w:color="auto"/>
                <w:right w:val="none" w:sz="0" w:space="0" w:color="auto"/>
              </w:divBdr>
              <w:divsChild>
                <w:div w:id="679628075">
                  <w:marLeft w:val="0"/>
                  <w:marRight w:val="0"/>
                  <w:marTop w:val="0"/>
                  <w:marBottom w:val="0"/>
                  <w:divBdr>
                    <w:top w:val="none" w:sz="0" w:space="0" w:color="auto"/>
                    <w:left w:val="none" w:sz="0" w:space="0" w:color="auto"/>
                    <w:bottom w:val="none" w:sz="0" w:space="0" w:color="auto"/>
                    <w:right w:val="none" w:sz="0" w:space="0" w:color="auto"/>
                  </w:divBdr>
                  <w:divsChild>
                    <w:div w:id="93613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8626144">
      <w:bodyDiv w:val="1"/>
      <w:marLeft w:val="0"/>
      <w:marRight w:val="0"/>
      <w:marTop w:val="0"/>
      <w:marBottom w:val="0"/>
      <w:divBdr>
        <w:top w:val="none" w:sz="0" w:space="0" w:color="auto"/>
        <w:left w:val="none" w:sz="0" w:space="0" w:color="auto"/>
        <w:bottom w:val="none" w:sz="0" w:space="0" w:color="auto"/>
        <w:right w:val="none" w:sz="0" w:space="0" w:color="auto"/>
      </w:divBdr>
    </w:div>
    <w:div w:id="385178544">
      <w:bodyDiv w:val="1"/>
      <w:marLeft w:val="0"/>
      <w:marRight w:val="0"/>
      <w:marTop w:val="0"/>
      <w:marBottom w:val="0"/>
      <w:divBdr>
        <w:top w:val="none" w:sz="0" w:space="0" w:color="auto"/>
        <w:left w:val="none" w:sz="0" w:space="0" w:color="auto"/>
        <w:bottom w:val="none" w:sz="0" w:space="0" w:color="auto"/>
        <w:right w:val="none" w:sz="0" w:space="0" w:color="auto"/>
      </w:divBdr>
    </w:div>
    <w:div w:id="394280609">
      <w:bodyDiv w:val="1"/>
      <w:marLeft w:val="0"/>
      <w:marRight w:val="0"/>
      <w:marTop w:val="0"/>
      <w:marBottom w:val="0"/>
      <w:divBdr>
        <w:top w:val="none" w:sz="0" w:space="0" w:color="auto"/>
        <w:left w:val="none" w:sz="0" w:space="0" w:color="auto"/>
        <w:bottom w:val="none" w:sz="0" w:space="0" w:color="auto"/>
        <w:right w:val="none" w:sz="0" w:space="0" w:color="auto"/>
      </w:divBdr>
      <w:divsChild>
        <w:div w:id="148444472">
          <w:marLeft w:val="0"/>
          <w:marRight w:val="0"/>
          <w:marTop w:val="0"/>
          <w:marBottom w:val="0"/>
          <w:divBdr>
            <w:top w:val="none" w:sz="0" w:space="0" w:color="auto"/>
            <w:left w:val="none" w:sz="0" w:space="0" w:color="auto"/>
            <w:bottom w:val="none" w:sz="0" w:space="0" w:color="auto"/>
            <w:right w:val="none" w:sz="0" w:space="0" w:color="auto"/>
          </w:divBdr>
          <w:divsChild>
            <w:div w:id="1777140283">
              <w:marLeft w:val="0"/>
              <w:marRight w:val="0"/>
              <w:marTop w:val="0"/>
              <w:marBottom w:val="0"/>
              <w:divBdr>
                <w:top w:val="none" w:sz="0" w:space="0" w:color="auto"/>
                <w:left w:val="none" w:sz="0" w:space="0" w:color="auto"/>
                <w:bottom w:val="none" w:sz="0" w:space="0" w:color="auto"/>
                <w:right w:val="none" w:sz="0" w:space="0" w:color="auto"/>
              </w:divBdr>
              <w:divsChild>
                <w:div w:id="1529833735">
                  <w:marLeft w:val="0"/>
                  <w:marRight w:val="0"/>
                  <w:marTop w:val="0"/>
                  <w:marBottom w:val="0"/>
                  <w:divBdr>
                    <w:top w:val="none" w:sz="0" w:space="0" w:color="auto"/>
                    <w:left w:val="none" w:sz="0" w:space="0" w:color="auto"/>
                    <w:bottom w:val="none" w:sz="0" w:space="0" w:color="auto"/>
                    <w:right w:val="none" w:sz="0" w:space="0" w:color="auto"/>
                  </w:divBdr>
                  <w:divsChild>
                    <w:div w:id="187827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275769">
      <w:bodyDiv w:val="1"/>
      <w:marLeft w:val="0"/>
      <w:marRight w:val="0"/>
      <w:marTop w:val="0"/>
      <w:marBottom w:val="0"/>
      <w:divBdr>
        <w:top w:val="none" w:sz="0" w:space="0" w:color="auto"/>
        <w:left w:val="none" w:sz="0" w:space="0" w:color="auto"/>
        <w:bottom w:val="none" w:sz="0" w:space="0" w:color="auto"/>
        <w:right w:val="none" w:sz="0" w:space="0" w:color="auto"/>
      </w:divBdr>
    </w:div>
    <w:div w:id="446894651">
      <w:bodyDiv w:val="1"/>
      <w:marLeft w:val="0"/>
      <w:marRight w:val="0"/>
      <w:marTop w:val="0"/>
      <w:marBottom w:val="0"/>
      <w:divBdr>
        <w:top w:val="none" w:sz="0" w:space="0" w:color="auto"/>
        <w:left w:val="none" w:sz="0" w:space="0" w:color="auto"/>
        <w:bottom w:val="none" w:sz="0" w:space="0" w:color="auto"/>
        <w:right w:val="none" w:sz="0" w:space="0" w:color="auto"/>
      </w:divBdr>
    </w:div>
    <w:div w:id="465007259">
      <w:bodyDiv w:val="1"/>
      <w:marLeft w:val="0"/>
      <w:marRight w:val="0"/>
      <w:marTop w:val="0"/>
      <w:marBottom w:val="0"/>
      <w:divBdr>
        <w:top w:val="none" w:sz="0" w:space="0" w:color="auto"/>
        <w:left w:val="none" w:sz="0" w:space="0" w:color="auto"/>
        <w:bottom w:val="none" w:sz="0" w:space="0" w:color="auto"/>
        <w:right w:val="none" w:sz="0" w:space="0" w:color="auto"/>
      </w:divBdr>
      <w:divsChild>
        <w:div w:id="696004448">
          <w:marLeft w:val="0"/>
          <w:marRight w:val="0"/>
          <w:marTop w:val="0"/>
          <w:marBottom w:val="0"/>
          <w:divBdr>
            <w:top w:val="none" w:sz="0" w:space="0" w:color="auto"/>
            <w:left w:val="none" w:sz="0" w:space="0" w:color="auto"/>
            <w:bottom w:val="none" w:sz="0" w:space="0" w:color="auto"/>
            <w:right w:val="none" w:sz="0" w:space="0" w:color="auto"/>
          </w:divBdr>
          <w:divsChild>
            <w:div w:id="1196043248">
              <w:marLeft w:val="0"/>
              <w:marRight w:val="0"/>
              <w:marTop w:val="0"/>
              <w:marBottom w:val="0"/>
              <w:divBdr>
                <w:top w:val="none" w:sz="0" w:space="0" w:color="auto"/>
                <w:left w:val="none" w:sz="0" w:space="0" w:color="auto"/>
                <w:bottom w:val="none" w:sz="0" w:space="0" w:color="auto"/>
                <w:right w:val="none" w:sz="0" w:space="0" w:color="auto"/>
              </w:divBdr>
              <w:divsChild>
                <w:div w:id="773863383">
                  <w:marLeft w:val="0"/>
                  <w:marRight w:val="0"/>
                  <w:marTop w:val="0"/>
                  <w:marBottom w:val="0"/>
                  <w:divBdr>
                    <w:top w:val="none" w:sz="0" w:space="0" w:color="auto"/>
                    <w:left w:val="none" w:sz="0" w:space="0" w:color="auto"/>
                    <w:bottom w:val="none" w:sz="0" w:space="0" w:color="auto"/>
                    <w:right w:val="none" w:sz="0" w:space="0" w:color="auto"/>
                  </w:divBdr>
                  <w:divsChild>
                    <w:div w:id="10526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6751545">
      <w:bodyDiv w:val="1"/>
      <w:marLeft w:val="0"/>
      <w:marRight w:val="0"/>
      <w:marTop w:val="0"/>
      <w:marBottom w:val="0"/>
      <w:divBdr>
        <w:top w:val="none" w:sz="0" w:space="0" w:color="auto"/>
        <w:left w:val="none" w:sz="0" w:space="0" w:color="auto"/>
        <w:bottom w:val="none" w:sz="0" w:space="0" w:color="auto"/>
        <w:right w:val="none" w:sz="0" w:space="0" w:color="auto"/>
      </w:divBdr>
      <w:divsChild>
        <w:div w:id="378358953">
          <w:marLeft w:val="0"/>
          <w:marRight w:val="0"/>
          <w:marTop w:val="0"/>
          <w:marBottom w:val="0"/>
          <w:divBdr>
            <w:top w:val="none" w:sz="0" w:space="0" w:color="auto"/>
            <w:left w:val="none" w:sz="0" w:space="0" w:color="auto"/>
            <w:bottom w:val="none" w:sz="0" w:space="0" w:color="auto"/>
            <w:right w:val="none" w:sz="0" w:space="0" w:color="auto"/>
          </w:divBdr>
          <w:divsChild>
            <w:div w:id="1797987394">
              <w:marLeft w:val="0"/>
              <w:marRight w:val="0"/>
              <w:marTop w:val="0"/>
              <w:marBottom w:val="0"/>
              <w:divBdr>
                <w:top w:val="none" w:sz="0" w:space="0" w:color="auto"/>
                <w:left w:val="none" w:sz="0" w:space="0" w:color="auto"/>
                <w:bottom w:val="none" w:sz="0" w:space="0" w:color="auto"/>
                <w:right w:val="none" w:sz="0" w:space="0" w:color="auto"/>
              </w:divBdr>
              <w:divsChild>
                <w:div w:id="1982273150">
                  <w:marLeft w:val="0"/>
                  <w:marRight w:val="0"/>
                  <w:marTop w:val="0"/>
                  <w:marBottom w:val="0"/>
                  <w:divBdr>
                    <w:top w:val="none" w:sz="0" w:space="0" w:color="auto"/>
                    <w:left w:val="none" w:sz="0" w:space="0" w:color="auto"/>
                    <w:bottom w:val="none" w:sz="0" w:space="0" w:color="auto"/>
                    <w:right w:val="none" w:sz="0" w:space="0" w:color="auto"/>
                  </w:divBdr>
                  <w:divsChild>
                    <w:div w:id="130470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0999919">
      <w:bodyDiv w:val="1"/>
      <w:marLeft w:val="0"/>
      <w:marRight w:val="0"/>
      <w:marTop w:val="0"/>
      <w:marBottom w:val="0"/>
      <w:divBdr>
        <w:top w:val="none" w:sz="0" w:space="0" w:color="auto"/>
        <w:left w:val="none" w:sz="0" w:space="0" w:color="auto"/>
        <w:bottom w:val="none" w:sz="0" w:space="0" w:color="auto"/>
        <w:right w:val="none" w:sz="0" w:space="0" w:color="auto"/>
      </w:divBdr>
    </w:div>
    <w:div w:id="481316129">
      <w:bodyDiv w:val="1"/>
      <w:marLeft w:val="0"/>
      <w:marRight w:val="0"/>
      <w:marTop w:val="0"/>
      <w:marBottom w:val="0"/>
      <w:divBdr>
        <w:top w:val="none" w:sz="0" w:space="0" w:color="auto"/>
        <w:left w:val="none" w:sz="0" w:space="0" w:color="auto"/>
        <w:bottom w:val="none" w:sz="0" w:space="0" w:color="auto"/>
        <w:right w:val="none" w:sz="0" w:space="0" w:color="auto"/>
      </w:divBdr>
    </w:div>
    <w:div w:id="498237404">
      <w:bodyDiv w:val="1"/>
      <w:marLeft w:val="0"/>
      <w:marRight w:val="0"/>
      <w:marTop w:val="0"/>
      <w:marBottom w:val="0"/>
      <w:divBdr>
        <w:top w:val="none" w:sz="0" w:space="0" w:color="auto"/>
        <w:left w:val="none" w:sz="0" w:space="0" w:color="auto"/>
        <w:bottom w:val="none" w:sz="0" w:space="0" w:color="auto"/>
        <w:right w:val="none" w:sz="0" w:space="0" w:color="auto"/>
      </w:divBdr>
    </w:div>
    <w:div w:id="533887741">
      <w:bodyDiv w:val="1"/>
      <w:marLeft w:val="0"/>
      <w:marRight w:val="0"/>
      <w:marTop w:val="0"/>
      <w:marBottom w:val="0"/>
      <w:divBdr>
        <w:top w:val="none" w:sz="0" w:space="0" w:color="auto"/>
        <w:left w:val="none" w:sz="0" w:space="0" w:color="auto"/>
        <w:bottom w:val="none" w:sz="0" w:space="0" w:color="auto"/>
        <w:right w:val="none" w:sz="0" w:space="0" w:color="auto"/>
      </w:divBdr>
      <w:divsChild>
        <w:div w:id="78794258">
          <w:marLeft w:val="0"/>
          <w:marRight w:val="0"/>
          <w:marTop w:val="0"/>
          <w:marBottom w:val="0"/>
          <w:divBdr>
            <w:top w:val="none" w:sz="0" w:space="0" w:color="auto"/>
            <w:left w:val="none" w:sz="0" w:space="0" w:color="auto"/>
            <w:bottom w:val="none" w:sz="0" w:space="0" w:color="auto"/>
            <w:right w:val="none" w:sz="0" w:space="0" w:color="auto"/>
          </w:divBdr>
          <w:divsChild>
            <w:div w:id="892888098">
              <w:marLeft w:val="0"/>
              <w:marRight w:val="0"/>
              <w:marTop w:val="0"/>
              <w:marBottom w:val="0"/>
              <w:divBdr>
                <w:top w:val="none" w:sz="0" w:space="0" w:color="auto"/>
                <w:left w:val="none" w:sz="0" w:space="0" w:color="auto"/>
                <w:bottom w:val="none" w:sz="0" w:space="0" w:color="auto"/>
                <w:right w:val="none" w:sz="0" w:space="0" w:color="auto"/>
              </w:divBdr>
              <w:divsChild>
                <w:div w:id="1987007925">
                  <w:marLeft w:val="0"/>
                  <w:marRight w:val="0"/>
                  <w:marTop w:val="0"/>
                  <w:marBottom w:val="0"/>
                  <w:divBdr>
                    <w:top w:val="none" w:sz="0" w:space="0" w:color="auto"/>
                    <w:left w:val="none" w:sz="0" w:space="0" w:color="auto"/>
                    <w:bottom w:val="none" w:sz="0" w:space="0" w:color="auto"/>
                    <w:right w:val="none" w:sz="0" w:space="0" w:color="auto"/>
                  </w:divBdr>
                  <w:divsChild>
                    <w:div w:id="43551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50853">
      <w:bodyDiv w:val="1"/>
      <w:marLeft w:val="0"/>
      <w:marRight w:val="0"/>
      <w:marTop w:val="0"/>
      <w:marBottom w:val="0"/>
      <w:divBdr>
        <w:top w:val="none" w:sz="0" w:space="0" w:color="auto"/>
        <w:left w:val="none" w:sz="0" w:space="0" w:color="auto"/>
        <w:bottom w:val="none" w:sz="0" w:space="0" w:color="auto"/>
        <w:right w:val="none" w:sz="0" w:space="0" w:color="auto"/>
      </w:divBdr>
      <w:divsChild>
        <w:div w:id="1196889807">
          <w:marLeft w:val="0"/>
          <w:marRight w:val="0"/>
          <w:marTop w:val="0"/>
          <w:marBottom w:val="0"/>
          <w:divBdr>
            <w:top w:val="none" w:sz="0" w:space="0" w:color="auto"/>
            <w:left w:val="none" w:sz="0" w:space="0" w:color="auto"/>
            <w:bottom w:val="none" w:sz="0" w:space="0" w:color="auto"/>
            <w:right w:val="none" w:sz="0" w:space="0" w:color="auto"/>
          </w:divBdr>
          <w:divsChild>
            <w:div w:id="1757677050">
              <w:marLeft w:val="0"/>
              <w:marRight w:val="0"/>
              <w:marTop w:val="0"/>
              <w:marBottom w:val="0"/>
              <w:divBdr>
                <w:top w:val="none" w:sz="0" w:space="0" w:color="auto"/>
                <w:left w:val="none" w:sz="0" w:space="0" w:color="auto"/>
                <w:bottom w:val="none" w:sz="0" w:space="0" w:color="auto"/>
                <w:right w:val="none" w:sz="0" w:space="0" w:color="auto"/>
              </w:divBdr>
              <w:divsChild>
                <w:div w:id="1424257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3395664">
      <w:bodyDiv w:val="1"/>
      <w:marLeft w:val="0"/>
      <w:marRight w:val="0"/>
      <w:marTop w:val="0"/>
      <w:marBottom w:val="0"/>
      <w:divBdr>
        <w:top w:val="none" w:sz="0" w:space="0" w:color="auto"/>
        <w:left w:val="none" w:sz="0" w:space="0" w:color="auto"/>
        <w:bottom w:val="none" w:sz="0" w:space="0" w:color="auto"/>
        <w:right w:val="none" w:sz="0" w:space="0" w:color="auto"/>
      </w:divBdr>
      <w:divsChild>
        <w:div w:id="8218185">
          <w:marLeft w:val="0"/>
          <w:marRight w:val="0"/>
          <w:marTop w:val="0"/>
          <w:marBottom w:val="0"/>
          <w:divBdr>
            <w:top w:val="none" w:sz="0" w:space="0" w:color="auto"/>
            <w:left w:val="none" w:sz="0" w:space="0" w:color="auto"/>
            <w:bottom w:val="none" w:sz="0" w:space="0" w:color="auto"/>
            <w:right w:val="none" w:sz="0" w:space="0" w:color="auto"/>
          </w:divBdr>
          <w:divsChild>
            <w:div w:id="702946880">
              <w:marLeft w:val="0"/>
              <w:marRight w:val="0"/>
              <w:marTop w:val="0"/>
              <w:marBottom w:val="0"/>
              <w:divBdr>
                <w:top w:val="none" w:sz="0" w:space="0" w:color="auto"/>
                <w:left w:val="none" w:sz="0" w:space="0" w:color="auto"/>
                <w:bottom w:val="none" w:sz="0" w:space="0" w:color="auto"/>
                <w:right w:val="none" w:sz="0" w:space="0" w:color="auto"/>
              </w:divBdr>
              <w:divsChild>
                <w:div w:id="1896577667">
                  <w:marLeft w:val="0"/>
                  <w:marRight w:val="0"/>
                  <w:marTop w:val="0"/>
                  <w:marBottom w:val="0"/>
                  <w:divBdr>
                    <w:top w:val="none" w:sz="0" w:space="0" w:color="auto"/>
                    <w:left w:val="none" w:sz="0" w:space="0" w:color="auto"/>
                    <w:bottom w:val="none" w:sz="0" w:space="0" w:color="auto"/>
                    <w:right w:val="none" w:sz="0" w:space="0" w:color="auto"/>
                  </w:divBdr>
                  <w:divsChild>
                    <w:div w:id="141054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546160">
      <w:bodyDiv w:val="1"/>
      <w:marLeft w:val="0"/>
      <w:marRight w:val="0"/>
      <w:marTop w:val="0"/>
      <w:marBottom w:val="0"/>
      <w:divBdr>
        <w:top w:val="none" w:sz="0" w:space="0" w:color="auto"/>
        <w:left w:val="none" w:sz="0" w:space="0" w:color="auto"/>
        <w:bottom w:val="none" w:sz="0" w:space="0" w:color="auto"/>
        <w:right w:val="none" w:sz="0" w:space="0" w:color="auto"/>
      </w:divBdr>
    </w:div>
    <w:div w:id="615866053">
      <w:bodyDiv w:val="1"/>
      <w:marLeft w:val="0"/>
      <w:marRight w:val="0"/>
      <w:marTop w:val="0"/>
      <w:marBottom w:val="0"/>
      <w:divBdr>
        <w:top w:val="none" w:sz="0" w:space="0" w:color="auto"/>
        <w:left w:val="none" w:sz="0" w:space="0" w:color="auto"/>
        <w:bottom w:val="none" w:sz="0" w:space="0" w:color="auto"/>
        <w:right w:val="none" w:sz="0" w:space="0" w:color="auto"/>
      </w:divBdr>
    </w:div>
    <w:div w:id="616565667">
      <w:bodyDiv w:val="1"/>
      <w:marLeft w:val="0"/>
      <w:marRight w:val="0"/>
      <w:marTop w:val="0"/>
      <w:marBottom w:val="0"/>
      <w:divBdr>
        <w:top w:val="none" w:sz="0" w:space="0" w:color="auto"/>
        <w:left w:val="none" w:sz="0" w:space="0" w:color="auto"/>
        <w:bottom w:val="none" w:sz="0" w:space="0" w:color="auto"/>
        <w:right w:val="none" w:sz="0" w:space="0" w:color="auto"/>
      </w:divBdr>
    </w:div>
    <w:div w:id="645088709">
      <w:bodyDiv w:val="1"/>
      <w:marLeft w:val="0"/>
      <w:marRight w:val="0"/>
      <w:marTop w:val="0"/>
      <w:marBottom w:val="0"/>
      <w:divBdr>
        <w:top w:val="none" w:sz="0" w:space="0" w:color="auto"/>
        <w:left w:val="none" w:sz="0" w:space="0" w:color="auto"/>
        <w:bottom w:val="none" w:sz="0" w:space="0" w:color="auto"/>
        <w:right w:val="none" w:sz="0" w:space="0" w:color="auto"/>
      </w:divBdr>
      <w:divsChild>
        <w:div w:id="613563767">
          <w:marLeft w:val="0"/>
          <w:marRight w:val="0"/>
          <w:marTop w:val="0"/>
          <w:marBottom w:val="0"/>
          <w:divBdr>
            <w:top w:val="none" w:sz="0" w:space="0" w:color="auto"/>
            <w:left w:val="none" w:sz="0" w:space="0" w:color="auto"/>
            <w:bottom w:val="none" w:sz="0" w:space="0" w:color="auto"/>
            <w:right w:val="none" w:sz="0" w:space="0" w:color="auto"/>
          </w:divBdr>
          <w:divsChild>
            <w:div w:id="2081319651">
              <w:marLeft w:val="0"/>
              <w:marRight w:val="0"/>
              <w:marTop w:val="0"/>
              <w:marBottom w:val="0"/>
              <w:divBdr>
                <w:top w:val="none" w:sz="0" w:space="0" w:color="auto"/>
                <w:left w:val="none" w:sz="0" w:space="0" w:color="auto"/>
                <w:bottom w:val="none" w:sz="0" w:space="0" w:color="auto"/>
                <w:right w:val="none" w:sz="0" w:space="0" w:color="auto"/>
              </w:divBdr>
              <w:divsChild>
                <w:div w:id="21088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907421">
      <w:bodyDiv w:val="1"/>
      <w:marLeft w:val="0"/>
      <w:marRight w:val="0"/>
      <w:marTop w:val="0"/>
      <w:marBottom w:val="0"/>
      <w:divBdr>
        <w:top w:val="none" w:sz="0" w:space="0" w:color="auto"/>
        <w:left w:val="none" w:sz="0" w:space="0" w:color="auto"/>
        <w:bottom w:val="none" w:sz="0" w:space="0" w:color="auto"/>
        <w:right w:val="none" w:sz="0" w:space="0" w:color="auto"/>
      </w:divBdr>
      <w:divsChild>
        <w:div w:id="1996570339">
          <w:marLeft w:val="0"/>
          <w:marRight w:val="0"/>
          <w:marTop w:val="0"/>
          <w:marBottom w:val="0"/>
          <w:divBdr>
            <w:top w:val="none" w:sz="0" w:space="0" w:color="auto"/>
            <w:left w:val="none" w:sz="0" w:space="0" w:color="auto"/>
            <w:bottom w:val="none" w:sz="0" w:space="0" w:color="auto"/>
            <w:right w:val="none" w:sz="0" w:space="0" w:color="auto"/>
          </w:divBdr>
          <w:divsChild>
            <w:div w:id="1547645405">
              <w:marLeft w:val="0"/>
              <w:marRight w:val="0"/>
              <w:marTop w:val="0"/>
              <w:marBottom w:val="0"/>
              <w:divBdr>
                <w:top w:val="none" w:sz="0" w:space="0" w:color="auto"/>
                <w:left w:val="none" w:sz="0" w:space="0" w:color="auto"/>
                <w:bottom w:val="none" w:sz="0" w:space="0" w:color="auto"/>
                <w:right w:val="none" w:sz="0" w:space="0" w:color="auto"/>
              </w:divBdr>
              <w:divsChild>
                <w:div w:id="211189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338555">
      <w:bodyDiv w:val="1"/>
      <w:marLeft w:val="0"/>
      <w:marRight w:val="0"/>
      <w:marTop w:val="0"/>
      <w:marBottom w:val="0"/>
      <w:divBdr>
        <w:top w:val="none" w:sz="0" w:space="0" w:color="auto"/>
        <w:left w:val="none" w:sz="0" w:space="0" w:color="auto"/>
        <w:bottom w:val="none" w:sz="0" w:space="0" w:color="auto"/>
        <w:right w:val="none" w:sz="0" w:space="0" w:color="auto"/>
      </w:divBdr>
    </w:div>
    <w:div w:id="698051060">
      <w:bodyDiv w:val="1"/>
      <w:marLeft w:val="0"/>
      <w:marRight w:val="0"/>
      <w:marTop w:val="0"/>
      <w:marBottom w:val="0"/>
      <w:divBdr>
        <w:top w:val="none" w:sz="0" w:space="0" w:color="auto"/>
        <w:left w:val="none" w:sz="0" w:space="0" w:color="auto"/>
        <w:bottom w:val="none" w:sz="0" w:space="0" w:color="auto"/>
        <w:right w:val="none" w:sz="0" w:space="0" w:color="auto"/>
      </w:divBdr>
    </w:div>
    <w:div w:id="726298882">
      <w:bodyDiv w:val="1"/>
      <w:marLeft w:val="0"/>
      <w:marRight w:val="0"/>
      <w:marTop w:val="0"/>
      <w:marBottom w:val="0"/>
      <w:divBdr>
        <w:top w:val="none" w:sz="0" w:space="0" w:color="auto"/>
        <w:left w:val="none" w:sz="0" w:space="0" w:color="auto"/>
        <w:bottom w:val="none" w:sz="0" w:space="0" w:color="auto"/>
        <w:right w:val="none" w:sz="0" w:space="0" w:color="auto"/>
      </w:divBdr>
      <w:divsChild>
        <w:div w:id="638537114">
          <w:marLeft w:val="0"/>
          <w:marRight w:val="0"/>
          <w:marTop w:val="0"/>
          <w:marBottom w:val="0"/>
          <w:divBdr>
            <w:top w:val="none" w:sz="0" w:space="0" w:color="auto"/>
            <w:left w:val="none" w:sz="0" w:space="0" w:color="auto"/>
            <w:bottom w:val="none" w:sz="0" w:space="0" w:color="auto"/>
            <w:right w:val="none" w:sz="0" w:space="0" w:color="auto"/>
          </w:divBdr>
          <w:divsChild>
            <w:div w:id="40981421">
              <w:marLeft w:val="0"/>
              <w:marRight w:val="0"/>
              <w:marTop w:val="0"/>
              <w:marBottom w:val="0"/>
              <w:divBdr>
                <w:top w:val="none" w:sz="0" w:space="0" w:color="auto"/>
                <w:left w:val="none" w:sz="0" w:space="0" w:color="auto"/>
                <w:bottom w:val="none" w:sz="0" w:space="0" w:color="auto"/>
                <w:right w:val="none" w:sz="0" w:space="0" w:color="auto"/>
              </w:divBdr>
              <w:divsChild>
                <w:div w:id="1517427090">
                  <w:marLeft w:val="0"/>
                  <w:marRight w:val="0"/>
                  <w:marTop w:val="0"/>
                  <w:marBottom w:val="0"/>
                  <w:divBdr>
                    <w:top w:val="none" w:sz="0" w:space="0" w:color="auto"/>
                    <w:left w:val="none" w:sz="0" w:space="0" w:color="auto"/>
                    <w:bottom w:val="none" w:sz="0" w:space="0" w:color="auto"/>
                    <w:right w:val="none" w:sz="0" w:space="0" w:color="auto"/>
                  </w:divBdr>
                  <w:divsChild>
                    <w:div w:id="162720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784184">
      <w:bodyDiv w:val="1"/>
      <w:marLeft w:val="0"/>
      <w:marRight w:val="0"/>
      <w:marTop w:val="0"/>
      <w:marBottom w:val="0"/>
      <w:divBdr>
        <w:top w:val="none" w:sz="0" w:space="0" w:color="auto"/>
        <w:left w:val="none" w:sz="0" w:space="0" w:color="auto"/>
        <w:bottom w:val="none" w:sz="0" w:space="0" w:color="auto"/>
        <w:right w:val="none" w:sz="0" w:space="0" w:color="auto"/>
      </w:divBdr>
    </w:div>
    <w:div w:id="799106183">
      <w:bodyDiv w:val="1"/>
      <w:marLeft w:val="0"/>
      <w:marRight w:val="0"/>
      <w:marTop w:val="0"/>
      <w:marBottom w:val="0"/>
      <w:divBdr>
        <w:top w:val="none" w:sz="0" w:space="0" w:color="auto"/>
        <w:left w:val="none" w:sz="0" w:space="0" w:color="auto"/>
        <w:bottom w:val="none" w:sz="0" w:space="0" w:color="auto"/>
        <w:right w:val="none" w:sz="0" w:space="0" w:color="auto"/>
      </w:divBdr>
    </w:div>
    <w:div w:id="836002062">
      <w:bodyDiv w:val="1"/>
      <w:marLeft w:val="0"/>
      <w:marRight w:val="0"/>
      <w:marTop w:val="0"/>
      <w:marBottom w:val="0"/>
      <w:divBdr>
        <w:top w:val="none" w:sz="0" w:space="0" w:color="auto"/>
        <w:left w:val="none" w:sz="0" w:space="0" w:color="auto"/>
        <w:bottom w:val="none" w:sz="0" w:space="0" w:color="auto"/>
        <w:right w:val="none" w:sz="0" w:space="0" w:color="auto"/>
      </w:divBdr>
    </w:div>
    <w:div w:id="914515305">
      <w:bodyDiv w:val="1"/>
      <w:marLeft w:val="0"/>
      <w:marRight w:val="0"/>
      <w:marTop w:val="0"/>
      <w:marBottom w:val="0"/>
      <w:divBdr>
        <w:top w:val="none" w:sz="0" w:space="0" w:color="auto"/>
        <w:left w:val="none" w:sz="0" w:space="0" w:color="auto"/>
        <w:bottom w:val="none" w:sz="0" w:space="0" w:color="auto"/>
        <w:right w:val="none" w:sz="0" w:space="0" w:color="auto"/>
      </w:divBdr>
    </w:div>
    <w:div w:id="972562053">
      <w:bodyDiv w:val="1"/>
      <w:marLeft w:val="0"/>
      <w:marRight w:val="0"/>
      <w:marTop w:val="0"/>
      <w:marBottom w:val="0"/>
      <w:divBdr>
        <w:top w:val="none" w:sz="0" w:space="0" w:color="auto"/>
        <w:left w:val="none" w:sz="0" w:space="0" w:color="auto"/>
        <w:bottom w:val="none" w:sz="0" w:space="0" w:color="auto"/>
        <w:right w:val="none" w:sz="0" w:space="0" w:color="auto"/>
      </w:divBdr>
    </w:div>
    <w:div w:id="979724873">
      <w:bodyDiv w:val="1"/>
      <w:marLeft w:val="0"/>
      <w:marRight w:val="0"/>
      <w:marTop w:val="0"/>
      <w:marBottom w:val="0"/>
      <w:divBdr>
        <w:top w:val="none" w:sz="0" w:space="0" w:color="auto"/>
        <w:left w:val="none" w:sz="0" w:space="0" w:color="auto"/>
        <w:bottom w:val="none" w:sz="0" w:space="0" w:color="auto"/>
        <w:right w:val="none" w:sz="0" w:space="0" w:color="auto"/>
      </w:divBdr>
      <w:divsChild>
        <w:div w:id="1170759091">
          <w:marLeft w:val="0"/>
          <w:marRight w:val="0"/>
          <w:marTop w:val="0"/>
          <w:marBottom w:val="0"/>
          <w:divBdr>
            <w:top w:val="none" w:sz="0" w:space="0" w:color="auto"/>
            <w:left w:val="none" w:sz="0" w:space="0" w:color="auto"/>
            <w:bottom w:val="none" w:sz="0" w:space="0" w:color="auto"/>
            <w:right w:val="none" w:sz="0" w:space="0" w:color="auto"/>
          </w:divBdr>
          <w:divsChild>
            <w:div w:id="665858830">
              <w:marLeft w:val="0"/>
              <w:marRight w:val="0"/>
              <w:marTop w:val="0"/>
              <w:marBottom w:val="0"/>
              <w:divBdr>
                <w:top w:val="none" w:sz="0" w:space="0" w:color="auto"/>
                <w:left w:val="none" w:sz="0" w:space="0" w:color="auto"/>
                <w:bottom w:val="none" w:sz="0" w:space="0" w:color="auto"/>
                <w:right w:val="none" w:sz="0" w:space="0" w:color="auto"/>
              </w:divBdr>
              <w:divsChild>
                <w:div w:id="1112670296">
                  <w:marLeft w:val="0"/>
                  <w:marRight w:val="0"/>
                  <w:marTop w:val="0"/>
                  <w:marBottom w:val="0"/>
                  <w:divBdr>
                    <w:top w:val="none" w:sz="0" w:space="0" w:color="auto"/>
                    <w:left w:val="none" w:sz="0" w:space="0" w:color="auto"/>
                    <w:bottom w:val="none" w:sz="0" w:space="0" w:color="auto"/>
                    <w:right w:val="none" w:sz="0" w:space="0" w:color="auto"/>
                  </w:divBdr>
                  <w:divsChild>
                    <w:div w:id="166254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376696">
      <w:bodyDiv w:val="1"/>
      <w:marLeft w:val="0"/>
      <w:marRight w:val="0"/>
      <w:marTop w:val="0"/>
      <w:marBottom w:val="0"/>
      <w:divBdr>
        <w:top w:val="none" w:sz="0" w:space="0" w:color="auto"/>
        <w:left w:val="none" w:sz="0" w:space="0" w:color="auto"/>
        <w:bottom w:val="none" w:sz="0" w:space="0" w:color="auto"/>
        <w:right w:val="none" w:sz="0" w:space="0" w:color="auto"/>
      </w:divBdr>
    </w:div>
    <w:div w:id="1029994763">
      <w:bodyDiv w:val="1"/>
      <w:marLeft w:val="0"/>
      <w:marRight w:val="0"/>
      <w:marTop w:val="0"/>
      <w:marBottom w:val="0"/>
      <w:divBdr>
        <w:top w:val="none" w:sz="0" w:space="0" w:color="auto"/>
        <w:left w:val="none" w:sz="0" w:space="0" w:color="auto"/>
        <w:bottom w:val="none" w:sz="0" w:space="0" w:color="auto"/>
        <w:right w:val="none" w:sz="0" w:space="0" w:color="auto"/>
      </w:divBdr>
    </w:div>
    <w:div w:id="1042561975">
      <w:bodyDiv w:val="1"/>
      <w:marLeft w:val="0"/>
      <w:marRight w:val="0"/>
      <w:marTop w:val="0"/>
      <w:marBottom w:val="0"/>
      <w:divBdr>
        <w:top w:val="none" w:sz="0" w:space="0" w:color="auto"/>
        <w:left w:val="none" w:sz="0" w:space="0" w:color="auto"/>
        <w:bottom w:val="none" w:sz="0" w:space="0" w:color="auto"/>
        <w:right w:val="none" w:sz="0" w:space="0" w:color="auto"/>
      </w:divBdr>
    </w:div>
    <w:div w:id="1081484726">
      <w:bodyDiv w:val="1"/>
      <w:marLeft w:val="0"/>
      <w:marRight w:val="0"/>
      <w:marTop w:val="0"/>
      <w:marBottom w:val="0"/>
      <w:divBdr>
        <w:top w:val="none" w:sz="0" w:space="0" w:color="auto"/>
        <w:left w:val="none" w:sz="0" w:space="0" w:color="auto"/>
        <w:bottom w:val="none" w:sz="0" w:space="0" w:color="auto"/>
        <w:right w:val="none" w:sz="0" w:space="0" w:color="auto"/>
      </w:divBdr>
      <w:divsChild>
        <w:div w:id="1751123843">
          <w:marLeft w:val="0"/>
          <w:marRight w:val="0"/>
          <w:marTop w:val="0"/>
          <w:marBottom w:val="0"/>
          <w:divBdr>
            <w:top w:val="none" w:sz="0" w:space="0" w:color="auto"/>
            <w:left w:val="none" w:sz="0" w:space="0" w:color="auto"/>
            <w:bottom w:val="none" w:sz="0" w:space="0" w:color="auto"/>
            <w:right w:val="none" w:sz="0" w:space="0" w:color="auto"/>
          </w:divBdr>
          <w:divsChild>
            <w:div w:id="1101876876">
              <w:marLeft w:val="0"/>
              <w:marRight w:val="0"/>
              <w:marTop w:val="0"/>
              <w:marBottom w:val="0"/>
              <w:divBdr>
                <w:top w:val="none" w:sz="0" w:space="0" w:color="auto"/>
                <w:left w:val="none" w:sz="0" w:space="0" w:color="auto"/>
                <w:bottom w:val="none" w:sz="0" w:space="0" w:color="auto"/>
                <w:right w:val="none" w:sz="0" w:space="0" w:color="auto"/>
              </w:divBdr>
              <w:divsChild>
                <w:div w:id="974675513">
                  <w:marLeft w:val="0"/>
                  <w:marRight w:val="0"/>
                  <w:marTop w:val="0"/>
                  <w:marBottom w:val="0"/>
                  <w:divBdr>
                    <w:top w:val="none" w:sz="0" w:space="0" w:color="auto"/>
                    <w:left w:val="none" w:sz="0" w:space="0" w:color="auto"/>
                    <w:bottom w:val="none" w:sz="0" w:space="0" w:color="auto"/>
                    <w:right w:val="none" w:sz="0" w:space="0" w:color="auto"/>
                  </w:divBdr>
                  <w:divsChild>
                    <w:div w:id="47267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0122130">
      <w:bodyDiv w:val="1"/>
      <w:marLeft w:val="0"/>
      <w:marRight w:val="0"/>
      <w:marTop w:val="0"/>
      <w:marBottom w:val="0"/>
      <w:divBdr>
        <w:top w:val="none" w:sz="0" w:space="0" w:color="auto"/>
        <w:left w:val="none" w:sz="0" w:space="0" w:color="auto"/>
        <w:bottom w:val="none" w:sz="0" w:space="0" w:color="auto"/>
        <w:right w:val="none" w:sz="0" w:space="0" w:color="auto"/>
      </w:divBdr>
    </w:div>
    <w:div w:id="1120537301">
      <w:bodyDiv w:val="1"/>
      <w:marLeft w:val="0"/>
      <w:marRight w:val="0"/>
      <w:marTop w:val="0"/>
      <w:marBottom w:val="0"/>
      <w:divBdr>
        <w:top w:val="none" w:sz="0" w:space="0" w:color="auto"/>
        <w:left w:val="none" w:sz="0" w:space="0" w:color="auto"/>
        <w:bottom w:val="none" w:sz="0" w:space="0" w:color="auto"/>
        <w:right w:val="none" w:sz="0" w:space="0" w:color="auto"/>
      </w:divBdr>
      <w:divsChild>
        <w:div w:id="1432554742">
          <w:marLeft w:val="0"/>
          <w:marRight w:val="0"/>
          <w:marTop w:val="0"/>
          <w:marBottom w:val="0"/>
          <w:divBdr>
            <w:top w:val="none" w:sz="0" w:space="0" w:color="auto"/>
            <w:left w:val="none" w:sz="0" w:space="0" w:color="auto"/>
            <w:bottom w:val="none" w:sz="0" w:space="0" w:color="auto"/>
            <w:right w:val="none" w:sz="0" w:space="0" w:color="auto"/>
          </w:divBdr>
          <w:divsChild>
            <w:div w:id="1994599446">
              <w:marLeft w:val="0"/>
              <w:marRight w:val="0"/>
              <w:marTop w:val="0"/>
              <w:marBottom w:val="0"/>
              <w:divBdr>
                <w:top w:val="none" w:sz="0" w:space="0" w:color="auto"/>
                <w:left w:val="none" w:sz="0" w:space="0" w:color="auto"/>
                <w:bottom w:val="none" w:sz="0" w:space="0" w:color="auto"/>
                <w:right w:val="none" w:sz="0" w:space="0" w:color="auto"/>
              </w:divBdr>
              <w:divsChild>
                <w:div w:id="374040546">
                  <w:marLeft w:val="0"/>
                  <w:marRight w:val="0"/>
                  <w:marTop w:val="0"/>
                  <w:marBottom w:val="0"/>
                  <w:divBdr>
                    <w:top w:val="none" w:sz="0" w:space="0" w:color="auto"/>
                    <w:left w:val="none" w:sz="0" w:space="0" w:color="auto"/>
                    <w:bottom w:val="none" w:sz="0" w:space="0" w:color="auto"/>
                    <w:right w:val="none" w:sz="0" w:space="0" w:color="auto"/>
                  </w:divBdr>
                  <w:divsChild>
                    <w:div w:id="107728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610994">
      <w:bodyDiv w:val="1"/>
      <w:marLeft w:val="0"/>
      <w:marRight w:val="0"/>
      <w:marTop w:val="0"/>
      <w:marBottom w:val="0"/>
      <w:divBdr>
        <w:top w:val="none" w:sz="0" w:space="0" w:color="auto"/>
        <w:left w:val="none" w:sz="0" w:space="0" w:color="auto"/>
        <w:bottom w:val="none" w:sz="0" w:space="0" w:color="auto"/>
        <w:right w:val="none" w:sz="0" w:space="0" w:color="auto"/>
      </w:divBdr>
      <w:divsChild>
        <w:div w:id="721252725">
          <w:marLeft w:val="0"/>
          <w:marRight w:val="0"/>
          <w:marTop w:val="0"/>
          <w:marBottom w:val="0"/>
          <w:divBdr>
            <w:top w:val="none" w:sz="0" w:space="0" w:color="auto"/>
            <w:left w:val="none" w:sz="0" w:space="0" w:color="auto"/>
            <w:bottom w:val="none" w:sz="0" w:space="0" w:color="auto"/>
            <w:right w:val="none" w:sz="0" w:space="0" w:color="auto"/>
          </w:divBdr>
          <w:divsChild>
            <w:div w:id="1148326754">
              <w:marLeft w:val="0"/>
              <w:marRight w:val="0"/>
              <w:marTop w:val="0"/>
              <w:marBottom w:val="0"/>
              <w:divBdr>
                <w:top w:val="none" w:sz="0" w:space="0" w:color="auto"/>
                <w:left w:val="none" w:sz="0" w:space="0" w:color="auto"/>
                <w:bottom w:val="none" w:sz="0" w:space="0" w:color="auto"/>
                <w:right w:val="none" w:sz="0" w:space="0" w:color="auto"/>
              </w:divBdr>
              <w:divsChild>
                <w:div w:id="23142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865338">
      <w:bodyDiv w:val="1"/>
      <w:marLeft w:val="0"/>
      <w:marRight w:val="0"/>
      <w:marTop w:val="0"/>
      <w:marBottom w:val="0"/>
      <w:divBdr>
        <w:top w:val="none" w:sz="0" w:space="0" w:color="auto"/>
        <w:left w:val="none" w:sz="0" w:space="0" w:color="auto"/>
        <w:bottom w:val="none" w:sz="0" w:space="0" w:color="auto"/>
        <w:right w:val="none" w:sz="0" w:space="0" w:color="auto"/>
      </w:divBdr>
    </w:div>
    <w:div w:id="1151404395">
      <w:bodyDiv w:val="1"/>
      <w:marLeft w:val="0"/>
      <w:marRight w:val="0"/>
      <w:marTop w:val="0"/>
      <w:marBottom w:val="0"/>
      <w:divBdr>
        <w:top w:val="none" w:sz="0" w:space="0" w:color="auto"/>
        <w:left w:val="none" w:sz="0" w:space="0" w:color="auto"/>
        <w:bottom w:val="none" w:sz="0" w:space="0" w:color="auto"/>
        <w:right w:val="none" w:sz="0" w:space="0" w:color="auto"/>
      </w:divBdr>
    </w:div>
    <w:div w:id="1181579615">
      <w:bodyDiv w:val="1"/>
      <w:marLeft w:val="0"/>
      <w:marRight w:val="0"/>
      <w:marTop w:val="0"/>
      <w:marBottom w:val="0"/>
      <w:divBdr>
        <w:top w:val="none" w:sz="0" w:space="0" w:color="auto"/>
        <w:left w:val="none" w:sz="0" w:space="0" w:color="auto"/>
        <w:bottom w:val="none" w:sz="0" w:space="0" w:color="auto"/>
        <w:right w:val="none" w:sz="0" w:space="0" w:color="auto"/>
      </w:divBdr>
      <w:divsChild>
        <w:div w:id="1314144356">
          <w:marLeft w:val="0"/>
          <w:marRight w:val="0"/>
          <w:marTop w:val="0"/>
          <w:marBottom w:val="0"/>
          <w:divBdr>
            <w:top w:val="none" w:sz="0" w:space="0" w:color="auto"/>
            <w:left w:val="none" w:sz="0" w:space="0" w:color="auto"/>
            <w:bottom w:val="none" w:sz="0" w:space="0" w:color="auto"/>
            <w:right w:val="none" w:sz="0" w:space="0" w:color="auto"/>
          </w:divBdr>
          <w:divsChild>
            <w:div w:id="1340039941">
              <w:marLeft w:val="0"/>
              <w:marRight w:val="0"/>
              <w:marTop w:val="0"/>
              <w:marBottom w:val="0"/>
              <w:divBdr>
                <w:top w:val="none" w:sz="0" w:space="0" w:color="auto"/>
                <w:left w:val="none" w:sz="0" w:space="0" w:color="auto"/>
                <w:bottom w:val="none" w:sz="0" w:space="0" w:color="auto"/>
                <w:right w:val="none" w:sz="0" w:space="0" w:color="auto"/>
              </w:divBdr>
              <w:divsChild>
                <w:div w:id="1806122828">
                  <w:marLeft w:val="0"/>
                  <w:marRight w:val="0"/>
                  <w:marTop w:val="0"/>
                  <w:marBottom w:val="0"/>
                  <w:divBdr>
                    <w:top w:val="none" w:sz="0" w:space="0" w:color="auto"/>
                    <w:left w:val="none" w:sz="0" w:space="0" w:color="auto"/>
                    <w:bottom w:val="none" w:sz="0" w:space="0" w:color="auto"/>
                    <w:right w:val="none" w:sz="0" w:space="0" w:color="auto"/>
                  </w:divBdr>
                  <w:divsChild>
                    <w:div w:id="208398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624607">
      <w:bodyDiv w:val="1"/>
      <w:marLeft w:val="0"/>
      <w:marRight w:val="0"/>
      <w:marTop w:val="0"/>
      <w:marBottom w:val="0"/>
      <w:divBdr>
        <w:top w:val="none" w:sz="0" w:space="0" w:color="auto"/>
        <w:left w:val="none" w:sz="0" w:space="0" w:color="auto"/>
        <w:bottom w:val="none" w:sz="0" w:space="0" w:color="auto"/>
        <w:right w:val="none" w:sz="0" w:space="0" w:color="auto"/>
      </w:divBdr>
      <w:divsChild>
        <w:div w:id="794719302">
          <w:marLeft w:val="0"/>
          <w:marRight w:val="0"/>
          <w:marTop w:val="0"/>
          <w:marBottom w:val="0"/>
          <w:divBdr>
            <w:top w:val="none" w:sz="0" w:space="0" w:color="auto"/>
            <w:left w:val="none" w:sz="0" w:space="0" w:color="auto"/>
            <w:bottom w:val="none" w:sz="0" w:space="0" w:color="auto"/>
            <w:right w:val="none" w:sz="0" w:space="0" w:color="auto"/>
          </w:divBdr>
          <w:divsChild>
            <w:div w:id="2007247733">
              <w:marLeft w:val="0"/>
              <w:marRight w:val="0"/>
              <w:marTop w:val="0"/>
              <w:marBottom w:val="0"/>
              <w:divBdr>
                <w:top w:val="none" w:sz="0" w:space="0" w:color="auto"/>
                <w:left w:val="none" w:sz="0" w:space="0" w:color="auto"/>
                <w:bottom w:val="none" w:sz="0" w:space="0" w:color="auto"/>
                <w:right w:val="none" w:sz="0" w:space="0" w:color="auto"/>
              </w:divBdr>
              <w:divsChild>
                <w:div w:id="278419452">
                  <w:marLeft w:val="0"/>
                  <w:marRight w:val="0"/>
                  <w:marTop w:val="0"/>
                  <w:marBottom w:val="0"/>
                  <w:divBdr>
                    <w:top w:val="none" w:sz="0" w:space="0" w:color="auto"/>
                    <w:left w:val="none" w:sz="0" w:space="0" w:color="auto"/>
                    <w:bottom w:val="none" w:sz="0" w:space="0" w:color="auto"/>
                    <w:right w:val="none" w:sz="0" w:space="0" w:color="auto"/>
                  </w:divBdr>
                  <w:divsChild>
                    <w:div w:id="132678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5482460">
      <w:bodyDiv w:val="1"/>
      <w:marLeft w:val="0"/>
      <w:marRight w:val="0"/>
      <w:marTop w:val="0"/>
      <w:marBottom w:val="0"/>
      <w:divBdr>
        <w:top w:val="none" w:sz="0" w:space="0" w:color="auto"/>
        <w:left w:val="none" w:sz="0" w:space="0" w:color="auto"/>
        <w:bottom w:val="none" w:sz="0" w:space="0" w:color="auto"/>
        <w:right w:val="none" w:sz="0" w:space="0" w:color="auto"/>
      </w:divBdr>
    </w:div>
    <w:div w:id="1236935117">
      <w:bodyDiv w:val="1"/>
      <w:marLeft w:val="0"/>
      <w:marRight w:val="0"/>
      <w:marTop w:val="0"/>
      <w:marBottom w:val="0"/>
      <w:divBdr>
        <w:top w:val="none" w:sz="0" w:space="0" w:color="auto"/>
        <w:left w:val="none" w:sz="0" w:space="0" w:color="auto"/>
        <w:bottom w:val="none" w:sz="0" w:space="0" w:color="auto"/>
        <w:right w:val="none" w:sz="0" w:space="0" w:color="auto"/>
      </w:divBdr>
      <w:divsChild>
        <w:div w:id="796532880">
          <w:marLeft w:val="0"/>
          <w:marRight w:val="0"/>
          <w:marTop w:val="0"/>
          <w:marBottom w:val="0"/>
          <w:divBdr>
            <w:top w:val="none" w:sz="0" w:space="0" w:color="auto"/>
            <w:left w:val="none" w:sz="0" w:space="0" w:color="auto"/>
            <w:bottom w:val="none" w:sz="0" w:space="0" w:color="auto"/>
            <w:right w:val="none" w:sz="0" w:space="0" w:color="auto"/>
          </w:divBdr>
          <w:divsChild>
            <w:div w:id="1003510535">
              <w:marLeft w:val="0"/>
              <w:marRight w:val="0"/>
              <w:marTop w:val="0"/>
              <w:marBottom w:val="0"/>
              <w:divBdr>
                <w:top w:val="none" w:sz="0" w:space="0" w:color="auto"/>
                <w:left w:val="none" w:sz="0" w:space="0" w:color="auto"/>
                <w:bottom w:val="none" w:sz="0" w:space="0" w:color="auto"/>
                <w:right w:val="none" w:sz="0" w:space="0" w:color="auto"/>
              </w:divBdr>
              <w:divsChild>
                <w:div w:id="1077440942">
                  <w:marLeft w:val="0"/>
                  <w:marRight w:val="0"/>
                  <w:marTop w:val="0"/>
                  <w:marBottom w:val="0"/>
                  <w:divBdr>
                    <w:top w:val="none" w:sz="0" w:space="0" w:color="auto"/>
                    <w:left w:val="none" w:sz="0" w:space="0" w:color="auto"/>
                    <w:bottom w:val="none" w:sz="0" w:space="0" w:color="auto"/>
                    <w:right w:val="none" w:sz="0" w:space="0" w:color="auto"/>
                  </w:divBdr>
                  <w:divsChild>
                    <w:div w:id="193366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713102">
      <w:bodyDiv w:val="1"/>
      <w:marLeft w:val="0"/>
      <w:marRight w:val="0"/>
      <w:marTop w:val="0"/>
      <w:marBottom w:val="0"/>
      <w:divBdr>
        <w:top w:val="none" w:sz="0" w:space="0" w:color="auto"/>
        <w:left w:val="none" w:sz="0" w:space="0" w:color="auto"/>
        <w:bottom w:val="none" w:sz="0" w:space="0" w:color="auto"/>
        <w:right w:val="none" w:sz="0" w:space="0" w:color="auto"/>
      </w:divBdr>
      <w:divsChild>
        <w:div w:id="2138596454">
          <w:marLeft w:val="0"/>
          <w:marRight w:val="0"/>
          <w:marTop w:val="0"/>
          <w:marBottom w:val="0"/>
          <w:divBdr>
            <w:top w:val="none" w:sz="0" w:space="0" w:color="auto"/>
            <w:left w:val="none" w:sz="0" w:space="0" w:color="auto"/>
            <w:bottom w:val="none" w:sz="0" w:space="0" w:color="auto"/>
            <w:right w:val="none" w:sz="0" w:space="0" w:color="auto"/>
          </w:divBdr>
          <w:divsChild>
            <w:div w:id="930550034">
              <w:marLeft w:val="0"/>
              <w:marRight w:val="0"/>
              <w:marTop w:val="0"/>
              <w:marBottom w:val="0"/>
              <w:divBdr>
                <w:top w:val="none" w:sz="0" w:space="0" w:color="auto"/>
                <w:left w:val="none" w:sz="0" w:space="0" w:color="auto"/>
                <w:bottom w:val="none" w:sz="0" w:space="0" w:color="auto"/>
                <w:right w:val="none" w:sz="0" w:space="0" w:color="auto"/>
              </w:divBdr>
              <w:divsChild>
                <w:div w:id="31702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000409">
      <w:bodyDiv w:val="1"/>
      <w:marLeft w:val="0"/>
      <w:marRight w:val="0"/>
      <w:marTop w:val="0"/>
      <w:marBottom w:val="0"/>
      <w:divBdr>
        <w:top w:val="none" w:sz="0" w:space="0" w:color="auto"/>
        <w:left w:val="none" w:sz="0" w:space="0" w:color="auto"/>
        <w:bottom w:val="none" w:sz="0" w:space="0" w:color="auto"/>
        <w:right w:val="none" w:sz="0" w:space="0" w:color="auto"/>
      </w:divBdr>
      <w:divsChild>
        <w:div w:id="1147624773">
          <w:marLeft w:val="0"/>
          <w:marRight w:val="0"/>
          <w:marTop w:val="0"/>
          <w:marBottom w:val="0"/>
          <w:divBdr>
            <w:top w:val="none" w:sz="0" w:space="0" w:color="auto"/>
            <w:left w:val="none" w:sz="0" w:space="0" w:color="auto"/>
            <w:bottom w:val="none" w:sz="0" w:space="0" w:color="auto"/>
            <w:right w:val="none" w:sz="0" w:space="0" w:color="auto"/>
          </w:divBdr>
          <w:divsChild>
            <w:div w:id="1130711981">
              <w:marLeft w:val="0"/>
              <w:marRight w:val="0"/>
              <w:marTop w:val="0"/>
              <w:marBottom w:val="0"/>
              <w:divBdr>
                <w:top w:val="none" w:sz="0" w:space="0" w:color="auto"/>
                <w:left w:val="none" w:sz="0" w:space="0" w:color="auto"/>
                <w:bottom w:val="none" w:sz="0" w:space="0" w:color="auto"/>
                <w:right w:val="none" w:sz="0" w:space="0" w:color="auto"/>
              </w:divBdr>
              <w:divsChild>
                <w:div w:id="1219515386">
                  <w:marLeft w:val="0"/>
                  <w:marRight w:val="0"/>
                  <w:marTop w:val="0"/>
                  <w:marBottom w:val="0"/>
                  <w:divBdr>
                    <w:top w:val="none" w:sz="0" w:space="0" w:color="auto"/>
                    <w:left w:val="none" w:sz="0" w:space="0" w:color="auto"/>
                    <w:bottom w:val="none" w:sz="0" w:space="0" w:color="auto"/>
                    <w:right w:val="none" w:sz="0" w:space="0" w:color="auto"/>
                  </w:divBdr>
                  <w:divsChild>
                    <w:div w:id="34695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257820">
      <w:bodyDiv w:val="1"/>
      <w:marLeft w:val="0"/>
      <w:marRight w:val="0"/>
      <w:marTop w:val="0"/>
      <w:marBottom w:val="0"/>
      <w:divBdr>
        <w:top w:val="none" w:sz="0" w:space="0" w:color="auto"/>
        <w:left w:val="none" w:sz="0" w:space="0" w:color="auto"/>
        <w:bottom w:val="none" w:sz="0" w:space="0" w:color="auto"/>
        <w:right w:val="none" w:sz="0" w:space="0" w:color="auto"/>
      </w:divBdr>
      <w:divsChild>
        <w:div w:id="2057854885">
          <w:marLeft w:val="0"/>
          <w:marRight w:val="0"/>
          <w:marTop w:val="0"/>
          <w:marBottom w:val="0"/>
          <w:divBdr>
            <w:top w:val="none" w:sz="0" w:space="0" w:color="auto"/>
            <w:left w:val="none" w:sz="0" w:space="0" w:color="auto"/>
            <w:bottom w:val="none" w:sz="0" w:space="0" w:color="auto"/>
            <w:right w:val="none" w:sz="0" w:space="0" w:color="auto"/>
          </w:divBdr>
          <w:divsChild>
            <w:div w:id="22827290">
              <w:marLeft w:val="0"/>
              <w:marRight w:val="0"/>
              <w:marTop w:val="0"/>
              <w:marBottom w:val="0"/>
              <w:divBdr>
                <w:top w:val="none" w:sz="0" w:space="0" w:color="auto"/>
                <w:left w:val="none" w:sz="0" w:space="0" w:color="auto"/>
                <w:bottom w:val="none" w:sz="0" w:space="0" w:color="auto"/>
                <w:right w:val="none" w:sz="0" w:space="0" w:color="auto"/>
              </w:divBdr>
              <w:divsChild>
                <w:div w:id="511724806">
                  <w:marLeft w:val="0"/>
                  <w:marRight w:val="0"/>
                  <w:marTop w:val="0"/>
                  <w:marBottom w:val="0"/>
                  <w:divBdr>
                    <w:top w:val="none" w:sz="0" w:space="0" w:color="auto"/>
                    <w:left w:val="none" w:sz="0" w:space="0" w:color="auto"/>
                    <w:bottom w:val="none" w:sz="0" w:space="0" w:color="auto"/>
                    <w:right w:val="none" w:sz="0" w:space="0" w:color="auto"/>
                  </w:divBdr>
                  <w:divsChild>
                    <w:div w:id="184427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376225">
      <w:bodyDiv w:val="1"/>
      <w:marLeft w:val="0"/>
      <w:marRight w:val="0"/>
      <w:marTop w:val="0"/>
      <w:marBottom w:val="0"/>
      <w:divBdr>
        <w:top w:val="none" w:sz="0" w:space="0" w:color="auto"/>
        <w:left w:val="none" w:sz="0" w:space="0" w:color="auto"/>
        <w:bottom w:val="none" w:sz="0" w:space="0" w:color="auto"/>
        <w:right w:val="none" w:sz="0" w:space="0" w:color="auto"/>
      </w:divBdr>
    </w:div>
    <w:div w:id="1340741953">
      <w:bodyDiv w:val="1"/>
      <w:marLeft w:val="0"/>
      <w:marRight w:val="0"/>
      <w:marTop w:val="0"/>
      <w:marBottom w:val="0"/>
      <w:divBdr>
        <w:top w:val="none" w:sz="0" w:space="0" w:color="auto"/>
        <w:left w:val="none" w:sz="0" w:space="0" w:color="auto"/>
        <w:bottom w:val="none" w:sz="0" w:space="0" w:color="auto"/>
        <w:right w:val="none" w:sz="0" w:space="0" w:color="auto"/>
      </w:divBdr>
      <w:divsChild>
        <w:div w:id="705176307">
          <w:marLeft w:val="0"/>
          <w:marRight w:val="0"/>
          <w:marTop w:val="0"/>
          <w:marBottom w:val="0"/>
          <w:divBdr>
            <w:top w:val="none" w:sz="0" w:space="0" w:color="auto"/>
            <w:left w:val="none" w:sz="0" w:space="0" w:color="auto"/>
            <w:bottom w:val="none" w:sz="0" w:space="0" w:color="auto"/>
            <w:right w:val="none" w:sz="0" w:space="0" w:color="auto"/>
          </w:divBdr>
          <w:divsChild>
            <w:div w:id="1068650983">
              <w:marLeft w:val="0"/>
              <w:marRight w:val="0"/>
              <w:marTop w:val="0"/>
              <w:marBottom w:val="0"/>
              <w:divBdr>
                <w:top w:val="none" w:sz="0" w:space="0" w:color="auto"/>
                <w:left w:val="none" w:sz="0" w:space="0" w:color="auto"/>
                <w:bottom w:val="none" w:sz="0" w:space="0" w:color="auto"/>
                <w:right w:val="none" w:sz="0" w:space="0" w:color="auto"/>
              </w:divBdr>
              <w:divsChild>
                <w:div w:id="726615030">
                  <w:marLeft w:val="0"/>
                  <w:marRight w:val="0"/>
                  <w:marTop w:val="0"/>
                  <w:marBottom w:val="0"/>
                  <w:divBdr>
                    <w:top w:val="none" w:sz="0" w:space="0" w:color="auto"/>
                    <w:left w:val="none" w:sz="0" w:space="0" w:color="auto"/>
                    <w:bottom w:val="none" w:sz="0" w:space="0" w:color="auto"/>
                    <w:right w:val="none" w:sz="0" w:space="0" w:color="auto"/>
                  </w:divBdr>
                  <w:divsChild>
                    <w:div w:id="112731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6205647">
      <w:bodyDiv w:val="1"/>
      <w:marLeft w:val="0"/>
      <w:marRight w:val="0"/>
      <w:marTop w:val="0"/>
      <w:marBottom w:val="0"/>
      <w:divBdr>
        <w:top w:val="none" w:sz="0" w:space="0" w:color="auto"/>
        <w:left w:val="none" w:sz="0" w:space="0" w:color="auto"/>
        <w:bottom w:val="none" w:sz="0" w:space="0" w:color="auto"/>
        <w:right w:val="none" w:sz="0" w:space="0" w:color="auto"/>
      </w:divBdr>
      <w:divsChild>
        <w:div w:id="1749695184">
          <w:marLeft w:val="0"/>
          <w:marRight w:val="0"/>
          <w:marTop w:val="0"/>
          <w:marBottom w:val="0"/>
          <w:divBdr>
            <w:top w:val="none" w:sz="0" w:space="0" w:color="auto"/>
            <w:left w:val="none" w:sz="0" w:space="0" w:color="auto"/>
            <w:bottom w:val="none" w:sz="0" w:space="0" w:color="auto"/>
            <w:right w:val="none" w:sz="0" w:space="0" w:color="auto"/>
          </w:divBdr>
          <w:divsChild>
            <w:div w:id="2053462585">
              <w:marLeft w:val="0"/>
              <w:marRight w:val="0"/>
              <w:marTop w:val="0"/>
              <w:marBottom w:val="0"/>
              <w:divBdr>
                <w:top w:val="none" w:sz="0" w:space="0" w:color="auto"/>
                <w:left w:val="none" w:sz="0" w:space="0" w:color="auto"/>
                <w:bottom w:val="none" w:sz="0" w:space="0" w:color="auto"/>
                <w:right w:val="none" w:sz="0" w:space="0" w:color="auto"/>
              </w:divBdr>
              <w:divsChild>
                <w:div w:id="2039037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716547">
      <w:bodyDiv w:val="1"/>
      <w:marLeft w:val="0"/>
      <w:marRight w:val="0"/>
      <w:marTop w:val="0"/>
      <w:marBottom w:val="0"/>
      <w:divBdr>
        <w:top w:val="none" w:sz="0" w:space="0" w:color="auto"/>
        <w:left w:val="none" w:sz="0" w:space="0" w:color="auto"/>
        <w:bottom w:val="none" w:sz="0" w:space="0" w:color="auto"/>
        <w:right w:val="none" w:sz="0" w:space="0" w:color="auto"/>
      </w:divBdr>
      <w:divsChild>
        <w:div w:id="350575661">
          <w:marLeft w:val="0"/>
          <w:marRight w:val="0"/>
          <w:marTop w:val="0"/>
          <w:marBottom w:val="0"/>
          <w:divBdr>
            <w:top w:val="none" w:sz="0" w:space="0" w:color="auto"/>
            <w:left w:val="none" w:sz="0" w:space="0" w:color="auto"/>
            <w:bottom w:val="none" w:sz="0" w:space="0" w:color="auto"/>
            <w:right w:val="none" w:sz="0" w:space="0" w:color="auto"/>
          </w:divBdr>
          <w:divsChild>
            <w:div w:id="734550166">
              <w:marLeft w:val="0"/>
              <w:marRight w:val="0"/>
              <w:marTop w:val="0"/>
              <w:marBottom w:val="0"/>
              <w:divBdr>
                <w:top w:val="none" w:sz="0" w:space="0" w:color="auto"/>
                <w:left w:val="none" w:sz="0" w:space="0" w:color="auto"/>
                <w:bottom w:val="none" w:sz="0" w:space="0" w:color="auto"/>
                <w:right w:val="none" w:sz="0" w:space="0" w:color="auto"/>
              </w:divBdr>
              <w:divsChild>
                <w:div w:id="90387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897604">
      <w:bodyDiv w:val="1"/>
      <w:marLeft w:val="0"/>
      <w:marRight w:val="0"/>
      <w:marTop w:val="0"/>
      <w:marBottom w:val="0"/>
      <w:divBdr>
        <w:top w:val="none" w:sz="0" w:space="0" w:color="auto"/>
        <w:left w:val="none" w:sz="0" w:space="0" w:color="auto"/>
        <w:bottom w:val="none" w:sz="0" w:space="0" w:color="auto"/>
        <w:right w:val="none" w:sz="0" w:space="0" w:color="auto"/>
      </w:divBdr>
    </w:div>
    <w:div w:id="1386415042">
      <w:bodyDiv w:val="1"/>
      <w:marLeft w:val="0"/>
      <w:marRight w:val="0"/>
      <w:marTop w:val="0"/>
      <w:marBottom w:val="0"/>
      <w:divBdr>
        <w:top w:val="none" w:sz="0" w:space="0" w:color="auto"/>
        <w:left w:val="none" w:sz="0" w:space="0" w:color="auto"/>
        <w:bottom w:val="none" w:sz="0" w:space="0" w:color="auto"/>
        <w:right w:val="none" w:sz="0" w:space="0" w:color="auto"/>
      </w:divBdr>
    </w:div>
    <w:div w:id="1476264279">
      <w:bodyDiv w:val="1"/>
      <w:marLeft w:val="0"/>
      <w:marRight w:val="0"/>
      <w:marTop w:val="0"/>
      <w:marBottom w:val="0"/>
      <w:divBdr>
        <w:top w:val="none" w:sz="0" w:space="0" w:color="auto"/>
        <w:left w:val="none" w:sz="0" w:space="0" w:color="auto"/>
        <w:bottom w:val="none" w:sz="0" w:space="0" w:color="auto"/>
        <w:right w:val="none" w:sz="0" w:space="0" w:color="auto"/>
      </w:divBdr>
      <w:divsChild>
        <w:div w:id="36126673">
          <w:marLeft w:val="0"/>
          <w:marRight w:val="0"/>
          <w:marTop w:val="0"/>
          <w:marBottom w:val="0"/>
          <w:divBdr>
            <w:top w:val="none" w:sz="0" w:space="0" w:color="auto"/>
            <w:left w:val="none" w:sz="0" w:space="0" w:color="auto"/>
            <w:bottom w:val="none" w:sz="0" w:space="0" w:color="auto"/>
            <w:right w:val="none" w:sz="0" w:space="0" w:color="auto"/>
          </w:divBdr>
          <w:divsChild>
            <w:div w:id="626278304">
              <w:marLeft w:val="0"/>
              <w:marRight w:val="0"/>
              <w:marTop w:val="0"/>
              <w:marBottom w:val="0"/>
              <w:divBdr>
                <w:top w:val="none" w:sz="0" w:space="0" w:color="auto"/>
                <w:left w:val="none" w:sz="0" w:space="0" w:color="auto"/>
                <w:bottom w:val="none" w:sz="0" w:space="0" w:color="auto"/>
                <w:right w:val="none" w:sz="0" w:space="0" w:color="auto"/>
              </w:divBdr>
              <w:divsChild>
                <w:div w:id="83692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348401">
      <w:bodyDiv w:val="1"/>
      <w:marLeft w:val="0"/>
      <w:marRight w:val="0"/>
      <w:marTop w:val="0"/>
      <w:marBottom w:val="0"/>
      <w:divBdr>
        <w:top w:val="none" w:sz="0" w:space="0" w:color="auto"/>
        <w:left w:val="none" w:sz="0" w:space="0" w:color="auto"/>
        <w:bottom w:val="none" w:sz="0" w:space="0" w:color="auto"/>
        <w:right w:val="none" w:sz="0" w:space="0" w:color="auto"/>
      </w:divBdr>
    </w:div>
    <w:div w:id="1546989385">
      <w:bodyDiv w:val="1"/>
      <w:marLeft w:val="0"/>
      <w:marRight w:val="0"/>
      <w:marTop w:val="0"/>
      <w:marBottom w:val="0"/>
      <w:divBdr>
        <w:top w:val="none" w:sz="0" w:space="0" w:color="auto"/>
        <w:left w:val="none" w:sz="0" w:space="0" w:color="auto"/>
        <w:bottom w:val="none" w:sz="0" w:space="0" w:color="auto"/>
        <w:right w:val="none" w:sz="0" w:space="0" w:color="auto"/>
      </w:divBdr>
    </w:div>
    <w:div w:id="1556744348">
      <w:bodyDiv w:val="1"/>
      <w:marLeft w:val="0"/>
      <w:marRight w:val="0"/>
      <w:marTop w:val="0"/>
      <w:marBottom w:val="0"/>
      <w:divBdr>
        <w:top w:val="none" w:sz="0" w:space="0" w:color="auto"/>
        <w:left w:val="none" w:sz="0" w:space="0" w:color="auto"/>
        <w:bottom w:val="none" w:sz="0" w:space="0" w:color="auto"/>
        <w:right w:val="none" w:sz="0" w:space="0" w:color="auto"/>
      </w:divBdr>
    </w:div>
    <w:div w:id="1559510366">
      <w:bodyDiv w:val="1"/>
      <w:marLeft w:val="0"/>
      <w:marRight w:val="0"/>
      <w:marTop w:val="0"/>
      <w:marBottom w:val="0"/>
      <w:divBdr>
        <w:top w:val="none" w:sz="0" w:space="0" w:color="auto"/>
        <w:left w:val="none" w:sz="0" w:space="0" w:color="auto"/>
        <w:bottom w:val="none" w:sz="0" w:space="0" w:color="auto"/>
        <w:right w:val="none" w:sz="0" w:space="0" w:color="auto"/>
      </w:divBdr>
    </w:div>
    <w:div w:id="1613704496">
      <w:bodyDiv w:val="1"/>
      <w:marLeft w:val="0"/>
      <w:marRight w:val="0"/>
      <w:marTop w:val="0"/>
      <w:marBottom w:val="0"/>
      <w:divBdr>
        <w:top w:val="none" w:sz="0" w:space="0" w:color="auto"/>
        <w:left w:val="none" w:sz="0" w:space="0" w:color="auto"/>
        <w:bottom w:val="none" w:sz="0" w:space="0" w:color="auto"/>
        <w:right w:val="none" w:sz="0" w:space="0" w:color="auto"/>
      </w:divBdr>
    </w:div>
    <w:div w:id="1624144914">
      <w:bodyDiv w:val="1"/>
      <w:marLeft w:val="0"/>
      <w:marRight w:val="0"/>
      <w:marTop w:val="0"/>
      <w:marBottom w:val="0"/>
      <w:divBdr>
        <w:top w:val="none" w:sz="0" w:space="0" w:color="auto"/>
        <w:left w:val="none" w:sz="0" w:space="0" w:color="auto"/>
        <w:bottom w:val="none" w:sz="0" w:space="0" w:color="auto"/>
        <w:right w:val="none" w:sz="0" w:space="0" w:color="auto"/>
      </w:divBdr>
    </w:div>
    <w:div w:id="1670907318">
      <w:bodyDiv w:val="1"/>
      <w:marLeft w:val="0"/>
      <w:marRight w:val="0"/>
      <w:marTop w:val="0"/>
      <w:marBottom w:val="0"/>
      <w:divBdr>
        <w:top w:val="none" w:sz="0" w:space="0" w:color="auto"/>
        <w:left w:val="none" w:sz="0" w:space="0" w:color="auto"/>
        <w:bottom w:val="none" w:sz="0" w:space="0" w:color="auto"/>
        <w:right w:val="none" w:sz="0" w:space="0" w:color="auto"/>
      </w:divBdr>
      <w:divsChild>
        <w:div w:id="1882980444">
          <w:marLeft w:val="0"/>
          <w:marRight w:val="0"/>
          <w:marTop w:val="0"/>
          <w:marBottom w:val="0"/>
          <w:divBdr>
            <w:top w:val="none" w:sz="0" w:space="0" w:color="auto"/>
            <w:left w:val="none" w:sz="0" w:space="0" w:color="auto"/>
            <w:bottom w:val="none" w:sz="0" w:space="0" w:color="auto"/>
            <w:right w:val="none" w:sz="0" w:space="0" w:color="auto"/>
          </w:divBdr>
          <w:divsChild>
            <w:div w:id="1557399152">
              <w:marLeft w:val="0"/>
              <w:marRight w:val="0"/>
              <w:marTop w:val="0"/>
              <w:marBottom w:val="0"/>
              <w:divBdr>
                <w:top w:val="none" w:sz="0" w:space="0" w:color="auto"/>
                <w:left w:val="none" w:sz="0" w:space="0" w:color="auto"/>
                <w:bottom w:val="none" w:sz="0" w:space="0" w:color="auto"/>
                <w:right w:val="none" w:sz="0" w:space="0" w:color="auto"/>
              </w:divBdr>
              <w:divsChild>
                <w:div w:id="1241912137">
                  <w:marLeft w:val="0"/>
                  <w:marRight w:val="0"/>
                  <w:marTop w:val="0"/>
                  <w:marBottom w:val="0"/>
                  <w:divBdr>
                    <w:top w:val="none" w:sz="0" w:space="0" w:color="auto"/>
                    <w:left w:val="none" w:sz="0" w:space="0" w:color="auto"/>
                    <w:bottom w:val="none" w:sz="0" w:space="0" w:color="auto"/>
                    <w:right w:val="none" w:sz="0" w:space="0" w:color="auto"/>
                  </w:divBdr>
                  <w:divsChild>
                    <w:div w:id="209998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3551613">
      <w:bodyDiv w:val="1"/>
      <w:marLeft w:val="0"/>
      <w:marRight w:val="0"/>
      <w:marTop w:val="0"/>
      <w:marBottom w:val="0"/>
      <w:divBdr>
        <w:top w:val="none" w:sz="0" w:space="0" w:color="auto"/>
        <w:left w:val="none" w:sz="0" w:space="0" w:color="auto"/>
        <w:bottom w:val="none" w:sz="0" w:space="0" w:color="auto"/>
        <w:right w:val="none" w:sz="0" w:space="0" w:color="auto"/>
      </w:divBdr>
    </w:div>
    <w:div w:id="1720087938">
      <w:bodyDiv w:val="1"/>
      <w:marLeft w:val="0"/>
      <w:marRight w:val="0"/>
      <w:marTop w:val="0"/>
      <w:marBottom w:val="0"/>
      <w:divBdr>
        <w:top w:val="none" w:sz="0" w:space="0" w:color="auto"/>
        <w:left w:val="none" w:sz="0" w:space="0" w:color="auto"/>
        <w:bottom w:val="none" w:sz="0" w:space="0" w:color="auto"/>
        <w:right w:val="none" w:sz="0" w:space="0" w:color="auto"/>
      </w:divBdr>
      <w:divsChild>
        <w:div w:id="1653408807">
          <w:marLeft w:val="0"/>
          <w:marRight w:val="0"/>
          <w:marTop w:val="0"/>
          <w:marBottom w:val="0"/>
          <w:divBdr>
            <w:top w:val="none" w:sz="0" w:space="0" w:color="auto"/>
            <w:left w:val="none" w:sz="0" w:space="0" w:color="auto"/>
            <w:bottom w:val="none" w:sz="0" w:space="0" w:color="auto"/>
            <w:right w:val="none" w:sz="0" w:space="0" w:color="auto"/>
          </w:divBdr>
          <w:divsChild>
            <w:div w:id="1367944408">
              <w:marLeft w:val="0"/>
              <w:marRight w:val="0"/>
              <w:marTop w:val="0"/>
              <w:marBottom w:val="0"/>
              <w:divBdr>
                <w:top w:val="none" w:sz="0" w:space="0" w:color="auto"/>
                <w:left w:val="none" w:sz="0" w:space="0" w:color="auto"/>
                <w:bottom w:val="none" w:sz="0" w:space="0" w:color="auto"/>
                <w:right w:val="none" w:sz="0" w:space="0" w:color="auto"/>
              </w:divBdr>
              <w:divsChild>
                <w:div w:id="463012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019889">
      <w:bodyDiv w:val="1"/>
      <w:marLeft w:val="0"/>
      <w:marRight w:val="0"/>
      <w:marTop w:val="0"/>
      <w:marBottom w:val="0"/>
      <w:divBdr>
        <w:top w:val="none" w:sz="0" w:space="0" w:color="auto"/>
        <w:left w:val="none" w:sz="0" w:space="0" w:color="auto"/>
        <w:bottom w:val="none" w:sz="0" w:space="0" w:color="auto"/>
        <w:right w:val="none" w:sz="0" w:space="0" w:color="auto"/>
      </w:divBdr>
      <w:divsChild>
        <w:div w:id="1587151364">
          <w:marLeft w:val="0"/>
          <w:marRight w:val="0"/>
          <w:marTop w:val="0"/>
          <w:marBottom w:val="0"/>
          <w:divBdr>
            <w:top w:val="none" w:sz="0" w:space="0" w:color="auto"/>
            <w:left w:val="none" w:sz="0" w:space="0" w:color="auto"/>
            <w:bottom w:val="none" w:sz="0" w:space="0" w:color="auto"/>
            <w:right w:val="none" w:sz="0" w:space="0" w:color="auto"/>
          </w:divBdr>
          <w:divsChild>
            <w:div w:id="1863476811">
              <w:marLeft w:val="0"/>
              <w:marRight w:val="0"/>
              <w:marTop w:val="0"/>
              <w:marBottom w:val="0"/>
              <w:divBdr>
                <w:top w:val="none" w:sz="0" w:space="0" w:color="auto"/>
                <w:left w:val="none" w:sz="0" w:space="0" w:color="auto"/>
                <w:bottom w:val="none" w:sz="0" w:space="0" w:color="auto"/>
                <w:right w:val="none" w:sz="0" w:space="0" w:color="auto"/>
              </w:divBdr>
              <w:divsChild>
                <w:div w:id="98567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778585">
      <w:bodyDiv w:val="1"/>
      <w:marLeft w:val="0"/>
      <w:marRight w:val="0"/>
      <w:marTop w:val="0"/>
      <w:marBottom w:val="0"/>
      <w:divBdr>
        <w:top w:val="none" w:sz="0" w:space="0" w:color="auto"/>
        <w:left w:val="none" w:sz="0" w:space="0" w:color="auto"/>
        <w:bottom w:val="none" w:sz="0" w:space="0" w:color="auto"/>
        <w:right w:val="none" w:sz="0" w:space="0" w:color="auto"/>
      </w:divBdr>
      <w:divsChild>
        <w:div w:id="1002322230">
          <w:marLeft w:val="0"/>
          <w:marRight w:val="0"/>
          <w:marTop w:val="0"/>
          <w:marBottom w:val="0"/>
          <w:divBdr>
            <w:top w:val="none" w:sz="0" w:space="0" w:color="auto"/>
            <w:left w:val="none" w:sz="0" w:space="0" w:color="auto"/>
            <w:bottom w:val="none" w:sz="0" w:space="0" w:color="auto"/>
            <w:right w:val="none" w:sz="0" w:space="0" w:color="auto"/>
          </w:divBdr>
          <w:divsChild>
            <w:div w:id="1743986735">
              <w:marLeft w:val="0"/>
              <w:marRight w:val="0"/>
              <w:marTop w:val="0"/>
              <w:marBottom w:val="0"/>
              <w:divBdr>
                <w:top w:val="none" w:sz="0" w:space="0" w:color="auto"/>
                <w:left w:val="none" w:sz="0" w:space="0" w:color="auto"/>
                <w:bottom w:val="none" w:sz="0" w:space="0" w:color="auto"/>
                <w:right w:val="none" w:sz="0" w:space="0" w:color="auto"/>
              </w:divBdr>
              <w:divsChild>
                <w:div w:id="969898422">
                  <w:marLeft w:val="0"/>
                  <w:marRight w:val="0"/>
                  <w:marTop w:val="0"/>
                  <w:marBottom w:val="0"/>
                  <w:divBdr>
                    <w:top w:val="none" w:sz="0" w:space="0" w:color="auto"/>
                    <w:left w:val="none" w:sz="0" w:space="0" w:color="auto"/>
                    <w:bottom w:val="none" w:sz="0" w:space="0" w:color="auto"/>
                    <w:right w:val="none" w:sz="0" w:space="0" w:color="auto"/>
                  </w:divBdr>
                  <w:divsChild>
                    <w:div w:id="61618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2023563">
      <w:bodyDiv w:val="1"/>
      <w:marLeft w:val="0"/>
      <w:marRight w:val="0"/>
      <w:marTop w:val="0"/>
      <w:marBottom w:val="0"/>
      <w:divBdr>
        <w:top w:val="none" w:sz="0" w:space="0" w:color="auto"/>
        <w:left w:val="none" w:sz="0" w:space="0" w:color="auto"/>
        <w:bottom w:val="none" w:sz="0" w:space="0" w:color="auto"/>
        <w:right w:val="none" w:sz="0" w:space="0" w:color="auto"/>
      </w:divBdr>
    </w:div>
    <w:div w:id="1784416737">
      <w:bodyDiv w:val="1"/>
      <w:marLeft w:val="0"/>
      <w:marRight w:val="0"/>
      <w:marTop w:val="0"/>
      <w:marBottom w:val="0"/>
      <w:divBdr>
        <w:top w:val="none" w:sz="0" w:space="0" w:color="auto"/>
        <w:left w:val="none" w:sz="0" w:space="0" w:color="auto"/>
        <w:bottom w:val="none" w:sz="0" w:space="0" w:color="auto"/>
        <w:right w:val="none" w:sz="0" w:space="0" w:color="auto"/>
      </w:divBdr>
    </w:div>
    <w:div w:id="1803110534">
      <w:bodyDiv w:val="1"/>
      <w:marLeft w:val="0"/>
      <w:marRight w:val="0"/>
      <w:marTop w:val="0"/>
      <w:marBottom w:val="0"/>
      <w:divBdr>
        <w:top w:val="none" w:sz="0" w:space="0" w:color="auto"/>
        <w:left w:val="none" w:sz="0" w:space="0" w:color="auto"/>
        <w:bottom w:val="none" w:sz="0" w:space="0" w:color="auto"/>
        <w:right w:val="none" w:sz="0" w:space="0" w:color="auto"/>
      </w:divBdr>
    </w:div>
    <w:div w:id="1819496556">
      <w:bodyDiv w:val="1"/>
      <w:marLeft w:val="0"/>
      <w:marRight w:val="0"/>
      <w:marTop w:val="0"/>
      <w:marBottom w:val="0"/>
      <w:divBdr>
        <w:top w:val="none" w:sz="0" w:space="0" w:color="auto"/>
        <w:left w:val="none" w:sz="0" w:space="0" w:color="auto"/>
        <w:bottom w:val="none" w:sz="0" w:space="0" w:color="auto"/>
        <w:right w:val="none" w:sz="0" w:space="0" w:color="auto"/>
      </w:divBdr>
      <w:divsChild>
        <w:div w:id="489951883">
          <w:marLeft w:val="0"/>
          <w:marRight w:val="0"/>
          <w:marTop w:val="0"/>
          <w:marBottom w:val="0"/>
          <w:divBdr>
            <w:top w:val="none" w:sz="0" w:space="0" w:color="auto"/>
            <w:left w:val="none" w:sz="0" w:space="0" w:color="auto"/>
            <w:bottom w:val="none" w:sz="0" w:space="0" w:color="auto"/>
            <w:right w:val="none" w:sz="0" w:space="0" w:color="auto"/>
          </w:divBdr>
          <w:divsChild>
            <w:div w:id="296376594">
              <w:marLeft w:val="0"/>
              <w:marRight w:val="0"/>
              <w:marTop w:val="0"/>
              <w:marBottom w:val="0"/>
              <w:divBdr>
                <w:top w:val="none" w:sz="0" w:space="0" w:color="auto"/>
                <w:left w:val="none" w:sz="0" w:space="0" w:color="auto"/>
                <w:bottom w:val="none" w:sz="0" w:space="0" w:color="auto"/>
                <w:right w:val="none" w:sz="0" w:space="0" w:color="auto"/>
              </w:divBdr>
              <w:divsChild>
                <w:div w:id="270088843">
                  <w:marLeft w:val="0"/>
                  <w:marRight w:val="0"/>
                  <w:marTop w:val="0"/>
                  <w:marBottom w:val="0"/>
                  <w:divBdr>
                    <w:top w:val="none" w:sz="0" w:space="0" w:color="auto"/>
                    <w:left w:val="none" w:sz="0" w:space="0" w:color="auto"/>
                    <w:bottom w:val="none" w:sz="0" w:space="0" w:color="auto"/>
                    <w:right w:val="none" w:sz="0" w:space="0" w:color="auto"/>
                  </w:divBdr>
                  <w:divsChild>
                    <w:div w:id="208988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302224">
      <w:bodyDiv w:val="1"/>
      <w:marLeft w:val="0"/>
      <w:marRight w:val="0"/>
      <w:marTop w:val="0"/>
      <w:marBottom w:val="0"/>
      <w:divBdr>
        <w:top w:val="none" w:sz="0" w:space="0" w:color="auto"/>
        <w:left w:val="none" w:sz="0" w:space="0" w:color="auto"/>
        <w:bottom w:val="none" w:sz="0" w:space="0" w:color="auto"/>
        <w:right w:val="none" w:sz="0" w:space="0" w:color="auto"/>
      </w:divBdr>
      <w:divsChild>
        <w:div w:id="463158773">
          <w:marLeft w:val="0"/>
          <w:marRight w:val="0"/>
          <w:marTop w:val="0"/>
          <w:marBottom w:val="0"/>
          <w:divBdr>
            <w:top w:val="none" w:sz="0" w:space="0" w:color="auto"/>
            <w:left w:val="none" w:sz="0" w:space="0" w:color="auto"/>
            <w:bottom w:val="none" w:sz="0" w:space="0" w:color="auto"/>
            <w:right w:val="none" w:sz="0" w:space="0" w:color="auto"/>
          </w:divBdr>
          <w:divsChild>
            <w:div w:id="492650191">
              <w:marLeft w:val="0"/>
              <w:marRight w:val="0"/>
              <w:marTop w:val="0"/>
              <w:marBottom w:val="0"/>
              <w:divBdr>
                <w:top w:val="none" w:sz="0" w:space="0" w:color="auto"/>
                <w:left w:val="none" w:sz="0" w:space="0" w:color="auto"/>
                <w:bottom w:val="none" w:sz="0" w:space="0" w:color="auto"/>
                <w:right w:val="none" w:sz="0" w:space="0" w:color="auto"/>
              </w:divBdr>
              <w:divsChild>
                <w:div w:id="1601908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839498">
      <w:bodyDiv w:val="1"/>
      <w:marLeft w:val="0"/>
      <w:marRight w:val="0"/>
      <w:marTop w:val="0"/>
      <w:marBottom w:val="0"/>
      <w:divBdr>
        <w:top w:val="none" w:sz="0" w:space="0" w:color="auto"/>
        <w:left w:val="none" w:sz="0" w:space="0" w:color="auto"/>
        <w:bottom w:val="none" w:sz="0" w:space="0" w:color="auto"/>
        <w:right w:val="none" w:sz="0" w:space="0" w:color="auto"/>
      </w:divBdr>
    </w:div>
    <w:div w:id="1891989229">
      <w:bodyDiv w:val="1"/>
      <w:marLeft w:val="0"/>
      <w:marRight w:val="0"/>
      <w:marTop w:val="0"/>
      <w:marBottom w:val="0"/>
      <w:divBdr>
        <w:top w:val="none" w:sz="0" w:space="0" w:color="auto"/>
        <w:left w:val="none" w:sz="0" w:space="0" w:color="auto"/>
        <w:bottom w:val="none" w:sz="0" w:space="0" w:color="auto"/>
        <w:right w:val="none" w:sz="0" w:space="0" w:color="auto"/>
      </w:divBdr>
      <w:divsChild>
        <w:div w:id="2113282343">
          <w:marLeft w:val="0"/>
          <w:marRight w:val="0"/>
          <w:marTop w:val="0"/>
          <w:marBottom w:val="0"/>
          <w:divBdr>
            <w:top w:val="none" w:sz="0" w:space="0" w:color="auto"/>
            <w:left w:val="none" w:sz="0" w:space="0" w:color="auto"/>
            <w:bottom w:val="none" w:sz="0" w:space="0" w:color="auto"/>
            <w:right w:val="none" w:sz="0" w:space="0" w:color="auto"/>
          </w:divBdr>
          <w:divsChild>
            <w:div w:id="449669160">
              <w:marLeft w:val="0"/>
              <w:marRight w:val="0"/>
              <w:marTop w:val="0"/>
              <w:marBottom w:val="0"/>
              <w:divBdr>
                <w:top w:val="none" w:sz="0" w:space="0" w:color="auto"/>
                <w:left w:val="none" w:sz="0" w:space="0" w:color="auto"/>
                <w:bottom w:val="none" w:sz="0" w:space="0" w:color="auto"/>
                <w:right w:val="none" w:sz="0" w:space="0" w:color="auto"/>
              </w:divBdr>
              <w:divsChild>
                <w:div w:id="1361586059">
                  <w:marLeft w:val="0"/>
                  <w:marRight w:val="0"/>
                  <w:marTop w:val="0"/>
                  <w:marBottom w:val="0"/>
                  <w:divBdr>
                    <w:top w:val="none" w:sz="0" w:space="0" w:color="auto"/>
                    <w:left w:val="none" w:sz="0" w:space="0" w:color="auto"/>
                    <w:bottom w:val="none" w:sz="0" w:space="0" w:color="auto"/>
                    <w:right w:val="none" w:sz="0" w:space="0" w:color="auto"/>
                  </w:divBdr>
                  <w:divsChild>
                    <w:div w:id="93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199755">
      <w:bodyDiv w:val="1"/>
      <w:marLeft w:val="0"/>
      <w:marRight w:val="0"/>
      <w:marTop w:val="0"/>
      <w:marBottom w:val="0"/>
      <w:divBdr>
        <w:top w:val="none" w:sz="0" w:space="0" w:color="auto"/>
        <w:left w:val="none" w:sz="0" w:space="0" w:color="auto"/>
        <w:bottom w:val="none" w:sz="0" w:space="0" w:color="auto"/>
        <w:right w:val="none" w:sz="0" w:space="0" w:color="auto"/>
      </w:divBdr>
      <w:divsChild>
        <w:div w:id="52580417">
          <w:marLeft w:val="0"/>
          <w:marRight w:val="0"/>
          <w:marTop w:val="0"/>
          <w:marBottom w:val="0"/>
          <w:divBdr>
            <w:top w:val="none" w:sz="0" w:space="0" w:color="auto"/>
            <w:left w:val="none" w:sz="0" w:space="0" w:color="auto"/>
            <w:bottom w:val="none" w:sz="0" w:space="0" w:color="auto"/>
            <w:right w:val="none" w:sz="0" w:space="0" w:color="auto"/>
          </w:divBdr>
          <w:divsChild>
            <w:div w:id="221450641">
              <w:marLeft w:val="0"/>
              <w:marRight w:val="0"/>
              <w:marTop w:val="0"/>
              <w:marBottom w:val="0"/>
              <w:divBdr>
                <w:top w:val="none" w:sz="0" w:space="0" w:color="auto"/>
                <w:left w:val="none" w:sz="0" w:space="0" w:color="auto"/>
                <w:bottom w:val="none" w:sz="0" w:space="0" w:color="auto"/>
                <w:right w:val="none" w:sz="0" w:space="0" w:color="auto"/>
              </w:divBdr>
              <w:divsChild>
                <w:div w:id="57215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364056">
      <w:bodyDiv w:val="1"/>
      <w:marLeft w:val="0"/>
      <w:marRight w:val="0"/>
      <w:marTop w:val="0"/>
      <w:marBottom w:val="0"/>
      <w:divBdr>
        <w:top w:val="none" w:sz="0" w:space="0" w:color="auto"/>
        <w:left w:val="none" w:sz="0" w:space="0" w:color="auto"/>
        <w:bottom w:val="none" w:sz="0" w:space="0" w:color="auto"/>
        <w:right w:val="none" w:sz="0" w:space="0" w:color="auto"/>
      </w:divBdr>
      <w:divsChild>
        <w:div w:id="2110464472">
          <w:marLeft w:val="0"/>
          <w:marRight w:val="0"/>
          <w:marTop w:val="0"/>
          <w:marBottom w:val="0"/>
          <w:divBdr>
            <w:top w:val="none" w:sz="0" w:space="0" w:color="auto"/>
            <w:left w:val="none" w:sz="0" w:space="0" w:color="auto"/>
            <w:bottom w:val="none" w:sz="0" w:space="0" w:color="auto"/>
            <w:right w:val="none" w:sz="0" w:space="0" w:color="auto"/>
          </w:divBdr>
          <w:divsChild>
            <w:div w:id="1996448765">
              <w:marLeft w:val="0"/>
              <w:marRight w:val="0"/>
              <w:marTop w:val="0"/>
              <w:marBottom w:val="0"/>
              <w:divBdr>
                <w:top w:val="none" w:sz="0" w:space="0" w:color="auto"/>
                <w:left w:val="none" w:sz="0" w:space="0" w:color="auto"/>
                <w:bottom w:val="none" w:sz="0" w:space="0" w:color="auto"/>
                <w:right w:val="none" w:sz="0" w:space="0" w:color="auto"/>
              </w:divBdr>
              <w:divsChild>
                <w:div w:id="1681852079">
                  <w:marLeft w:val="0"/>
                  <w:marRight w:val="0"/>
                  <w:marTop w:val="0"/>
                  <w:marBottom w:val="0"/>
                  <w:divBdr>
                    <w:top w:val="none" w:sz="0" w:space="0" w:color="auto"/>
                    <w:left w:val="none" w:sz="0" w:space="0" w:color="auto"/>
                    <w:bottom w:val="none" w:sz="0" w:space="0" w:color="auto"/>
                    <w:right w:val="none" w:sz="0" w:space="0" w:color="auto"/>
                  </w:divBdr>
                  <w:divsChild>
                    <w:div w:id="104865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369468">
      <w:bodyDiv w:val="1"/>
      <w:marLeft w:val="0"/>
      <w:marRight w:val="0"/>
      <w:marTop w:val="0"/>
      <w:marBottom w:val="0"/>
      <w:divBdr>
        <w:top w:val="none" w:sz="0" w:space="0" w:color="auto"/>
        <w:left w:val="none" w:sz="0" w:space="0" w:color="auto"/>
        <w:bottom w:val="none" w:sz="0" w:space="0" w:color="auto"/>
        <w:right w:val="none" w:sz="0" w:space="0" w:color="auto"/>
      </w:divBdr>
    </w:div>
    <w:div w:id="1950889330">
      <w:bodyDiv w:val="1"/>
      <w:marLeft w:val="0"/>
      <w:marRight w:val="0"/>
      <w:marTop w:val="0"/>
      <w:marBottom w:val="0"/>
      <w:divBdr>
        <w:top w:val="none" w:sz="0" w:space="0" w:color="auto"/>
        <w:left w:val="none" w:sz="0" w:space="0" w:color="auto"/>
        <w:bottom w:val="none" w:sz="0" w:space="0" w:color="auto"/>
        <w:right w:val="none" w:sz="0" w:space="0" w:color="auto"/>
      </w:divBdr>
    </w:div>
    <w:div w:id="1963417347">
      <w:bodyDiv w:val="1"/>
      <w:marLeft w:val="0"/>
      <w:marRight w:val="0"/>
      <w:marTop w:val="0"/>
      <w:marBottom w:val="0"/>
      <w:divBdr>
        <w:top w:val="none" w:sz="0" w:space="0" w:color="auto"/>
        <w:left w:val="none" w:sz="0" w:space="0" w:color="auto"/>
        <w:bottom w:val="none" w:sz="0" w:space="0" w:color="auto"/>
        <w:right w:val="none" w:sz="0" w:space="0" w:color="auto"/>
      </w:divBdr>
      <w:divsChild>
        <w:div w:id="1794010046">
          <w:marLeft w:val="0"/>
          <w:marRight w:val="0"/>
          <w:marTop w:val="0"/>
          <w:marBottom w:val="0"/>
          <w:divBdr>
            <w:top w:val="none" w:sz="0" w:space="0" w:color="auto"/>
            <w:left w:val="none" w:sz="0" w:space="0" w:color="auto"/>
            <w:bottom w:val="none" w:sz="0" w:space="0" w:color="auto"/>
            <w:right w:val="none" w:sz="0" w:space="0" w:color="auto"/>
          </w:divBdr>
          <w:divsChild>
            <w:div w:id="1586573441">
              <w:marLeft w:val="0"/>
              <w:marRight w:val="0"/>
              <w:marTop w:val="0"/>
              <w:marBottom w:val="0"/>
              <w:divBdr>
                <w:top w:val="none" w:sz="0" w:space="0" w:color="auto"/>
                <w:left w:val="none" w:sz="0" w:space="0" w:color="auto"/>
                <w:bottom w:val="none" w:sz="0" w:space="0" w:color="auto"/>
                <w:right w:val="none" w:sz="0" w:space="0" w:color="auto"/>
              </w:divBdr>
              <w:divsChild>
                <w:div w:id="127077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264592">
      <w:bodyDiv w:val="1"/>
      <w:marLeft w:val="0"/>
      <w:marRight w:val="0"/>
      <w:marTop w:val="0"/>
      <w:marBottom w:val="0"/>
      <w:divBdr>
        <w:top w:val="none" w:sz="0" w:space="0" w:color="auto"/>
        <w:left w:val="none" w:sz="0" w:space="0" w:color="auto"/>
        <w:bottom w:val="none" w:sz="0" w:space="0" w:color="auto"/>
        <w:right w:val="none" w:sz="0" w:space="0" w:color="auto"/>
      </w:divBdr>
    </w:div>
    <w:div w:id="1972512664">
      <w:bodyDiv w:val="1"/>
      <w:marLeft w:val="0"/>
      <w:marRight w:val="0"/>
      <w:marTop w:val="0"/>
      <w:marBottom w:val="0"/>
      <w:divBdr>
        <w:top w:val="none" w:sz="0" w:space="0" w:color="auto"/>
        <w:left w:val="none" w:sz="0" w:space="0" w:color="auto"/>
        <w:bottom w:val="none" w:sz="0" w:space="0" w:color="auto"/>
        <w:right w:val="none" w:sz="0" w:space="0" w:color="auto"/>
      </w:divBdr>
    </w:div>
    <w:div w:id="2004115782">
      <w:bodyDiv w:val="1"/>
      <w:marLeft w:val="0"/>
      <w:marRight w:val="0"/>
      <w:marTop w:val="0"/>
      <w:marBottom w:val="0"/>
      <w:divBdr>
        <w:top w:val="none" w:sz="0" w:space="0" w:color="auto"/>
        <w:left w:val="none" w:sz="0" w:space="0" w:color="auto"/>
        <w:bottom w:val="none" w:sz="0" w:space="0" w:color="auto"/>
        <w:right w:val="none" w:sz="0" w:space="0" w:color="auto"/>
      </w:divBdr>
    </w:div>
    <w:div w:id="2094037097">
      <w:bodyDiv w:val="1"/>
      <w:marLeft w:val="0"/>
      <w:marRight w:val="0"/>
      <w:marTop w:val="0"/>
      <w:marBottom w:val="0"/>
      <w:divBdr>
        <w:top w:val="none" w:sz="0" w:space="0" w:color="auto"/>
        <w:left w:val="none" w:sz="0" w:space="0" w:color="auto"/>
        <w:bottom w:val="none" w:sz="0" w:space="0" w:color="auto"/>
        <w:right w:val="none" w:sz="0" w:space="0" w:color="auto"/>
      </w:divBdr>
      <w:divsChild>
        <w:div w:id="322777815">
          <w:marLeft w:val="0"/>
          <w:marRight w:val="0"/>
          <w:marTop w:val="0"/>
          <w:marBottom w:val="0"/>
          <w:divBdr>
            <w:top w:val="none" w:sz="0" w:space="0" w:color="auto"/>
            <w:left w:val="none" w:sz="0" w:space="0" w:color="auto"/>
            <w:bottom w:val="none" w:sz="0" w:space="0" w:color="auto"/>
            <w:right w:val="none" w:sz="0" w:space="0" w:color="auto"/>
          </w:divBdr>
          <w:divsChild>
            <w:div w:id="662273460">
              <w:marLeft w:val="0"/>
              <w:marRight w:val="0"/>
              <w:marTop w:val="0"/>
              <w:marBottom w:val="0"/>
              <w:divBdr>
                <w:top w:val="none" w:sz="0" w:space="0" w:color="auto"/>
                <w:left w:val="none" w:sz="0" w:space="0" w:color="auto"/>
                <w:bottom w:val="none" w:sz="0" w:space="0" w:color="auto"/>
                <w:right w:val="none" w:sz="0" w:space="0" w:color="auto"/>
              </w:divBdr>
              <w:divsChild>
                <w:div w:id="1348211017">
                  <w:marLeft w:val="0"/>
                  <w:marRight w:val="0"/>
                  <w:marTop w:val="0"/>
                  <w:marBottom w:val="0"/>
                  <w:divBdr>
                    <w:top w:val="none" w:sz="0" w:space="0" w:color="auto"/>
                    <w:left w:val="none" w:sz="0" w:space="0" w:color="auto"/>
                    <w:bottom w:val="none" w:sz="0" w:space="0" w:color="auto"/>
                    <w:right w:val="none" w:sz="0" w:space="0" w:color="auto"/>
                  </w:divBdr>
                  <w:divsChild>
                    <w:div w:id="52980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3402403">
      <w:bodyDiv w:val="1"/>
      <w:marLeft w:val="0"/>
      <w:marRight w:val="0"/>
      <w:marTop w:val="0"/>
      <w:marBottom w:val="0"/>
      <w:divBdr>
        <w:top w:val="none" w:sz="0" w:space="0" w:color="auto"/>
        <w:left w:val="none" w:sz="0" w:space="0" w:color="auto"/>
        <w:bottom w:val="none" w:sz="0" w:space="0" w:color="auto"/>
        <w:right w:val="none" w:sz="0" w:space="0" w:color="auto"/>
      </w:divBdr>
      <w:divsChild>
        <w:div w:id="436412241">
          <w:marLeft w:val="0"/>
          <w:marRight w:val="0"/>
          <w:marTop w:val="0"/>
          <w:marBottom w:val="0"/>
          <w:divBdr>
            <w:top w:val="none" w:sz="0" w:space="0" w:color="auto"/>
            <w:left w:val="none" w:sz="0" w:space="0" w:color="auto"/>
            <w:bottom w:val="none" w:sz="0" w:space="0" w:color="auto"/>
            <w:right w:val="none" w:sz="0" w:space="0" w:color="auto"/>
          </w:divBdr>
          <w:divsChild>
            <w:div w:id="1922180643">
              <w:marLeft w:val="0"/>
              <w:marRight w:val="0"/>
              <w:marTop w:val="0"/>
              <w:marBottom w:val="0"/>
              <w:divBdr>
                <w:top w:val="none" w:sz="0" w:space="0" w:color="auto"/>
                <w:left w:val="none" w:sz="0" w:space="0" w:color="auto"/>
                <w:bottom w:val="none" w:sz="0" w:space="0" w:color="auto"/>
                <w:right w:val="none" w:sz="0" w:space="0" w:color="auto"/>
              </w:divBdr>
              <w:divsChild>
                <w:div w:id="1546136262">
                  <w:marLeft w:val="0"/>
                  <w:marRight w:val="0"/>
                  <w:marTop w:val="0"/>
                  <w:marBottom w:val="0"/>
                  <w:divBdr>
                    <w:top w:val="none" w:sz="0" w:space="0" w:color="auto"/>
                    <w:left w:val="none" w:sz="0" w:space="0" w:color="auto"/>
                    <w:bottom w:val="none" w:sz="0" w:space="0" w:color="auto"/>
                    <w:right w:val="none" w:sz="0" w:space="0" w:color="auto"/>
                  </w:divBdr>
                  <w:divsChild>
                    <w:div w:id="1010916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5940/ROPER-31087102"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oah.org/tah/issues/2016/february/if-trump-and-sanders-are-both-populists-what-does-populist-mean/" TargetMode="External"/><Relationship Id="rId4" Type="http://schemas.openxmlformats.org/officeDocument/2006/relationships/settings" Target="settings.xml"/><Relationship Id="rId9" Type="http://schemas.openxmlformats.org/officeDocument/2006/relationships/hyperlink" Target="https://doi.org/10.25940/ROPER-31087125"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presidency.ucsb.edu/documents/1896-democratic-party-platform" TargetMode="External"/><Relationship Id="rId2" Type="http://schemas.openxmlformats.org/officeDocument/2006/relationships/hyperlink" Target="http://historymatters.gmu.edu/d/5361/" TargetMode="External"/><Relationship Id="rId1" Type="http://schemas.openxmlformats.org/officeDocument/2006/relationships/hyperlink" Target="https://www.nytimes.com/1977/11/06/archives/what-a-populist-was-and-why-carter-isnt-one.html" TargetMode="External"/><Relationship Id="rId5" Type="http://schemas.openxmlformats.org/officeDocument/2006/relationships/hyperlink" Target="http://historymatters.gmu.edu/d/5361/" TargetMode="External"/><Relationship Id="rId4" Type="http://schemas.openxmlformats.org/officeDocument/2006/relationships/hyperlink" Target="https://www.presidency.ucsb.edu/documents/republican-party-platform-18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91D8EA-49D5-8A4C-B729-C50C4B672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11269</Words>
  <Characters>64234</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Alan de Bromhead</cp:lastModifiedBy>
  <cp:revision>2</cp:revision>
  <cp:lastPrinted>2023-04-12T11:21:00Z</cp:lastPrinted>
  <dcterms:created xsi:type="dcterms:W3CDTF">2023-10-10T12:26:00Z</dcterms:created>
  <dcterms:modified xsi:type="dcterms:W3CDTF">2023-10-10T12:26:00Z</dcterms:modified>
</cp:coreProperties>
</file>