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F964D" w14:textId="77777777" w:rsidR="00890291" w:rsidRPr="00B947D9" w:rsidRDefault="00890291" w:rsidP="006C167D">
      <w:pPr>
        <w:jc w:val="center"/>
        <w:rPr>
          <w:rFonts w:ascii="Times New Roman" w:hAnsi="Times New Roman"/>
          <w:color w:val="000000" w:themeColor="text1"/>
          <w:sz w:val="40"/>
          <w:szCs w:val="40"/>
          <w:lang w:val="en-US"/>
        </w:rPr>
      </w:pPr>
      <w:r w:rsidRPr="00B947D9">
        <w:rPr>
          <w:rFonts w:ascii="Times New Roman" w:hAnsi="Times New Roman"/>
          <w:color w:val="000000" w:themeColor="text1"/>
          <w:sz w:val="40"/>
          <w:szCs w:val="40"/>
          <w:lang w:val="en-US"/>
        </w:rPr>
        <w:t>Quantitative Easing and household wealth inequality across the Euro Area</w:t>
      </w:r>
    </w:p>
    <w:p w14:paraId="5E75EA5A" w14:textId="77777777" w:rsidR="00890291" w:rsidRPr="00B947D9" w:rsidRDefault="00890291" w:rsidP="006C167D">
      <w:pPr>
        <w:jc w:val="center"/>
        <w:rPr>
          <w:rFonts w:ascii="Times New Roman" w:hAnsi="Times New Roman"/>
          <w:color w:val="000000" w:themeColor="text1"/>
          <w:lang w:val="en-US"/>
        </w:rPr>
      </w:pPr>
    </w:p>
    <w:p w14:paraId="6CAC6B90" w14:textId="2447DD95" w:rsidR="00890291" w:rsidRPr="00B947D9" w:rsidRDefault="00890291" w:rsidP="006C167D">
      <w:pPr>
        <w:jc w:val="center"/>
        <w:rPr>
          <w:rFonts w:ascii="Times New Roman" w:hAnsi="Times New Roman"/>
          <w:i/>
          <w:iCs/>
          <w:color w:val="000000" w:themeColor="text1"/>
          <w:sz w:val="28"/>
          <w:szCs w:val="28"/>
          <w:lang w:val="en-US"/>
        </w:rPr>
      </w:pPr>
      <w:r w:rsidRPr="00B947D9">
        <w:rPr>
          <w:rFonts w:ascii="Times New Roman" w:hAnsi="Times New Roman"/>
          <w:color w:val="000000" w:themeColor="text1"/>
          <w:sz w:val="28"/>
          <w:szCs w:val="28"/>
          <w:lang w:val="en-US"/>
        </w:rPr>
        <w:t>Yota D. Deli</w:t>
      </w:r>
      <w:r w:rsidRPr="00B947D9">
        <w:rPr>
          <w:rStyle w:val="FootnoteReference"/>
          <w:rFonts w:ascii="Times New Roman" w:hAnsi="Times New Roman"/>
          <w:color w:val="000000" w:themeColor="text1"/>
          <w:lang w:val="en-US"/>
        </w:rPr>
        <w:footnoteReference w:id="1"/>
      </w:r>
    </w:p>
    <w:p w14:paraId="2DA77098" w14:textId="77777777" w:rsidR="00890291" w:rsidRPr="00B947D9" w:rsidRDefault="00890291" w:rsidP="006C167D">
      <w:pPr>
        <w:jc w:val="center"/>
        <w:rPr>
          <w:rFonts w:ascii="Times New Roman" w:hAnsi="Times New Roman"/>
          <w:i/>
          <w:iCs/>
          <w:color w:val="000000" w:themeColor="text1"/>
          <w:lang w:val="en-US"/>
        </w:rPr>
      </w:pPr>
      <w:r w:rsidRPr="00B947D9">
        <w:rPr>
          <w:rFonts w:ascii="Times New Roman" w:hAnsi="Times New Roman"/>
          <w:i/>
          <w:iCs/>
          <w:color w:val="000000" w:themeColor="text1"/>
          <w:lang w:val="en-US"/>
        </w:rPr>
        <w:t>University College Dublin</w:t>
      </w:r>
    </w:p>
    <w:p w14:paraId="0B9745AC" w14:textId="77777777" w:rsidR="00890291" w:rsidRPr="00B947D9" w:rsidRDefault="00890291" w:rsidP="006C167D">
      <w:pPr>
        <w:jc w:val="center"/>
        <w:rPr>
          <w:rFonts w:ascii="Times New Roman" w:hAnsi="Times New Roman"/>
          <w:b/>
          <w:bCs/>
          <w:color w:val="000000" w:themeColor="text1"/>
          <w:lang w:val="en-US"/>
        </w:rPr>
      </w:pPr>
    </w:p>
    <w:p w14:paraId="455891C7" w14:textId="77777777" w:rsidR="00890291" w:rsidRPr="00B947D9" w:rsidRDefault="00890291" w:rsidP="006C167D">
      <w:pPr>
        <w:jc w:val="center"/>
        <w:rPr>
          <w:rFonts w:ascii="Times New Roman" w:hAnsi="Times New Roman"/>
          <w:color w:val="000000" w:themeColor="text1"/>
          <w:sz w:val="28"/>
          <w:szCs w:val="28"/>
          <w:lang w:val="en-US"/>
        </w:rPr>
      </w:pPr>
      <w:r w:rsidRPr="00B947D9">
        <w:rPr>
          <w:rFonts w:ascii="Times New Roman" w:hAnsi="Times New Roman"/>
          <w:color w:val="000000" w:themeColor="text1"/>
          <w:sz w:val="28"/>
          <w:szCs w:val="28"/>
          <w:lang w:val="en-US"/>
        </w:rPr>
        <w:t>Panteleimon Karamalis</w:t>
      </w:r>
    </w:p>
    <w:p w14:paraId="71DD6545" w14:textId="77777777" w:rsidR="00890291" w:rsidRPr="00B947D9" w:rsidRDefault="00890291" w:rsidP="006C167D">
      <w:pPr>
        <w:jc w:val="center"/>
        <w:rPr>
          <w:rFonts w:ascii="Times New Roman" w:hAnsi="Times New Roman"/>
          <w:i/>
          <w:iCs/>
          <w:color w:val="000000" w:themeColor="text1"/>
          <w:lang w:val="en-US"/>
        </w:rPr>
      </w:pPr>
      <w:r w:rsidRPr="00B947D9">
        <w:rPr>
          <w:rFonts w:ascii="Times New Roman" w:hAnsi="Times New Roman"/>
          <w:i/>
          <w:iCs/>
          <w:color w:val="000000" w:themeColor="text1"/>
          <w:lang w:val="en-US"/>
        </w:rPr>
        <w:t>University College Dublin</w:t>
      </w:r>
    </w:p>
    <w:p w14:paraId="5582EA12" w14:textId="77777777" w:rsidR="00890291" w:rsidRPr="00B947D9" w:rsidRDefault="00890291" w:rsidP="006C167D">
      <w:pPr>
        <w:jc w:val="both"/>
        <w:rPr>
          <w:rFonts w:ascii="Times New Roman" w:hAnsi="Times New Roman"/>
          <w:color w:val="000000" w:themeColor="text1"/>
          <w:lang w:val="en-US"/>
        </w:rPr>
      </w:pPr>
    </w:p>
    <w:p w14:paraId="1A5AA4DC" w14:textId="77777777" w:rsidR="00890291" w:rsidRPr="00B947D9" w:rsidRDefault="00890291" w:rsidP="006C167D">
      <w:pPr>
        <w:jc w:val="both"/>
        <w:rPr>
          <w:rFonts w:ascii="Times New Roman" w:hAnsi="Times New Roman"/>
          <w:color w:val="000000" w:themeColor="text1"/>
          <w:lang w:val="en-US"/>
        </w:rPr>
      </w:pPr>
    </w:p>
    <w:p w14:paraId="22734A1D" w14:textId="295B1C5D" w:rsidR="00890291" w:rsidRPr="00B947D9" w:rsidRDefault="00890291" w:rsidP="006C167D">
      <w:pPr>
        <w:jc w:val="both"/>
        <w:rPr>
          <w:rFonts w:ascii="Times New Roman" w:hAnsi="Times New Roman"/>
          <w:color w:val="000000" w:themeColor="text1"/>
          <w:lang w:val="en-US"/>
        </w:rPr>
      </w:pPr>
      <w:r w:rsidRPr="00B947D9">
        <w:rPr>
          <w:rFonts w:ascii="Times New Roman" w:hAnsi="Times New Roman"/>
          <w:color w:val="000000" w:themeColor="text1"/>
        </w:rPr>
        <w:t>We examine how the unconventional monetary policies implemented by the ECB, namely</w:t>
      </w:r>
      <w:r w:rsidRPr="00B947D9">
        <w:rPr>
          <w:rFonts w:ascii="Times New Roman" w:hAnsi="Times New Roman"/>
          <w:color w:val="000000" w:themeColor="text1"/>
          <w:lang w:val="en-US"/>
        </w:rPr>
        <w:t xml:space="preserve"> negative deposit facility rate (NDFR) and quantitative easing (QE), affect </w:t>
      </w:r>
      <w:r w:rsidR="00D82378" w:rsidRPr="00B947D9">
        <w:rPr>
          <w:rFonts w:ascii="Times New Roman" w:hAnsi="Times New Roman"/>
          <w:color w:val="000000" w:themeColor="text1"/>
          <w:lang w:val="en-US"/>
        </w:rPr>
        <w:t>asset portfolios</w:t>
      </w:r>
      <w:r w:rsidRPr="00B947D9">
        <w:rPr>
          <w:rFonts w:ascii="Times New Roman" w:hAnsi="Times New Roman"/>
          <w:color w:val="000000" w:themeColor="text1"/>
          <w:lang w:val="en-US"/>
        </w:rPr>
        <w:t xml:space="preserve"> and wealth </w:t>
      </w:r>
      <w:r w:rsidR="0031609F" w:rsidRPr="00B947D9">
        <w:rPr>
          <w:rFonts w:ascii="Times New Roman" w:hAnsi="Times New Roman"/>
          <w:color w:val="000000" w:themeColor="text1"/>
          <w:lang w:val="en-US"/>
        </w:rPr>
        <w:t>distributions</w:t>
      </w:r>
      <w:r w:rsidRPr="00B947D9">
        <w:rPr>
          <w:rFonts w:ascii="Times New Roman" w:hAnsi="Times New Roman"/>
          <w:color w:val="000000" w:themeColor="text1"/>
          <w:lang w:val="en-US"/>
        </w:rPr>
        <w:t xml:space="preserve"> across European households. Using micro</w:t>
      </w:r>
      <w:r w:rsidR="0031609F" w:rsidRPr="00B947D9">
        <w:rPr>
          <w:rFonts w:ascii="Times New Roman" w:hAnsi="Times New Roman"/>
          <w:color w:val="000000" w:themeColor="text1"/>
          <w:lang w:val="en-US"/>
        </w:rPr>
        <w:t xml:space="preserve"> survey </w:t>
      </w:r>
      <w:r w:rsidRPr="00B947D9">
        <w:rPr>
          <w:rFonts w:ascii="Times New Roman" w:hAnsi="Times New Roman"/>
          <w:color w:val="000000" w:themeColor="text1"/>
          <w:lang w:val="en-US"/>
        </w:rPr>
        <w:t>data from the Household Finance and Consumption Survey (HFCS), first we estimate wealth distribution</w:t>
      </w:r>
      <w:r w:rsidR="0031609F" w:rsidRPr="00B947D9">
        <w:rPr>
          <w:rFonts w:ascii="Times New Roman" w:hAnsi="Times New Roman"/>
          <w:color w:val="000000" w:themeColor="text1"/>
          <w:lang w:val="en-US"/>
        </w:rPr>
        <w:t>s</w:t>
      </w:r>
      <w:r w:rsidRPr="00B947D9">
        <w:rPr>
          <w:rFonts w:ascii="Times New Roman" w:hAnsi="Times New Roman"/>
          <w:color w:val="000000" w:themeColor="text1"/>
          <w:lang w:val="en-US"/>
        </w:rPr>
        <w:t xml:space="preserve"> across Euro Area countries. Second, we simulate how shocks in the price of assets, due to policy announcement and implementation, affect household’s capital gains depending on their level of wealth. We find that housing represents the largest share of households’ assets across all Euro Area countries and that wealth inequality increases from 2010 to 2014. Overall, unconventional monetary policies have a positive effect on households’ capital gains across all groups of the wealth distribution. However, households at the bottom end of the distribution benefit mostly from the NDFR, whereas households at the top end benefit mostly from QE policies. </w:t>
      </w:r>
    </w:p>
    <w:p w14:paraId="3BEF0B3C" w14:textId="77777777" w:rsidR="00890291" w:rsidRPr="00B947D9" w:rsidRDefault="00890291" w:rsidP="006C167D">
      <w:pPr>
        <w:jc w:val="both"/>
        <w:rPr>
          <w:rFonts w:ascii="Times New Roman" w:hAnsi="Times New Roman"/>
          <w:b/>
          <w:bCs/>
          <w:color w:val="000000" w:themeColor="text1"/>
          <w:lang w:val="en-US"/>
        </w:rPr>
      </w:pPr>
    </w:p>
    <w:p w14:paraId="03B2C7C3" w14:textId="1B0D888C" w:rsidR="007073FD" w:rsidRPr="00B947D9" w:rsidRDefault="00890291" w:rsidP="006C167D">
      <w:pPr>
        <w:jc w:val="both"/>
        <w:rPr>
          <w:rFonts w:ascii="Times New Roman" w:hAnsi="Times New Roman"/>
          <w:color w:val="000000" w:themeColor="text1"/>
          <w:lang w:val="en-US"/>
        </w:rPr>
      </w:pPr>
      <w:r w:rsidRPr="00B947D9">
        <w:rPr>
          <w:rFonts w:ascii="Times New Roman" w:hAnsi="Times New Roman"/>
          <w:b/>
          <w:bCs/>
          <w:color w:val="000000" w:themeColor="text1"/>
          <w:lang w:val="en-US"/>
        </w:rPr>
        <w:t xml:space="preserve">Keywords: </w:t>
      </w:r>
      <w:r w:rsidR="00916C36" w:rsidRPr="00B947D9">
        <w:rPr>
          <w:rFonts w:ascii="Times New Roman" w:hAnsi="Times New Roman"/>
          <w:color w:val="000000" w:themeColor="text1"/>
          <w:lang w:val="en-US"/>
        </w:rPr>
        <w:t>Unconventional</w:t>
      </w:r>
      <w:r w:rsidR="00916C36" w:rsidRPr="00B947D9">
        <w:rPr>
          <w:rFonts w:ascii="Times New Roman" w:hAnsi="Times New Roman"/>
          <w:b/>
          <w:bCs/>
          <w:color w:val="000000" w:themeColor="text1"/>
          <w:lang w:val="en-US"/>
        </w:rPr>
        <w:t xml:space="preserve"> </w:t>
      </w:r>
      <w:r w:rsidR="00916C36" w:rsidRPr="00B947D9">
        <w:rPr>
          <w:rFonts w:ascii="Times New Roman" w:hAnsi="Times New Roman"/>
          <w:color w:val="000000" w:themeColor="text1"/>
          <w:lang w:val="en-US"/>
        </w:rPr>
        <w:t>m</w:t>
      </w:r>
      <w:r w:rsidRPr="00B947D9">
        <w:rPr>
          <w:rFonts w:ascii="Times New Roman" w:hAnsi="Times New Roman"/>
          <w:color w:val="000000" w:themeColor="text1"/>
          <w:lang w:val="en-US"/>
        </w:rPr>
        <w:t>onetary policy, Wealth inequality, Wealth redistribution, Quantitative easing, Household Heterogeneity</w:t>
      </w:r>
    </w:p>
    <w:p w14:paraId="3434237D" w14:textId="77777777" w:rsidR="00916C36" w:rsidRPr="00B947D9" w:rsidRDefault="00916C36" w:rsidP="006C167D">
      <w:pPr>
        <w:jc w:val="both"/>
        <w:rPr>
          <w:rFonts w:ascii="Times New Roman" w:hAnsi="Times New Roman"/>
          <w:color w:val="000000" w:themeColor="text1"/>
          <w:lang w:val="en-US"/>
        </w:rPr>
      </w:pPr>
    </w:p>
    <w:p w14:paraId="73AF8D87" w14:textId="5B03C38E" w:rsidR="00916C36" w:rsidRPr="00B947D9" w:rsidRDefault="00916C36" w:rsidP="00916C36">
      <w:pPr>
        <w:rPr>
          <w:rFonts w:ascii="Times New Roman" w:hAnsi="Times New Roman"/>
          <w:color w:val="000000" w:themeColor="text1"/>
        </w:rPr>
      </w:pPr>
      <w:r w:rsidRPr="00B947D9">
        <w:rPr>
          <w:rFonts w:ascii="Times New Roman" w:hAnsi="Times New Roman"/>
          <w:b/>
          <w:bCs/>
          <w:i/>
          <w:iCs/>
          <w:color w:val="000000" w:themeColor="text1"/>
        </w:rPr>
        <w:t>JEL Classification</w:t>
      </w:r>
      <w:r w:rsidRPr="00B947D9">
        <w:rPr>
          <w:rFonts w:ascii="Times New Roman" w:hAnsi="Times New Roman"/>
          <w:b/>
          <w:bCs/>
          <w:color w:val="000000" w:themeColor="text1"/>
        </w:rPr>
        <w:t>:</w:t>
      </w:r>
      <w:r w:rsidR="00855AAC" w:rsidRPr="00B947D9">
        <w:rPr>
          <w:rFonts w:ascii="Times New Roman" w:hAnsi="Times New Roman"/>
          <w:b/>
          <w:bCs/>
          <w:color w:val="000000" w:themeColor="text1"/>
        </w:rPr>
        <w:t xml:space="preserve"> </w:t>
      </w:r>
      <w:r w:rsidR="00855AAC" w:rsidRPr="00B947D9">
        <w:rPr>
          <w:rFonts w:ascii="Times New Roman" w:hAnsi="Times New Roman"/>
          <w:color w:val="000000" w:themeColor="text1"/>
        </w:rPr>
        <w:t>D63;</w:t>
      </w:r>
      <w:r w:rsidRPr="00B947D9">
        <w:rPr>
          <w:rFonts w:ascii="Times New Roman" w:hAnsi="Times New Roman"/>
          <w:i/>
          <w:iCs/>
          <w:color w:val="000000" w:themeColor="text1"/>
        </w:rPr>
        <w:t xml:space="preserve"> </w:t>
      </w:r>
      <w:r w:rsidR="00855AAC" w:rsidRPr="00B947D9">
        <w:rPr>
          <w:rFonts w:ascii="Times New Roman" w:hAnsi="Times New Roman"/>
          <w:color w:val="000000" w:themeColor="text1"/>
        </w:rPr>
        <w:t>E52</w:t>
      </w:r>
      <w:r w:rsidRPr="00B947D9">
        <w:rPr>
          <w:rFonts w:ascii="Times New Roman" w:hAnsi="Times New Roman"/>
          <w:color w:val="000000" w:themeColor="text1"/>
        </w:rPr>
        <w:t xml:space="preserve">; </w:t>
      </w:r>
      <w:r w:rsidR="00855AAC" w:rsidRPr="00B947D9">
        <w:rPr>
          <w:rFonts w:ascii="Times New Roman" w:hAnsi="Times New Roman"/>
          <w:color w:val="000000" w:themeColor="text1"/>
        </w:rPr>
        <w:t>E58</w:t>
      </w:r>
      <w:r w:rsidRPr="00B947D9">
        <w:rPr>
          <w:rFonts w:ascii="Times New Roman" w:hAnsi="Times New Roman"/>
          <w:color w:val="000000" w:themeColor="text1"/>
        </w:rPr>
        <w:t xml:space="preserve">; </w:t>
      </w:r>
      <w:r w:rsidR="00855AAC" w:rsidRPr="00B947D9">
        <w:rPr>
          <w:rFonts w:ascii="Times New Roman" w:hAnsi="Times New Roman"/>
          <w:color w:val="000000" w:themeColor="text1"/>
        </w:rPr>
        <w:t>G01</w:t>
      </w:r>
      <w:r w:rsidRPr="00B947D9">
        <w:rPr>
          <w:rFonts w:ascii="Times New Roman" w:hAnsi="Times New Roman"/>
          <w:color w:val="000000" w:themeColor="text1"/>
        </w:rPr>
        <w:t xml:space="preserve">; </w:t>
      </w:r>
      <w:r w:rsidR="00855AAC" w:rsidRPr="00B947D9">
        <w:rPr>
          <w:rFonts w:ascii="Times New Roman" w:hAnsi="Times New Roman"/>
          <w:color w:val="000000" w:themeColor="text1"/>
        </w:rPr>
        <w:t>G11</w:t>
      </w:r>
      <w:r w:rsidRPr="00B947D9">
        <w:rPr>
          <w:rFonts w:ascii="Times New Roman" w:hAnsi="Times New Roman"/>
          <w:color w:val="000000" w:themeColor="text1"/>
        </w:rPr>
        <w:t>;</w:t>
      </w:r>
      <w:r w:rsidR="00855AAC" w:rsidRPr="00B947D9">
        <w:rPr>
          <w:rFonts w:ascii="Times New Roman" w:hAnsi="Times New Roman"/>
          <w:color w:val="000000" w:themeColor="text1"/>
        </w:rPr>
        <w:t xml:space="preserve"> G51; </w:t>
      </w:r>
    </w:p>
    <w:p w14:paraId="43140FD1" w14:textId="77777777" w:rsidR="00916C36" w:rsidRPr="00B947D9" w:rsidRDefault="00916C36" w:rsidP="006C167D">
      <w:pPr>
        <w:jc w:val="both"/>
        <w:rPr>
          <w:rFonts w:ascii="Times New Roman" w:hAnsi="Times New Roman"/>
          <w:color w:val="000000" w:themeColor="text1"/>
        </w:rPr>
      </w:pPr>
    </w:p>
    <w:p w14:paraId="49973735" w14:textId="77777777" w:rsidR="00890291" w:rsidRPr="00B947D9" w:rsidRDefault="00890291" w:rsidP="006C167D">
      <w:pPr>
        <w:jc w:val="both"/>
        <w:rPr>
          <w:rFonts w:ascii="Times New Roman" w:hAnsi="Times New Roman"/>
          <w:color w:val="000000" w:themeColor="text1"/>
          <w:lang w:val="en-US"/>
        </w:rPr>
      </w:pPr>
    </w:p>
    <w:p w14:paraId="5F261353" w14:textId="77777777" w:rsidR="00EC0BD2" w:rsidRPr="00B947D9" w:rsidRDefault="00EC0BD2" w:rsidP="006C167D">
      <w:pPr>
        <w:jc w:val="both"/>
        <w:rPr>
          <w:rFonts w:ascii="Times New Roman" w:hAnsi="Times New Roman"/>
          <w:color w:val="000000" w:themeColor="text1"/>
          <w:lang w:val="en-US"/>
        </w:rPr>
      </w:pPr>
    </w:p>
    <w:p w14:paraId="3329E62D" w14:textId="77777777" w:rsidR="00EC0BD2" w:rsidRPr="00B947D9" w:rsidRDefault="00EC0BD2" w:rsidP="006C167D">
      <w:pPr>
        <w:jc w:val="both"/>
        <w:rPr>
          <w:rFonts w:ascii="Times New Roman" w:hAnsi="Times New Roman"/>
          <w:color w:val="000000" w:themeColor="text1"/>
          <w:lang w:val="en-US"/>
        </w:rPr>
      </w:pPr>
    </w:p>
    <w:p w14:paraId="0FAF2304" w14:textId="77777777" w:rsidR="00EC0BD2" w:rsidRPr="00B947D9" w:rsidRDefault="00EC0BD2" w:rsidP="006C167D">
      <w:pPr>
        <w:jc w:val="both"/>
        <w:rPr>
          <w:rFonts w:ascii="Times New Roman" w:hAnsi="Times New Roman"/>
          <w:color w:val="000000" w:themeColor="text1"/>
          <w:lang w:val="en-US"/>
        </w:rPr>
      </w:pPr>
    </w:p>
    <w:p w14:paraId="2441A0A4" w14:textId="77777777" w:rsidR="00EC0BD2" w:rsidRPr="00B947D9" w:rsidRDefault="00EC0BD2" w:rsidP="006C167D">
      <w:pPr>
        <w:jc w:val="both"/>
        <w:rPr>
          <w:rFonts w:ascii="Times New Roman" w:hAnsi="Times New Roman"/>
          <w:color w:val="000000" w:themeColor="text1"/>
          <w:lang w:val="en-US"/>
        </w:rPr>
      </w:pPr>
    </w:p>
    <w:p w14:paraId="4E650C3E" w14:textId="77777777" w:rsidR="00EC0BD2" w:rsidRPr="00B947D9" w:rsidRDefault="00EC0BD2" w:rsidP="006C167D">
      <w:pPr>
        <w:jc w:val="both"/>
        <w:rPr>
          <w:rFonts w:ascii="Times New Roman" w:hAnsi="Times New Roman"/>
          <w:color w:val="000000" w:themeColor="text1"/>
          <w:lang w:val="en-US"/>
        </w:rPr>
      </w:pPr>
    </w:p>
    <w:p w14:paraId="5998BFF6" w14:textId="77777777" w:rsidR="00EC0BD2" w:rsidRPr="00B947D9" w:rsidRDefault="00EC0BD2" w:rsidP="006C167D">
      <w:pPr>
        <w:jc w:val="both"/>
        <w:rPr>
          <w:rFonts w:ascii="Times New Roman" w:hAnsi="Times New Roman"/>
          <w:color w:val="000000" w:themeColor="text1"/>
          <w:lang w:val="en-US"/>
        </w:rPr>
      </w:pPr>
    </w:p>
    <w:p w14:paraId="7D3389EE" w14:textId="77777777" w:rsidR="00EC0BD2" w:rsidRPr="00B947D9" w:rsidRDefault="00EC0BD2" w:rsidP="006C167D">
      <w:pPr>
        <w:jc w:val="both"/>
        <w:rPr>
          <w:rFonts w:ascii="Times New Roman" w:hAnsi="Times New Roman"/>
          <w:color w:val="000000" w:themeColor="text1"/>
          <w:lang w:val="en-US"/>
        </w:rPr>
      </w:pPr>
    </w:p>
    <w:p w14:paraId="44D9C805" w14:textId="77777777" w:rsidR="00EC0BD2" w:rsidRPr="00B947D9" w:rsidRDefault="00EC0BD2" w:rsidP="006C167D">
      <w:pPr>
        <w:jc w:val="both"/>
        <w:rPr>
          <w:rFonts w:ascii="Times New Roman" w:hAnsi="Times New Roman"/>
          <w:color w:val="000000" w:themeColor="text1"/>
          <w:lang w:val="en-US"/>
        </w:rPr>
      </w:pPr>
    </w:p>
    <w:p w14:paraId="65A58A7B" w14:textId="77777777" w:rsidR="00EC0BD2" w:rsidRPr="00B947D9" w:rsidRDefault="00EC0BD2" w:rsidP="006C167D">
      <w:pPr>
        <w:jc w:val="both"/>
        <w:rPr>
          <w:rFonts w:ascii="Times New Roman" w:hAnsi="Times New Roman"/>
          <w:color w:val="000000" w:themeColor="text1"/>
          <w:lang w:val="en-US"/>
        </w:rPr>
      </w:pPr>
    </w:p>
    <w:p w14:paraId="7EE3F80E" w14:textId="77777777" w:rsidR="00890291" w:rsidRPr="00B947D9" w:rsidRDefault="00890291" w:rsidP="006C167D">
      <w:pPr>
        <w:jc w:val="both"/>
        <w:rPr>
          <w:rFonts w:ascii="Times New Roman" w:hAnsi="Times New Roman"/>
          <w:color w:val="000000" w:themeColor="text1"/>
          <w:lang w:val="en-US"/>
        </w:rPr>
      </w:pPr>
    </w:p>
    <w:p w14:paraId="60AA7F6A" w14:textId="77777777" w:rsidR="005123C2" w:rsidRDefault="00890291" w:rsidP="006C167D">
      <w:pPr>
        <w:jc w:val="both"/>
        <w:rPr>
          <w:rFonts w:ascii="Times New Roman" w:hAnsi="Times New Roman"/>
          <w:color w:val="000000" w:themeColor="text1"/>
          <w:sz w:val="20"/>
          <w:szCs w:val="20"/>
        </w:rPr>
      </w:pPr>
      <w:r w:rsidRPr="00B947D9">
        <w:rPr>
          <w:rFonts w:ascii="Times New Roman" w:hAnsi="Times New Roman"/>
          <w:color w:val="000000" w:themeColor="text1"/>
          <w:sz w:val="20"/>
          <w:szCs w:val="20"/>
        </w:rPr>
        <w:t xml:space="preserve">For valuable comments and suggestions, we thank </w:t>
      </w:r>
      <w:r w:rsidR="00276B3C" w:rsidRPr="00B947D9">
        <w:rPr>
          <w:rFonts w:ascii="Times New Roman" w:hAnsi="Times New Roman"/>
          <w:color w:val="000000" w:themeColor="text1"/>
          <w:sz w:val="20"/>
          <w:szCs w:val="20"/>
        </w:rPr>
        <w:t xml:space="preserve">Karl Whelan, Martina Lawless, </w:t>
      </w:r>
      <w:r w:rsidR="00EF5F35" w:rsidRPr="00B947D9">
        <w:rPr>
          <w:rFonts w:ascii="Times New Roman" w:hAnsi="Times New Roman"/>
          <w:color w:val="000000" w:themeColor="text1"/>
          <w:sz w:val="20"/>
          <w:szCs w:val="20"/>
        </w:rPr>
        <w:t xml:space="preserve">Adele Whelan, Theano Kakoulidou </w:t>
      </w:r>
      <w:r w:rsidR="00276B3C" w:rsidRPr="00B947D9">
        <w:rPr>
          <w:rFonts w:ascii="Times New Roman" w:hAnsi="Times New Roman"/>
          <w:color w:val="000000" w:themeColor="text1"/>
          <w:sz w:val="20"/>
          <w:szCs w:val="20"/>
        </w:rPr>
        <w:t>and</w:t>
      </w:r>
      <w:r w:rsidR="00EF5F35" w:rsidRPr="00B947D9">
        <w:rPr>
          <w:rFonts w:ascii="Times New Roman" w:hAnsi="Times New Roman"/>
          <w:color w:val="000000" w:themeColor="text1"/>
          <w:sz w:val="20"/>
          <w:szCs w:val="20"/>
        </w:rPr>
        <w:t xml:space="preserve"> seminar participants at the IMAEF conference and at University College Dublin (UCD).</w:t>
      </w:r>
    </w:p>
    <w:p w14:paraId="4254C580" w14:textId="77777777" w:rsidR="005123C2" w:rsidRDefault="005123C2">
      <w:pPr>
        <w:rPr>
          <w:rFonts w:ascii="Times New Roman" w:hAnsi="Times New Roman"/>
          <w:color w:val="000000" w:themeColor="text1"/>
          <w:sz w:val="20"/>
          <w:szCs w:val="20"/>
        </w:rPr>
      </w:pPr>
      <w:r>
        <w:rPr>
          <w:rFonts w:ascii="Times New Roman" w:hAnsi="Times New Roman"/>
          <w:color w:val="000000" w:themeColor="text1"/>
          <w:sz w:val="20"/>
          <w:szCs w:val="20"/>
        </w:rPr>
        <w:br w:type="page"/>
      </w:r>
    </w:p>
    <w:p w14:paraId="5DC6EF3F" w14:textId="4218B3F1" w:rsidR="00890291" w:rsidRPr="00D9129A" w:rsidRDefault="00E9469C" w:rsidP="00E9469C">
      <w:pPr>
        <w:pStyle w:val="ListParagraph"/>
        <w:spacing w:line="480" w:lineRule="auto"/>
        <w:ind w:left="567"/>
        <w:jc w:val="both"/>
        <w:rPr>
          <w:rFonts w:ascii="Times New Roman" w:hAnsi="Times New Roman"/>
          <w:color w:val="000000" w:themeColor="text1"/>
          <w:lang w:val="en-US"/>
        </w:rPr>
      </w:pPr>
      <w:r w:rsidRPr="00E9469C">
        <w:rPr>
          <w:rFonts w:ascii="Times New Roman" w:hAnsi="Times New Roman"/>
          <w:noProof/>
          <w:color w:val="000000" w:themeColor="text1"/>
          <w:lang w:val="en-US"/>
        </w:rPr>
        <w:lastRenderedPageBreak/>
        <mc:AlternateContent>
          <mc:Choice Requires="wps">
            <w:drawing>
              <wp:anchor distT="45720" distB="45720" distL="114300" distR="114300" simplePos="0" relativeHeight="251659264" behindDoc="0" locked="0" layoutInCell="1" allowOverlap="1" wp14:anchorId="48BBECC8" wp14:editId="279AD983">
                <wp:simplePos x="0" y="0"/>
                <wp:positionH relativeFrom="column">
                  <wp:posOffset>6350</wp:posOffset>
                </wp:positionH>
                <wp:positionV relativeFrom="paragraph">
                  <wp:posOffset>0</wp:posOffset>
                </wp:positionV>
                <wp:extent cx="5962650" cy="482600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4826000"/>
                        </a:xfrm>
                        <a:prstGeom prst="rect">
                          <a:avLst/>
                        </a:prstGeom>
                        <a:solidFill>
                          <a:srgbClr val="FFFFFF"/>
                        </a:solidFill>
                        <a:ln w="9525">
                          <a:solidFill>
                            <a:srgbClr val="000000"/>
                          </a:solidFill>
                          <a:miter lim="800000"/>
                          <a:headEnd/>
                          <a:tailEnd/>
                        </a:ln>
                      </wps:spPr>
                      <wps:txbx>
                        <w:txbxContent>
                          <w:p w14:paraId="489D536E" w14:textId="77777777" w:rsidR="00E9469C" w:rsidRDefault="00E9469C" w:rsidP="00E9469C">
                            <w:pPr>
                              <w:spacing w:line="480" w:lineRule="auto"/>
                              <w:jc w:val="both"/>
                              <w:rPr>
                                <w:rFonts w:ascii="Times New Roman" w:hAnsi="Times New Roman"/>
                                <w:b/>
                                <w:bCs/>
                                <w:color w:val="000000" w:themeColor="text1"/>
                                <w:lang w:val="en-US"/>
                              </w:rPr>
                            </w:pPr>
                          </w:p>
                          <w:p w14:paraId="5682E37B" w14:textId="4CD2A8AA" w:rsidR="00E9469C" w:rsidRPr="00790A24" w:rsidRDefault="00E9469C" w:rsidP="00E9469C">
                            <w:pPr>
                              <w:spacing w:line="480" w:lineRule="auto"/>
                              <w:jc w:val="center"/>
                              <w:rPr>
                                <w:rFonts w:ascii="Times New Roman" w:hAnsi="Times New Roman"/>
                                <w:b/>
                                <w:bCs/>
                                <w:color w:val="000000" w:themeColor="text1"/>
                                <w:lang w:val="en-US"/>
                              </w:rPr>
                            </w:pPr>
                            <w:r w:rsidRPr="00790A24">
                              <w:rPr>
                                <w:rFonts w:ascii="Times New Roman" w:hAnsi="Times New Roman"/>
                                <w:b/>
                                <w:bCs/>
                                <w:color w:val="000000" w:themeColor="text1"/>
                                <w:lang w:val="en-US"/>
                              </w:rPr>
                              <w:t>Key points and objectives</w:t>
                            </w:r>
                          </w:p>
                          <w:p w14:paraId="765DC55D"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How unconventional monetary policy affects household wealth distribution in Euro Area countries?</w:t>
                            </w:r>
                          </w:p>
                          <w:p w14:paraId="06697F45"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Focus on the effects of the asset purchasing programmes and negative deposit facility rate implemented by the ECB.</w:t>
                            </w:r>
                          </w:p>
                          <w:p w14:paraId="18441E8F"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L</w:t>
                            </w:r>
                            <w:r w:rsidRPr="005640C0">
                              <w:rPr>
                                <w:rFonts w:ascii="Times New Roman" w:hAnsi="Times New Roman"/>
                                <w:color w:val="000000" w:themeColor="text1"/>
                                <w:lang w:val="en-US"/>
                              </w:rPr>
                              <w:t xml:space="preserve">ow wealth </w:t>
                            </w:r>
                            <w:r>
                              <w:rPr>
                                <w:rFonts w:ascii="Times New Roman" w:hAnsi="Times New Roman"/>
                                <w:color w:val="000000" w:themeColor="text1"/>
                                <w:lang w:val="en-US"/>
                              </w:rPr>
                              <w:t>households</w:t>
                            </w:r>
                            <w:r w:rsidRPr="005640C0">
                              <w:rPr>
                                <w:rFonts w:ascii="Times New Roman" w:hAnsi="Times New Roman"/>
                                <w:color w:val="000000" w:themeColor="text1"/>
                                <w:lang w:val="en-US"/>
                              </w:rPr>
                              <w:t xml:space="preserve"> experienced relatively more gains from the negative deposit facility rate compared to middle </w:t>
                            </w:r>
                            <w:r>
                              <w:rPr>
                                <w:rFonts w:ascii="Times New Roman" w:hAnsi="Times New Roman"/>
                                <w:color w:val="000000" w:themeColor="text1"/>
                                <w:lang w:val="en-US"/>
                              </w:rPr>
                              <w:t>wealth</w:t>
                            </w:r>
                            <w:r w:rsidRPr="005640C0">
                              <w:rPr>
                                <w:rFonts w:ascii="Times New Roman" w:hAnsi="Times New Roman"/>
                                <w:color w:val="000000" w:themeColor="text1"/>
                                <w:lang w:val="en-US"/>
                              </w:rPr>
                              <w:t>.</w:t>
                            </w:r>
                          </w:p>
                          <w:p w14:paraId="08551909"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sidRPr="005640C0">
                              <w:rPr>
                                <w:rFonts w:ascii="Times New Roman" w:hAnsi="Times New Roman"/>
                                <w:color w:val="000000" w:themeColor="text1"/>
                                <w:lang w:val="en-US"/>
                              </w:rPr>
                              <w:t>Quantitative Easing positively affected equities and bonds, and negatively housing prices contributing to substantial gains to the top 5% of the wealth distribution</w:t>
                            </w:r>
                            <w:r>
                              <w:rPr>
                                <w:rFonts w:ascii="Times New Roman" w:hAnsi="Times New Roman"/>
                                <w:color w:val="000000" w:themeColor="text1"/>
                                <w:lang w:val="en-US"/>
                              </w:rPr>
                              <w:t>.</w:t>
                            </w:r>
                          </w:p>
                          <w:p w14:paraId="735C43CE" w14:textId="2B506BC3"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L</w:t>
                            </w:r>
                            <w:r w:rsidRPr="005640C0">
                              <w:rPr>
                                <w:rFonts w:ascii="Times New Roman" w:hAnsi="Times New Roman"/>
                                <w:color w:val="000000" w:themeColor="text1"/>
                                <w:lang w:val="en-US"/>
                              </w:rPr>
                              <w:t>ow wealth households in France, the Netherlands, Italy,</w:t>
                            </w:r>
                            <w:r>
                              <w:rPr>
                                <w:rFonts w:ascii="Times New Roman" w:hAnsi="Times New Roman"/>
                                <w:color w:val="000000" w:themeColor="text1"/>
                                <w:lang w:val="en-US"/>
                              </w:rPr>
                              <w:t xml:space="preserve"> and </w:t>
                            </w:r>
                            <w:r w:rsidRPr="005640C0">
                              <w:rPr>
                                <w:rFonts w:ascii="Times New Roman" w:hAnsi="Times New Roman"/>
                                <w:color w:val="000000" w:themeColor="text1"/>
                                <w:lang w:val="en-US"/>
                              </w:rPr>
                              <w:t>Germany</w:t>
                            </w:r>
                            <w:r>
                              <w:rPr>
                                <w:rFonts w:ascii="Times New Roman" w:hAnsi="Times New Roman"/>
                                <w:color w:val="000000" w:themeColor="text1"/>
                                <w:lang w:val="en-US"/>
                              </w:rPr>
                              <w:t xml:space="preserve"> </w:t>
                            </w:r>
                            <w:r w:rsidRPr="005640C0">
                              <w:rPr>
                                <w:rFonts w:ascii="Times New Roman" w:hAnsi="Times New Roman"/>
                                <w:color w:val="000000" w:themeColor="text1"/>
                                <w:lang w:val="en-US"/>
                              </w:rPr>
                              <w:t>benefit most</w:t>
                            </w:r>
                            <w:r>
                              <w:rPr>
                                <w:rFonts w:ascii="Times New Roman" w:hAnsi="Times New Roman"/>
                                <w:color w:val="000000" w:themeColor="text1"/>
                                <w:lang w:val="en-US"/>
                              </w:rPr>
                              <w:t>.</w:t>
                            </w:r>
                          </w:p>
                          <w:p w14:paraId="69D59742" w14:textId="4742D189" w:rsidR="00E9469C" w:rsidRP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sidRPr="00E9469C">
                              <w:rPr>
                                <w:rFonts w:ascii="Times New Roman" w:hAnsi="Times New Roman"/>
                                <w:color w:val="000000" w:themeColor="text1"/>
                                <w:lang w:val="en-US"/>
                              </w:rPr>
                              <w:t>The top 5% of the wealth distribution group is mostly benefitted in Slovakia and Slovenia</w:t>
                            </w:r>
                            <w:r>
                              <w:rPr>
                                <w:rFonts w:ascii="Times New Roman" w:hAnsi="Times New Roman"/>
                                <w:color w:val="000000" w:themeColor="text1"/>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BBECC8" id="_x0000_t202" coordsize="21600,21600" o:spt="202" path="m,l,21600r21600,l21600,xe">
                <v:stroke joinstyle="miter"/>
                <v:path gradientshapeok="t" o:connecttype="rect"/>
              </v:shapetype>
              <v:shape id="Text Box 2" o:spid="_x0000_s1026" type="#_x0000_t202" style="position:absolute;left:0;text-align:left;margin-left:.5pt;margin-top:0;width:469.5pt;height:380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">
                <v:textbox>
                  <w:txbxContent>
                    <w:p w14:paraId="489D536E" w14:textId="77777777" w:rsidR="00E9469C" w:rsidRDefault="00E9469C" w:rsidP="00E9469C">
                      <w:pPr>
                        <w:spacing w:line="480" w:lineRule="auto"/>
                        <w:jc w:val="both"/>
                        <w:rPr>
                          <w:rFonts w:ascii="Times New Roman" w:hAnsi="Times New Roman"/>
                          <w:b/>
                          <w:bCs/>
                          <w:color w:val="000000" w:themeColor="text1"/>
                          <w:lang w:val="en-US"/>
                        </w:rPr>
                      </w:pPr>
                    </w:p>
                    <w:p w14:paraId="5682E37B" w14:textId="4CD2A8AA" w:rsidR="00E9469C" w:rsidRPr="00790A24" w:rsidRDefault="00E9469C" w:rsidP="00E9469C">
                      <w:pPr>
                        <w:spacing w:line="480" w:lineRule="auto"/>
                        <w:jc w:val="center"/>
                        <w:rPr>
                          <w:rFonts w:ascii="Times New Roman" w:hAnsi="Times New Roman"/>
                          <w:b/>
                          <w:bCs/>
                          <w:color w:val="000000" w:themeColor="text1"/>
                          <w:lang w:val="en-US"/>
                        </w:rPr>
                      </w:pPr>
                      <w:r w:rsidRPr="00790A24">
                        <w:rPr>
                          <w:rFonts w:ascii="Times New Roman" w:hAnsi="Times New Roman"/>
                          <w:b/>
                          <w:bCs/>
                          <w:color w:val="000000" w:themeColor="text1"/>
                          <w:lang w:val="en-US"/>
                        </w:rPr>
                        <w:t>Key points and objectives</w:t>
                      </w:r>
                    </w:p>
                    <w:p w14:paraId="765DC55D"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How unconventional monetary policy affects household wealth distribution in Euro Area countries?</w:t>
                      </w:r>
                    </w:p>
                    <w:p w14:paraId="06697F45"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Focus on the effects of the asset purchasing programmes and negative deposit facility rate implemented by the ECB.</w:t>
                      </w:r>
                    </w:p>
                    <w:p w14:paraId="18441E8F"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L</w:t>
                      </w:r>
                      <w:r w:rsidRPr="005640C0">
                        <w:rPr>
                          <w:rFonts w:ascii="Times New Roman" w:hAnsi="Times New Roman"/>
                          <w:color w:val="000000" w:themeColor="text1"/>
                          <w:lang w:val="en-US"/>
                        </w:rPr>
                        <w:t xml:space="preserve">ow wealth </w:t>
                      </w:r>
                      <w:r>
                        <w:rPr>
                          <w:rFonts w:ascii="Times New Roman" w:hAnsi="Times New Roman"/>
                          <w:color w:val="000000" w:themeColor="text1"/>
                          <w:lang w:val="en-US"/>
                        </w:rPr>
                        <w:t>households</w:t>
                      </w:r>
                      <w:r w:rsidRPr="005640C0">
                        <w:rPr>
                          <w:rFonts w:ascii="Times New Roman" w:hAnsi="Times New Roman"/>
                          <w:color w:val="000000" w:themeColor="text1"/>
                          <w:lang w:val="en-US"/>
                        </w:rPr>
                        <w:t xml:space="preserve"> experienced relatively more gains from the negative deposit facility rate compared to middle </w:t>
                      </w:r>
                      <w:r>
                        <w:rPr>
                          <w:rFonts w:ascii="Times New Roman" w:hAnsi="Times New Roman"/>
                          <w:color w:val="000000" w:themeColor="text1"/>
                          <w:lang w:val="en-US"/>
                        </w:rPr>
                        <w:t>wealth</w:t>
                      </w:r>
                      <w:r w:rsidRPr="005640C0">
                        <w:rPr>
                          <w:rFonts w:ascii="Times New Roman" w:hAnsi="Times New Roman"/>
                          <w:color w:val="000000" w:themeColor="text1"/>
                          <w:lang w:val="en-US"/>
                        </w:rPr>
                        <w:t>.</w:t>
                      </w:r>
                    </w:p>
                    <w:p w14:paraId="08551909" w14:textId="77777777"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sidRPr="005640C0">
                        <w:rPr>
                          <w:rFonts w:ascii="Times New Roman" w:hAnsi="Times New Roman"/>
                          <w:color w:val="000000" w:themeColor="text1"/>
                          <w:lang w:val="en-US"/>
                        </w:rPr>
                        <w:t>Quantitative Easing positively affected equities and bonds, and negatively housing prices contributing to substantial gains to the top 5% of the wealth distribution</w:t>
                      </w:r>
                      <w:r>
                        <w:rPr>
                          <w:rFonts w:ascii="Times New Roman" w:hAnsi="Times New Roman"/>
                          <w:color w:val="000000" w:themeColor="text1"/>
                          <w:lang w:val="en-US"/>
                        </w:rPr>
                        <w:t>.</w:t>
                      </w:r>
                    </w:p>
                    <w:p w14:paraId="735C43CE" w14:textId="2B506BC3" w:rsid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Pr>
                          <w:rFonts w:ascii="Times New Roman" w:hAnsi="Times New Roman"/>
                          <w:color w:val="000000" w:themeColor="text1"/>
                          <w:lang w:val="en-US"/>
                        </w:rPr>
                        <w:t>L</w:t>
                      </w:r>
                      <w:r w:rsidRPr="005640C0">
                        <w:rPr>
                          <w:rFonts w:ascii="Times New Roman" w:hAnsi="Times New Roman"/>
                          <w:color w:val="000000" w:themeColor="text1"/>
                          <w:lang w:val="en-US"/>
                        </w:rPr>
                        <w:t>ow wealth households in France, the Netherlands, Italy,</w:t>
                      </w:r>
                      <w:r>
                        <w:rPr>
                          <w:rFonts w:ascii="Times New Roman" w:hAnsi="Times New Roman"/>
                          <w:color w:val="000000" w:themeColor="text1"/>
                          <w:lang w:val="en-US"/>
                        </w:rPr>
                        <w:t xml:space="preserve"> and </w:t>
                      </w:r>
                      <w:r w:rsidRPr="005640C0">
                        <w:rPr>
                          <w:rFonts w:ascii="Times New Roman" w:hAnsi="Times New Roman"/>
                          <w:color w:val="000000" w:themeColor="text1"/>
                          <w:lang w:val="en-US"/>
                        </w:rPr>
                        <w:t>Germany</w:t>
                      </w:r>
                      <w:r>
                        <w:rPr>
                          <w:rFonts w:ascii="Times New Roman" w:hAnsi="Times New Roman"/>
                          <w:color w:val="000000" w:themeColor="text1"/>
                          <w:lang w:val="en-US"/>
                        </w:rPr>
                        <w:t xml:space="preserve"> </w:t>
                      </w:r>
                      <w:r w:rsidRPr="005640C0">
                        <w:rPr>
                          <w:rFonts w:ascii="Times New Roman" w:hAnsi="Times New Roman"/>
                          <w:color w:val="000000" w:themeColor="text1"/>
                          <w:lang w:val="en-US"/>
                        </w:rPr>
                        <w:t>benefit most</w:t>
                      </w:r>
                      <w:r>
                        <w:rPr>
                          <w:rFonts w:ascii="Times New Roman" w:hAnsi="Times New Roman"/>
                          <w:color w:val="000000" w:themeColor="text1"/>
                          <w:lang w:val="en-US"/>
                        </w:rPr>
                        <w:t>.</w:t>
                      </w:r>
                    </w:p>
                    <w:p w14:paraId="69D59742" w14:textId="4742D189" w:rsidR="00E9469C" w:rsidRPr="00E9469C" w:rsidRDefault="00E9469C" w:rsidP="00E9469C">
                      <w:pPr>
                        <w:pStyle w:val="ListParagraph"/>
                        <w:numPr>
                          <w:ilvl w:val="0"/>
                          <w:numId w:val="8"/>
                        </w:numPr>
                        <w:spacing w:line="480" w:lineRule="auto"/>
                        <w:ind w:left="567" w:hanging="567"/>
                        <w:jc w:val="both"/>
                        <w:rPr>
                          <w:rFonts w:ascii="Times New Roman" w:hAnsi="Times New Roman"/>
                          <w:color w:val="000000" w:themeColor="text1"/>
                          <w:lang w:val="en-US"/>
                        </w:rPr>
                      </w:pPr>
                      <w:r w:rsidRPr="00E9469C">
                        <w:rPr>
                          <w:rFonts w:ascii="Times New Roman" w:hAnsi="Times New Roman"/>
                          <w:color w:val="000000" w:themeColor="text1"/>
                          <w:lang w:val="en-US"/>
                        </w:rPr>
                        <w:t>The top 5% of the wealth distribution group is mostly benefitted in Slovakia and Slovenia</w:t>
                      </w:r>
                      <w:r>
                        <w:rPr>
                          <w:rFonts w:ascii="Times New Roman" w:hAnsi="Times New Roman"/>
                          <w:color w:val="000000" w:themeColor="text1"/>
                          <w:lang w:val="en-US"/>
                        </w:rPr>
                        <w:t>.</w:t>
                      </w:r>
                    </w:p>
                  </w:txbxContent>
                </v:textbox>
                <w10:wrap type="square"/>
              </v:shape>
            </w:pict>
          </mc:Fallback>
        </mc:AlternateContent>
      </w:r>
      <w:r w:rsidR="00890291" w:rsidRPr="00D9129A">
        <w:rPr>
          <w:rFonts w:ascii="Times New Roman" w:hAnsi="Times New Roman"/>
          <w:color w:val="000000" w:themeColor="text1"/>
          <w:lang w:val="en-US"/>
        </w:rPr>
        <w:br w:type="page"/>
      </w:r>
    </w:p>
    <w:p w14:paraId="6C6F45E1" w14:textId="77777777" w:rsidR="00890291" w:rsidRPr="00B947D9" w:rsidRDefault="00890291" w:rsidP="006C167D">
      <w:pPr>
        <w:pStyle w:val="Heading1"/>
        <w:spacing w:line="480" w:lineRule="auto"/>
        <w:jc w:val="both"/>
        <w:rPr>
          <w:rStyle w:val="Strong"/>
          <w:rFonts w:ascii="Times New Roman" w:hAnsi="Times New Roman" w:cs="Times New Roman"/>
          <w:b/>
          <w:bCs/>
          <w:color w:val="000000" w:themeColor="text1"/>
          <w:sz w:val="24"/>
          <w:szCs w:val="24"/>
        </w:rPr>
      </w:pPr>
      <w:r w:rsidRPr="00B947D9">
        <w:rPr>
          <w:rStyle w:val="Strong"/>
          <w:rFonts w:ascii="Times New Roman" w:hAnsi="Times New Roman" w:cs="Times New Roman"/>
          <w:b/>
          <w:bCs/>
          <w:color w:val="000000" w:themeColor="text1"/>
          <w:sz w:val="24"/>
          <w:szCs w:val="24"/>
        </w:rPr>
        <w:t>1. Introduction</w:t>
      </w:r>
    </w:p>
    <w:p w14:paraId="6F4680BF" w14:textId="64B5B4F1" w:rsidR="00980044" w:rsidRPr="00B947D9" w:rsidRDefault="00890291" w:rsidP="00276B3C">
      <w:pPr>
        <w:spacing w:line="480" w:lineRule="auto"/>
        <w:jc w:val="both"/>
        <w:rPr>
          <w:rFonts w:ascii="Times New Roman" w:hAnsi="Times New Roman"/>
          <w:color w:val="000000" w:themeColor="text1"/>
        </w:rPr>
      </w:pPr>
      <w:r w:rsidRPr="00B947D9">
        <w:rPr>
          <w:rFonts w:ascii="Times New Roman" w:hAnsi="Times New Roman"/>
          <w:color w:val="000000" w:themeColor="text1"/>
        </w:rPr>
        <w:t xml:space="preserve">How </w:t>
      </w:r>
      <w:r w:rsidR="00AC319D" w:rsidRPr="00B947D9">
        <w:rPr>
          <w:rFonts w:ascii="Times New Roman" w:hAnsi="Times New Roman"/>
          <w:color w:val="000000" w:themeColor="text1"/>
        </w:rPr>
        <w:t>do unconventional policy measures, such as the Negative Deposit Facility Rates and Quantitative Easing affect wealth inequality</w:t>
      </w:r>
      <w:r w:rsidR="00980044" w:rsidRPr="00B947D9">
        <w:rPr>
          <w:rFonts w:ascii="Times New Roman" w:hAnsi="Times New Roman"/>
          <w:color w:val="000000" w:themeColor="text1"/>
        </w:rPr>
        <w:t xml:space="preserve">? We expect that such measures have contrasting results on the wealth distribution depending on differential asset holdings across households and countries. Our key hypothesis is that different unconventional monetary policy measures affect the prices of various assets in a </w:t>
      </w:r>
      <w:r w:rsidR="00D82378" w:rsidRPr="00B947D9">
        <w:rPr>
          <w:rFonts w:ascii="Times New Roman" w:hAnsi="Times New Roman"/>
          <w:color w:val="000000" w:themeColor="text1"/>
        </w:rPr>
        <w:t>dissimilar</w:t>
      </w:r>
      <w:r w:rsidR="00980044" w:rsidRPr="00B947D9">
        <w:rPr>
          <w:rFonts w:ascii="Times New Roman" w:hAnsi="Times New Roman"/>
          <w:color w:val="000000" w:themeColor="text1"/>
        </w:rPr>
        <w:t xml:space="preserve"> manner. For example, quantitative easing negatively affects the price of bonds, reding them less desirable, incentivizing households to restructure their asset portfolios.</w:t>
      </w:r>
    </w:p>
    <w:p w14:paraId="27F12C5E" w14:textId="059FE34E" w:rsidR="00D956A1" w:rsidRPr="00B947D9" w:rsidRDefault="00980044" w:rsidP="00D67F2D">
      <w:pPr>
        <w:spacing w:line="480" w:lineRule="auto"/>
        <w:jc w:val="both"/>
        <w:rPr>
          <w:rFonts w:ascii="Times New Roman" w:hAnsi="Times New Roman"/>
          <w:color w:val="000000" w:themeColor="text1"/>
        </w:rPr>
      </w:pPr>
      <w:r w:rsidRPr="00B947D9">
        <w:rPr>
          <w:rFonts w:ascii="Times New Roman" w:hAnsi="Times New Roman"/>
          <w:color w:val="000000" w:themeColor="text1"/>
        </w:rPr>
        <w:tab/>
      </w:r>
      <w:r w:rsidR="00AC319D" w:rsidRPr="00B947D9">
        <w:rPr>
          <w:rFonts w:ascii="Times New Roman" w:hAnsi="Times New Roman"/>
          <w:color w:val="000000" w:themeColor="text1"/>
        </w:rPr>
        <w:t>Unconventional monetary policy ha</w:t>
      </w:r>
      <w:r w:rsidR="00D82378" w:rsidRPr="00B947D9">
        <w:rPr>
          <w:rFonts w:ascii="Times New Roman" w:hAnsi="Times New Roman"/>
          <w:color w:val="000000" w:themeColor="text1"/>
        </w:rPr>
        <w:t>s</w:t>
      </w:r>
      <w:r w:rsidR="00AC319D" w:rsidRPr="00B947D9">
        <w:rPr>
          <w:rFonts w:ascii="Times New Roman" w:hAnsi="Times New Roman"/>
          <w:color w:val="000000" w:themeColor="text1"/>
        </w:rPr>
        <w:t xml:space="preserve"> been widely used by Central Banks in the wake of the </w:t>
      </w:r>
      <w:r w:rsidR="00D82378" w:rsidRPr="00B947D9">
        <w:rPr>
          <w:rFonts w:ascii="Times New Roman" w:hAnsi="Times New Roman"/>
          <w:color w:val="000000" w:themeColor="text1"/>
        </w:rPr>
        <w:t>G</w:t>
      </w:r>
      <w:r w:rsidR="00AC319D" w:rsidRPr="00B947D9">
        <w:rPr>
          <w:rFonts w:ascii="Times New Roman" w:hAnsi="Times New Roman"/>
          <w:color w:val="000000" w:themeColor="text1"/>
        </w:rPr>
        <w:t xml:space="preserve">reat </w:t>
      </w:r>
      <w:r w:rsidR="00D82378" w:rsidRPr="00B947D9">
        <w:rPr>
          <w:rFonts w:ascii="Times New Roman" w:hAnsi="Times New Roman"/>
          <w:color w:val="000000" w:themeColor="text1"/>
        </w:rPr>
        <w:t>R</w:t>
      </w:r>
      <w:r w:rsidR="00AC319D" w:rsidRPr="00B947D9">
        <w:rPr>
          <w:rFonts w:ascii="Times New Roman" w:hAnsi="Times New Roman"/>
          <w:color w:val="000000" w:themeColor="text1"/>
        </w:rPr>
        <w:t>ecession and their effect on weal</w:t>
      </w:r>
      <w:r w:rsidR="00D67F2D" w:rsidRPr="00B947D9">
        <w:rPr>
          <w:rFonts w:ascii="Times New Roman" w:hAnsi="Times New Roman"/>
          <w:color w:val="000000" w:themeColor="text1"/>
        </w:rPr>
        <w:t>th remains unidentified. Compared to traditional monetary policy</w:t>
      </w:r>
      <w:r w:rsidR="00D82378" w:rsidRPr="00B947D9">
        <w:rPr>
          <w:rFonts w:ascii="Times New Roman" w:hAnsi="Times New Roman"/>
          <w:color w:val="000000" w:themeColor="text1"/>
        </w:rPr>
        <w:t>,</w:t>
      </w:r>
      <w:r w:rsidR="00D67F2D" w:rsidRPr="00B947D9">
        <w:rPr>
          <w:rFonts w:ascii="Times New Roman" w:hAnsi="Times New Roman"/>
          <w:color w:val="000000" w:themeColor="text1"/>
        </w:rPr>
        <w:t xml:space="preserve"> such measures </w:t>
      </w:r>
      <w:r w:rsidR="00D956A1" w:rsidRPr="00B947D9">
        <w:rPr>
          <w:rFonts w:ascii="Times New Roman" w:hAnsi="Times New Roman"/>
          <w:color w:val="000000" w:themeColor="text1"/>
        </w:rPr>
        <w:t>rel</w:t>
      </w:r>
      <w:r w:rsidR="00D67F2D" w:rsidRPr="00B947D9">
        <w:rPr>
          <w:rFonts w:ascii="Times New Roman" w:hAnsi="Times New Roman"/>
          <w:color w:val="000000" w:themeColor="text1"/>
        </w:rPr>
        <w:t>y</w:t>
      </w:r>
      <w:r w:rsidR="00D956A1" w:rsidRPr="00B947D9">
        <w:rPr>
          <w:rFonts w:ascii="Times New Roman" w:hAnsi="Times New Roman"/>
          <w:color w:val="000000" w:themeColor="text1"/>
        </w:rPr>
        <w:t xml:space="preserve"> more on wealth effects</w:t>
      </w:r>
      <w:r w:rsidR="00584FF5" w:rsidRPr="00B947D9">
        <w:rPr>
          <w:rFonts w:ascii="Times New Roman" w:hAnsi="Times New Roman"/>
          <w:color w:val="000000" w:themeColor="text1"/>
        </w:rPr>
        <w:t xml:space="preserve"> since </w:t>
      </w:r>
      <w:r w:rsidR="00D956A1" w:rsidRPr="00B947D9">
        <w:rPr>
          <w:rFonts w:ascii="Times New Roman" w:hAnsi="Times New Roman"/>
          <w:color w:val="000000" w:themeColor="text1"/>
        </w:rPr>
        <w:t xml:space="preserve">Central </w:t>
      </w:r>
      <w:r w:rsidR="00584FF5" w:rsidRPr="00B947D9">
        <w:rPr>
          <w:rFonts w:ascii="Times New Roman" w:hAnsi="Times New Roman"/>
          <w:color w:val="000000" w:themeColor="text1"/>
        </w:rPr>
        <w:t>B</w:t>
      </w:r>
      <w:r w:rsidR="00D956A1" w:rsidRPr="00B947D9">
        <w:rPr>
          <w:rFonts w:ascii="Times New Roman" w:hAnsi="Times New Roman"/>
          <w:color w:val="000000" w:themeColor="text1"/>
        </w:rPr>
        <w:t>anks, by introducing negative interest rates</w:t>
      </w:r>
      <w:r w:rsidR="00D82378" w:rsidRPr="00B947D9">
        <w:rPr>
          <w:rFonts w:ascii="Times New Roman" w:hAnsi="Times New Roman"/>
          <w:color w:val="000000" w:themeColor="text1"/>
        </w:rPr>
        <w:t>,</w:t>
      </w:r>
      <w:r w:rsidR="00D956A1" w:rsidRPr="00B947D9">
        <w:rPr>
          <w:rFonts w:ascii="Times New Roman" w:hAnsi="Times New Roman"/>
          <w:color w:val="000000" w:themeColor="text1"/>
        </w:rPr>
        <w:t xml:space="preserve"> have directly intended to influence the price of risky assets. Bernanke (2012) </w:t>
      </w:r>
      <w:r w:rsidR="00584FF5" w:rsidRPr="00B947D9">
        <w:rPr>
          <w:rFonts w:ascii="Times New Roman" w:hAnsi="Times New Roman"/>
          <w:color w:val="000000" w:themeColor="text1"/>
        </w:rPr>
        <w:t xml:space="preserve">states that </w:t>
      </w:r>
      <w:r w:rsidR="00D956A1" w:rsidRPr="00B947D9">
        <w:rPr>
          <w:rFonts w:ascii="Times New Roman" w:hAnsi="Times New Roman"/>
          <w:color w:val="000000" w:themeColor="text1"/>
        </w:rPr>
        <w:t xml:space="preserve">portfolio rebalancing is one of the main channels for the transmission of nonstandard monetary policies. Additionally, </w:t>
      </w:r>
      <w:r w:rsidR="00584FF5" w:rsidRPr="00B947D9">
        <w:rPr>
          <w:rFonts w:ascii="Times New Roman" w:hAnsi="Times New Roman"/>
          <w:color w:val="000000" w:themeColor="text1"/>
        </w:rPr>
        <w:t>Central Banks</w:t>
      </w:r>
      <w:r w:rsidR="00D82378" w:rsidRPr="00B947D9">
        <w:rPr>
          <w:rFonts w:ascii="Times New Roman" w:hAnsi="Times New Roman"/>
          <w:color w:val="000000" w:themeColor="text1"/>
        </w:rPr>
        <w:t xml:space="preserve"> by</w:t>
      </w:r>
      <w:r w:rsidR="00D956A1" w:rsidRPr="00B947D9">
        <w:rPr>
          <w:rFonts w:ascii="Times New Roman" w:hAnsi="Times New Roman"/>
          <w:color w:val="000000" w:themeColor="text1"/>
        </w:rPr>
        <w:t xml:space="preserve"> </w:t>
      </w:r>
      <w:r w:rsidR="00584FF5" w:rsidRPr="00B947D9">
        <w:rPr>
          <w:rFonts w:ascii="Times New Roman" w:hAnsi="Times New Roman"/>
          <w:color w:val="000000" w:themeColor="text1"/>
        </w:rPr>
        <w:t>altering</w:t>
      </w:r>
      <w:r w:rsidR="00D956A1" w:rsidRPr="00B947D9">
        <w:rPr>
          <w:rFonts w:ascii="Times New Roman" w:hAnsi="Times New Roman"/>
          <w:color w:val="000000" w:themeColor="text1"/>
        </w:rPr>
        <w:t xml:space="preserve"> the size and composition of their balance sheets</w:t>
      </w:r>
      <w:r w:rsidR="00D82378" w:rsidRPr="00B947D9">
        <w:rPr>
          <w:rFonts w:ascii="Times New Roman" w:hAnsi="Times New Roman"/>
          <w:color w:val="000000" w:themeColor="text1"/>
        </w:rPr>
        <w:t>,</w:t>
      </w:r>
      <w:r w:rsidR="00D956A1" w:rsidRPr="00B947D9">
        <w:rPr>
          <w:rFonts w:ascii="Times New Roman" w:hAnsi="Times New Roman"/>
          <w:color w:val="000000" w:themeColor="text1"/>
        </w:rPr>
        <w:t xml:space="preserve"> through asset purchase program</w:t>
      </w:r>
      <w:r w:rsidR="00584FF5" w:rsidRPr="00B947D9">
        <w:rPr>
          <w:rFonts w:ascii="Times New Roman" w:hAnsi="Times New Roman"/>
          <w:color w:val="000000" w:themeColor="text1"/>
        </w:rPr>
        <w:t>s</w:t>
      </w:r>
      <w:r w:rsidR="00D956A1" w:rsidRPr="00B947D9">
        <w:rPr>
          <w:rFonts w:ascii="Times New Roman" w:hAnsi="Times New Roman"/>
          <w:color w:val="000000" w:themeColor="text1"/>
        </w:rPr>
        <w:t>, target long term interest rates</w:t>
      </w:r>
      <w:r w:rsidR="00584FF5" w:rsidRPr="00B947D9">
        <w:rPr>
          <w:rFonts w:ascii="Times New Roman" w:hAnsi="Times New Roman"/>
          <w:color w:val="000000" w:themeColor="text1"/>
        </w:rPr>
        <w:t xml:space="preserve">, </w:t>
      </w:r>
      <w:r w:rsidR="00D956A1" w:rsidRPr="00B947D9">
        <w:rPr>
          <w:rFonts w:ascii="Times New Roman" w:hAnsi="Times New Roman"/>
          <w:color w:val="000000" w:themeColor="text1"/>
        </w:rPr>
        <w:t>risk premia</w:t>
      </w:r>
      <w:r w:rsidR="00584FF5" w:rsidRPr="00B947D9">
        <w:rPr>
          <w:rFonts w:ascii="Times New Roman" w:hAnsi="Times New Roman"/>
          <w:color w:val="000000" w:themeColor="text1"/>
        </w:rPr>
        <w:t>,</w:t>
      </w:r>
      <w:r w:rsidR="00D956A1" w:rsidRPr="00B947D9">
        <w:rPr>
          <w:rFonts w:ascii="Times New Roman" w:hAnsi="Times New Roman"/>
          <w:color w:val="000000" w:themeColor="text1"/>
        </w:rPr>
        <w:t xml:space="preserve"> </w:t>
      </w:r>
      <w:r w:rsidR="00584FF5" w:rsidRPr="00B947D9">
        <w:rPr>
          <w:rFonts w:ascii="Times New Roman" w:hAnsi="Times New Roman"/>
          <w:color w:val="000000" w:themeColor="text1"/>
        </w:rPr>
        <w:t xml:space="preserve">and </w:t>
      </w:r>
      <w:r w:rsidR="00D956A1" w:rsidRPr="00B947D9">
        <w:rPr>
          <w:rFonts w:ascii="Times New Roman" w:hAnsi="Times New Roman"/>
          <w:color w:val="000000" w:themeColor="text1"/>
        </w:rPr>
        <w:t>specific markets</w:t>
      </w:r>
      <w:r w:rsidR="00D82378" w:rsidRPr="00B947D9">
        <w:rPr>
          <w:rFonts w:ascii="Times New Roman" w:hAnsi="Times New Roman"/>
          <w:color w:val="000000" w:themeColor="text1"/>
        </w:rPr>
        <w:t xml:space="preserve"> (e.g. housing)</w:t>
      </w:r>
      <w:r w:rsidR="00D956A1" w:rsidRPr="00B947D9">
        <w:rPr>
          <w:rFonts w:ascii="Times New Roman" w:hAnsi="Times New Roman"/>
          <w:color w:val="000000" w:themeColor="text1"/>
        </w:rPr>
        <w:t>.</w:t>
      </w:r>
    </w:p>
    <w:p w14:paraId="04F06802" w14:textId="67DB8C43" w:rsidR="00584FF5" w:rsidRPr="00B947D9" w:rsidRDefault="00584FF5" w:rsidP="00584FF5">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rPr>
        <w:t xml:space="preserve">In our empirical analysis, we first </w:t>
      </w:r>
      <w:r w:rsidR="00427A7F" w:rsidRPr="00B947D9">
        <w:rPr>
          <w:rFonts w:ascii="Times New Roman" w:hAnsi="Times New Roman"/>
          <w:color w:val="000000" w:themeColor="text1"/>
        </w:rPr>
        <w:t xml:space="preserve">identify the effect of the different monetary policy measures on asset prices. To do so, we </w:t>
      </w:r>
      <w:r w:rsidR="00A852A3" w:rsidRPr="00B947D9">
        <w:rPr>
          <w:rFonts w:ascii="Times New Roman" w:hAnsi="Times New Roman"/>
          <w:color w:val="000000" w:themeColor="text1"/>
        </w:rPr>
        <w:t>estimate</w:t>
      </w:r>
      <w:r w:rsidR="00427A7F" w:rsidRPr="00B947D9">
        <w:rPr>
          <w:rFonts w:ascii="Times New Roman" w:hAnsi="Times New Roman"/>
          <w:color w:val="000000" w:themeColor="text1"/>
        </w:rPr>
        <w:t xml:space="preserve"> the </w:t>
      </w:r>
      <w:r w:rsidR="00A852A3" w:rsidRPr="00B947D9">
        <w:rPr>
          <w:rFonts w:ascii="Times New Roman" w:hAnsi="Times New Roman"/>
          <w:color w:val="000000" w:themeColor="text1"/>
        </w:rPr>
        <w:t>difference</w:t>
      </w:r>
      <w:r w:rsidR="00427A7F" w:rsidRPr="00B947D9">
        <w:rPr>
          <w:rFonts w:ascii="Times New Roman" w:hAnsi="Times New Roman"/>
          <w:color w:val="000000" w:themeColor="text1"/>
        </w:rPr>
        <w:t xml:space="preserve"> in the prices of bonds</w:t>
      </w:r>
      <w:r w:rsidR="00A852A3" w:rsidRPr="00B947D9">
        <w:rPr>
          <w:rFonts w:ascii="Times New Roman" w:hAnsi="Times New Roman"/>
          <w:color w:val="000000" w:themeColor="text1"/>
        </w:rPr>
        <w:t xml:space="preserve"> and </w:t>
      </w:r>
      <w:r w:rsidR="00427A7F" w:rsidRPr="00B947D9">
        <w:rPr>
          <w:rFonts w:ascii="Times New Roman" w:hAnsi="Times New Roman"/>
          <w:color w:val="000000" w:themeColor="text1"/>
        </w:rPr>
        <w:t>equities</w:t>
      </w:r>
      <w:r w:rsidR="00A852A3" w:rsidRPr="00B947D9">
        <w:rPr>
          <w:rFonts w:ascii="Times New Roman" w:hAnsi="Times New Roman"/>
          <w:color w:val="000000" w:themeColor="text1"/>
        </w:rPr>
        <w:t xml:space="preserve"> </w:t>
      </w:r>
      <w:r w:rsidR="00EB6716" w:rsidRPr="00B947D9">
        <w:rPr>
          <w:rFonts w:ascii="Times New Roman" w:hAnsi="Times New Roman"/>
          <w:color w:val="000000" w:themeColor="text1"/>
        </w:rPr>
        <w:t>before and after announcement and implementation dates. For housing, we use quarterly data, as data on higher frequency do not exist, whilst we expect that house prices are not changing substantially within a quarter. These shocks in prices are then used to simulate the new value of the assets. This technique allows to “shock” the various assets at a different percentage. Our analysis is the first to include housing prices in the wealth composition.</w:t>
      </w:r>
    </w:p>
    <w:p w14:paraId="57E6DBAE" w14:textId="25F220A4" w:rsidR="00B33C40" w:rsidRPr="00B947D9" w:rsidRDefault="00EB6716" w:rsidP="00CE24F8">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rPr>
        <w:t xml:space="preserve">In the second step, </w:t>
      </w:r>
      <w:r w:rsidR="00B33C40" w:rsidRPr="00B947D9">
        <w:rPr>
          <w:rFonts w:ascii="Times New Roman" w:hAnsi="Times New Roman"/>
          <w:color w:val="000000" w:themeColor="text1"/>
          <w:lang w:val="en-US"/>
        </w:rPr>
        <w:t xml:space="preserve">we </w:t>
      </w:r>
      <w:r w:rsidRPr="00B947D9">
        <w:rPr>
          <w:rFonts w:ascii="Times New Roman" w:hAnsi="Times New Roman"/>
          <w:color w:val="000000" w:themeColor="text1"/>
          <w:lang w:val="en-US"/>
        </w:rPr>
        <w:t>estimate</w:t>
      </w:r>
      <w:r w:rsidR="00B33C40" w:rsidRPr="00B947D9">
        <w:rPr>
          <w:rFonts w:ascii="Times New Roman" w:hAnsi="Times New Roman"/>
          <w:color w:val="000000" w:themeColor="text1"/>
          <w:lang w:val="en-US"/>
        </w:rPr>
        <w:t xml:space="preserve"> wealth distributions per country</w:t>
      </w:r>
      <w:r w:rsidRPr="00B947D9">
        <w:rPr>
          <w:rFonts w:ascii="Times New Roman" w:hAnsi="Times New Roman"/>
          <w:color w:val="000000" w:themeColor="text1"/>
          <w:lang w:val="en-US"/>
        </w:rPr>
        <w:t>. To deeply understand the asset composition of EA household portfolios, we decompose total wealth to its various components, namely housing, bonds, and equities. We also classify these assets t</w:t>
      </w:r>
      <w:r w:rsidR="00CE24F8" w:rsidRPr="00B947D9">
        <w:rPr>
          <w:rFonts w:ascii="Times New Roman" w:hAnsi="Times New Roman"/>
          <w:color w:val="000000" w:themeColor="text1"/>
          <w:lang w:val="en-US"/>
        </w:rPr>
        <w:t>o</w:t>
      </w:r>
      <w:r w:rsidRPr="00B947D9">
        <w:rPr>
          <w:rFonts w:ascii="Times New Roman" w:hAnsi="Times New Roman"/>
          <w:color w:val="000000" w:themeColor="text1"/>
          <w:lang w:val="en-US"/>
        </w:rPr>
        <w:t xml:space="preserve"> financial and real assets. This analysis helps to understand</w:t>
      </w:r>
      <w:r w:rsidR="00B33C40" w:rsidRPr="00B947D9">
        <w:rPr>
          <w:rFonts w:ascii="Times New Roman" w:hAnsi="Times New Roman"/>
          <w:color w:val="000000" w:themeColor="text1"/>
          <w:lang w:val="en-US"/>
        </w:rPr>
        <w:t xml:space="preserve"> how </w:t>
      </w:r>
      <w:r w:rsidR="00A852A3" w:rsidRPr="00B947D9">
        <w:rPr>
          <w:rFonts w:ascii="Times New Roman" w:hAnsi="Times New Roman"/>
          <w:color w:val="000000" w:themeColor="text1"/>
          <w:lang w:val="en-US"/>
        </w:rPr>
        <w:t>asset</w:t>
      </w:r>
      <w:r w:rsidR="00CE24F8" w:rsidRPr="00B947D9">
        <w:rPr>
          <w:rFonts w:ascii="Times New Roman" w:hAnsi="Times New Roman"/>
          <w:color w:val="000000" w:themeColor="text1"/>
          <w:lang w:val="en-US"/>
        </w:rPr>
        <w:t xml:space="preserve"> portfolio</w:t>
      </w:r>
      <w:r w:rsidR="00A852A3" w:rsidRPr="00B947D9">
        <w:rPr>
          <w:rFonts w:ascii="Times New Roman" w:hAnsi="Times New Roman"/>
          <w:color w:val="000000" w:themeColor="text1"/>
          <w:lang w:val="en-US"/>
        </w:rPr>
        <w:t>s</w:t>
      </w:r>
      <w:r w:rsidR="00CE24F8" w:rsidRPr="00B947D9">
        <w:rPr>
          <w:rFonts w:ascii="Times New Roman" w:hAnsi="Times New Roman"/>
          <w:color w:val="000000" w:themeColor="text1"/>
          <w:lang w:val="en-US"/>
        </w:rPr>
        <w:t xml:space="preserve"> </w:t>
      </w:r>
      <w:r w:rsidR="00A852A3" w:rsidRPr="00B947D9">
        <w:rPr>
          <w:rFonts w:ascii="Times New Roman" w:hAnsi="Times New Roman"/>
          <w:color w:val="000000" w:themeColor="text1"/>
          <w:lang w:val="en-US"/>
        </w:rPr>
        <w:t>vary</w:t>
      </w:r>
      <w:r w:rsidR="00CE24F8" w:rsidRPr="00B947D9">
        <w:rPr>
          <w:rFonts w:ascii="Times New Roman" w:hAnsi="Times New Roman"/>
          <w:color w:val="000000" w:themeColor="text1"/>
          <w:lang w:val="en-US"/>
        </w:rPr>
        <w:t xml:space="preserve"> </w:t>
      </w:r>
      <w:r w:rsidR="00A852A3" w:rsidRPr="00B947D9">
        <w:rPr>
          <w:rFonts w:ascii="Times New Roman" w:hAnsi="Times New Roman"/>
          <w:color w:val="000000" w:themeColor="text1"/>
          <w:lang w:val="en-US"/>
        </w:rPr>
        <w:t>among households a</w:t>
      </w:r>
      <w:r w:rsidR="00CE24F8" w:rsidRPr="00B947D9">
        <w:rPr>
          <w:rFonts w:ascii="Times New Roman" w:hAnsi="Times New Roman"/>
          <w:color w:val="000000" w:themeColor="text1"/>
          <w:lang w:val="en-US"/>
        </w:rPr>
        <w:t>cross</w:t>
      </w:r>
      <w:r w:rsidR="00B33C40" w:rsidRPr="00B947D9">
        <w:rPr>
          <w:rFonts w:ascii="Times New Roman" w:hAnsi="Times New Roman"/>
          <w:color w:val="000000" w:themeColor="text1"/>
          <w:lang w:val="en-US"/>
        </w:rPr>
        <w:t xml:space="preserve"> </w:t>
      </w:r>
      <w:r w:rsidR="00CE24F8" w:rsidRPr="00B947D9">
        <w:rPr>
          <w:rFonts w:ascii="Times New Roman" w:hAnsi="Times New Roman"/>
          <w:color w:val="000000" w:themeColor="text1"/>
          <w:lang w:val="en-US"/>
        </w:rPr>
        <w:t xml:space="preserve">the </w:t>
      </w:r>
      <w:r w:rsidR="00B33C40" w:rsidRPr="00B947D9">
        <w:rPr>
          <w:rFonts w:ascii="Times New Roman" w:hAnsi="Times New Roman"/>
          <w:color w:val="000000" w:themeColor="text1"/>
          <w:lang w:val="en-US"/>
        </w:rPr>
        <w:t>wealth distribution.</w:t>
      </w:r>
      <w:r w:rsidR="00CE24F8" w:rsidRPr="00B947D9">
        <w:rPr>
          <w:rFonts w:ascii="Times New Roman" w:hAnsi="Times New Roman"/>
          <w:color w:val="000000" w:themeColor="text1"/>
          <w:lang w:val="en-US"/>
        </w:rPr>
        <w:t xml:space="preserve"> Importantly,</w:t>
      </w:r>
      <w:r w:rsidR="00B33C40" w:rsidRPr="00B947D9">
        <w:rPr>
          <w:rFonts w:ascii="Times New Roman" w:hAnsi="Times New Roman"/>
          <w:color w:val="000000" w:themeColor="text1"/>
          <w:lang w:val="en-US"/>
        </w:rPr>
        <w:t xml:space="preserve"> </w:t>
      </w:r>
      <w:r w:rsidR="00CE24F8" w:rsidRPr="00B947D9">
        <w:rPr>
          <w:rFonts w:ascii="Times New Roman" w:hAnsi="Times New Roman"/>
          <w:color w:val="000000" w:themeColor="text1"/>
          <w:lang w:val="en-US"/>
        </w:rPr>
        <w:t>w</w:t>
      </w:r>
      <w:r w:rsidR="00B33C40" w:rsidRPr="00B947D9">
        <w:rPr>
          <w:rFonts w:ascii="Times New Roman" w:hAnsi="Times New Roman"/>
          <w:color w:val="000000" w:themeColor="text1"/>
          <w:lang w:val="en-US"/>
        </w:rPr>
        <w:t>e include indebted households (households with negative wealth)</w:t>
      </w:r>
      <w:r w:rsidR="00CE24F8" w:rsidRPr="00B947D9">
        <w:rPr>
          <w:rFonts w:ascii="Times New Roman" w:hAnsi="Times New Roman"/>
          <w:color w:val="000000" w:themeColor="text1"/>
          <w:lang w:val="en-US"/>
        </w:rPr>
        <w:t>, which</w:t>
      </w:r>
      <w:r w:rsidR="00A852A3" w:rsidRPr="00B947D9">
        <w:rPr>
          <w:rFonts w:ascii="Times New Roman" w:hAnsi="Times New Roman"/>
          <w:color w:val="000000" w:themeColor="text1"/>
        </w:rPr>
        <w:t xml:space="preserve"> constitute</w:t>
      </w:r>
      <w:r w:rsidR="00CE24F8" w:rsidRPr="00B947D9">
        <w:rPr>
          <w:rFonts w:ascii="Times New Roman" w:hAnsi="Times New Roman"/>
          <w:color w:val="000000" w:themeColor="text1"/>
          <w:lang w:val="en-US"/>
        </w:rPr>
        <w:t xml:space="preserve"> a substantial share of the overall number of households.</w:t>
      </w:r>
      <w:r w:rsidR="00B33C40" w:rsidRPr="00B947D9">
        <w:rPr>
          <w:rFonts w:ascii="Times New Roman" w:hAnsi="Times New Roman"/>
          <w:color w:val="000000" w:themeColor="text1"/>
          <w:lang w:val="en-US"/>
        </w:rPr>
        <w:t xml:space="preserve"> We believe that this decomposition analysis provides a clear indication on how unconventional monetary policy affects wealth inequality</w:t>
      </w:r>
      <w:r w:rsidR="00CE24F8" w:rsidRPr="00B947D9">
        <w:rPr>
          <w:rFonts w:ascii="Times New Roman" w:hAnsi="Times New Roman"/>
          <w:color w:val="000000" w:themeColor="text1"/>
          <w:lang w:val="en-US"/>
        </w:rPr>
        <w:t xml:space="preserve"> through the different</w:t>
      </w:r>
      <w:r w:rsidR="00A852A3" w:rsidRPr="00B947D9">
        <w:rPr>
          <w:rFonts w:ascii="Times New Roman" w:hAnsi="Times New Roman"/>
          <w:color w:val="000000" w:themeColor="text1"/>
          <w:lang w:val="en-US"/>
        </w:rPr>
        <w:t>ial</w:t>
      </w:r>
      <w:r w:rsidR="00CE24F8" w:rsidRPr="00B947D9">
        <w:rPr>
          <w:rFonts w:ascii="Times New Roman" w:hAnsi="Times New Roman"/>
          <w:color w:val="000000" w:themeColor="text1"/>
          <w:lang w:val="en-US"/>
        </w:rPr>
        <w:t xml:space="preserve"> effects on the various assets</w:t>
      </w:r>
      <w:r w:rsidR="00B33C40" w:rsidRPr="00B947D9">
        <w:rPr>
          <w:rFonts w:ascii="Times New Roman" w:hAnsi="Times New Roman"/>
          <w:color w:val="000000" w:themeColor="text1"/>
          <w:lang w:val="en-US"/>
        </w:rPr>
        <w:t>.</w:t>
      </w:r>
    </w:p>
    <w:p w14:paraId="1D91D153" w14:textId="63C736EB" w:rsidR="00CE24F8" w:rsidRPr="00B947D9" w:rsidRDefault="00CE24F8" w:rsidP="00CE24F8">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rPr>
        <w:t>To answer the question on how the unconventional monetary measures followed by the ECB during the period 2014-2016 affect household wealth distributions in the countries of the Eurozone, we use household survey data from the Household Finance and Consumption Survey from 15 Euro Area countries. The benefit of using the HFCS is that we obtain information on the asset portfolio composition of European households across countries, which allows to identify the effect of these policies on the various types of assets. One caveat is that it is well known in the literature that household surveys underreport the top end of the distribution. However, since administrative data on wealth are not publicly available</w:t>
      </w:r>
      <w:r w:rsidR="00A852A3" w:rsidRPr="00B947D9">
        <w:rPr>
          <w:rFonts w:ascii="Times New Roman" w:hAnsi="Times New Roman"/>
          <w:color w:val="000000" w:themeColor="text1"/>
        </w:rPr>
        <w:t>,</w:t>
      </w:r>
      <w:r w:rsidRPr="00B947D9">
        <w:rPr>
          <w:rFonts w:ascii="Times New Roman" w:hAnsi="Times New Roman"/>
          <w:color w:val="000000" w:themeColor="text1"/>
        </w:rPr>
        <w:t xml:space="preserve"> the survey data provide the best </w:t>
      </w:r>
      <w:r w:rsidR="00A852A3" w:rsidRPr="00B947D9">
        <w:rPr>
          <w:rFonts w:ascii="Times New Roman" w:hAnsi="Times New Roman"/>
          <w:color w:val="000000" w:themeColor="text1"/>
        </w:rPr>
        <w:t>alternative</w:t>
      </w:r>
      <w:r w:rsidRPr="00B947D9">
        <w:rPr>
          <w:rFonts w:ascii="Times New Roman" w:hAnsi="Times New Roman"/>
          <w:color w:val="000000" w:themeColor="text1"/>
        </w:rPr>
        <w:t xml:space="preserve"> to construct wealth distributions.</w:t>
      </w:r>
    </w:p>
    <w:p w14:paraId="5BCB33DF" w14:textId="706B5A5E" w:rsidR="00CE24F8" w:rsidRPr="00B947D9" w:rsidRDefault="00CE24F8" w:rsidP="00CE24F8">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rPr>
        <w:t>In the final step, we simulate the changes on the prices of the assets on the different wealth components. We obtain wealth distributions per country which allows to identify how households from different wealth groups (</w:t>
      </w:r>
      <w:r w:rsidR="00A852A3" w:rsidRPr="00B947D9">
        <w:rPr>
          <w:rFonts w:ascii="Times New Roman" w:hAnsi="Times New Roman"/>
          <w:color w:val="000000" w:themeColor="text1"/>
        </w:rPr>
        <w:t xml:space="preserve">from </w:t>
      </w:r>
      <w:r w:rsidRPr="00B947D9">
        <w:rPr>
          <w:rFonts w:ascii="Times New Roman" w:hAnsi="Times New Roman"/>
          <w:color w:val="000000" w:themeColor="text1"/>
        </w:rPr>
        <w:t>low wealth to the top 5%) have experienced higher/lower capital gains across EA countries.</w:t>
      </w:r>
    </w:p>
    <w:p w14:paraId="4FC9DD52" w14:textId="7B4AFB45" w:rsidR="00AE20E8" w:rsidRPr="00B947D9" w:rsidRDefault="00CE24F8"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rPr>
        <w:tab/>
      </w:r>
      <w:r w:rsidR="004A258E" w:rsidRPr="00B947D9">
        <w:rPr>
          <w:rFonts w:ascii="Times New Roman" w:hAnsi="Times New Roman"/>
          <w:color w:val="000000" w:themeColor="text1"/>
          <w:lang w:val="en-US"/>
        </w:rPr>
        <w:t>Our results suggest that the low wealth (25%) group experienced relatively more gains from the negative deposit facility rate compared to the middle groups. This is explained by the combined fact that the negative deposit facility rate cumulatively affects housing prices relatively more and that housing is the main component of wealth among low wealth households. On the other hand, Quantitative Easing positively affected equities and bonds, and negatively housing prices contributing to substantial gains to the top 5% of the wealth distribution since these households hold relatively more wealth in financial assets and private businesses.</w:t>
      </w:r>
    </w:p>
    <w:p w14:paraId="73849EDB" w14:textId="3851BADD" w:rsidR="001A281A" w:rsidRPr="00B947D9" w:rsidRDefault="001A281A" w:rsidP="001A281A">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Across Euro Area countries, low wealth households in France, the Netherlands, Italy, </w:t>
      </w:r>
      <w:r w:rsidR="005640C0">
        <w:rPr>
          <w:rFonts w:ascii="Times New Roman" w:hAnsi="Times New Roman"/>
          <w:color w:val="000000" w:themeColor="text1"/>
          <w:lang w:val="en-US"/>
        </w:rPr>
        <w:t xml:space="preserve">and </w:t>
      </w:r>
      <w:r w:rsidRPr="00B947D9">
        <w:rPr>
          <w:rFonts w:ascii="Times New Roman" w:hAnsi="Times New Roman"/>
          <w:color w:val="000000" w:themeColor="text1"/>
          <w:lang w:val="en-US"/>
        </w:rPr>
        <w:t>Germany benefit most. On the contrary, the top 5% of the wealth distribution group is mostly benefitted in Slovakia and Slovenia. Our analysis highlights crucial differences in the effects of monetary policy across countries and households, depending on portfolio structures. This suggests that the different unconventional monetary policies have differential effects on the distribution of wealth and highlights the importance of designing monetary policy tools targeting to reduce wealth inequality.</w:t>
      </w:r>
    </w:p>
    <w:p w14:paraId="7624BBEA" w14:textId="4BB32852" w:rsidR="00A40114" w:rsidRPr="00B947D9" w:rsidRDefault="00EF5F35" w:rsidP="00EF5F35">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ab/>
        <w:t xml:space="preserve">Our research contributes to the general literature of the distributional effects of monetary policy. </w:t>
      </w:r>
      <w:r w:rsidR="00A40114" w:rsidRPr="00B947D9">
        <w:rPr>
          <w:rFonts w:ascii="Times New Roman" w:hAnsi="Times New Roman"/>
          <w:color w:val="000000" w:themeColor="text1"/>
        </w:rPr>
        <w:t>The existing literature mainly uses two approaches to identify how changes in asset prices might affect the value of wealth. The first approach focuses on surprise changes on the price of assets, as these changes will have a differential impact on the wealth of each household due to differential household portfolios. Doepke and Schneider (2006) simulate such a 10% increase in U.S. prices and find no wealth redistribution. Adam and Zhu (2016) using a similar context highlight that surprise changes in prices affect differently Euro Area countries, with countries with younger and indebted households benefiting more from a price increase.</w:t>
      </w:r>
    </w:p>
    <w:p w14:paraId="714C5760" w14:textId="1CCB3DFF" w:rsidR="00200ACC" w:rsidRPr="00B947D9" w:rsidRDefault="00A40114" w:rsidP="00200ACC">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rPr>
        <w:t>The second approach is based on the reaction of asset prices following a monetary policy shock. For example, a decrease in the short-term interest rates is known to have a positive effect on bond, stock, and house prices.</w:t>
      </w:r>
      <w:r w:rsidRPr="00B947D9">
        <w:rPr>
          <w:rFonts w:ascii="Times New Roman" w:hAnsi="Times New Roman"/>
          <w:color w:val="000000" w:themeColor="text1"/>
          <w:lang w:val="en-US"/>
        </w:rPr>
        <w:t xml:space="preserve"> Domanski et al. (2016) assume an unchanged portfolio and simulate the trajectory of the value of the financial assets using information on their prices. They find that changes in equity prices have been a key element for changes in wealth inequality in advanced countries following the initial</w:t>
      </w:r>
      <w:r w:rsidR="00200ACC" w:rsidRPr="00B947D9">
        <w:rPr>
          <w:rFonts w:ascii="Times New Roman" w:hAnsi="Times New Roman"/>
          <w:color w:val="000000" w:themeColor="text1"/>
          <w:lang w:val="en-US"/>
        </w:rPr>
        <w:t xml:space="preserve"> negative</w:t>
      </w:r>
      <w:r w:rsidRPr="00B947D9">
        <w:rPr>
          <w:rFonts w:ascii="Times New Roman" w:hAnsi="Times New Roman"/>
          <w:color w:val="000000" w:themeColor="text1"/>
          <w:lang w:val="en-US"/>
        </w:rPr>
        <w:t xml:space="preserve"> shock </w:t>
      </w:r>
      <w:r w:rsidR="00200ACC" w:rsidRPr="00B947D9">
        <w:rPr>
          <w:rFonts w:ascii="Times New Roman" w:hAnsi="Times New Roman"/>
          <w:color w:val="000000" w:themeColor="text1"/>
          <w:lang w:val="en-US"/>
        </w:rPr>
        <w:t>leading to</w:t>
      </w:r>
      <w:r w:rsidRPr="00B947D9">
        <w:rPr>
          <w:rFonts w:ascii="Times New Roman" w:hAnsi="Times New Roman"/>
          <w:color w:val="000000" w:themeColor="text1"/>
          <w:lang w:val="en-US"/>
        </w:rPr>
        <w:t xml:space="preserve"> the </w:t>
      </w:r>
      <w:r w:rsidR="00200ACC" w:rsidRPr="00B947D9">
        <w:rPr>
          <w:rFonts w:ascii="Times New Roman" w:hAnsi="Times New Roman"/>
          <w:color w:val="000000" w:themeColor="text1"/>
          <w:lang w:val="en-US"/>
        </w:rPr>
        <w:t>G</w:t>
      </w:r>
      <w:r w:rsidRPr="00B947D9">
        <w:rPr>
          <w:rFonts w:ascii="Times New Roman" w:hAnsi="Times New Roman"/>
          <w:color w:val="000000" w:themeColor="text1"/>
          <w:lang w:val="en-US"/>
        </w:rPr>
        <w:t xml:space="preserve">reat </w:t>
      </w:r>
      <w:r w:rsidR="00200ACC" w:rsidRPr="00B947D9">
        <w:rPr>
          <w:rFonts w:ascii="Times New Roman" w:hAnsi="Times New Roman"/>
          <w:color w:val="000000" w:themeColor="text1"/>
          <w:lang w:val="en-US"/>
        </w:rPr>
        <w:t>R</w:t>
      </w:r>
      <w:r w:rsidRPr="00B947D9">
        <w:rPr>
          <w:rFonts w:ascii="Times New Roman" w:hAnsi="Times New Roman"/>
          <w:color w:val="000000" w:themeColor="text1"/>
          <w:lang w:val="en-US"/>
        </w:rPr>
        <w:t>ecession</w:t>
      </w:r>
      <w:r w:rsidR="00200ACC" w:rsidRPr="00B947D9">
        <w:rPr>
          <w:rFonts w:ascii="Times New Roman" w:hAnsi="Times New Roman"/>
          <w:color w:val="000000" w:themeColor="text1"/>
          <w:lang w:val="en-US"/>
        </w:rPr>
        <w:t>.</w:t>
      </w:r>
    </w:p>
    <w:p w14:paraId="1F4DBB7A" w14:textId="7DDD3D25" w:rsidR="009F5CF0" w:rsidRPr="00B947D9" w:rsidRDefault="009F5CF0" w:rsidP="00200ACC">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rPr>
        <w:t>Unconventional monetary policy measures and wealth inequality are indissolubly connected. Hohberger et al. (2020) study the differences between the effects of conventional monetary policy and quantitative easing, using a DSGE model for the euro area. They find that in the medium- and long-run, monetary easing mitigates wealth inequality between wealthier and poorer households. On the other hand, Kuhn et al. (2020) find that wealth distribution is affected by asset prices, as housing is the main</w:t>
      </w:r>
      <w:r w:rsidR="00B947D9">
        <w:rPr>
          <w:rFonts w:ascii="Times New Roman" w:hAnsi="Times New Roman"/>
          <w:color w:val="000000" w:themeColor="text1"/>
        </w:rPr>
        <w:t xml:space="preserve"> wealth</w:t>
      </w:r>
      <w:r w:rsidRPr="00B947D9">
        <w:rPr>
          <w:rFonts w:ascii="Times New Roman" w:hAnsi="Times New Roman"/>
          <w:color w:val="000000" w:themeColor="text1"/>
        </w:rPr>
        <w:t xml:space="preserve"> asset of middle-class households, while business equity dominates </w:t>
      </w:r>
      <w:r w:rsidR="00B947D9">
        <w:rPr>
          <w:rFonts w:ascii="Times New Roman" w:hAnsi="Times New Roman"/>
          <w:color w:val="000000" w:themeColor="text1"/>
        </w:rPr>
        <w:t xml:space="preserve">in </w:t>
      </w:r>
      <w:r w:rsidRPr="00B947D9">
        <w:rPr>
          <w:rFonts w:ascii="Times New Roman" w:hAnsi="Times New Roman"/>
          <w:color w:val="000000" w:themeColor="text1"/>
        </w:rPr>
        <w:t>rich household’s portfolios. In a recent work, Mumtaz and Theophilopoulou (2020) find that loose monetary policy shocks increase wealth inequality, especially through net property and financial wealth. Evgenidis and Fasianos (2020) show that wealth inequality is strongly affected by non-standard monetary policy measures, through portfolio rebalancing practices. Finally, Casiraghi et al. (2018) show that the effects of unconventional monetary policy on employment and economic activity outweigh those on financial variables, while the response of net wealth is U- shaped</w:t>
      </w:r>
      <w:r w:rsidR="00A77E0E" w:rsidRPr="00B947D9">
        <w:rPr>
          <w:rFonts w:ascii="Times New Roman" w:hAnsi="Times New Roman"/>
          <w:color w:val="000000" w:themeColor="text1"/>
        </w:rPr>
        <w:t xml:space="preserve">; </w:t>
      </w:r>
      <w:r w:rsidRPr="00B947D9">
        <w:rPr>
          <w:rFonts w:ascii="Times New Roman" w:hAnsi="Times New Roman"/>
          <w:color w:val="000000" w:themeColor="text1"/>
        </w:rPr>
        <w:t>l</w:t>
      </w:r>
      <w:r w:rsidR="007B7403" w:rsidRPr="00B947D9">
        <w:rPr>
          <w:rFonts w:ascii="Times New Roman" w:hAnsi="Times New Roman"/>
          <w:color w:val="000000" w:themeColor="text1"/>
        </w:rPr>
        <w:t xml:space="preserve">ow </w:t>
      </w:r>
      <w:r w:rsidRPr="00B947D9">
        <w:rPr>
          <w:rFonts w:ascii="Times New Roman" w:hAnsi="Times New Roman"/>
          <w:color w:val="000000" w:themeColor="text1"/>
        </w:rPr>
        <w:t xml:space="preserve">wealth households benefit from their leveraged positions </w:t>
      </w:r>
      <w:r w:rsidR="008D2771" w:rsidRPr="00B947D9">
        <w:rPr>
          <w:rFonts w:ascii="Times New Roman" w:hAnsi="Times New Roman"/>
          <w:color w:val="000000" w:themeColor="text1"/>
        </w:rPr>
        <w:t>whereas</w:t>
      </w:r>
      <w:r w:rsidRPr="00B947D9">
        <w:rPr>
          <w:rFonts w:ascii="Times New Roman" w:hAnsi="Times New Roman"/>
          <w:color w:val="000000" w:themeColor="text1"/>
        </w:rPr>
        <w:t xml:space="preserve"> wealthier households</w:t>
      </w:r>
      <w:r w:rsidR="008D2771" w:rsidRPr="00B947D9">
        <w:rPr>
          <w:rFonts w:ascii="Times New Roman" w:hAnsi="Times New Roman"/>
          <w:color w:val="000000" w:themeColor="text1"/>
        </w:rPr>
        <w:t xml:space="preserve"> mostly benefit</w:t>
      </w:r>
      <w:r w:rsidRPr="00B947D9">
        <w:rPr>
          <w:rFonts w:ascii="Times New Roman" w:hAnsi="Times New Roman"/>
          <w:color w:val="000000" w:themeColor="text1"/>
        </w:rPr>
        <w:t xml:space="preserve"> from their larger share of financial assets. </w:t>
      </w:r>
    </w:p>
    <w:p w14:paraId="5C6DCC6A" w14:textId="5324EB6A" w:rsidR="003C2693" w:rsidRPr="00B947D9" w:rsidRDefault="003C2693" w:rsidP="006C167D">
      <w:pPr>
        <w:pStyle w:val="Heading1"/>
        <w:spacing w:line="480" w:lineRule="auto"/>
        <w:jc w:val="both"/>
        <w:rPr>
          <w:rFonts w:ascii="Times New Roman" w:hAnsi="Times New Roman" w:cs="Times New Roman"/>
          <w:color w:val="000000" w:themeColor="text1"/>
          <w:sz w:val="24"/>
          <w:szCs w:val="24"/>
          <w:lang w:val="en-US"/>
        </w:rPr>
      </w:pPr>
      <w:r w:rsidRPr="00B947D9">
        <w:rPr>
          <w:rFonts w:ascii="Times New Roman" w:hAnsi="Times New Roman" w:cs="Times New Roman"/>
          <w:color w:val="000000" w:themeColor="text1"/>
          <w:sz w:val="24"/>
          <w:szCs w:val="24"/>
          <w:lang w:val="en-US"/>
        </w:rPr>
        <w:t>2. Unconventional monetary policy</w:t>
      </w:r>
    </w:p>
    <w:p w14:paraId="35CB2F89" w14:textId="50BE132C" w:rsidR="00C30974" w:rsidRPr="00B947D9" w:rsidRDefault="00C30974" w:rsidP="006C167D">
      <w:pPr>
        <w:pStyle w:val="Heading2"/>
        <w:spacing w:line="480" w:lineRule="auto"/>
        <w:jc w:val="both"/>
        <w:rPr>
          <w:rFonts w:ascii="Times New Roman" w:hAnsi="Times New Roman"/>
          <w:color w:val="000000" w:themeColor="text1"/>
          <w:sz w:val="24"/>
          <w:szCs w:val="24"/>
          <w:lang w:val="en-US"/>
        </w:rPr>
      </w:pPr>
      <w:r w:rsidRPr="00B947D9">
        <w:rPr>
          <w:rFonts w:ascii="Times New Roman" w:hAnsi="Times New Roman"/>
          <w:color w:val="000000" w:themeColor="text1"/>
          <w:sz w:val="24"/>
          <w:szCs w:val="24"/>
          <w:lang w:val="en-US"/>
        </w:rPr>
        <w:t xml:space="preserve">2.1. </w:t>
      </w:r>
      <w:r w:rsidR="003C2693" w:rsidRPr="00B947D9">
        <w:rPr>
          <w:rFonts w:ascii="Times New Roman" w:hAnsi="Times New Roman"/>
          <w:color w:val="000000" w:themeColor="text1"/>
          <w:sz w:val="24"/>
          <w:szCs w:val="24"/>
          <w:lang w:val="en-US"/>
        </w:rPr>
        <w:t>Historical overview</w:t>
      </w:r>
    </w:p>
    <w:p w14:paraId="723F2B00" w14:textId="571CC200" w:rsidR="00CE3E41" w:rsidRPr="00B947D9" w:rsidRDefault="00CE3E41" w:rsidP="006C167D">
      <w:pPr>
        <w:spacing w:line="480" w:lineRule="auto"/>
        <w:jc w:val="both"/>
        <w:rPr>
          <w:rFonts w:ascii="Times New Roman" w:hAnsi="Times New Roman"/>
          <w:color w:val="000000" w:themeColor="text1"/>
        </w:rPr>
      </w:pPr>
      <w:r w:rsidRPr="00B947D9">
        <w:rPr>
          <w:rFonts w:ascii="Times New Roman" w:hAnsi="Times New Roman"/>
          <w:color w:val="000000" w:themeColor="text1"/>
        </w:rPr>
        <w:t>The 2007 financial crisis and the subsequent sovereign debt crisis affected negatively many European countries urging for unconventional monetary policy measures aiming at overcoming recession and stabilizing the Euro. Over the period 2014–2020, the ECB implement</w:t>
      </w:r>
      <w:r w:rsidR="00DA3F68" w:rsidRPr="00B947D9">
        <w:rPr>
          <w:rFonts w:ascii="Times New Roman" w:hAnsi="Times New Roman"/>
          <w:color w:val="000000" w:themeColor="text1"/>
        </w:rPr>
        <w:t>ed</w:t>
      </w:r>
      <w:r w:rsidRPr="00B947D9">
        <w:rPr>
          <w:rFonts w:ascii="Times New Roman" w:hAnsi="Times New Roman"/>
          <w:color w:val="000000" w:themeColor="text1"/>
        </w:rPr>
        <w:t xml:space="preserve"> various unconventional monetary policy (UMP) tools to</w:t>
      </w:r>
      <w:r w:rsidR="00BD168C" w:rsidRPr="00B947D9">
        <w:rPr>
          <w:rFonts w:ascii="Times New Roman" w:hAnsi="Times New Roman"/>
          <w:color w:val="000000" w:themeColor="text1"/>
        </w:rPr>
        <w:t xml:space="preserve"> help the most affected countries to</w:t>
      </w:r>
      <w:r w:rsidRPr="00B947D9">
        <w:rPr>
          <w:rFonts w:ascii="Times New Roman" w:hAnsi="Times New Roman"/>
          <w:color w:val="000000" w:themeColor="text1"/>
        </w:rPr>
        <w:t xml:space="preserve"> </w:t>
      </w:r>
      <w:r w:rsidR="00BD168C" w:rsidRPr="00B947D9">
        <w:rPr>
          <w:rFonts w:ascii="Times New Roman" w:hAnsi="Times New Roman"/>
          <w:color w:val="000000" w:themeColor="text1"/>
        </w:rPr>
        <w:t>recover</w:t>
      </w:r>
      <w:r w:rsidRPr="00B947D9">
        <w:rPr>
          <w:rFonts w:ascii="Times New Roman" w:hAnsi="Times New Roman"/>
          <w:color w:val="000000" w:themeColor="text1"/>
        </w:rPr>
        <w:t xml:space="preserve"> economic growth and full employment</w:t>
      </w:r>
      <w:r w:rsidR="001D4C98" w:rsidRPr="00B947D9">
        <w:rPr>
          <w:rFonts w:ascii="Times New Roman" w:hAnsi="Times New Roman"/>
          <w:color w:val="000000" w:themeColor="text1"/>
        </w:rPr>
        <w:t xml:space="preserve">, maintain price stability, </w:t>
      </w:r>
      <w:r w:rsidR="00BD168C" w:rsidRPr="00B947D9">
        <w:rPr>
          <w:rFonts w:ascii="Times New Roman" w:hAnsi="Times New Roman"/>
          <w:color w:val="000000" w:themeColor="text1"/>
        </w:rPr>
        <w:t>and importantly</w:t>
      </w:r>
      <w:r w:rsidRPr="00B947D9">
        <w:rPr>
          <w:rFonts w:ascii="Times New Roman" w:hAnsi="Times New Roman"/>
          <w:color w:val="000000" w:themeColor="text1"/>
        </w:rPr>
        <w:t xml:space="preserve"> </w:t>
      </w:r>
      <w:r w:rsidR="00BD168C" w:rsidRPr="00B947D9">
        <w:rPr>
          <w:rFonts w:ascii="Times New Roman" w:hAnsi="Times New Roman"/>
          <w:color w:val="000000" w:themeColor="text1"/>
        </w:rPr>
        <w:t>boost investment by helping European companies to have access to cheaper</w:t>
      </w:r>
      <w:r w:rsidRPr="00B947D9">
        <w:rPr>
          <w:rFonts w:ascii="Times New Roman" w:hAnsi="Times New Roman"/>
          <w:color w:val="000000" w:themeColor="text1"/>
        </w:rPr>
        <w:t xml:space="preserve"> loans (Dominguez, 2006). </w:t>
      </w:r>
      <w:r w:rsidR="0087661F" w:rsidRPr="00B947D9">
        <w:rPr>
          <w:rFonts w:ascii="Times New Roman" w:hAnsi="Times New Roman"/>
          <w:color w:val="000000" w:themeColor="text1"/>
        </w:rPr>
        <w:t>Figure 1 demonstrates the timeline of these monetary policy measures.</w:t>
      </w:r>
    </w:p>
    <w:p w14:paraId="01964784" w14:textId="77777777" w:rsidR="0087661F" w:rsidRPr="00B947D9" w:rsidRDefault="0087661F" w:rsidP="006C167D">
      <w:pPr>
        <w:spacing w:line="480" w:lineRule="auto"/>
        <w:jc w:val="center"/>
        <w:rPr>
          <w:rFonts w:ascii="Times New Roman" w:hAnsi="Times New Roman"/>
          <w:b/>
          <w:bCs/>
          <w:color w:val="000000" w:themeColor="text1"/>
          <w:shd w:val="clear" w:color="auto" w:fill="FCFCFC"/>
          <w:lang w:val="en-US"/>
        </w:rPr>
      </w:pPr>
      <w:r w:rsidRPr="00B947D9">
        <w:rPr>
          <w:rFonts w:ascii="Times New Roman" w:hAnsi="Times New Roman"/>
          <w:b/>
          <w:bCs/>
          <w:color w:val="000000" w:themeColor="text1"/>
          <w:shd w:val="clear" w:color="auto" w:fill="FCFCFC"/>
          <w:lang w:val="en-US"/>
        </w:rPr>
        <w:t>Figure 1.</w:t>
      </w:r>
      <w:r w:rsidRPr="00B947D9">
        <w:rPr>
          <w:rFonts w:ascii="Times New Roman" w:hAnsi="Times New Roman"/>
          <w:color w:val="000000" w:themeColor="text1"/>
          <w:shd w:val="clear" w:color="auto" w:fill="FCFCFC"/>
          <w:lang w:val="en-US"/>
        </w:rPr>
        <w:t xml:space="preserve"> The timeline of ECB’s unconventional monetary policy (UMP) tools</w:t>
      </w:r>
    </w:p>
    <w:p w14:paraId="7B337ED9" w14:textId="2BE3D0F4" w:rsidR="0087661F" w:rsidRPr="00B947D9" w:rsidRDefault="0087661F" w:rsidP="006C167D">
      <w:pPr>
        <w:spacing w:line="480" w:lineRule="auto"/>
        <w:jc w:val="center"/>
        <w:rPr>
          <w:rFonts w:ascii="Times New Roman" w:hAnsi="Times New Roman"/>
          <w:b/>
          <w:color w:val="000000" w:themeColor="text1"/>
          <w:lang w:val="en-US"/>
        </w:rPr>
      </w:pPr>
      <w:r w:rsidRPr="00B947D9">
        <w:rPr>
          <w:rFonts w:ascii="Times New Roman" w:hAnsi="Times New Roman"/>
          <w:noProof/>
          <w:color w:val="000000" w:themeColor="text1"/>
          <w:lang w:eastAsia="el-GR"/>
        </w:rPr>
        <w:drawing>
          <wp:inline distT="0" distB="0" distL="0" distR="0" wp14:anchorId="7404AB14" wp14:editId="32D705BD">
            <wp:extent cx="5873750" cy="1955876"/>
            <wp:effectExtent l="0" t="19050" r="0" b="0"/>
            <wp:docPr id="1274693508" name="Diagram 12746935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C07D5EF" w14:textId="26874196" w:rsidR="00F033C4" w:rsidRPr="00B947D9" w:rsidRDefault="00D330E9" w:rsidP="00E621CD">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rPr>
        <w:t>During the years 2013 and 2014</w:t>
      </w:r>
      <w:r w:rsidR="00CE3E41" w:rsidRPr="00B947D9">
        <w:rPr>
          <w:rFonts w:ascii="Times New Roman" w:hAnsi="Times New Roman"/>
          <w:color w:val="000000" w:themeColor="text1"/>
        </w:rPr>
        <w:t>, euro-area inflation was well below the European Central Bank’s (ECB’s) target of 2%</w:t>
      </w:r>
      <w:r w:rsidRPr="00B947D9">
        <w:rPr>
          <w:rFonts w:ascii="Times New Roman" w:hAnsi="Times New Roman"/>
          <w:color w:val="000000" w:themeColor="text1"/>
        </w:rPr>
        <w:t xml:space="preserve">. </w:t>
      </w:r>
      <w:r w:rsidR="00CE3E41" w:rsidRPr="00B947D9">
        <w:rPr>
          <w:rFonts w:ascii="Times New Roman" w:hAnsi="Times New Roman"/>
          <w:color w:val="000000" w:themeColor="text1"/>
        </w:rPr>
        <w:t xml:space="preserve">Faced with zero-bound interest rates in 2014, the ECB </w:t>
      </w:r>
      <w:r w:rsidR="00DA3F68" w:rsidRPr="00B947D9">
        <w:rPr>
          <w:rFonts w:ascii="Times New Roman" w:hAnsi="Times New Roman"/>
          <w:color w:val="000000" w:themeColor="text1"/>
        </w:rPr>
        <w:t>conducted</w:t>
      </w:r>
      <w:r w:rsidR="00CE3E41" w:rsidRPr="00B947D9">
        <w:rPr>
          <w:rFonts w:ascii="Times New Roman" w:hAnsi="Times New Roman"/>
          <w:color w:val="000000" w:themeColor="text1"/>
        </w:rPr>
        <w:t xml:space="preserve"> accommodative monetary policy, </w:t>
      </w:r>
      <w:r w:rsidR="00DA3F68" w:rsidRPr="00B947D9">
        <w:rPr>
          <w:rFonts w:ascii="Times New Roman" w:hAnsi="Times New Roman"/>
          <w:color w:val="000000" w:themeColor="text1"/>
        </w:rPr>
        <w:t>from now on</w:t>
      </w:r>
      <w:r w:rsidR="00CE3E41" w:rsidRPr="00B947D9">
        <w:rPr>
          <w:rFonts w:ascii="Times New Roman" w:hAnsi="Times New Roman"/>
          <w:color w:val="000000" w:themeColor="text1"/>
        </w:rPr>
        <w:t xml:space="preserve"> unconventional monetary policy (UMP), aim</w:t>
      </w:r>
      <w:r w:rsidR="00F16E76" w:rsidRPr="00B947D9">
        <w:rPr>
          <w:rFonts w:ascii="Times New Roman" w:hAnsi="Times New Roman"/>
          <w:color w:val="000000" w:themeColor="text1"/>
        </w:rPr>
        <w:t>ing</w:t>
      </w:r>
      <w:r w:rsidR="00CE3E41" w:rsidRPr="00B947D9">
        <w:rPr>
          <w:rFonts w:ascii="Times New Roman" w:hAnsi="Times New Roman"/>
          <w:color w:val="000000" w:themeColor="text1"/>
        </w:rPr>
        <w:t xml:space="preserve"> at returning inflation </w:t>
      </w:r>
      <w:r w:rsidR="00463AA4" w:rsidRPr="00B947D9">
        <w:rPr>
          <w:rFonts w:ascii="Times New Roman" w:hAnsi="Times New Roman"/>
          <w:color w:val="000000" w:themeColor="text1"/>
        </w:rPr>
        <w:t xml:space="preserve">closer to its target, </w:t>
      </w:r>
      <w:r w:rsidR="00CE3E41" w:rsidRPr="00B947D9">
        <w:rPr>
          <w:rFonts w:ascii="Times New Roman" w:hAnsi="Times New Roman"/>
          <w:color w:val="000000" w:themeColor="text1"/>
        </w:rPr>
        <w:t>incentiviz</w:t>
      </w:r>
      <w:r w:rsidR="00F16E76" w:rsidRPr="00B947D9">
        <w:rPr>
          <w:rFonts w:ascii="Times New Roman" w:hAnsi="Times New Roman"/>
          <w:color w:val="000000" w:themeColor="text1"/>
        </w:rPr>
        <w:t>ing</w:t>
      </w:r>
      <w:r w:rsidR="00CE3E41" w:rsidRPr="00B947D9">
        <w:rPr>
          <w:rFonts w:ascii="Times New Roman" w:hAnsi="Times New Roman"/>
          <w:color w:val="000000" w:themeColor="text1"/>
        </w:rPr>
        <w:t xml:space="preserve"> ban</w:t>
      </w:r>
      <w:r w:rsidR="00463AA4" w:rsidRPr="00B947D9">
        <w:rPr>
          <w:rFonts w:ascii="Times New Roman" w:hAnsi="Times New Roman"/>
          <w:color w:val="000000" w:themeColor="text1"/>
        </w:rPr>
        <w:t>k lending</w:t>
      </w:r>
      <w:r w:rsidR="00F16E76" w:rsidRPr="00B947D9">
        <w:rPr>
          <w:rFonts w:ascii="Times New Roman" w:hAnsi="Times New Roman"/>
          <w:color w:val="000000" w:themeColor="text1"/>
        </w:rPr>
        <w:t xml:space="preserve">, </w:t>
      </w:r>
      <w:r w:rsidR="00D751B2" w:rsidRPr="00B947D9">
        <w:rPr>
          <w:rFonts w:ascii="Times New Roman" w:hAnsi="Times New Roman"/>
          <w:color w:val="000000" w:themeColor="text1"/>
        </w:rPr>
        <w:t xml:space="preserve">and </w:t>
      </w:r>
      <w:r w:rsidR="00F16E76" w:rsidRPr="00B947D9">
        <w:rPr>
          <w:rFonts w:ascii="Times New Roman" w:hAnsi="Times New Roman"/>
          <w:color w:val="000000" w:themeColor="text1"/>
        </w:rPr>
        <w:t>boosting</w:t>
      </w:r>
      <w:r w:rsidR="00D751B2" w:rsidRPr="00B947D9">
        <w:rPr>
          <w:rFonts w:ascii="Times New Roman" w:hAnsi="Times New Roman"/>
          <w:color w:val="000000" w:themeColor="text1"/>
        </w:rPr>
        <w:t xml:space="preserve"> investment</w:t>
      </w:r>
      <w:r w:rsidR="00CE3E41" w:rsidRPr="00B947D9">
        <w:rPr>
          <w:rFonts w:ascii="Times New Roman" w:hAnsi="Times New Roman"/>
          <w:color w:val="000000" w:themeColor="text1"/>
        </w:rPr>
        <w:t xml:space="preserve">. </w:t>
      </w:r>
      <w:r w:rsidR="00D751B2" w:rsidRPr="00B947D9">
        <w:rPr>
          <w:rFonts w:ascii="Times New Roman" w:hAnsi="Times New Roman"/>
          <w:color w:val="000000" w:themeColor="text1"/>
        </w:rPr>
        <w:t xml:space="preserve">The </w:t>
      </w:r>
      <w:r w:rsidR="00CE3E41" w:rsidRPr="00B947D9">
        <w:rPr>
          <w:rFonts w:ascii="Times New Roman" w:hAnsi="Times New Roman"/>
          <w:color w:val="000000" w:themeColor="text1"/>
        </w:rPr>
        <w:t>main measures</w:t>
      </w:r>
      <w:r w:rsidR="00D751B2" w:rsidRPr="00B947D9">
        <w:rPr>
          <w:rFonts w:ascii="Times New Roman" w:hAnsi="Times New Roman"/>
          <w:color w:val="000000" w:themeColor="text1"/>
        </w:rPr>
        <w:t xml:space="preserve"> followed </w:t>
      </w:r>
      <w:r w:rsidR="00F16E76" w:rsidRPr="00B947D9">
        <w:rPr>
          <w:rFonts w:ascii="Times New Roman" w:hAnsi="Times New Roman"/>
          <w:color w:val="000000" w:themeColor="text1"/>
        </w:rPr>
        <w:t>wer</w:t>
      </w:r>
      <w:r w:rsidR="00D751B2" w:rsidRPr="00B947D9">
        <w:rPr>
          <w:rFonts w:ascii="Times New Roman" w:hAnsi="Times New Roman"/>
          <w:color w:val="000000" w:themeColor="text1"/>
        </w:rPr>
        <w:t>e</w:t>
      </w:r>
      <w:r w:rsidR="00F16E76" w:rsidRPr="00B947D9">
        <w:rPr>
          <w:rFonts w:ascii="Times New Roman" w:hAnsi="Times New Roman"/>
          <w:color w:val="000000" w:themeColor="text1"/>
        </w:rPr>
        <w:t xml:space="preserve">: (a) </w:t>
      </w:r>
      <w:r w:rsidR="00CE3E41" w:rsidRPr="00B947D9">
        <w:rPr>
          <w:rFonts w:ascii="Times New Roman" w:hAnsi="Times New Roman"/>
          <w:color w:val="000000" w:themeColor="text1"/>
        </w:rPr>
        <w:t xml:space="preserve">forward guidance, </w:t>
      </w:r>
      <w:r w:rsidR="00F16E76" w:rsidRPr="00B947D9">
        <w:rPr>
          <w:rFonts w:ascii="Times New Roman" w:hAnsi="Times New Roman"/>
          <w:color w:val="000000" w:themeColor="text1"/>
        </w:rPr>
        <w:t xml:space="preserve">(b) </w:t>
      </w:r>
      <w:r w:rsidR="00CE3E41" w:rsidRPr="00B947D9">
        <w:rPr>
          <w:rFonts w:ascii="Times New Roman" w:hAnsi="Times New Roman"/>
          <w:color w:val="000000" w:themeColor="text1"/>
        </w:rPr>
        <w:t xml:space="preserve">targeted longer-term refinancing operations (TLTROs), </w:t>
      </w:r>
      <w:r w:rsidR="00F16E76" w:rsidRPr="00B947D9">
        <w:rPr>
          <w:rFonts w:ascii="Times New Roman" w:hAnsi="Times New Roman"/>
          <w:color w:val="000000" w:themeColor="text1"/>
        </w:rPr>
        <w:t xml:space="preserve">(c) </w:t>
      </w:r>
      <w:r w:rsidR="00CE3E41" w:rsidRPr="00B947D9">
        <w:rPr>
          <w:rFonts w:ascii="Times New Roman" w:hAnsi="Times New Roman"/>
          <w:color w:val="000000" w:themeColor="text1"/>
        </w:rPr>
        <w:t xml:space="preserve">negative interest rate policy (NIRP), </w:t>
      </w:r>
      <w:r w:rsidR="00F16E76" w:rsidRPr="00B947D9">
        <w:rPr>
          <w:rFonts w:ascii="Times New Roman" w:hAnsi="Times New Roman"/>
          <w:color w:val="000000" w:themeColor="text1"/>
        </w:rPr>
        <w:t xml:space="preserve">(d) </w:t>
      </w:r>
      <w:r w:rsidR="00CE3E41" w:rsidRPr="00B947D9">
        <w:rPr>
          <w:rFonts w:ascii="Times New Roman" w:hAnsi="Times New Roman"/>
          <w:color w:val="000000" w:themeColor="text1"/>
        </w:rPr>
        <w:t>asset purchase programmes (APPs)</w:t>
      </w:r>
      <w:r w:rsidR="00BD7A99" w:rsidRPr="00B947D9">
        <w:rPr>
          <w:rFonts w:ascii="Times New Roman" w:hAnsi="Times New Roman"/>
          <w:color w:val="000000" w:themeColor="text1"/>
        </w:rPr>
        <w:t xml:space="preserve"> which is are part of the Quantitative Easing (QE) policy followed by the ECB</w:t>
      </w:r>
      <w:r w:rsidR="00CE3E41" w:rsidRPr="00B947D9">
        <w:rPr>
          <w:rFonts w:ascii="Times New Roman" w:hAnsi="Times New Roman"/>
          <w:color w:val="000000" w:themeColor="text1"/>
        </w:rPr>
        <w:t>, and</w:t>
      </w:r>
      <w:r w:rsidR="00D751B2" w:rsidRPr="00B947D9">
        <w:rPr>
          <w:rFonts w:ascii="Times New Roman" w:hAnsi="Times New Roman"/>
          <w:color w:val="000000" w:themeColor="text1"/>
        </w:rPr>
        <w:t>,</w:t>
      </w:r>
      <w:r w:rsidR="00CE3E41" w:rsidRPr="00B947D9">
        <w:rPr>
          <w:rFonts w:ascii="Times New Roman" w:hAnsi="Times New Roman"/>
          <w:color w:val="000000" w:themeColor="text1"/>
        </w:rPr>
        <w:t xml:space="preserve"> </w:t>
      </w:r>
      <w:r w:rsidR="00F16E76" w:rsidRPr="00B947D9">
        <w:rPr>
          <w:rFonts w:ascii="Times New Roman" w:hAnsi="Times New Roman"/>
          <w:color w:val="000000" w:themeColor="text1"/>
        </w:rPr>
        <w:t xml:space="preserve">(e) </w:t>
      </w:r>
      <w:r w:rsidR="00CE3E41" w:rsidRPr="00B947D9">
        <w:rPr>
          <w:rFonts w:ascii="Times New Roman" w:hAnsi="Times New Roman"/>
          <w:color w:val="000000" w:themeColor="text1"/>
        </w:rPr>
        <w:t>Pandemic Emergency Purchase Programme (PEPP)</w:t>
      </w:r>
      <w:r w:rsidR="00F16E76" w:rsidRPr="00B947D9">
        <w:rPr>
          <w:rFonts w:ascii="Times New Roman" w:hAnsi="Times New Roman"/>
          <w:color w:val="000000" w:themeColor="text1"/>
        </w:rPr>
        <w:t>, during COVID</w:t>
      </w:r>
      <w:r w:rsidR="00D751B2" w:rsidRPr="00B947D9">
        <w:rPr>
          <w:rFonts w:ascii="Times New Roman" w:hAnsi="Times New Roman"/>
          <w:color w:val="000000" w:themeColor="text1"/>
        </w:rPr>
        <w:t xml:space="preserve">. These measures </w:t>
      </w:r>
      <w:r w:rsidR="00B947D9">
        <w:rPr>
          <w:rFonts w:ascii="Times New Roman" w:hAnsi="Times New Roman"/>
          <w:color w:val="000000" w:themeColor="text1"/>
        </w:rPr>
        <w:t xml:space="preserve">collaboratively </w:t>
      </w:r>
      <w:r w:rsidR="00CE3E41" w:rsidRPr="00B947D9">
        <w:rPr>
          <w:rFonts w:ascii="Times New Roman" w:hAnsi="Times New Roman"/>
          <w:color w:val="000000" w:themeColor="text1"/>
        </w:rPr>
        <w:t xml:space="preserve">worked to </w:t>
      </w:r>
      <w:r w:rsidR="00B947D9" w:rsidRPr="00B947D9">
        <w:rPr>
          <w:rFonts w:ascii="Times New Roman" w:hAnsi="Times New Roman"/>
          <w:color w:val="000000" w:themeColor="text1"/>
        </w:rPr>
        <w:t>reinstate</w:t>
      </w:r>
      <w:r w:rsidR="00D751B2" w:rsidRPr="00B947D9">
        <w:rPr>
          <w:rFonts w:ascii="Times New Roman" w:hAnsi="Times New Roman"/>
          <w:color w:val="000000" w:themeColor="text1"/>
        </w:rPr>
        <w:t xml:space="preserve"> credit</w:t>
      </w:r>
      <w:r w:rsidR="00CE3E41" w:rsidRPr="00B947D9">
        <w:rPr>
          <w:rFonts w:ascii="Times New Roman" w:hAnsi="Times New Roman"/>
          <w:color w:val="000000" w:themeColor="text1"/>
        </w:rPr>
        <w:t xml:space="preserve"> conditions and support</w:t>
      </w:r>
      <w:r w:rsidR="00B947D9">
        <w:rPr>
          <w:rFonts w:ascii="Times New Roman" w:hAnsi="Times New Roman"/>
          <w:color w:val="000000" w:themeColor="text1"/>
        </w:rPr>
        <w:t xml:space="preserve"> the target for</w:t>
      </w:r>
      <w:r w:rsidR="00CE3E41" w:rsidRPr="00B947D9">
        <w:rPr>
          <w:rFonts w:ascii="Times New Roman" w:hAnsi="Times New Roman"/>
          <w:color w:val="000000" w:themeColor="text1"/>
        </w:rPr>
        <w:t xml:space="preserve"> higher inflation (Hartmann &amp; Smets, 2018; Rostagno et al., 2019).</w:t>
      </w:r>
    </w:p>
    <w:p w14:paraId="55E0CA19" w14:textId="59FA8D33" w:rsidR="00F21543" w:rsidRPr="00B947D9" w:rsidRDefault="00F21543" w:rsidP="006C167D">
      <w:pPr>
        <w:pStyle w:val="Heading3"/>
        <w:spacing w:line="480" w:lineRule="auto"/>
        <w:jc w:val="both"/>
        <w:rPr>
          <w:rFonts w:ascii="Times New Roman" w:hAnsi="Times New Roman"/>
          <w:i/>
          <w:iCs/>
          <w:color w:val="000000" w:themeColor="text1"/>
          <w:sz w:val="24"/>
          <w:szCs w:val="24"/>
          <w:shd w:val="clear" w:color="auto" w:fill="FCFCFC"/>
          <w:lang w:val="en-US"/>
        </w:rPr>
      </w:pPr>
      <w:r w:rsidRPr="00B947D9">
        <w:rPr>
          <w:rFonts w:ascii="Times New Roman" w:hAnsi="Times New Roman"/>
          <w:i/>
          <w:iCs/>
          <w:color w:val="000000" w:themeColor="text1"/>
          <w:sz w:val="24"/>
          <w:szCs w:val="24"/>
          <w:lang w:val="en-US"/>
        </w:rPr>
        <w:t>Forward guidance</w:t>
      </w:r>
    </w:p>
    <w:p w14:paraId="1C6EE185" w14:textId="2B52560F" w:rsidR="007A2832" w:rsidRPr="00B947D9" w:rsidRDefault="003F33F9"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The</w:t>
      </w:r>
      <w:r w:rsidR="00F21543" w:rsidRPr="00B947D9">
        <w:rPr>
          <w:rFonts w:ascii="Times New Roman" w:hAnsi="Times New Roman"/>
          <w:color w:val="000000" w:themeColor="text1"/>
          <w:lang w:val="en-US"/>
        </w:rPr>
        <w:t xml:space="preserve"> main objective</w:t>
      </w:r>
      <w:r w:rsidRPr="00B947D9">
        <w:rPr>
          <w:rFonts w:ascii="Times New Roman" w:hAnsi="Times New Roman"/>
          <w:color w:val="000000" w:themeColor="text1"/>
          <w:lang w:val="en-US"/>
        </w:rPr>
        <w:t xml:space="preserve"> of forward guidance</w:t>
      </w:r>
      <w:r w:rsidR="00F21543" w:rsidRPr="00B947D9">
        <w:rPr>
          <w:rFonts w:ascii="Times New Roman" w:hAnsi="Times New Roman"/>
          <w:color w:val="000000" w:themeColor="text1"/>
          <w:lang w:val="en-US"/>
        </w:rPr>
        <w:t xml:space="preserve"> is to inform market participants about the intentions of policymakers </w:t>
      </w:r>
      <w:r w:rsidRPr="00B947D9">
        <w:rPr>
          <w:rFonts w:ascii="Times New Roman" w:hAnsi="Times New Roman"/>
          <w:color w:val="000000" w:themeColor="text1"/>
          <w:lang w:val="en-US"/>
        </w:rPr>
        <w:t>on the future</w:t>
      </w:r>
      <w:r w:rsidR="00F21543" w:rsidRPr="00B947D9">
        <w:rPr>
          <w:rFonts w:ascii="Times New Roman" w:hAnsi="Times New Roman"/>
          <w:color w:val="000000" w:themeColor="text1"/>
          <w:lang w:val="en-US"/>
        </w:rPr>
        <w:t xml:space="preserve"> policy rate</w:t>
      </w:r>
      <w:r w:rsidRPr="00B947D9">
        <w:rPr>
          <w:rFonts w:ascii="Times New Roman" w:hAnsi="Times New Roman"/>
          <w:color w:val="000000" w:themeColor="text1"/>
          <w:lang w:val="en-US"/>
        </w:rPr>
        <w:t>s</w:t>
      </w:r>
      <w:r w:rsidR="00F21543" w:rsidRPr="00B947D9">
        <w:rPr>
          <w:rFonts w:ascii="Times New Roman" w:hAnsi="Times New Roman"/>
          <w:color w:val="000000" w:themeColor="text1"/>
          <w:lang w:val="en-US"/>
        </w:rPr>
        <w:t xml:space="preserve">. Campbell et al. (2012) </w:t>
      </w:r>
      <w:r w:rsidRPr="00B947D9">
        <w:rPr>
          <w:rFonts w:ascii="Times New Roman" w:hAnsi="Times New Roman"/>
          <w:color w:val="000000" w:themeColor="text1"/>
          <w:lang w:val="en-US"/>
        </w:rPr>
        <w:t>discusses</w:t>
      </w:r>
      <w:r w:rsidR="007A2832" w:rsidRPr="00B947D9">
        <w:rPr>
          <w:rFonts w:ascii="Times New Roman" w:hAnsi="Times New Roman"/>
          <w:color w:val="000000" w:themeColor="text1"/>
          <w:lang w:val="en-US"/>
        </w:rPr>
        <w:t xml:space="preserve"> that</w:t>
      </w:r>
      <w:r w:rsidRPr="00B947D9">
        <w:rPr>
          <w:rFonts w:ascii="Times New Roman" w:hAnsi="Times New Roman"/>
          <w:color w:val="000000" w:themeColor="text1"/>
          <w:lang w:val="en-US"/>
        </w:rPr>
        <w:t xml:space="preserve"> </w:t>
      </w:r>
      <w:r w:rsidR="00F21543" w:rsidRPr="00B947D9">
        <w:rPr>
          <w:rFonts w:ascii="Times New Roman" w:hAnsi="Times New Roman"/>
          <w:color w:val="000000" w:themeColor="text1"/>
          <w:lang w:val="en-US"/>
        </w:rPr>
        <w:t xml:space="preserve">the ECB, </w:t>
      </w:r>
      <w:r w:rsidR="007A2832" w:rsidRPr="00B947D9">
        <w:rPr>
          <w:rFonts w:ascii="Times New Roman" w:hAnsi="Times New Roman"/>
          <w:color w:val="000000" w:themeColor="text1"/>
          <w:lang w:val="en-US"/>
        </w:rPr>
        <w:t>with forward guidance</w:t>
      </w:r>
      <w:r w:rsidR="00F21543" w:rsidRPr="00B947D9">
        <w:rPr>
          <w:rFonts w:ascii="Times New Roman" w:hAnsi="Times New Roman"/>
          <w:color w:val="000000" w:themeColor="text1"/>
          <w:lang w:val="en-US"/>
        </w:rPr>
        <w:t xml:space="preserve">, intends </w:t>
      </w:r>
      <w:r w:rsidRPr="00B947D9">
        <w:rPr>
          <w:rFonts w:ascii="Times New Roman" w:hAnsi="Times New Roman"/>
          <w:color w:val="000000" w:themeColor="text1"/>
          <w:lang w:val="en-US"/>
        </w:rPr>
        <w:t xml:space="preserve">to </w:t>
      </w:r>
      <w:r w:rsidR="00F21543" w:rsidRPr="00B947D9">
        <w:rPr>
          <w:rFonts w:ascii="Times New Roman" w:hAnsi="Times New Roman"/>
          <w:color w:val="000000" w:themeColor="text1"/>
          <w:lang w:val="en-US"/>
        </w:rPr>
        <w:t xml:space="preserve">either </w:t>
      </w:r>
      <w:r w:rsidRPr="00B947D9">
        <w:rPr>
          <w:rFonts w:ascii="Times New Roman" w:hAnsi="Times New Roman"/>
          <w:color w:val="000000" w:themeColor="text1"/>
          <w:lang w:val="en-US"/>
        </w:rPr>
        <w:t xml:space="preserve">form expectations on future levels of growth and inflation within the EA, </w:t>
      </w:r>
      <w:r w:rsidR="00F21543" w:rsidRPr="00B947D9">
        <w:rPr>
          <w:rFonts w:ascii="Times New Roman" w:hAnsi="Times New Roman"/>
          <w:color w:val="000000" w:themeColor="text1"/>
          <w:lang w:val="en-US"/>
        </w:rPr>
        <w:t>or</w:t>
      </w:r>
      <w:r w:rsidRPr="00B947D9">
        <w:rPr>
          <w:rFonts w:ascii="Times New Roman" w:hAnsi="Times New Roman"/>
          <w:color w:val="000000" w:themeColor="text1"/>
          <w:lang w:val="en-US"/>
        </w:rPr>
        <w:t xml:space="preserve"> </w:t>
      </w:r>
      <w:r w:rsidR="00F21543" w:rsidRPr="00B947D9">
        <w:rPr>
          <w:rFonts w:ascii="Times New Roman" w:hAnsi="Times New Roman"/>
          <w:color w:val="000000" w:themeColor="text1"/>
          <w:lang w:val="en-US"/>
        </w:rPr>
        <w:t xml:space="preserve">to commit </w:t>
      </w:r>
      <w:r w:rsidRPr="00B947D9">
        <w:rPr>
          <w:rFonts w:ascii="Times New Roman" w:hAnsi="Times New Roman"/>
          <w:color w:val="000000" w:themeColor="text1"/>
          <w:lang w:val="en-US"/>
        </w:rPr>
        <w:t xml:space="preserve">to </w:t>
      </w:r>
      <w:r w:rsidR="00F21543" w:rsidRPr="00B947D9">
        <w:rPr>
          <w:rFonts w:ascii="Times New Roman" w:hAnsi="Times New Roman"/>
          <w:color w:val="000000" w:themeColor="text1"/>
          <w:lang w:val="en-US"/>
        </w:rPr>
        <w:t>low</w:t>
      </w:r>
      <w:r w:rsidRPr="00B947D9">
        <w:rPr>
          <w:rFonts w:ascii="Times New Roman" w:hAnsi="Times New Roman"/>
          <w:color w:val="000000" w:themeColor="text1"/>
          <w:lang w:val="en-US"/>
        </w:rPr>
        <w:t xml:space="preserve"> level interest rates</w:t>
      </w:r>
      <w:r w:rsidR="00F21543" w:rsidRPr="00B947D9">
        <w:rPr>
          <w:rFonts w:ascii="Times New Roman" w:hAnsi="Times New Roman"/>
          <w:color w:val="000000" w:themeColor="text1"/>
          <w:lang w:val="en-US"/>
        </w:rPr>
        <w:t xml:space="preserve"> even if future economic conditions </w:t>
      </w:r>
      <w:r w:rsidRPr="00B947D9">
        <w:rPr>
          <w:rFonts w:ascii="Times New Roman" w:hAnsi="Times New Roman"/>
          <w:color w:val="000000" w:themeColor="text1"/>
          <w:lang w:val="en-US"/>
        </w:rPr>
        <w:t>may suggest</w:t>
      </w:r>
      <w:r w:rsidR="00F21543" w:rsidRPr="00B947D9">
        <w:rPr>
          <w:rFonts w:ascii="Times New Roman" w:hAnsi="Times New Roman"/>
          <w:color w:val="000000" w:themeColor="text1"/>
          <w:lang w:val="en-US"/>
        </w:rPr>
        <w:t xml:space="preserve"> </w:t>
      </w:r>
      <w:r w:rsidR="007A2832" w:rsidRPr="00B947D9">
        <w:rPr>
          <w:rFonts w:ascii="Times New Roman" w:hAnsi="Times New Roman"/>
          <w:color w:val="000000" w:themeColor="text1"/>
          <w:lang w:val="en-US"/>
        </w:rPr>
        <w:t>otherwise</w:t>
      </w:r>
      <w:r w:rsidR="00F21543" w:rsidRPr="00B947D9">
        <w:rPr>
          <w:rFonts w:ascii="Times New Roman" w:hAnsi="Times New Roman"/>
          <w:color w:val="000000" w:themeColor="text1"/>
          <w:lang w:val="en-US"/>
        </w:rPr>
        <w:t>.</w:t>
      </w:r>
      <w:r w:rsidR="004247D2" w:rsidRPr="00B947D9">
        <w:rPr>
          <w:rFonts w:ascii="Times New Roman" w:hAnsi="Times New Roman"/>
          <w:color w:val="000000" w:themeColor="text1"/>
          <w:lang w:val="en-US"/>
        </w:rPr>
        <w:t xml:space="preserve"> </w:t>
      </w:r>
      <w:r w:rsidR="00F21543" w:rsidRPr="00B947D9">
        <w:rPr>
          <w:rFonts w:ascii="Times New Roman" w:eastAsia="Times New Roman" w:hAnsi="Times New Roman"/>
          <w:color w:val="000000" w:themeColor="text1"/>
          <w:lang w:val="en-US" w:eastAsia="el-GR"/>
        </w:rPr>
        <w:t>The ECB began using forward guidance in July 2013 when</w:t>
      </w:r>
      <w:r w:rsidR="007A2832" w:rsidRPr="00B947D9">
        <w:rPr>
          <w:rFonts w:ascii="Times New Roman" w:eastAsia="Times New Roman" w:hAnsi="Times New Roman"/>
          <w:color w:val="000000" w:themeColor="text1"/>
          <w:lang w:val="en-US" w:eastAsia="el-GR"/>
        </w:rPr>
        <w:t xml:space="preserve"> the</w:t>
      </w:r>
      <w:r w:rsidR="00F21543" w:rsidRPr="00B947D9">
        <w:rPr>
          <w:rFonts w:ascii="Times New Roman" w:eastAsia="Times New Roman" w:hAnsi="Times New Roman"/>
          <w:color w:val="000000" w:themeColor="text1"/>
          <w:lang w:val="en-US" w:eastAsia="el-GR"/>
        </w:rPr>
        <w:t xml:space="preserve"> Governing Council </w:t>
      </w:r>
      <w:r w:rsidR="007A2832" w:rsidRPr="00B947D9">
        <w:rPr>
          <w:rFonts w:ascii="Times New Roman" w:eastAsia="Times New Roman" w:hAnsi="Times New Roman"/>
          <w:color w:val="000000" w:themeColor="text1"/>
          <w:lang w:val="en-US" w:eastAsia="el-GR"/>
        </w:rPr>
        <w:t>declared</w:t>
      </w:r>
      <w:r w:rsidR="00F21543" w:rsidRPr="00B947D9">
        <w:rPr>
          <w:rFonts w:ascii="Times New Roman" w:eastAsia="Times New Roman" w:hAnsi="Times New Roman"/>
          <w:color w:val="000000" w:themeColor="text1"/>
          <w:lang w:val="en-US" w:eastAsia="el-GR"/>
        </w:rPr>
        <w:t xml:space="preserve"> that </w:t>
      </w:r>
      <w:r w:rsidR="007A2832" w:rsidRPr="00B947D9">
        <w:rPr>
          <w:rFonts w:ascii="Times New Roman" w:eastAsia="Times New Roman" w:hAnsi="Times New Roman"/>
          <w:color w:val="000000" w:themeColor="text1"/>
          <w:lang w:val="en-US" w:eastAsia="el-GR"/>
        </w:rPr>
        <w:t>they</w:t>
      </w:r>
      <w:r w:rsidR="00F21543" w:rsidRPr="00B947D9">
        <w:rPr>
          <w:rFonts w:ascii="Times New Roman" w:eastAsia="Times New Roman" w:hAnsi="Times New Roman"/>
          <w:color w:val="000000" w:themeColor="text1"/>
          <w:lang w:val="en-US" w:eastAsia="el-GR"/>
        </w:rPr>
        <w:t xml:space="preserve"> expect interest rates to remain </w:t>
      </w:r>
      <w:r w:rsidR="007A2832" w:rsidRPr="00B947D9">
        <w:rPr>
          <w:rFonts w:ascii="Times New Roman" w:eastAsia="Times New Roman" w:hAnsi="Times New Roman"/>
          <w:color w:val="000000" w:themeColor="text1"/>
          <w:lang w:val="en-US" w:eastAsia="el-GR"/>
        </w:rPr>
        <w:t xml:space="preserve">at </w:t>
      </w:r>
      <w:r w:rsidR="00F21543" w:rsidRPr="00B947D9">
        <w:rPr>
          <w:rFonts w:ascii="Times New Roman" w:eastAsia="Times New Roman" w:hAnsi="Times New Roman"/>
          <w:color w:val="000000" w:themeColor="text1"/>
          <w:lang w:val="en-US" w:eastAsia="el-GR"/>
        </w:rPr>
        <w:t xml:space="preserve">low </w:t>
      </w:r>
      <w:r w:rsidR="007A2832" w:rsidRPr="00B947D9">
        <w:rPr>
          <w:rFonts w:ascii="Times New Roman" w:eastAsia="Times New Roman" w:hAnsi="Times New Roman"/>
          <w:color w:val="000000" w:themeColor="text1"/>
          <w:lang w:val="en-US" w:eastAsia="el-GR"/>
        </w:rPr>
        <w:t xml:space="preserve">levels close to zero (zero-lower bound) </w:t>
      </w:r>
      <w:r w:rsidR="00F21543" w:rsidRPr="00B947D9">
        <w:rPr>
          <w:rFonts w:ascii="Times New Roman" w:eastAsia="Times New Roman" w:hAnsi="Times New Roman"/>
          <w:color w:val="000000" w:themeColor="text1"/>
          <w:lang w:val="en-US" w:eastAsia="el-GR"/>
        </w:rPr>
        <w:t xml:space="preserve">for an extended </w:t>
      </w:r>
      <w:r w:rsidR="007A2832" w:rsidRPr="00B947D9">
        <w:rPr>
          <w:rFonts w:ascii="Times New Roman" w:eastAsia="Times New Roman" w:hAnsi="Times New Roman"/>
          <w:color w:val="000000" w:themeColor="text1"/>
          <w:lang w:val="en-US" w:eastAsia="el-GR"/>
        </w:rPr>
        <w:t>period</w:t>
      </w:r>
      <w:r w:rsidR="00F21543" w:rsidRPr="00B947D9">
        <w:rPr>
          <w:rFonts w:ascii="Times New Roman" w:eastAsia="Times New Roman" w:hAnsi="Times New Roman"/>
          <w:color w:val="000000" w:themeColor="text1"/>
          <w:lang w:val="en-US" w:eastAsia="el-GR"/>
        </w:rPr>
        <w:t>.</w:t>
      </w:r>
    </w:p>
    <w:p w14:paraId="0A32FCDE" w14:textId="2144B55E" w:rsidR="00F03CE5" w:rsidRPr="00B947D9" w:rsidRDefault="00D151BC" w:rsidP="006A5719">
      <w:pPr>
        <w:spacing w:line="480" w:lineRule="auto"/>
        <w:ind w:firstLine="720"/>
        <w:jc w:val="both"/>
        <w:rPr>
          <w:rFonts w:ascii="Times New Roman" w:eastAsia="Times New Roman" w:hAnsi="Times New Roman"/>
          <w:color w:val="000000" w:themeColor="text1"/>
          <w:lang w:val="en-US" w:eastAsia="el-GR"/>
        </w:rPr>
      </w:pPr>
      <w:r w:rsidRPr="00B947D9">
        <w:rPr>
          <w:rFonts w:ascii="Times New Roman" w:hAnsi="Times New Roman"/>
          <w:color w:val="000000" w:themeColor="text1"/>
          <w:lang w:val="en-US"/>
        </w:rPr>
        <w:t>Monetary policy theory suggests that u</w:t>
      </w:r>
      <w:r w:rsidR="007A2832" w:rsidRPr="00B947D9">
        <w:rPr>
          <w:rFonts w:ascii="Times New Roman" w:hAnsi="Times New Roman"/>
          <w:color w:val="000000" w:themeColor="text1"/>
          <w:lang w:val="en-US"/>
        </w:rPr>
        <w:t xml:space="preserve">nder a zero-lower bound environment, with low levels of inflation and almost zero or even negative interest rates, </w:t>
      </w:r>
      <w:r w:rsidR="007A2832" w:rsidRPr="00B947D9">
        <w:rPr>
          <w:rFonts w:ascii="Times New Roman" w:eastAsia="Times New Roman" w:hAnsi="Times New Roman"/>
          <w:color w:val="000000" w:themeColor="text1"/>
          <w:lang w:val="en-US" w:eastAsia="el-GR"/>
        </w:rPr>
        <w:t xml:space="preserve">the central bank loses the ability to control the interest rates </w:t>
      </w:r>
      <w:r w:rsidR="00B947D9">
        <w:rPr>
          <w:rFonts w:ascii="Times New Roman" w:eastAsia="Times New Roman" w:hAnsi="Times New Roman"/>
          <w:color w:val="000000" w:themeColor="text1"/>
          <w:lang w:val="en-US" w:eastAsia="el-GR"/>
        </w:rPr>
        <w:t>and subsequently</w:t>
      </w:r>
      <w:r w:rsidR="007A2832" w:rsidRPr="00B947D9">
        <w:rPr>
          <w:rFonts w:ascii="Times New Roman" w:eastAsia="Times New Roman" w:hAnsi="Times New Roman"/>
          <w:color w:val="000000" w:themeColor="text1"/>
          <w:lang w:val="en-US" w:eastAsia="el-GR"/>
        </w:rPr>
        <w:t xml:space="preserve"> boost investment. Thus, the policy maker needs </w:t>
      </w:r>
      <w:r w:rsidR="00B947D9">
        <w:rPr>
          <w:rFonts w:ascii="Times New Roman" w:eastAsia="Times New Roman" w:hAnsi="Times New Roman"/>
          <w:color w:val="000000" w:themeColor="text1"/>
          <w:lang w:val="en-US" w:eastAsia="el-GR"/>
        </w:rPr>
        <w:t>alternative</w:t>
      </w:r>
      <w:r w:rsidR="007A2832" w:rsidRPr="00B947D9">
        <w:rPr>
          <w:rFonts w:ascii="Times New Roman" w:eastAsia="Times New Roman" w:hAnsi="Times New Roman"/>
          <w:color w:val="000000" w:themeColor="text1"/>
          <w:lang w:val="en-US" w:eastAsia="el-GR"/>
        </w:rPr>
        <w:t xml:space="preserve">, unconventional monetary policy tools to enhance economic activity. </w:t>
      </w:r>
      <w:r w:rsidR="00F21543" w:rsidRPr="00B947D9">
        <w:rPr>
          <w:rFonts w:ascii="Times New Roman" w:eastAsia="Times New Roman" w:hAnsi="Times New Roman"/>
          <w:color w:val="000000" w:themeColor="text1"/>
          <w:lang w:val="en-US" w:eastAsia="el-GR"/>
        </w:rPr>
        <w:t xml:space="preserve">In such circumstances, clear communication about future monetary policy intentions </w:t>
      </w:r>
      <w:r w:rsidR="005D08E4" w:rsidRPr="00B947D9">
        <w:rPr>
          <w:rFonts w:ascii="Times New Roman" w:eastAsia="Times New Roman" w:hAnsi="Times New Roman"/>
          <w:color w:val="000000" w:themeColor="text1"/>
          <w:lang w:val="en-US" w:eastAsia="el-GR"/>
        </w:rPr>
        <w:t>helps</w:t>
      </w:r>
      <w:r w:rsidR="00F21543" w:rsidRPr="00B947D9">
        <w:rPr>
          <w:rFonts w:ascii="Times New Roman" w:eastAsia="Times New Roman" w:hAnsi="Times New Roman"/>
          <w:color w:val="000000" w:themeColor="text1"/>
          <w:lang w:val="en-US" w:eastAsia="el-GR"/>
        </w:rPr>
        <w:t xml:space="preserve"> </w:t>
      </w:r>
      <w:r w:rsidR="007A2832" w:rsidRPr="00B947D9">
        <w:rPr>
          <w:rFonts w:ascii="Times New Roman" w:eastAsia="Times New Roman" w:hAnsi="Times New Roman"/>
          <w:color w:val="000000" w:themeColor="text1"/>
          <w:lang w:val="en-US" w:eastAsia="el-GR"/>
        </w:rPr>
        <w:t xml:space="preserve">financial and economic agents to </w:t>
      </w:r>
      <w:r w:rsidR="00244079" w:rsidRPr="00B947D9">
        <w:rPr>
          <w:rFonts w:ascii="Times New Roman" w:eastAsia="Times New Roman" w:hAnsi="Times New Roman"/>
          <w:color w:val="000000" w:themeColor="text1"/>
          <w:lang w:val="en-US" w:eastAsia="el-GR"/>
        </w:rPr>
        <w:t>better forecast</w:t>
      </w:r>
      <w:r w:rsidR="007A2832" w:rsidRPr="00B947D9">
        <w:rPr>
          <w:rFonts w:ascii="Times New Roman" w:eastAsia="Times New Roman" w:hAnsi="Times New Roman"/>
          <w:color w:val="000000" w:themeColor="text1"/>
          <w:lang w:val="en-US" w:eastAsia="el-GR"/>
        </w:rPr>
        <w:t xml:space="preserve"> </w:t>
      </w:r>
      <w:r w:rsidR="005D08E4" w:rsidRPr="00B947D9">
        <w:rPr>
          <w:rFonts w:ascii="Times New Roman" w:eastAsia="Times New Roman" w:hAnsi="Times New Roman"/>
          <w:color w:val="000000" w:themeColor="text1"/>
          <w:lang w:val="en-US" w:eastAsia="el-GR"/>
        </w:rPr>
        <w:t xml:space="preserve">the evolution of </w:t>
      </w:r>
      <w:r w:rsidR="00244079" w:rsidRPr="00B947D9">
        <w:rPr>
          <w:rFonts w:ascii="Times New Roman" w:eastAsia="Times New Roman" w:hAnsi="Times New Roman"/>
          <w:color w:val="000000" w:themeColor="text1"/>
          <w:lang w:val="en-US" w:eastAsia="el-GR"/>
        </w:rPr>
        <w:t>credit conditions</w:t>
      </w:r>
      <w:r w:rsidR="00F21543" w:rsidRPr="00B947D9">
        <w:rPr>
          <w:rFonts w:ascii="Times New Roman" w:eastAsia="Times New Roman" w:hAnsi="Times New Roman"/>
          <w:color w:val="000000" w:themeColor="text1"/>
          <w:lang w:val="en-US" w:eastAsia="el-GR"/>
        </w:rPr>
        <w:t xml:space="preserve">. </w:t>
      </w:r>
      <w:r w:rsidR="00244079" w:rsidRPr="00B947D9">
        <w:rPr>
          <w:rFonts w:ascii="Times New Roman" w:eastAsia="Times New Roman" w:hAnsi="Times New Roman"/>
          <w:color w:val="000000" w:themeColor="text1"/>
          <w:lang w:val="en-US" w:eastAsia="el-GR"/>
        </w:rPr>
        <w:t>Intrinsically</w:t>
      </w:r>
      <w:r w:rsidR="005D08E4" w:rsidRPr="00B947D9">
        <w:rPr>
          <w:rFonts w:ascii="Times New Roman" w:eastAsia="Times New Roman" w:hAnsi="Times New Roman"/>
          <w:color w:val="000000" w:themeColor="text1"/>
          <w:lang w:val="en-US" w:eastAsia="el-GR"/>
        </w:rPr>
        <w:t>, f</w:t>
      </w:r>
      <w:r w:rsidR="00F21543" w:rsidRPr="00B947D9">
        <w:rPr>
          <w:rFonts w:ascii="Times New Roman" w:eastAsia="Times New Roman" w:hAnsi="Times New Roman"/>
          <w:color w:val="000000" w:themeColor="text1"/>
          <w:lang w:val="en-US" w:eastAsia="el-GR"/>
        </w:rPr>
        <w:t xml:space="preserve">orward guidance </w:t>
      </w:r>
      <w:r w:rsidR="005D08E4" w:rsidRPr="00B947D9">
        <w:rPr>
          <w:rFonts w:ascii="Times New Roman" w:eastAsia="Times New Roman" w:hAnsi="Times New Roman"/>
          <w:color w:val="000000" w:themeColor="text1"/>
          <w:lang w:val="en-US" w:eastAsia="el-GR"/>
        </w:rPr>
        <w:t>creates a space for</w:t>
      </w:r>
      <w:r w:rsidR="00F21543" w:rsidRPr="00B947D9">
        <w:rPr>
          <w:rFonts w:ascii="Times New Roman" w:eastAsia="Times New Roman" w:hAnsi="Times New Roman"/>
          <w:color w:val="000000" w:themeColor="text1"/>
          <w:lang w:val="en-US" w:eastAsia="el-GR"/>
        </w:rPr>
        <w:t xml:space="preserve"> monetary policy</w:t>
      </w:r>
      <w:r w:rsidR="005D08E4" w:rsidRPr="00B947D9">
        <w:rPr>
          <w:rFonts w:ascii="Times New Roman" w:eastAsia="Times New Roman" w:hAnsi="Times New Roman"/>
          <w:color w:val="000000" w:themeColor="text1"/>
          <w:lang w:val="en-US" w:eastAsia="el-GR"/>
        </w:rPr>
        <w:t xml:space="preserve"> to become</w:t>
      </w:r>
      <w:r w:rsidR="00F21543" w:rsidRPr="00B947D9">
        <w:rPr>
          <w:rFonts w:ascii="Times New Roman" w:eastAsia="Times New Roman" w:hAnsi="Times New Roman"/>
          <w:color w:val="000000" w:themeColor="text1"/>
          <w:lang w:val="en-US" w:eastAsia="el-GR"/>
        </w:rPr>
        <w:t xml:space="preserve"> more effective.</w:t>
      </w:r>
    </w:p>
    <w:p w14:paraId="5BB54018" w14:textId="77777777" w:rsidR="00F03CE5" w:rsidRPr="00B947D9" w:rsidRDefault="00F21543" w:rsidP="006C167D">
      <w:pPr>
        <w:pStyle w:val="Heading3"/>
        <w:spacing w:line="480" w:lineRule="auto"/>
        <w:jc w:val="both"/>
        <w:rPr>
          <w:rFonts w:ascii="Times New Roman" w:eastAsia="Times New Roman" w:hAnsi="Times New Roman"/>
          <w:i/>
          <w:iCs/>
          <w:color w:val="000000" w:themeColor="text1"/>
          <w:sz w:val="24"/>
          <w:szCs w:val="24"/>
          <w:lang w:val="en-US" w:eastAsia="el-GR"/>
        </w:rPr>
      </w:pPr>
      <w:r w:rsidRPr="00B947D9">
        <w:rPr>
          <w:rFonts w:ascii="Times New Roman" w:hAnsi="Times New Roman"/>
          <w:i/>
          <w:iCs/>
          <w:color w:val="000000" w:themeColor="text1"/>
          <w:sz w:val="24"/>
          <w:szCs w:val="24"/>
          <w:lang w:val="en-US"/>
        </w:rPr>
        <w:t xml:space="preserve">Targeted longer-term refinancing operations </w:t>
      </w:r>
    </w:p>
    <w:p w14:paraId="6024580D" w14:textId="77777777" w:rsidR="00287F50" w:rsidRPr="00B947D9" w:rsidRDefault="00F21543" w:rsidP="006C167D">
      <w:pPr>
        <w:spacing w:line="480" w:lineRule="auto"/>
        <w:jc w:val="both"/>
        <w:rPr>
          <w:rFonts w:ascii="Times New Roman" w:hAnsi="Times New Roman"/>
          <w:color w:val="000000" w:themeColor="text1"/>
          <w:lang w:val="en-US"/>
        </w:rPr>
      </w:pPr>
      <w:r w:rsidRPr="00B947D9">
        <w:rPr>
          <w:rFonts w:ascii="Times New Roman" w:eastAsia="Times New Roman" w:hAnsi="Times New Roman"/>
          <w:color w:val="000000" w:themeColor="text1"/>
          <w:lang w:val="en-US" w:eastAsia="el-GR"/>
        </w:rPr>
        <w:t xml:space="preserve">The targeted longer-term refinancing operations (TLTROs) are Eurosystem operations that provide financing to credit institutions. </w:t>
      </w:r>
      <w:r w:rsidR="00740B1F" w:rsidRPr="00B947D9">
        <w:rPr>
          <w:rFonts w:ascii="Times New Roman" w:eastAsia="Times New Roman" w:hAnsi="Times New Roman"/>
          <w:color w:val="000000" w:themeColor="text1"/>
          <w:lang w:val="en-US" w:eastAsia="el-GR"/>
        </w:rPr>
        <w:t xml:space="preserve">These operations offer </w:t>
      </w:r>
      <w:r w:rsidRPr="00B947D9">
        <w:rPr>
          <w:rFonts w:ascii="Times New Roman" w:eastAsia="Times New Roman" w:hAnsi="Times New Roman"/>
          <w:color w:val="000000" w:themeColor="text1"/>
          <w:lang w:val="en-US" w:eastAsia="el-GR"/>
        </w:rPr>
        <w:t>long-term funding at attractive</w:t>
      </w:r>
      <w:r w:rsidR="00740B1F" w:rsidRPr="00B947D9">
        <w:rPr>
          <w:rFonts w:ascii="Times New Roman" w:eastAsia="Times New Roman" w:hAnsi="Times New Roman"/>
          <w:color w:val="000000" w:themeColor="text1"/>
          <w:lang w:val="en-US" w:eastAsia="el-GR"/>
        </w:rPr>
        <w:t xml:space="preserve"> terms to</w:t>
      </w:r>
      <w:r w:rsidRPr="00B947D9">
        <w:rPr>
          <w:rFonts w:ascii="Times New Roman" w:eastAsia="Times New Roman" w:hAnsi="Times New Roman"/>
          <w:color w:val="000000" w:themeColor="text1"/>
          <w:lang w:val="en-US" w:eastAsia="el-GR"/>
        </w:rPr>
        <w:t xml:space="preserve"> stimulate </w:t>
      </w:r>
      <w:r w:rsidR="00740B1F" w:rsidRPr="00B947D9">
        <w:rPr>
          <w:rFonts w:ascii="Times New Roman" w:eastAsia="Times New Roman" w:hAnsi="Times New Roman"/>
          <w:color w:val="000000" w:themeColor="text1"/>
          <w:lang w:val="en-US" w:eastAsia="el-GR"/>
        </w:rPr>
        <w:t>credit supply, aiming at increasing real economic activity. They targeted operations, meaning that the amount of each bank’s borrowing facility is linked to its supply of credit to firms and households. Three series of TLTROs</w:t>
      </w:r>
      <w:r w:rsidR="00144F3B" w:rsidRPr="00B947D9">
        <w:rPr>
          <w:rFonts w:ascii="Times New Roman" w:eastAsia="Times New Roman" w:hAnsi="Times New Roman"/>
          <w:color w:val="000000" w:themeColor="text1"/>
          <w:lang w:val="en-US" w:eastAsia="el-GR"/>
        </w:rPr>
        <w:t xml:space="preserve"> were conducted</w:t>
      </w:r>
      <w:r w:rsidR="00740B1F" w:rsidRPr="00B947D9">
        <w:rPr>
          <w:rFonts w:ascii="Times New Roman" w:hAnsi="Times New Roman"/>
          <w:color w:val="000000" w:themeColor="text1"/>
          <w:lang w:val="en-US"/>
        </w:rPr>
        <w:t xml:space="preserve">, </w:t>
      </w:r>
      <w:r w:rsidR="00144F3B" w:rsidRPr="00B947D9">
        <w:rPr>
          <w:rFonts w:ascii="Times New Roman" w:hAnsi="Times New Roman"/>
          <w:color w:val="000000" w:themeColor="text1"/>
          <w:lang w:val="en-US"/>
        </w:rPr>
        <w:t xml:space="preserve">namely </w:t>
      </w:r>
      <w:r w:rsidR="00740B1F" w:rsidRPr="00B947D9">
        <w:rPr>
          <w:rFonts w:ascii="Times New Roman" w:hAnsi="Times New Roman"/>
          <w:color w:val="000000" w:themeColor="text1"/>
          <w:lang w:val="en-US"/>
        </w:rPr>
        <w:t xml:space="preserve">TLTRO I, II, and III, each </w:t>
      </w:r>
      <w:r w:rsidRPr="00B947D9">
        <w:rPr>
          <w:rFonts w:ascii="Times New Roman" w:hAnsi="Times New Roman"/>
          <w:color w:val="000000" w:themeColor="text1"/>
          <w:lang w:val="en-US"/>
        </w:rPr>
        <w:t xml:space="preserve">announced on </w:t>
      </w:r>
      <w:r w:rsidR="00740B1F" w:rsidRPr="00B947D9">
        <w:rPr>
          <w:rFonts w:ascii="Times New Roman" w:hAnsi="Times New Roman"/>
          <w:color w:val="000000" w:themeColor="text1"/>
          <w:lang w:val="en-US"/>
        </w:rPr>
        <w:t>the 5</w:t>
      </w:r>
      <w:r w:rsidR="00740B1F" w:rsidRPr="00B947D9">
        <w:rPr>
          <w:rFonts w:ascii="Times New Roman" w:hAnsi="Times New Roman"/>
          <w:color w:val="000000" w:themeColor="text1"/>
          <w:vertAlign w:val="superscript"/>
          <w:lang w:val="en-US"/>
        </w:rPr>
        <w:t>th</w:t>
      </w:r>
      <w:r w:rsidR="00740B1F" w:rsidRPr="00B947D9">
        <w:rPr>
          <w:rFonts w:ascii="Times New Roman" w:hAnsi="Times New Roman"/>
          <w:color w:val="000000" w:themeColor="text1"/>
          <w:lang w:val="en-US"/>
        </w:rPr>
        <w:t xml:space="preserve"> of</w:t>
      </w:r>
      <w:r w:rsidRPr="00B947D9">
        <w:rPr>
          <w:rFonts w:ascii="Times New Roman" w:hAnsi="Times New Roman"/>
          <w:color w:val="000000" w:themeColor="text1"/>
          <w:lang w:val="en-US"/>
        </w:rPr>
        <w:t xml:space="preserve"> June 2014</w:t>
      </w:r>
      <w:r w:rsidR="00740B1F" w:rsidRPr="00B947D9">
        <w:rPr>
          <w:rFonts w:ascii="Times New Roman" w:hAnsi="Times New Roman"/>
          <w:color w:val="000000" w:themeColor="text1"/>
          <w:lang w:val="en-US"/>
        </w:rPr>
        <w:t>,</w:t>
      </w:r>
      <w:r w:rsidRPr="00B947D9">
        <w:rPr>
          <w:rFonts w:ascii="Times New Roman" w:hAnsi="Times New Roman"/>
          <w:color w:val="000000" w:themeColor="text1"/>
          <w:lang w:val="en-US"/>
        </w:rPr>
        <w:t>10</w:t>
      </w:r>
      <w:r w:rsidR="00740B1F" w:rsidRPr="00B947D9">
        <w:rPr>
          <w:rFonts w:ascii="Times New Roman" w:hAnsi="Times New Roman"/>
          <w:color w:val="000000" w:themeColor="text1"/>
          <w:vertAlign w:val="superscript"/>
          <w:lang w:val="en-US"/>
        </w:rPr>
        <w:t>th</w:t>
      </w:r>
      <w:r w:rsidR="00740B1F" w:rsidRPr="00B947D9">
        <w:rPr>
          <w:rFonts w:ascii="Times New Roman" w:hAnsi="Times New Roman"/>
          <w:color w:val="000000" w:themeColor="text1"/>
          <w:lang w:val="en-US"/>
        </w:rPr>
        <w:t xml:space="preserve"> of</w:t>
      </w:r>
      <w:r w:rsidRPr="00B947D9">
        <w:rPr>
          <w:rFonts w:ascii="Times New Roman" w:hAnsi="Times New Roman"/>
          <w:color w:val="000000" w:themeColor="text1"/>
          <w:lang w:val="en-US"/>
        </w:rPr>
        <w:t xml:space="preserve"> March 2016</w:t>
      </w:r>
      <w:r w:rsidR="00740B1F" w:rsidRPr="00B947D9">
        <w:rPr>
          <w:rFonts w:ascii="Times New Roman" w:hAnsi="Times New Roman"/>
          <w:color w:val="000000" w:themeColor="text1"/>
          <w:lang w:val="en-US"/>
        </w:rPr>
        <w:t xml:space="preserve">, and </w:t>
      </w:r>
      <w:r w:rsidRPr="00B947D9">
        <w:rPr>
          <w:rFonts w:ascii="Times New Roman" w:hAnsi="Times New Roman"/>
          <w:color w:val="000000" w:themeColor="text1"/>
          <w:lang w:val="en-US"/>
        </w:rPr>
        <w:t>7</w:t>
      </w:r>
      <w:r w:rsidR="00740B1F" w:rsidRPr="00B947D9">
        <w:rPr>
          <w:rFonts w:ascii="Times New Roman" w:hAnsi="Times New Roman"/>
          <w:color w:val="000000" w:themeColor="text1"/>
          <w:vertAlign w:val="superscript"/>
          <w:lang w:val="en-US"/>
        </w:rPr>
        <w:t>th</w:t>
      </w:r>
      <w:r w:rsidR="00740B1F" w:rsidRPr="00B947D9">
        <w:rPr>
          <w:rFonts w:ascii="Times New Roman" w:hAnsi="Times New Roman"/>
          <w:color w:val="000000" w:themeColor="text1"/>
          <w:lang w:val="en-US"/>
        </w:rPr>
        <w:t xml:space="preserve"> of</w:t>
      </w:r>
      <w:r w:rsidRPr="00B947D9">
        <w:rPr>
          <w:rFonts w:ascii="Times New Roman" w:hAnsi="Times New Roman"/>
          <w:color w:val="000000" w:themeColor="text1"/>
          <w:lang w:val="en-US"/>
        </w:rPr>
        <w:t xml:space="preserve"> March 2019</w:t>
      </w:r>
      <w:r w:rsidR="00740B1F" w:rsidRPr="00B947D9">
        <w:rPr>
          <w:rFonts w:ascii="Times New Roman" w:hAnsi="Times New Roman"/>
          <w:color w:val="000000" w:themeColor="text1"/>
          <w:lang w:val="en-US"/>
        </w:rPr>
        <w:t xml:space="preserve"> respectively</w:t>
      </w:r>
      <w:r w:rsidRPr="00B947D9">
        <w:rPr>
          <w:rFonts w:ascii="Times New Roman" w:hAnsi="Times New Roman"/>
          <w:color w:val="000000" w:themeColor="text1"/>
          <w:lang w:val="en-US"/>
        </w:rPr>
        <w:t>.</w:t>
      </w:r>
    </w:p>
    <w:p w14:paraId="32A3035A" w14:textId="77777777" w:rsidR="008E4EA4" w:rsidRPr="00B947D9" w:rsidRDefault="00370F6D" w:rsidP="006C167D">
      <w:pPr>
        <w:spacing w:line="480" w:lineRule="auto"/>
        <w:ind w:firstLine="720"/>
        <w:jc w:val="both"/>
        <w:rPr>
          <w:rFonts w:ascii="Times New Roman" w:eastAsia="Times New Roman" w:hAnsi="Times New Roman"/>
          <w:color w:val="000000" w:themeColor="text1"/>
          <w:lang w:val="en-US" w:eastAsia="el-GR"/>
        </w:rPr>
      </w:pPr>
      <w:r w:rsidRPr="00B947D9">
        <w:rPr>
          <w:rFonts w:ascii="Times New Roman" w:eastAsia="Times New Roman" w:hAnsi="Times New Roman"/>
          <w:color w:val="000000" w:themeColor="text1"/>
          <w:lang w:val="en-US" w:eastAsia="el-GR"/>
        </w:rPr>
        <w:t>TLTRO II</w:t>
      </w:r>
      <w:r w:rsidR="00F21543" w:rsidRPr="00B947D9">
        <w:rPr>
          <w:rFonts w:ascii="Times New Roman" w:eastAsia="Times New Roman" w:hAnsi="Times New Roman"/>
          <w:color w:val="000000" w:themeColor="text1"/>
          <w:lang w:val="en-US" w:eastAsia="el-GR"/>
        </w:rPr>
        <w:t xml:space="preserve"> consists of four targeted longer-term refinancing operations, each with a maturity of four years, starting in June 2016 at a quarterly frequency. Borrowing rates in these operations can</w:t>
      </w:r>
      <w:r w:rsidR="008E4EA4" w:rsidRPr="00B947D9">
        <w:rPr>
          <w:rFonts w:ascii="Times New Roman" w:eastAsia="Times New Roman" w:hAnsi="Times New Roman"/>
          <w:color w:val="000000" w:themeColor="text1"/>
          <w:lang w:val="en-US" w:eastAsia="el-GR"/>
        </w:rPr>
        <w:t xml:space="preserve"> potentially</w:t>
      </w:r>
      <w:r w:rsidR="00F21543" w:rsidRPr="00B947D9">
        <w:rPr>
          <w:rFonts w:ascii="Times New Roman" w:eastAsia="Times New Roman" w:hAnsi="Times New Roman"/>
          <w:color w:val="000000" w:themeColor="text1"/>
          <w:lang w:val="en-US" w:eastAsia="el-GR"/>
        </w:rPr>
        <w:t xml:space="preserve"> be a</w:t>
      </w:r>
      <w:r w:rsidR="008E4EA4" w:rsidRPr="00B947D9">
        <w:rPr>
          <w:rFonts w:ascii="Times New Roman" w:eastAsia="Times New Roman" w:hAnsi="Times New Roman"/>
          <w:color w:val="000000" w:themeColor="text1"/>
          <w:lang w:val="en-US" w:eastAsia="el-GR"/>
        </w:rPr>
        <w:t xml:space="preserve">t the low level of the </w:t>
      </w:r>
      <w:r w:rsidR="00F21543" w:rsidRPr="00B947D9">
        <w:rPr>
          <w:rFonts w:ascii="Times New Roman" w:eastAsia="Times New Roman" w:hAnsi="Times New Roman"/>
          <w:color w:val="000000" w:themeColor="text1"/>
          <w:lang w:val="en-US" w:eastAsia="el-GR"/>
        </w:rPr>
        <w:t>deposit facility</w:t>
      </w:r>
      <w:r w:rsidR="008E4EA4" w:rsidRPr="00B947D9">
        <w:rPr>
          <w:rFonts w:ascii="Times New Roman" w:eastAsia="Times New Roman" w:hAnsi="Times New Roman"/>
          <w:color w:val="000000" w:themeColor="text1"/>
          <w:lang w:val="en-US" w:eastAsia="el-GR"/>
        </w:rPr>
        <w:t xml:space="preserve"> rate</w:t>
      </w:r>
      <w:r w:rsidR="00F21543" w:rsidRPr="00B947D9">
        <w:rPr>
          <w:rFonts w:ascii="Times New Roman" w:eastAsia="Times New Roman" w:hAnsi="Times New Roman"/>
          <w:color w:val="000000" w:themeColor="text1"/>
          <w:lang w:val="en-US" w:eastAsia="el-GR"/>
        </w:rPr>
        <w:t>.</w:t>
      </w:r>
      <w:r w:rsidRPr="00B947D9">
        <w:rPr>
          <w:rFonts w:ascii="Times New Roman" w:eastAsia="Times New Roman" w:hAnsi="Times New Roman"/>
          <w:color w:val="000000" w:themeColor="text1"/>
          <w:lang w:val="en-US" w:eastAsia="el-GR"/>
        </w:rPr>
        <w:t xml:space="preserve"> </w:t>
      </w:r>
      <w:r w:rsidR="00F21543" w:rsidRPr="00B947D9">
        <w:rPr>
          <w:rFonts w:ascii="Times New Roman" w:eastAsia="Times New Roman" w:hAnsi="Times New Roman"/>
          <w:color w:val="000000" w:themeColor="text1"/>
          <w:lang w:val="en-US" w:eastAsia="el-GR"/>
        </w:rPr>
        <w:t>TLTRO</w:t>
      </w:r>
      <w:r w:rsidRPr="00B947D9">
        <w:rPr>
          <w:rFonts w:ascii="Times New Roman" w:eastAsia="Times New Roman" w:hAnsi="Times New Roman"/>
          <w:color w:val="000000" w:themeColor="text1"/>
          <w:lang w:val="en-US" w:eastAsia="el-GR"/>
        </w:rPr>
        <w:t xml:space="preserve"> III</w:t>
      </w:r>
      <w:r w:rsidR="00F21543" w:rsidRPr="00B947D9">
        <w:rPr>
          <w:rFonts w:ascii="Times New Roman" w:eastAsia="Times New Roman" w:hAnsi="Times New Roman"/>
          <w:color w:val="000000" w:themeColor="text1"/>
          <w:lang w:val="en-US" w:eastAsia="el-GR"/>
        </w:rPr>
        <w:t xml:space="preserve"> consists of ten targeted longer-term refinancing operations, each with a maturity of three years, starting in September 2019 at a quarterly frequency. Borrowing rates in these operations can be as low as 50 basis points below the average interest rate o</w:t>
      </w:r>
      <w:r w:rsidR="008E4EA4" w:rsidRPr="00B947D9">
        <w:rPr>
          <w:rFonts w:ascii="Times New Roman" w:eastAsia="Times New Roman" w:hAnsi="Times New Roman"/>
          <w:color w:val="000000" w:themeColor="text1"/>
          <w:lang w:val="en-US" w:eastAsia="el-GR"/>
        </w:rPr>
        <w:t>f</w:t>
      </w:r>
      <w:r w:rsidR="00F21543" w:rsidRPr="00B947D9">
        <w:rPr>
          <w:rFonts w:ascii="Times New Roman" w:eastAsia="Times New Roman" w:hAnsi="Times New Roman"/>
          <w:color w:val="000000" w:themeColor="text1"/>
          <w:lang w:val="en-US" w:eastAsia="el-GR"/>
        </w:rPr>
        <w:t xml:space="preserve"> the deposit facility over the period from 24 June 2020 to 23 June 2022, and, if applicable, as low as the average interest rate o</w:t>
      </w:r>
      <w:r w:rsidR="008E4EA4" w:rsidRPr="00B947D9">
        <w:rPr>
          <w:rFonts w:ascii="Times New Roman" w:eastAsia="Times New Roman" w:hAnsi="Times New Roman"/>
          <w:color w:val="000000" w:themeColor="text1"/>
          <w:lang w:val="en-US" w:eastAsia="el-GR"/>
        </w:rPr>
        <w:t>f</w:t>
      </w:r>
      <w:r w:rsidR="00F21543" w:rsidRPr="00B947D9">
        <w:rPr>
          <w:rFonts w:ascii="Times New Roman" w:eastAsia="Times New Roman" w:hAnsi="Times New Roman"/>
          <w:color w:val="000000" w:themeColor="text1"/>
          <w:lang w:val="en-US" w:eastAsia="el-GR"/>
        </w:rPr>
        <w:t xml:space="preserve"> the deposit facility during the rest of the life of the same operation</w:t>
      </w:r>
      <w:r w:rsidR="00433540" w:rsidRPr="00B947D9">
        <w:rPr>
          <w:rFonts w:ascii="Times New Roman" w:eastAsia="Times New Roman" w:hAnsi="Times New Roman"/>
          <w:color w:val="000000" w:themeColor="text1"/>
          <w:lang w:val="en-US" w:eastAsia="el-GR"/>
        </w:rPr>
        <w:t>.</w:t>
      </w:r>
    </w:p>
    <w:p w14:paraId="6FEA8186" w14:textId="77777777" w:rsidR="00895EC1" w:rsidRPr="00B947D9" w:rsidRDefault="00F21543" w:rsidP="006C167D">
      <w:pPr>
        <w:pStyle w:val="Heading3"/>
        <w:spacing w:line="480" w:lineRule="auto"/>
        <w:jc w:val="both"/>
        <w:rPr>
          <w:rFonts w:ascii="Times New Roman" w:eastAsia="Times New Roman" w:hAnsi="Times New Roman"/>
          <w:i/>
          <w:iCs/>
          <w:color w:val="000000" w:themeColor="text1"/>
          <w:sz w:val="24"/>
          <w:szCs w:val="24"/>
          <w:lang w:val="en-US" w:eastAsia="el-GR"/>
        </w:rPr>
      </w:pPr>
      <w:r w:rsidRPr="00B947D9">
        <w:rPr>
          <w:rFonts w:ascii="Times New Roman" w:eastAsia="Times New Roman" w:hAnsi="Times New Roman"/>
          <w:i/>
          <w:iCs/>
          <w:color w:val="000000" w:themeColor="text1"/>
          <w:sz w:val="24"/>
          <w:szCs w:val="24"/>
          <w:lang w:val="en-US" w:eastAsia="el-GR"/>
        </w:rPr>
        <w:t>Negative interest rate</w:t>
      </w:r>
    </w:p>
    <w:p w14:paraId="218EC2AB" w14:textId="356898C2" w:rsidR="00F76E62" w:rsidRPr="00B947D9" w:rsidRDefault="00D24D44" w:rsidP="006C167D">
      <w:pPr>
        <w:spacing w:line="480" w:lineRule="auto"/>
        <w:jc w:val="both"/>
        <w:rPr>
          <w:rFonts w:ascii="Times New Roman" w:eastAsia="Times New Roman" w:hAnsi="Times New Roman"/>
          <w:color w:val="000000" w:themeColor="text1"/>
          <w:lang w:val="en-US" w:eastAsia="el-GR"/>
        </w:rPr>
      </w:pPr>
      <w:r w:rsidRPr="00B947D9">
        <w:rPr>
          <w:rFonts w:ascii="Times New Roman" w:hAnsi="Times New Roman"/>
          <w:color w:val="000000" w:themeColor="text1"/>
          <w:lang w:val="en-US"/>
        </w:rPr>
        <w:t>Following the low levels of economic and investment activity after the financial crisis, t</w:t>
      </w:r>
      <w:r w:rsidR="00F21543" w:rsidRPr="00B947D9">
        <w:rPr>
          <w:rFonts w:ascii="Times New Roman" w:hAnsi="Times New Roman"/>
          <w:color w:val="000000" w:themeColor="text1"/>
          <w:lang w:val="en-US"/>
        </w:rPr>
        <w:t>he ECB lower</w:t>
      </w:r>
      <w:r w:rsidRPr="00B947D9">
        <w:rPr>
          <w:rFonts w:ascii="Times New Roman" w:hAnsi="Times New Roman"/>
          <w:color w:val="000000" w:themeColor="text1"/>
          <w:lang w:val="en-US"/>
        </w:rPr>
        <w:t>s</w:t>
      </w:r>
      <w:r w:rsidR="00F21543" w:rsidRPr="00B947D9">
        <w:rPr>
          <w:rFonts w:ascii="Times New Roman" w:hAnsi="Times New Roman"/>
          <w:color w:val="000000" w:themeColor="text1"/>
          <w:lang w:val="en-US"/>
        </w:rPr>
        <w:t xml:space="preserve"> interest rates </w:t>
      </w:r>
      <w:r w:rsidRPr="00B947D9">
        <w:rPr>
          <w:rFonts w:ascii="Times New Roman" w:hAnsi="Times New Roman"/>
          <w:color w:val="000000" w:themeColor="text1"/>
          <w:lang w:val="en-US"/>
        </w:rPr>
        <w:t>to negative</w:t>
      </w:r>
      <w:r w:rsidR="00F21543" w:rsidRPr="00B947D9">
        <w:rPr>
          <w:rFonts w:ascii="Times New Roman" w:hAnsi="Times New Roman"/>
          <w:color w:val="000000" w:themeColor="text1"/>
          <w:lang w:val="en-US"/>
        </w:rPr>
        <w:t xml:space="preserve"> </w:t>
      </w:r>
      <w:r w:rsidR="00B947D9">
        <w:rPr>
          <w:rFonts w:ascii="Times New Roman" w:hAnsi="Times New Roman"/>
          <w:color w:val="000000" w:themeColor="text1"/>
          <w:lang w:val="en-US"/>
        </w:rPr>
        <w:t>levels</w:t>
      </w:r>
      <w:r w:rsidRPr="00B947D9">
        <w:rPr>
          <w:rFonts w:ascii="Times New Roman" w:hAnsi="Times New Roman"/>
          <w:color w:val="000000" w:themeColor="text1"/>
          <w:lang w:val="en-US"/>
        </w:rPr>
        <w:t xml:space="preserve"> </w:t>
      </w:r>
      <w:r w:rsidR="00F21543" w:rsidRPr="00B947D9">
        <w:rPr>
          <w:rFonts w:ascii="Times New Roman" w:hAnsi="Times New Roman"/>
          <w:color w:val="000000" w:themeColor="text1"/>
          <w:lang w:val="en-US"/>
        </w:rPr>
        <w:t>to</w:t>
      </w:r>
      <w:r w:rsidRPr="00B947D9">
        <w:rPr>
          <w:rFonts w:ascii="Times New Roman" w:hAnsi="Times New Roman"/>
          <w:color w:val="000000" w:themeColor="text1"/>
          <w:lang w:val="en-US"/>
        </w:rPr>
        <w:t xml:space="preserve"> discourage saving and</w:t>
      </w:r>
      <w:r w:rsidR="00F21543"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stimulate</w:t>
      </w:r>
      <w:r w:rsidR="00F21543"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investment and </w:t>
      </w:r>
      <w:r w:rsidR="00F21543" w:rsidRPr="00B947D9">
        <w:rPr>
          <w:rFonts w:ascii="Times New Roman" w:hAnsi="Times New Roman"/>
          <w:color w:val="000000" w:themeColor="text1"/>
          <w:lang w:val="en-US"/>
        </w:rPr>
        <w:t>spending.</w:t>
      </w:r>
      <w:r w:rsidR="00F76E62" w:rsidRPr="00B947D9">
        <w:rPr>
          <w:rFonts w:ascii="Times New Roman" w:hAnsi="Times New Roman"/>
          <w:color w:val="000000" w:themeColor="text1"/>
          <w:lang w:val="en-US"/>
        </w:rPr>
        <w:t xml:space="preserve"> In particular, the</w:t>
      </w:r>
      <w:r w:rsidR="00F21543" w:rsidRPr="00B947D9">
        <w:rPr>
          <w:rFonts w:ascii="Times New Roman" w:hAnsi="Times New Roman"/>
          <w:color w:val="000000" w:themeColor="text1"/>
          <w:lang w:val="en-US"/>
        </w:rPr>
        <w:t xml:space="preserve"> ECB </w:t>
      </w:r>
      <w:r w:rsidR="00F76E62" w:rsidRPr="00B947D9">
        <w:rPr>
          <w:rFonts w:ascii="Times New Roman" w:hAnsi="Times New Roman"/>
          <w:color w:val="000000" w:themeColor="text1"/>
          <w:lang w:val="en-US"/>
        </w:rPr>
        <w:t>adopted a</w:t>
      </w:r>
      <w:r w:rsidR="00F21543" w:rsidRPr="00B947D9">
        <w:rPr>
          <w:rFonts w:ascii="Times New Roman" w:hAnsi="Times New Roman"/>
          <w:color w:val="000000" w:themeColor="text1"/>
          <w:lang w:val="en-US"/>
        </w:rPr>
        <w:t xml:space="preserve"> negative interest rate policy (NIRP) in June 2014. </w:t>
      </w:r>
      <w:r w:rsidR="00DF5601" w:rsidRPr="00B947D9">
        <w:rPr>
          <w:rFonts w:ascii="Times New Roman" w:hAnsi="Times New Roman"/>
          <w:color w:val="000000" w:themeColor="text1"/>
          <w:lang w:val="en-US"/>
        </w:rPr>
        <w:t xml:space="preserve">Furthermore, </w:t>
      </w:r>
      <w:r w:rsidR="00DF5601" w:rsidRPr="00B947D9">
        <w:rPr>
          <w:rFonts w:ascii="Times New Roman" w:eastAsia="Times New Roman" w:hAnsi="Times New Roman"/>
          <w:color w:val="000000" w:themeColor="text1"/>
          <w:lang w:val="en-US" w:eastAsia="el-GR"/>
        </w:rPr>
        <w:t>t</w:t>
      </w:r>
      <w:r w:rsidR="00FB5112" w:rsidRPr="00B947D9">
        <w:rPr>
          <w:rFonts w:ascii="Times New Roman" w:eastAsia="Times New Roman" w:hAnsi="Times New Roman"/>
          <w:color w:val="000000" w:themeColor="text1"/>
          <w:lang w:val="en-US" w:eastAsia="el-GR"/>
        </w:rPr>
        <w:t xml:space="preserve">he ECB has three main interest rates on which it can act: the marginal lending facility for overnight lending to banks, the main refinancing </w:t>
      </w:r>
      <w:r w:rsidR="00DF5601" w:rsidRPr="00B947D9">
        <w:rPr>
          <w:rFonts w:ascii="Times New Roman" w:eastAsia="Times New Roman" w:hAnsi="Times New Roman"/>
          <w:color w:val="000000" w:themeColor="text1"/>
          <w:lang w:val="en-US" w:eastAsia="el-GR"/>
        </w:rPr>
        <w:t>operations rate,</w:t>
      </w:r>
      <w:r w:rsidR="00FB5112" w:rsidRPr="00B947D9">
        <w:rPr>
          <w:rFonts w:ascii="Times New Roman" w:eastAsia="Times New Roman" w:hAnsi="Times New Roman"/>
          <w:color w:val="000000" w:themeColor="text1"/>
          <w:lang w:val="en-US" w:eastAsia="el-GR"/>
        </w:rPr>
        <w:t xml:space="preserve"> and the deposit facility</w:t>
      </w:r>
      <w:r w:rsidR="00DF5601" w:rsidRPr="00B947D9">
        <w:rPr>
          <w:rFonts w:ascii="Times New Roman" w:eastAsia="Times New Roman" w:hAnsi="Times New Roman"/>
          <w:color w:val="000000" w:themeColor="text1"/>
          <w:lang w:val="en-US" w:eastAsia="el-GR"/>
        </w:rPr>
        <w:t xml:space="preserve"> rate</w:t>
      </w:r>
      <w:r w:rsidR="00FB5112" w:rsidRPr="00B947D9">
        <w:rPr>
          <w:rFonts w:ascii="Times New Roman" w:eastAsia="Times New Roman" w:hAnsi="Times New Roman"/>
          <w:color w:val="000000" w:themeColor="text1"/>
          <w:lang w:val="en-US" w:eastAsia="el-GR"/>
        </w:rPr>
        <w:t>. The main refinancing</w:t>
      </w:r>
      <w:r w:rsidR="00DF5601" w:rsidRPr="00B947D9">
        <w:rPr>
          <w:rFonts w:ascii="Times New Roman" w:eastAsia="Times New Roman" w:hAnsi="Times New Roman"/>
          <w:color w:val="000000" w:themeColor="text1"/>
          <w:lang w:val="en-US" w:eastAsia="el-GR"/>
        </w:rPr>
        <w:t xml:space="preserve"> operations</w:t>
      </w:r>
      <w:r w:rsidR="00FB5112" w:rsidRPr="00B947D9">
        <w:rPr>
          <w:rFonts w:ascii="Times New Roman" w:eastAsia="Times New Roman" w:hAnsi="Times New Roman"/>
          <w:color w:val="000000" w:themeColor="text1"/>
          <w:lang w:val="en-US" w:eastAsia="el-GR"/>
        </w:rPr>
        <w:t xml:space="preserve"> rate is the rate at which</w:t>
      </w:r>
      <w:r w:rsidR="00DF5601" w:rsidRPr="00B947D9">
        <w:rPr>
          <w:rFonts w:ascii="Times New Roman" w:eastAsia="Times New Roman" w:hAnsi="Times New Roman"/>
          <w:color w:val="000000" w:themeColor="text1"/>
          <w:lang w:val="en-US" w:eastAsia="el-GR"/>
        </w:rPr>
        <w:t xml:space="preserve"> commercial</w:t>
      </w:r>
      <w:r w:rsidR="00FB5112" w:rsidRPr="00B947D9">
        <w:rPr>
          <w:rFonts w:ascii="Times New Roman" w:eastAsia="Times New Roman" w:hAnsi="Times New Roman"/>
          <w:color w:val="000000" w:themeColor="text1"/>
          <w:lang w:val="en-US" w:eastAsia="el-GR"/>
        </w:rPr>
        <w:t xml:space="preserve"> banks can regularly borrow from the ECB</w:t>
      </w:r>
      <w:r w:rsidR="00DF5601" w:rsidRPr="00B947D9">
        <w:rPr>
          <w:rFonts w:ascii="Times New Roman" w:eastAsia="Times New Roman" w:hAnsi="Times New Roman"/>
          <w:color w:val="000000" w:themeColor="text1"/>
          <w:lang w:val="en-US" w:eastAsia="el-GR"/>
        </w:rPr>
        <w:t>. The</w:t>
      </w:r>
      <w:r w:rsidR="00FB5112" w:rsidRPr="00B947D9">
        <w:rPr>
          <w:rFonts w:ascii="Times New Roman" w:eastAsia="Times New Roman" w:hAnsi="Times New Roman"/>
          <w:color w:val="000000" w:themeColor="text1"/>
          <w:lang w:val="en-US" w:eastAsia="el-GR"/>
        </w:rPr>
        <w:t xml:space="preserve"> deposit</w:t>
      </w:r>
      <w:r w:rsidR="00DF5601" w:rsidRPr="00B947D9">
        <w:rPr>
          <w:rFonts w:ascii="Times New Roman" w:eastAsia="Times New Roman" w:hAnsi="Times New Roman"/>
          <w:color w:val="000000" w:themeColor="text1"/>
          <w:lang w:val="en-US" w:eastAsia="el-GR"/>
        </w:rPr>
        <w:t xml:space="preserve"> facility</w:t>
      </w:r>
      <w:r w:rsidR="00FB5112" w:rsidRPr="00B947D9">
        <w:rPr>
          <w:rFonts w:ascii="Times New Roman" w:eastAsia="Times New Roman" w:hAnsi="Times New Roman"/>
          <w:color w:val="000000" w:themeColor="text1"/>
          <w:lang w:val="en-US" w:eastAsia="el-GR"/>
        </w:rPr>
        <w:t xml:space="preserve"> rate is the rate</w:t>
      </w:r>
      <w:r w:rsidR="00DF5601" w:rsidRPr="00B947D9">
        <w:rPr>
          <w:rFonts w:ascii="Times New Roman" w:eastAsia="Times New Roman" w:hAnsi="Times New Roman"/>
          <w:color w:val="000000" w:themeColor="text1"/>
          <w:lang w:val="en-US" w:eastAsia="el-GR"/>
        </w:rPr>
        <w:t xml:space="preserve"> </w:t>
      </w:r>
      <w:r w:rsidR="00B947D9">
        <w:rPr>
          <w:rFonts w:ascii="Times New Roman" w:eastAsia="Times New Roman" w:hAnsi="Times New Roman"/>
          <w:color w:val="000000" w:themeColor="text1"/>
          <w:lang w:val="en-US" w:eastAsia="el-GR"/>
        </w:rPr>
        <w:t>that</w:t>
      </w:r>
      <w:r w:rsidR="00DF5601" w:rsidRPr="00B947D9">
        <w:rPr>
          <w:rFonts w:ascii="Times New Roman" w:eastAsia="Times New Roman" w:hAnsi="Times New Roman"/>
          <w:color w:val="000000" w:themeColor="text1"/>
          <w:lang w:val="en-US" w:eastAsia="el-GR"/>
        </w:rPr>
        <w:t xml:space="preserve"> financial institutions</w:t>
      </w:r>
      <w:r w:rsidR="00FB5112" w:rsidRPr="00B947D9">
        <w:rPr>
          <w:rFonts w:ascii="Times New Roman" w:eastAsia="Times New Roman" w:hAnsi="Times New Roman"/>
          <w:color w:val="000000" w:themeColor="text1"/>
          <w:lang w:val="en-US" w:eastAsia="el-GR"/>
        </w:rPr>
        <w:t xml:space="preserve"> receive for funds </w:t>
      </w:r>
      <w:r w:rsidR="00DF5601" w:rsidRPr="00B947D9">
        <w:rPr>
          <w:rFonts w:ascii="Times New Roman" w:eastAsia="Times New Roman" w:hAnsi="Times New Roman"/>
          <w:color w:val="000000" w:themeColor="text1"/>
          <w:lang w:val="en-US" w:eastAsia="el-GR"/>
        </w:rPr>
        <w:t>deposited</w:t>
      </w:r>
      <w:r w:rsidR="00FB5112" w:rsidRPr="00B947D9">
        <w:rPr>
          <w:rFonts w:ascii="Times New Roman" w:eastAsia="Times New Roman" w:hAnsi="Times New Roman"/>
          <w:color w:val="000000" w:themeColor="text1"/>
          <w:lang w:val="en-US" w:eastAsia="el-GR"/>
        </w:rPr>
        <w:t xml:space="preserve"> at the central bank. </w:t>
      </w:r>
      <w:r w:rsidR="00DF5601" w:rsidRPr="00B947D9">
        <w:rPr>
          <w:rFonts w:ascii="Times New Roman" w:eastAsia="Times New Roman" w:hAnsi="Times New Roman"/>
          <w:color w:val="000000" w:themeColor="text1"/>
          <w:lang w:val="en-US" w:eastAsia="el-GR"/>
        </w:rPr>
        <w:t>Following the aftermath of the financial crisis, a</w:t>
      </w:r>
      <w:r w:rsidR="00FB5112" w:rsidRPr="00B947D9">
        <w:rPr>
          <w:rFonts w:ascii="Times New Roman" w:eastAsia="Times New Roman" w:hAnsi="Times New Roman"/>
          <w:color w:val="000000" w:themeColor="text1"/>
          <w:lang w:val="en-US" w:eastAsia="el-GR"/>
        </w:rPr>
        <w:t>ll three rates were lowered (</w:t>
      </w:r>
      <w:r w:rsidR="00DF5601" w:rsidRPr="00B947D9">
        <w:rPr>
          <w:rFonts w:ascii="Times New Roman" w:eastAsia="Times New Roman" w:hAnsi="Times New Roman"/>
          <w:color w:val="000000" w:themeColor="text1"/>
          <w:lang w:val="en-US" w:eastAsia="el-GR"/>
        </w:rPr>
        <w:t>Figure</w:t>
      </w:r>
      <w:r w:rsidR="00FB5112" w:rsidRPr="00B947D9">
        <w:rPr>
          <w:rFonts w:ascii="Times New Roman" w:eastAsia="Times New Roman" w:hAnsi="Times New Roman"/>
          <w:color w:val="000000" w:themeColor="text1"/>
          <w:lang w:val="en-US" w:eastAsia="el-GR"/>
        </w:rPr>
        <w:t xml:space="preserve"> </w:t>
      </w:r>
      <w:r w:rsidR="00DF5601" w:rsidRPr="00B947D9">
        <w:rPr>
          <w:rFonts w:ascii="Times New Roman" w:eastAsia="Times New Roman" w:hAnsi="Times New Roman"/>
          <w:color w:val="000000" w:themeColor="text1"/>
          <w:lang w:val="en-US" w:eastAsia="el-GR"/>
        </w:rPr>
        <w:t>2</w:t>
      </w:r>
      <w:r w:rsidR="00FB5112" w:rsidRPr="00B947D9">
        <w:rPr>
          <w:rFonts w:ascii="Times New Roman" w:eastAsia="Times New Roman" w:hAnsi="Times New Roman"/>
          <w:color w:val="000000" w:themeColor="text1"/>
          <w:lang w:val="en-US" w:eastAsia="el-GR"/>
        </w:rPr>
        <w:t>).</w:t>
      </w:r>
    </w:p>
    <w:p w14:paraId="614D30D8" w14:textId="533CFEA3" w:rsidR="0033590B" w:rsidRPr="00B947D9" w:rsidRDefault="0033590B" w:rsidP="002C3633">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2. </w:t>
      </w:r>
      <w:r w:rsidRPr="00B947D9">
        <w:rPr>
          <w:rFonts w:ascii="Times New Roman" w:hAnsi="Times New Roman"/>
          <w:color w:val="000000" w:themeColor="text1"/>
          <w:lang w:val="en-US"/>
        </w:rPr>
        <w:t>ECB Main Interest Rates</w:t>
      </w:r>
      <w:r w:rsidR="0003178A">
        <w:rPr>
          <w:rFonts w:ascii="Times New Roman" w:hAnsi="Times New Roman"/>
          <w:color w:val="000000" w:themeColor="text1"/>
          <w:lang w:val="en-US"/>
        </w:rPr>
        <w:t xml:space="preserve"> between 2008-2023</w:t>
      </w:r>
      <w:r w:rsidR="00F92FEE">
        <w:rPr>
          <w:rFonts w:ascii="Times New Roman" w:hAnsi="Times New Roman"/>
          <w:color w:val="000000" w:themeColor="text1"/>
          <w:lang w:val="en-US"/>
        </w:rPr>
        <w:t xml:space="preserve"> in percentage points</w:t>
      </w:r>
    </w:p>
    <w:p w14:paraId="4212B935" w14:textId="1626B8F6" w:rsidR="002C3633" w:rsidRPr="00B947D9" w:rsidRDefault="00C6513B" w:rsidP="002C3633">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66926997" wp14:editId="7B83ED1B">
            <wp:extent cx="4063365" cy="2472538"/>
            <wp:effectExtent l="0" t="0" r="13335" b="4445"/>
            <wp:docPr id="1200573370" name="Chart 1">
              <a:extLst xmlns:a="http://schemas.openxmlformats.org/drawingml/2006/main">
                <a:ext uri="{FF2B5EF4-FFF2-40B4-BE49-F238E27FC236}">
                  <a16:creationId xmlns:a16="http://schemas.microsoft.com/office/drawing/2014/main" id="{3DCA8A89-5F53-EC4F-8589-23C91117B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0F11AA0" w14:textId="010A32EE" w:rsidR="00F76E62" w:rsidRPr="00B947D9" w:rsidRDefault="00F76E62"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Negative interest rates raised </w:t>
      </w:r>
      <w:r w:rsidR="00B947D9">
        <w:rPr>
          <w:rFonts w:ascii="Times New Roman" w:hAnsi="Times New Roman"/>
          <w:color w:val="000000" w:themeColor="text1"/>
          <w:lang w:val="en-US"/>
        </w:rPr>
        <w:t>m</w:t>
      </w:r>
      <w:r w:rsidR="00FE4931">
        <w:rPr>
          <w:rFonts w:ascii="Times New Roman" w:hAnsi="Times New Roman"/>
          <w:color w:val="000000" w:themeColor="text1"/>
          <w:lang w:val="en-US"/>
        </w:rPr>
        <w:t>any</w:t>
      </w:r>
      <w:r w:rsid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concerns</w:t>
      </w:r>
      <w:r w:rsidR="00FE4931">
        <w:rPr>
          <w:rFonts w:ascii="Times New Roman" w:hAnsi="Times New Roman"/>
          <w:color w:val="000000" w:themeColor="text1"/>
          <w:lang w:val="en-US"/>
        </w:rPr>
        <w:t xml:space="preserve"> for the economic outcomes</w:t>
      </w:r>
      <w:r w:rsidRPr="00B947D9">
        <w:rPr>
          <w:rFonts w:ascii="Times New Roman" w:hAnsi="Times New Roman"/>
          <w:color w:val="000000" w:themeColor="text1"/>
          <w:lang w:val="en-US"/>
        </w:rPr>
        <w:t xml:space="preserve"> and the literature suggests mixed results on their effectiveness to increase output. Babecka–Kucharcukova et al. (2016) estimate a VAR model for the EA countries and identify how negative interest rate policies have a different transmission mechanism compared to conventional ones, by instantly lowering prices but with weaker and delayed effects on output. Cambacorta, et al. (2014), examine the effectiveness of unconventional monetary policy at the zero-lower bound by using a structural PVAR with monthly data from eight advanced economies for the period 2008 to 2011. They find that an increase in central bank assets at the zero-lower bound results in a temporary increase in economic activity and prices. The effect on prices, however, is weaker compared to that of conventional monetary policies.</w:t>
      </w:r>
      <w:r w:rsidR="00DF5601"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At the same time, we observed that</w:t>
      </w:r>
      <w:r w:rsidR="00F21543" w:rsidRPr="00B947D9">
        <w:rPr>
          <w:rFonts w:ascii="Times New Roman" w:hAnsi="Times New Roman"/>
          <w:color w:val="000000" w:themeColor="text1"/>
          <w:lang w:val="en-US"/>
        </w:rPr>
        <w:t xml:space="preserve"> banks were reluctant to pass negative interest rates to retail depositors</w:t>
      </w:r>
      <w:r w:rsidRPr="00B947D9">
        <w:rPr>
          <w:rFonts w:ascii="Times New Roman" w:hAnsi="Times New Roman"/>
          <w:color w:val="000000" w:themeColor="text1"/>
          <w:lang w:val="en-US"/>
        </w:rPr>
        <w:t xml:space="preserve"> concerned about their profitability. </w:t>
      </w:r>
      <w:r w:rsidR="00F21543" w:rsidRPr="00B947D9">
        <w:rPr>
          <w:rFonts w:ascii="Times New Roman" w:hAnsi="Times New Roman"/>
          <w:color w:val="000000" w:themeColor="text1"/>
          <w:lang w:val="en-US"/>
        </w:rPr>
        <w:t>Nevertheless, Hutchinson and Smets (2017),</w:t>
      </w:r>
      <w:r w:rsidRPr="00B947D9">
        <w:rPr>
          <w:rFonts w:ascii="Times New Roman" w:hAnsi="Times New Roman"/>
          <w:color w:val="000000" w:themeColor="text1"/>
          <w:lang w:val="en-US"/>
        </w:rPr>
        <w:t xml:space="preserve"> suggest that</w:t>
      </w:r>
      <w:r w:rsidR="00F21543" w:rsidRPr="00B947D9">
        <w:rPr>
          <w:rFonts w:ascii="Times New Roman" w:hAnsi="Times New Roman"/>
          <w:color w:val="000000" w:themeColor="text1"/>
          <w:lang w:val="en-US"/>
        </w:rPr>
        <w:t xml:space="preserve"> banks </w:t>
      </w:r>
      <w:r w:rsidRPr="00B947D9">
        <w:rPr>
          <w:rFonts w:ascii="Times New Roman" w:hAnsi="Times New Roman"/>
          <w:color w:val="000000" w:themeColor="text1"/>
          <w:lang w:val="en-US"/>
        </w:rPr>
        <w:t>maintained their profits</w:t>
      </w:r>
      <w:r w:rsidR="00F21543" w:rsidRPr="00B947D9">
        <w:rPr>
          <w:rFonts w:ascii="Times New Roman" w:hAnsi="Times New Roman"/>
          <w:color w:val="000000" w:themeColor="text1"/>
          <w:lang w:val="en-US"/>
        </w:rPr>
        <w:t xml:space="preserve"> by increasing noninterest income through </w:t>
      </w:r>
      <w:r w:rsidRPr="00B947D9">
        <w:rPr>
          <w:rFonts w:ascii="Times New Roman" w:hAnsi="Times New Roman"/>
          <w:color w:val="000000" w:themeColor="text1"/>
          <w:lang w:val="en-US"/>
        </w:rPr>
        <w:t>the expansion of charging</w:t>
      </w:r>
      <w:r w:rsidR="00F21543" w:rsidRPr="00B947D9">
        <w:rPr>
          <w:rFonts w:ascii="Times New Roman" w:hAnsi="Times New Roman"/>
          <w:color w:val="000000" w:themeColor="text1"/>
          <w:lang w:val="en-US"/>
        </w:rPr>
        <w:t xml:space="preserve"> fees.</w:t>
      </w:r>
    </w:p>
    <w:p w14:paraId="407A6015" w14:textId="36562FE8" w:rsidR="00D32504" w:rsidRPr="00B947D9" w:rsidRDefault="00457C24" w:rsidP="006C167D">
      <w:pPr>
        <w:pStyle w:val="Heading3"/>
        <w:spacing w:line="480" w:lineRule="auto"/>
        <w:jc w:val="both"/>
        <w:rPr>
          <w:rFonts w:ascii="Times New Roman" w:hAnsi="Times New Roman"/>
          <w:i/>
          <w:iCs/>
          <w:color w:val="000000" w:themeColor="text1"/>
          <w:sz w:val="24"/>
          <w:szCs w:val="24"/>
          <w:lang w:val="en-US"/>
        </w:rPr>
      </w:pPr>
      <w:r w:rsidRPr="00B947D9">
        <w:rPr>
          <w:rFonts w:ascii="Times New Roman" w:hAnsi="Times New Roman"/>
          <w:i/>
          <w:iCs/>
          <w:color w:val="000000" w:themeColor="text1"/>
          <w:sz w:val="24"/>
          <w:szCs w:val="24"/>
          <w:lang w:val="en-US"/>
        </w:rPr>
        <w:t xml:space="preserve">Quantitative easing, </w:t>
      </w:r>
      <w:r w:rsidR="00D32504" w:rsidRPr="00B947D9">
        <w:rPr>
          <w:rFonts w:ascii="Times New Roman" w:hAnsi="Times New Roman"/>
          <w:i/>
          <w:iCs/>
          <w:color w:val="000000" w:themeColor="text1"/>
          <w:sz w:val="24"/>
          <w:szCs w:val="24"/>
          <w:lang w:val="en-US"/>
        </w:rPr>
        <w:t>Asset purchase programmes</w:t>
      </w:r>
    </w:p>
    <w:p w14:paraId="31715313" w14:textId="6E65A868" w:rsidR="00775356" w:rsidRPr="00B947D9" w:rsidRDefault="00BD7A99"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Quantitative easing (QE) was implemented through the </w:t>
      </w:r>
      <w:r w:rsidR="00D32504" w:rsidRPr="00B947D9">
        <w:rPr>
          <w:rFonts w:ascii="Times New Roman" w:hAnsi="Times New Roman"/>
          <w:color w:val="000000" w:themeColor="text1"/>
          <w:lang w:val="en-US"/>
        </w:rPr>
        <w:t xml:space="preserve">Asset purchase programmes (APPs) </w:t>
      </w:r>
      <w:r w:rsidR="009C13A6" w:rsidRPr="00B947D9">
        <w:rPr>
          <w:rFonts w:ascii="Times New Roman" w:hAnsi="Times New Roman"/>
          <w:color w:val="000000" w:themeColor="text1"/>
          <w:lang w:val="en-US"/>
        </w:rPr>
        <w:t xml:space="preserve">to confront the deflationary risks and assist the existing unconventional monetary policies of forward guidance and negative interest rates. It </w:t>
      </w:r>
      <w:r w:rsidR="00D32504" w:rsidRPr="00B947D9">
        <w:rPr>
          <w:rFonts w:ascii="Times New Roman" w:hAnsi="Times New Roman"/>
          <w:color w:val="000000" w:themeColor="text1"/>
          <w:lang w:val="en-US"/>
        </w:rPr>
        <w:t>consist</w:t>
      </w:r>
      <w:r w:rsidR="009C13A6" w:rsidRPr="00B947D9">
        <w:rPr>
          <w:rFonts w:ascii="Times New Roman" w:hAnsi="Times New Roman"/>
          <w:color w:val="000000" w:themeColor="text1"/>
          <w:lang w:val="en-US"/>
        </w:rPr>
        <w:t>ed</w:t>
      </w:r>
      <w:r w:rsidR="00D32504" w:rsidRPr="00B947D9">
        <w:rPr>
          <w:rFonts w:ascii="Times New Roman" w:hAnsi="Times New Roman"/>
          <w:color w:val="000000" w:themeColor="text1"/>
          <w:lang w:val="en-US"/>
        </w:rPr>
        <w:t xml:space="preserve"> of four different operations</w:t>
      </w:r>
      <w:r w:rsidR="00157327" w:rsidRPr="00B947D9">
        <w:rPr>
          <w:rFonts w:ascii="Times New Roman" w:hAnsi="Times New Roman"/>
          <w:color w:val="000000" w:themeColor="text1"/>
          <w:lang w:val="en-US"/>
        </w:rPr>
        <w:t>;</w:t>
      </w:r>
      <w:r w:rsidR="00775356" w:rsidRPr="00B947D9">
        <w:rPr>
          <w:rFonts w:ascii="Times New Roman" w:hAnsi="Times New Roman"/>
          <w:color w:val="000000" w:themeColor="text1"/>
          <w:lang w:val="en-US"/>
        </w:rPr>
        <w:t xml:space="preserve"> </w:t>
      </w:r>
      <w:r w:rsidR="00157327" w:rsidRPr="00B947D9">
        <w:rPr>
          <w:rFonts w:ascii="Times New Roman" w:hAnsi="Times New Roman"/>
          <w:color w:val="000000" w:themeColor="text1"/>
          <w:lang w:val="en-US"/>
        </w:rPr>
        <w:t>T</w:t>
      </w:r>
      <w:r w:rsidR="00D32504" w:rsidRPr="00B947D9">
        <w:rPr>
          <w:rFonts w:ascii="Times New Roman" w:hAnsi="Times New Roman"/>
          <w:color w:val="000000" w:themeColor="text1"/>
          <w:lang w:val="en-US"/>
        </w:rPr>
        <w:t>he purchase program for asset backed securities (ABSPP), the public sector purchase program (PSPP)</w:t>
      </w:r>
      <w:r w:rsidR="00775356" w:rsidRPr="00B947D9">
        <w:rPr>
          <w:rFonts w:ascii="Times New Roman" w:hAnsi="Times New Roman"/>
          <w:color w:val="000000" w:themeColor="text1"/>
          <w:lang w:val="en-US"/>
        </w:rPr>
        <w:t>, the third covered bond purchase program (CBPP3),</w:t>
      </w:r>
      <w:r w:rsidR="00D32504" w:rsidRPr="00B947D9">
        <w:rPr>
          <w:rFonts w:ascii="Times New Roman" w:hAnsi="Times New Roman"/>
          <w:color w:val="000000" w:themeColor="text1"/>
          <w:lang w:val="en-US"/>
        </w:rPr>
        <w:t xml:space="preserve"> and the corporate purchase program (CSPP).</w:t>
      </w:r>
    </w:p>
    <w:p w14:paraId="6E47D76B" w14:textId="77777777" w:rsidR="00775356" w:rsidRPr="00B947D9" w:rsidRDefault="00D32504" w:rsidP="006C167D">
      <w:pPr>
        <w:pStyle w:val="ListParagraph"/>
        <w:numPr>
          <w:ilvl w:val="0"/>
          <w:numId w:val="1"/>
        </w:num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The ABSPP took place from 21 November 2014 to 19 December 2018</w:t>
      </w:r>
      <w:r w:rsidR="00775356" w:rsidRPr="00B947D9">
        <w:rPr>
          <w:rFonts w:ascii="Times New Roman" w:hAnsi="Times New Roman"/>
          <w:color w:val="000000" w:themeColor="text1"/>
          <w:lang w:val="en-US"/>
        </w:rPr>
        <w:t>. A</w:t>
      </w:r>
      <w:r w:rsidRPr="00B947D9">
        <w:rPr>
          <w:rFonts w:ascii="Times New Roman" w:hAnsi="Times New Roman"/>
          <w:color w:val="000000" w:themeColor="text1"/>
          <w:lang w:val="en-US"/>
        </w:rPr>
        <w:t>s of January 2019, the ECB reinvests the ABSPP redemptions in line with market issuance and secondary market liquidity.</w:t>
      </w:r>
    </w:p>
    <w:p w14:paraId="421BB112" w14:textId="77777777" w:rsidR="00775356" w:rsidRPr="00B947D9" w:rsidRDefault="00775356" w:rsidP="006C167D">
      <w:pPr>
        <w:pStyle w:val="ListParagraph"/>
        <w:numPr>
          <w:ilvl w:val="0"/>
          <w:numId w:val="1"/>
        </w:num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U</w:t>
      </w:r>
      <w:r w:rsidR="00D32504" w:rsidRPr="00B947D9">
        <w:rPr>
          <w:rFonts w:ascii="Times New Roman" w:hAnsi="Times New Roman"/>
          <w:color w:val="000000" w:themeColor="text1"/>
          <w:lang w:val="en-US"/>
        </w:rPr>
        <w:t>nder the PSPP</w:t>
      </w:r>
      <w:r w:rsidRPr="00B947D9">
        <w:rPr>
          <w:rFonts w:ascii="Times New Roman" w:hAnsi="Times New Roman"/>
          <w:color w:val="000000" w:themeColor="text1"/>
          <w:lang w:val="en-US"/>
        </w:rPr>
        <w:t>, the ECB purchased public sector securities</w:t>
      </w:r>
      <w:r w:rsidR="00D32504" w:rsidRPr="00B947D9">
        <w:rPr>
          <w:rFonts w:ascii="Times New Roman" w:hAnsi="Times New Roman"/>
          <w:color w:val="000000" w:themeColor="text1"/>
          <w:lang w:val="en-US"/>
        </w:rPr>
        <w:t xml:space="preserve"> from 9 March 2015 to 19 December 2018</w:t>
      </w:r>
      <w:r w:rsidRPr="00B947D9">
        <w:rPr>
          <w:rFonts w:ascii="Times New Roman" w:hAnsi="Times New Roman"/>
          <w:color w:val="000000" w:themeColor="text1"/>
          <w:lang w:val="en-US"/>
        </w:rPr>
        <w:t>. These securities include</w:t>
      </w:r>
      <w:r w:rsidR="00D32504" w:rsidRPr="00B947D9">
        <w:rPr>
          <w:rFonts w:ascii="Times New Roman" w:hAnsi="Times New Roman"/>
          <w:color w:val="000000" w:themeColor="text1"/>
          <w:lang w:val="en-US"/>
        </w:rPr>
        <w:t xml:space="preserve"> nominal and inflation-linked government bonds,</w:t>
      </w:r>
      <w:r w:rsidRPr="00B947D9">
        <w:rPr>
          <w:rFonts w:ascii="Times New Roman" w:hAnsi="Times New Roman"/>
          <w:color w:val="000000" w:themeColor="text1"/>
          <w:lang w:val="en-US"/>
        </w:rPr>
        <w:t xml:space="preserve"> </w:t>
      </w:r>
      <w:r w:rsidR="00D32504" w:rsidRPr="00B947D9">
        <w:rPr>
          <w:rFonts w:ascii="Times New Roman" w:hAnsi="Times New Roman"/>
          <w:color w:val="000000" w:themeColor="text1"/>
          <w:lang w:val="en-US"/>
        </w:rPr>
        <w:t>bonds issued by regional and local governments, recognized agencies, international organizations, and multilateral development banks which are</w:t>
      </w:r>
      <w:r w:rsidRPr="00B947D9">
        <w:rPr>
          <w:rFonts w:ascii="Times New Roman" w:hAnsi="Times New Roman"/>
          <w:color w:val="000000" w:themeColor="text1"/>
          <w:lang w:val="en-US"/>
        </w:rPr>
        <w:t xml:space="preserve"> based</w:t>
      </w:r>
      <w:r w:rsidR="00D32504" w:rsidRPr="00B947D9">
        <w:rPr>
          <w:rFonts w:ascii="Times New Roman" w:hAnsi="Times New Roman"/>
          <w:color w:val="000000" w:themeColor="text1"/>
          <w:lang w:val="en-US"/>
        </w:rPr>
        <w:t xml:space="preserve"> in</w:t>
      </w:r>
      <w:r w:rsidRPr="00B947D9">
        <w:rPr>
          <w:rFonts w:ascii="Times New Roman" w:hAnsi="Times New Roman"/>
          <w:color w:val="000000" w:themeColor="text1"/>
          <w:lang w:val="en-US"/>
        </w:rPr>
        <w:t xml:space="preserve"> the</w:t>
      </w:r>
      <w:r w:rsidR="00D32504" w:rsidRPr="00B947D9">
        <w:rPr>
          <w:rFonts w:ascii="Times New Roman" w:hAnsi="Times New Roman"/>
          <w:color w:val="000000" w:themeColor="text1"/>
          <w:lang w:val="en-US"/>
        </w:rPr>
        <w:t xml:space="preserve"> Eurozone. Since January 2019, the ECB reinvests the principal payments from maturing securities held in the PSPP portfolio.</w:t>
      </w:r>
    </w:p>
    <w:p w14:paraId="6BBE0288" w14:textId="77777777" w:rsidR="00775356" w:rsidRPr="00B947D9" w:rsidRDefault="00775356" w:rsidP="006C167D">
      <w:pPr>
        <w:pStyle w:val="ListParagraph"/>
        <w:numPr>
          <w:ilvl w:val="0"/>
          <w:numId w:val="1"/>
        </w:num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The CBPP3 begun on 20 October 2014 and lasted until 19 December 2018. Since January 2019 the ECB only reinvests the principal payments from maturing securities held in the CBPP3 portfolio.</w:t>
      </w:r>
    </w:p>
    <w:p w14:paraId="0C2529A3" w14:textId="475BC497" w:rsidR="009D34A3" w:rsidRPr="00B947D9" w:rsidRDefault="00775356" w:rsidP="006C167D">
      <w:pPr>
        <w:pStyle w:val="ListParagraph"/>
        <w:numPr>
          <w:ilvl w:val="0"/>
          <w:numId w:val="1"/>
        </w:num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T</w:t>
      </w:r>
      <w:r w:rsidR="00D32504" w:rsidRPr="00B947D9">
        <w:rPr>
          <w:rFonts w:ascii="Times New Roman" w:hAnsi="Times New Roman"/>
          <w:color w:val="000000" w:themeColor="text1"/>
          <w:lang w:val="en-US"/>
        </w:rPr>
        <w:t>he CSPP took place between 8 June 2016 and 19 December 2018</w:t>
      </w:r>
      <w:r w:rsidRPr="00B947D9">
        <w:rPr>
          <w:rFonts w:ascii="Times New Roman" w:hAnsi="Times New Roman"/>
          <w:color w:val="000000" w:themeColor="text1"/>
          <w:lang w:val="en-US"/>
        </w:rPr>
        <w:t xml:space="preserve">. </w:t>
      </w:r>
      <w:r w:rsidR="00FE4931">
        <w:rPr>
          <w:rFonts w:ascii="Times New Roman" w:hAnsi="Times New Roman"/>
          <w:color w:val="000000" w:themeColor="text1"/>
          <w:lang w:val="en-US"/>
        </w:rPr>
        <w:t>Since</w:t>
      </w:r>
      <w:r w:rsidR="00D32504" w:rsidRPr="00B947D9">
        <w:rPr>
          <w:rFonts w:ascii="Times New Roman" w:hAnsi="Times New Roman"/>
          <w:color w:val="000000" w:themeColor="text1"/>
          <w:lang w:val="en-US"/>
        </w:rPr>
        <w:t xml:space="preserve"> </w:t>
      </w:r>
      <w:r w:rsidR="00517F66" w:rsidRPr="00B947D9">
        <w:rPr>
          <w:rFonts w:ascii="Times New Roman" w:hAnsi="Times New Roman"/>
          <w:color w:val="000000" w:themeColor="text1"/>
          <w:lang w:val="en-US"/>
        </w:rPr>
        <w:t>January 2019,</w:t>
      </w:r>
      <w:r w:rsidR="00D32504" w:rsidRPr="00B947D9">
        <w:rPr>
          <w:rFonts w:ascii="Times New Roman" w:hAnsi="Times New Roman"/>
          <w:color w:val="000000" w:themeColor="text1"/>
          <w:lang w:val="en-US"/>
        </w:rPr>
        <w:t xml:space="preserve"> the ECB reinvests the principal payments from maturing securities which are held in the CSPP portfolio.</w:t>
      </w:r>
    </w:p>
    <w:p w14:paraId="0DE6BE1E" w14:textId="04E90F84" w:rsidR="00BE506C" w:rsidRPr="00B947D9" w:rsidRDefault="00D32504" w:rsidP="006C167D">
      <w:pPr>
        <w:spacing w:before="100" w:beforeAutospacing="1" w:after="100" w:afterAutospacing="1" w:line="480" w:lineRule="auto"/>
        <w:ind w:firstLine="720"/>
        <w:jc w:val="both"/>
        <w:rPr>
          <w:rFonts w:ascii="Times New Roman" w:eastAsia="Times New Roman" w:hAnsi="Times New Roman"/>
          <w:color w:val="000000" w:themeColor="text1"/>
          <w:lang w:val="en-US" w:eastAsia="el-GR"/>
        </w:rPr>
      </w:pPr>
      <w:r w:rsidRPr="00B947D9">
        <w:rPr>
          <w:rFonts w:ascii="Times New Roman" w:hAnsi="Times New Roman"/>
          <w:color w:val="000000" w:themeColor="text1"/>
          <w:lang w:val="en-US"/>
        </w:rPr>
        <w:t xml:space="preserve">Figure </w:t>
      </w:r>
      <w:r w:rsidR="002C3436" w:rsidRPr="00B947D9">
        <w:rPr>
          <w:rFonts w:ascii="Times New Roman" w:hAnsi="Times New Roman"/>
          <w:color w:val="000000" w:themeColor="text1"/>
          <w:lang w:val="en-US"/>
        </w:rPr>
        <w:t xml:space="preserve">3 </w:t>
      </w:r>
      <w:r w:rsidR="00775356" w:rsidRPr="00B947D9">
        <w:rPr>
          <w:rFonts w:ascii="Times New Roman" w:hAnsi="Times New Roman"/>
          <w:color w:val="000000" w:themeColor="text1"/>
          <w:lang w:val="en-US"/>
        </w:rPr>
        <w:t>illustrates</w:t>
      </w:r>
      <w:r w:rsidRPr="00B947D9">
        <w:rPr>
          <w:rFonts w:ascii="Times New Roman" w:hAnsi="Times New Roman"/>
          <w:color w:val="000000" w:themeColor="text1"/>
          <w:lang w:val="en-US"/>
        </w:rPr>
        <w:t xml:space="preserve"> the net purchase phase</w:t>
      </w:r>
      <w:r w:rsidR="00775356"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lasted from October 2014 to December 2018, </w:t>
      </w:r>
      <w:r w:rsidR="00775356" w:rsidRPr="00B947D9">
        <w:rPr>
          <w:rFonts w:ascii="Times New Roman" w:hAnsi="Times New Roman"/>
          <w:color w:val="000000" w:themeColor="text1"/>
          <w:lang w:val="en-US"/>
        </w:rPr>
        <w:t>and the reinvestment phase which started in</w:t>
      </w:r>
      <w:r w:rsidRPr="00B947D9">
        <w:rPr>
          <w:rFonts w:ascii="Times New Roman" w:hAnsi="Times New Roman"/>
          <w:color w:val="000000" w:themeColor="text1"/>
          <w:lang w:val="en-US"/>
        </w:rPr>
        <w:t xml:space="preserve"> January 2019</w:t>
      </w:r>
      <w:r w:rsidR="002C3436" w:rsidRPr="00B947D9">
        <w:rPr>
          <w:rFonts w:ascii="Times New Roman" w:hAnsi="Times New Roman"/>
          <w:color w:val="000000" w:themeColor="text1"/>
          <w:lang w:val="en-US"/>
        </w:rPr>
        <w:t>.</w:t>
      </w:r>
      <w:r w:rsidR="00BE506C" w:rsidRPr="00B947D9">
        <w:rPr>
          <w:rFonts w:ascii="Times New Roman" w:hAnsi="Times New Roman"/>
          <w:color w:val="000000" w:themeColor="text1"/>
          <w:lang w:val="en-US"/>
        </w:rPr>
        <w:t xml:space="preserve"> Overall, </w:t>
      </w:r>
      <w:r w:rsidR="00BE506C" w:rsidRPr="00B947D9">
        <w:rPr>
          <w:rFonts w:ascii="Times New Roman" w:eastAsia="Times New Roman" w:hAnsi="Times New Roman"/>
          <w:color w:val="000000" w:themeColor="text1"/>
          <w:lang w:val="en-US" w:eastAsia="el-GR"/>
        </w:rPr>
        <w:t>the Eurosystem started to purchase securities under the APP in October 2014. The Governing Council recalibrated the overall net purchases under these programmes from time to time as follows in Table 1.</w:t>
      </w:r>
    </w:p>
    <w:p w14:paraId="344B788F" w14:textId="53981EE9" w:rsidR="002C3436" w:rsidRPr="00B947D9" w:rsidRDefault="002C3436" w:rsidP="006C167D">
      <w:pPr>
        <w:spacing w:before="100" w:beforeAutospacing="1" w:after="100" w:afterAutospacing="1" w:line="480" w:lineRule="auto"/>
        <w:jc w:val="center"/>
        <w:rPr>
          <w:rFonts w:ascii="Times New Roman" w:eastAsia="Times New Roman" w:hAnsi="Times New Roman"/>
          <w:color w:val="000000" w:themeColor="text1"/>
          <w:lang w:val="en-US" w:eastAsia="el-GR"/>
        </w:rPr>
      </w:pPr>
      <w:r w:rsidRPr="00B947D9">
        <w:rPr>
          <w:rFonts w:ascii="Times New Roman" w:eastAsia="Times New Roman" w:hAnsi="Times New Roman"/>
          <w:b/>
          <w:bCs/>
          <w:color w:val="000000" w:themeColor="text1"/>
          <w:lang w:val="en-US" w:eastAsia="el-GR"/>
        </w:rPr>
        <w:t>Figure 3.</w:t>
      </w:r>
      <w:r w:rsidRPr="00B947D9">
        <w:rPr>
          <w:rFonts w:ascii="Times New Roman" w:eastAsia="Times New Roman" w:hAnsi="Times New Roman"/>
          <w:color w:val="000000" w:themeColor="text1"/>
          <w:lang w:val="en-US" w:eastAsia="el-GR"/>
        </w:rPr>
        <w:t xml:space="preserve"> Net asset purchases by programme under APP</w:t>
      </w:r>
    </w:p>
    <w:p w14:paraId="4E5CDFCA" w14:textId="77777777" w:rsidR="002C3436" w:rsidRPr="00B947D9" w:rsidRDefault="002C3436" w:rsidP="006C167D">
      <w:pPr>
        <w:jc w:val="center"/>
        <w:rPr>
          <w:rFonts w:ascii="Times New Roman" w:hAnsi="Times New Roman"/>
          <w:color w:val="000000" w:themeColor="text1"/>
          <w:lang w:val="en-US"/>
        </w:rPr>
      </w:pPr>
      <w:r w:rsidRPr="00B947D9">
        <w:rPr>
          <w:rFonts w:ascii="Times New Roman" w:hAnsi="Times New Roman"/>
          <w:noProof/>
          <w:color w:val="000000" w:themeColor="text1"/>
          <w:lang w:eastAsia="el-GR"/>
        </w:rPr>
        <w:drawing>
          <wp:inline distT="0" distB="0" distL="0" distR="0" wp14:anchorId="57AE6479" wp14:editId="3A2B981D">
            <wp:extent cx="5273544" cy="2509114"/>
            <wp:effectExtent l="0" t="0" r="3810" b="5715"/>
            <wp:docPr id="2" name="Εικόνα 1" descr="Net asset purchases by programme under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t asset purchases by programme under AP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81604" cy="2512949"/>
                    </a:xfrm>
                    <a:prstGeom prst="rect">
                      <a:avLst/>
                    </a:prstGeom>
                    <a:noFill/>
                    <a:ln>
                      <a:noFill/>
                    </a:ln>
                  </pic:spPr>
                </pic:pic>
              </a:graphicData>
            </a:graphic>
          </wp:inline>
        </w:drawing>
      </w:r>
    </w:p>
    <w:p w14:paraId="5C021A0E" w14:textId="77777777" w:rsidR="002C3436" w:rsidRPr="00B947D9" w:rsidRDefault="002C3436" w:rsidP="006C167D">
      <w:pPr>
        <w:pStyle w:val="ListParagraph"/>
        <w:ind w:left="1080"/>
        <w:jc w:val="both"/>
        <w:rPr>
          <w:rFonts w:ascii="Times New Roman" w:hAnsi="Times New Roman"/>
          <w:color w:val="000000" w:themeColor="text1"/>
          <w:sz w:val="20"/>
          <w:szCs w:val="20"/>
          <w:lang w:val="en-US"/>
        </w:rPr>
      </w:pPr>
      <w:r w:rsidRPr="00B947D9">
        <w:rPr>
          <w:rFonts w:ascii="Times New Roman" w:hAnsi="Times New Roman"/>
          <w:color w:val="000000" w:themeColor="text1"/>
          <w:sz w:val="20"/>
          <w:szCs w:val="20"/>
          <w:lang w:val="en-US"/>
        </w:rPr>
        <w:t>Source: ECB</w:t>
      </w:r>
    </w:p>
    <w:p w14:paraId="3B60F16F" w14:textId="77777777" w:rsidR="00FE4931" w:rsidRDefault="00FE4931" w:rsidP="006C167D">
      <w:pPr>
        <w:spacing w:before="100" w:beforeAutospacing="1"/>
        <w:jc w:val="center"/>
        <w:rPr>
          <w:rFonts w:ascii="Times New Roman" w:eastAsia="Times New Roman" w:hAnsi="Times New Roman"/>
          <w:b/>
          <w:bCs/>
          <w:color w:val="000000" w:themeColor="text1"/>
          <w:lang w:val="en-US" w:eastAsia="el-GR"/>
        </w:rPr>
      </w:pPr>
    </w:p>
    <w:p w14:paraId="56243774" w14:textId="77777777" w:rsidR="00FE4931" w:rsidRDefault="00FE4931" w:rsidP="006C167D">
      <w:pPr>
        <w:spacing w:before="100" w:beforeAutospacing="1"/>
        <w:jc w:val="center"/>
        <w:rPr>
          <w:rFonts w:ascii="Times New Roman" w:eastAsia="Times New Roman" w:hAnsi="Times New Roman"/>
          <w:b/>
          <w:bCs/>
          <w:color w:val="000000" w:themeColor="text1"/>
          <w:lang w:val="en-US" w:eastAsia="el-GR"/>
        </w:rPr>
      </w:pPr>
    </w:p>
    <w:p w14:paraId="5BA099D8" w14:textId="77777777" w:rsidR="00FE4931" w:rsidRDefault="00FE4931" w:rsidP="006C167D">
      <w:pPr>
        <w:spacing w:before="100" w:beforeAutospacing="1"/>
        <w:jc w:val="center"/>
        <w:rPr>
          <w:rFonts w:ascii="Times New Roman" w:eastAsia="Times New Roman" w:hAnsi="Times New Roman"/>
          <w:b/>
          <w:bCs/>
          <w:color w:val="000000" w:themeColor="text1"/>
          <w:lang w:val="en-US" w:eastAsia="el-GR"/>
        </w:rPr>
      </w:pPr>
    </w:p>
    <w:p w14:paraId="5B05744F" w14:textId="77777777" w:rsidR="00FE4931" w:rsidRDefault="00FE4931" w:rsidP="006C167D">
      <w:pPr>
        <w:spacing w:before="100" w:beforeAutospacing="1"/>
        <w:jc w:val="center"/>
        <w:rPr>
          <w:rFonts w:ascii="Times New Roman" w:eastAsia="Times New Roman" w:hAnsi="Times New Roman"/>
          <w:b/>
          <w:bCs/>
          <w:color w:val="000000" w:themeColor="text1"/>
          <w:lang w:val="en-US" w:eastAsia="el-GR"/>
        </w:rPr>
      </w:pPr>
    </w:p>
    <w:p w14:paraId="27F19AA0" w14:textId="77777777" w:rsidR="00FE4931" w:rsidRDefault="00FE4931" w:rsidP="006C167D">
      <w:pPr>
        <w:spacing w:before="100" w:beforeAutospacing="1"/>
        <w:jc w:val="center"/>
        <w:rPr>
          <w:rFonts w:ascii="Times New Roman" w:eastAsia="Times New Roman" w:hAnsi="Times New Roman"/>
          <w:b/>
          <w:bCs/>
          <w:color w:val="000000" w:themeColor="text1"/>
          <w:lang w:val="en-US" w:eastAsia="el-GR"/>
        </w:rPr>
      </w:pPr>
    </w:p>
    <w:p w14:paraId="064D51C4" w14:textId="7B4BD9DB" w:rsidR="009D34A3" w:rsidRPr="00B947D9" w:rsidRDefault="009D34A3" w:rsidP="006C167D">
      <w:pPr>
        <w:spacing w:before="100" w:beforeAutospacing="1"/>
        <w:jc w:val="center"/>
        <w:rPr>
          <w:rFonts w:ascii="Times New Roman" w:eastAsia="Times New Roman" w:hAnsi="Times New Roman"/>
          <w:b/>
          <w:bCs/>
          <w:color w:val="000000" w:themeColor="text1"/>
          <w:lang w:val="en-US" w:eastAsia="el-GR"/>
        </w:rPr>
      </w:pPr>
      <w:r w:rsidRPr="00B947D9">
        <w:rPr>
          <w:rFonts w:ascii="Times New Roman" w:eastAsia="Times New Roman" w:hAnsi="Times New Roman"/>
          <w:b/>
          <w:bCs/>
          <w:color w:val="000000" w:themeColor="text1"/>
          <w:lang w:val="en-US" w:eastAsia="el-GR"/>
        </w:rPr>
        <w:t xml:space="preserve">Table </w:t>
      </w:r>
      <w:r w:rsidR="00440D90" w:rsidRPr="00B947D9">
        <w:rPr>
          <w:rFonts w:ascii="Times New Roman" w:eastAsia="Times New Roman" w:hAnsi="Times New Roman"/>
          <w:b/>
          <w:bCs/>
          <w:color w:val="000000" w:themeColor="text1"/>
          <w:lang w:val="en-US" w:eastAsia="el-GR"/>
        </w:rPr>
        <w:t>1</w:t>
      </w:r>
      <w:r w:rsidRPr="00B947D9">
        <w:rPr>
          <w:rFonts w:ascii="Times New Roman" w:eastAsia="Times New Roman" w:hAnsi="Times New Roman"/>
          <w:b/>
          <w:bCs/>
          <w:color w:val="000000" w:themeColor="text1"/>
          <w:lang w:val="en-US" w:eastAsia="el-GR"/>
        </w:rPr>
        <w:t xml:space="preserve">. </w:t>
      </w:r>
      <w:r w:rsidRPr="00B947D9">
        <w:rPr>
          <w:rFonts w:ascii="Times New Roman" w:eastAsia="Times New Roman" w:hAnsi="Times New Roman"/>
          <w:color w:val="000000" w:themeColor="text1"/>
          <w:lang w:val="en-US" w:eastAsia="el-GR"/>
        </w:rPr>
        <w:t>APP’s net purchases</w:t>
      </w:r>
    </w:p>
    <w:tbl>
      <w:tblPr>
        <w:tblStyle w:val="TableGrid"/>
        <w:tblW w:w="5954" w:type="dxa"/>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2"/>
        <w:gridCol w:w="4082"/>
      </w:tblGrid>
      <w:tr w:rsidR="008E1EBD" w:rsidRPr="00B947D9" w14:paraId="7A619928" w14:textId="77777777" w:rsidTr="006C167D">
        <w:trPr>
          <w:jc w:val="center"/>
        </w:trPr>
        <w:tc>
          <w:tcPr>
            <w:tcW w:w="5954" w:type="dxa"/>
            <w:gridSpan w:val="2"/>
            <w:tcBorders>
              <w:bottom w:val="double" w:sz="4" w:space="0" w:color="auto"/>
            </w:tcBorders>
          </w:tcPr>
          <w:p w14:paraId="4B4A3F0C" w14:textId="47978EDC" w:rsidR="000863F2" w:rsidRPr="00B947D9" w:rsidRDefault="00F53088" w:rsidP="006C167D">
            <w:pPr>
              <w:spacing w:before="100" w:beforeAutospacing="1" w:after="100" w:afterAutospacing="1"/>
              <w:jc w:val="both"/>
              <w:rPr>
                <w:rFonts w:ascii="Times New Roman" w:eastAsia="Times New Roman" w:hAnsi="Times New Roman" w:cs="Times New Roman"/>
                <w:b/>
                <w:bCs/>
                <w:color w:val="000000" w:themeColor="text1"/>
                <w:sz w:val="20"/>
                <w:szCs w:val="20"/>
                <w:lang w:val="en-US" w:eastAsia="el-GR"/>
              </w:rPr>
            </w:pPr>
            <w:r>
              <w:rPr>
                <w:rFonts w:ascii="Times New Roman" w:eastAsia="Times New Roman" w:hAnsi="Times New Roman" w:cs="Times New Roman"/>
                <w:color w:val="000000" w:themeColor="text1"/>
                <w:sz w:val="20"/>
                <w:szCs w:val="20"/>
                <w:lang w:val="en-US" w:eastAsia="el-GR"/>
              </w:rPr>
              <w:t>A</w:t>
            </w:r>
            <w:r w:rsidR="000863F2" w:rsidRPr="00B947D9">
              <w:rPr>
                <w:rFonts w:ascii="Times New Roman" w:eastAsia="Times New Roman" w:hAnsi="Times New Roman" w:cs="Times New Roman"/>
                <w:color w:val="000000" w:themeColor="text1"/>
                <w:sz w:val="20"/>
                <w:szCs w:val="20"/>
                <w:lang w:val="en-US" w:eastAsia="el-GR"/>
              </w:rPr>
              <w:t>PP repurchase and reinvestment</w:t>
            </w:r>
            <w:r>
              <w:rPr>
                <w:rFonts w:ascii="Times New Roman" w:eastAsia="Times New Roman" w:hAnsi="Times New Roman" w:cs="Times New Roman"/>
                <w:color w:val="000000" w:themeColor="text1"/>
                <w:sz w:val="20"/>
                <w:szCs w:val="20"/>
                <w:lang w:val="en-US" w:eastAsia="el-GR"/>
              </w:rPr>
              <w:t xml:space="preserve"> amounts in euro</w:t>
            </w:r>
          </w:p>
        </w:tc>
      </w:tr>
      <w:tr w:rsidR="008E1EBD" w:rsidRPr="00B947D9" w14:paraId="1E81F115" w14:textId="77777777" w:rsidTr="006C167D">
        <w:trPr>
          <w:jc w:val="center"/>
        </w:trPr>
        <w:tc>
          <w:tcPr>
            <w:tcW w:w="1872" w:type="dxa"/>
            <w:tcBorders>
              <w:top w:val="double" w:sz="4" w:space="0" w:color="auto"/>
              <w:bottom w:val="single" w:sz="4" w:space="0" w:color="auto"/>
            </w:tcBorders>
          </w:tcPr>
          <w:p w14:paraId="5F4672F1" w14:textId="2683D7DB" w:rsidR="009D34A3" w:rsidRPr="00B947D9" w:rsidRDefault="00333FAB" w:rsidP="006C167D">
            <w:pPr>
              <w:spacing w:before="100" w:beforeAutospacing="1" w:after="100" w:afterAutospacing="1"/>
              <w:jc w:val="both"/>
              <w:rPr>
                <w:rFonts w:ascii="Times New Roman" w:eastAsia="Times New Roman" w:hAnsi="Times New Roman" w:cs="Times New Roman"/>
                <w:b/>
                <w:bCs/>
                <w:color w:val="000000" w:themeColor="text1"/>
                <w:sz w:val="20"/>
                <w:szCs w:val="20"/>
                <w:lang w:val="en-US" w:eastAsia="el-GR"/>
              </w:rPr>
            </w:pPr>
            <w:r w:rsidRPr="00B947D9">
              <w:rPr>
                <w:rFonts w:ascii="Times New Roman" w:eastAsia="Times New Roman" w:hAnsi="Times New Roman" w:cs="Times New Roman"/>
                <w:b/>
                <w:bCs/>
                <w:color w:val="000000" w:themeColor="text1"/>
                <w:sz w:val="20"/>
                <w:szCs w:val="20"/>
                <w:lang w:val="en-US" w:eastAsia="el-GR"/>
              </w:rPr>
              <w:t>Dates</w:t>
            </w:r>
          </w:p>
        </w:tc>
        <w:tc>
          <w:tcPr>
            <w:tcW w:w="4082" w:type="dxa"/>
            <w:tcBorders>
              <w:top w:val="double" w:sz="4" w:space="0" w:color="auto"/>
              <w:bottom w:val="single" w:sz="4" w:space="0" w:color="auto"/>
            </w:tcBorders>
          </w:tcPr>
          <w:p w14:paraId="2CB45DDF" w14:textId="4183B2E4" w:rsidR="009D34A3" w:rsidRPr="00B947D9" w:rsidRDefault="009D34A3" w:rsidP="006C167D">
            <w:pPr>
              <w:spacing w:before="100" w:beforeAutospacing="1" w:after="100" w:afterAutospacing="1"/>
              <w:jc w:val="both"/>
              <w:rPr>
                <w:rFonts w:ascii="Times New Roman" w:eastAsia="Times New Roman" w:hAnsi="Times New Roman" w:cs="Times New Roman"/>
                <w:b/>
                <w:bCs/>
                <w:color w:val="000000" w:themeColor="text1"/>
                <w:sz w:val="20"/>
                <w:szCs w:val="20"/>
                <w:lang w:val="en-US" w:eastAsia="el-GR"/>
              </w:rPr>
            </w:pPr>
            <w:r w:rsidRPr="00B947D9">
              <w:rPr>
                <w:rFonts w:ascii="Times New Roman" w:eastAsia="Times New Roman" w:hAnsi="Times New Roman" w:cs="Times New Roman"/>
                <w:b/>
                <w:bCs/>
                <w:color w:val="000000" w:themeColor="text1"/>
                <w:sz w:val="20"/>
                <w:szCs w:val="20"/>
                <w:lang w:val="en-US" w:eastAsia="el-GR"/>
              </w:rPr>
              <w:t>Net purchases</w:t>
            </w:r>
            <w:r w:rsidR="00333FAB" w:rsidRPr="00B947D9">
              <w:rPr>
                <w:rFonts w:ascii="Times New Roman" w:eastAsia="Times New Roman" w:hAnsi="Times New Roman" w:cs="Times New Roman"/>
                <w:b/>
                <w:bCs/>
                <w:color w:val="000000" w:themeColor="text1"/>
                <w:sz w:val="20"/>
                <w:szCs w:val="20"/>
                <w:lang w:val="en-US" w:eastAsia="el-GR"/>
              </w:rPr>
              <w:t xml:space="preserve">/reinvestments </w:t>
            </w:r>
            <w:r w:rsidR="00333FAB" w:rsidRPr="00B947D9">
              <w:rPr>
                <w:rFonts w:ascii="Times New Roman" w:eastAsia="Times New Roman" w:hAnsi="Times New Roman" w:cs="Times New Roman"/>
                <w:color w:val="000000" w:themeColor="text1"/>
                <w:sz w:val="20"/>
                <w:szCs w:val="20"/>
                <w:lang w:val="en-US" w:eastAsia="el-GR"/>
              </w:rPr>
              <w:t>(in billion euros)</w:t>
            </w:r>
          </w:p>
        </w:tc>
      </w:tr>
      <w:tr w:rsidR="008E1EBD" w:rsidRPr="00B947D9" w14:paraId="39BF8312" w14:textId="77777777" w:rsidTr="006C167D">
        <w:trPr>
          <w:jc w:val="center"/>
        </w:trPr>
        <w:tc>
          <w:tcPr>
            <w:tcW w:w="1872" w:type="dxa"/>
            <w:tcBorders>
              <w:top w:val="single" w:sz="4" w:space="0" w:color="auto"/>
              <w:bottom w:val="nil"/>
            </w:tcBorders>
          </w:tcPr>
          <w:p w14:paraId="7A0A6786"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03/2015 – 03/2016</w:t>
            </w:r>
          </w:p>
        </w:tc>
        <w:tc>
          <w:tcPr>
            <w:tcW w:w="4082" w:type="dxa"/>
            <w:tcBorders>
              <w:top w:val="single" w:sz="4" w:space="0" w:color="auto"/>
              <w:bottom w:val="nil"/>
            </w:tcBorders>
          </w:tcPr>
          <w:p w14:paraId="7C328905"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€60 billions of net purchases</w:t>
            </w:r>
          </w:p>
        </w:tc>
      </w:tr>
      <w:tr w:rsidR="008E1EBD" w:rsidRPr="00B947D9" w14:paraId="0E7C0152" w14:textId="77777777" w:rsidTr="006C167D">
        <w:trPr>
          <w:jc w:val="center"/>
        </w:trPr>
        <w:tc>
          <w:tcPr>
            <w:tcW w:w="1872" w:type="dxa"/>
            <w:tcBorders>
              <w:bottom w:val="nil"/>
            </w:tcBorders>
          </w:tcPr>
          <w:p w14:paraId="031425EE"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04/2016 – 03/2017</w:t>
            </w:r>
          </w:p>
        </w:tc>
        <w:tc>
          <w:tcPr>
            <w:tcW w:w="4082" w:type="dxa"/>
            <w:tcBorders>
              <w:bottom w:val="nil"/>
            </w:tcBorders>
          </w:tcPr>
          <w:p w14:paraId="36FFCD84"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€80 billions of net purchases</w:t>
            </w:r>
          </w:p>
        </w:tc>
      </w:tr>
      <w:tr w:rsidR="008E1EBD" w:rsidRPr="00B947D9" w14:paraId="09EFD110" w14:textId="77777777" w:rsidTr="006C167D">
        <w:trPr>
          <w:jc w:val="center"/>
        </w:trPr>
        <w:tc>
          <w:tcPr>
            <w:tcW w:w="1872" w:type="dxa"/>
            <w:tcBorders>
              <w:bottom w:val="nil"/>
            </w:tcBorders>
          </w:tcPr>
          <w:p w14:paraId="464B7264"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04/2017 – 12/2017</w:t>
            </w:r>
          </w:p>
        </w:tc>
        <w:tc>
          <w:tcPr>
            <w:tcW w:w="4082" w:type="dxa"/>
            <w:tcBorders>
              <w:bottom w:val="nil"/>
            </w:tcBorders>
          </w:tcPr>
          <w:p w14:paraId="57704ABB"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€60 billions of net purchases</w:t>
            </w:r>
          </w:p>
        </w:tc>
      </w:tr>
      <w:tr w:rsidR="008E1EBD" w:rsidRPr="00B947D9" w14:paraId="76409DD4" w14:textId="77777777" w:rsidTr="006C167D">
        <w:trPr>
          <w:jc w:val="center"/>
        </w:trPr>
        <w:tc>
          <w:tcPr>
            <w:tcW w:w="1872" w:type="dxa"/>
            <w:tcBorders>
              <w:bottom w:val="nil"/>
            </w:tcBorders>
          </w:tcPr>
          <w:p w14:paraId="50340038"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01/2018 – 09/2018</w:t>
            </w:r>
          </w:p>
        </w:tc>
        <w:tc>
          <w:tcPr>
            <w:tcW w:w="4082" w:type="dxa"/>
            <w:tcBorders>
              <w:bottom w:val="nil"/>
            </w:tcBorders>
          </w:tcPr>
          <w:p w14:paraId="75F94107"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€30 billions of net purchases</w:t>
            </w:r>
          </w:p>
        </w:tc>
      </w:tr>
      <w:tr w:rsidR="008E1EBD" w:rsidRPr="00B947D9" w14:paraId="7A17D3F5" w14:textId="77777777" w:rsidTr="006C167D">
        <w:trPr>
          <w:jc w:val="center"/>
        </w:trPr>
        <w:tc>
          <w:tcPr>
            <w:tcW w:w="1872" w:type="dxa"/>
            <w:tcBorders>
              <w:bottom w:val="nil"/>
            </w:tcBorders>
          </w:tcPr>
          <w:p w14:paraId="27F3CAA0"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10/2018 – 12/2018</w:t>
            </w:r>
          </w:p>
        </w:tc>
        <w:tc>
          <w:tcPr>
            <w:tcW w:w="4082" w:type="dxa"/>
            <w:tcBorders>
              <w:bottom w:val="nil"/>
            </w:tcBorders>
          </w:tcPr>
          <w:p w14:paraId="4EB1124C"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€15 billions of net purchases</w:t>
            </w:r>
          </w:p>
        </w:tc>
      </w:tr>
      <w:tr w:rsidR="008E1EBD" w:rsidRPr="00B947D9" w14:paraId="3B0A2AA8" w14:textId="77777777" w:rsidTr="006C167D">
        <w:trPr>
          <w:jc w:val="center"/>
        </w:trPr>
        <w:tc>
          <w:tcPr>
            <w:tcW w:w="1872" w:type="dxa"/>
            <w:tcBorders>
              <w:bottom w:val="nil"/>
            </w:tcBorders>
          </w:tcPr>
          <w:p w14:paraId="7F2B62D9"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01/2019 – 10/2019</w:t>
            </w:r>
          </w:p>
        </w:tc>
        <w:tc>
          <w:tcPr>
            <w:tcW w:w="4082" w:type="dxa"/>
            <w:tcBorders>
              <w:bottom w:val="nil"/>
            </w:tcBorders>
          </w:tcPr>
          <w:p w14:paraId="3E7C20FC" w14:textId="04A1EBFA" w:rsidR="009D34A3" w:rsidRPr="00B947D9" w:rsidRDefault="00333FAB"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R</w:t>
            </w:r>
            <w:r w:rsidR="009D34A3" w:rsidRPr="00B947D9">
              <w:rPr>
                <w:rFonts w:ascii="Times New Roman" w:eastAsia="Times New Roman" w:hAnsi="Times New Roman" w:cs="Times New Roman"/>
                <w:color w:val="000000" w:themeColor="text1"/>
                <w:sz w:val="20"/>
                <w:szCs w:val="20"/>
                <w:lang w:val="en-US" w:eastAsia="el-GR"/>
              </w:rPr>
              <w:t>einvestments of redemptions</w:t>
            </w:r>
          </w:p>
        </w:tc>
      </w:tr>
      <w:tr w:rsidR="008E1EBD" w:rsidRPr="00B947D9" w14:paraId="016873D9" w14:textId="77777777" w:rsidTr="006C167D">
        <w:trPr>
          <w:jc w:val="center"/>
        </w:trPr>
        <w:tc>
          <w:tcPr>
            <w:tcW w:w="1872" w:type="dxa"/>
            <w:tcBorders>
              <w:bottom w:val="nil"/>
            </w:tcBorders>
          </w:tcPr>
          <w:p w14:paraId="101330F9"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11/2019 – 03/2022</w:t>
            </w:r>
          </w:p>
        </w:tc>
        <w:tc>
          <w:tcPr>
            <w:tcW w:w="4082" w:type="dxa"/>
            <w:tcBorders>
              <w:bottom w:val="nil"/>
            </w:tcBorders>
          </w:tcPr>
          <w:p w14:paraId="4B4A6DF0" w14:textId="683F3922"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€20 billions of net purchases</w:t>
            </w:r>
            <w:r w:rsidR="0028039F" w:rsidRPr="00B947D9">
              <w:rPr>
                <w:rStyle w:val="FootnoteReference"/>
                <w:rFonts w:ascii="Times New Roman" w:eastAsia="Times New Roman" w:hAnsi="Times New Roman" w:cs="Times New Roman"/>
                <w:color w:val="000000" w:themeColor="text1"/>
                <w:sz w:val="20"/>
                <w:szCs w:val="20"/>
                <w:lang w:val="en-US" w:eastAsia="el-GR"/>
              </w:rPr>
              <w:footnoteReference w:id="2"/>
            </w:r>
          </w:p>
        </w:tc>
      </w:tr>
      <w:tr w:rsidR="008E1EBD" w:rsidRPr="00B947D9" w14:paraId="57DEDBCD" w14:textId="77777777" w:rsidTr="006C167D">
        <w:trPr>
          <w:jc w:val="center"/>
        </w:trPr>
        <w:tc>
          <w:tcPr>
            <w:tcW w:w="1872" w:type="dxa"/>
            <w:tcBorders>
              <w:bottom w:val="nil"/>
            </w:tcBorders>
          </w:tcPr>
          <w:p w14:paraId="1F30EF47"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04/2022</w:t>
            </w:r>
          </w:p>
        </w:tc>
        <w:tc>
          <w:tcPr>
            <w:tcW w:w="4082" w:type="dxa"/>
            <w:tcBorders>
              <w:bottom w:val="nil"/>
            </w:tcBorders>
          </w:tcPr>
          <w:p w14:paraId="3358270D"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€40 billions of net purchases</w:t>
            </w:r>
          </w:p>
        </w:tc>
      </w:tr>
      <w:tr w:rsidR="008E1EBD" w:rsidRPr="00B947D9" w14:paraId="04AD0E5B" w14:textId="77777777" w:rsidTr="006C167D">
        <w:trPr>
          <w:jc w:val="center"/>
        </w:trPr>
        <w:tc>
          <w:tcPr>
            <w:tcW w:w="1872" w:type="dxa"/>
            <w:tcBorders>
              <w:bottom w:val="nil"/>
            </w:tcBorders>
          </w:tcPr>
          <w:p w14:paraId="1BA320E7"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05/2022</w:t>
            </w:r>
          </w:p>
        </w:tc>
        <w:tc>
          <w:tcPr>
            <w:tcW w:w="4082" w:type="dxa"/>
            <w:tcBorders>
              <w:bottom w:val="nil"/>
            </w:tcBorders>
          </w:tcPr>
          <w:p w14:paraId="5C31FC68"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€30 billions of net purchases</w:t>
            </w:r>
          </w:p>
        </w:tc>
      </w:tr>
      <w:tr w:rsidR="008E1EBD" w:rsidRPr="00B947D9" w14:paraId="22B5B079" w14:textId="77777777" w:rsidTr="006C167D">
        <w:trPr>
          <w:jc w:val="center"/>
        </w:trPr>
        <w:tc>
          <w:tcPr>
            <w:tcW w:w="1872" w:type="dxa"/>
            <w:tcBorders>
              <w:bottom w:val="nil"/>
            </w:tcBorders>
          </w:tcPr>
          <w:p w14:paraId="7E0C7419"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06/2022</w:t>
            </w:r>
          </w:p>
        </w:tc>
        <w:tc>
          <w:tcPr>
            <w:tcW w:w="4082" w:type="dxa"/>
            <w:tcBorders>
              <w:bottom w:val="nil"/>
            </w:tcBorders>
          </w:tcPr>
          <w:p w14:paraId="3ECEE861"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€20 billions of net purchases</w:t>
            </w:r>
          </w:p>
        </w:tc>
      </w:tr>
      <w:tr w:rsidR="008E1EBD" w:rsidRPr="00B947D9" w14:paraId="5053C197" w14:textId="77777777" w:rsidTr="006C167D">
        <w:trPr>
          <w:jc w:val="center"/>
        </w:trPr>
        <w:tc>
          <w:tcPr>
            <w:tcW w:w="1872" w:type="dxa"/>
            <w:tcBorders>
              <w:bottom w:val="nil"/>
            </w:tcBorders>
          </w:tcPr>
          <w:p w14:paraId="2F3FE6A1"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07/2022 – 02/2023</w:t>
            </w:r>
          </w:p>
        </w:tc>
        <w:tc>
          <w:tcPr>
            <w:tcW w:w="4082" w:type="dxa"/>
            <w:tcBorders>
              <w:bottom w:val="nil"/>
            </w:tcBorders>
          </w:tcPr>
          <w:p w14:paraId="417F6BB4" w14:textId="6D23F538" w:rsidR="009D34A3" w:rsidRPr="00B947D9" w:rsidRDefault="00333FAB"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F</w:t>
            </w:r>
            <w:r w:rsidR="009D34A3" w:rsidRPr="00B947D9">
              <w:rPr>
                <w:rFonts w:ascii="Times New Roman" w:eastAsia="Times New Roman" w:hAnsi="Times New Roman" w:cs="Times New Roman"/>
                <w:color w:val="000000" w:themeColor="text1"/>
                <w:sz w:val="20"/>
                <w:szCs w:val="20"/>
                <w:lang w:val="en-US" w:eastAsia="el-GR"/>
              </w:rPr>
              <w:t>ull reinvestments of redemptions</w:t>
            </w:r>
          </w:p>
        </w:tc>
      </w:tr>
      <w:tr w:rsidR="009D34A3" w:rsidRPr="00B947D9" w14:paraId="19CB0852" w14:textId="77777777" w:rsidTr="006C167D">
        <w:trPr>
          <w:jc w:val="center"/>
        </w:trPr>
        <w:tc>
          <w:tcPr>
            <w:tcW w:w="1872" w:type="dxa"/>
            <w:tcBorders>
              <w:bottom w:val="double" w:sz="4" w:space="0" w:color="auto"/>
            </w:tcBorders>
          </w:tcPr>
          <w:p w14:paraId="38369898" w14:textId="77777777" w:rsidR="009D34A3" w:rsidRPr="00B947D9" w:rsidRDefault="009D34A3"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03/2023</w:t>
            </w:r>
          </w:p>
        </w:tc>
        <w:tc>
          <w:tcPr>
            <w:tcW w:w="4082" w:type="dxa"/>
            <w:tcBorders>
              <w:bottom w:val="double" w:sz="4" w:space="0" w:color="auto"/>
            </w:tcBorders>
          </w:tcPr>
          <w:p w14:paraId="2188D7C9" w14:textId="50796CD0" w:rsidR="009D34A3" w:rsidRPr="00B947D9" w:rsidRDefault="00333FAB" w:rsidP="006C167D">
            <w:pPr>
              <w:spacing w:before="100" w:beforeAutospacing="1" w:after="100" w:afterAutospacing="1"/>
              <w:jc w:val="both"/>
              <w:rPr>
                <w:rFonts w:ascii="Times New Roman" w:eastAsia="Times New Roman" w:hAnsi="Times New Roman" w:cs="Times New Roman"/>
                <w:color w:val="000000" w:themeColor="text1"/>
                <w:sz w:val="20"/>
                <w:szCs w:val="20"/>
                <w:lang w:val="en-US" w:eastAsia="el-GR"/>
              </w:rPr>
            </w:pPr>
            <w:r w:rsidRPr="00B947D9">
              <w:rPr>
                <w:rFonts w:ascii="Times New Roman" w:eastAsia="Times New Roman" w:hAnsi="Times New Roman" w:cs="Times New Roman"/>
                <w:color w:val="000000" w:themeColor="text1"/>
                <w:sz w:val="20"/>
                <w:szCs w:val="20"/>
                <w:lang w:val="en-US" w:eastAsia="el-GR"/>
              </w:rPr>
              <w:t>P</w:t>
            </w:r>
            <w:r w:rsidR="009D34A3" w:rsidRPr="00B947D9">
              <w:rPr>
                <w:rFonts w:ascii="Times New Roman" w:eastAsia="Times New Roman" w:hAnsi="Times New Roman" w:cs="Times New Roman"/>
                <w:color w:val="000000" w:themeColor="text1"/>
                <w:sz w:val="20"/>
                <w:szCs w:val="20"/>
                <w:lang w:val="en-US" w:eastAsia="el-GR"/>
              </w:rPr>
              <w:t>artial reinvestments of redemptions</w:t>
            </w:r>
          </w:p>
        </w:tc>
      </w:tr>
    </w:tbl>
    <w:p w14:paraId="1D0B0483" w14:textId="77777777" w:rsidR="009D34A3" w:rsidRPr="00B947D9" w:rsidRDefault="009D34A3" w:rsidP="006C167D">
      <w:pPr>
        <w:jc w:val="both"/>
        <w:rPr>
          <w:rFonts w:ascii="Times New Roman" w:eastAsia="Times New Roman" w:hAnsi="Times New Roman"/>
          <w:color w:val="000000" w:themeColor="text1"/>
          <w:lang w:val="en-US" w:eastAsia="el-GR"/>
        </w:rPr>
      </w:pPr>
    </w:p>
    <w:p w14:paraId="18859726" w14:textId="4AC439D3" w:rsidR="000143FD" w:rsidRPr="00B947D9" w:rsidRDefault="009D34A3"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On 15 December 2022, the Governing Council decided that from the beginning of March 2023, the APP portfolio will decline at a </w:t>
      </w:r>
      <w:r w:rsidR="008A2AFF">
        <w:rPr>
          <w:rFonts w:ascii="Times New Roman" w:hAnsi="Times New Roman"/>
          <w:color w:val="000000" w:themeColor="text1"/>
          <w:lang w:val="en-US"/>
        </w:rPr>
        <w:t>gradual</w:t>
      </w:r>
      <w:r w:rsidRPr="00B947D9">
        <w:rPr>
          <w:rFonts w:ascii="Times New Roman" w:hAnsi="Times New Roman"/>
          <w:color w:val="000000" w:themeColor="text1"/>
          <w:lang w:val="en-US"/>
        </w:rPr>
        <w:t xml:space="preserve"> pace, as the Eurosystem will </w:t>
      </w:r>
      <w:r w:rsidR="00440D90" w:rsidRPr="00B947D9">
        <w:rPr>
          <w:rFonts w:ascii="Times New Roman" w:hAnsi="Times New Roman"/>
          <w:color w:val="000000" w:themeColor="text1"/>
          <w:lang w:val="en-US"/>
        </w:rPr>
        <w:t xml:space="preserve">gradually </w:t>
      </w:r>
      <w:r w:rsidRPr="00B947D9">
        <w:rPr>
          <w:rFonts w:ascii="Times New Roman" w:hAnsi="Times New Roman"/>
          <w:color w:val="000000" w:themeColor="text1"/>
          <w:lang w:val="en-US"/>
        </w:rPr>
        <w:t xml:space="preserve">reinvest </w:t>
      </w:r>
      <w:r w:rsidR="00440D90" w:rsidRPr="00B947D9">
        <w:rPr>
          <w:rFonts w:ascii="Times New Roman" w:hAnsi="Times New Roman"/>
          <w:color w:val="000000" w:themeColor="text1"/>
          <w:lang w:val="en-US"/>
        </w:rPr>
        <w:t>all</w:t>
      </w:r>
      <w:r w:rsidRPr="00B947D9">
        <w:rPr>
          <w:rFonts w:ascii="Times New Roman" w:hAnsi="Times New Roman"/>
          <w:color w:val="000000" w:themeColor="text1"/>
          <w:lang w:val="en-US"/>
        </w:rPr>
        <w:t xml:space="preserve"> the principal payments from maturing securities. The decline will amount to €15 billion per month on average until the end of the second quarter of 2023 and its subsequent pace will be determined over time</w:t>
      </w:r>
      <w:r w:rsidR="000143FD" w:rsidRPr="00B947D9">
        <w:rPr>
          <w:rFonts w:ascii="Times New Roman" w:hAnsi="Times New Roman"/>
          <w:color w:val="000000" w:themeColor="text1"/>
          <w:lang w:val="en-US"/>
        </w:rPr>
        <w:t>.</w:t>
      </w:r>
    </w:p>
    <w:p w14:paraId="02CAC054" w14:textId="6EBB3A35" w:rsidR="000143FD" w:rsidRPr="00B947D9" w:rsidRDefault="000143FD" w:rsidP="006C167D">
      <w:pPr>
        <w:pStyle w:val="Heading3"/>
        <w:spacing w:line="480" w:lineRule="auto"/>
        <w:jc w:val="both"/>
        <w:rPr>
          <w:rFonts w:ascii="Times New Roman" w:eastAsia="Times New Roman" w:hAnsi="Times New Roman"/>
          <w:i/>
          <w:iCs/>
          <w:color w:val="000000" w:themeColor="text1"/>
          <w:sz w:val="24"/>
          <w:szCs w:val="24"/>
          <w:lang w:val="en-US" w:eastAsia="el-GR"/>
        </w:rPr>
      </w:pPr>
      <w:r w:rsidRPr="00B947D9">
        <w:rPr>
          <w:rFonts w:ascii="Times New Roman" w:eastAsia="Times New Roman" w:hAnsi="Times New Roman"/>
          <w:i/>
          <w:iCs/>
          <w:color w:val="000000" w:themeColor="text1"/>
          <w:sz w:val="24"/>
          <w:szCs w:val="24"/>
          <w:lang w:val="en-US" w:eastAsia="el-GR"/>
        </w:rPr>
        <w:t xml:space="preserve">Pandemic emergency purchase programme </w:t>
      </w:r>
    </w:p>
    <w:p w14:paraId="52B11CE0" w14:textId="224E46E8" w:rsidR="000143FD" w:rsidRPr="00B947D9" w:rsidRDefault="000143FD"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In a further response to the COVID-19 crisis, the European Central Bank (ECB) has launched a €750 billion Pandemic Emergency Purchase Programme (PEPP)</w:t>
      </w:r>
      <w:r w:rsidR="00445008" w:rsidRPr="00B947D9">
        <w:rPr>
          <w:rFonts w:ascii="Times New Roman" w:hAnsi="Times New Roman"/>
          <w:color w:val="000000" w:themeColor="text1"/>
          <w:lang w:val="en-US"/>
        </w:rPr>
        <w:t>. The PEPP consists of</w:t>
      </w:r>
      <w:r w:rsidRPr="00B947D9">
        <w:rPr>
          <w:rFonts w:ascii="Times New Roman" w:hAnsi="Times New Roman"/>
          <w:color w:val="000000" w:themeColor="text1"/>
          <w:lang w:val="en-US"/>
        </w:rPr>
        <w:t xml:space="preserve"> a temporary asset purchase programme of private and public sector securities</w:t>
      </w:r>
      <w:r w:rsidRPr="00B947D9">
        <w:rPr>
          <w:rFonts w:ascii="Times New Roman" w:eastAsia="Times New Roman" w:hAnsi="Times New Roman"/>
          <w:color w:val="000000" w:themeColor="text1"/>
          <w:lang w:val="en-US" w:eastAsia="el-GR"/>
        </w:rPr>
        <w:t xml:space="preserve"> initiated in March 2020</w:t>
      </w:r>
      <w:r w:rsidR="00445008" w:rsidRPr="00B947D9">
        <w:rPr>
          <w:rFonts w:ascii="Times New Roman" w:eastAsia="Times New Roman" w:hAnsi="Times New Roman"/>
          <w:color w:val="000000" w:themeColor="text1"/>
          <w:lang w:val="en-US" w:eastAsia="el-GR"/>
        </w:rPr>
        <w:t>.</w:t>
      </w:r>
      <w:r w:rsidR="00445008" w:rsidRPr="00B947D9">
        <w:rPr>
          <w:rFonts w:ascii="Times New Roman" w:hAnsi="Times New Roman"/>
          <w:color w:val="000000" w:themeColor="text1"/>
          <w:lang w:val="en-US"/>
        </w:rPr>
        <w:t xml:space="preserve"> </w:t>
      </w:r>
      <w:r w:rsidRPr="00B947D9">
        <w:rPr>
          <w:rFonts w:ascii="Times New Roman" w:eastAsia="Times New Roman" w:hAnsi="Times New Roman"/>
          <w:color w:val="000000" w:themeColor="text1"/>
          <w:lang w:val="en-US" w:eastAsia="el-GR"/>
        </w:rPr>
        <w:t xml:space="preserve">The Governing Council decided to increase the initial envelope by €600 billion on </w:t>
      </w:r>
      <w:r w:rsidR="00445008" w:rsidRPr="00B947D9">
        <w:rPr>
          <w:rFonts w:ascii="Times New Roman" w:eastAsia="Times New Roman" w:hAnsi="Times New Roman"/>
          <w:color w:val="000000" w:themeColor="text1"/>
          <w:lang w:val="en-US" w:eastAsia="el-GR"/>
        </w:rPr>
        <w:t xml:space="preserve">the </w:t>
      </w:r>
      <w:r w:rsidRPr="00B947D9">
        <w:rPr>
          <w:rFonts w:ascii="Times New Roman" w:eastAsia="Times New Roman" w:hAnsi="Times New Roman"/>
          <w:color w:val="000000" w:themeColor="text1"/>
          <w:lang w:val="en-US" w:eastAsia="el-GR"/>
        </w:rPr>
        <w:t>4</w:t>
      </w:r>
      <w:r w:rsidR="00445008" w:rsidRPr="00B947D9">
        <w:rPr>
          <w:rFonts w:ascii="Times New Roman" w:eastAsia="Times New Roman" w:hAnsi="Times New Roman"/>
          <w:color w:val="000000" w:themeColor="text1"/>
          <w:vertAlign w:val="superscript"/>
          <w:lang w:val="en-US" w:eastAsia="el-GR"/>
        </w:rPr>
        <w:t>th</w:t>
      </w:r>
      <w:r w:rsidR="00445008" w:rsidRPr="00B947D9">
        <w:rPr>
          <w:rFonts w:ascii="Times New Roman" w:eastAsia="Times New Roman" w:hAnsi="Times New Roman"/>
          <w:color w:val="000000" w:themeColor="text1"/>
          <w:lang w:val="en-US" w:eastAsia="el-GR"/>
        </w:rPr>
        <w:t xml:space="preserve"> of</w:t>
      </w:r>
      <w:r w:rsidRPr="00B947D9">
        <w:rPr>
          <w:rFonts w:ascii="Times New Roman" w:eastAsia="Times New Roman" w:hAnsi="Times New Roman"/>
          <w:color w:val="000000" w:themeColor="text1"/>
          <w:lang w:val="en-US" w:eastAsia="el-GR"/>
        </w:rPr>
        <w:t xml:space="preserve"> June 2020</w:t>
      </w:r>
      <w:r w:rsidR="00445008" w:rsidRPr="00B947D9">
        <w:rPr>
          <w:rFonts w:ascii="Times New Roman" w:eastAsia="Times New Roman" w:hAnsi="Times New Roman"/>
          <w:color w:val="000000" w:themeColor="text1"/>
          <w:lang w:val="en-US" w:eastAsia="el-GR"/>
        </w:rPr>
        <w:t>,</w:t>
      </w:r>
      <w:r w:rsidRPr="00B947D9">
        <w:rPr>
          <w:rFonts w:ascii="Times New Roman" w:eastAsia="Times New Roman" w:hAnsi="Times New Roman"/>
          <w:color w:val="000000" w:themeColor="text1"/>
          <w:lang w:val="en-US" w:eastAsia="el-GR"/>
        </w:rPr>
        <w:t xml:space="preserve"> and by €500 billion on </w:t>
      </w:r>
      <w:r w:rsidR="00445008" w:rsidRPr="00B947D9">
        <w:rPr>
          <w:rFonts w:ascii="Times New Roman" w:eastAsia="Times New Roman" w:hAnsi="Times New Roman"/>
          <w:color w:val="000000" w:themeColor="text1"/>
          <w:lang w:val="en-US" w:eastAsia="el-GR"/>
        </w:rPr>
        <w:t xml:space="preserve">the </w:t>
      </w:r>
      <w:r w:rsidRPr="00B947D9">
        <w:rPr>
          <w:rFonts w:ascii="Times New Roman" w:eastAsia="Times New Roman" w:hAnsi="Times New Roman"/>
          <w:color w:val="000000" w:themeColor="text1"/>
          <w:lang w:val="en-US" w:eastAsia="el-GR"/>
        </w:rPr>
        <w:t>10</w:t>
      </w:r>
      <w:r w:rsidR="00445008" w:rsidRPr="00B947D9">
        <w:rPr>
          <w:rFonts w:ascii="Times New Roman" w:eastAsia="Times New Roman" w:hAnsi="Times New Roman"/>
          <w:color w:val="000000" w:themeColor="text1"/>
          <w:vertAlign w:val="superscript"/>
          <w:lang w:val="en-US" w:eastAsia="el-GR"/>
        </w:rPr>
        <w:t>th</w:t>
      </w:r>
      <w:r w:rsidR="00445008" w:rsidRPr="00B947D9">
        <w:rPr>
          <w:rFonts w:ascii="Times New Roman" w:eastAsia="Times New Roman" w:hAnsi="Times New Roman"/>
          <w:color w:val="000000" w:themeColor="text1"/>
          <w:lang w:val="en-US" w:eastAsia="el-GR"/>
        </w:rPr>
        <w:t xml:space="preserve"> of</w:t>
      </w:r>
      <w:r w:rsidRPr="00B947D9">
        <w:rPr>
          <w:rFonts w:ascii="Times New Roman" w:eastAsia="Times New Roman" w:hAnsi="Times New Roman"/>
          <w:color w:val="000000" w:themeColor="text1"/>
          <w:lang w:val="en-US" w:eastAsia="el-GR"/>
        </w:rPr>
        <w:t xml:space="preserve"> December, </w:t>
      </w:r>
      <w:r w:rsidR="00445008" w:rsidRPr="00B947D9">
        <w:rPr>
          <w:rFonts w:ascii="Times New Roman" w:eastAsia="Times New Roman" w:hAnsi="Times New Roman"/>
          <w:color w:val="000000" w:themeColor="text1"/>
          <w:lang w:val="en-US" w:eastAsia="el-GR"/>
        </w:rPr>
        <w:t xml:space="preserve">resulting to </w:t>
      </w:r>
      <w:r w:rsidRPr="00B947D9">
        <w:rPr>
          <w:rFonts w:ascii="Times New Roman" w:eastAsia="Times New Roman" w:hAnsi="Times New Roman"/>
          <w:color w:val="000000" w:themeColor="text1"/>
          <w:lang w:val="en-US" w:eastAsia="el-GR"/>
        </w:rPr>
        <w:t>a new total of €1,850 billion. All asset categories eligible under the existing asset purchase programme (APP) are also eligible under the PEPP</w:t>
      </w:r>
      <w:r w:rsidR="00445008" w:rsidRPr="00B947D9">
        <w:rPr>
          <w:rFonts w:ascii="Times New Roman" w:eastAsia="Times New Roman" w:hAnsi="Times New Roman"/>
          <w:color w:val="000000" w:themeColor="text1"/>
          <w:lang w:val="en-US" w:eastAsia="el-GR"/>
        </w:rPr>
        <w:t xml:space="preserve"> and </w:t>
      </w:r>
      <w:r w:rsidRPr="00B947D9">
        <w:rPr>
          <w:rFonts w:ascii="Times New Roman" w:eastAsia="Times New Roman" w:hAnsi="Times New Roman"/>
          <w:color w:val="000000" w:themeColor="text1"/>
          <w:lang w:val="en-US" w:eastAsia="el-GR"/>
        </w:rPr>
        <w:t>a waiver of the eligibility requirements has been granted for securities issued by the Greek Government.</w:t>
      </w:r>
      <w:r w:rsidR="00445008" w:rsidRPr="00B947D9">
        <w:rPr>
          <w:rFonts w:ascii="Times New Roman" w:eastAsia="Times New Roman" w:hAnsi="Times New Roman"/>
          <w:color w:val="000000" w:themeColor="text1"/>
          <w:lang w:val="en-US" w:eastAsia="el-GR"/>
        </w:rPr>
        <w:t xml:space="preserve"> The programme was discontinued</w:t>
      </w:r>
      <w:r w:rsidR="008A2AFF">
        <w:rPr>
          <w:rFonts w:ascii="Times New Roman" w:eastAsia="Times New Roman" w:hAnsi="Times New Roman"/>
          <w:color w:val="000000" w:themeColor="text1"/>
          <w:lang w:val="en-US" w:eastAsia="el-GR"/>
        </w:rPr>
        <w:t>,</w:t>
      </w:r>
      <w:r w:rsidRPr="00B947D9">
        <w:rPr>
          <w:rFonts w:ascii="Times New Roman" w:eastAsia="Times New Roman" w:hAnsi="Times New Roman"/>
          <w:color w:val="000000" w:themeColor="text1"/>
          <w:lang w:val="en-US" w:eastAsia="el-GR"/>
        </w:rPr>
        <w:t xml:space="preserve"> end of March 2022.</w:t>
      </w:r>
    </w:p>
    <w:p w14:paraId="601C2762" w14:textId="36F41B5B" w:rsidR="003C2693" w:rsidRPr="00B947D9" w:rsidRDefault="00C30974" w:rsidP="006C167D">
      <w:pPr>
        <w:pStyle w:val="Heading2"/>
        <w:spacing w:line="480" w:lineRule="auto"/>
        <w:jc w:val="both"/>
        <w:rPr>
          <w:rFonts w:ascii="Times New Roman" w:hAnsi="Times New Roman"/>
          <w:color w:val="000000" w:themeColor="text1"/>
          <w:sz w:val="24"/>
          <w:szCs w:val="24"/>
          <w:lang w:val="en-US"/>
        </w:rPr>
      </w:pPr>
      <w:r w:rsidRPr="00B947D9">
        <w:rPr>
          <w:rFonts w:ascii="Times New Roman" w:hAnsi="Times New Roman"/>
          <w:color w:val="000000" w:themeColor="text1"/>
          <w:sz w:val="24"/>
          <w:szCs w:val="24"/>
          <w:lang w:val="en-US"/>
        </w:rPr>
        <w:t xml:space="preserve">2.2. </w:t>
      </w:r>
      <w:r w:rsidR="003C2693" w:rsidRPr="00B947D9">
        <w:rPr>
          <w:rFonts w:ascii="Times New Roman" w:hAnsi="Times New Roman"/>
          <w:color w:val="000000" w:themeColor="text1"/>
          <w:sz w:val="24"/>
          <w:szCs w:val="24"/>
          <w:lang w:val="en-US"/>
        </w:rPr>
        <w:t>The effects of unconventional monetary on wealth inequality</w:t>
      </w:r>
      <w:r w:rsidR="00695BB3" w:rsidRPr="00B947D9">
        <w:rPr>
          <w:rFonts w:ascii="Times New Roman" w:hAnsi="Times New Roman"/>
          <w:color w:val="000000" w:themeColor="text1"/>
          <w:sz w:val="24"/>
          <w:szCs w:val="24"/>
          <w:lang w:val="en-US"/>
        </w:rPr>
        <w:t>: theoretical mechanisms</w:t>
      </w:r>
    </w:p>
    <w:p w14:paraId="2B73CA7B" w14:textId="77777777" w:rsidR="006A5719" w:rsidRPr="00B947D9" w:rsidRDefault="00C30974" w:rsidP="006A5719">
      <w:pPr>
        <w:pStyle w:val="Heading3"/>
        <w:spacing w:line="480" w:lineRule="auto"/>
        <w:jc w:val="both"/>
        <w:rPr>
          <w:rFonts w:ascii="Times New Roman" w:hAnsi="Times New Roman"/>
          <w:i/>
          <w:iCs/>
          <w:color w:val="000000" w:themeColor="text1"/>
          <w:sz w:val="24"/>
          <w:szCs w:val="24"/>
          <w:lang w:val="en-US"/>
        </w:rPr>
      </w:pPr>
      <w:r w:rsidRPr="00B947D9">
        <w:rPr>
          <w:rFonts w:ascii="Times New Roman" w:hAnsi="Times New Roman"/>
          <w:i/>
          <w:iCs/>
          <w:color w:val="000000" w:themeColor="text1"/>
          <w:sz w:val="24"/>
          <w:szCs w:val="24"/>
          <w:lang w:val="en-US"/>
        </w:rPr>
        <w:t>Theoretical mechanisms</w:t>
      </w:r>
    </w:p>
    <w:p w14:paraId="0E5391CB" w14:textId="189B1B67" w:rsidR="00B24E02" w:rsidRPr="00B947D9" w:rsidRDefault="00B24E02" w:rsidP="006A5719">
      <w:pPr>
        <w:spacing w:line="480" w:lineRule="auto"/>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shd w:val="clear" w:color="auto" w:fill="FFFFFF"/>
          <w:lang w:val="en-US" w:eastAsia="en-GB"/>
        </w:rPr>
        <w:t>One of the big differences between traditional monetary policy and unconventional monetary policy tools, is that the latter directly affects the prices of the assets by affecting their supply and demand.</w:t>
      </w:r>
      <w:r w:rsidR="006A5719" w:rsidRPr="00B947D9">
        <w:rPr>
          <w:rFonts w:ascii="Times New Roman" w:eastAsia="Times New Roman" w:hAnsi="Times New Roman"/>
          <w:color w:val="000000" w:themeColor="text1"/>
          <w:shd w:val="clear" w:color="auto" w:fill="FFFFFF"/>
          <w:lang w:val="en-US" w:eastAsia="en-GB"/>
        </w:rPr>
        <w:t xml:space="preserve"> Thus, we</w:t>
      </w:r>
      <w:r w:rsidRPr="00B947D9">
        <w:rPr>
          <w:rFonts w:ascii="Times New Roman" w:eastAsia="Times New Roman" w:hAnsi="Times New Roman"/>
          <w:color w:val="000000" w:themeColor="text1"/>
          <w:shd w:val="clear" w:color="auto" w:fill="FFFFFF"/>
          <w:lang w:val="en-US" w:eastAsia="en-GB"/>
        </w:rPr>
        <w:t xml:space="preserve"> expect that the effect on wealth might be substantial since wealth is measured as the</w:t>
      </w:r>
      <w:r w:rsidR="006B16B0">
        <w:rPr>
          <w:rFonts w:ascii="Times New Roman" w:eastAsia="Times New Roman" w:hAnsi="Times New Roman"/>
          <w:color w:val="000000" w:themeColor="text1"/>
          <w:shd w:val="clear" w:color="auto" w:fill="FFFFFF"/>
          <w:lang w:val="en-US" w:eastAsia="en-GB"/>
        </w:rPr>
        <w:t xml:space="preserve"> sum of the</w:t>
      </w:r>
      <w:r w:rsidRPr="00B947D9">
        <w:rPr>
          <w:rFonts w:ascii="Times New Roman" w:eastAsia="Times New Roman" w:hAnsi="Times New Roman"/>
          <w:color w:val="000000" w:themeColor="text1"/>
          <w:shd w:val="clear" w:color="auto" w:fill="FFFFFF"/>
          <w:lang w:val="en-US" w:eastAsia="en-GB"/>
        </w:rPr>
        <w:t xml:space="preserve"> estimated value of such assets. </w:t>
      </w:r>
      <w:r w:rsidRPr="00B947D9">
        <w:rPr>
          <w:rFonts w:ascii="Times New Roman" w:eastAsia="Times New Roman" w:hAnsi="Times New Roman"/>
          <w:color w:val="000000" w:themeColor="text1"/>
          <w:lang w:val="en-US" w:eastAsia="en-GB"/>
        </w:rPr>
        <w:t xml:space="preserve">We identify </w:t>
      </w:r>
      <w:r w:rsidR="00DD4B69" w:rsidRPr="00B947D9">
        <w:rPr>
          <w:rFonts w:ascii="Times New Roman" w:eastAsia="Times New Roman" w:hAnsi="Times New Roman"/>
          <w:color w:val="000000" w:themeColor="text1"/>
          <w:lang w:val="en-US" w:eastAsia="en-GB"/>
        </w:rPr>
        <w:t>f</w:t>
      </w:r>
      <w:r w:rsidR="00474EF1" w:rsidRPr="00B947D9">
        <w:rPr>
          <w:rFonts w:ascii="Times New Roman" w:eastAsia="Times New Roman" w:hAnsi="Times New Roman"/>
          <w:color w:val="000000" w:themeColor="text1"/>
          <w:lang w:val="en-US" w:eastAsia="en-GB"/>
        </w:rPr>
        <w:t>ive</w:t>
      </w:r>
      <w:r w:rsidRPr="00B947D9">
        <w:rPr>
          <w:rFonts w:ascii="Times New Roman" w:eastAsia="Times New Roman" w:hAnsi="Times New Roman"/>
          <w:color w:val="000000" w:themeColor="text1"/>
          <w:lang w:val="en-US" w:eastAsia="en-GB"/>
        </w:rPr>
        <w:t xml:space="preserve"> main mechanisms through which unconventional monetary policy can affect wealth inequality.</w:t>
      </w:r>
    </w:p>
    <w:p w14:paraId="0F163436" w14:textId="4957D536" w:rsidR="00571DBF" w:rsidRPr="00B947D9" w:rsidRDefault="00B24E02" w:rsidP="006A5719">
      <w:pPr>
        <w:pStyle w:val="ListParagraph"/>
        <w:numPr>
          <w:ilvl w:val="0"/>
          <w:numId w:val="5"/>
        </w:numPr>
        <w:spacing w:line="480" w:lineRule="auto"/>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val="en-US" w:eastAsia="en-GB"/>
        </w:rPr>
        <w:t>Asset price inflation</w:t>
      </w:r>
      <w:r w:rsidR="00DD4B69" w:rsidRPr="00B947D9">
        <w:rPr>
          <w:rFonts w:ascii="Times New Roman" w:eastAsia="Times New Roman" w:hAnsi="Times New Roman"/>
          <w:color w:val="000000" w:themeColor="text1"/>
          <w:lang w:val="en-US" w:eastAsia="en-GB"/>
        </w:rPr>
        <w:t xml:space="preserve"> channel</w:t>
      </w:r>
      <w:r w:rsidRPr="00B947D9">
        <w:rPr>
          <w:rFonts w:ascii="Times New Roman" w:eastAsia="Times New Roman" w:hAnsi="Times New Roman"/>
          <w:color w:val="000000" w:themeColor="text1"/>
          <w:lang w:val="en-US" w:eastAsia="en-GB"/>
        </w:rPr>
        <w:t xml:space="preserve">: QE involves the direct effect on the demand and supply of assets, such as bonds, aiming at increasing liquidity. This expansionary monetary policy can result </w:t>
      </w:r>
      <w:r w:rsidR="00863D80" w:rsidRPr="00B947D9">
        <w:rPr>
          <w:rFonts w:ascii="Times New Roman" w:eastAsia="Times New Roman" w:hAnsi="Times New Roman"/>
          <w:color w:val="000000" w:themeColor="text1"/>
          <w:lang w:val="en-US" w:eastAsia="en-GB"/>
        </w:rPr>
        <w:t>in</w:t>
      </w:r>
      <w:r w:rsidRPr="00B947D9">
        <w:rPr>
          <w:rFonts w:ascii="Times New Roman" w:eastAsia="Times New Roman" w:hAnsi="Times New Roman"/>
          <w:color w:val="000000" w:themeColor="text1"/>
          <w:lang w:val="en-US" w:eastAsia="en-GB"/>
        </w:rPr>
        <w:t xml:space="preserve"> an increase in the prices of those assets. Wealthier individuals </w:t>
      </w:r>
      <w:r w:rsidR="00863D80" w:rsidRPr="00B947D9">
        <w:rPr>
          <w:rFonts w:ascii="Times New Roman" w:eastAsia="Times New Roman" w:hAnsi="Times New Roman"/>
          <w:color w:val="000000" w:themeColor="text1"/>
          <w:lang w:val="en-US" w:eastAsia="en-GB"/>
        </w:rPr>
        <w:t>tend to hold more assets, subsequently relatively increasing their wealth.</w:t>
      </w:r>
    </w:p>
    <w:p w14:paraId="6FA2A6BC" w14:textId="652D853D" w:rsidR="00DD4B69" w:rsidRPr="00B947D9" w:rsidRDefault="006A5719" w:rsidP="00DD4B69">
      <w:pPr>
        <w:pStyle w:val="ListParagraph"/>
        <w:numPr>
          <w:ilvl w:val="0"/>
          <w:numId w:val="5"/>
        </w:numPr>
        <w:spacing w:line="480" w:lineRule="auto"/>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eastAsia="en-GB"/>
        </w:rPr>
        <w:t xml:space="preserve">Portfolio </w:t>
      </w:r>
      <w:r w:rsidR="00DD4B69" w:rsidRPr="00B947D9">
        <w:rPr>
          <w:rFonts w:ascii="Times New Roman" w:eastAsia="Times New Roman" w:hAnsi="Times New Roman"/>
          <w:color w:val="000000" w:themeColor="text1"/>
          <w:lang w:val="en-US" w:eastAsia="en-GB"/>
        </w:rPr>
        <w:t>restructuring</w:t>
      </w:r>
      <w:r w:rsidRPr="00B947D9">
        <w:rPr>
          <w:rFonts w:ascii="Times New Roman" w:eastAsia="Times New Roman" w:hAnsi="Times New Roman"/>
          <w:color w:val="000000" w:themeColor="text1"/>
          <w:lang w:eastAsia="en-GB"/>
        </w:rPr>
        <w:t xml:space="preserve"> channe</w:t>
      </w:r>
      <w:r w:rsidRPr="00B947D9">
        <w:rPr>
          <w:rFonts w:ascii="Times New Roman" w:eastAsia="Times New Roman" w:hAnsi="Times New Roman"/>
          <w:color w:val="000000" w:themeColor="text1"/>
          <w:lang w:val="en-US" w:eastAsia="en-GB"/>
        </w:rPr>
        <w:t>l</w:t>
      </w:r>
      <w:r w:rsidR="00571DBF" w:rsidRPr="00B947D9">
        <w:rPr>
          <w:rFonts w:ascii="Times New Roman" w:eastAsia="Times New Roman" w:hAnsi="Times New Roman"/>
          <w:color w:val="000000" w:themeColor="text1"/>
          <w:lang w:val="en-US" w:eastAsia="en-GB"/>
        </w:rPr>
        <w:t>:</w:t>
      </w:r>
      <w:r w:rsidR="00DD4B69" w:rsidRPr="00B947D9">
        <w:rPr>
          <w:rFonts w:ascii="Times New Roman" w:eastAsia="Times New Roman" w:hAnsi="Times New Roman"/>
          <w:color w:val="000000" w:themeColor="text1"/>
          <w:lang w:val="en-US" w:eastAsia="en-GB"/>
        </w:rPr>
        <w:t xml:space="preserve"> </w:t>
      </w:r>
      <w:r w:rsidRPr="00B947D9">
        <w:rPr>
          <w:rFonts w:ascii="Times New Roman" w:eastAsia="Times New Roman" w:hAnsi="Times New Roman"/>
          <w:color w:val="000000" w:themeColor="text1"/>
          <w:lang w:eastAsia="en-GB"/>
        </w:rPr>
        <w:t xml:space="preserve">Monetary policy easing results in a </w:t>
      </w:r>
      <w:r w:rsidRPr="00B947D9">
        <w:rPr>
          <w:rFonts w:ascii="Times New Roman" w:eastAsia="Times New Roman" w:hAnsi="Times New Roman"/>
          <w:color w:val="000000" w:themeColor="text1"/>
          <w:lang w:val="en-US" w:eastAsia="en-GB"/>
        </w:rPr>
        <w:t xml:space="preserve">drop </w:t>
      </w:r>
      <w:r w:rsidRPr="00B947D9">
        <w:rPr>
          <w:rFonts w:ascii="Times New Roman" w:eastAsia="Times New Roman" w:hAnsi="Times New Roman"/>
          <w:color w:val="000000" w:themeColor="text1"/>
          <w:lang w:eastAsia="en-GB"/>
        </w:rPr>
        <w:t xml:space="preserve">in interest rates which </w:t>
      </w:r>
      <w:r w:rsidR="00DD4B69" w:rsidRPr="00B947D9">
        <w:rPr>
          <w:rFonts w:ascii="Times New Roman" w:eastAsia="Times New Roman" w:hAnsi="Times New Roman"/>
          <w:color w:val="000000" w:themeColor="text1"/>
          <w:lang w:val="en-US" w:eastAsia="en-GB"/>
        </w:rPr>
        <w:t>reduces the prices of fixed-income investments such as bonds, since now they offer lower returns</w:t>
      </w:r>
      <w:r w:rsidRPr="00B947D9">
        <w:rPr>
          <w:rFonts w:ascii="Times New Roman" w:eastAsia="Times New Roman" w:hAnsi="Times New Roman"/>
          <w:color w:val="000000" w:themeColor="text1"/>
          <w:lang w:eastAsia="en-GB"/>
        </w:rPr>
        <w:t>.</w:t>
      </w:r>
      <w:r w:rsidR="00DD4B69" w:rsidRPr="00B947D9">
        <w:rPr>
          <w:rFonts w:ascii="Times New Roman" w:eastAsia="Times New Roman" w:hAnsi="Times New Roman"/>
          <w:color w:val="000000" w:themeColor="text1"/>
          <w:lang w:val="en-US" w:eastAsia="en-GB"/>
        </w:rPr>
        <w:t xml:space="preserve"> At the same time, measures like the NDFR affect mortgage rates, which can cause an increase in the demand for housing. These changes</w:t>
      </w:r>
      <w:r w:rsidRPr="00B947D9">
        <w:rPr>
          <w:rFonts w:ascii="Times New Roman" w:eastAsia="Times New Roman" w:hAnsi="Times New Roman"/>
          <w:color w:val="000000" w:themeColor="text1"/>
          <w:lang w:eastAsia="en-GB"/>
        </w:rPr>
        <w:t xml:space="preserve"> </w:t>
      </w:r>
      <w:r w:rsidR="00DD4B69" w:rsidRPr="00B947D9">
        <w:rPr>
          <w:rFonts w:ascii="Times New Roman" w:eastAsia="Times New Roman" w:hAnsi="Times New Roman"/>
          <w:color w:val="000000" w:themeColor="text1"/>
          <w:lang w:val="en-US" w:eastAsia="en-GB"/>
        </w:rPr>
        <w:t xml:space="preserve">differentially affect the prices of assets of </w:t>
      </w:r>
      <w:r w:rsidR="007765B3">
        <w:rPr>
          <w:rFonts w:ascii="Times New Roman" w:eastAsia="Times New Roman" w:hAnsi="Times New Roman"/>
          <w:color w:val="000000" w:themeColor="text1"/>
          <w:lang w:val="en-US" w:eastAsia="en-GB"/>
        </w:rPr>
        <w:t>various</w:t>
      </w:r>
      <w:r w:rsidR="00DD4B69" w:rsidRPr="00B947D9">
        <w:rPr>
          <w:rFonts w:ascii="Times New Roman" w:eastAsia="Times New Roman" w:hAnsi="Times New Roman"/>
          <w:color w:val="000000" w:themeColor="text1"/>
          <w:lang w:val="en-US" w:eastAsia="en-GB"/>
        </w:rPr>
        <w:t xml:space="preserve"> nature (e.g., financial versus real) causing households to restructure their portfolios.</w:t>
      </w:r>
      <w:r w:rsidRPr="00B947D9">
        <w:rPr>
          <w:rFonts w:ascii="Times New Roman" w:eastAsia="Times New Roman" w:hAnsi="Times New Roman"/>
          <w:color w:val="000000" w:themeColor="text1"/>
          <w:lang w:eastAsia="en-GB"/>
        </w:rPr>
        <w:t xml:space="preserve"> </w:t>
      </w:r>
    </w:p>
    <w:p w14:paraId="58201A36" w14:textId="178CDB95" w:rsidR="006A5719" w:rsidRPr="00B947D9" w:rsidRDefault="00571DBF" w:rsidP="006A5719">
      <w:pPr>
        <w:pStyle w:val="ListParagraph"/>
        <w:numPr>
          <w:ilvl w:val="0"/>
          <w:numId w:val="5"/>
        </w:numPr>
        <w:spacing w:line="480" w:lineRule="auto"/>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eastAsia="en-GB"/>
        </w:rPr>
        <w:t>Savings redistribution channel</w:t>
      </w:r>
      <w:r w:rsidRPr="00B947D9">
        <w:rPr>
          <w:rFonts w:ascii="Times New Roman" w:eastAsia="Times New Roman" w:hAnsi="Times New Roman"/>
          <w:color w:val="000000" w:themeColor="text1"/>
          <w:lang w:val="en-US" w:eastAsia="en-GB"/>
        </w:rPr>
        <w:t xml:space="preserve">: </w:t>
      </w:r>
      <w:r w:rsidR="00DD4B69" w:rsidRPr="00B947D9">
        <w:rPr>
          <w:rFonts w:ascii="Times New Roman" w:eastAsia="Times New Roman" w:hAnsi="Times New Roman"/>
          <w:color w:val="000000" w:themeColor="text1"/>
          <w:lang w:val="en-US" w:eastAsia="en-GB"/>
        </w:rPr>
        <w:t xml:space="preserve">Expansionary monetary policy </w:t>
      </w:r>
      <w:r w:rsidRPr="00B947D9">
        <w:rPr>
          <w:rFonts w:ascii="Times New Roman" w:eastAsia="Times New Roman" w:hAnsi="Times New Roman"/>
          <w:color w:val="000000" w:themeColor="text1"/>
          <w:lang w:eastAsia="en-GB"/>
        </w:rPr>
        <w:t>reduces interest payments on debt and</w:t>
      </w:r>
      <w:r w:rsidRPr="00B947D9">
        <w:rPr>
          <w:rFonts w:ascii="Times New Roman" w:eastAsia="Times New Roman" w:hAnsi="Times New Roman"/>
          <w:color w:val="000000" w:themeColor="text1"/>
          <w:lang w:val="en-US" w:eastAsia="en-GB"/>
        </w:rPr>
        <w:t xml:space="preserve"> </w:t>
      </w:r>
      <w:r w:rsidRPr="00B947D9">
        <w:rPr>
          <w:rFonts w:ascii="Times New Roman" w:eastAsia="Times New Roman" w:hAnsi="Times New Roman"/>
          <w:color w:val="000000" w:themeColor="text1"/>
          <w:lang w:eastAsia="en-GB"/>
        </w:rPr>
        <w:t>returns on short-term deposits</w:t>
      </w:r>
      <w:r w:rsidR="00DD4B69" w:rsidRPr="00B947D9">
        <w:rPr>
          <w:rFonts w:ascii="Times New Roman" w:eastAsia="Times New Roman" w:hAnsi="Times New Roman"/>
          <w:color w:val="000000" w:themeColor="text1"/>
          <w:lang w:val="en-US" w:eastAsia="en-GB"/>
        </w:rPr>
        <w:t xml:space="preserve">. This </w:t>
      </w:r>
      <w:r w:rsidRPr="00B947D9">
        <w:rPr>
          <w:rFonts w:ascii="Times New Roman" w:eastAsia="Times New Roman" w:hAnsi="Times New Roman"/>
          <w:color w:val="000000" w:themeColor="text1"/>
          <w:lang w:val="en-US" w:eastAsia="en-GB"/>
        </w:rPr>
        <w:t>result</w:t>
      </w:r>
      <w:r w:rsidR="00DD4B69" w:rsidRPr="00B947D9">
        <w:rPr>
          <w:rFonts w:ascii="Times New Roman" w:eastAsia="Times New Roman" w:hAnsi="Times New Roman"/>
          <w:color w:val="000000" w:themeColor="text1"/>
          <w:lang w:val="en-US" w:eastAsia="en-GB"/>
        </w:rPr>
        <w:t>s</w:t>
      </w:r>
      <w:r w:rsidRPr="00B947D9">
        <w:rPr>
          <w:rFonts w:ascii="Times New Roman" w:eastAsia="Times New Roman" w:hAnsi="Times New Roman"/>
          <w:color w:val="000000" w:themeColor="text1"/>
          <w:lang w:val="en-US" w:eastAsia="en-GB"/>
        </w:rPr>
        <w:t xml:space="preserve"> in</w:t>
      </w:r>
      <w:r w:rsidRPr="00B947D9">
        <w:rPr>
          <w:rFonts w:ascii="Times New Roman" w:eastAsia="Times New Roman" w:hAnsi="Times New Roman"/>
          <w:color w:val="000000" w:themeColor="text1"/>
          <w:lang w:eastAsia="en-GB"/>
        </w:rPr>
        <w:t xml:space="preserve"> borrowers </w:t>
      </w:r>
      <w:r w:rsidRPr="00B947D9">
        <w:rPr>
          <w:rFonts w:ascii="Times New Roman" w:eastAsia="Times New Roman" w:hAnsi="Times New Roman"/>
          <w:color w:val="000000" w:themeColor="text1"/>
          <w:lang w:val="en-US" w:eastAsia="en-GB"/>
        </w:rPr>
        <w:t>be</w:t>
      </w:r>
      <w:r w:rsidR="007765B3">
        <w:rPr>
          <w:rFonts w:ascii="Times New Roman" w:eastAsia="Times New Roman" w:hAnsi="Times New Roman"/>
          <w:color w:val="000000" w:themeColor="text1"/>
          <w:lang w:val="en-US" w:eastAsia="en-GB"/>
        </w:rPr>
        <w:t>ing</w:t>
      </w:r>
      <w:r w:rsidRPr="00B947D9">
        <w:rPr>
          <w:rFonts w:ascii="Times New Roman" w:eastAsia="Times New Roman" w:hAnsi="Times New Roman"/>
          <w:color w:val="000000" w:themeColor="text1"/>
          <w:lang w:eastAsia="en-GB"/>
        </w:rPr>
        <w:t xml:space="preserve"> better off</w:t>
      </w:r>
      <w:r w:rsidR="00DD4B69" w:rsidRPr="00B947D9">
        <w:rPr>
          <w:rFonts w:ascii="Times New Roman" w:eastAsia="Times New Roman" w:hAnsi="Times New Roman"/>
          <w:color w:val="000000" w:themeColor="text1"/>
          <w:lang w:val="en-US" w:eastAsia="en-GB"/>
        </w:rPr>
        <w:t xml:space="preserve"> </w:t>
      </w:r>
      <w:r w:rsidRPr="00B947D9">
        <w:rPr>
          <w:rFonts w:ascii="Times New Roman" w:eastAsia="Times New Roman" w:hAnsi="Times New Roman"/>
          <w:color w:val="000000" w:themeColor="text1"/>
          <w:lang w:eastAsia="en-GB"/>
        </w:rPr>
        <w:t>and savers worse off</w:t>
      </w:r>
      <w:r w:rsidR="00DD4B69" w:rsidRPr="00B947D9">
        <w:rPr>
          <w:rFonts w:ascii="Times New Roman" w:eastAsia="Times New Roman" w:hAnsi="Times New Roman"/>
          <w:color w:val="000000" w:themeColor="text1"/>
          <w:lang w:val="en-US" w:eastAsia="en-GB"/>
        </w:rPr>
        <w:t>, distorting the incentives to save</w:t>
      </w:r>
      <w:r w:rsidR="007765B3">
        <w:rPr>
          <w:rFonts w:ascii="Times New Roman" w:eastAsia="Times New Roman" w:hAnsi="Times New Roman"/>
          <w:color w:val="000000" w:themeColor="text1"/>
          <w:lang w:val="en-US" w:eastAsia="en-GB"/>
        </w:rPr>
        <w:t xml:space="preserve"> and invest</w:t>
      </w:r>
      <w:r w:rsidR="00DD4B69" w:rsidRPr="00B947D9">
        <w:rPr>
          <w:rFonts w:ascii="Times New Roman" w:eastAsia="Times New Roman" w:hAnsi="Times New Roman"/>
          <w:color w:val="000000" w:themeColor="text1"/>
          <w:lang w:val="en-US" w:eastAsia="en-GB"/>
        </w:rPr>
        <w:t>.</w:t>
      </w:r>
      <w:r w:rsidRPr="00B947D9">
        <w:rPr>
          <w:rFonts w:ascii="Times New Roman" w:eastAsia="Times New Roman" w:hAnsi="Times New Roman"/>
          <w:color w:val="000000" w:themeColor="text1"/>
          <w:lang w:eastAsia="en-GB"/>
        </w:rPr>
        <w:t xml:space="preserve"> The net distributional effect depends on the degree of asset and debt holding across the population.</w:t>
      </w:r>
    </w:p>
    <w:p w14:paraId="6A16A3F7" w14:textId="3C2C17B3" w:rsidR="00474EF1" w:rsidRPr="00B947D9" w:rsidRDefault="00DD4B69" w:rsidP="00474EF1">
      <w:pPr>
        <w:pStyle w:val="ListParagraph"/>
        <w:numPr>
          <w:ilvl w:val="0"/>
          <w:numId w:val="5"/>
        </w:numPr>
        <w:spacing w:line="480" w:lineRule="auto"/>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val="en-US" w:eastAsia="en-GB"/>
        </w:rPr>
        <w:t xml:space="preserve">Access to credit: Unconventional monetary policy during crisis aims at boosting lending and subsequent investment. This affects the credit conditions positively, but </w:t>
      </w:r>
      <w:r w:rsidR="00474EF1" w:rsidRPr="00B947D9">
        <w:rPr>
          <w:rFonts w:ascii="Times New Roman" w:eastAsia="Times New Roman" w:hAnsi="Times New Roman"/>
          <w:color w:val="000000" w:themeColor="text1"/>
          <w:lang w:val="en-US" w:eastAsia="en-GB"/>
        </w:rPr>
        <w:t xml:space="preserve">lower-income individuals or credit constrained businesses might not benefit </w:t>
      </w:r>
      <w:r w:rsidR="007765B3">
        <w:rPr>
          <w:rFonts w:ascii="Times New Roman" w:eastAsia="Times New Roman" w:hAnsi="Times New Roman"/>
          <w:color w:val="000000" w:themeColor="text1"/>
          <w:lang w:val="en-US" w:eastAsia="en-GB"/>
        </w:rPr>
        <w:t>as much, since they are excluded from the credit market</w:t>
      </w:r>
      <w:r w:rsidR="00474EF1" w:rsidRPr="00B947D9">
        <w:rPr>
          <w:rFonts w:ascii="Times New Roman" w:eastAsia="Times New Roman" w:hAnsi="Times New Roman"/>
          <w:color w:val="000000" w:themeColor="text1"/>
          <w:lang w:val="en-US" w:eastAsia="en-GB"/>
        </w:rPr>
        <w:t>. This can exacerbate wealth inequality.</w:t>
      </w:r>
    </w:p>
    <w:p w14:paraId="5346AD9B" w14:textId="2032F0D0" w:rsidR="00790C8A" w:rsidRPr="00B947D9" w:rsidRDefault="00474EF1" w:rsidP="00790C8A">
      <w:pPr>
        <w:pStyle w:val="ListParagraph"/>
        <w:numPr>
          <w:ilvl w:val="0"/>
          <w:numId w:val="5"/>
        </w:numPr>
        <w:spacing w:line="480" w:lineRule="auto"/>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val="en-US" w:eastAsia="en-GB"/>
        </w:rPr>
        <w:t xml:space="preserve">Income inequality channel: Both traditional and unconventional monetary policy can indirectly influence the economic conditions affecting </w:t>
      </w:r>
      <w:r w:rsidR="001300AC">
        <w:rPr>
          <w:rFonts w:ascii="Times New Roman" w:eastAsia="Times New Roman" w:hAnsi="Times New Roman"/>
          <w:color w:val="000000" w:themeColor="text1"/>
          <w:lang w:val="en-US" w:eastAsia="en-GB"/>
        </w:rPr>
        <w:t xml:space="preserve">earned </w:t>
      </w:r>
      <w:r w:rsidRPr="00B947D9">
        <w:rPr>
          <w:rFonts w:ascii="Times New Roman" w:eastAsia="Times New Roman" w:hAnsi="Times New Roman"/>
          <w:color w:val="000000" w:themeColor="text1"/>
          <w:lang w:val="en-US" w:eastAsia="en-GB"/>
        </w:rPr>
        <w:t xml:space="preserve">wages and income. If this income is differently accumulated across wealth distribution, it might also </w:t>
      </w:r>
      <w:r w:rsidR="001300AC">
        <w:rPr>
          <w:rFonts w:ascii="Times New Roman" w:eastAsia="Times New Roman" w:hAnsi="Times New Roman"/>
          <w:color w:val="000000" w:themeColor="text1"/>
          <w:lang w:val="en-US" w:eastAsia="en-GB"/>
        </w:rPr>
        <w:t>cause</w:t>
      </w:r>
      <w:r w:rsidRPr="00B947D9">
        <w:rPr>
          <w:rFonts w:ascii="Times New Roman" w:eastAsia="Times New Roman" w:hAnsi="Times New Roman"/>
          <w:color w:val="000000" w:themeColor="text1"/>
          <w:lang w:val="en-US" w:eastAsia="en-GB"/>
        </w:rPr>
        <w:t xml:space="preserve"> wealth distributional effects.</w:t>
      </w:r>
    </w:p>
    <w:p w14:paraId="35022B55" w14:textId="06384E99" w:rsidR="006A5719" w:rsidRPr="00B947D9" w:rsidRDefault="006A5719" w:rsidP="00790C8A">
      <w:pPr>
        <w:spacing w:line="480" w:lineRule="auto"/>
        <w:ind w:firstLine="360"/>
        <w:jc w:val="both"/>
        <w:rPr>
          <w:rFonts w:ascii="Times New Roman" w:eastAsiaTheme="majorEastAsia" w:hAnsi="Times New Roman"/>
          <w:color w:val="000000" w:themeColor="text1"/>
          <w:lang w:val="en-US"/>
        </w:rPr>
      </w:pPr>
      <w:r w:rsidRPr="00B947D9">
        <w:rPr>
          <w:rFonts w:ascii="Times New Roman" w:eastAsia="Times New Roman" w:hAnsi="Times New Roman"/>
          <w:color w:val="000000" w:themeColor="text1"/>
          <w:lang w:eastAsia="en-GB"/>
        </w:rPr>
        <w:t>The overall effect of monetary policy on</w:t>
      </w:r>
      <w:r w:rsidR="00790C8A" w:rsidRPr="00B947D9">
        <w:rPr>
          <w:rFonts w:ascii="Times New Roman" w:eastAsia="Times New Roman" w:hAnsi="Times New Roman"/>
          <w:color w:val="000000" w:themeColor="text1"/>
          <w:lang w:val="en-US" w:eastAsia="en-GB"/>
        </w:rPr>
        <w:t xml:space="preserve"> wealth</w:t>
      </w:r>
      <w:r w:rsidRPr="00B947D9">
        <w:rPr>
          <w:rFonts w:ascii="Times New Roman" w:eastAsia="Times New Roman" w:hAnsi="Times New Roman"/>
          <w:color w:val="000000" w:themeColor="text1"/>
          <w:lang w:eastAsia="en-GB"/>
        </w:rPr>
        <w:t xml:space="preserve"> inequality depends on the strength of each channel, which </w:t>
      </w:r>
      <w:r w:rsidR="00077874">
        <w:rPr>
          <w:rFonts w:ascii="Times New Roman" w:eastAsia="Times New Roman" w:hAnsi="Times New Roman"/>
          <w:color w:val="000000" w:themeColor="text1"/>
          <w:lang w:eastAsia="en-GB"/>
        </w:rPr>
        <w:t xml:space="preserve">they </w:t>
      </w:r>
      <w:r w:rsidRPr="00B947D9">
        <w:rPr>
          <w:rFonts w:ascii="Times New Roman" w:eastAsia="Times New Roman" w:hAnsi="Times New Roman"/>
          <w:color w:val="000000" w:themeColor="text1"/>
          <w:lang w:eastAsia="en-GB"/>
        </w:rPr>
        <w:t>may reinforce or offset each other.</w:t>
      </w:r>
    </w:p>
    <w:p w14:paraId="59A90AC5" w14:textId="68B6980C" w:rsidR="003C2693" w:rsidRPr="00B947D9" w:rsidRDefault="003C2693" w:rsidP="006C167D">
      <w:pPr>
        <w:pStyle w:val="Heading1"/>
        <w:spacing w:line="480" w:lineRule="auto"/>
        <w:jc w:val="both"/>
        <w:rPr>
          <w:rFonts w:ascii="Times New Roman" w:hAnsi="Times New Roman" w:cs="Times New Roman"/>
          <w:color w:val="000000" w:themeColor="text1"/>
          <w:sz w:val="24"/>
          <w:szCs w:val="24"/>
          <w:lang w:val="en-US"/>
        </w:rPr>
      </w:pPr>
      <w:r w:rsidRPr="00B947D9">
        <w:rPr>
          <w:rFonts w:ascii="Times New Roman" w:hAnsi="Times New Roman" w:cs="Times New Roman"/>
          <w:color w:val="000000" w:themeColor="text1"/>
          <w:sz w:val="24"/>
          <w:szCs w:val="24"/>
          <w:lang w:val="en-US"/>
        </w:rPr>
        <w:t>3. Wealth inequality in the EU</w:t>
      </w:r>
    </w:p>
    <w:p w14:paraId="241A3FDF" w14:textId="1D0996DE" w:rsidR="000501F5" w:rsidRPr="00B947D9" w:rsidRDefault="00772CF4" w:rsidP="006C167D">
      <w:pPr>
        <w:pStyle w:val="Heading1"/>
        <w:spacing w:line="480" w:lineRule="auto"/>
        <w:jc w:val="both"/>
        <w:rPr>
          <w:rFonts w:ascii="Times New Roman" w:hAnsi="Times New Roman" w:cs="Times New Roman"/>
          <w:color w:val="000000" w:themeColor="text1"/>
          <w:sz w:val="24"/>
          <w:szCs w:val="24"/>
          <w:lang w:val="en-US"/>
        </w:rPr>
      </w:pPr>
      <w:r w:rsidRPr="00B947D9">
        <w:rPr>
          <w:rFonts w:ascii="Times New Roman" w:hAnsi="Times New Roman" w:cs="Times New Roman"/>
          <w:color w:val="000000" w:themeColor="text1"/>
          <w:sz w:val="24"/>
          <w:szCs w:val="24"/>
        </w:rPr>
        <w:t xml:space="preserve">3.1. </w:t>
      </w:r>
      <w:r w:rsidR="000501F5" w:rsidRPr="00B947D9">
        <w:rPr>
          <w:rFonts w:ascii="Times New Roman" w:hAnsi="Times New Roman" w:cs="Times New Roman"/>
          <w:color w:val="000000" w:themeColor="text1"/>
          <w:sz w:val="24"/>
          <w:szCs w:val="24"/>
        </w:rPr>
        <w:t>Household wealth data</w:t>
      </w:r>
    </w:p>
    <w:p w14:paraId="434D10A7" w14:textId="42352521" w:rsidR="005811FC" w:rsidRPr="00B947D9" w:rsidRDefault="00E46C4B"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The literature</w:t>
      </w:r>
      <w:r w:rsidR="005811FC" w:rsidRPr="00B947D9">
        <w:rPr>
          <w:rFonts w:ascii="Times New Roman" w:hAnsi="Times New Roman"/>
          <w:color w:val="000000" w:themeColor="text1"/>
          <w:lang w:val="en-US"/>
        </w:rPr>
        <w:t xml:space="preserve"> report</w:t>
      </w:r>
      <w:r w:rsidRPr="00B947D9">
        <w:rPr>
          <w:rFonts w:ascii="Times New Roman" w:hAnsi="Times New Roman"/>
          <w:color w:val="000000" w:themeColor="text1"/>
          <w:lang w:val="en-US"/>
        </w:rPr>
        <w:t>s</w:t>
      </w:r>
      <w:r w:rsidR="005811FC" w:rsidRPr="00B947D9">
        <w:rPr>
          <w:rFonts w:ascii="Times New Roman" w:hAnsi="Times New Roman"/>
          <w:color w:val="000000" w:themeColor="text1"/>
          <w:lang w:val="en-US"/>
        </w:rPr>
        <w:t xml:space="preserve"> various definitions of wealth and measures of wealth inequality. To efficiently compare differences</w:t>
      </w:r>
      <w:r w:rsidR="003C0C3D" w:rsidRPr="00B947D9">
        <w:rPr>
          <w:rFonts w:ascii="Times New Roman" w:hAnsi="Times New Roman"/>
          <w:color w:val="000000" w:themeColor="text1"/>
          <w:lang w:val="en-US"/>
        </w:rPr>
        <w:t xml:space="preserve"> in terms of wealth</w:t>
      </w:r>
      <w:r w:rsidR="005811FC" w:rsidRPr="00B947D9">
        <w:rPr>
          <w:rFonts w:ascii="Times New Roman" w:hAnsi="Times New Roman"/>
          <w:color w:val="000000" w:themeColor="text1"/>
          <w:lang w:val="en-US"/>
        </w:rPr>
        <w:t xml:space="preserve"> across households and countries, we adopt the definition of the System of National Accounts (UN 2009), which states that the household net wealth includes both nonfinancial assets</w:t>
      </w:r>
      <w:r w:rsidR="00A405F7" w:rsidRPr="00B947D9">
        <w:rPr>
          <w:rFonts w:ascii="Times New Roman" w:hAnsi="Times New Roman"/>
          <w:color w:val="000000" w:themeColor="text1"/>
          <w:lang w:val="en-US"/>
        </w:rPr>
        <w:t xml:space="preserve"> (e.g.</w:t>
      </w:r>
      <w:r w:rsidR="005811FC" w:rsidRPr="00B947D9">
        <w:rPr>
          <w:rFonts w:ascii="Times New Roman" w:hAnsi="Times New Roman"/>
          <w:color w:val="000000" w:themeColor="text1"/>
          <w:lang w:val="en-US"/>
        </w:rPr>
        <w:t xml:space="preserve"> real estate, land, buildings</w:t>
      </w:r>
      <w:r w:rsidR="00A405F7" w:rsidRPr="00B947D9">
        <w:rPr>
          <w:rFonts w:ascii="Times New Roman" w:hAnsi="Times New Roman"/>
          <w:color w:val="000000" w:themeColor="text1"/>
          <w:lang w:val="en-US"/>
        </w:rPr>
        <w:t>)</w:t>
      </w:r>
      <w:r w:rsidR="005811FC" w:rsidRPr="00B947D9">
        <w:rPr>
          <w:rFonts w:ascii="Times New Roman" w:hAnsi="Times New Roman"/>
          <w:color w:val="000000" w:themeColor="text1"/>
          <w:lang w:val="en-US"/>
        </w:rPr>
        <w:t xml:space="preserve"> and financial assets</w:t>
      </w:r>
      <w:r w:rsidR="00A405F7" w:rsidRPr="00B947D9">
        <w:rPr>
          <w:rFonts w:ascii="Times New Roman" w:hAnsi="Times New Roman"/>
          <w:color w:val="000000" w:themeColor="text1"/>
          <w:lang w:val="en-US"/>
        </w:rPr>
        <w:t xml:space="preserve"> (e.g.</w:t>
      </w:r>
      <w:r w:rsidR="005811FC" w:rsidRPr="00B947D9">
        <w:rPr>
          <w:rFonts w:ascii="Times New Roman" w:hAnsi="Times New Roman"/>
          <w:color w:val="000000" w:themeColor="text1"/>
          <w:lang w:val="en-US"/>
        </w:rPr>
        <w:t xml:space="preserve"> bank deposits, bonds, equities, pension funds, life insurance</w:t>
      </w:r>
      <w:r w:rsidR="00A405F7" w:rsidRPr="00B947D9">
        <w:rPr>
          <w:rFonts w:ascii="Times New Roman" w:hAnsi="Times New Roman"/>
          <w:color w:val="000000" w:themeColor="text1"/>
          <w:lang w:val="en-US"/>
        </w:rPr>
        <w:t xml:space="preserve">). </w:t>
      </w:r>
      <w:r w:rsidR="005811FC" w:rsidRPr="00B947D9">
        <w:rPr>
          <w:rFonts w:ascii="Times New Roman" w:hAnsi="Times New Roman"/>
          <w:color w:val="000000" w:themeColor="text1"/>
          <w:lang w:val="en-US"/>
        </w:rPr>
        <w:t xml:space="preserve">Subsequently, household net wealth includes all the assets, over which </w:t>
      </w:r>
      <w:r w:rsidR="00A405F7" w:rsidRPr="00B947D9">
        <w:rPr>
          <w:rFonts w:ascii="Times New Roman" w:hAnsi="Times New Roman"/>
          <w:color w:val="000000" w:themeColor="text1"/>
          <w:lang w:val="en-US"/>
        </w:rPr>
        <w:t>they</w:t>
      </w:r>
      <w:r w:rsidR="005811FC" w:rsidRPr="00B947D9">
        <w:rPr>
          <w:rFonts w:ascii="Times New Roman" w:hAnsi="Times New Roman"/>
          <w:color w:val="000000" w:themeColor="text1"/>
          <w:lang w:val="en-US"/>
        </w:rPr>
        <w:t xml:space="preserve"> </w:t>
      </w:r>
      <w:r w:rsidR="00A405F7" w:rsidRPr="00B947D9">
        <w:rPr>
          <w:rFonts w:ascii="Times New Roman" w:hAnsi="Times New Roman"/>
          <w:color w:val="000000" w:themeColor="text1"/>
          <w:lang w:val="en-US"/>
        </w:rPr>
        <w:t>have</w:t>
      </w:r>
      <w:r w:rsidR="005811FC" w:rsidRPr="00B947D9">
        <w:rPr>
          <w:rFonts w:ascii="Times New Roman" w:hAnsi="Times New Roman"/>
          <w:color w:val="000000" w:themeColor="text1"/>
          <w:lang w:val="en-US"/>
        </w:rPr>
        <w:t xml:space="preserve"> ownership rights and receive economic benefits, net of any debts.</w:t>
      </w:r>
    </w:p>
    <w:p w14:paraId="3A34B206" w14:textId="1962D404" w:rsidR="0039115D" w:rsidRPr="00B947D9" w:rsidRDefault="000501F5" w:rsidP="006C167D">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rPr>
        <w:t>To empirically answer ou</w:t>
      </w:r>
      <w:r w:rsidR="00175614" w:rsidRPr="00B947D9">
        <w:rPr>
          <w:rFonts w:ascii="Times New Roman" w:hAnsi="Times New Roman"/>
          <w:color w:val="000000" w:themeColor="text1"/>
        </w:rPr>
        <w:t>r</w:t>
      </w:r>
      <w:r w:rsidRPr="00B947D9">
        <w:rPr>
          <w:rFonts w:ascii="Times New Roman" w:hAnsi="Times New Roman"/>
          <w:color w:val="000000" w:themeColor="text1"/>
        </w:rPr>
        <w:t xml:space="preserve"> research question</w:t>
      </w:r>
      <w:r w:rsidR="00990523" w:rsidRPr="00B947D9">
        <w:rPr>
          <w:rFonts w:ascii="Times New Roman" w:hAnsi="Times New Roman"/>
          <w:color w:val="000000" w:themeColor="text1"/>
        </w:rPr>
        <w:t xml:space="preserve"> on how monetary policy affects wealth inequality,</w:t>
      </w:r>
      <w:r w:rsidRPr="00B947D9">
        <w:rPr>
          <w:rFonts w:ascii="Times New Roman" w:hAnsi="Times New Roman"/>
          <w:color w:val="000000" w:themeColor="text1"/>
        </w:rPr>
        <w:t xml:space="preserve"> we first </w:t>
      </w:r>
      <w:r w:rsidR="003C0C3D" w:rsidRPr="00B947D9">
        <w:rPr>
          <w:rFonts w:ascii="Times New Roman" w:hAnsi="Times New Roman"/>
          <w:color w:val="000000" w:themeColor="text1"/>
        </w:rPr>
        <w:t xml:space="preserve">estimate the household’s net wealth from the several components. Each component is expected to differentially </w:t>
      </w:r>
      <w:r w:rsidR="00175614" w:rsidRPr="00B947D9">
        <w:rPr>
          <w:rFonts w:ascii="Times New Roman" w:hAnsi="Times New Roman"/>
          <w:color w:val="000000" w:themeColor="text1"/>
        </w:rPr>
        <w:t xml:space="preserve">be </w:t>
      </w:r>
      <w:r w:rsidR="003C0C3D" w:rsidRPr="00B947D9">
        <w:rPr>
          <w:rFonts w:ascii="Times New Roman" w:hAnsi="Times New Roman"/>
          <w:color w:val="000000" w:themeColor="text1"/>
        </w:rPr>
        <w:t xml:space="preserve">affected </w:t>
      </w:r>
      <w:r w:rsidR="00175614" w:rsidRPr="00B947D9">
        <w:rPr>
          <w:rFonts w:ascii="Times New Roman" w:hAnsi="Times New Roman"/>
          <w:color w:val="000000" w:themeColor="text1"/>
        </w:rPr>
        <w:t>b</w:t>
      </w:r>
      <w:r w:rsidR="003C0C3D" w:rsidRPr="00B947D9">
        <w:rPr>
          <w:rFonts w:ascii="Times New Roman" w:hAnsi="Times New Roman"/>
          <w:color w:val="000000" w:themeColor="text1"/>
        </w:rPr>
        <w:t xml:space="preserve">y </w:t>
      </w:r>
      <w:r w:rsidR="00B33C40" w:rsidRPr="00B947D9">
        <w:rPr>
          <w:rFonts w:ascii="Times New Roman" w:hAnsi="Times New Roman"/>
          <w:color w:val="000000" w:themeColor="text1"/>
        </w:rPr>
        <w:t xml:space="preserve">unconventional </w:t>
      </w:r>
      <w:r w:rsidR="003C0C3D" w:rsidRPr="00B947D9">
        <w:rPr>
          <w:rFonts w:ascii="Times New Roman" w:hAnsi="Times New Roman"/>
          <w:color w:val="000000" w:themeColor="text1"/>
        </w:rPr>
        <w:t xml:space="preserve">monetary policy. Second, we </w:t>
      </w:r>
      <w:r w:rsidRPr="00B947D9">
        <w:rPr>
          <w:rFonts w:ascii="Times New Roman" w:hAnsi="Times New Roman"/>
          <w:color w:val="000000" w:themeColor="text1"/>
        </w:rPr>
        <w:t xml:space="preserve">construct </w:t>
      </w:r>
      <w:r w:rsidR="00B33C40" w:rsidRPr="00B947D9">
        <w:rPr>
          <w:rFonts w:ascii="Times New Roman" w:hAnsi="Times New Roman"/>
          <w:color w:val="000000" w:themeColor="text1"/>
        </w:rPr>
        <w:t>wealth distributions per country</w:t>
      </w:r>
      <w:r w:rsidR="003C0C3D" w:rsidRPr="00B947D9">
        <w:rPr>
          <w:rFonts w:ascii="Times New Roman" w:hAnsi="Times New Roman"/>
          <w:color w:val="000000" w:themeColor="text1"/>
        </w:rPr>
        <w:t>. In our analysis, we</w:t>
      </w:r>
      <w:r w:rsidRPr="00B947D9">
        <w:rPr>
          <w:rFonts w:ascii="Times New Roman" w:hAnsi="Times New Roman"/>
          <w:color w:val="000000" w:themeColor="text1"/>
        </w:rPr>
        <w:t xml:space="preserve"> us</w:t>
      </w:r>
      <w:r w:rsidR="003C0C3D" w:rsidRPr="00B947D9">
        <w:rPr>
          <w:rFonts w:ascii="Times New Roman" w:hAnsi="Times New Roman"/>
          <w:color w:val="000000" w:themeColor="text1"/>
        </w:rPr>
        <w:t>e household data</w:t>
      </w:r>
      <w:r w:rsidRPr="00B947D9">
        <w:rPr>
          <w:rFonts w:ascii="Times New Roman" w:hAnsi="Times New Roman"/>
          <w:color w:val="000000" w:themeColor="text1"/>
        </w:rPr>
        <w:t xml:space="preserve"> on wealth</w:t>
      </w:r>
      <w:r w:rsidR="00CC1BA8" w:rsidRPr="00B947D9">
        <w:rPr>
          <w:rFonts w:ascii="Times New Roman" w:hAnsi="Times New Roman"/>
          <w:color w:val="000000" w:themeColor="text1"/>
        </w:rPr>
        <w:t xml:space="preserve"> assets</w:t>
      </w:r>
      <w:r w:rsidRPr="00B947D9">
        <w:rPr>
          <w:rFonts w:ascii="Times New Roman" w:hAnsi="Times New Roman"/>
          <w:color w:val="000000" w:themeColor="text1"/>
        </w:rPr>
        <w:t xml:space="preserve"> from the </w:t>
      </w:r>
      <w:r w:rsidRPr="00B947D9">
        <w:rPr>
          <w:rFonts w:ascii="Times New Roman" w:hAnsi="Times New Roman"/>
          <w:color w:val="000000" w:themeColor="text1"/>
          <w:lang w:val="en-US"/>
        </w:rPr>
        <w:t>Household Finance and Consumption Survey (HFCS).</w:t>
      </w:r>
      <w:r w:rsidRPr="00B947D9">
        <w:rPr>
          <w:rFonts w:ascii="Times New Roman" w:hAnsi="Times New Roman"/>
          <w:color w:val="000000" w:themeColor="text1"/>
        </w:rPr>
        <w:t xml:space="preserve"> </w:t>
      </w:r>
      <w:r w:rsidRPr="00B947D9">
        <w:rPr>
          <w:rFonts w:ascii="Times New Roman" w:hAnsi="Times New Roman"/>
          <w:color w:val="000000" w:themeColor="text1"/>
          <w:lang w:val="en-US"/>
        </w:rPr>
        <w:t xml:space="preserve">HFCS is </w:t>
      </w:r>
      <w:r w:rsidR="001E15A1" w:rsidRPr="00B947D9">
        <w:rPr>
          <w:rFonts w:ascii="Times New Roman" w:hAnsi="Times New Roman"/>
          <w:color w:val="000000" w:themeColor="text1"/>
          <w:lang w:val="en-US"/>
        </w:rPr>
        <w:t xml:space="preserve">a </w:t>
      </w:r>
      <w:r w:rsidRPr="00B947D9">
        <w:rPr>
          <w:rFonts w:ascii="Times New Roman" w:hAnsi="Times New Roman"/>
          <w:color w:val="000000" w:themeColor="text1"/>
          <w:lang w:val="en-US"/>
        </w:rPr>
        <w:t>longitudinal survey run every three</w:t>
      </w:r>
      <w:r w:rsidR="001B68FF" w:rsidRPr="00B947D9">
        <w:rPr>
          <w:rFonts w:ascii="Times New Roman" w:hAnsi="Times New Roman"/>
          <w:color w:val="000000" w:themeColor="text1"/>
          <w:lang w:val="en-US"/>
        </w:rPr>
        <w:t xml:space="preserve"> to four</w:t>
      </w:r>
      <w:r w:rsidRPr="00B947D9">
        <w:rPr>
          <w:rFonts w:ascii="Times New Roman" w:hAnsi="Times New Roman"/>
          <w:color w:val="000000" w:themeColor="text1"/>
          <w:lang w:val="en-US"/>
        </w:rPr>
        <w:t xml:space="preserve"> years by the European Central Bank (ECB) aiming at collecting harmonized micro-level data on households’ assets, liabilities, consumption</w:t>
      </w:r>
      <w:r w:rsidR="00BB2805"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and income</w:t>
      </w:r>
      <w:r w:rsidR="0039291B" w:rsidRPr="00B947D9">
        <w:rPr>
          <w:rFonts w:ascii="Times New Roman" w:hAnsi="Times New Roman"/>
          <w:color w:val="000000" w:themeColor="text1"/>
          <w:lang w:val="en-US"/>
        </w:rPr>
        <w:t xml:space="preserve">. We use detailed information from the </w:t>
      </w:r>
      <w:r w:rsidR="00A3354D" w:rsidRPr="00B947D9">
        <w:rPr>
          <w:rFonts w:ascii="Times New Roman" w:hAnsi="Times New Roman"/>
          <w:color w:val="000000" w:themeColor="text1"/>
          <w:lang w:val="en-US"/>
        </w:rPr>
        <w:t>first two</w:t>
      </w:r>
      <w:r w:rsidR="0039115D" w:rsidRPr="00B947D9">
        <w:rPr>
          <w:rFonts w:ascii="Times New Roman" w:hAnsi="Times New Roman"/>
          <w:color w:val="000000" w:themeColor="text1"/>
          <w:lang w:val="en-US"/>
        </w:rPr>
        <w:t xml:space="preserve"> </w:t>
      </w:r>
      <w:r w:rsidR="0039291B" w:rsidRPr="00B947D9">
        <w:rPr>
          <w:rFonts w:ascii="Times New Roman" w:hAnsi="Times New Roman"/>
          <w:color w:val="000000" w:themeColor="text1"/>
          <w:lang w:val="en-US"/>
        </w:rPr>
        <w:t>wave</w:t>
      </w:r>
      <w:r w:rsidR="00FD7E4C" w:rsidRPr="00B947D9">
        <w:rPr>
          <w:rFonts w:ascii="Times New Roman" w:hAnsi="Times New Roman"/>
          <w:color w:val="000000" w:themeColor="text1"/>
          <w:lang w:val="en-US"/>
        </w:rPr>
        <w:t>s</w:t>
      </w:r>
      <w:r w:rsidR="0039291B" w:rsidRPr="00B947D9">
        <w:rPr>
          <w:rFonts w:ascii="Times New Roman" w:hAnsi="Times New Roman"/>
          <w:color w:val="000000" w:themeColor="text1"/>
          <w:lang w:val="en-US"/>
        </w:rPr>
        <w:t xml:space="preserve"> to calculate </w:t>
      </w:r>
      <w:r w:rsidR="0039115D" w:rsidRPr="00B947D9">
        <w:rPr>
          <w:rFonts w:ascii="Times New Roman" w:hAnsi="Times New Roman"/>
          <w:color w:val="000000" w:themeColor="text1"/>
          <w:lang w:val="en-US"/>
        </w:rPr>
        <w:t xml:space="preserve">household’s </w:t>
      </w:r>
      <w:r w:rsidR="0039291B" w:rsidRPr="00B947D9">
        <w:rPr>
          <w:rFonts w:ascii="Times New Roman" w:hAnsi="Times New Roman"/>
          <w:color w:val="000000" w:themeColor="text1"/>
          <w:lang w:val="en-US"/>
        </w:rPr>
        <w:t xml:space="preserve">asset wealth decompositions, </w:t>
      </w:r>
      <w:r w:rsidR="00A85B0A" w:rsidRPr="00B947D9">
        <w:rPr>
          <w:rFonts w:ascii="Times New Roman" w:hAnsi="Times New Roman"/>
          <w:color w:val="000000" w:themeColor="text1"/>
          <w:lang w:val="en-US"/>
        </w:rPr>
        <w:t xml:space="preserve">and wealth </w:t>
      </w:r>
      <w:r w:rsidR="00B33C40" w:rsidRPr="00B947D9">
        <w:rPr>
          <w:rFonts w:ascii="Times New Roman" w:hAnsi="Times New Roman"/>
          <w:color w:val="000000" w:themeColor="text1"/>
          <w:lang w:val="en-US"/>
        </w:rPr>
        <w:t>distributions</w:t>
      </w:r>
      <w:r w:rsidR="0039291B" w:rsidRPr="00B947D9">
        <w:rPr>
          <w:rFonts w:ascii="Times New Roman" w:hAnsi="Times New Roman"/>
          <w:color w:val="000000" w:themeColor="text1"/>
          <w:lang w:val="en-US"/>
        </w:rPr>
        <w:t>.</w:t>
      </w:r>
    </w:p>
    <w:p w14:paraId="27CAE07E" w14:textId="005F437E" w:rsidR="000501F5" w:rsidRPr="00B947D9" w:rsidRDefault="0039115D"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The data regarding the </w:t>
      </w:r>
      <w:r w:rsidR="000501F5" w:rsidRPr="00B947D9">
        <w:rPr>
          <w:rFonts w:ascii="Times New Roman" w:hAnsi="Times New Roman"/>
          <w:color w:val="000000" w:themeColor="text1"/>
          <w:lang w:val="en-US"/>
        </w:rPr>
        <w:t xml:space="preserve">first wave </w:t>
      </w:r>
      <w:r w:rsidRPr="00B947D9">
        <w:rPr>
          <w:rFonts w:ascii="Times New Roman" w:hAnsi="Times New Roman"/>
          <w:color w:val="000000" w:themeColor="text1"/>
          <w:lang w:val="en-US"/>
        </w:rPr>
        <w:t>was</w:t>
      </w:r>
      <w:r w:rsidR="000501F5"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collected</w:t>
      </w:r>
      <w:r w:rsidR="000501F5"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during Spring 2010</w:t>
      </w:r>
      <w:r w:rsidR="000501F5" w:rsidRPr="00B947D9">
        <w:rPr>
          <w:rFonts w:ascii="Times New Roman" w:hAnsi="Times New Roman"/>
          <w:color w:val="000000" w:themeColor="text1"/>
          <w:lang w:val="en-US"/>
        </w:rPr>
        <w:t xml:space="preserve"> and released in 2013</w:t>
      </w:r>
      <w:r w:rsidRPr="00B947D9">
        <w:rPr>
          <w:rFonts w:ascii="Times New Roman" w:hAnsi="Times New Roman"/>
          <w:color w:val="000000" w:themeColor="text1"/>
          <w:lang w:val="en-US"/>
        </w:rPr>
        <w:t xml:space="preserve">. Approximately </w:t>
      </w:r>
      <w:r w:rsidR="000501F5" w:rsidRPr="00B947D9">
        <w:rPr>
          <w:rFonts w:ascii="Times New Roman" w:hAnsi="Times New Roman"/>
          <w:color w:val="000000" w:themeColor="text1"/>
          <w:lang w:val="en-US"/>
        </w:rPr>
        <w:t>62,000 households</w:t>
      </w:r>
      <w:r w:rsidRPr="00B947D9">
        <w:rPr>
          <w:rFonts w:ascii="Times New Roman" w:hAnsi="Times New Roman"/>
          <w:color w:val="000000" w:themeColor="text1"/>
          <w:lang w:val="en-US"/>
        </w:rPr>
        <w:t xml:space="preserve"> were interviewed</w:t>
      </w:r>
      <w:r w:rsidR="000501F5" w:rsidRPr="00B947D9">
        <w:rPr>
          <w:rFonts w:ascii="Times New Roman" w:hAnsi="Times New Roman"/>
          <w:color w:val="000000" w:themeColor="text1"/>
          <w:lang w:val="en-US"/>
        </w:rPr>
        <w:t xml:space="preserve"> from all Euro Area countries, </w:t>
      </w:r>
      <w:r w:rsidRPr="00B947D9">
        <w:rPr>
          <w:rFonts w:ascii="Times New Roman" w:hAnsi="Times New Roman"/>
          <w:color w:val="000000" w:themeColor="text1"/>
          <w:lang w:val="en-US"/>
        </w:rPr>
        <w:t>less</w:t>
      </w:r>
      <w:r w:rsidR="000501F5" w:rsidRPr="00B947D9">
        <w:rPr>
          <w:rFonts w:ascii="Times New Roman" w:hAnsi="Times New Roman"/>
          <w:color w:val="000000" w:themeColor="text1"/>
          <w:lang w:val="en-US"/>
        </w:rPr>
        <w:t xml:space="preserve"> Ireland. The second wave was conducted beginning 2014 and released in December 2016. It </w:t>
      </w:r>
      <w:r w:rsidRPr="00B947D9">
        <w:rPr>
          <w:rFonts w:ascii="Times New Roman" w:hAnsi="Times New Roman"/>
          <w:color w:val="000000" w:themeColor="text1"/>
          <w:lang w:val="en-US"/>
        </w:rPr>
        <w:t xml:space="preserve">covers approximately </w:t>
      </w:r>
      <w:r w:rsidR="000501F5" w:rsidRPr="00B947D9">
        <w:rPr>
          <w:rFonts w:ascii="Times New Roman" w:hAnsi="Times New Roman"/>
          <w:color w:val="000000" w:themeColor="text1"/>
          <w:lang w:val="en-US"/>
        </w:rPr>
        <w:t xml:space="preserve">84,000 </w:t>
      </w:r>
      <w:r w:rsidRPr="00B947D9">
        <w:rPr>
          <w:rFonts w:ascii="Times New Roman" w:hAnsi="Times New Roman"/>
          <w:color w:val="000000" w:themeColor="text1"/>
          <w:lang w:val="en-US"/>
        </w:rPr>
        <w:t>households from</w:t>
      </w:r>
      <w:r w:rsidR="000501F5" w:rsidRPr="00B947D9">
        <w:rPr>
          <w:rFonts w:ascii="Times New Roman" w:hAnsi="Times New Roman"/>
          <w:color w:val="000000" w:themeColor="text1"/>
          <w:lang w:val="en-US"/>
        </w:rPr>
        <w:t xml:space="preserve"> 18 Euro Area countries, </w:t>
      </w:r>
      <w:r w:rsidRPr="00B947D9">
        <w:rPr>
          <w:rFonts w:ascii="Times New Roman" w:hAnsi="Times New Roman"/>
          <w:color w:val="000000" w:themeColor="text1"/>
          <w:lang w:val="en-US"/>
        </w:rPr>
        <w:t>plus</w:t>
      </w:r>
      <w:r w:rsidR="000501F5" w:rsidRPr="00B947D9">
        <w:rPr>
          <w:rFonts w:ascii="Times New Roman" w:hAnsi="Times New Roman"/>
          <w:color w:val="000000" w:themeColor="text1"/>
          <w:lang w:val="en-US"/>
        </w:rPr>
        <w:t xml:space="preserve"> Poland and Hungary</w:t>
      </w:r>
      <w:r w:rsidRPr="00B947D9">
        <w:rPr>
          <w:rStyle w:val="FootnoteReference"/>
          <w:rFonts w:ascii="Times New Roman" w:hAnsi="Times New Roman"/>
          <w:color w:val="000000" w:themeColor="text1"/>
          <w:lang w:val="en-US"/>
        </w:rPr>
        <w:footnoteReference w:id="3"/>
      </w:r>
      <w:r w:rsidR="000501F5"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w:t>
      </w:r>
      <w:r w:rsidR="003C0C3D" w:rsidRPr="00B947D9">
        <w:rPr>
          <w:rFonts w:ascii="Times New Roman" w:hAnsi="Times New Roman"/>
          <w:color w:val="000000" w:themeColor="text1"/>
          <w:lang w:val="en-US"/>
        </w:rPr>
        <w:t>Finally, the third wave was conducted mainly in 2017 and</w:t>
      </w:r>
      <w:r w:rsidR="00077874">
        <w:rPr>
          <w:rFonts w:ascii="Times New Roman" w:hAnsi="Times New Roman"/>
          <w:color w:val="000000" w:themeColor="text1"/>
          <w:lang w:val="en-US"/>
        </w:rPr>
        <w:t xml:space="preserve"> was</w:t>
      </w:r>
      <w:r w:rsidR="003C0C3D" w:rsidRPr="00B947D9">
        <w:rPr>
          <w:rFonts w:ascii="Times New Roman" w:hAnsi="Times New Roman"/>
          <w:color w:val="000000" w:themeColor="text1"/>
          <w:lang w:val="en-US"/>
        </w:rPr>
        <w:t xml:space="preserve"> released in March 2020. It covers more than 91,000 households across 21 countries (including all wave 2 countries plus </w:t>
      </w:r>
      <w:r w:rsidR="00F23470" w:rsidRPr="00B947D9">
        <w:rPr>
          <w:rFonts w:ascii="Times New Roman" w:hAnsi="Times New Roman"/>
          <w:color w:val="000000" w:themeColor="text1"/>
          <w:lang w:val="en-US"/>
        </w:rPr>
        <w:t>Croatia).</w:t>
      </w:r>
      <w:r w:rsidR="003C0C3D"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Figure </w:t>
      </w:r>
      <w:r w:rsidR="003C0C3D" w:rsidRPr="00B947D9">
        <w:rPr>
          <w:rFonts w:ascii="Times New Roman" w:hAnsi="Times New Roman"/>
          <w:color w:val="000000" w:themeColor="text1"/>
          <w:lang w:val="en-US"/>
        </w:rPr>
        <w:t>4</w:t>
      </w:r>
      <w:r w:rsidR="000501F5"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summarizes the </w:t>
      </w:r>
      <w:r w:rsidR="000501F5" w:rsidRPr="00B947D9">
        <w:rPr>
          <w:rFonts w:ascii="Times New Roman" w:hAnsi="Times New Roman"/>
          <w:color w:val="000000" w:themeColor="text1"/>
          <w:lang w:val="en-US"/>
        </w:rPr>
        <w:t>countries participat</w:t>
      </w:r>
      <w:r w:rsidRPr="00B947D9">
        <w:rPr>
          <w:rFonts w:ascii="Times New Roman" w:hAnsi="Times New Roman"/>
          <w:color w:val="000000" w:themeColor="text1"/>
          <w:lang w:val="en-US"/>
        </w:rPr>
        <w:t>ing</w:t>
      </w:r>
      <w:r w:rsidR="000501F5" w:rsidRPr="00B947D9">
        <w:rPr>
          <w:rFonts w:ascii="Times New Roman" w:hAnsi="Times New Roman"/>
          <w:color w:val="000000" w:themeColor="text1"/>
          <w:lang w:val="en-US"/>
        </w:rPr>
        <w:t xml:space="preserve"> in each wave. </w:t>
      </w:r>
      <w:r w:rsidRPr="00B947D9">
        <w:rPr>
          <w:rFonts w:ascii="Times New Roman" w:hAnsi="Times New Roman"/>
          <w:color w:val="000000" w:themeColor="text1"/>
          <w:lang w:val="en-US"/>
        </w:rPr>
        <w:t xml:space="preserve">Because in our analysis we examine the effect of </w:t>
      </w:r>
      <w:r w:rsidR="009073F5" w:rsidRPr="00B947D9">
        <w:rPr>
          <w:rFonts w:ascii="Times New Roman" w:hAnsi="Times New Roman"/>
          <w:color w:val="000000" w:themeColor="text1"/>
          <w:lang w:val="en-US"/>
        </w:rPr>
        <w:t xml:space="preserve">unconventional monetary policy within the Eurozone on wealth inequality, we </w:t>
      </w:r>
      <w:r w:rsidR="00141466" w:rsidRPr="00B947D9">
        <w:rPr>
          <w:rFonts w:ascii="Times New Roman" w:hAnsi="Times New Roman"/>
          <w:color w:val="000000" w:themeColor="text1"/>
          <w:lang w:val="en-US"/>
        </w:rPr>
        <w:t xml:space="preserve">use data from </w:t>
      </w:r>
      <w:r w:rsidR="000501F5" w:rsidRPr="00B947D9">
        <w:rPr>
          <w:rFonts w:ascii="Times New Roman" w:hAnsi="Times New Roman"/>
          <w:color w:val="000000" w:themeColor="text1"/>
          <w:lang w:val="en-US"/>
        </w:rPr>
        <w:t>t</w:t>
      </w:r>
      <w:r w:rsidR="00141466" w:rsidRPr="00B947D9">
        <w:rPr>
          <w:rFonts w:ascii="Times New Roman" w:hAnsi="Times New Roman"/>
          <w:color w:val="000000" w:themeColor="text1"/>
          <w:lang w:val="en-US"/>
        </w:rPr>
        <w:t>he</w:t>
      </w:r>
      <w:r w:rsidR="000501F5" w:rsidRPr="00B947D9">
        <w:rPr>
          <w:rFonts w:ascii="Times New Roman" w:hAnsi="Times New Roman"/>
          <w:color w:val="000000" w:themeColor="text1"/>
          <w:lang w:val="en-US"/>
        </w:rPr>
        <w:t xml:space="preserve"> </w:t>
      </w:r>
      <w:r w:rsidR="00077874">
        <w:rPr>
          <w:rFonts w:ascii="Times New Roman" w:hAnsi="Times New Roman"/>
          <w:color w:val="000000" w:themeColor="text1"/>
          <w:lang w:val="en-US"/>
        </w:rPr>
        <w:t xml:space="preserve">15 </w:t>
      </w:r>
      <w:r w:rsidR="000501F5" w:rsidRPr="00B947D9">
        <w:rPr>
          <w:rFonts w:ascii="Times New Roman" w:hAnsi="Times New Roman"/>
          <w:color w:val="000000" w:themeColor="text1"/>
          <w:lang w:val="en-US"/>
        </w:rPr>
        <w:t>Euro Area</w:t>
      </w:r>
      <w:r w:rsidR="00077874">
        <w:rPr>
          <w:rFonts w:ascii="Times New Roman" w:hAnsi="Times New Roman"/>
          <w:color w:val="000000" w:themeColor="text1"/>
          <w:lang w:val="en-US"/>
        </w:rPr>
        <w:t xml:space="preserve"> countries</w:t>
      </w:r>
      <w:r w:rsidR="000501F5" w:rsidRPr="00B947D9">
        <w:rPr>
          <w:rFonts w:ascii="Times New Roman" w:hAnsi="Times New Roman"/>
          <w:color w:val="000000" w:themeColor="text1"/>
          <w:lang w:val="en-US"/>
        </w:rPr>
        <w:t xml:space="preserve"> (</w:t>
      </w:r>
      <w:r w:rsidR="00D0212B" w:rsidRPr="00B947D9">
        <w:rPr>
          <w:rFonts w:ascii="Times New Roman" w:hAnsi="Times New Roman"/>
          <w:color w:val="000000" w:themeColor="text1"/>
          <w:lang w:val="en-US"/>
        </w:rPr>
        <w:t>green in the map</w:t>
      </w:r>
      <w:r w:rsidR="000501F5" w:rsidRPr="00B947D9">
        <w:rPr>
          <w:rFonts w:ascii="Times New Roman" w:hAnsi="Times New Roman"/>
          <w:color w:val="000000" w:themeColor="text1"/>
          <w:lang w:val="en-US"/>
        </w:rPr>
        <w:t xml:space="preserve">), for which there are available data </w:t>
      </w:r>
      <w:r w:rsidR="00DA50DF">
        <w:rPr>
          <w:rFonts w:ascii="Times New Roman" w:hAnsi="Times New Roman"/>
          <w:color w:val="000000" w:themeColor="text1"/>
          <w:lang w:val="en-US"/>
        </w:rPr>
        <w:t>for the</w:t>
      </w:r>
      <w:r w:rsidR="002B0503" w:rsidRPr="00B947D9">
        <w:rPr>
          <w:rFonts w:ascii="Times New Roman" w:hAnsi="Times New Roman"/>
          <w:color w:val="000000" w:themeColor="text1"/>
          <w:lang w:val="en-US"/>
        </w:rPr>
        <w:t xml:space="preserve"> first two</w:t>
      </w:r>
      <w:r w:rsidR="000501F5" w:rsidRPr="00B947D9">
        <w:rPr>
          <w:rFonts w:ascii="Times New Roman" w:hAnsi="Times New Roman"/>
          <w:color w:val="000000" w:themeColor="text1"/>
          <w:lang w:val="en-US"/>
        </w:rPr>
        <w:t xml:space="preserve"> waves</w:t>
      </w:r>
      <w:r w:rsidR="00DA50DF">
        <w:rPr>
          <w:rFonts w:ascii="Times New Roman" w:hAnsi="Times New Roman"/>
          <w:color w:val="000000" w:themeColor="text1"/>
          <w:lang w:val="en-US"/>
        </w:rPr>
        <w:t>. These countries are</w:t>
      </w:r>
      <w:r w:rsidR="00560DF6" w:rsidRPr="00B947D9">
        <w:rPr>
          <w:rFonts w:ascii="Times New Roman" w:hAnsi="Times New Roman"/>
          <w:color w:val="000000" w:themeColor="text1"/>
          <w:lang w:val="en-US"/>
        </w:rPr>
        <w:t xml:space="preserve"> Austria, Belgium, Cyprus, Germany, Spain, Finland, France, Greece, Italy, Luxembourg, Malta, the Netherlands, Portugal, Slovenia, and Slovakia.</w:t>
      </w:r>
    </w:p>
    <w:p w14:paraId="5A8474C7" w14:textId="20BA2242" w:rsidR="00407A80" w:rsidRPr="00B947D9" w:rsidRDefault="009073F5" w:rsidP="006C167D">
      <w:pPr>
        <w:spacing w:line="480" w:lineRule="auto"/>
        <w:ind w:firstLine="720"/>
        <w:jc w:val="center"/>
        <w:rPr>
          <w:rFonts w:ascii="Times New Roman" w:hAnsi="Times New Roman"/>
          <w:b/>
          <w:bCs/>
          <w:color w:val="000000" w:themeColor="text1"/>
          <w:lang w:val="en-US"/>
        </w:rPr>
      </w:pPr>
      <w:r w:rsidRPr="00B947D9">
        <w:rPr>
          <w:rFonts w:ascii="Times New Roman" w:hAnsi="Times New Roman"/>
          <w:b/>
          <w:bCs/>
          <w:color w:val="000000" w:themeColor="text1"/>
          <w:lang w:val="en-US"/>
        </w:rPr>
        <w:t xml:space="preserve">Figure </w:t>
      </w:r>
      <w:r w:rsidR="00EA59F7" w:rsidRPr="00B947D9">
        <w:rPr>
          <w:rFonts w:ascii="Times New Roman" w:hAnsi="Times New Roman"/>
          <w:b/>
          <w:bCs/>
          <w:color w:val="000000" w:themeColor="text1"/>
          <w:lang w:val="en-US"/>
        </w:rPr>
        <w:t>4</w:t>
      </w:r>
    </w:p>
    <w:p w14:paraId="4C14F19C" w14:textId="2A0FA3D8" w:rsidR="00D0212B" w:rsidRPr="00B947D9" w:rsidRDefault="00D0212B" w:rsidP="00D0212B">
      <w:pPr>
        <w:spacing w:line="480" w:lineRule="auto"/>
        <w:ind w:firstLine="720"/>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350D56BB" wp14:editId="53DA835B">
            <wp:extent cx="4262632" cy="2906973"/>
            <wp:effectExtent l="0" t="0" r="5080" b="8255"/>
            <wp:docPr id="1403719535" name="Picture 1" descr="A map of europe with different colored countries/regio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719535" name="Picture 1" descr="A map of europe with different colored countries/regions&#10;&#10;Description automatically generated with medium confidence"/>
                    <pic:cNvPicPr/>
                  </pic:nvPicPr>
                  <pic:blipFill>
                    <a:blip r:embed="rId18"/>
                    <a:stretch>
                      <a:fillRect/>
                    </a:stretch>
                  </pic:blipFill>
                  <pic:spPr>
                    <a:xfrm>
                      <a:off x="0" y="0"/>
                      <a:ext cx="4295007" cy="2929051"/>
                    </a:xfrm>
                    <a:prstGeom prst="rect">
                      <a:avLst/>
                    </a:prstGeom>
                  </pic:spPr>
                </pic:pic>
              </a:graphicData>
            </a:graphic>
          </wp:inline>
        </w:drawing>
      </w:r>
    </w:p>
    <w:p w14:paraId="55464E89" w14:textId="3F76064E" w:rsidR="00E1456A" w:rsidRPr="00B947D9" w:rsidRDefault="00E1456A"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To create </w:t>
      </w:r>
      <w:r w:rsidR="00B33C40" w:rsidRPr="00B947D9">
        <w:rPr>
          <w:rFonts w:ascii="Times New Roman" w:hAnsi="Times New Roman"/>
          <w:color w:val="000000" w:themeColor="text1"/>
          <w:lang w:val="en-US"/>
        </w:rPr>
        <w:t xml:space="preserve">wealth </w:t>
      </w:r>
      <w:r w:rsidR="00D0212B" w:rsidRPr="00B947D9">
        <w:rPr>
          <w:rFonts w:ascii="Times New Roman" w:hAnsi="Times New Roman"/>
          <w:color w:val="000000" w:themeColor="text1"/>
          <w:lang w:val="en-US"/>
        </w:rPr>
        <w:t>distributions,</w:t>
      </w:r>
      <w:r w:rsidR="00407A80" w:rsidRPr="00B947D9">
        <w:rPr>
          <w:rFonts w:ascii="Times New Roman" w:hAnsi="Times New Roman"/>
          <w:color w:val="000000" w:themeColor="text1"/>
          <w:lang w:val="en-US"/>
        </w:rPr>
        <w:t xml:space="preserve"> we use </w:t>
      </w:r>
      <w:r w:rsidRPr="00B947D9">
        <w:rPr>
          <w:rFonts w:ascii="Times New Roman" w:hAnsi="Times New Roman"/>
          <w:color w:val="000000" w:themeColor="text1"/>
          <w:lang w:val="en-US"/>
        </w:rPr>
        <w:t>the information provided by</w:t>
      </w:r>
      <w:r w:rsidR="00B976C3" w:rsidRPr="00B947D9">
        <w:rPr>
          <w:rFonts w:ascii="Times New Roman" w:hAnsi="Times New Roman"/>
          <w:color w:val="000000" w:themeColor="text1"/>
          <w:lang w:val="en-US"/>
        </w:rPr>
        <w:t xml:space="preserve"> the</w:t>
      </w:r>
      <w:r w:rsidRPr="00B947D9">
        <w:rPr>
          <w:rFonts w:ascii="Times New Roman" w:hAnsi="Times New Roman"/>
          <w:color w:val="000000" w:themeColor="text1"/>
          <w:lang w:val="en-US"/>
        </w:rPr>
        <w:t xml:space="preserve"> HFCS</w:t>
      </w:r>
      <w:r w:rsidR="00407A80" w:rsidRPr="00B947D9">
        <w:rPr>
          <w:rFonts w:ascii="Times New Roman" w:hAnsi="Times New Roman"/>
          <w:color w:val="000000" w:themeColor="text1"/>
          <w:lang w:val="en-US"/>
        </w:rPr>
        <w:t xml:space="preserve"> to compute </w:t>
      </w:r>
      <w:r w:rsidRPr="00B947D9">
        <w:rPr>
          <w:rFonts w:ascii="Times New Roman" w:hAnsi="Times New Roman"/>
          <w:color w:val="000000" w:themeColor="text1"/>
          <w:lang w:val="en-US"/>
        </w:rPr>
        <w:t>household’s</w:t>
      </w:r>
      <w:r w:rsidR="00407A80" w:rsidRPr="00B947D9">
        <w:rPr>
          <w:rFonts w:ascii="Times New Roman" w:hAnsi="Times New Roman"/>
          <w:color w:val="000000" w:themeColor="text1"/>
          <w:lang w:val="en-US"/>
        </w:rPr>
        <w:t xml:space="preserve">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assets</w:t>
      </w:r>
      <w:r w:rsidR="00407A80"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liabilities</w:t>
      </w:r>
      <w:r w:rsidRPr="00B947D9">
        <w:rPr>
          <w:rFonts w:ascii="Times New Roman" w:hAnsi="Times New Roman"/>
          <w:color w:val="000000" w:themeColor="text1"/>
          <w:lang w:val="en-US"/>
        </w:rPr>
        <w:t>,</w:t>
      </w:r>
      <w:r w:rsidR="00407A80" w:rsidRPr="00B947D9">
        <w:rPr>
          <w:rFonts w:ascii="Times New Roman" w:hAnsi="Times New Roman"/>
          <w:color w:val="000000" w:themeColor="text1"/>
          <w:lang w:val="en-US"/>
        </w:rPr>
        <w:t xml:space="preserve"> and </w:t>
      </w:r>
      <w:r w:rsidR="005A5F93" w:rsidRPr="00B947D9">
        <w:rPr>
          <w:rFonts w:ascii="Times New Roman" w:hAnsi="Times New Roman"/>
          <w:i/>
          <w:iCs/>
          <w:color w:val="000000" w:themeColor="text1"/>
          <w:lang w:val="en-US"/>
        </w:rPr>
        <w:t>N</w:t>
      </w:r>
      <w:r w:rsidR="00407A80" w:rsidRPr="00B947D9">
        <w:rPr>
          <w:rFonts w:ascii="Times New Roman" w:hAnsi="Times New Roman"/>
          <w:i/>
          <w:iCs/>
          <w:color w:val="000000" w:themeColor="text1"/>
          <w:lang w:val="en-US"/>
        </w:rPr>
        <w:t>et wealth</w:t>
      </w:r>
      <w:r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assets</w:t>
      </w:r>
      <w:r w:rsidRPr="00B947D9">
        <w:rPr>
          <w:rFonts w:ascii="Times New Roman" w:hAnsi="Times New Roman"/>
          <w:color w:val="000000" w:themeColor="text1"/>
          <w:lang w:val="en-US"/>
        </w:rPr>
        <w:t xml:space="preserve"> are defined</w:t>
      </w:r>
      <w:r w:rsidR="00407A80" w:rsidRPr="00B947D9">
        <w:rPr>
          <w:rFonts w:ascii="Times New Roman" w:hAnsi="Times New Roman"/>
          <w:color w:val="000000" w:themeColor="text1"/>
          <w:lang w:val="en-US"/>
        </w:rPr>
        <w:t xml:space="preserve"> as the sum of the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real assets</w:t>
      </w:r>
      <w:r w:rsidR="00407A80" w:rsidRPr="00B947D9">
        <w:rPr>
          <w:rFonts w:ascii="Times New Roman" w:hAnsi="Times New Roman"/>
          <w:color w:val="000000" w:themeColor="text1"/>
          <w:lang w:val="en-US"/>
        </w:rPr>
        <w:t xml:space="preserve"> and the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financial assets</w:t>
      </w:r>
      <w:r w:rsidR="00407A80"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real assets</w:t>
      </w:r>
      <w:r w:rsidR="00407A8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are calculated by </w:t>
      </w:r>
      <w:r w:rsidR="00407A80" w:rsidRPr="00B947D9">
        <w:rPr>
          <w:rFonts w:ascii="Times New Roman" w:hAnsi="Times New Roman"/>
          <w:color w:val="000000" w:themeColor="text1"/>
          <w:lang w:val="en-US"/>
        </w:rPr>
        <w:t>the sum of</w:t>
      </w:r>
      <w:r w:rsidRPr="00B947D9">
        <w:rPr>
          <w:rFonts w:ascii="Times New Roman" w:hAnsi="Times New Roman"/>
          <w:color w:val="000000" w:themeColor="text1"/>
          <w:lang w:val="en-US"/>
        </w:rPr>
        <w:t xml:space="preserve"> the</w:t>
      </w:r>
      <w:r w:rsidR="00407A80" w:rsidRPr="00B947D9">
        <w:rPr>
          <w:rFonts w:ascii="Times New Roman" w:hAnsi="Times New Roman"/>
          <w:color w:val="000000" w:themeColor="text1"/>
          <w:lang w:val="en-US"/>
        </w:rPr>
        <w:t xml:space="preserve"> value of household’s</w:t>
      </w:r>
      <w:r w:rsidRPr="00B947D9">
        <w:rPr>
          <w:rFonts w:ascii="Times New Roman" w:hAnsi="Times New Roman"/>
          <w:color w:val="000000" w:themeColor="text1"/>
          <w:lang w:val="en-US"/>
        </w:rPr>
        <w:t xml:space="preserve"> real assets, namely</w:t>
      </w:r>
      <w:r w:rsidR="00407A80" w:rsidRPr="00B947D9">
        <w:rPr>
          <w:rFonts w:ascii="Times New Roman" w:hAnsi="Times New Roman"/>
          <w:color w:val="000000" w:themeColor="text1"/>
          <w:lang w:val="en-US"/>
        </w:rPr>
        <w:t xml:space="preserve"> main residence, other real estate property, vehicles, valuables, and self-employment businesses. </w:t>
      </w:r>
      <w:r w:rsidRPr="00B947D9">
        <w:rPr>
          <w:rFonts w:ascii="Times New Roman" w:hAnsi="Times New Roman"/>
          <w:color w:val="000000" w:themeColor="text1"/>
          <w:lang w:val="en-US"/>
        </w:rPr>
        <w:t xml:space="preserve">Similarly,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financial assets</w:t>
      </w:r>
      <w:r w:rsidR="00407A80" w:rsidRPr="00B947D9">
        <w:rPr>
          <w:rFonts w:ascii="Times New Roman" w:hAnsi="Times New Roman"/>
          <w:color w:val="000000" w:themeColor="text1"/>
          <w:lang w:val="en-US"/>
        </w:rPr>
        <w:t xml:space="preserve"> are </w:t>
      </w:r>
      <w:r w:rsidRPr="00B947D9">
        <w:rPr>
          <w:rFonts w:ascii="Times New Roman" w:hAnsi="Times New Roman"/>
          <w:color w:val="000000" w:themeColor="text1"/>
          <w:lang w:val="en-US"/>
        </w:rPr>
        <w:t>estimated</w:t>
      </w:r>
      <w:r w:rsidR="00407A8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by</w:t>
      </w:r>
      <w:r w:rsidR="00407A80" w:rsidRPr="00B947D9">
        <w:rPr>
          <w:rFonts w:ascii="Times New Roman" w:hAnsi="Times New Roman"/>
          <w:color w:val="000000" w:themeColor="text1"/>
          <w:lang w:val="en-US"/>
        </w:rPr>
        <w:t xml:space="preserve"> the sum of</w:t>
      </w:r>
      <w:r w:rsidRPr="00B947D9">
        <w:rPr>
          <w:rFonts w:ascii="Times New Roman" w:hAnsi="Times New Roman"/>
          <w:color w:val="000000" w:themeColor="text1"/>
          <w:lang w:val="en-US"/>
        </w:rPr>
        <w:t xml:space="preserve"> the value of financial assets, i.e.</w:t>
      </w:r>
      <w:r w:rsidR="00407A80" w:rsidRPr="00B947D9">
        <w:rPr>
          <w:rFonts w:ascii="Times New Roman" w:hAnsi="Times New Roman"/>
          <w:color w:val="000000" w:themeColor="text1"/>
          <w:lang w:val="en-US"/>
        </w:rPr>
        <w:t xml:space="preserve"> deposits, mutual funds, bonds, non-self-employment private business, publicly traded shares, managed accounts, money owed to households, other assets, and voluntary pension/whole life insurance. </w:t>
      </w:r>
    </w:p>
    <w:p w14:paraId="35325813" w14:textId="66B1059E" w:rsidR="009073F5" w:rsidRPr="00B947D9" w:rsidRDefault="00E6786F"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i/>
          <w:iCs/>
          <w:color w:val="000000" w:themeColor="text1"/>
          <w:lang w:val="en-US"/>
        </w:rPr>
        <w:t xml:space="preserve">Total </w:t>
      </w:r>
      <w:r w:rsidR="00407A80" w:rsidRPr="00B947D9">
        <w:rPr>
          <w:rFonts w:ascii="Times New Roman" w:hAnsi="Times New Roman"/>
          <w:i/>
          <w:iCs/>
          <w:color w:val="000000" w:themeColor="text1"/>
          <w:lang w:val="en-US"/>
        </w:rPr>
        <w:t>liabilities</w:t>
      </w:r>
      <w:r w:rsidR="00407A80" w:rsidRPr="00B947D9">
        <w:rPr>
          <w:rFonts w:ascii="Times New Roman" w:hAnsi="Times New Roman"/>
          <w:color w:val="000000" w:themeColor="text1"/>
          <w:lang w:val="en-US"/>
        </w:rPr>
        <w:t xml:space="preserve"> a</w:t>
      </w:r>
      <w:r w:rsidRPr="00B947D9">
        <w:rPr>
          <w:rFonts w:ascii="Times New Roman" w:hAnsi="Times New Roman"/>
          <w:color w:val="000000" w:themeColor="text1"/>
          <w:lang w:val="en-US"/>
        </w:rPr>
        <w:t>re</w:t>
      </w:r>
      <w:r w:rsidR="00407A80" w:rsidRPr="00B947D9">
        <w:rPr>
          <w:rFonts w:ascii="Times New Roman" w:hAnsi="Times New Roman"/>
          <w:color w:val="000000" w:themeColor="text1"/>
          <w:lang w:val="en-US"/>
        </w:rPr>
        <w:t xml:space="preserve"> the sum of outstanding balance of mortgage</w:t>
      </w:r>
      <w:r w:rsidRPr="00B947D9">
        <w:rPr>
          <w:rFonts w:ascii="Times New Roman" w:hAnsi="Times New Roman"/>
          <w:color w:val="000000" w:themeColor="text1"/>
          <w:lang w:val="en-US"/>
        </w:rPr>
        <w:t xml:space="preserve"> and non-mortgage</w:t>
      </w:r>
      <w:r w:rsidR="00407A80" w:rsidRPr="00B947D9">
        <w:rPr>
          <w:rFonts w:ascii="Times New Roman" w:hAnsi="Times New Roman"/>
          <w:color w:val="000000" w:themeColor="text1"/>
          <w:lang w:val="en-US"/>
        </w:rPr>
        <w:t xml:space="preserve"> deb</w:t>
      </w:r>
      <w:r w:rsidRPr="00B947D9">
        <w:rPr>
          <w:rFonts w:ascii="Times New Roman" w:hAnsi="Times New Roman"/>
          <w:color w:val="000000" w:themeColor="text1"/>
          <w:lang w:val="en-US"/>
        </w:rPr>
        <w:t>t</w:t>
      </w:r>
      <w:r w:rsidR="00407A80"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M</w:t>
      </w:r>
      <w:r w:rsidR="00407A80" w:rsidRPr="00B947D9">
        <w:rPr>
          <w:rFonts w:ascii="Times New Roman" w:hAnsi="Times New Roman"/>
          <w:i/>
          <w:iCs/>
          <w:color w:val="000000" w:themeColor="text1"/>
          <w:lang w:val="en-US"/>
        </w:rPr>
        <w:t>ortgage debt</w:t>
      </w:r>
      <w:r w:rsidR="00407A80" w:rsidRPr="00B947D9">
        <w:rPr>
          <w:rFonts w:ascii="Times New Roman" w:hAnsi="Times New Roman"/>
          <w:color w:val="000000" w:themeColor="text1"/>
          <w:lang w:val="en-US"/>
        </w:rPr>
        <w:t xml:space="preserve"> is the sum of outstanding balance of</w:t>
      </w:r>
      <w:r w:rsidRPr="00B947D9">
        <w:rPr>
          <w:rFonts w:ascii="Times New Roman" w:hAnsi="Times New Roman"/>
          <w:color w:val="000000" w:themeColor="text1"/>
          <w:lang w:val="en-US"/>
        </w:rPr>
        <w:t xml:space="preserve"> the</w:t>
      </w:r>
      <w:r w:rsidR="00407A80" w:rsidRPr="00B947D9">
        <w:rPr>
          <w:rFonts w:ascii="Times New Roman" w:hAnsi="Times New Roman"/>
          <w:color w:val="000000" w:themeColor="text1"/>
          <w:lang w:val="en-US"/>
        </w:rPr>
        <w:t xml:space="preserve"> household</w:t>
      </w:r>
      <w:r w:rsidRPr="00B947D9">
        <w:rPr>
          <w:rFonts w:ascii="Times New Roman" w:hAnsi="Times New Roman"/>
          <w:color w:val="000000" w:themeColor="text1"/>
          <w:lang w:val="en-US"/>
        </w:rPr>
        <w:t>’s</w:t>
      </w:r>
      <w:r w:rsidR="00407A80" w:rsidRPr="00B947D9">
        <w:rPr>
          <w:rFonts w:ascii="Times New Roman" w:hAnsi="Times New Roman"/>
          <w:color w:val="000000" w:themeColor="text1"/>
          <w:lang w:val="en-US"/>
        </w:rPr>
        <w:t xml:space="preserve"> mortgag</w:t>
      </w:r>
      <w:r w:rsidRPr="00B947D9">
        <w:rPr>
          <w:rFonts w:ascii="Times New Roman" w:hAnsi="Times New Roman"/>
          <w:color w:val="000000" w:themeColor="text1"/>
          <w:lang w:val="en-US"/>
        </w:rPr>
        <w:t>e on main residence</w:t>
      </w:r>
      <w:r w:rsidR="00407A8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plus</w:t>
      </w:r>
      <w:r w:rsidR="00407A8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loan liabilities</w:t>
      </w:r>
      <w:r w:rsidR="00407A8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from</w:t>
      </w:r>
      <w:r w:rsidR="00407A80" w:rsidRPr="00B947D9">
        <w:rPr>
          <w:rFonts w:ascii="Times New Roman" w:hAnsi="Times New Roman"/>
          <w:color w:val="000000" w:themeColor="text1"/>
          <w:lang w:val="en-US"/>
        </w:rPr>
        <w:t xml:space="preserve"> other </w:t>
      </w:r>
      <w:r w:rsidRPr="00B947D9">
        <w:rPr>
          <w:rFonts w:ascii="Times New Roman" w:hAnsi="Times New Roman"/>
          <w:color w:val="000000" w:themeColor="text1"/>
          <w:lang w:val="en-US"/>
        </w:rPr>
        <w:t xml:space="preserve">housing </w:t>
      </w:r>
      <w:r w:rsidR="00407A80" w:rsidRPr="00B947D9">
        <w:rPr>
          <w:rFonts w:ascii="Times New Roman" w:hAnsi="Times New Roman"/>
          <w:color w:val="000000" w:themeColor="text1"/>
          <w:lang w:val="en-US"/>
        </w:rPr>
        <w:t xml:space="preserve">properties. </w:t>
      </w:r>
      <w:r w:rsidRPr="00B947D9">
        <w:rPr>
          <w:rFonts w:ascii="Times New Roman" w:hAnsi="Times New Roman"/>
          <w:color w:val="000000" w:themeColor="text1"/>
          <w:lang w:val="en-US"/>
        </w:rPr>
        <w:t>N</w:t>
      </w:r>
      <w:r w:rsidR="00407A80" w:rsidRPr="00B947D9">
        <w:rPr>
          <w:rFonts w:ascii="Times New Roman" w:hAnsi="Times New Roman"/>
          <w:color w:val="000000" w:themeColor="text1"/>
          <w:lang w:val="en-US"/>
        </w:rPr>
        <w:t xml:space="preserve">on-mortgage debt is the </w:t>
      </w:r>
      <w:r w:rsidR="00783939" w:rsidRPr="00B947D9">
        <w:rPr>
          <w:rFonts w:ascii="Times New Roman" w:hAnsi="Times New Roman"/>
          <w:color w:val="000000" w:themeColor="text1"/>
          <w:lang w:val="en-US"/>
        </w:rPr>
        <w:t>total</w:t>
      </w:r>
      <w:r w:rsidR="00407A80" w:rsidRPr="00B947D9">
        <w:rPr>
          <w:rFonts w:ascii="Times New Roman" w:hAnsi="Times New Roman"/>
          <w:color w:val="000000" w:themeColor="text1"/>
          <w:lang w:val="en-US"/>
        </w:rPr>
        <w:t xml:space="preserve"> of </w:t>
      </w:r>
      <w:r w:rsidR="00783939" w:rsidRPr="00B947D9">
        <w:rPr>
          <w:rFonts w:ascii="Times New Roman" w:hAnsi="Times New Roman"/>
          <w:color w:val="000000" w:themeColor="text1"/>
          <w:lang w:val="en-US"/>
        </w:rPr>
        <w:t xml:space="preserve">the household’s credit liabilities, </w:t>
      </w:r>
      <w:r w:rsidR="00772CF4" w:rsidRPr="00B947D9">
        <w:rPr>
          <w:rFonts w:ascii="Times New Roman" w:hAnsi="Times New Roman"/>
          <w:color w:val="000000" w:themeColor="text1"/>
          <w:lang w:val="en-US"/>
        </w:rPr>
        <w:t>i.e.,</w:t>
      </w:r>
      <w:r w:rsidR="00783939" w:rsidRPr="00B947D9">
        <w:rPr>
          <w:rFonts w:ascii="Times New Roman" w:hAnsi="Times New Roman"/>
          <w:color w:val="000000" w:themeColor="text1"/>
          <w:lang w:val="en-US"/>
        </w:rPr>
        <w:t xml:space="preserve"> </w:t>
      </w:r>
      <w:r w:rsidR="00407A80" w:rsidRPr="00B947D9">
        <w:rPr>
          <w:rFonts w:ascii="Times New Roman" w:hAnsi="Times New Roman"/>
          <w:color w:val="000000" w:themeColor="text1"/>
          <w:lang w:val="en-US"/>
        </w:rPr>
        <w:t>credit line/overdraft, credit card</w:t>
      </w:r>
      <w:r w:rsidR="00783939" w:rsidRPr="00B947D9">
        <w:rPr>
          <w:rFonts w:ascii="Times New Roman" w:hAnsi="Times New Roman"/>
          <w:color w:val="000000" w:themeColor="text1"/>
          <w:lang w:val="en-US"/>
        </w:rPr>
        <w:t xml:space="preserve">s, and </w:t>
      </w:r>
      <w:r w:rsidR="00407A80" w:rsidRPr="00B947D9">
        <w:rPr>
          <w:rFonts w:ascii="Times New Roman" w:hAnsi="Times New Roman"/>
          <w:color w:val="000000" w:themeColor="text1"/>
          <w:lang w:val="en-US"/>
        </w:rPr>
        <w:t>non-mortgage loans</w:t>
      </w:r>
      <w:r w:rsidR="00783939" w:rsidRPr="00B947D9">
        <w:rPr>
          <w:rFonts w:ascii="Times New Roman" w:hAnsi="Times New Roman"/>
          <w:color w:val="000000" w:themeColor="text1"/>
          <w:lang w:val="en-US"/>
        </w:rPr>
        <w:t>. Following the estimation of total assets</w:t>
      </w:r>
      <w:r w:rsidR="00772CF4" w:rsidRPr="00B947D9">
        <w:rPr>
          <w:rFonts w:ascii="Times New Roman" w:hAnsi="Times New Roman"/>
          <w:color w:val="000000" w:themeColor="text1"/>
          <w:lang w:val="en-US"/>
        </w:rPr>
        <w:t xml:space="preserve"> and</w:t>
      </w:r>
      <w:r w:rsidR="00783939" w:rsidRPr="00B947D9">
        <w:rPr>
          <w:rFonts w:ascii="Times New Roman" w:hAnsi="Times New Roman"/>
          <w:color w:val="000000" w:themeColor="text1"/>
          <w:lang w:val="en-US"/>
        </w:rPr>
        <w:t xml:space="preserve"> liabilities we</w:t>
      </w:r>
      <w:r w:rsidR="00407A80" w:rsidRPr="00B947D9">
        <w:rPr>
          <w:rFonts w:ascii="Times New Roman" w:hAnsi="Times New Roman"/>
          <w:color w:val="000000" w:themeColor="text1"/>
          <w:lang w:val="en-US"/>
        </w:rPr>
        <w:t xml:space="preserve"> define</w:t>
      </w:r>
      <w:r w:rsidR="00783939" w:rsidRPr="00B947D9">
        <w:rPr>
          <w:rFonts w:ascii="Times New Roman" w:hAnsi="Times New Roman"/>
          <w:color w:val="000000" w:themeColor="text1"/>
          <w:lang w:val="en-US"/>
        </w:rPr>
        <w:t xml:space="preserve"> household’s </w:t>
      </w:r>
      <w:r w:rsidR="005A5F93" w:rsidRPr="00B947D9">
        <w:rPr>
          <w:rFonts w:ascii="Times New Roman" w:hAnsi="Times New Roman"/>
          <w:i/>
          <w:iCs/>
          <w:color w:val="000000" w:themeColor="text1"/>
          <w:lang w:val="en-US"/>
        </w:rPr>
        <w:t>N</w:t>
      </w:r>
      <w:r w:rsidR="00783939" w:rsidRPr="00B947D9">
        <w:rPr>
          <w:rFonts w:ascii="Times New Roman" w:hAnsi="Times New Roman"/>
          <w:i/>
          <w:iCs/>
          <w:color w:val="000000" w:themeColor="text1"/>
          <w:lang w:val="en-US"/>
        </w:rPr>
        <w:t>et wealth</w:t>
      </w:r>
      <w:r w:rsidR="00407A80" w:rsidRPr="00B947D9">
        <w:rPr>
          <w:rFonts w:ascii="Times New Roman" w:hAnsi="Times New Roman"/>
          <w:color w:val="000000" w:themeColor="text1"/>
          <w:lang w:val="en-US"/>
        </w:rPr>
        <w:t xml:space="preserve"> as the difference between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assets</w:t>
      </w:r>
      <w:r w:rsidR="00407A80" w:rsidRPr="00B947D9">
        <w:rPr>
          <w:rFonts w:ascii="Times New Roman" w:hAnsi="Times New Roman"/>
          <w:color w:val="000000" w:themeColor="text1"/>
          <w:lang w:val="en-US"/>
        </w:rPr>
        <w:t xml:space="preserve"> </w:t>
      </w:r>
      <w:r w:rsidR="00783939" w:rsidRPr="00B947D9">
        <w:rPr>
          <w:rFonts w:ascii="Times New Roman" w:hAnsi="Times New Roman"/>
          <w:color w:val="000000" w:themeColor="text1"/>
          <w:lang w:val="en-US"/>
        </w:rPr>
        <w:t>less</w:t>
      </w:r>
      <w:r w:rsidR="00407A80" w:rsidRPr="00B947D9">
        <w:rPr>
          <w:rFonts w:ascii="Times New Roman" w:hAnsi="Times New Roman"/>
          <w:color w:val="000000" w:themeColor="text1"/>
          <w:lang w:val="en-US"/>
        </w:rPr>
        <w:t xml:space="preserve"> </w:t>
      </w:r>
      <w:r w:rsidR="005A5F93" w:rsidRPr="00B947D9">
        <w:rPr>
          <w:rFonts w:ascii="Times New Roman" w:hAnsi="Times New Roman"/>
          <w:i/>
          <w:iCs/>
          <w:color w:val="000000" w:themeColor="text1"/>
          <w:lang w:val="en-US"/>
        </w:rPr>
        <w:t>T</w:t>
      </w:r>
      <w:r w:rsidR="00407A80" w:rsidRPr="00B947D9">
        <w:rPr>
          <w:rFonts w:ascii="Times New Roman" w:hAnsi="Times New Roman"/>
          <w:i/>
          <w:iCs/>
          <w:color w:val="000000" w:themeColor="text1"/>
          <w:lang w:val="en-US"/>
        </w:rPr>
        <w:t>otal liabilities</w:t>
      </w:r>
      <w:r w:rsidR="00407A80" w:rsidRPr="00B947D9">
        <w:rPr>
          <w:rFonts w:ascii="Times New Roman" w:hAnsi="Times New Roman"/>
          <w:color w:val="000000" w:themeColor="text1"/>
          <w:lang w:val="en-US"/>
        </w:rPr>
        <w:t>.</w:t>
      </w:r>
    </w:p>
    <w:p w14:paraId="025325D2" w14:textId="328A6FFA" w:rsidR="002A6BA3" w:rsidRPr="00B947D9" w:rsidRDefault="002A6BA3" w:rsidP="006C167D">
      <w:pPr>
        <w:pStyle w:val="Heading3"/>
        <w:spacing w:line="480" w:lineRule="auto"/>
        <w:jc w:val="both"/>
        <w:rPr>
          <w:rFonts w:ascii="Times New Roman" w:hAnsi="Times New Roman"/>
          <w:i/>
          <w:iCs/>
          <w:color w:val="000000" w:themeColor="text1"/>
          <w:sz w:val="24"/>
          <w:szCs w:val="24"/>
          <w:lang w:val="en-US"/>
        </w:rPr>
      </w:pPr>
      <w:r w:rsidRPr="00B947D9">
        <w:rPr>
          <w:rFonts w:ascii="Times New Roman" w:hAnsi="Times New Roman"/>
          <w:i/>
          <w:iCs/>
          <w:color w:val="000000" w:themeColor="text1"/>
          <w:sz w:val="24"/>
          <w:szCs w:val="24"/>
          <w:lang w:val="en-US"/>
        </w:rPr>
        <w:t>Total real and financial assets</w:t>
      </w:r>
    </w:p>
    <w:p w14:paraId="27A8B4D7" w14:textId="2207DEF3" w:rsidR="002A6BA3" w:rsidRPr="00B947D9" w:rsidRDefault="002A6BA3" w:rsidP="006C167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In the previous section, we explained ho</w:t>
      </w:r>
      <w:r w:rsidR="009E17BB" w:rsidRPr="00B947D9">
        <w:rPr>
          <w:rFonts w:ascii="Times New Roman" w:hAnsi="Times New Roman"/>
          <w:color w:val="000000" w:themeColor="text1"/>
          <w:lang w:val="en-US"/>
        </w:rPr>
        <w:t xml:space="preserve">w </w:t>
      </w:r>
      <w:r w:rsidR="009E17BB" w:rsidRPr="00B947D9">
        <w:rPr>
          <w:rFonts w:ascii="Times New Roman" w:hAnsi="Times New Roman"/>
          <w:i/>
          <w:iCs/>
          <w:color w:val="000000" w:themeColor="text1"/>
          <w:lang w:val="en-US"/>
        </w:rPr>
        <w:t>Total assets</w:t>
      </w:r>
      <w:r w:rsidR="009E17BB" w:rsidRPr="00B947D9">
        <w:rPr>
          <w:rFonts w:ascii="Times New Roman" w:hAnsi="Times New Roman"/>
          <w:color w:val="000000" w:themeColor="text1"/>
          <w:lang w:val="en-US"/>
        </w:rPr>
        <w:t xml:space="preserve"> are classified in real or financial assets.</w:t>
      </w:r>
      <w:r w:rsidRPr="00B947D9">
        <w:rPr>
          <w:rFonts w:ascii="Times New Roman" w:hAnsi="Times New Roman"/>
          <w:color w:val="000000" w:themeColor="text1"/>
          <w:lang w:val="en-US"/>
        </w:rPr>
        <w:t xml:space="preserve"> </w:t>
      </w:r>
      <w:r w:rsidR="009E17BB" w:rsidRPr="00B947D9">
        <w:rPr>
          <w:rFonts w:ascii="Times New Roman" w:hAnsi="Times New Roman"/>
          <w:color w:val="000000" w:themeColor="text1"/>
          <w:lang w:val="en-US"/>
        </w:rPr>
        <w:t>Real assets are mainly</w:t>
      </w:r>
      <w:r w:rsidRPr="00B947D9">
        <w:rPr>
          <w:rFonts w:ascii="Times New Roman" w:hAnsi="Times New Roman"/>
          <w:color w:val="000000" w:themeColor="text1"/>
          <w:lang w:val="en-US"/>
        </w:rPr>
        <w:t xml:space="preserve"> </w:t>
      </w:r>
      <w:r w:rsidR="009E17BB" w:rsidRPr="00B947D9">
        <w:rPr>
          <w:rFonts w:ascii="Times New Roman" w:hAnsi="Times New Roman"/>
          <w:color w:val="000000" w:themeColor="text1"/>
          <w:lang w:val="en-US"/>
        </w:rPr>
        <w:t>the</w:t>
      </w:r>
      <w:r w:rsidRPr="00B947D9">
        <w:rPr>
          <w:rFonts w:ascii="Times New Roman" w:hAnsi="Times New Roman"/>
          <w:color w:val="000000" w:themeColor="text1"/>
          <w:lang w:val="en-US"/>
        </w:rPr>
        <w:t xml:space="preserve"> main residence, other real estate property, and self-employment businesses. </w:t>
      </w:r>
      <w:r w:rsidR="009E17BB" w:rsidRPr="00B947D9">
        <w:rPr>
          <w:rFonts w:ascii="Times New Roman" w:hAnsi="Times New Roman"/>
          <w:color w:val="000000" w:themeColor="text1"/>
          <w:lang w:val="en-US"/>
        </w:rPr>
        <w:t>T</w:t>
      </w:r>
      <w:r w:rsidRPr="00B947D9">
        <w:rPr>
          <w:rFonts w:ascii="Times New Roman" w:hAnsi="Times New Roman"/>
          <w:color w:val="000000" w:themeColor="text1"/>
          <w:lang w:val="en-US"/>
        </w:rPr>
        <w:t>he rest of the assets are classified as financial, for example any type of mutual funds, bonds, non-self-employment private business, publicly traded shares, managed accounts, money owed to households, other assets, and voluntary pension/whole life insurance.</w:t>
      </w:r>
    </w:p>
    <w:p w14:paraId="078B4CCE" w14:textId="3C5485B6" w:rsidR="00A44498" w:rsidRPr="00B947D9" w:rsidRDefault="00A44498"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Figure</w:t>
      </w:r>
      <w:r w:rsidR="008539B2" w:rsidRPr="00B947D9">
        <w:rPr>
          <w:rFonts w:ascii="Times New Roman" w:hAnsi="Times New Roman"/>
          <w:color w:val="000000" w:themeColor="text1"/>
          <w:lang w:val="en-US"/>
        </w:rPr>
        <w:t xml:space="preserve"> 5</w:t>
      </w:r>
      <w:r w:rsidRPr="00B947D9">
        <w:rPr>
          <w:rFonts w:ascii="Times New Roman" w:hAnsi="Times New Roman"/>
          <w:color w:val="000000" w:themeColor="text1"/>
          <w:lang w:val="en-US"/>
        </w:rPr>
        <w:t xml:space="preserve"> </w:t>
      </w:r>
      <w:r w:rsidR="006003E3" w:rsidRPr="00B947D9">
        <w:rPr>
          <w:rFonts w:ascii="Times New Roman" w:hAnsi="Times New Roman"/>
          <w:color w:val="000000" w:themeColor="text1"/>
          <w:lang w:val="en-US"/>
        </w:rPr>
        <w:t>present</w:t>
      </w:r>
      <w:r w:rsidR="00BD4270" w:rsidRPr="00B947D9">
        <w:rPr>
          <w:rFonts w:ascii="Times New Roman" w:hAnsi="Times New Roman"/>
          <w:color w:val="000000" w:themeColor="text1"/>
          <w:lang w:val="en-US"/>
        </w:rPr>
        <w:t>s</w:t>
      </w:r>
      <w:r w:rsidRPr="00B947D9">
        <w:rPr>
          <w:rFonts w:ascii="Times New Roman" w:hAnsi="Times New Roman"/>
          <w:color w:val="000000" w:themeColor="text1"/>
          <w:lang w:val="en-US"/>
        </w:rPr>
        <w:t xml:space="preserve"> the </w:t>
      </w:r>
      <w:r w:rsidR="006003E3" w:rsidRPr="00B947D9">
        <w:rPr>
          <w:rFonts w:ascii="Times New Roman" w:hAnsi="Times New Roman"/>
          <w:color w:val="000000" w:themeColor="text1"/>
          <w:lang w:val="en-US"/>
        </w:rPr>
        <w:t xml:space="preserve">shares of real and financial assets over total for </w:t>
      </w:r>
      <w:r w:rsidR="008539B2" w:rsidRPr="00B947D9">
        <w:rPr>
          <w:rFonts w:ascii="Times New Roman" w:hAnsi="Times New Roman"/>
          <w:color w:val="000000" w:themeColor="text1"/>
          <w:lang w:val="en-US"/>
        </w:rPr>
        <w:t>the first two</w:t>
      </w:r>
      <w:r w:rsidR="006003E3" w:rsidRPr="00B947D9">
        <w:rPr>
          <w:rFonts w:ascii="Times New Roman" w:hAnsi="Times New Roman"/>
          <w:color w:val="000000" w:themeColor="text1"/>
          <w:lang w:val="en-US"/>
        </w:rPr>
        <w:t xml:space="preserve"> waves of our analysis</w:t>
      </w:r>
      <w:r w:rsidRPr="00B947D9">
        <w:rPr>
          <w:rFonts w:ascii="Times New Roman" w:hAnsi="Times New Roman"/>
          <w:color w:val="000000" w:themeColor="text1"/>
          <w:lang w:val="en-US"/>
        </w:rPr>
        <w:t xml:space="preserve">. </w:t>
      </w:r>
      <w:r w:rsidR="008539B2" w:rsidRPr="00B947D9">
        <w:rPr>
          <w:rFonts w:ascii="Times New Roman" w:hAnsi="Times New Roman"/>
          <w:color w:val="000000" w:themeColor="text1"/>
          <w:lang w:val="en-US"/>
        </w:rPr>
        <w:t>We are focused on the first two waves as they are the ones providing the basis of our analysis. In particular, we “shock” (simulate) the second wave to see how unconventional monetary policy affects the different wealth components and wealth inequality</w:t>
      </w:r>
      <w:r w:rsidR="00DA50DF">
        <w:rPr>
          <w:rFonts w:ascii="Times New Roman" w:hAnsi="Times New Roman"/>
          <w:color w:val="000000" w:themeColor="text1"/>
          <w:lang w:val="en-US"/>
        </w:rPr>
        <w:t xml:space="preserve"> after the implementation of the first unconventional monetary policy measures in 2014</w:t>
      </w:r>
      <w:r w:rsidR="008539B2"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w:t>
      </w:r>
      <w:r w:rsidR="006003E3" w:rsidRPr="00B947D9">
        <w:rPr>
          <w:rFonts w:ascii="Times New Roman" w:hAnsi="Times New Roman"/>
          <w:color w:val="000000" w:themeColor="text1"/>
          <w:lang w:val="en-US"/>
        </w:rPr>
        <w:t xml:space="preserve">The results clearly suggest that </w:t>
      </w:r>
      <w:r w:rsidR="006003E3" w:rsidRPr="00B947D9">
        <w:rPr>
          <w:rFonts w:ascii="Times New Roman" w:hAnsi="Times New Roman"/>
          <w:i/>
          <w:iCs/>
          <w:color w:val="000000" w:themeColor="text1"/>
          <w:lang w:val="en-US"/>
        </w:rPr>
        <w:t>Total</w:t>
      </w:r>
      <w:r w:rsidRPr="00B947D9">
        <w:rPr>
          <w:rFonts w:ascii="Times New Roman" w:hAnsi="Times New Roman"/>
          <w:i/>
          <w:iCs/>
          <w:color w:val="000000" w:themeColor="text1"/>
          <w:lang w:val="en-US"/>
        </w:rPr>
        <w:t xml:space="preserve"> real assets</w:t>
      </w:r>
      <w:r w:rsidRPr="00B947D9">
        <w:rPr>
          <w:rFonts w:ascii="Times New Roman" w:hAnsi="Times New Roman"/>
          <w:color w:val="000000" w:themeColor="text1"/>
          <w:lang w:val="en-US"/>
        </w:rPr>
        <w:t xml:space="preserve"> are the predominant component of </w:t>
      </w:r>
      <w:r w:rsidR="006003E3" w:rsidRPr="00B947D9">
        <w:rPr>
          <w:rFonts w:ascii="Times New Roman" w:hAnsi="Times New Roman"/>
          <w:i/>
          <w:iCs/>
          <w:color w:val="000000" w:themeColor="text1"/>
          <w:lang w:val="en-US"/>
        </w:rPr>
        <w:t>T</w:t>
      </w:r>
      <w:r w:rsidRPr="00B947D9">
        <w:rPr>
          <w:rFonts w:ascii="Times New Roman" w:hAnsi="Times New Roman"/>
          <w:i/>
          <w:iCs/>
          <w:color w:val="000000" w:themeColor="text1"/>
          <w:lang w:val="en-US"/>
        </w:rPr>
        <w:t>otal assets</w:t>
      </w:r>
      <w:r w:rsidRPr="00B947D9">
        <w:rPr>
          <w:rFonts w:ascii="Times New Roman" w:hAnsi="Times New Roman"/>
          <w:color w:val="000000" w:themeColor="text1"/>
          <w:lang w:val="en-US"/>
        </w:rPr>
        <w:t xml:space="preserve">. </w:t>
      </w:r>
      <w:r w:rsidR="008539B2" w:rsidRPr="00B947D9">
        <w:rPr>
          <w:rFonts w:ascii="Times New Roman" w:hAnsi="Times New Roman"/>
          <w:color w:val="000000" w:themeColor="text1"/>
          <w:lang w:val="en-US"/>
        </w:rPr>
        <w:t>T</w:t>
      </w:r>
      <w:r w:rsidR="00C44C85" w:rsidRPr="00B947D9">
        <w:rPr>
          <w:rFonts w:ascii="Times New Roman" w:hAnsi="Times New Roman"/>
          <w:color w:val="000000" w:themeColor="text1"/>
          <w:lang w:val="en-US"/>
        </w:rPr>
        <w:t xml:space="preserve">he picture of the first wave (2010) suggests that </w:t>
      </w:r>
      <w:r w:rsidR="00137640" w:rsidRPr="00B947D9">
        <w:rPr>
          <w:rFonts w:ascii="Times New Roman" w:hAnsi="Times New Roman"/>
          <w:color w:val="000000" w:themeColor="text1"/>
          <w:lang w:val="en-US"/>
        </w:rPr>
        <w:t>81.1</w:t>
      </w:r>
      <w:r w:rsidR="00C44C85" w:rsidRPr="00B947D9">
        <w:rPr>
          <w:rFonts w:ascii="Times New Roman" w:hAnsi="Times New Roman"/>
          <w:color w:val="000000" w:themeColor="text1"/>
          <w:lang w:val="en-US"/>
        </w:rPr>
        <w:t xml:space="preserve"> percentage points of the assets hold by households within the Eurozone are real assets. This however was reduced until 2014 to 76.5 percentage points.</w:t>
      </w:r>
    </w:p>
    <w:p w14:paraId="060E3C2D" w14:textId="309E7142" w:rsidR="00A44498" w:rsidRPr="00B947D9" w:rsidRDefault="00A44498" w:rsidP="009E17BB">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w:t>
      </w:r>
      <w:r w:rsidR="008539B2" w:rsidRPr="00B947D9">
        <w:rPr>
          <w:rFonts w:ascii="Times New Roman" w:hAnsi="Times New Roman"/>
          <w:b/>
          <w:bCs/>
          <w:color w:val="000000" w:themeColor="text1"/>
          <w:lang w:val="en-US"/>
        </w:rPr>
        <w:t>5</w:t>
      </w:r>
      <w:r w:rsidRPr="00B947D9">
        <w:rPr>
          <w:rFonts w:ascii="Times New Roman" w:hAnsi="Times New Roman"/>
          <w:b/>
          <w:bCs/>
          <w:color w:val="000000" w:themeColor="text1"/>
          <w:lang w:val="en-US"/>
        </w:rPr>
        <w:t>.</w:t>
      </w:r>
      <w:r w:rsidRPr="00B947D9">
        <w:rPr>
          <w:rFonts w:ascii="Times New Roman" w:hAnsi="Times New Roman"/>
          <w:color w:val="000000" w:themeColor="text1"/>
          <w:lang w:val="en-US"/>
        </w:rPr>
        <w:t xml:space="preserve"> </w:t>
      </w:r>
      <w:r w:rsidR="006003E3" w:rsidRPr="00B947D9">
        <w:rPr>
          <w:rFonts w:ascii="Times New Roman" w:hAnsi="Times New Roman"/>
          <w:color w:val="000000" w:themeColor="text1"/>
          <w:lang w:val="en-US"/>
        </w:rPr>
        <w:t>Real versus financial assets</w:t>
      </w:r>
    </w:p>
    <w:p w14:paraId="637FFE35" w14:textId="404EC966" w:rsidR="006003E3" w:rsidRPr="00B947D9" w:rsidRDefault="00F9398F" w:rsidP="000A5328">
      <w:pPr>
        <w:spacing w:line="480" w:lineRule="auto"/>
        <w:jc w:val="center"/>
        <w:rPr>
          <w:rFonts w:ascii="Times New Roman" w:hAnsi="Times New Roman"/>
          <w:b/>
          <w:bCs/>
          <w:color w:val="000000" w:themeColor="text1"/>
          <w:lang w:val="en-US"/>
        </w:rPr>
      </w:pPr>
      <w:r w:rsidRPr="00B947D9">
        <w:rPr>
          <w:rFonts w:ascii="Times New Roman" w:hAnsi="Times New Roman"/>
          <w:noProof/>
          <w:color w:val="000000" w:themeColor="text1"/>
        </w:rPr>
        <w:drawing>
          <wp:inline distT="0" distB="0" distL="0" distR="0" wp14:anchorId="2991141D" wp14:editId="11B095D8">
            <wp:extent cx="5264150" cy="1967789"/>
            <wp:effectExtent l="0" t="0" r="12700" b="13970"/>
            <wp:docPr id="3" name="Chart 3">
              <a:extLst xmlns:a="http://schemas.openxmlformats.org/drawingml/2006/main">
                <a:ext uri="{FF2B5EF4-FFF2-40B4-BE49-F238E27FC236}">
                  <a16:creationId xmlns:a16="http://schemas.microsoft.com/office/drawing/2014/main" id="{EFC262B1-668D-4592-A77D-E03B110ACD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0481D28" w14:textId="49A4BBBA" w:rsidR="006003E3" w:rsidRPr="00B947D9" w:rsidRDefault="00837662" w:rsidP="006C167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When it comes to</w:t>
      </w:r>
      <w:r w:rsidR="00BD4270"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 xml:space="preserve">Total </w:t>
      </w:r>
      <w:r w:rsidR="00BD4270" w:rsidRPr="00B947D9">
        <w:rPr>
          <w:rFonts w:ascii="Times New Roman" w:hAnsi="Times New Roman"/>
          <w:i/>
          <w:iCs/>
          <w:color w:val="000000" w:themeColor="text1"/>
          <w:lang w:val="en-US"/>
        </w:rPr>
        <w:t>real assets</w:t>
      </w:r>
      <w:r w:rsidR="00BD4270"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the most dominant components</w:t>
      </w:r>
      <w:r w:rsidR="003424C9" w:rsidRPr="00B947D9">
        <w:rPr>
          <w:rFonts w:ascii="Times New Roman" w:hAnsi="Times New Roman"/>
          <w:color w:val="000000" w:themeColor="text1"/>
          <w:lang w:val="en-US"/>
        </w:rPr>
        <w:t xml:space="preserve"> for 2010</w:t>
      </w:r>
      <w:r w:rsidRPr="00B947D9">
        <w:rPr>
          <w:rFonts w:ascii="Times New Roman" w:hAnsi="Times New Roman"/>
          <w:color w:val="000000" w:themeColor="text1"/>
          <w:lang w:val="en-US"/>
        </w:rPr>
        <w:t xml:space="preserve"> are </w:t>
      </w:r>
      <w:r w:rsidR="00BD4270" w:rsidRPr="00B947D9">
        <w:rPr>
          <w:rFonts w:ascii="Times New Roman" w:hAnsi="Times New Roman"/>
          <w:color w:val="000000" w:themeColor="text1"/>
          <w:lang w:val="en-US"/>
        </w:rPr>
        <w:t xml:space="preserve">main residence, other </w:t>
      </w:r>
      <w:r w:rsidRPr="00B947D9">
        <w:rPr>
          <w:rFonts w:ascii="Times New Roman" w:hAnsi="Times New Roman"/>
          <w:color w:val="000000" w:themeColor="text1"/>
          <w:lang w:val="en-US"/>
        </w:rPr>
        <w:t xml:space="preserve">real-estate </w:t>
      </w:r>
      <w:r w:rsidR="00BD4270" w:rsidRPr="00B947D9">
        <w:rPr>
          <w:rFonts w:ascii="Times New Roman" w:hAnsi="Times New Roman"/>
          <w:color w:val="000000" w:themeColor="text1"/>
          <w:lang w:val="en-US"/>
        </w:rPr>
        <w:t>property</w:t>
      </w:r>
      <w:r w:rsidRPr="00B947D9">
        <w:rPr>
          <w:rFonts w:ascii="Times New Roman" w:hAnsi="Times New Roman"/>
          <w:color w:val="000000" w:themeColor="text1"/>
          <w:lang w:val="en-US"/>
        </w:rPr>
        <w:t>,</w:t>
      </w:r>
      <w:r w:rsidR="00BD4270" w:rsidRPr="00B947D9">
        <w:rPr>
          <w:rFonts w:ascii="Times New Roman" w:hAnsi="Times New Roman"/>
          <w:color w:val="000000" w:themeColor="text1"/>
          <w:lang w:val="en-US"/>
        </w:rPr>
        <w:t xml:space="preserve"> and self-employment businesses </w:t>
      </w:r>
      <w:r w:rsidRPr="00B947D9">
        <w:rPr>
          <w:rFonts w:ascii="Times New Roman" w:hAnsi="Times New Roman"/>
          <w:color w:val="000000" w:themeColor="text1"/>
          <w:lang w:val="en-US"/>
        </w:rPr>
        <w:t xml:space="preserve">with shares over </w:t>
      </w:r>
      <w:r w:rsidRPr="00B947D9">
        <w:rPr>
          <w:rFonts w:ascii="Times New Roman" w:hAnsi="Times New Roman"/>
          <w:i/>
          <w:iCs/>
          <w:color w:val="000000" w:themeColor="text1"/>
          <w:lang w:val="en-US"/>
        </w:rPr>
        <w:t>Total real assets</w:t>
      </w:r>
      <w:r w:rsidRPr="00B947D9">
        <w:rPr>
          <w:rFonts w:ascii="Times New Roman" w:hAnsi="Times New Roman"/>
          <w:color w:val="000000" w:themeColor="text1"/>
          <w:lang w:val="en-US"/>
        </w:rPr>
        <w:t xml:space="preserve"> of</w:t>
      </w:r>
      <w:r w:rsidR="00525316" w:rsidRPr="00B947D9">
        <w:rPr>
          <w:rFonts w:ascii="Times New Roman" w:hAnsi="Times New Roman"/>
          <w:color w:val="000000" w:themeColor="text1"/>
          <w:lang w:val="en-US"/>
        </w:rPr>
        <w:t xml:space="preserve"> about 46, 32, 18 percentage points</w:t>
      </w:r>
      <w:r w:rsidRPr="00B947D9">
        <w:rPr>
          <w:rFonts w:ascii="Times New Roman" w:hAnsi="Times New Roman"/>
          <w:color w:val="000000" w:themeColor="text1"/>
          <w:lang w:val="en-US"/>
        </w:rPr>
        <w:t xml:space="preserve"> respectively.</w:t>
      </w:r>
      <w:r w:rsidR="003424C9" w:rsidRPr="00B947D9">
        <w:rPr>
          <w:rFonts w:ascii="Times New Roman" w:hAnsi="Times New Roman"/>
          <w:color w:val="000000" w:themeColor="text1"/>
          <w:lang w:val="en-US"/>
        </w:rPr>
        <w:t xml:space="preserve"> During the second wave, there is a small fall in the percentage of the first two main components, i.e. main residence and other real-estate property with a small increase of the rest of the assets. </w:t>
      </w:r>
      <w:r w:rsidR="001D048A" w:rsidRPr="00B947D9">
        <w:rPr>
          <w:rFonts w:ascii="Times New Roman" w:hAnsi="Times New Roman"/>
          <w:color w:val="000000" w:themeColor="text1"/>
          <w:lang w:val="en-US"/>
        </w:rPr>
        <w:t xml:space="preserve">The results are shown in Figure </w:t>
      </w:r>
      <w:r w:rsidR="00372E38" w:rsidRPr="00B947D9">
        <w:rPr>
          <w:rFonts w:ascii="Times New Roman" w:hAnsi="Times New Roman"/>
          <w:color w:val="000000" w:themeColor="text1"/>
          <w:lang w:val="en-US"/>
        </w:rPr>
        <w:t>6</w:t>
      </w:r>
      <w:r w:rsidR="00CE007A" w:rsidRPr="00B947D9">
        <w:rPr>
          <w:rFonts w:ascii="Times New Roman" w:hAnsi="Times New Roman"/>
          <w:color w:val="000000" w:themeColor="text1"/>
          <w:lang w:val="en-US"/>
        </w:rPr>
        <w:t>.</w:t>
      </w:r>
    </w:p>
    <w:p w14:paraId="29936292" w14:textId="708B81C6" w:rsidR="006003E3" w:rsidRPr="00B947D9" w:rsidRDefault="006003E3" w:rsidP="00372E38">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w:t>
      </w:r>
      <w:r w:rsidR="00372E38" w:rsidRPr="00B947D9">
        <w:rPr>
          <w:rFonts w:ascii="Times New Roman" w:hAnsi="Times New Roman"/>
          <w:b/>
          <w:bCs/>
          <w:color w:val="000000" w:themeColor="text1"/>
          <w:lang w:val="en-US"/>
        </w:rPr>
        <w:t>6</w:t>
      </w:r>
      <w:r w:rsidRPr="00B947D9">
        <w:rPr>
          <w:rFonts w:ascii="Times New Roman" w:hAnsi="Times New Roman"/>
          <w:b/>
          <w:bCs/>
          <w:color w:val="000000" w:themeColor="text1"/>
          <w:lang w:val="en-US"/>
        </w:rPr>
        <w:t xml:space="preserve">. </w:t>
      </w:r>
      <w:r w:rsidR="001D048A" w:rsidRPr="00B947D9">
        <w:rPr>
          <w:rFonts w:ascii="Times New Roman" w:hAnsi="Times New Roman"/>
          <w:i/>
          <w:iCs/>
          <w:color w:val="000000" w:themeColor="text1"/>
          <w:lang w:val="en-US"/>
        </w:rPr>
        <w:t>Total r</w:t>
      </w:r>
      <w:r w:rsidRPr="00B947D9">
        <w:rPr>
          <w:rFonts w:ascii="Times New Roman" w:hAnsi="Times New Roman"/>
          <w:i/>
          <w:iCs/>
          <w:color w:val="000000" w:themeColor="text1"/>
          <w:lang w:val="en-US"/>
        </w:rPr>
        <w:t xml:space="preserve">eal </w:t>
      </w:r>
      <w:r w:rsidR="006E57CF" w:rsidRPr="00B947D9">
        <w:rPr>
          <w:rFonts w:ascii="Times New Roman" w:hAnsi="Times New Roman"/>
          <w:i/>
          <w:iCs/>
          <w:color w:val="000000" w:themeColor="text1"/>
          <w:lang w:val="en-US"/>
        </w:rPr>
        <w:t>a</w:t>
      </w:r>
      <w:r w:rsidRPr="00B947D9">
        <w:rPr>
          <w:rFonts w:ascii="Times New Roman" w:hAnsi="Times New Roman"/>
          <w:i/>
          <w:iCs/>
          <w:color w:val="000000" w:themeColor="text1"/>
          <w:lang w:val="en-US"/>
        </w:rPr>
        <w:t>sset</w:t>
      </w:r>
      <w:r w:rsidR="006E57CF" w:rsidRPr="00B947D9">
        <w:rPr>
          <w:rFonts w:ascii="Times New Roman" w:hAnsi="Times New Roman"/>
          <w:i/>
          <w:iCs/>
          <w:color w:val="000000" w:themeColor="text1"/>
          <w:lang w:val="en-US"/>
        </w:rPr>
        <w:t>s</w:t>
      </w:r>
      <w:r w:rsidRPr="00B947D9">
        <w:rPr>
          <w:rFonts w:ascii="Times New Roman" w:hAnsi="Times New Roman"/>
          <w:color w:val="000000" w:themeColor="text1"/>
          <w:lang w:val="en-US"/>
        </w:rPr>
        <w:t xml:space="preserve"> </w:t>
      </w:r>
      <w:r w:rsidR="006E57CF" w:rsidRPr="00B947D9">
        <w:rPr>
          <w:rFonts w:ascii="Times New Roman" w:hAnsi="Times New Roman"/>
          <w:color w:val="000000" w:themeColor="text1"/>
          <w:lang w:val="en-US"/>
        </w:rPr>
        <w:t>dec</w:t>
      </w:r>
      <w:r w:rsidRPr="00B947D9">
        <w:rPr>
          <w:rFonts w:ascii="Times New Roman" w:hAnsi="Times New Roman"/>
          <w:color w:val="000000" w:themeColor="text1"/>
          <w:lang w:val="en-US"/>
        </w:rPr>
        <w:t>omposition</w:t>
      </w:r>
      <w:r w:rsidR="009A6EE6" w:rsidRPr="00B947D9">
        <w:rPr>
          <w:rFonts w:ascii="Times New Roman" w:hAnsi="Times New Roman"/>
          <w:color w:val="000000" w:themeColor="text1"/>
          <w:lang w:val="en-US"/>
        </w:rPr>
        <w:t xml:space="preserve"> (percentage points)</w:t>
      </w:r>
    </w:p>
    <w:p w14:paraId="558E49F8" w14:textId="7E6A1027" w:rsidR="006003E3" w:rsidRPr="00B947D9" w:rsidRDefault="00F9398F" w:rsidP="00372E38">
      <w:pPr>
        <w:spacing w:line="480" w:lineRule="auto"/>
        <w:jc w:val="center"/>
        <w:rPr>
          <w:rFonts w:ascii="Times New Roman" w:hAnsi="Times New Roman"/>
          <w:b/>
          <w:bCs/>
          <w:color w:val="000000" w:themeColor="text1"/>
          <w:lang w:val="en-US"/>
        </w:rPr>
      </w:pPr>
      <w:r w:rsidRPr="00B947D9">
        <w:rPr>
          <w:rFonts w:ascii="Times New Roman" w:hAnsi="Times New Roman"/>
          <w:noProof/>
          <w:color w:val="000000" w:themeColor="text1"/>
        </w:rPr>
        <w:drawing>
          <wp:inline distT="0" distB="0" distL="0" distR="0" wp14:anchorId="45FAA91F" wp14:editId="5F6E31D0">
            <wp:extent cx="5731510" cy="2326943"/>
            <wp:effectExtent l="0" t="0" r="2540" b="16510"/>
            <wp:docPr id="6" name="Chart 6">
              <a:extLst xmlns:a="http://schemas.openxmlformats.org/drawingml/2006/main">
                <a:ext uri="{FF2B5EF4-FFF2-40B4-BE49-F238E27FC236}">
                  <a16:creationId xmlns:a16="http://schemas.microsoft.com/office/drawing/2014/main" id="{73712DB3-F9C9-446B-A746-71DB59831D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054BA62" w14:textId="00CD311C" w:rsidR="00CE007A" w:rsidRPr="00B947D9" w:rsidRDefault="00CE007A" w:rsidP="006C167D">
      <w:pPr>
        <w:spacing w:line="480" w:lineRule="auto"/>
        <w:ind w:firstLine="720"/>
        <w:jc w:val="both"/>
        <w:rPr>
          <w:rFonts w:ascii="Times New Roman" w:hAnsi="Times New Roman"/>
          <w:b/>
          <w:bCs/>
          <w:color w:val="000000" w:themeColor="text1"/>
          <w:lang w:val="en-US"/>
        </w:rPr>
      </w:pPr>
      <w:r w:rsidRPr="00B947D9">
        <w:rPr>
          <w:rFonts w:ascii="Times New Roman" w:hAnsi="Times New Roman"/>
          <w:color w:val="000000" w:themeColor="text1"/>
          <w:lang w:val="en-US"/>
        </w:rPr>
        <w:t xml:space="preserve">On the other hand, deposits, pension funds, and equities are the main components of the financial assets, with shares over </w:t>
      </w:r>
      <w:r w:rsidRPr="00B947D9">
        <w:rPr>
          <w:rFonts w:ascii="Times New Roman" w:hAnsi="Times New Roman"/>
          <w:i/>
          <w:iCs/>
          <w:color w:val="000000" w:themeColor="text1"/>
          <w:lang w:val="en-US"/>
        </w:rPr>
        <w:t>Total financial assets</w:t>
      </w:r>
      <w:r w:rsidRPr="00B947D9">
        <w:rPr>
          <w:rFonts w:ascii="Times New Roman" w:hAnsi="Times New Roman"/>
          <w:color w:val="000000" w:themeColor="text1"/>
          <w:lang w:val="en-US"/>
        </w:rPr>
        <w:t xml:space="preserve"> of </w:t>
      </w:r>
      <w:r w:rsidR="00C01AFF" w:rsidRPr="00B947D9">
        <w:rPr>
          <w:rFonts w:ascii="Times New Roman" w:hAnsi="Times New Roman"/>
          <w:color w:val="000000" w:themeColor="text1"/>
          <w:lang w:val="en-US"/>
        </w:rPr>
        <w:t>about 29, 25, and 17 percentage points</w:t>
      </w:r>
      <w:r w:rsidRPr="00B947D9">
        <w:rPr>
          <w:rFonts w:ascii="Times New Roman" w:hAnsi="Times New Roman"/>
          <w:color w:val="000000" w:themeColor="text1"/>
          <w:lang w:val="en-US"/>
        </w:rPr>
        <w:t xml:space="preserve"> respectively, during 2010</w:t>
      </w:r>
      <w:r w:rsidR="00D36878">
        <w:rPr>
          <w:rFonts w:ascii="Times New Roman" w:hAnsi="Times New Roman"/>
          <w:color w:val="000000" w:themeColor="text1"/>
          <w:lang w:val="en-US"/>
        </w:rPr>
        <w:t xml:space="preserve"> (See Figure 7)</w:t>
      </w:r>
      <w:r w:rsidRPr="00B947D9">
        <w:rPr>
          <w:rFonts w:ascii="Times New Roman" w:hAnsi="Times New Roman"/>
          <w:color w:val="000000" w:themeColor="text1"/>
          <w:lang w:val="en-US"/>
        </w:rPr>
        <w:t xml:space="preserve">. Interestingly, deposits fell </w:t>
      </w:r>
      <w:r w:rsidR="00763F08" w:rsidRPr="00B947D9">
        <w:rPr>
          <w:rFonts w:ascii="Times New Roman" w:hAnsi="Times New Roman"/>
          <w:color w:val="000000" w:themeColor="text1"/>
          <w:lang w:val="en-US"/>
        </w:rPr>
        <w:t>by</w:t>
      </w:r>
      <w:r w:rsidRPr="00B947D9">
        <w:rPr>
          <w:rFonts w:ascii="Times New Roman" w:hAnsi="Times New Roman"/>
          <w:color w:val="000000" w:themeColor="text1"/>
          <w:lang w:val="en-US"/>
        </w:rPr>
        <w:t xml:space="preserve"> more than 3 percentage points during the second wave, whereas there was a sharp increase of 5 percentage points in the non-self-employment business. Th</w:t>
      </w:r>
      <w:r w:rsidR="00687932" w:rsidRPr="00B947D9">
        <w:rPr>
          <w:rFonts w:ascii="Times New Roman" w:hAnsi="Times New Roman"/>
          <w:color w:val="000000" w:themeColor="text1"/>
          <w:lang w:val="en-US"/>
        </w:rPr>
        <w:t>e above changes</w:t>
      </w:r>
      <w:r w:rsidRPr="00B947D9">
        <w:rPr>
          <w:rFonts w:ascii="Times New Roman" w:hAnsi="Times New Roman"/>
          <w:color w:val="000000" w:themeColor="text1"/>
          <w:lang w:val="en-US"/>
        </w:rPr>
        <w:t xml:space="preserve"> might </w:t>
      </w:r>
      <w:r w:rsidR="00687932" w:rsidRPr="00B947D9">
        <w:rPr>
          <w:rFonts w:ascii="Times New Roman" w:hAnsi="Times New Roman"/>
          <w:color w:val="000000" w:themeColor="text1"/>
          <w:lang w:val="en-US"/>
        </w:rPr>
        <w:t>pinpoint to</w:t>
      </w:r>
      <w:r w:rsidRPr="00B947D9">
        <w:rPr>
          <w:rFonts w:ascii="Times New Roman" w:hAnsi="Times New Roman"/>
          <w:color w:val="000000" w:themeColor="text1"/>
          <w:lang w:val="en-US"/>
        </w:rPr>
        <w:t xml:space="preserve"> the effect of monetary policy during the years 2014 and 2015 which could urge households to</w:t>
      </w:r>
      <w:r w:rsidR="00A42B51" w:rsidRPr="00B947D9">
        <w:rPr>
          <w:rFonts w:ascii="Times New Roman" w:hAnsi="Times New Roman"/>
          <w:color w:val="000000" w:themeColor="text1"/>
          <w:lang w:val="en-US"/>
        </w:rPr>
        <w:t xml:space="preserve"> restructure their wealth portfolios.</w:t>
      </w:r>
      <w:r w:rsidRPr="00B947D9">
        <w:rPr>
          <w:rFonts w:ascii="Times New Roman" w:hAnsi="Times New Roman"/>
          <w:color w:val="000000" w:themeColor="text1"/>
          <w:lang w:val="en-US"/>
        </w:rPr>
        <w:t xml:space="preserve"> </w:t>
      </w:r>
    </w:p>
    <w:p w14:paraId="4EB885EF" w14:textId="4AFA4742" w:rsidR="006003E3" w:rsidRPr="00B947D9" w:rsidRDefault="006003E3" w:rsidP="00C65562">
      <w:pPr>
        <w:spacing w:line="480" w:lineRule="auto"/>
        <w:jc w:val="center"/>
        <w:rPr>
          <w:rFonts w:ascii="Times New Roman" w:hAnsi="Times New Roman"/>
          <w:color w:val="000000" w:themeColor="text1"/>
          <w:lang w:val="en-US"/>
        </w:rPr>
      </w:pPr>
      <w:r w:rsidRPr="00B947D9">
        <w:rPr>
          <w:rFonts w:ascii="Times New Roman" w:hAnsi="Times New Roman"/>
          <w:b/>
          <w:bCs/>
          <w:i/>
          <w:iCs/>
          <w:color w:val="000000" w:themeColor="text1"/>
          <w:lang w:val="en-US"/>
        </w:rPr>
        <w:t xml:space="preserve">Figure </w:t>
      </w:r>
      <w:r w:rsidR="00C65562" w:rsidRPr="00B947D9">
        <w:rPr>
          <w:rFonts w:ascii="Times New Roman" w:hAnsi="Times New Roman"/>
          <w:b/>
          <w:bCs/>
          <w:i/>
          <w:iCs/>
          <w:color w:val="000000" w:themeColor="text1"/>
          <w:lang w:val="en-US"/>
        </w:rPr>
        <w:t>7</w:t>
      </w:r>
      <w:r w:rsidRPr="00B947D9">
        <w:rPr>
          <w:rFonts w:ascii="Times New Roman" w:hAnsi="Times New Roman"/>
          <w:b/>
          <w:bCs/>
          <w:i/>
          <w:iCs/>
          <w:color w:val="000000" w:themeColor="text1"/>
          <w:lang w:val="en-US"/>
        </w:rPr>
        <w:t>.</w:t>
      </w:r>
      <w:r w:rsidRPr="00B947D9">
        <w:rPr>
          <w:rFonts w:ascii="Times New Roman" w:hAnsi="Times New Roman"/>
          <w:color w:val="000000" w:themeColor="text1"/>
          <w:lang w:val="en-US"/>
        </w:rPr>
        <w:t xml:space="preserve"> </w:t>
      </w:r>
      <w:r w:rsidR="003424C9" w:rsidRPr="00B947D9">
        <w:rPr>
          <w:rFonts w:ascii="Times New Roman" w:hAnsi="Times New Roman"/>
          <w:i/>
          <w:iCs/>
          <w:color w:val="000000" w:themeColor="text1"/>
          <w:lang w:val="en-US"/>
        </w:rPr>
        <w:t>Total f</w:t>
      </w:r>
      <w:r w:rsidRPr="00B947D9">
        <w:rPr>
          <w:rFonts w:ascii="Times New Roman" w:hAnsi="Times New Roman"/>
          <w:i/>
          <w:iCs/>
          <w:color w:val="000000" w:themeColor="text1"/>
          <w:lang w:val="en-US"/>
        </w:rPr>
        <w:t xml:space="preserve">inancial </w:t>
      </w:r>
      <w:r w:rsidR="003424C9" w:rsidRPr="00B947D9">
        <w:rPr>
          <w:rFonts w:ascii="Times New Roman" w:hAnsi="Times New Roman"/>
          <w:i/>
          <w:iCs/>
          <w:color w:val="000000" w:themeColor="text1"/>
          <w:lang w:val="en-US"/>
        </w:rPr>
        <w:t>a</w:t>
      </w:r>
      <w:r w:rsidRPr="00B947D9">
        <w:rPr>
          <w:rFonts w:ascii="Times New Roman" w:hAnsi="Times New Roman"/>
          <w:i/>
          <w:iCs/>
          <w:color w:val="000000" w:themeColor="text1"/>
          <w:lang w:val="en-US"/>
        </w:rPr>
        <w:t>sset</w:t>
      </w:r>
      <w:r w:rsidR="003424C9" w:rsidRPr="00B947D9">
        <w:rPr>
          <w:rFonts w:ascii="Times New Roman" w:hAnsi="Times New Roman"/>
          <w:i/>
          <w:iCs/>
          <w:color w:val="000000" w:themeColor="text1"/>
          <w:lang w:val="en-US"/>
        </w:rPr>
        <w:t>s</w:t>
      </w:r>
      <w:r w:rsidRPr="00B947D9">
        <w:rPr>
          <w:rFonts w:ascii="Times New Roman" w:hAnsi="Times New Roman"/>
          <w:color w:val="000000" w:themeColor="text1"/>
          <w:lang w:val="en-US"/>
        </w:rPr>
        <w:t xml:space="preserve"> </w:t>
      </w:r>
      <w:r w:rsidR="003424C9" w:rsidRPr="00B947D9">
        <w:rPr>
          <w:rFonts w:ascii="Times New Roman" w:hAnsi="Times New Roman"/>
          <w:color w:val="000000" w:themeColor="text1"/>
          <w:lang w:val="en-US"/>
        </w:rPr>
        <w:t>dec</w:t>
      </w:r>
      <w:r w:rsidRPr="00B947D9">
        <w:rPr>
          <w:rFonts w:ascii="Times New Roman" w:hAnsi="Times New Roman"/>
          <w:color w:val="000000" w:themeColor="text1"/>
          <w:lang w:val="en-US"/>
        </w:rPr>
        <w:t>omposition</w:t>
      </w:r>
      <w:r w:rsidR="009A6EE6" w:rsidRPr="00B947D9">
        <w:rPr>
          <w:rFonts w:ascii="Times New Roman" w:hAnsi="Times New Roman"/>
          <w:color w:val="000000" w:themeColor="text1"/>
          <w:lang w:val="en-US"/>
        </w:rPr>
        <w:t xml:space="preserve"> (percentage points)</w:t>
      </w:r>
    </w:p>
    <w:p w14:paraId="558AA288" w14:textId="7AA03D04" w:rsidR="00A44498" w:rsidRPr="00B947D9" w:rsidRDefault="00C65562" w:rsidP="00C65562">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7051C0EE" wp14:editId="6AF1F99F">
            <wp:extent cx="5731510" cy="1908658"/>
            <wp:effectExtent l="0" t="0" r="2540" b="15875"/>
            <wp:docPr id="19" name="Chart 19">
              <a:extLst xmlns:a="http://schemas.openxmlformats.org/drawingml/2006/main">
                <a:ext uri="{FF2B5EF4-FFF2-40B4-BE49-F238E27FC236}">
                  <a16:creationId xmlns:a16="http://schemas.microsoft.com/office/drawing/2014/main" id="{CA5A211C-908B-4B0B-B60B-2D421F1C09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08EDADE" w14:textId="77777777" w:rsidR="009E17BB" w:rsidRPr="00B947D9" w:rsidRDefault="009E17BB" w:rsidP="009E17BB">
      <w:pPr>
        <w:pStyle w:val="Heading3"/>
        <w:spacing w:line="480" w:lineRule="auto"/>
        <w:jc w:val="both"/>
        <w:rPr>
          <w:rFonts w:ascii="Times New Roman" w:hAnsi="Times New Roman"/>
          <w:i/>
          <w:iCs/>
          <w:color w:val="000000" w:themeColor="text1"/>
          <w:sz w:val="24"/>
          <w:szCs w:val="24"/>
          <w:lang w:val="en-US"/>
        </w:rPr>
      </w:pPr>
      <w:r w:rsidRPr="00B947D9">
        <w:rPr>
          <w:rFonts w:ascii="Times New Roman" w:hAnsi="Times New Roman"/>
          <w:i/>
          <w:iCs/>
          <w:color w:val="000000" w:themeColor="text1"/>
          <w:sz w:val="24"/>
          <w:szCs w:val="24"/>
          <w:lang w:val="en-US"/>
        </w:rPr>
        <w:t>Total assets</w:t>
      </w:r>
    </w:p>
    <w:p w14:paraId="4F2240CA" w14:textId="38E1F8DE" w:rsidR="00AE20E8" w:rsidRPr="00B947D9" w:rsidRDefault="00435F48" w:rsidP="009E17BB">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In this section, we decompose total wealth</w:t>
      </w:r>
      <w:r w:rsidR="00AE20E8" w:rsidRPr="00B947D9">
        <w:rPr>
          <w:rFonts w:ascii="Times New Roman" w:hAnsi="Times New Roman"/>
          <w:color w:val="000000" w:themeColor="text1"/>
          <w:lang w:val="en-US"/>
        </w:rPr>
        <w:t xml:space="preserve"> to different variables to better understand how the various unconventional monetary policy measures might affect each component.</w:t>
      </w:r>
      <w:r w:rsidR="00B976C3" w:rsidRPr="00B947D9">
        <w:rPr>
          <w:rFonts w:ascii="Times New Roman" w:hAnsi="Times New Roman"/>
          <w:color w:val="000000" w:themeColor="text1"/>
          <w:lang w:val="en-US"/>
        </w:rPr>
        <w:t xml:space="preserve"> This is crucial for our analysis as in section 2 we explained </w:t>
      </w:r>
      <w:r w:rsidR="00E3663A" w:rsidRPr="00B947D9">
        <w:rPr>
          <w:rFonts w:ascii="Times New Roman" w:hAnsi="Times New Roman"/>
          <w:color w:val="000000" w:themeColor="text1"/>
          <w:lang w:val="en-US"/>
        </w:rPr>
        <w:t>how,</w:t>
      </w:r>
      <w:r w:rsidR="00B976C3" w:rsidRPr="00B947D9">
        <w:rPr>
          <w:rFonts w:ascii="Times New Roman" w:hAnsi="Times New Roman"/>
          <w:color w:val="000000" w:themeColor="text1"/>
          <w:lang w:val="en-US"/>
        </w:rPr>
        <w:t xml:space="preserve"> for </w:t>
      </w:r>
      <w:r w:rsidR="00AE20E8" w:rsidRPr="00B947D9">
        <w:rPr>
          <w:rFonts w:ascii="Times New Roman" w:hAnsi="Times New Roman"/>
          <w:color w:val="000000" w:themeColor="text1"/>
          <w:lang w:val="en-US"/>
        </w:rPr>
        <w:t xml:space="preserve">example, we expect that negative interest rates affect mortgages and therefore housing </w:t>
      </w:r>
      <w:r w:rsidR="00DA50DF">
        <w:rPr>
          <w:rFonts w:ascii="Times New Roman" w:hAnsi="Times New Roman"/>
          <w:color w:val="000000" w:themeColor="text1"/>
          <w:lang w:val="en-US"/>
        </w:rPr>
        <w:t>more</w:t>
      </w:r>
      <w:r w:rsidR="00AE20E8" w:rsidRPr="00B947D9">
        <w:rPr>
          <w:rFonts w:ascii="Times New Roman" w:hAnsi="Times New Roman"/>
          <w:color w:val="000000" w:themeColor="text1"/>
          <w:lang w:val="en-US"/>
        </w:rPr>
        <w:t xml:space="preserve">, compared to pension holdings. This </w:t>
      </w:r>
      <w:r w:rsidR="00DA50DF">
        <w:rPr>
          <w:rFonts w:ascii="Times New Roman" w:hAnsi="Times New Roman"/>
          <w:color w:val="000000" w:themeColor="text1"/>
          <w:lang w:val="en-US"/>
        </w:rPr>
        <w:t>decomposition constitutes the preliminary</w:t>
      </w:r>
      <w:r w:rsidR="00AE20E8" w:rsidRPr="00B947D9">
        <w:rPr>
          <w:rFonts w:ascii="Times New Roman" w:hAnsi="Times New Roman"/>
          <w:color w:val="000000" w:themeColor="text1"/>
          <w:lang w:val="en-US"/>
        </w:rPr>
        <w:t xml:space="preserve"> analysis of our simulation exercise</w:t>
      </w:r>
      <w:r w:rsidR="00137640" w:rsidRPr="00B947D9">
        <w:rPr>
          <w:rFonts w:ascii="Times New Roman" w:hAnsi="Times New Roman"/>
          <w:color w:val="000000" w:themeColor="text1"/>
          <w:lang w:val="en-US"/>
        </w:rPr>
        <w:t>.</w:t>
      </w:r>
    </w:p>
    <w:p w14:paraId="436F5116" w14:textId="006449E4" w:rsidR="009E17BB" w:rsidRPr="00B947D9" w:rsidRDefault="00AE20E8" w:rsidP="00AE20E8">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Fi</w:t>
      </w:r>
      <w:r w:rsidR="009E17BB" w:rsidRPr="00B947D9">
        <w:rPr>
          <w:rFonts w:ascii="Times New Roman" w:hAnsi="Times New Roman"/>
          <w:color w:val="000000" w:themeColor="text1"/>
          <w:lang w:val="en-US"/>
        </w:rPr>
        <w:t>rst</w:t>
      </w:r>
      <w:r w:rsidRPr="00B947D9">
        <w:rPr>
          <w:rFonts w:ascii="Times New Roman" w:hAnsi="Times New Roman"/>
          <w:color w:val="000000" w:themeColor="text1"/>
          <w:lang w:val="en-US"/>
        </w:rPr>
        <w:t>,</w:t>
      </w:r>
      <w:r w:rsidR="009E17BB" w:rsidRPr="00B947D9">
        <w:rPr>
          <w:rFonts w:ascii="Times New Roman" w:hAnsi="Times New Roman"/>
          <w:color w:val="000000" w:themeColor="text1"/>
          <w:lang w:val="en-US"/>
        </w:rPr>
        <w:t xml:space="preserve"> we construct three main household wealth components, namely </w:t>
      </w:r>
      <w:r w:rsidR="009E17BB" w:rsidRPr="00B947D9">
        <w:rPr>
          <w:rFonts w:ascii="Times New Roman" w:hAnsi="Times New Roman"/>
          <w:i/>
          <w:iCs/>
          <w:color w:val="000000" w:themeColor="text1"/>
          <w:lang w:val="en-US"/>
        </w:rPr>
        <w:t>Housing</w:t>
      </w:r>
      <w:r w:rsidR="009E17BB" w:rsidRPr="00B947D9">
        <w:rPr>
          <w:rFonts w:ascii="Times New Roman" w:hAnsi="Times New Roman"/>
          <w:color w:val="000000" w:themeColor="text1"/>
          <w:lang w:val="en-US"/>
        </w:rPr>
        <w:t xml:space="preserve">, </w:t>
      </w:r>
      <w:r w:rsidR="009E17BB" w:rsidRPr="00B947D9">
        <w:rPr>
          <w:rFonts w:ascii="Times New Roman" w:hAnsi="Times New Roman"/>
          <w:i/>
          <w:iCs/>
          <w:color w:val="000000" w:themeColor="text1"/>
          <w:lang w:val="en-US"/>
        </w:rPr>
        <w:t>Bonds</w:t>
      </w:r>
      <w:r w:rsidR="009E17BB" w:rsidRPr="00B947D9">
        <w:rPr>
          <w:rFonts w:ascii="Times New Roman" w:hAnsi="Times New Roman"/>
          <w:color w:val="000000" w:themeColor="text1"/>
          <w:lang w:val="en-US"/>
        </w:rPr>
        <w:t xml:space="preserve">, and </w:t>
      </w:r>
      <w:r w:rsidR="009E17BB" w:rsidRPr="00B947D9">
        <w:rPr>
          <w:rFonts w:ascii="Times New Roman" w:hAnsi="Times New Roman"/>
          <w:i/>
          <w:iCs/>
          <w:color w:val="000000" w:themeColor="text1"/>
          <w:lang w:val="en-US"/>
        </w:rPr>
        <w:t>Equity</w:t>
      </w:r>
      <w:r w:rsidR="009E17BB" w:rsidRPr="00B947D9">
        <w:rPr>
          <w:rFonts w:ascii="Times New Roman" w:hAnsi="Times New Roman"/>
          <w:color w:val="000000" w:themeColor="text1"/>
          <w:lang w:val="en-US"/>
        </w:rPr>
        <w:t xml:space="preserve">. </w:t>
      </w:r>
      <w:r w:rsidR="009E17BB" w:rsidRPr="00B947D9">
        <w:rPr>
          <w:rFonts w:ascii="Times New Roman" w:hAnsi="Times New Roman"/>
          <w:i/>
          <w:iCs/>
          <w:color w:val="000000" w:themeColor="text1"/>
          <w:lang w:val="en-US"/>
        </w:rPr>
        <w:t>Housing</w:t>
      </w:r>
      <w:r w:rsidR="009E17BB" w:rsidRPr="00B947D9">
        <w:rPr>
          <w:rFonts w:ascii="Times New Roman" w:hAnsi="Times New Roman"/>
          <w:color w:val="000000" w:themeColor="text1"/>
          <w:lang w:val="en-US"/>
        </w:rPr>
        <w:t xml:space="preserve"> is the sum of the value of main residence, other real estate property, and real estate funds. </w:t>
      </w:r>
      <w:r w:rsidR="009E17BB" w:rsidRPr="00B947D9">
        <w:rPr>
          <w:rFonts w:ascii="Times New Roman" w:hAnsi="Times New Roman"/>
          <w:i/>
          <w:iCs/>
          <w:color w:val="000000" w:themeColor="text1"/>
          <w:lang w:val="en-US"/>
        </w:rPr>
        <w:t>Bonds</w:t>
      </w:r>
      <w:r w:rsidR="009E17BB" w:rsidRPr="00B947D9">
        <w:rPr>
          <w:rFonts w:ascii="Times New Roman" w:hAnsi="Times New Roman"/>
          <w:color w:val="000000" w:themeColor="text1"/>
          <w:lang w:val="en-US"/>
        </w:rPr>
        <w:t xml:space="preserve"> are defined as the sum of bond holdings, mutual funds in bonds, and pension holdings invested in bonds. Last, </w:t>
      </w:r>
      <w:r w:rsidR="009E17BB" w:rsidRPr="00B947D9">
        <w:rPr>
          <w:rFonts w:ascii="Times New Roman" w:hAnsi="Times New Roman"/>
          <w:i/>
          <w:iCs/>
          <w:color w:val="000000" w:themeColor="text1"/>
          <w:lang w:val="en-US"/>
        </w:rPr>
        <w:t>Equity</w:t>
      </w:r>
      <w:r w:rsidR="009E17BB" w:rsidRPr="00B947D9">
        <w:rPr>
          <w:rFonts w:ascii="Times New Roman" w:hAnsi="Times New Roman"/>
          <w:color w:val="000000" w:themeColor="text1"/>
          <w:lang w:val="en-US"/>
        </w:rPr>
        <w:t xml:space="preserve"> is calculated by the value of self-employment businesses, the value of pension and mutual funds invested in equity, and shares.</w:t>
      </w:r>
      <w:r w:rsidR="009E17BB" w:rsidRPr="00B947D9">
        <w:rPr>
          <w:rStyle w:val="FootnoteReference"/>
          <w:rFonts w:ascii="Times New Roman" w:hAnsi="Times New Roman"/>
          <w:color w:val="000000" w:themeColor="text1"/>
          <w:lang w:val="en-US"/>
        </w:rPr>
        <w:footnoteReference w:id="4"/>
      </w:r>
      <w:r w:rsidR="009E17BB" w:rsidRPr="00B947D9">
        <w:rPr>
          <w:rFonts w:ascii="Times New Roman" w:hAnsi="Times New Roman"/>
          <w:color w:val="000000" w:themeColor="text1"/>
          <w:lang w:val="en-US"/>
        </w:rPr>
        <w:t xml:space="preserve"> Figures </w:t>
      </w:r>
      <w:r w:rsidR="00255BEC" w:rsidRPr="00B947D9">
        <w:rPr>
          <w:rFonts w:ascii="Times New Roman" w:hAnsi="Times New Roman"/>
          <w:color w:val="000000" w:themeColor="text1"/>
          <w:lang w:val="en-US"/>
        </w:rPr>
        <w:t>8-10</w:t>
      </w:r>
      <w:r w:rsidR="009E17BB" w:rsidRPr="00B947D9">
        <w:rPr>
          <w:rFonts w:ascii="Times New Roman" w:hAnsi="Times New Roman"/>
          <w:color w:val="000000" w:themeColor="text1"/>
          <w:lang w:val="en-US"/>
        </w:rPr>
        <w:t xml:space="preserve"> present the percentage of each subcomponent of household’s wealth over each of the wealth components </w:t>
      </w:r>
      <w:r w:rsidR="009E17BB" w:rsidRPr="00B947D9">
        <w:rPr>
          <w:rFonts w:ascii="Times New Roman" w:hAnsi="Times New Roman"/>
          <w:i/>
          <w:iCs/>
          <w:color w:val="000000" w:themeColor="text1"/>
          <w:lang w:val="en-US"/>
        </w:rPr>
        <w:t>Housing</w:t>
      </w:r>
      <w:r w:rsidR="009E17BB" w:rsidRPr="00B947D9">
        <w:rPr>
          <w:rFonts w:ascii="Times New Roman" w:hAnsi="Times New Roman"/>
          <w:color w:val="000000" w:themeColor="text1"/>
          <w:lang w:val="en-US"/>
        </w:rPr>
        <w:t xml:space="preserve">, </w:t>
      </w:r>
      <w:r w:rsidR="009E17BB" w:rsidRPr="00B947D9">
        <w:rPr>
          <w:rFonts w:ascii="Times New Roman" w:hAnsi="Times New Roman"/>
          <w:i/>
          <w:iCs/>
          <w:color w:val="000000" w:themeColor="text1"/>
          <w:lang w:val="en-US"/>
        </w:rPr>
        <w:t>Bonds</w:t>
      </w:r>
      <w:r w:rsidR="009E17BB" w:rsidRPr="00B947D9">
        <w:rPr>
          <w:rFonts w:ascii="Times New Roman" w:hAnsi="Times New Roman"/>
          <w:color w:val="000000" w:themeColor="text1"/>
          <w:lang w:val="en-US"/>
        </w:rPr>
        <w:t xml:space="preserve">, and </w:t>
      </w:r>
      <w:r w:rsidR="009E17BB" w:rsidRPr="00B947D9">
        <w:rPr>
          <w:rFonts w:ascii="Times New Roman" w:hAnsi="Times New Roman"/>
          <w:i/>
          <w:iCs/>
          <w:color w:val="000000" w:themeColor="text1"/>
          <w:lang w:val="en-US"/>
        </w:rPr>
        <w:t xml:space="preserve">Equity </w:t>
      </w:r>
      <w:r w:rsidR="009E17BB" w:rsidRPr="00B947D9">
        <w:rPr>
          <w:rFonts w:ascii="Times New Roman" w:hAnsi="Times New Roman"/>
          <w:color w:val="000000" w:themeColor="text1"/>
          <w:lang w:val="en-US"/>
        </w:rPr>
        <w:t>respectively, for the t</w:t>
      </w:r>
      <w:r w:rsidR="003C4828" w:rsidRPr="00B947D9">
        <w:rPr>
          <w:rFonts w:ascii="Times New Roman" w:hAnsi="Times New Roman"/>
          <w:color w:val="000000" w:themeColor="text1"/>
          <w:lang w:val="en-US"/>
        </w:rPr>
        <w:t>wo</w:t>
      </w:r>
      <w:r w:rsidR="009E17BB" w:rsidRPr="00B947D9">
        <w:rPr>
          <w:rFonts w:ascii="Times New Roman" w:hAnsi="Times New Roman"/>
          <w:color w:val="000000" w:themeColor="text1"/>
          <w:lang w:val="en-US"/>
        </w:rPr>
        <w:t xml:space="preserve"> waves of the survey.</w:t>
      </w:r>
    </w:p>
    <w:p w14:paraId="20869C0D" w14:textId="250DC3FD" w:rsidR="009E17BB" w:rsidRPr="00B947D9" w:rsidRDefault="009E17BB" w:rsidP="009E17BB">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w:t>
      </w:r>
      <w:r w:rsidR="00255BEC" w:rsidRPr="00B947D9">
        <w:rPr>
          <w:rFonts w:ascii="Times New Roman" w:hAnsi="Times New Roman"/>
          <w:b/>
          <w:bCs/>
          <w:color w:val="000000" w:themeColor="text1"/>
          <w:lang w:val="en-US"/>
        </w:rPr>
        <w:t>8</w:t>
      </w:r>
      <w:r w:rsidRPr="00B947D9">
        <w:rPr>
          <w:rFonts w:ascii="Times New Roman" w:hAnsi="Times New Roman"/>
          <w:b/>
          <w:bCs/>
          <w:color w:val="000000" w:themeColor="text1"/>
          <w:lang w:val="en-US"/>
        </w:rPr>
        <w:t>.</w:t>
      </w:r>
      <w:r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Housing</w:t>
      </w:r>
      <w:r w:rsidR="00F9398F" w:rsidRPr="00B947D9">
        <w:rPr>
          <w:rFonts w:ascii="Times New Roman" w:hAnsi="Times New Roman"/>
          <w:color w:val="000000" w:themeColor="text1"/>
          <w:lang w:val="en-US"/>
        </w:rPr>
        <w:t xml:space="preserve"> decomposition</w:t>
      </w:r>
      <w:r w:rsidR="009A6EE6" w:rsidRPr="00B947D9">
        <w:rPr>
          <w:rFonts w:ascii="Times New Roman" w:hAnsi="Times New Roman"/>
          <w:color w:val="000000" w:themeColor="text1"/>
          <w:lang w:val="en-US"/>
        </w:rPr>
        <w:t xml:space="preserve"> (percentage points)</w:t>
      </w:r>
    </w:p>
    <w:p w14:paraId="671D5724" w14:textId="2FA00A5C" w:rsidR="009E17BB" w:rsidRPr="00B947D9" w:rsidRDefault="00F9398F" w:rsidP="009E17BB">
      <w:pPr>
        <w:spacing w:line="480" w:lineRule="auto"/>
        <w:jc w:val="center"/>
        <w:rPr>
          <w:rFonts w:ascii="Times New Roman" w:hAnsi="Times New Roman"/>
          <w:noProof/>
          <w:color w:val="000000" w:themeColor="text1"/>
        </w:rPr>
      </w:pPr>
      <w:r w:rsidRPr="00B947D9">
        <w:rPr>
          <w:rFonts w:ascii="Times New Roman" w:hAnsi="Times New Roman"/>
          <w:noProof/>
          <w:color w:val="000000" w:themeColor="text1"/>
        </w:rPr>
        <w:drawing>
          <wp:inline distT="0" distB="0" distL="0" distR="0" wp14:anchorId="29BA3A8C" wp14:editId="66D8B38C">
            <wp:extent cx="5546725" cy="2926080"/>
            <wp:effectExtent l="0" t="0" r="15875" b="7620"/>
            <wp:docPr id="4" name="Chart 4">
              <a:extLst xmlns:a="http://schemas.openxmlformats.org/drawingml/2006/main">
                <a:ext uri="{FF2B5EF4-FFF2-40B4-BE49-F238E27FC236}">
                  <a16:creationId xmlns:a16="http://schemas.microsoft.com/office/drawing/2014/main" id="{64909CE4-38B5-4B05-BD0C-F95E7BE9F9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BA4F7A9" w14:textId="7E3CC82A" w:rsidR="009E17BB" w:rsidRPr="00B947D9" w:rsidRDefault="009E17BB" w:rsidP="00D46AAD">
      <w:pPr>
        <w:spacing w:line="480" w:lineRule="auto"/>
        <w:jc w:val="center"/>
        <w:rPr>
          <w:rFonts w:ascii="Times New Roman" w:hAnsi="Times New Roman"/>
          <w:noProof/>
          <w:color w:val="000000" w:themeColor="text1"/>
        </w:rPr>
      </w:pPr>
      <w:r w:rsidRPr="00B947D9">
        <w:rPr>
          <w:rFonts w:ascii="Times New Roman" w:hAnsi="Times New Roman"/>
          <w:b/>
          <w:bCs/>
          <w:noProof/>
          <w:color w:val="000000" w:themeColor="text1"/>
          <w:lang w:val="en-US"/>
        </w:rPr>
        <w:t>Figure</w:t>
      </w:r>
      <w:r w:rsidR="00D46AAD" w:rsidRPr="00B947D9">
        <w:rPr>
          <w:rFonts w:ascii="Times New Roman" w:hAnsi="Times New Roman"/>
          <w:b/>
          <w:bCs/>
          <w:noProof/>
          <w:color w:val="000000" w:themeColor="text1"/>
          <w:lang w:val="en-US"/>
        </w:rPr>
        <w:t xml:space="preserve"> 9</w:t>
      </w:r>
      <w:r w:rsidRPr="00B947D9">
        <w:rPr>
          <w:rFonts w:ascii="Times New Roman" w:hAnsi="Times New Roman"/>
          <w:b/>
          <w:bCs/>
          <w:noProof/>
          <w:color w:val="000000" w:themeColor="text1"/>
          <w:lang w:val="en-US"/>
        </w:rPr>
        <w:t xml:space="preserve"> .</w:t>
      </w:r>
      <w:r w:rsidRPr="00B947D9">
        <w:rPr>
          <w:rFonts w:ascii="Times New Roman" w:hAnsi="Times New Roman"/>
          <w:noProof/>
          <w:color w:val="000000" w:themeColor="text1"/>
          <w:lang w:val="en-US"/>
        </w:rPr>
        <w:t xml:space="preserve"> </w:t>
      </w:r>
      <w:r w:rsidRPr="00B947D9">
        <w:rPr>
          <w:rFonts w:ascii="Times New Roman" w:hAnsi="Times New Roman"/>
          <w:i/>
          <w:iCs/>
          <w:noProof/>
          <w:color w:val="000000" w:themeColor="text1"/>
          <w:lang w:val="en-US"/>
        </w:rPr>
        <w:t>Bonds</w:t>
      </w:r>
      <w:r w:rsidR="00F9398F" w:rsidRPr="00B947D9">
        <w:rPr>
          <w:rFonts w:ascii="Times New Roman" w:hAnsi="Times New Roman"/>
          <w:noProof/>
          <w:color w:val="000000" w:themeColor="text1"/>
          <w:lang w:val="en-US"/>
        </w:rPr>
        <w:t xml:space="preserve"> decomposition (percentage points)</w:t>
      </w:r>
    </w:p>
    <w:p w14:paraId="32BE0AB4" w14:textId="66AB8EC7" w:rsidR="009E17BB" w:rsidRPr="00B947D9" w:rsidRDefault="00F9398F" w:rsidP="009E17BB">
      <w:pPr>
        <w:spacing w:line="480" w:lineRule="auto"/>
        <w:jc w:val="both"/>
        <w:rPr>
          <w:rFonts w:ascii="Times New Roman" w:hAnsi="Times New Roman"/>
          <w:noProof/>
          <w:color w:val="000000" w:themeColor="text1"/>
        </w:rPr>
      </w:pPr>
      <w:r w:rsidRPr="00B947D9">
        <w:rPr>
          <w:rFonts w:ascii="Times New Roman" w:hAnsi="Times New Roman"/>
          <w:noProof/>
          <w:color w:val="000000" w:themeColor="text1"/>
        </w:rPr>
        <w:drawing>
          <wp:inline distT="0" distB="0" distL="0" distR="0" wp14:anchorId="5E91540A" wp14:editId="0E8E4536">
            <wp:extent cx="5731510" cy="2801721"/>
            <wp:effectExtent l="0" t="0" r="2540" b="17780"/>
            <wp:docPr id="5" name="Chart 5">
              <a:extLst xmlns:a="http://schemas.openxmlformats.org/drawingml/2006/main">
                <a:ext uri="{FF2B5EF4-FFF2-40B4-BE49-F238E27FC236}">
                  <a16:creationId xmlns:a16="http://schemas.microsoft.com/office/drawing/2014/main" id="{8BD550E4-4AB4-4D3E-8BF5-15E6C84B55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FAD5C0E" w14:textId="2EE2F0D0" w:rsidR="009E17BB" w:rsidRPr="00B947D9" w:rsidRDefault="009E17BB" w:rsidP="00D46AAD">
      <w:pPr>
        <w:spacing w:line="480" w:lineRule="auto"/>
        <w:jc w:val="center"/>
        <w:rPr>
          <w:rFonts w:ascii="Times New Roman" w:hAnsi="Times New Roman"/>
          <w:noProof/>
          <w:color w:val="000000" w:themeColor="text1"/>
          <w:lang w:val="en-US"/>
        </w:rPr>
      </w:pPr>
      <w:r w:rsidRPr="00B947D9">
        <w:rPr>
          <w:rFonts w:ascii="Times New Roman" w:hAnsi="Times New Roman"/>
          <w:b/>
          <w:bCs/>
          <w:noProof/>
          <w:color w:val="000000" w:themeColor="text1"/>
          <w:lang w:val="en-US"/>
        </w:rPr>
        <w:t xml:space="preserve">Figure </w:t>
      </w:r>
      <w:r w:rsidR="00D46AAD" w:rsidRPr="00B947D9">
        <w:rPr>
          <w:rFonts w:ascii="Times New Roman" w:hAnsi="Times New Roman"/>
          <w:b/>
          <w:bCs/>
          <w:noProof/>
          <w:color w:val="000000" w:themeColor="text1"/>
          <w:lang w:val="en-US"/>
        </w:rPr>
        <w:t>10</w:t>
      </w:r>
      <w:r w:rsidRPr="00B947D9">
        <w:rPr>
          <w:rFonts w:ascii="Times New Roman" w:hAnsi="Times New Roman"/>
          <w:b/>
          <w:bCs/>
          <w:noProof/>
          <w:color w:val="000000" w:themeColor="text1"/>
          <w:lang w:val="en-US"/>
        </w:rPr>
        <w:t>.</w:t>
      </w:r>
      <w:r w:rsidRPr="00B947D9">
        <w:rPr>
          <w:rFonts w:ascii="Times New Roman" w:hAnsi="Times New Roman"/>
          <w:noProof/>
          <w:color w:val="000000" w:themeColor="text1"/>
          <w:lang w:val="en-US"/>
        </w:rPr>
        <w:t xml:space="preserve"> </w:t>
      </w:r>
      <w:r w:rsidRPr="00B947D9">
        <w:rPr>
          <w:rFonts w:ascii="Times New Roman" w:hAnsi="Times New Roman"/>
          <w:i/>
          <w:iCs/>
          <w:noProof/>
          <w:color w:val="000000" w:themeColor="text1"/>
          <w:lang w:val="en-US"/>
        </w:rPr>
        <w:t>Equity</w:t>
      </w:r>
      <w:r w:rsidR="00F9398F" w:rsidRPr="00B947D9">
        <w:rPr>
          <w:rFonts w:ascii="Times New Roman" w:hAnsi="Times New Roman"/>
          <w:noProof/>
          <w:color w:val="000000" w:themeColor="text1"/>
          <w:lang w:val="en-US"/>
        </w:rPr>
        <w:t xml:space="preserve"> decomposition (percentage points)</w:t>
      </w:r>
    </w:p>
    <w:p w14:paraId="78B1558E" w14:textId="0752B557" w:rsidR="009E17BB" w:rsidRPr="00B947D9" w:rsidRDefault="00F9398F" w:rsidP="009E17BB">
      <w:pPr>
        <w:spacing w:line="480" w:lineRule="auto"/>
        <w:jc w:val="both"/>
        <w:rPr>
          <w:rFonts w:ascii="Times New Roman" w:hAnsi="Times New Roman"/>
          <w:noProof/>
          <w:color w:val="000000" w:themeColor="text1"/>
          <w:lang w:val="en-US"/>
        </w:rPr>
      </w:pPr>
      <w:r w:rsidRPr="00B947D9">
        <w:rPr>
          <w:rFonts w:ascii="Times New Roman" w:hAnsi="Times New Roman"/>
          <w:noProof/>
          <w:color w:val="000000" w:themeColor="text1"/>
        </w:rPr>
        <w:drawing>
          <wp:inline distT="0" distB="0" distL="0" distR="0" wp14:anchorId="0B037FCF" wp14:editId="508D9777">
            <wp:extent cx="5731510" cy="2874873"/>
            <wp:effectExtent l="0" t="0" r="2540" b="1905"/>
            <wp:docPr id="8" name="Chart 8">
              <a:extLst xmlns:a="http://schemas.openxmlformats.org/drawingml/2006/main">
                <a:ext uri="{FF2B5EF4-FFF2-40B4-BE49-F238E27FC236}">
                  <a16:creationId xmlns:a16="http://schemas.microsoft.com/office/drawing/2014/main" id="{453CFD16-947F-4EA5-A80E-B7DB3F6C34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D49B638" w14:textId="227372BE" w:rsidR="00916F4D" w:rsidRPr="00B947D9" w:rsidRDefault="00916F4D" w:rsidP="00916F4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Because the HFCS does not directly provide the shares of equities and bond holding</w:t>
      </w:r>
      <w:r w:rsidR="00E30BDF">
        <w:rPr>
          <w:rFonts w:ascii="Times New Roman" w:hAnsi="Times New Roman"/>
          <w:color w:val="000000" w:themeColor="text1"/>
          <w:lang w:val="en-US"/>
        </w:rPr>
        <w:t>s</w:t>
      </w:r>
      <w:r w:rsidRPr="00B947D9">
        <w:rPr>
          <w:rFonts w:ascii="Times New Roman" w:hAnsi="Times New Roman"/>
          <w:color w:val="000000" w:themeColor="text1"/>
          <w:lang w:val="en-US"/>
        </w:rPr>
        <w:t xml:space="preserve"> in pensions separately, we use ECB’s Monetary and Financial Statistics to estimate their shares over total pension funds. For 2010 of the €6.7 trillion financial assets held in insurance and pension funds within the EA countries, 39% is invested in bonds and 12% in equities. For 2014 of the total €8.4 trillion the equivalent numbers are 40% and 11% respectively.</w:t>
      </w:r>
    </w:p>
    <w:p w14:paraId="78B0E9E0" w14:textId="61BAFE36" w:rsidR="00D46AAD" w:rsidRPr="00B947D9" w:rsidRDefault="009E17BB" w:rsidP="003C4828">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Overall, we observe that the main residence represents by far the largest share of </w:t>
      </w:r>
      <w:r w:rsidR="00D46AAD" w:rsidRPr="00B947D9">
        <w:rPr>
          <w:rFonts w:ascii="Times New Roman" w:hAnsi="Times New Roman"/>
          <w:i/>
          <w:iCs/>
          <w:color w:val="000000" w:themeColor="text1"/>
          <w:lang w:val="en-US"/>
        </w:rPr>
        <w:t>H</w:t>
      </w:r>
      <w:r w:rsidRPr="00B947D9">
        <w:rPr>
          <w:rFonts w:ascii="Times New Roman" w:hAnsi="Times New Roman"/>
          <w:i/>
          <w:iCs/>
          <w:color w:val="000000" w:themeColor="text1"/>
          <w:lang w:val="en-US"/>
        </w:rPr>
        <w:t>ousing</w:t>
      </w:r>
      <w:r w:rsidRPr="00B947D9">
        <w:rPr>
          <w:rFonts w:ascii="Times New Roman" w:hAnsi="Times New Roman"/>
          <w:color w:val="000000" w:themeColor="text1"/>
          <w:lang w:val="en-US"/>
        </w:rPr>
        <w:t xml:space="preserve"> </w:t>
      </w:r>
      <w:r w:rsidR="00D46AAD" w:rsidRPr="00B947D9">
        <w:rPr>
          <w:rFonts w:ascii="Times New Roman" w:hAnsi="Times New Roman"/>
          <w:color w:val="000000" w:themeColor="text1"/>
          <w:lang w:val="en-US"/>
        </w:rPr>
        <w:t xml:space="preserve">with 58.79% for 2010, increased to 60.56% for 2014. When it comes to </w:t>
      </w:r>
      <w:r w:rsidR="00D46AAD" w:rsidRPr="00B947D9">
        <w:rPr>
          <w:rFonts w:ascii="Times New Roman" w:hAnsi="Times New Roman"/>
          <w:i/>
          <w:iCs/>
          <w:color w:val="000000" w:themeColor="text1"/>
          <w:lang w:val="en-US"/>
        </w:rPr>
        <w:t>Bonds</w:t>
      </w:r>
      <w:r w:rsidR="00D46AAD" w:rsidRPr="00B947D9">
        <w:rPr>
          <w:rFonts w:ascii="Times New Roman" w:hAnsi="Times New Roman"/>
          <w:color w:val="000000" w:themeColor="text1"/>
          <w:lang w:val="en-US"/>
        </w:rPr>
        <w:t xml:space="preserve">, in </w:t>
      </w:r>
      <w:r w:rsidR="003C4828" w:rsidRPr="00B947D9">
        <w:rPr>
          <w:rFonts w:ascii="Times New Roman" w:hAnsi="Times New Roman"/>
          <w:color w:val="000000" w:themeColor="text1"/>
          <w:lang w:val="en-US"/>
        </w:rPr>
        <w:t>both waves</w:t>
      </w:r>
      <w:r w:rsidR="00D46AAD" w:rsidRPr="00B947D9">
        <w:rPr>
          <w:rFonts w:ascii="Times New Roman" w:hAnsi="Times New Roman"/>
          <w:color w:val="000000" w:themeColor="text1"/>
          <w:lang w:val="en-US"/>
        </w:rPr>
        <w:t xml:space="preserve"> most of the wealth is held in pension bonds (59.04% for 2010, 63.80% for 2014). Bond holdings follow with 26.95 percentage points in 2010 and 24.58 percentage points in 2014. Finally, the value of self-employment businesses is the main component of equity wealth, with 76.61 percentage points for 2010 and 73.68 percentage points for 2014, followed by shares (17.29% in 2010 and 20.62% in 2014).</w:t>
      </w:r>
    </w:p>
    <w:p w14:paraId="00E3F4C2" w14:textId="42059E5E" w:rsidR="009E17BB" w:rsidRPr="00B947D9" w:rsidRDefault="009E17BB" w:rsidP="009E17BB">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Our analysis suggests that the composition of the wealth assets did not change substantially between the t</w:t>
      </w:r>
      <w:r w:rsidR="008F0435" w:rsidRPr="00B947D9">
        <w:rPr>
          <w:rFonts w:ascii="Times New Roman" w:hAnsi="Times New Roman"/>
          <w:color w:val="000000" w:themeColor="text1"/>
          <w:lang w:val="en-US"/>
        </w:rPr>
        <w:t>wo</w:t>
      </w:r>
      <w:r w:rsidRPr="00B947D9">
        <w:rPr>
          <w:rFonts w:ascii="Times New Roman" w:hAnsi="Times New Roman"/>
          <w:color w:val="000000" w:themeColor="text1"/>
          <w:lang w:val="en-US"/>
        </w:rPr>
        <w:t xml:space="preserve"> waves. However, we observe a small increase in the share of main residence’s value in housing wealth and a slight decrease in the portion of the value of self-employment businesses in equity wealth from 2010 to 2014. Finally, the share of private pension accounts’ investment becomes larger in 2014, while the share of bonds and mutual funds invest</w:t>
      </w:r>
      <w:r w:rsidR="00A03841" w:rsidRPr="00B947D9">
        <w:rPr>
          <w:rFonts w:ascii="Times New Roman" w:hAnsi="Times New Roman"/>
          <w:color w:val="000000" w:themeColor="text1"/>
          <w:lang w:val="en-US"/>
        </w:rPr>
        <w:t>ed</w:t>
      </w:r>
      <w:r w:rsidRPr="00B947D9">
        <w:rPr>
          <w:rFonts w:ascii="Times New Roman" w:hAnsi="Times New Roman"/>
          <w:color w:val="000000" w:themeColor="text1"/>
          <w:lang w:val="en-US"/>
        </w:rPr>
        <w:t xml:space="preserve"> in bonds decrease</w:t>
      </w:r>
      <w:r w:rsidR="00E30BDF">
        <w:rPr>
          <w:rFonts w:ascii="Times New Roman" w:hAnsi="Times New Roman"/>
          <w:color w:val="000000" w:themeColor="text1"/>
          <w:lang w:val="en-US"/>
        </w:rPr>
        <w:t>s</w:t>
      </w:r>
      <w:r w:rsidRPr="00B947D9">
        <w:rPr>
          <w:rFonts w:ascii="Times New Roman" w:hAnsi="Times New Roman"/>
          <w:color w:val="000000" w:themeColor="text1"/>
          <w:lang w:val="en-US"/>
        </w:rPr>
        <w:t>.</w:t>
      </w:r>
    </w:p>
    <w:p w14:paraId="443169F4" w14:textId="78AE5F75" w:rsidR="009E17BB" w:rsidRPr="00B947D9" w:rsidRDefault="009E17BB" w:rsidP="009E17BB">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Figure</w:t>
      </w:r>
      <w:r w:rsidR="00A03841" w:rsidRPr="00B947D9">
        <w:rPr>
          <w:rFonts w:ascii="Times New Roman" w:hAnsi="Times New Roman"/>
          <w:color w:val="000000" w:themeColor="text1"/>
          <w:lang w:val="en-US"/>
        </w:rPr>
        <w:t>s</w:t>
      </w:r>
      <w:r w:rsidRPr="00B947D9">
        <w:rPr>
          <w:rFonts w:ascii="Times New Roman" w:hAnsi="Times New Roman"/>
          <w:color w:val="000000" w:themeColor="text1"/>
          <w:lang w:val="en-US"/>
        </w:rPr>
        <w:t xml:space="preserve"> </w:t>
      </w:r>
      <w:r w:rsidR="00A03841" w:rsidRPr="00B947D9">
        <w:rPr>
          <w:rFonts w:ascii="Times New Roman" w:hAnsi="Times New Roman"/>
          <w:color w:val="000000" w:themeColor="text1"/>
          <w:lang w:val="en-US"/>
        </w:rPr>
        <w:t>11-13</w:t>
      </w:r>
      <w:r w:rsidRPr="00B947D9">
        <w:rPr>
          <w:rFonts w:ascii="Times New Roman" w:hAnsi="Times New Roman"/>
          <w:color w:val="000000" w:themeColor="text1"/>
          <w:lang w:val="en-US"/>
        </w:rPr>
        <w:t xml:space="preserve"> show the heterogeneity of households’ wealth assets decomposition across Euro Area countries for the t</w:t>
      </w:r>
      <w:r w:rsidR="00A03841" w:rsidRPr="00B947D9">
        <w:rPr>
          <w:rFonts w:ascii="Times New Roman" w:hAnsi="Times New Roman"/>
          <w:color w:val="000000" w:themeColor="text1"/>
          <w:lang w:val="en-US"/>
        </w:rPr>
        <w:t>wo</w:t>
      </w:r>
      <w:r w:rsidRPr="00B947D9">
        <w:rPr>
          <w:rFonts w:ascii="Times New Roman" w:hAnsi="Times New Roman"/>
          <w:color w:val="000000" w:themeColor="text1"/>
          <w:lang w:val="en-US"/>
        </w:rPr>
        <w:t xml:space="preserve"> waves. The main attribute across all countries is the predominance of </w:t>
      </w:r>
      <w:r w:rsidRPr="00B947D9">
        <w:rPr>
          <w:rFonts w:ascii="Times New Roman" w:hAnsi="Times New Roman"/>
          <w:i/>
          <w:iCs/>
          <w:color w:val="000000" w:themeColor="text1"/>
          <w:lang w:val="en-US"/>
        </w:rPr>
        <w:t>Housing</w:t>
      </w:r>
      <w:r w:rsidRPr="00B947D9">
        <w:rPr>
          <w:rFonts w:ascii="Times New Roman" w:hAnsi="Times New Roman"/>
          <w:color w:val="000000" w:themeColor="text1"/>
          <w:lang w:val="en-US"/>
        </w:rPr>
        <w:t xml:space="preserve"> as the largest share of </w:t>
      </w:r>
      <w:r w:rsidRPr="00B947D9">
        <w:rPr>
          <w:rFonts w:ascii="Times New Roman" w:hAnsi="Times New Roman"/>
          <w:i/>
          <w:iCs/>
          <w:color w:val="000000" w:themeColor="text1"/>
          <w:lang w:val="en-US"/>
        </w:rPr>
        <w:t>Total assets</w:t>
      </w:r>
      <w:r w:rsidRPr="00B947D9">
        <w:rPr>
          <w:rFonts w:ascii="Times New Roman" w:hAnsi="Times New Roman"/>
          <w:color w:val="000000" w:themeColor="text1"/>
          <w:lang w:val="en-US"/>
        </w:rPr>
        <w:t xml:space="preserve">. Spain and France hold the largest share in equities in all periods compared to the rest of the countries, while Austria demonstrates a substantial investment in </w:t>
      </w:r>
      <w:r w:rsidRPr="00B947D9">
        <w:rPr>
          <w:rFonts w:ascii="Times New Roman" w:hAnsi="Times New Roman"/>
          <w:i/>
          <w:iCs/>
          <w:color w:val="000000" w:themeColor="text1"/>
          <w:lang w:val="en-US"/>
        </w:rPr>
        <w:t>Equity</w:t>
      </w:r>
      <w:r w:rsidRPr="00B947D9">
        <w:rPr>
          <w:rFonts w:ascii="Times New Roman" w:hAnsi="Times New Roman"/>
          <w:color w:val="000000" w:themeColor="text1"/>
          <w:lang w:val="en-US"/>
        </w:rPr>
        <w:t xml:space="preserve"> during the first wave (2010) which is reduced for the </w:t>
      </w:r>
      <w:r w:rsidR="00A03841" w:rsidRPr="00B947D9">
        <w:rPr>
          <w:rFonts w:ascii="Times New Roman" w:hAnsi="Times New Roman"/>
          <w:color w:val="000000" w:themeColor="text1"/>
          <w:lang w:val="en-US"/>
        </w:rPr>
        <w:t>second wave</w:t>
      </w:r>
      <w:r w:rsidRPr="00B947D9">
        <w:rPr>
          <w:rFonts w:ascii="Times New Roman" w:hAnsi="Times New Roman"/>
          <w:color w:val="000000" w:themeColor="text1"/>
          <w:lang w:val="en-US"/>
        </w:rPr>
        <w:t xml:space="preserve">. The Netherlands, France, and Belgium have relatively the largest shares of </w:t>
      </w:r>
      <w:r w:rsidRPr="00B947D9">
        <w:rPr>
          <w:rFonts w:ascii="Times New Roman" w:hAnsi="Times New Roman"/>
          <w:i/>
          <w:iCs/>
          <w:color w:val="000000" w:themeColor="text1"/>
          <w:lang w:val="en-US"/>
        </w:rPr>
        <w:t>Bonds</w:t>
      </w:r>
      <w:r w:rsidRPr="00B947D9">
        <w:rPr>
          <w:rFonts w:ascii="Times New Roman" w:hAnsi="Times New Roman"/>
          <w:color w:val="000000" w:themeColor="text1"/>
          <w:lang w:val="en-US"/>
        </w:rPr>
        <w:t xml:space="preserve"> across all waves.</w:t>
      </w:r>
    </w:p>
    <w:p w14:paraId="36BA8751" w14:textId="618B8049" w:rsidR="009E17BB" w:rsidRPr="00B947D9" w:rsidRDefault="009E17BB" w:rsidP="00A03841">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w:t>
      </w:r>
      <w:r w:rsidR="00A03841" w:rsidRPr="00B947D9">
        <w:rPr>
          <w:rFonts w:ascii="Times New Roman" w:hAnsi="Times New Roman"/>
          <w:b/>
          <w:bCs/>
          <w:color w:val="000000" w:themeColor="text1"/>
          <w:lang w:val="en-US"/>
        </w:rPr>
        <w:t>11</w:t>
      </w:r>
      <w:r w:rsidRPr="00B947D9">
        <w:rPr>
          <w:rFonts w:ascii="Times New Roman" w:hAnsi="Times New Roman"/>
          <w:b/>
          <w:bCs/>
          <w:color w:val="000000" w:themeColor="text1"/>
          <w:lang w:val="en-US"/>
        </w:rPr>
        <w:t>.</w:t>
      </w:r>
      <w:r w:rsidRPr="00B947D9">
        <w:rPr>
          <w:rFonts w:ascii="Times New Roman" w:hAnsi="Times New Roman"/>
          <w:color w:val="000000" w:themeColor="text1"/>
          <w:lang w:val="en-US"/>
        </w:rPr>
        <w:t xml:space="preserve"> </w:t>
      </w:r>
      <w:r w:rsidR="00A03841" w:rsidRPr="00B947D9">
        <w:rPr>
          <w:rFonts w:ascii="Times New Roman" w:hAnsi="Times New Roman"/>
          <w:i/>
          <w:iCs/>
          <w:color w:val="000000" w:themeColor="text1"/>
          <w:lang w:val="en-US"/>
        </w:rPr>
        <w:t>Housing</w:t>
      </w:r>
      <w:r w:rsidRPr="00B947D9">
        <w:rPr>
          <w:rFonts w:ascii="Times New Roman" w:hAnsi="Times New Roman"/>
          <w:color w:val="000000" w:themeColor="text1"/>
          <w:lang w:val="en-US"/>
        </w:rPr>
        <w:t xml:space="preserve"> per country</w:t>
      </w:r>
    </w:p>
    <w:p w14:paraId="2CE5ECEB" w14:textId="782BBBA4" w:rsidR="009E17BB" w:rsidRPr="00B947D9" w:rsidRDefault="00A03841" w:rsidP="00A03841">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40CA8C12" wp14:editId="7AC5CBAA">
            <wp:extent cx="5554980" cy="2545689"/>
            <wp:effectExtent l="0" t="0" r="7620" b="7620"/>
            <wp:docPr id="12" name="Chart 12">
              <a:extLst xmlns:a="http://schemas.openxmlformats.org/drawingml/2006/main">
                <a:ext uri="{FF2B5EF4-FFF2-40B4-BE49-F238E27FC236}">
                  <a16:creationId xmlns:a16="http://schemas.microsoft.com/office/drawing/2014/main" id="{822A8AB4-D2BF-324E-BD72-C15D43EE37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8E9D431" w14:textId="069C7F1A" w:rsidR="00A03841" w:rsidRPr="00B947D9" w:rsidRDefault="00A03841" w:rsidP="00A03841">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12.</w:t>
      </w:r>
      <w:r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Equity</w:t>
      </w:r>
      <w:r w:rsidRPr="00B947D9">
        <w:rPr>
          <w:rFonts w:ascii="Times New Roman" w:hAnsi="Times New Roman"/>
          <w:color w:val="000000" w:themeColor="text1"/>
          <w:lang w:val="en-US"/>
        </w:rPr>
        <w:t xml:space="preserve"> per country</w:t>
      </w:r>
    </w:p>
    <w:p w14:paraId="0BBEB995" w14:textId="63F5789D" w:rsidR="009E17BB" w:rsidRPr="00B947D9" w:rsidRDefault="00A03841" w:rsidP="00A03841">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5B2110A0" wp14:editId="2F869306">
            <wp:extent cx="5633720" cy="2106778"/>
            <wp:effectExtent l="0" t="0" r="5080" b="8255"/>
            <wp:docPr id="16" name="Chart 16">
              <a:extLst xmlns:a="http://schemas.openxmlformats.org/drawingml/2006/main">
                <a:ext uri="{FF2B5EF4-FFF2-40B4-BE49-F238E27FC236}">
                  <a16:creationId xmlns:a16="http://schemas.microsoft.com/office/drawing/2014/main" id="{ACF65B9C-140C-A345-BC04-F2FC89C98B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F68EFF8" w14:textId="363274ED" w:rsidR="00A03841" w:rsidRPr="00B947D9" w:rsidRDefault="00A03841" w:rsidP="00A03841">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13.</w:t>
      </w:r>
      <w:r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Bonds</w:t>
      </w:r>
      <w:r w:rsidRPr="00B947D9">
        <w:rPr>
          <w:rFonts w:ascii="Times New Roman" w:hAnsi="Times New Roman"/>
          <w:color w:val="000000" w:themeColor="text1"/>
          <w:lang w:val="en-US"/>
        </w:rPr>
        <w:t xml:space="preserve"> per country</w:t>
      </w:r>
    </w:p>
    <w:p w14:paraId="19819C1F" w14:textId="79FD297D" w:rsidR="00BD5FB8" w:rsidRPr="00B947D9" w:rsidRDefault="00A03841" w:rsidP="00772BF1">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0BEFD1E7" wp14:editId="1DB1B1FB">
            <wp:extent cx="5731510" cy="2165299"/>
            <wp:effectExtent l="0" t="0" r="2540" b="6985"/>
            <wp:docPr id="15" name="Chart 15">
              <a:extLst xmlns:a="http://schemas.openxmlformats.org/drawingml/2006/main">
                <a:ext uri="{FF2B5EF4-FFF2-40B4-BE49-F238E27FC236}">
                  <a16:creationId xmlns:a16="http://schemas.microsoft.com/office/drawing/2014/main" id="{898DE47B-5A86-4E46-BFF4-57BF76DB99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CF5188E" w14:textId="6FC84C2E" w:rsidR="006A696D" w:rsidRPr="00B947D9" w:rsidRDefault="00772BF1" w:rsidP="006A696D">
      <w:pPr>
        <w:pStyle w:val="Heading1"/>
        <w:spacing w:line="480" w:lineRule="auto"/>
        <w:jc w:val="both"/>
        <w:rPr>
          <w:rFonts w:ascii="Times New Roman" w:hAnsi="Times New Roman" w:cs="Times New Roman"/>
          <w:color w:val="000000" w:themeColor="text1"/>
          <w:sz w:val="24"/>
          <w:szCs w:val="24"/>
          <w:lang w:val="en-US"/>
        </w:rPr>
      </w:pPr>
      <w:r w:rsidRPr="00B947D9">
        <w:rPr>
          <w:rFonts w:ascii="Times New Roman" w:hAnsi="Times New Roman" w:cs="Times New Roman"/>
          <w:color w:val="000000" w:themeColor="text1"/>
          <w:sz w:val="24"/>
          <w:szCs w:val="24"/>
          <w:lang w:val="en-US"/>
        </w:rPr>
        <w:t>3</w:t>
      </w:r>
      <w:r w:rsidR="008A066A" w:rsidRPr="00B947D9">
        <w:rPr>
          <w:rFonts w:ascii="Times New Roman" w:hAnsi="Times New Roman" w:cs="Times New Roman"/>
          <w:color w:val="000000" w:themeColor="text1"/>
          <w:sz w:val="24"/>
          <w:szCs w:val="24"/>
          <w:lang w:val="en-US"/>
        </w:rPr>
        <w:t xml:space="preserve">. </w:t>
      </w:r>
      <w:r w:rsidR="006A696D" w:rsidRPr="00B947D9">
        <w:rPr>
          <w:rFonts w:ascii="Times New Roman" w:hAnsi="Times New Roman" w:cs="Times New Roman"/>
          <w:color w:val="000000" w:themeColor="text1"/>
          <w:sz w:val="24"/>
          <w:szCs w:val="24"/>
          <w:lang w:val="en-US"/>
        </w:rPr>
        <w:t>The effects of unconventional monetary policy on wealth inequality</w:t>
      </w:r>
    </w:p>
    <w:p w14:paraId="342B87D0" w14:textId="39828087" w:rsidR="008A066A" w:rsidRPr="00B947D9" w:rsidRDefault="00772BF1" w:rsidP="005A00F8">
      <w:pPr>
        <w:pStyle w:val="Heading2"/>
        <w:spacing w:line="480" w:lineRule="auto"/>
        <w:rPr>
          <w:rFonts w:ascii="Times New Roman" w:hAnsi="Times New Roman"/>
          <w:i w:val="0"/>
          <w:iCs w:val="0"/>
          <w:color w:val="000000" w:themeColor="text1"/>
          <w:sz w:val="24"/>
          <w:szCs w:val="24"/>
        </w:rPr>
      </w:pPr>
      <w:r w:rsidRPr="00B947D9">
        <w:rPr>
          <w:rFonts w:ascii="Times New Roman" w:hAnsi="Times New Roman"/>
          <w:i w:val="0"/>
          <w:iCs w:val="0"/>
          <w:color w:val="000000" w:themeColor="text1"/>
          <w:sz w:val="24"/>
          <w:szCs w:val="24"/>
        </w:rPr>
        <w:t>3</w:t>
      </w:r>
      <w:r w:rsidR="006A696D" w:rsidRPr="00B947D9">
        <w:rPr>
          <w:rFonts w:ascii="Times New Roman" w:hAnsi="Times New Roman"/>
          <w:i w:val="0"/>
          <w:iCs w:val="0"/>
          <w:color w:val="000000" w:themeColor="text1"/>
          <w:sz w:val="24"/>
          <w:szCs w:val="24"/>
        </w:rPr>
        <w:t xml:space="preserve">.1. </w:t>
      </w:r>
      <w:r w:rsidR="00910128" w:rsidRPr="00B947D9">
        <w:rPr>
          <w:rFonts w:ascii="Times New Roman" w:hAnsi="Times New Roman"/>
          <w:i w:val="0"/>
          <w:iCs w:val="0"/>
          <w:color w:val="000000" w:themeColor="text1"/>
          <w:sz w:val="24"/>
          <w:szCs w:val="24"/>
        </w:rPr>
        <w:t>Empirical m</w:t>
      </w:r>
      <w:r w:rsidR="008A066A" w:rsidRPr="00B947D9">
        <w:rPr>
          <w:rFonts w:ascii="Times New Roman" w:hAnsi="Times New Roman"/>
          <w:i w:val="0"/>
          <w:iCs w:val="0"/>
          <w:color w:val="000000" w:themeColor="text1"/>
          <w:sz w:val="24"/>
          <w:szCs w:val="24"/>
        </w:rPr>
        <w:t>ethodology</w:t>
      </w:r>
    </w:p>
    <w:p w14:paraId="32C6B457" w14:textId="236A8627" w:rsidR="00FB3171" w:rsidRPr="00B947D9" w:rsidRDefault="00FB3171" w:rsidP="00FB3171">
      <w:pPr>
        <w:pStyle w:val="Heading3"/>
        <w:spacing w:line="480" w:lineRule="auto"/>
        <w:jc w:val="both"/>
        <w:rPr>
          <w:rFonts w:ascii="Times New Roman" w:hAnsi="Times New Roman"/>
          <w:i/>
          <w:iCs/>
          <w:color w:val="000000" w:themeColor="text1"/>
          <w:sz w:val="24"/>
          <w:szCs w:val="24"/>
        </w:rPr>
      </w:pPr>
      <w:r w:rsidRPr="00B947D9">
        <w:rPr>
          <w:rFonts w:ascii="Times New Roman" w:hAnsi="Times New Roman"/>
          <w:i/>
          <w:iCs/>
          <w:color w:val="000000" w:themeColor="text1"/>
          <w:sz w:val="24"/>
          <w:szCs w:val="24"/>
        </w:rPr>
        <w:t>Measuring wealth inequality</w:t>
      </w:r>
    </w:p>
    <w:p w14:paraId="0C012FEC" w14:textId="5D3D4EC8" w:rsidR="00FB3171" w:rsidRPr="00B947D9" w:rsidRDefault="00FB3171" w:rsidP="00FB3171">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OECD (2018) demonstrates that wealth concentration is twice</w:t>
      </w:r>
      <w:r w:rsidR="00E30BDF">
        <w:rPr>
          <w:rFonts w:ascii="Times New Roman" w:hAnsi="Times New Roman"/>
          <w:color w:val="000000" w:themeColor="text1"/>
          <w:lang w:val="en-US"/>
        </w:rPr>
        <w:t xml:space="preserve"> higher than</w:t>
      </w:r>
      <w:r w:rsidRPr="00B947D9">
        <w:rPr>
          <w:rFonts w:ascii="Times New Roman" w:hAnsi="Times New Roman"/>
          <w:color w:val="000000" w:themeColor="text1"/>
          <w:lang w:val="en-US"/>
        </w:rPr>
        <w:t xml:space="preserve"> the level of income inequality across countries, with wealth inequality demonstrating an increasing trend over the last decades (Alvaredo et al., 2018b). The indicators predominantly used for measuring income inequality are the Gini coefficient and several other inter-quintile ratios, such as the S80/S20 or the P90/P10. However, Cowell et al. (2017) suggest that these indicators are not appropria</w:t>
      </w:r>
      <w:r w:rsidR="00E30BDF">
        <w:rPr>
          <w:rFonts w:ascii="Times New Roman" w:hAnsi="Times New Roman"/>
          <w:color w:val="000000" w:themeColor="text1"/>
          <w:lang w:val="en-US"/>
        </w:rPr>
        <w:t>te</w:t>
      </w:r>
      <w:r w:rsidRPr="00B947D9">
        <w:rPr>
          <w:rFonts w:ascii="Times New Roman" w:hAnsi="Times New Roman"/>
          <w:color w:val="000000" w:themeColor="text1"/>
          <w:lang w:val="en-US"/>
        </w:rPr>
        <w:t xml:space="preserve"> for measuring wealth inequality, </w:t>
      </w:r>
      <w:r w:rsidR="00E30BDF" w:rsidRPr="00B947D9">
        <w:rPr>
          <w:rFonts w:ascii="Times New Roman" w:hAnsi="Times New Roman"/>
          <w:color w:val="000000" w:themeColor="text1"/>
          <w:lang w:val="en-US"/>
        </w:rPr>
        <w:t>because</w:t>
      </w:r>
      <w:r w:rsidRPr="00B947D9">
        <w:rPr>
          <w:rFonts w:ascii="Times New Roman" w:hAnsi="Times New Roman"/>
          <w:color w:val="000000" w:themeColor="text1"/>
          <w:lang w:val="en-US"/>
        </w:rPr>
        <w:t xml:space="preserve"> many households hold negative net wealth. An alternative approach is to add households with negative wealth on the Gini coefficient or estimate the ratio between mean and median net wealth (median-to-mean ratio), on the premise that the median net wealth effectively represents the “typical” household. Under the latter measure, larger differences between mean and median wealth reflect higher levels of wealth inequality. </w:t>
      </w:r>
    </w:p>
    <w:p w14:paraId="24981AB2" w14:textId="492C9BBB" w:rsidR="00FB3171" w:rsidRPr="00B947D9" w:rsidRDefault="00FB3171" w:rsidP="00FB3171">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Ideally, the best way to measure wealth inequality is to use tax administrative data on wealth. Nonetheless, few countries have population-wide data on all forms of wealth, namely Norway, Denmark, Sweden, France, and Spain. Jakobsen et al. (2018) using administrative data from Denmark, construct comprehensive estimates of the wealth distribution. Similarly, Martinez-Toledano (2017) estimate concentration at the top of the wealth distribution for Spain. For our analysis, </w:t>
      </w:r>
      <w:r w:rsidR="00FC6F5E">
        <w:rPr>
          <w:rFonts w:ascii="Times New Roman" w:hAnsi="Times New Roman"/>
          <w:color w:val="000000" w:themeColor="text1"/>
          <w:lang w:val="en-US"/>
        </w:rPr>
        <w:t xml:space="preserve">and </w:t>
      </w:r>
      <w:r w:rsidRPr="00B947D9">
        <w:rPr>
          <w:rFonts w:ascii="Times New Roman" w:hAnsi="Times New Roman"/>
          <w:color w:val="000000" w:themeColor="text1"/>
          <w:lang w:val="en-US"/>
        </w:rPr>
        <w:t>since we do not have access to administrative data, we use survey data on household wealth</w:t>
      </w:r>
      <w:r w:rsidR="00FC6F5E">
        <w:rPr>
          <w:rFonts w:ascii="Times New Roman" w:hAnsi="Times New Roman"/>
          <w:color w:val="000000" w:themeColor="text1"/>
          <w:lang w:val="en-US"/>
        </w:rPr>
        <w:t xml:space="preserve"> from the HFCS as discussed in section 2.</w:t>
      </w:r>
    </w:p>
    <w:p w14:paraId="7A44EDB6" w14:textId="19035FF5" w:rsidR="00FB3171" w:rsidRPr="00B947D9" w:rsidRDefault="00FB3171" w:rsidP="00FB3171">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Other papers use data on inheritance and tax returns and develop estimates for wealth distribution</w:t>
      </w:r>
      <w:r w:rsidR="000F58A4">
        <w:rPr>
          <w:rFonts w:ascii="Times New Roman" w:hAnsi="Times New Roman"/>
          <w:color w:val="000000" w:themeColor="text1"/>
          <w:lang w:val="en-US"/>
        </w:rPr>
        <w:t>s</w:t>
      </w:r>
      <w:r w:rsidRPr="00B947D9">
        <w:rPr>
          <w:rFonts w:ascii="Times New Roman" w:hAnsi="Times New Roman"/>
          <w:color w:val="000000" w:themeColor="text1"/>
          <w:lang w:val="en-US"/>
        </w:rPr>
        <w:t xml:space="preserve"> (see Alvaredo et al., 2018a; Kopczuk and Saez, 2004). The fact that many countries implement taxes on wealth and inheritances is the main advantage of this latter method, which allows to create long-run series on wealth. Also, </w:t>
      </w:r>
      <w:r w:rsidR="000F58A4">
        <w:rPr>
          <w:rFonts w:ascii="Times New Roman" w:hAnsi="Times New Roman"/>
          <w:color w:val="000000" w:themeColor="text1"/>
          <w:lang w:val="en-US"/>
        </w:rPr>
        <w:t>another possibility could be to</w:t>
      </w:r>
      <w:r w:rsidRPr="00B947D9">
        <w:rPr>
          <w:rFonts w:ascii="Times New Roman" w:hAnsi="Times New Roman"/>
          <w:color w:val="000000" w:themeColor="text1"/>
          <w:lang w:val="en-US"/>
        </w:rPr>
        <w:t xml:space="preserve"> use capital income declared on tax returns. Saez and Zucman (2016), using th</w:t>
      </w:r>
      <w:r w:rsidR="000F58A4">
        <w:rPr>
          <w:rFonts w:ascii="Times New Roman" w:hAnsi="Times New Roman"/>
          <w:color w:val="000000" w:themeColor="text1"/>
          <w:lang w:val="en-US"/>
        </w:rPr>
        <w:t>e latter</w:t>
      </w:r>
      <w:r w:rsidRPr="00B947D9">
        <w:rPr>
          <w:rFonts w:ascii="Times New Roman" w:hAnsi="Times New Roman"/>
          <w:color w:val="000000" w:themeColor="text1"/>
          <w:lang w:val="en-US"/>
        </w:rPr>
        <w:t xml:space="preserve"> technique, estimate the annual US wealth distribution from 1913 onwards. Similarly, Orthofer (2016) provides estimates on wealth distribution for South Africa. It is important to note, however, that tax is never imposed on all types of wealth, thus this technique provides only rough estimates of wealth inequality.</w:t>
      </w:r>
    </w:p>
    <w:p w14:paraId="41605129" w14:textId="47743530" w:rsidR="00FB3171" w:rsidRPr="00B947D9" w:rsidRDefault="00FB3171" w:rsidP="00FB3171">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Because a substantial part of our analysis aims at understanding how unconventional momentary policy measures differentially affect assets of various nature, we focus on estimating the wealth distributions per country and we examine how households at different parts of the wealth distribution are affected. </w:t>
      </w:r>
      <w:r w:rsidR="0066039A">
        <w:rPr>
          <w:rFonts w:ascii="Times New Roman" w:hAnsi="Times New Roman"/>
          <w:color w:val="000000" w:themeColor="text1"/>
          <w:lang w:val="en-US"/>
        </w:rPr>
        <w:t>Wealth is</w:t>
      </w:r>
      <w:r w:rsidR="006510E3" w:rsidRPr="00B947D9">
        <w:rPr>
          <w:rFonts w:ascii="Times New Roman" w:hAnsi="Times New Roman"/>
          <w:color w:val="000000" w:themeColor="text1"/>
          <w:lang w:val="en-US"/>
        </w:rPr>
        <w:t xml:space="preserve"> estimated as the sum</w:t>
      </w:r>
      <w:r w:rsidR="00B477C2" w:rsidRPr="00B947D9">
        <w:rPr>
          <w:rFonts w:ascii="Times New Roman" w:hAnsi="Times New Roman"/>
          <w:color w:val="000000" w:themeColor="text1"/>
          <w:lang w:val="en-US"/>
        </w:rPr>
        <w:t xml:space="preserve"> </w:t>
      </w:r>
      <w:r w:rsidR="006510E3" w:rsidRPr="00B947D9">
        <w:rPr>
          <w:rFonts w:ascii="Times New Roman" w:hAnsi="Times New Roman"/>
          <w:color w:val="000000" w:themeColor="text1"/>
          <w:lang w:val="en-US"/>
        </w:rPr>
        <w:t>of</w:t>
      </w:r>
      <w:r w:rsidR="00B477C2" w:rsidRPr="00B947D9">
        <w:rPr>
          <w:rFonts w:ascii="Times New Roman" w:hAnsi="Times New Roman"/>
          <w:color w:val="000000" w:themeColor="text1"/>
          <w:lang w:val="en-US"/>
        </w:rPr>
        <w:t xml:space="preserve"> the different assets, allowing us to “shock” each asset</w:t>
      </w:r>
      <w:r w:rsidR="0066039A">
        <w:rPr>
          <w:rFonts w:ascii="Times New Roman" w:hAnsi="Times New Roman"/>
          <w:color w:val="000000" w:themeColor="text1"/>
          <w:lang w:val="en-US"/>
        </w:rPr>
        <w:t xml:space="preserve"> at a different level,</w:t>
      </w:r>
      <w:r w:rsidR="00B477C2" w:rsidRPr="00B947D9">
        <w:rPr>
          <w:rFonts w:ascii="Times New Roman" w:hAnsi="Times New Roman"/>
          <w:color w:val="000000" w:themeColor="text1"/>
          <w:lang w:val="en-US"/>
        </w:rPr>
        <w:t xml:space="preserve"> </w:t>
      </w:r>
      <w:r w:rsidR="006510E3" w:rsidRPr="00B947D9">
        <w:rPr>
          <w:rFonts w:ascii="Times New Roman" w:hAnsi="Times New Roman"/>
          <w:color w:val="000000" w:themeColor="text1"/>
          <w:lang w:val="en-US"/>
        </w:rPr>
        <w:t xml:space="preserve">following a monetary policy shock. </w:t>
      </w:r>
      <w:r w:rsidRPr="00B947D9">
        <w:rPr>
          <w:rFonts w:ascii="Times New Roman" w:hAnsi="Times New Roman"/>
          <w:color w:val="000000" w:themeColor="text1"/>
          <w:lang w:val="en-US"/>
        </w:rPr>
        <w:t>We also include indebted households (households with negative wealth). We believe that this decomposition analysis provides clear indication on how unconventional monetary policy affects wealth inequality</w:t>
      </w:r>
      <w:r w:rsidR="0066039A">
        <w:rPr>
          <w:rFonts w:ascii="Times New Roman" w:hAnsi="Times New Roman"/>
          <w:color w:val="000000" w:themeColor="text1"/>
          <w:lang w:val="en-US"/>
        </w:rPr>
        <w:t xml:space="preserve"> through the differential asset effect</w:t>
      </w:r>
      <w:r w:rsidRPr="00B947D9">
        <w:rPr>
          <w:rFonts w:ascii="Times New Roman" w:hAnsi="Times New Roman"/>
          <w:color w:val="000000" w:themeColor="text1"/>
          <w:lang w:val="en-US"/>
        </w:rPr>
        <w:t>.</w:t>
      </w:r>
    </w:p>
    <w:p w14:paraId="08177ED0" w14:textId="1DDA1D41" w:rsidR="00FB3171" w:rsidRPr="00B947D9" w:rsidRDefault="00FB3171" w:rsidP="00FB3171">
      <w:pPr>
        <w:pStyle w:val="Heading3"/>
        <w:spacing w:line="480" w:lineRule="auto"/>
        <w:rPr>
          <w:rFonts w:ascii="Times New Roman" w:hAnsi="Times New Roman"/>
          <w:i/>
          <w:iCs/>
          <w:color w:val="000000" w:themeColor="text1"/>
          <w:sz w:val="24"/>
          <w:szCs w:val="24"/>
          <w:lang w:val="en-US"/>
        </w:rPr>
      </w:pPr>
      <w:r w:rsidRPr="00B947D9">
        <w:rPr>
          <w:rFonts w:ascii="Times New Roman" w:hAnsi="Times New Roman"/>
          <w:i/>
          <w:iCs/>
          <w:color w:val="000000" w:themeColor="text1"/>
          <w:sz w:val="24"/>
          <w:szCs w:val="24"/>
          <w:lang w:val="en-US"/>
        </w:rPr>
        <w:t>Identifying monetary policy shocks</w:t>
      </w:r>
    </w:p>
    <w:p w14:paraId="318F71C9" w14:textId="701FE275" w:rsidR="005A00F8" w:rsidRPr="00B947D9" w:rsidRDefault="00D14E6C" w:rsidP="00FB3171">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We identify</w:t>
      </w:r>
      <w:r w:rsidR="005A00F8" w:rsidRPr="00B947D9">
        <w:rPr>
          <w:rFonts w:ascii="Times New Roman" w:hAnsi="Times New Roman"/>
          <w:color w:val="000000" w:themeColor="text1"/>
          <w:lang w:val="en-US"/>
        </w:rPr>
        <w:t xml:space="preserve"> two main challenges. First,</w:t>
      </w:r>
      <w:r w:rsidRPr="00B947D9">
        <w:rPr>
          <w:rFonts w:ascii="Times New Roman" w:hAnsi="Times New Roman"/>
          <w:color w:val="000000" w:themeColor="text1"/>
          <w:lang w:val="en-US"/>
        </w:rPr>
        <w:t xml:space="preserve"> as described in Section 3</w:t>
      </w:r>
      <w:r w:rsidR="005A00F8" w:rsidRPr="00B947D9">
        <w:rPr>
          <w:rFonts w:ascii="Times New Roman" w:hAnsi="Times New Roman"/>
          <w:color w:val="000000" w:themeColor="text1"/>
          <w:lang w:val="en-US"/>
        </w:rPr>
        <w:t xml:space="preserve"> the measurement of </w:t>
      </w:r>
      <w:r w:rsidRPr="00B947D9">
        <w:rPr>
          <w:rFonts w:ascii="Times New Roman" w:hAnsi="Times New Roman"/>
          <w:color w:val="000000" w:themeColor="text1"/>
          <w:lang w:val="en-US"/>
        </w:rPr>
        <w:t>household</w:t>
      </w:r>
      <w:r w:rsidR="005A00F8" w:rsidRPr="00B947D9">
        <w:rPr>
          <w:rFonts w:ascii="Times New Roman" w:hAnsi="Times New Roman"/>
          <w:color w:val="000000" w:themeColor="text1"/>
          <w:lang w:val="en-US"/>
        </w:rPr>
        <w:t xml:space="preserve"> wealth is </w:t>
      </w:r>
      <w:r w:rsidRPr="00B947D9">
        <w:rPr>
          <w:rFonts w:ascii="Times New Roman" w:hAnsi="Times New Roman"/>
          <w:color w:val="000000" w:themeColor="text1"/>
          <w:lang w:val="en-US"/>
        </w:rPr>
        <w:t xml:space="preserve">complex and there is a scarcity of wealth data on household level measured at high frequency. Second, it is equally difficult to identify </w:t>
      </w:r>
      <w:r w:rsidR="005A00F8" w:rsidRPr="00B947D9">
        <w:rPr>
          <w:rFonts w:ascii="Times New Roman" w:hAnsi="Times New Roman"/>
          <w:color w:val="000000" w:themeColor="text1"/>
          <w:lang w:val="en-US"/>
        </w:rPr>
        <w:t>the effects of</w:t>
      </w:r>
      <w:r w:rsidRPr="00B947D9">
        <w:rPr>
          <w:rFonts w:ascii="Times New Roman" w:hAnsi="Times New Roman"/>
          <w:color w:val="000000" w:themeColor="text1"/>
          <w:lang w:val="en-US"/>
        </w:rPr>
        <w:t xml:space="preserve"> unconventional</w:t>
      </w:r>
      <w:r w:rsidR="005A00F8" w:rsidRPr="00B947D9">
        <w:rPr>
          <w:rFonts w:ascii="Times New Roman" w:hAnsi="Times New Roman"/>
          <w:color w:val="000000" w:themeColor="text1"/>
          <w:lang w:val="en-US"/>
        </w:rPr>
        <w:t xml:space="preserve"> monetary policy</w:t>
      </w:r>
      <w:r w:rsidR="004A1AD4" w:rsidRPr="00B947D9">
        <w:rPr>
          <w:rFonts w:ascii="Times New Roman" w:hAnsi="Times New Roman"/>
          <w:color w:val="000000" w:themeColor="text1"/>
          <w:lang w:val="en-US"/>
        </w:rPr>
        <w:t xml:space="preserve"> on </w:t>
      </w:r>
      <w:r w:rsidRPr="00B947D9">
        <w:rPr>
          <w:rFonts w:ascii="Times New Roman" w:hAnsi="Times New Roman"/>
          <w:color w:val="000000" w:themeColor="text1"/>
          <w:lang w:val="en-US"/>
        </w:rPr>
        <w:t xml:space="preserve">the </w:t>
      </w:r>
      <w:r w:rsidR="004A1AD4" w:rsidRPr="00B947D9">
        <w:rPr>
          <w:rFonts w:ascii="Times New Roman" w:hAnsi="Times New Roman"/>
          <w:color w:val="000000" w:themeColor="text1"/>
          <w:lang w:val="en-US"/>
        </w:rPr>
        <w:t xml:space="preserve">prices of the </w:t>
      </w:r>
      <w:r w:rsidRPr="00B947D9">
        <w:rPr>
          <w:rFonts w:ascii="Times New Roman" w:hAnsi="Times New Roman"/>
          <w:color w:val="000000" w:themeColor="text1"/>
          <w:lang w:val="en-US"/>
        </w:rPr>
        <w:t>different assets constituting overall household wealth</w:t>
      </w:r>
      <w:r w:rsidR="00E04F30" w:rsidRPr="00B947D9">
        <w:rPr>
          <w:rFonts w:ascii="Times New Roman" w:hAnsi="Times New Roman"/>
          <w:color w:val="000000" w:themeColor="text1"/>
          <w:lang w:val="en-US"/>
        </w:rPr>
        <w:t>.</w:t>
      </w:r>
      <w:r w:rsidR="0055676D" w:rsidRPr="00B947D9">
        <w:rPr>
          <w:rFonts w:ascii="Times New Roman" w:hAnsi="Times New Roman"/>
          <w:color w:val="000000" w:themeColor="text1"/>
          <w:lang w:val="en-US"/>
        </w:rPr>
        <w:t xml:space="preserve"> Bernanke (2012) discusses how the main effect of unconventional monetary policies is the </w:t>
      </w:r>
      <w:r w:rsidR="00910128" w:rsidRPr="00B947D9">
        <w:rPr>
          <w:rFonts w:ascii="Times New Roman" w:hAnsi="Times New Roman"/>
          <w:color w:val="000000" w:themeColor="text1"/>
          <w:lang w:val="en-US"/>
        </w:rPr>
        <w:t>restructuring</w:t>
      </w:r>
      <w:r w:rsidR="0055676D" w:rsidRPr="00B947D9">
        <w:rPr>
          <w:rFonts w:ascii="Times New Roman" w:hAnsi="Times New Roman"/>
          <w:color w:val="000000" w:themeColor="text1"/>
          <w:lang w:val="en-US"/>
        </w:rPr>
        <w:t xml:space="preserve"> of asset </w:t>
      </w:r>
      <w:r w:rsidR="00EB6C67" w:rsidRPr="00B947D9">
        <w:rPr>
          <w:rFonts w:ascii="Times New Roman" w:hAnsi="Times New Roman"/>
          <w:color w:val="000000" w:themeColor="text1"/>
          <w:lang w:val="en-US"/>
        </w:rPr>
        <w:t>portfolios since</w:t>
      </w:r>
      <w:r w:rsidR="0055676D" w:rsidRPr="00B947D9">
        <w:rPr>
          <w:rFonts w:ascii="Times New Roman" w:hAnsi="Times New Roman"/>
          <w:color w:val="000000" w:themeColor="text1"/>
          <w:lang w:val="en-US"/>
        </w:rPr>
        <w:t xml:space="preserve"> </w:t>
      </w:r>
      <w:r w:rsidR="00EB6C67" w:rsidRPr="00B947D9">
        <w:rPr>
          <w:rFonts w:ascii="Times New Roman" w:hAnsi="Times New Roman"/>
          <w:color w:val="000000" w:themeColor="text1"/>
          <w:lang w:val="en-US"/>
        </w:rPr>
        <w:t>they</w:t>
      </w:r>
      <w:r w:rsidR="0055676D" w:rsidRPr="00B947D9">
        <w:rPr>
          <w:rFonts w:ascii="Times New Roman" w:hAnsi="Times New Roman"/>
          <w:color w:val="000000" w:themeColor="text1"/>
          <w:lang w:val="en-US"/>
        </w:rPr>
        <w:t xml:space="preserve"> directly target the price of risky assets.</w:t>
      </w:r>
      <w:r w:rsidR="00910128" w:rsidRPr="00B947D9">
        <w:rPr>
          <w:rFonts w:ascii="Times New Roman" w:hAnsi="Times New Roman"/>
          <w:color w:val="000000" w:themeColor="text1"/>
          <w:lang w:val="en-US"/>
        </w:rPr>
        <w:t xml:space="preserve"> To answer our question on how unconventional monetary policy measure affect wealth inequality in the Eurozone we follow 3 steps: (a) We identify the shocks in the main unconventional monetary policy tools, (b) we simulate these shocks</w:t>
      </w:r>
      <w:r w:rsidR="00105A7D">
        <w:rPr>
          <w:rFonts w:ascii="Times New Roman" w:hAnsi="Times New Roman"/>
          <w:color w:val="000000" w:themeColor="text1"/>
          <w:lang w:val="en-US"/>
        </w:rPr>
        <w:t xml:space="preserve"> to</w:t>
      </w:r>
      <w:r w:rsidR="00910128" w:rsidRPr="00B947D9">
        <w:rPr>
          <w:rFonts w:ascii="Times New Roman" w:hAnsi="Times New Roman"/>
          <w:color w:val="000000" w:themeColor="text1"/>
          <w:lang w:val="en-US"/>
        </w:rPr>
        <w:t xml:space="preserve"> the second wave HFCS asset data for the year 2014, (c) we </w:t>
      </w:r>
      <w:r w:rsidR="00105A7D">
        <w:rPr>
          <w:rFonts w:ascii="Times New Roman" w:hAnsi="Times New Roman"/>
          <w:color w:val="000000" w:themeColor="text1"/>
          <w:lang w:val="en-US"/>
        </w:rPr>
        <w:t>discuss</w:t>
      </w:r>
      <w:r w:rsidR="00910128" w:rsidRPr="00B947D9">
        <w:rPr>
          <w:rFonts w:ascii="Times New Roman" w:hAnsi="Times New Roman"/>
          <w:color w:val="000000" w:themeColor="text1"/>
          <w:lang w:val="en-US"/>
        </w:rPr>
        <w:t xml:space="preserve"> </w:t>
      </w:r>
      <w:r w:rsidR="00105A7D">
        <w:rPr>
          <w:rFonts w:ascii="Times New Roman" w:hAnsi="Times New Roman"/>
          <w:color w:val="000000" w:themeColor="text1"/>
          <w:lang w:val="en-US"/>
        </w:rPr>
        <w:t>what these</w:t>
      </w:r>
      <w:r w:rsidR="00910128" w:rsidRPr="00B947D9">
        <w:rPr>
          <w:rFonts w:ascii="Times New Roman" w:hAnsi="Times New Roman"/>
          <w:color w:val="000000" w:themeColor="text1"/>
          <w:lang w:val="en-US"/>
        </w:rPr>
        <w:t xml:space="preserve"> simulat</w:t>
      </w:r>
      <w:r w:rsidR="00105A7D">
        <w:rPr>
          <w:rFonts w:ascii="Times New Roman" w:hAnsi="Times New Roman"/>
          <w:color w:val="000000" w:themeColor="text1"/>
          <w:lang w:val="en-US"/>
        </w:rPr>
        <w:t>ed wealth distributions suggest for the effect across household groups (low to high wealth)</w:t>
      </w:r>
      <w:r w:rsidR="00910128" w:rsidRPr="00B947D9">
        <w:rPr>
          <w:rFonts w:ascii="Times New Roman" w:hAnsi="Times New Roman"/>
          <w:color w:val="000000" w:themeColor="text1"/>
          <w:lang w:val="en-US"/>
        </w:rPr>
        <w:t>.</w:t>
      </w:r>
    </w:p>
    <w:p w14:paraId="4168FF67" w14:textId="7EE58655" w:rsidR="005F5DC6" w:rsidRPr="00B947D9" w:rsidRDefault="00910128" w:rsidP="005F5DC6">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ab/>
      </w:r>
      <w:r w:rsidR="00636B90" w:rsidRPr="00B947D9">
        <w:rPr>
          <w:rFonts w:ascii="Times New Roman" w:hAnsi="Times New Roman"/>
          <w:color w:val="000000" w:themeColor="text1"/>
          <w:lang w:val="en-US"/>
        </w:rPr>
        <w:t>In</w:t>
      </w:r>
      <w:r w:rsidRPr="00B947D9">
        <w:rPr>
          <w:rFonts w:ascii="Times New Roman" w:hAnsi="Times New Roman"/>
          <w:color w:val="000000" w:themeColor="text1"/>
          <w:lang w:val="en-US"/>
        </w:rPr>
        <w:t xml:space="preserve"> the first step of our analysis, we focus on the three main unconventional monetary policies, namely the negative deposit facility rate, the third covered bond purchase program</w:t>
      </w:r>
      <w:r w:rsidR="001F2CFB"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and the asset-backed securities purchase program.</w:t>
      </w:r>
      <w:r w:rsidR="001F2CFB" w:rsidRPr="00B947D9">
        <w:rPr>
          <w:rFonts w:ascii="Times New Roman" w:hAnsi="Times New Roman"/>
          <w:color w:val="000000" w:themeColor="text1"/>
          <w:lang w:val="en-US"/>
        </w:rPr>
        <w:t xml:space="preserve"> We</w:t>
      </w:r>
      <w:r w:rsidRPr="00B947D9">
        <w:rPr>
          <w:rFonts w:ascii="Times New Roman" w:hAnsi="Times New Roman"/>
          <w:color w:val="000000" w:themeColor="text1"/>
          <w:lang w:val="en-US"/>
        </w:rPr>
        <w:t xml:space="preserve"> </w:t>
      </w:r>
      <w:r w:rsidR="001F2CFB" w:rsidRPr="00B947D9">
        <w:rPr>
          <w:rFonts w:ascii="Times New Roman" w:hAnsi="Times New Roman"/>
          <w:color w:val="000000" w:themeColor="text1"/>
          <w:lang w:val="en-US"/>
        </w:rPr>
        <w:t>read</w:t>
      </w:r>
      <w:r w:rsidRPr="00B947D9">
        <w:rPr>
          <w:rFonts w:ascii="Times New Roman" w:hAnsi="Times New Roman"/>
          <w:color w:val="000000" w:themeColor="text1"/>
          <w:lang w:val="en-US"/>
        </w:rPr>
        <w:t xml:space="preserve"> the ECB press releases and Monetary Policy </w:t>
      </w:r>
      <w:r w:rsidR="00105A7D">
        <w:rPr>
          <w:rFonts w:ascii="Times New Roman" w:hAnsi="Times New Roman"/>
          <w:color w:val="000000" w:themeColor="text1"/>
          <w:lang w:val="en-US"/>
        </w:rPr>
        <w:t>statements</w:t>
      </w:r>
      <w:r w:rsidRPr="00B947D9">
        <w:rPr>
          <w:rFonts w:ascii="Times New Roman" w:hAnsi="Times New Roman"/>
          <w:color w:val="000000" w:themeColor="text1"/>
          <w:lang w:val="en-US"/>
        </w:rPr>
        <w:t xml:space="preserve"> to </w:t>
      </w:r>
      <w:r w:rsidR="001F2CFB" w:rsidRPr="00B947D9">
        <w:rPr>
          <w:rFonts w:ascii="Times New Roman" w:hAnsi="Times New Roman"/>
          <w:color w:val="000000" w:themeColor="text1"/>
          <w:lang w:val="en-US"/>
        </w:rPr>
        <w:t>obtain</w:t>
      </w:r>
      <w:r w:rsidRPr="00B947D9">
        <w:rPr>
          <w:rFonts w:ascii="Times New Roman" w:hAnsi="Times New Roman"/>
          <w:color w:val="000000" w:themeColor="text1"/>
          <w:lang w:val="en-US"/>
        </w:rPr>
        <w:t xml:space="preserve"> information </w:t>
      </w:r>
      <w:r w:rsidR="001F2CFB" w:rsidRPr="00B947D9">
        <w:rPr>
          <w:rFonts w:ascii="Times New Roman" w:hAnsi="Times New Roman"/>
          <w:color w:val="000000" w:themeColor="text1"/>
          <w:lang w:val="en-US"/>
        </w:rPr>
        <w:t>on</w:t>
      </w:r>
      <w:r w:rsidRPr="00B947D9">
        <w:rPr>
          <w:rFonts w:ascii="Times New Roman" w:hAnsi="Times New Roman"/>
          <w:color w:val="000000" w:themeColor="text1"/>
          <w:lang w:val="en-US"/>
        </w:rPr>
        <w:t xml:space="preserve"> the announcement and implementation dates of the</w:t>
      </w:r>
      <w:r w:rsidR="001F2CFB" w:rsidRPr="00B947D9">
        <w:rPr>
          <w:rFonts w:ascii="Times New Roman" w:hAnsi="Times New Roman"/>
          <w:color w:val="000000" w:themeColor="text1"/>
          <w:lang w:val="en-US"/>
        </w:rPr>
        <w:t xml:space="preserve"> examined</w:t>
      </w:r>
      <w:r w:rsidRPr="00B947D9">
        <w:rPr>
          <w:rFonts w:ascii="Times New Roman" w:hAnsi="Times New Roman"/>
          <w:color w:val="000000" w:themeColor="text1"/>
          <w:lang w:val="en-US"/>
        </w:rPr>
        <w:t xml:space="preserve"> </w:t>
      </w:r>
      <w:r w:rsidR="001F2CFB" w:rsidRPr="00B947D9">
        <w:rPr>
          <w:rFonts w:ascii="Times New Roman" w:hAnsi="Times New Roman"/>
          <w:color w:val="000000" w:themeColor="text1"/>
          <w:lang w:val="en-US"/>
        </w:rPr>
        <w:t>measures</w:t>
      </w:r>
      <w:r w:rsidRPr="00B947D9">
        <w:rPr>
          <w:rFonts w:ascii="Times New Roman" w:hAnsi="Times New Roman"/>
          <w:color w:val="000000" w:themeColor="text1"/>
          <w:lang w:val="en-US"/>
        </w:rPr>
        <w:t>.</w:t>
      </w:r>
      <w:r w:rsidR="001F2CFB" w:rsidRPr="00B947D9">
        <w:rPr>
          <w:rFonts w:ascii="Times New Roman" w:hAnsi="Times New Roman"/>
          <w:color w:val="000000" w:themeColor="text1"/>
          <w:lang w:val="en-US"/>
        </w:rPr>
        <w:t xml:space="preserve"> To capture the effect of those measures on the asset prices, firstly, we</w:t>
      </w:r>
      <w:r w:rsidRPr="00B947D9">
        <w:rPr>
          <w:rFonts w:ascii="Times New Roman" w:hAnsi="Times New Roman"/>
          <w:color w:val="000000" w:themeColor="text1"/>
          <w:lang w:val="en-US"/>
        </w:rPr>
        <w:t xml:space="preserve"> use the S&amp;P Eurozone Sovereign Bond Index to observe bond price movements around announcement and implementation dates. Th</w:t>
      </w:r>
      <w:r w:rsidR="001F2CFB" w:rsidRPr="00B947D9">
        <w:rPr>
          <w:rFonts w:ascii="Times New Roman" w:hAnsi="Times New Roman"/>
          <w:color w:val="000000" w:themeColor="text1"/>
          <w:lang w:val="en-US"/>
        </w:rPr>
        <w:t>e S&amp;P Eurozone Sovereign Bond Index</w:t>
      </w:r>
      <w:r w:rsidRPr="00B947D9">
        <w:rPr>
          <w:rFonts w:ascii="Times New Roman" w:hAnsi="Times New Roman"/>
          <w:color w:val="000000" w:themeColor="text1"/>
          <w:lang w:val="en-US"/>
        </w:rPr>
        <w:t xml:space="preserve"> is a comprehensive, market value-weighted index designed to trac</w:t>
      </w:r>
      <w:r w:rsidR="001F2CFB" w:rsidRPr="00B947D9">
        <w:rPr>
          <w:rFonts w:ascii="Times New Roman" w:hAnsi="Times New Roman"/>
          <w:color w:val="000000" w:themeColor="text1"/>
          <w:lang w:val="en-US"/>
        </w:rPr>
        <w:t>k</w:t>
      </w:r>
      <w:r w:rsidRPr="00B947D9">
        <w:rPr>
          <w:rFonts w:ascii="Times New Roman" w:hAnsi="Times New Roman"/>
          <w:color w:val="000000" w:themeColor="text1"/>
          <w:lang w:val="en-US"/>
        </w:rPr>
        <w:t xml:space="preserve"> the performance of local currency-denominated sovereign bonds publicly issued by Eurozone countries</w:t>
      </w:r>
      <w:r w:rsidR="00F00BD3" w:rsidRPr="00B947D9">
        <w:rPr>
          <w:rFonts w:ascii="Times New Roman" w:hAnsi="Times New Roman"/>
          <w:color w:val="000000" w:themeColor="text1"/>
          <w:lang w:val="en-US"/>
        </w:rPr>
        <w:t xml:space="preserve"> </w:t>
      </w:r>
      <w:r w:rsidR="007D4876" w:rsidRPr="00B947D9">
        <w:rPr>
          <w:rFonts w:ascii="Times New Roman" w:hAnsi="Times New Roman"/>
          <w:color w:val="000000" w:themeColor="text1"/>
          <w:lang w:val="en-US"/>
        </w:rPr>
        <w:t>daily</w:t>
      </w:r>
      <w:r w:rsidRPr="00B947D9">
        <w:rPr>
          <w:rFonts w:ascii="Times New Roman" w:hAnsi="Times New Roman"/>
          <w:color w:val="000000" w:themeColor="text1"/>
          <w:lang w:val="en-US"/>
        </w:rPr>
        <w:t xml:space="preserve">. </w:t>
      </w:r>
      <w:r w:rsidR="00F00BD3" w:rsidRPr="00B947D9">
        <w:rPr>
          <w:rFonts w:ascii="Times New Roman" w:hAnsi="Times New Roman"/>
          <w:color w:val="000000" w:themeColor="text1"/>
          <w:lang w:val="en-US"/>
        </w:rPr>
        <w:t>Similarly, for equity price movements we</w:t>
      </w:r>
      <w:r w:rsidRPr="00B947D9">
        <w:rPr>
          <w:rFonts w:ascii="Times New Roman" w:hAnsi="Times New Roman"/>
          <w:color w:val="000000" w:themeColor="text1"/>
          <w:lang w:val="en-US"/>
        </w:rPr>
        <w:t xml:space="preserve"> use the EURO STOXX 50 Index</w:t>
      </w:r>
      <w:r w:rsidR="00F00BD3" w:rsidRPr="00B947D9">
        <w:rPr>
          <w:rFonts w:ascii="Times New Roman" w:hAnsi="Times New Roman"/>
          <w:color w:val="000000" w:themeColor="text1"/>
          <w:lang w:val="en-US"/>
        </w:rPr>
        <w:t xml:space="preserve"> to observe equity prices </w:t>
      </w:r>
      <w:r w:rsidRPr="00B947D9">
        <w:rPr>
          <w:rFonts w:ascii="Times New Roman" w:hAnsi="Times New Roman"/>
          <w:color w:val="000000" w:themeColor="text1"/>
          <w:lang w:val="en-US"/>
        </w:rPr>
        <w:t xml:space="preserve">around </w:t>
      </w:r>
      <w:r w:rsidR="00F00BD3" w:rsidRPr="00B947D9">
        <w:rPr>
          <w:rFonts w:ascii="Times New Roman" w:hAnsi="Times New Roman"/>
          <w:color w:val="000000" w:themeColor="text1"/>
          <w:lang w:val="en-US"/>
        </w:rPr>
        <w:t>announcements</w:t>
      </w:r>
      <w:r w:rsidRPr="00B947D9">
        <w:rPr>
          <w:rFonts w:ascii="Times New Roman" w:hAnsi="Times New Roman"/>
          <w:color w:val="000000" w:themeColor="text1"/>
          <w:lang w:val="en-US"/>
        </w:rPr>
        <w:t xml:space="preserve">. Finally, </w:t>
      </w:r>
      <w:r w:rsidR="00F00BD3" w:rsidRPr="00B947D9">
        <w:rPr>
          <w:rFonts w:ascii="Times New Roman" w:hAnsi="Times New Roman"/>
          <w:color w:val="000000" w:themeColor="text1"/>
          <w:lang w:val="en-US"/>
        </w:rPr>
        <w:t>we</w:t>
      </w:r>
      <w:r w:rsidRPr="00B947D9">
        <w:rPr>
          <w:rFonts w:ascii="Times New Roman" w:hAnsi="Times New Roman"/>
          <w:color w:val="000000" w:themeColor="text1"/>
          <w:lang w:val="en-US"/>
        </w:rPr>
        <w:t xml:space="preserve"> use the </w:t>
      </w:r>
      <w:r w:rsidR="00F00BD3" w:rsidRPr="00B947D9">
        <w:rPr>
          <w:rFonts w:ascii="Times New Roman" w:hAnsi="Times New Roman"/>
          <w:color w:val="000000" w:themeColor="text1"/>
          <w:lang w:val="en-US"/>
        </w:rPr>
        <w:t xml:space="preserve">Eurostat </w:t>
      </w:r>
      <w:r w:rsidRPr="00B947D9">
        <w:rPr>
          <w:rFonts w:ascii="Times New Roman" w:hAnsi="Times New Roman"/>
          <w:color w:val="000000" w:themeColor="text1"/>
          <w:lang w:val="en-US"/>
        </w:rPr>
        <w:t>House Price Index</w:t>
      </w:r>
      <w:r w:rsidR="00F00BD3" w:rsidRPr="00B947D9">
        <w:rPr>
          <w:rFonts w:ascii="Times New Roman" w:hAnsi="Times New Roman"/>
          <w:color w:val="000000" w:themeColor="text1"/>
          <w:lang w:val="en-US"/>
        </w:rPr>
        <w:t xml:space="preserve"> for</w:t>
      </w:r>
      <w:r w:rsidRPr="00B947D9">
        <w:rPr>
          <w:rFonts w:ascii="Times New Roman" w:hAnsi="Times New Roman"/>
          <w:color w:val="000000" w:themeColor="text1"/>
          <w:lang w:val="en-US"/>
        </w:rPr>
        <w:t xml:space="preserve"> quarterly </w:t>
      </w:r>
      <w:r w:rsidR="00F00BD3" w:rsidRPr="00B947D9">
        <w:rPr>
          <w:rFonts w:ascii="Times New Roman" w:hAnsi="Times New Roman"/>
          <w:color w:val="000000" w:themeColor="text1"/>
          <w:lang w:val="en-US"/>
        </w:rPr>
        <w:t>information on housing prices</w:t>
      </w:r>
      <w:r w:rsidR="00A96336">
        <w:rPr>
          <w:rFonts w:ascii="Times New Roman" w:hAnsi="Times New Roman"/>
          <w:color w:val="000000" w:themeColor="text1"/>
          <w:lang w:val="en-US"/>
        </w:rPr>
        <w:t>.</w:t>
      </w:r>
    </w:p>
    <w:p w14:paraId="1D6218CE" w14:textId="36A765FB" w:rsidR="005F5DC6" w:rsidRPr="00B947D9" w:rsidRDefault="00636B90" w:rsidP="005F5DC6">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Following Krishnamurthy et al. (2018), we</w:t>
      </w:r>
      <w:r w:rsidR="00F00BD3" w:rsidRPr="00B947D9">
        <w:rPr>
          <w:rFonts w:ascii="Times New Roman" w:hAnsi="Times New Roman"/>
          <w:color w:val="000000" w:themeColor="text1"/>
          <w:lang w:val="en-US"/>
        </w:rPr>
        <w:t xml:space="preserve"> identify the announcement and implementation effects using a high frequency approach</w:t>
      </w:r>
      <w:r w:rsidR="00B83C5E" w:rsidRPr="00B947D9">
        <w:rPr>
          <w:rFonts w:ascii="Times New Roman" w:hAnsi="Times New Roman"/>
          <w:color w:val="000000" w:themeColor="text1"/>
          <w:lang w:val="en-US"/>
        </w:rPr>
        <w:t>; we</w:t>
      </w:r>
      <w:r w:rsidR="00F00BD3" w:rsidRPr="00B947D9">
        <w:rPr>
          <w:rFonts w:ascii="Times New Roman" w:hAnsi="Times New Roman"/>
          <w:color w:val="000000" w:themeColor="text1"/>
          <w:lang w:val="en-US"/>
        </w:rPr>
        <w:t xml:space="preserve"> consider the closing price changes in the EUROSTOXX 50 index and in the S&amp;P Eurozone Sovereign Bond Index between the day</w:t>
      </w:r>
      <w:r w:rsidR="00B83C5E" w:rsidRPr="00B947D9">
        <w:rPr>
          <w:rFonts w:ascii="Times New Roman" w:hAnsi="Times New Roman"/>
          <w:color w:val="000000" w:themeColor="text1"/>
          <w:lang w:val="en-US"/>
        </w:rPr>
        <w:t>s</w:t>
      </w:r>
      <w:r w:rsidR="00F00BD3" w:rsidRPr="00B947D9">
        <w:rPr>
          <w:rFonts w:ascii="Times New Roman" w:hAnsi="Times New Roman"/>
          <w:color w:val="000000" w:themeColor="text1"/>
          <w:lang w:val="en-US"/>
        </w:rPr>
        <w:t xml:space="preserve"> preceding</w:t>
      </w:r>
      <w:r w:rsidR="00B83C5E" w:rsidRPr="00B947D9">
        <w:rPr>
          <w:rFonts w:ascii="Times New Roman" w:hAnsi="Times New Roman"/>
          <w:color w:val="000000" w:themeColor="text1"/>
          <w:lang w:val="en-US"/>
        </w:rPr>
        <w:t xml:space="preserve"> and following</w:t>
      </w:r>
      <w:r w:rsidR="00F00BD3" w:rsidRPr="00B947D9">
        <w:rPr>
          <w:rFonts w:ascii="Times New Roman" w:hAnsi="Times New Roman"/>
          <w:color w:val="000000" w:themeColor="text1"/>
          <w:lang w:val="en-US"/>
        </w:rPr>
        <w:t xml:space="preserve"> announcement and implementation.</w:t>
      </w:r>
      <w:r w:rsidR="005F5DC6" w:rsidRPr="00B947D9">
        <w:rPr>
          <w:rFonts w:ascii="Times New Roman" w:hAnsi="Times New Roman"/>
          <w:color w:val="000000" w:themeColor="text1"/>
          <w:lang w:val="en-US"/>
        </w:rPr>
        <w:t xml:space="preserve"> Tables </w:t>
      </w:r>
      <w:r w:rsidR="00A96336">
        <w:rPr>
          <w:rFonts w:ascii="Times New Roman" w:hAnsi="Times New Roman"/>
          <w:color w:val="000000" w:themeColor="text1"/>
          <w:lang w:val="en-US"/>
        </w:rPr>
        <w:t>2</w:t>
      </w:r>
      <w:r w:rsidR="005F5DC6" w:rsidRPr="00B947D9">
        <w:rPr>
          <w:rFonts w:ascii="Times New Roman" w:hAnsi="Times New Roman"/>
          <w:color w:val="000000" w:themeColor="text1"/>
          <w:lang w:val="en-US"/>
        </w:rPr>
        <w:t>-</w:t>
      </w:r>
      <w:r w:rsidR="00A96336">
        <w:rPr>
          <w:rFonts w:ascii="Times New Roman" w:hAnsi="Times New Roman"/>
          <w:color w:val="000000" w:themeColor="text1"/>
          <w:lang w:val="en-US"/>
        </w:rPr>
        <w:t>4</w:t>
      </w:r>
      <w:r w:rsidR="005F5DC6" w:rsidRPr="00B947D9">
        <w:rPr>
          <w:rFonts w:ascii="Times New Roman" w:hAnsi="Times New Roman"/>
          <w:color w:val="000000" w:themeColor="text1"/>
          <w:lang w:val="en-US"/>
        </w:rPr>
        <w:t xml:space="preserve"> report the price movements of equities, bonds, and housing around the announcement and implementation dates of the negative deposit facility rate (NDFR), the third covered bond purchase program (CBPP3), and the asset-backed securities purchase program (ABSPP) respectively.</w:t>
      </w:r>
    </w:p>
    <w:p w14:paraId="2FA562EE" w14:textId="635404CF" w:rsidR="00F00BD3" w:rsidRPr="00B947D9" w:rsidRDefault="005F5DC6" w:rsidP="005F5DC6">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For housing prices, we consider the change between the quarters before and after the announcement and implementation as it is safe to assume that housing prices will not react faster </w:t>
      </w:r>
      <w:r w:rsidR="00105A7D">
        <w:rPr>
          <w:rFonts w:ascii="Times New Roman" w:hAnsi="Times New Roman"/>
          <w:color w:val="000000" w:themeColor="text1"/>
          <w:lang w:val="en-US"/>
        </w:rPr>
        <w:t>(within a</w:t>
      </w:r>
      <w:r w:rsidRPr="00B947D9">
        <w:rPr>
          <w:rFonts w:ascii="Times New Roman" w:hAnsi="Times New Roman"/>
          <w:color w:val="000000" w:themeColor="text1"/>
          <w:lang w:val="en-US"/>
        </w:rPr>
        <w:t xml:space="preserve"> quarter</w:t>
      </w:r>
      <w:r w:rsidR="00105A7D">
        <w:rPr>
          <w:rFonts w:ascii="Times New Roman" w:hAnsi="Times New Roman"/>
          <w:color w:val="000000" w:themeColor="text1"/>
          <w:lang w:val="en-US"/>
        </w:rPr>
        <w:t>)</w:t>
      </w:r>
      <w:r w:rsidRPr="00B947D9">
        <w:rPr>
          <w:rFonts w:ascii="Times New Roman" w:hAnsi="Times New Roman"/>
          <w:color w:val="000000" w:themeColor="text1"/>
          <w:lang w:val="en-US"/>
        </w:rPr>
        <w:t xml:space="preserve">. </w:t>
      </w:r>
      <w:r w:rsidR="00F00BD3" w:rsidRPr="00B947D9">
        <w:rPr>
          <w:rFonts w:ascii="Times New Roman" w:hAnsi="Times New Roman"/>
          <w:color w:val="000000" w:themeColor="text1"/>
          <w:lang w:val="en-US"/>
        </w:rPr>
        <w:t xml:space="preserve">More specifically, </w:t>
      </w:r>
      <w:r w:rsidRPr="00B947D9">
        <w:rPr>
          <w:rFonts w:ascii="Times New Roman" w:hAnsi="Times New Roman"/>
          <w:color w:val="000000" w:themeColor="text1"/>
          <w:lang w:val="en-US"/>
        </w:rPr>
        <w:t>to estimate the changes in the housing prices following the announcement and implementation of</w:t>
      </w:r>
      <w:r w:rsidR="00F00BD3" w:rsidRPr="00B947D9">
        <w:rPr>
          <w:rFonts w:ascii="Times New Roman" w:hAnsi="Times New Roman"/>
          <w:color w:val="000000" w:themeColor="text1"/>
          <w:lang w:val="en-US"/>
        </w:rPr>
        <w:t xml:space="preserve"> the negative deposit facility rate </w:t>
      </w:r>
      <w:r w:rsidR="00B83C5E" w:rsidRPr="00B947D9">
        <w:rPr>
          <w:rFonts w:ascii="Times New Roman" w:hAnsi="Times New Roman"/>
          <w:color w:val="000000" w:themeColor="text1"/>
          <w:lang w:val="en-US"/>
        </w:rPr>
        <w:t>we</w:t>
      </w:r>
      <w:r w:rsidR="00F00BD3" w:rsidRPr="00B947D9">
        <w:rPr>
          <w:rFonts w:ascii="Times New Roman" w:hAnsi="Times New Roman"/>
          <w:color w:val="000000" w:themeColor="text1"/>
          <w:lang w:val="en-US"/>
        </w:rPr>
        <w:t xml:space="preserve"> use the second and third quarter</w:t>
      </w:r>
      <w:r w:rsidR="00B83C5E" w:rsidRPr="00B947D9">
        <w:rPr>
          <w:rFonts w:ascii="Times New Roman" w:hAnsi="Times New Roman"/>
          <w:color w:val="000000" w:themeColor="text1"/>
          <w:lang w:val="en-US"/>
        </w:rPr>
        <w:t xml:space="preserve"> </w:t>
      </w:r>
      <w:r w:rsidR="00F00BD3" w:rsidRPr="00B947D9">
        <w:rPr>
          <w:rFonts w:ascii="Times New Roman" w:hAnsi="Times New Roman"/>
          <w:color w:val="000000" w:themeColor="text1"/>
          <w:lang w:val="en-US"/>
        </w:rPr>
        <w:t>of 2014</w:t>
      </w:r>
      <w:r w:rsidR="00B83C5E" w:rsidRPr="00B947D9">
        <w:rPr>
          <w:rFonts w:ascii="Times New Roman" w:hAnsi="Times New Roman"/>
          <w:color w:val="000000" w:themeColor="text1"/>
          <w:lang w:val="en-US"/>
        </w:rPr>
        <w:t xml:space="preserve">, </w:t>
      </w:r>
      <w:r w:rsidR="00F00BD3" w:rsidRPr="00B947D9">
        <w:rPr>
          <w:rFonts w:ascii="Times New Roman" w:hAnsi="Times New Roman"/>
          <w:color w:val="000000" w:themeColor="text1"/>
          <w:lang w:val="en-US"/>
        </w:rPr>
        <w:t xml:space="preserve">since the announcement and the implementation of this policy were in the middle of the last month of </w:t>
      </w:r>
      <w:r w:rsidR="00B83C5E" w:rsidRPr="00B947D9">
        <w:rPr>
          <w:rFonts w:ascii="Times New Roman" w:hAnsi="Times New Roman"/>
          <w:color w:val="000000" w:themeColor="text1"/>
          <w:lang w:val="en-US"/>
        </w:rPr>
        <w:t>the second quarter of 2014</w:t>
      </w:r>
      <w:r w:rsidR="00F00BD3" w:rsidRPr="00B947D9">
        <w:rPr>
          <w:rFonts w:ascii="Times New Roman" w:hAnsi="Times New Roman"/>
          <w:color w:val="000000" w:themeColor="text1"/>
          <w:lang w:val="en-US"/>
        </w:rPr>
        <w:t>. Similarly, for the CBPP3 and the ABSPP</w:t>
      </w:r>
      <w:r w:rsidRPr="00B947D9">
        <w:rPr>
          <w:rFonts w:ascii="Times New Roman" w:hAnsi="Times New Roman"/>
          <w:color w:val="000000" w:themeColor="text1"/>
          <w:lang w:val="en-US"/>
        </w:rPr>
        <w:t xml:space="preserve">, we </w:t>
      </w:r>
      <w:r w:rsidR="00F00BD3" w:rsidRPr="00B947D9">
        <w:rPr>
          <w:rFonts w:ascii="Times New Roman" w:hAnsi="Times New Roman"/>
          <w:color w:val="000000" w:themeColor="text1"/>
          <w:lang w:val="en-US"/>
        </w:rPr>
        <w:t xml:space="preserve">use the </w:t>
      </w:r>
      <w:r w:rsidRPr="00B947D9">
        <w:rPr>
          <w:rFonts w:ascii="Times New Roman" w:hAnsi="Times New Roman"/>
          <w:color w:val="000000" w:themeColor="text1"/>
          <w:lang w:val="en-US"/>
        </w:rPr>
        <w:t>third and fourth quarter</w:t>
      </w:r>
      <w:r w:rsidR="00F00BD3" w:rsidRPr="00B947D9">
        <w:rPr>
          <w:rFonts w:ascii="Times New Roman" w:hAnsi="Times New Roman"/>
          <w:color w:val="000000" w:themeColor="text1"/>
          <w:lang w:val="en-US"/>
        </w:rPr>
        <w:t xml:space="preserve"> of 2014 and </w:t>
      </w:r>
      <w:r w:rsidRPr="00B947D9">
        <w:rPr>
          <w:rFonts w:ascii="Times New Roman" w:hAnsi="Times New Roman"/>
          <w:color w:val="000000" w:themeColor="text1"/>
          <w:lang w:val="en-US"/>
        </w:rPr>
        <w:t>fourth quarter</w:t>
      </w:r>
      <w:r w:rsidR="00F00BD3" w:rsidRPr="00B947D9">
        <w:rPr>
          <w:rFonts w:ascii="Times New Roman" w:hAnsi="Times New Roman"/>
          <w:color w:val="000000" w:themeColor="text1"/>
          <w:lang w:val="en-US"/>
        </w:rPr>
        <w:t xml:space="preserve"> of 2014 and </w:t>
      </w:r>
      <w:r w:rsidRPr="00B947D9">
        <w:rPr>
          <w:rFonts w:ascii="Times New Roman" w:hAnsi="Times New Roman"/>
          <w:color w:val="000000" w:themeColor="text1"/>
          <w:lang w:val="en-US"/>
        </w:rPr>
        <w:t>first quarter</w:t>
      </w:r>
      <w:r w:rsidR="00F00BD3" w:rsidRPr="00B947D9">
        <w:rPr>
          <w:rFonts w:ascii="Times New Roman" w:hAnsi="Times New Roman"/>
          <w:color w:val="000000" w:themeColor="text1"/>
          <w:lang w:val="en-US"/>
        </w:rPr>
        <w:t xml:space="preserve"> of 2015</w:t>
      </w:r>
      <w:r w:rsidRPr="00B947D9">
        <w:rPr>
          <w:rFonts w:ascii="Times New Roman" w:hAnsi="Times New Roman"/>
          <w:color w:val="000000" w:themeColor="text1"/>
          <w:lang w:val="en-US"/>
        </w:rPr>
        <w:t xml:space="preserve"> for announcement and implementation respectively</w:t>
      </w:r>
      <w:r w:rsidR="00F00BD3" w:rsidRPr="00B947D9">
        <w:rPr>
          <w:rFonts w:ascii="Times New Roman" w:hAnsi="Times New Roman"/>
          <w:color w:val="000000" w:themeColor="text1"/>
          <w:lang w:val="en-US"/>
        </w:rPr>
        <w:t>.</w:t>
      </w:r>
    </w:p>
    <w:tbl>
      <w:tblPr>
        <w:tblStyle w:val="2"/>
        <w:tblW w:w="0" w:type="auto"/>
        <w:jc w:val="center"/>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248"/>
        <w:gridCol w:w="1721"/>
        <w:gridCol w:w="2478"/>
        <w:gridCol w:w="2337"/>
      </w:tblGrid>
      <w:tr w:rsidR="008E1EBD" w:rsidRPr="00B947D9" w14:paraId="50929199" w14:textId="77777777" w:rsidTr="00BF37A8">
        <w:trPr>
          <w:trHeight w:val="567"/>
          <w:jc w:val="center"/>
        </w:trPr>
        <w:tc>
          <w:tcPr>
            <w:tcW w:w="8784" w:type="dxa"/>
            <w:gridSpan w:val="4"/>
            <w:tcBorders>
              <w:bottom w:val="single" w:sz="4" w:space="0" w:color="auto"/>
            </w:tcBorders>
          </w:tcPr>
          <w:p w14:paraId="14972D3E" w14:textId="0DC09D34" w:rsidR="005F5DC6" w:rsidRPr="00B947D9" w:rsidRDefault="005F5DC6" w:rsidP="005F5DC6">
            <w:pPr>
              <w:jc w:val="center"/>
              <w:rPr>
                <w:rFonts w:ascii="Times New Roman" w:hAnsi="Times New Roman" w:cs="Times New Roman"/>
                <w:color w:val="000000" w:themeColor="text1"/>
              </w:rPr>
            </w:pPr>
            <w:r w:rsidRPr="00B947D9">
              <w:rPr>
                <w:rFonts w:ascii="Times New Roman" w:hAnsi="Times New Roman" w:cs="Times New Roman"/>
                <w:b/>
                <w:bCs/>
                <w:color w:val="000000" w:themeColor="text1"/>
              </w:rPr>
              <w:t xml:space="preserve">Table </w:t>
            </w:r>
            <w:r w:rsidR="00A96336">
              <w:rPr>
                <w:rFonts w:ascii="Times New Roman" w:hAnsi="Times New Roman" w:cs="Times New Roman"/>
                <w:b/>
                <w:bCs/>
                <w:color w:val="000000" w:themeColor="text1"/>
              </w:rPr>
              <w:t>2</w:t>
            </w:r>
            <w:r w:rsidRPr="00B947D9">
              <w:rPr>
                <w:rFonts w:ascii="Times New Roman" w:hAnsi="Times New Roman" w:cs="Times New Roman"/>
                <w:b/>
                <w:bCs/>
                <w:color w:val="000000" w:themeColor="text1"/>
              </w:rPr>
              <w:t>.</w:t>
            </w:r>
            <w:r w:rsidRPr="00B947D9">
              <w:rPr>
                <w:rFonts w:ascii="Times New Roman" w:hAnsi="Times New Roman" w:cs="Times New Roman"/>
                <w:color w:val="000000" w:themeColor="text1"/>
              </w:rPr>
              <w:t xml:space="preserve"> Price movements around NDFR announcement and implementation dates</w:t>
            </w:r>
          </w:p>
          <w:p w14:paraId="4DF1CEAD" w14:textId="3064C834" w:rsidR="00BF37A8" w:rsidRPr="00B947D9" w:rsidRDefault="00BF37A8" w:rsidP="00BF37A8">
            <w:pPr>
              <w:jc w:val="both"/>
              <w:rPr>
                <w:rFonts w:ascii="Times New Roman" w:hAnsi="Times New Roman" w:cs="Times New Roman"/>
                <w:color w:val="000000" w:themeColor="text1"/>
                <w:sz w:val="20"/>
                <w:szCs w:val="20"/>
              </w:rPr>
            </w:pPr>
            <w:r w:rsidRPr="00B947D9">
              <w:rPr>
                <w:rFonts w:ascii="Times New Roman" w:hAnsi="Times New Roman" w:cs="Times New Roman"/>
                <w:color w:val="000000" w:themeColor="text1"/>
                <w:sz w:val="20"/>
                <w:szCs w:val="20"/>
              </w:rPr>
              <w:t>The price changes are expressed in percentage changes.</w:t>
            </w:r>
            <w:r w:rsidR="00067A7C" w:rsidRPr="00B947D9">
              <w:rPr>
                <w:rFonts w:ascii="Times New Roman" w:hAnsi="Times New Roman" w:cs="Times New Roman"/>
                <w:color w:val="000000" w:themeColor="text1"/>
                <w:sz w:val="20"/>
                <w:szCs w:val="20"/>
              </w:rPr>
              <w:t xml:space="preserve"> The changes in the first two columns are estimated based </w:t>
            </w:r>
            <w:r w:rsidR="000D5C70" w:rsidRPr="00B947D9">
              <w:rPr>
                <w:rFonts w:ascii="Times New Roman" w:hAnsi="Times New Roman" w:cs="Times New Roman"/>
                <w:color w:val="000000" w:themeColor="text1"/>
                <w:sz w:val="20"/>
                <w:szCs w:val="20"/>
              </w:rPr>
              <w:t>o</w:t>
            </w:r>
            <w:r w:rsidR="00067A7C" w:rsidRPr="00B947D9">
              <w:rPr>
                <w:rFonts w:ascii="Times New Roman" w:hAnsi="Times New Roman" w:cs="Times New Roman"/>
                <w:color w:val="000000" w:themeColor="text1"/>
                <w:sz w:val="20"/>
                <w:szCs w:val="20"/>
              </w:rPr>
              <w:t>n daily data, whereas the changes on the House price Index are estimated based on quarterly data.</w:t>
            </w:r>
          </w:p>
        </w:tc>
      </w:tr>
      <w:tr w:rsidR="008E1EBD" w:rsidRPr="00B947D9" w14:paraId="5FF3E59D" w14:textId="77777777" w:rsidTr="00526523">
        <w:trPr>
          <w:trHeight w:val="505"/>
          <w:jc w:val="center"/>
        </w:trPr>
        <w:tc>
          <w:tcPr>
            <w:tcW w:w="2248" w:type="dxa"/>
            <w:tcBorders>
              <w:top w:val="single" w:sz="4" w:space="0" w:color="auto"/>
              <w:bottom w:val="single" w:sz="4" w:space="0" w:color="auto"/>
            </w:tcBorders>
          </w:tcPr>
          <w:p w14:paraId="76D11156" w14:textId="77777777" w:rsidR="00F00BD3" w:rsidRPr="00B947D9" w:rsidRDefault="00F00BD3" w:rsidP="00526523">
            <w:pPr>
              <w:rPr>
                <w:rFonts w:ascii="Times New Roman" w:hAnsi="Times New Roman" w:cs="Times New Roman"/>
                <w:color w:val="000000" w:themeColor="text1"/>
              </w:rPr>
            </w:pPr>
            <w:r w:rsidRPr="00B947D9">
              <w:rPr>
                <w:rFonts w:ascii="Times New Roman" w:hAnsi="Times New Roman" w:cs="Times New Roman"/>
                <w:color w:val="000000" w:themeColor="text1"/>
              </w:rPr>
              <w:t>Date</w:t>
            </w:r>
          </w:p>
        </w:tc>
        <w:tc>
          <w:tcPr>
            <w:tcW w:w="1721" w:type="dxa"/>
            <w:tcBorders>
              <w:top w:val="single" w:sz="4" w:space="0" w:color="auto"/>
              <w:bottom w:val="single" w:sz="4" w:space="0" w:color="auto"/>
            </w:tcBorders>
          </w:tcPr>
          <w:p w14:paraId="4D92F804" w14:textId="3DDEA81B"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S&amp;P Index</w:t>
            </w:r>
          </w:p>
        </w:tc>
        <w:tc>
          <w:tcPr>
            <w:tcW w:w="2478" w:type="dxa"/>
            <w:tcBorders>
              <w:top w:val="single" w:sz="4" w:space="0" w:color="auto"/>
              <w:bottom w:val="single" w:sz="4" w:space="0" w:color="auto"/>
            </w:tcBorders>
          </w:tcPr>
          <w:p w14:paraId="1A41A153" w14:textId="7E7F5F1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Euro Stoxx 50 Index</w:t>
            </w:r>
          </w:p>
        </w:tc>
        <w:tc>
          <w:tcPr>
            <w:tcW w:w="2337" w:type="dxa"/>
            <w:tcBorders>
              <w:top w:val="single" w:sz="4" w:space="0" w:color="auto"/>
              <w:bottom w:val="single" w:sz="4" w:space="0" w:color="auto"/>
            </w:tcBorders>
          </w:tcPr>
          <w:p w14:paraId="62D6A7E5" w14:textId="776FF16F"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 xml:space="preserve">House Price Index </w:t>
            </w:r>
          </w:p>
        </w:tc>
      </w:tr>
      <w:tr w:rsidR="008E1EBD" w:rsidRPr="00B947D9" w14:paraId="17CD56F4" w14:textId="77777777" w:rsidTr="00051CEA">
        <w:trPr>
          <w:trHeight w:val="582"/>
          <w:jc w:val="center"/>
        </w:trPr>
        <w:tc>
          <w:tcPr>
            <w:tcW w:w="2248" w:type="dxa"/>
            <w:tcBorders>
              <w:top w:val="single" w:sz="4" w:space="0" w:color="auto"/>
              <w:bottom w:val="nil"/>
            </w:tcBorders>
          </w:tcPr>
          <w:p w14:paraId="2ABCA7AE" w14:textId="77777777" w:rsidR="00F00BD3" w:rsidRPr="00B947D9" w:rsidRDefault="00F00BD3" w:rsidP="00526523">
            <w:pPr>
              <w:rPr>
                <w:rFonts w:ascii="Times New Roman" w:hAnsi="Times New Roman" w:cs="Times New Roman"/>
                <w:color w:val="000000" w:themeColor="text1"/>
              </w:rPr>
            </w:pPr>
            <w:r w:rsidRPr="00B947D9">
              <w:rPr>
                <w:rFonts w:ascii="Times New Roman" w:hAnsi="Times New Roman" w:cs="Times New Roman"/>
                <w:color w:val="000000" w:themeColor="text1"/>
              </w:rPr>
              <w:t>Announcement date 05/06/2014</w:t>
            </w:r>
          </w:p>
        </w:tc>
        <w:tc>
          <w:tcPr>
            <w:tcW w:w="1721" w:type="dxa"/>
            <w:tcBorders>
              <w:top w:val="single" w:sz="4" w:space="0" w:color="auto"/>
              <w:bottom w:val="nil"/>
            </w:tcBorders>
          </w:tcPr>
          <w:p w14:paraId="22798A6A"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+0.89</w:t>
            </w:r>
          </w:p>
        </w:tc>
        <w:tc>
          <w:tcPr>
            <w:tcW w:w="2478" w:type="dxa"/>
            <w:tcBorders>
              <w:top w:val="single" w:sz="4" w:space="0" w:color="auto"/>
              <w:bottom w:val="nil"/>
            </w:tcBorders>
          </w:tcPr>
          <w:p w14:paraId="2BBFD3EF"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+1.74</w:t>
            </w:r>
          </w:p>
        </w:tc>
        <w:tc>
          <w:tcPr>
            <w:tcW w:w="2337" w:type="dxa"/>
            <w:tcBorders>
              <w:top w:val="single" w:sz="4" w:space="0" w:color="auto"/>
              <w:bottom w:val="nil"/>
            </w:tcBorders>
          </w:tcPr>
          <w:p w14:paraId="79323FFA" w14:textId="1FDC99B8" w:rsidR="00F00BD3" w:rsidRPr="00B947D9" w:rsidRDefault="00BF37A8"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w:t>
            </w:r>
          </w:p>
        </w:tc>
      </w:tr>
      <w:tr w:rsidR="008E1EBD" w:rsidRPr="00B947D9" w14:paraId="5F89AC22" w14:textId="77777777" w:rsidTr="00051CEA">
        <w:trPr>
          <w:trHeight w:val="566"/>
          <w:jc w:val="center"/>
        </w:trPr>
        <w:tc>
          <w:tcPr>
            <w:tcW w:w="2248" w:type="dxa"/>
            <w:tcBorders>
              <w:top w:val="nil"/>
              <w:bottom w:val="nil"/>
            </w:tcBorders>
          </w:tcPr>
          <w:p w14:paraId="3B8D8F4E" w14:textId="77777777" w:rsidR="00F00BD3" w:rsidRPr="00B947D9" w:rsidRDefault="00F00BD3" w:rsidP="00526523">
            <w:pPr>
              <w:rPr>
                <w:rFonts w:ascii="Times New Roman" w:hAnsi="Times New Roman" w:cs="Times New Roman"/>
                <w:color w:val="000000" w:themeColor="text1"/>
              </w:rPr>
            </w:pPr>
            <w:r w:rsidRPr="00B947D9">
              <w:rPr>
                <w:rFonts w:ascii="Times New Roman" w:hAnsi="Times New Roman" w:cs="Times New Roman"/>
                <w:color w:val="000000" w:themeColor="text1"/>
              </w:rPr>
              <w:t>Implementation date 11/06/2014</w:t>
            </w:r>
          </w:p>
        </w:tc>
        <w:tc>
          <w:tcPr>
            <w:tcW w:w="1721" w:type="dxa"/>
            <w:tcBorders>
              <w:top w:val="nil"/>
              <w:bottom w:val="nil"/>
            </w:tcBorders>
          </w:tcPr>
          <w:p w14:paraId="40BF73CF"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-0.11</w:t>
            </w:r>
          </w:p>
        </w:tc>
        <w:tc>
          <w:tcPr>
            <w:tcW w:w="2478" w:type="dxa"/>
            <w:tcBorders>
              <w:top w:val="nil"/>
              <w:bottom w:val="nil"/>
            </w:tcBorders>
          </w:tcPr>
          <w:p w14:paraId="0BCAA930"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-0.89</w:t>
            </w:r>
          </w:p>
        </w:tc>
        <w:tc>
          <w:tcPr>
            <w:tcW w:w="2337" w:type="dxa"/>
            <w:tcBorders>
              <w:top w:val="nil"/>
              <w:bottom w:val="nil"/>
            </w:tcBorders>
          </w:tcPr>
          <w:p w14:paraId="78C959DF" w14:textId="6D01EC53" w:rsidR="00F00BD3" w:rsidRPr="00B947D9" w:rsidRDefault="00BF37A8"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w:t>
            </w:r>
          </w:p>
        </w:tc>
      </w:tr>
      <w:tr w:rsidR="008E1EBD" w:rsidRPr="00B947D9" w14:paraId="0BB39722" w14:textId="77777777" w:rsidTr="00526523">
        <w:trPr>
          <w:trHeight w:val="285"/>
          <w:jc w:val="center"/>
        </w:trPr>
        <w:tc>
          <w:tcPr>
            <w:tcW w:w="2248" w:type="dxa"/>
            <w:tcBorders>
              <w:top w:val="nil"/>
              <w:bottom w:val="double" w:sz="4" w:space="0" w:color="auto"/>
            </w:tcBorders>
          </w:tcPr>
          <w:p w14:paraId="3F9D7263" w14:textId="77777777" w:rsidR="00F00BD3" w:rsidRPr="00B947D9" w:rsidRDefault="00F00BD3" w:rsidP="00526523">
            <w:pPr>
              <w:rPr>
                <w:rFonts w:ascii="Times New Roman" w:hAnsi="Times New Roman" w:cs="Times New Roman"/>
                <w:color w:val="000000" w:themeColor="text1"/>
              </w:rPr>
            </w:pPr>
            <w:r w:rsidRPr="00B947D9">
              <w:rPr>
                <w:rFonts w:ascii="Times New Roman" w:hAnsi="Times New Roman" w:cs="Times New Roman"/>
                <w:color w:val="000000" w:themeColor="text1"/>
              </w:rPr>
              <w:t>Cumulative effects</w:t>
            </w:r>
          </w:p>
        </w:tc>
        <w:tc>
          <w:tcPr>
            <w:tcW w:w="1721" w:type="dxa"/>
            <w:tcBorders>
              <w:top w:val="nil"/>
              <w:bottom w:val="double" w:sz="4" w:space="0" w:color="auto"/>
            </w:tcBorders>
          </w:tcPr>
          <w:p w14:paraId="163A183C"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+0.78</w:t>
            </w:r>
          </w:p>
        </w:tc>
        <w:tc>
          <w:tcPr>
            <w:tcW w:w="2478" w:type="dxa"/>
            <w:tcBorders>
              <w:top w:val="nil"/>
              <w:bottom w:val="double" w:sz="4" w:space="0" w:color="auto"/>
            </w:tcBorders>
          </w:tcPr>
          <w:p w14:paraId="4DC06839" w14:textId="77777777"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+0.85</w:t>
            </w:r>
          </w:p>
        </w:tc>
        <w:tc>
          <w:tcPr>
            <w:tcW w:w="2337" w:type="dxa"/>
            <w:tcBorders>
              <w:top w:val="nil"/>
              <w:bottom w:val="double" w:sz="4" w:space="0" w:color="auto"/>
            </w:tcBorders>
          </w:tcPr>
          <w:p w14:paraId="5100185D" w14:textId="790687B0" w:rsidR="00F00BD3" w:rsidRPr="00B947D9" w:rsidRDefault="00F00BD3" w:rsidP="00526523">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+1.038</w:t>
            </w:r>
          </w:p>
        </w:tc>
      </w:tr>
    </w:tbl>
    <w:p w14:paraId="03C92A20" w14:textId="49EA76FE" w:rsidR="00F00BD3" w:rsidRPr="00B947D9" w:rsidRDefault="00F00BD3" w:rsidP="005F5DC6">
      <w:pPr>
        <w:spacing w:line="480" w:lineRule="auto"/>
        <w:jc w:val="center"/>
        <w:rPr>
          <w:rFonts w:ascii="Times New Roman" w:hAnsi="Times New Roman"/>
          <w:color w:val="000000" w:themeColor="text1"/>
          <w:lang w:val="en-US"/>
        </w:rPr>
      </w:pPr>
    </w:p>
    <w:tbl>
      <w:tblPr>
        <w:tblStyle w:val="2"/>
        <w:tblW w:w="0" w:type="auto"/>
        <w:jc w:val="center"/>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350"/>
        <w:gridCol w:w="1473"/>
        <w:gridCol w:w="2268"/>
        <w:gridCol w:w="2409"/>
      </w:tblGrid>
      <w:tr w:rsidR="008E1EBD" w:rsidRPr="00B947D9" w14:paraId="72B055F1" w14:textId="77777777" w:rsidTr="00F03DFE">
        <w:trPr>
          <w:jc w:val="center"/>
        </w:trPr>
        <w:tc>
          <w:tcPr>
            <w:tcW w:w="8500" w:type="dxa"/>
            <w:gridSpan w:val="4"/>
            <w:tcBorders>
              <w:bottom w:val="single" w:sz="4" w:space="0" w:color="auto"/>
            </w:tcBorders>
          </w:tcPr>
          <w:p w14:paraId="3EB3045C" w14:textId="22BD8C49" w:rsidR="00067A7C" w:rsidRPr="00B947D9" w:rsidRDefault="00067A7C" w:rsidP="00067A7C">
            <w:pPr>
              <w:jc w:val="center"/>
              <w:rPr>
                <w:rFonts w:ascii="Times New Roman" w:hAnsi="Times New Roman" w:cs="Times New Roman"/>
                <w:color w:val="000000" w:themeColor="text1"/>
              </w:rPr>
            </w:pPr>
            <w:r w:rsidRPr="00B947D9">
              <w:rPr>
                <w:rFonts w:ascii="Times New Roman" w:hAnsi="Times New Roman" w:cs="Times New Roman"/>
                <w:b/>
                <w:bCs/>
                <w:color w:val="000000" w:themeColor="text1"/>
              </w:rPr>
              <w:t xml:space="preserve">Table </w:t>
            </w:r>
            <w:r w:rsidR="00A96336">
              <w:rPr>
                <w:rFonts w:ascii="Times New Roman" w:hAnsi="Times New Roman" w:cs="Times New Roman"/>
                <w:b/>
                <w:bCs/>
                <w:color w:val="000000" w:themeColor="text1"/>
              </w:rPr>
              <w:t>3</w:t>
            </w:r>
            <w:r w:rsidRPr="00B947D9">
              <w:rPr>
                <w:rFonts w:ascii="Times New Roman" w:hAnsi="Times New Roman" w:cs="Times New Roman"/>
                <w:b/>
                <w:bCs/>
                <w:color w:val="000000" w:themeColor="text1"/>
              </w:rPr>
              <w:t>.</w:t>
            </w:r>
            <w:r w:rsidRPr="00B947D9">
              <w:rPr>
                <w:rFonts w:ascii="Times New Roman" w:hAnsi="Times New Roman" w:cs="Times New Roman"/>
                <w:color w:val="000000" w:themeColor="text1"/>
              </w:rPr>
              <w:t xml:space="preserve"> Price movements around CBPP3 announcement and implementation dates</w:t>
            </w:r>
          </w:p>
          <w:p w14:paraId="3CD5D745" w14:textId="25614889" w:rsidR="00067A7C" w:rsidRPr="00B947D9" w:rsidRDefault="00067A7C" w:rsidP="00067A7C">
            <w:pPr>
              <w:jc w:val="both"/>
              <w:rPr>
                <w:rFonts w:ascii="Times New Roman" w:hAnsi="Times New Roman" w:cs="Times New Roman"/>
                <w:color w:val="000000" w:themeColor="text1"/>
              </w:rPr>
            </w:pPr>
            <w:r w:rsidRPr="00B947D9">
              <w:rPr>
                <w:rFonts w:ascii="Times New Roman" w:hAnsi="Times New Roman" w:cs="Times New Roman"/>
                <w:color w:val="000000" w:themeColor="text1"/>
                <w:sz w:val="20"/>
                <w:szCs w:val="20"/>
              </w:rPr>
              <w:t xml:space="preserve">The price changes are expressed in percentage changes. The changes in the first two columns are estimated based </w:t>
            </w:r>
            <w:r w:rsidR="000D5C70" w:rsidRPr="00B947D9">
              <w:rPr>
                <w:rFonts w:ascii="Times New Roman" w:hAnsi="Times New Roman" w:cs="Times New Roman"/>
                <w:color w:val="000000" w:themeColor="text1"/>
                <w:sz w:val="20"/>
                <w:szCs w:val="20"/>
              </w:rPr>
              <w:t>o</w:t>
            </w:r>
            <w:r w:rsidRPr="00B947D9">
              <w:rPr>
                <w:rFonts w:ascii="Times New Roman" w:hAnsi="Times New Roman" w:cs="Times New Roman"/>
                <w:color w:val="000000" w:themeColor="text1"/>
                <w:sz w:val="20"/>
                <w:szCs w:val="20"/>
              </w:rPr>
              <w:t>n daily data, whereas the changes on the House price Index are estimated based on quarterly data.</w:t>
            </w:r>
          </w:p>
        </w:tc>
      </w:tr>
      <w:tr w:rsidR="008E1EBD" w:rsidRPr="00B947D9" w14:paraId="4B3D0C76" w14:textId="77777777" w:rsidTr="00526523">
        <w:trPr>
          <w:trHeight w:val="389"/>
          <w:jc w:val="center"/>
        </w:trPr>
        <w:tc>
          <w:tcPr>
            <w:tcW w:w="2350" w:type="dxa"/>
            <w:tcBorders>
              <w:top w:val="single" w:sz="4" w:space="0" w:color="auto"/>
              <w:bottom w:val="single" w:sz="4" w:space="0" w:color="auto"/>
            </w:tcBorders>
          </w:tcPr>
          <w:p w14:paraId="5761ADEB" w14:textId="77777777" w:rsidR="00F00BD3" w:rsidRPr="00B947D9" w:rsidRDefault="00F00BD3" w:rsidP="005F5DC6">
            <w:pPr>
              <w:spacing w:line="480" w:lineRule="auto"/>
              <w:rPr>
                <w:rFonts w:ascii="Times New Roman" w:hAnsi="Times New Roman" w:cs="Times New Roman"/>
                <w:color w:val="000000" w:themeColor="text1"/>
              </w:rPr>
            </w:pPr>
            <w:r w:rsidRPr="00B947D9">
              <w:rPr>
                <w:rFonts w:ascii="Times New Roman" w:hAnsi="Times New Roman" w:cs="Times New Roman"/>
                <w:color w:val="000000" w:themeColor="text1"/>
              </w:rPr>
              <w:t>Date</w:t>
            </w:r>
          </w:p>
        </w:tc>
        <w:tc>
          <w:tcPr>
            <w:tcW w:w="1473" w:type="dxa"/>
            <w:tcBorders>
              <w:top w:val="single" w:sz="4" w:space="0" w:color="auto"/>
              <w:bottom w:val="single" w:sz="4" w:space="0" w:color="auto"/>
            </w:tcBorders>
          </w:tcPr>
          <w:p w14:paraId="5959F539" w14:textId="3B9071E4" w:rsidR="00F00BD3" w:rsidRPr="00B947D9" w:rsidRDefault="00F00BD3" w:rsidP="000D5C70">
            <w:pPr>
              <w:spacing w:line="480"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S&amp;P Index</w:t>
            </w:r>
          </w:p>
        </w:tc>
        <w:tc>
          <w:tcPr>
            <w:tcW w:w="2268" w:type="dxa"/>
            <w:tcBorders>
              <w:top w:val="single" w:sz="4" w:space="0" w:color="auto"/>
              <w:bottom w:val="single" w:sz="4" w:space="0" w:color="auto"/>
            </w:tcBorders>
          </w:tcPr>
          <w:p w14:paraId="6B217847" w14:textId="294485DA" w:rsidR="00F00BD3" w:rsidRPr="00B947D9" w:rsidRDefault="00F00BD3" w:rsidP="000D5C70">
            <w:pPr>
              <w:spacing w:line="480"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Euro Stoxx 50 Index</w:t>
            </w:r>
          </w:p>
        </w:tc>
        <w:tc>
          <w:tcPr>
            <w:tcW w:w="2409" w:type="dxa"/>
            <w:tcBorders>
              <w:top w:val="single" w:sz="4" w:space="0" w:color="auto"/>
              <w:bottom w:val="single" w:sz="4" w:space="0" w:color="auto"/>
            </w:tcBorders>
          </w:tcPr>
          <w:p w14:paraId="7E101D32" w14:textId="7E05679C" w:rsidR="00F00BD3" w:rsidRPr="00B947D9" w:rsidRDefault="00F00BD3" w:rsidP="000D5C70">
            <w:pPr>
              <w:spacing w:line="480"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House Price Index</w:t>
            </w:r>
          </w:p>
        </w:tc>
      </w:tr>
      <w:tr w:rsidR="008E1EBD" w:rsidRPr="00B947D9" w14:paraId="79FF4C72" w14:textId="77777777" w:rsidTr="00526523">
        <w:trPr>
          <w:trHeight w:val="681"/>
          <w:jc w:val="center"/>
        </w:trPr>
        <w:tc>
          <w:tcPr>
            <w:tcW w:w="2350" w:type="dxa"/>
            <w:tcBorders>
              <w:top w:val="single" w:sz="4" w:space="0" w:color="auto"/>
            </w:tcBorders>
          </w:tcPr>
          <w:p w14:paraId="0013EA1B" w14:textId="2637076F" w:rsidR="00F00BD3" w:rsidRPr="00B947D9" w:rsidRDefault="00F00BD3" w:rsidP="00526523">
            <w:pPr>
              <w:spacing w:line="276" w:lineRule="auto"/>
              <w:rPr>
                <w:rFonts w:ascii="Times New Roman" w:hAnsi="Times New Roman" w:cs="Times New Roman"/>
                <w:color w:val="000000" w:themeColor="text1"/>
              </w:rPr>
            </w:pPr>
            <w:r w:rsidRPr="00B947D9">
              <w:rPr>
                <w:rFonts w:ascii="Times New Roman" w:hAnsi="Times New Roman" w:cs="Times New Roman"/>
                <w:color w:val="000000" w:themeColor="text1"/>
              </w:rPr>
              <w:t>Announcement date</w:t>
            </w:r>
            <w:r w:rsidR="00F03DFE" w:rsidRPr="00B947D9">
              <w:rPr>
                <w:rFonts w:ascii="Times New Roman" w:hAnsi="Times New Roman" w:cs="Times New Roman"/>
                <w:color w:val="000000" w:themeColor="text1"/>
              </w:rPr>
              <w:t xml:space="preserve"> </w:t>
            </w:r>
            <w:r w:rsidRPr="00B947D9">
              <w:rPr>
                <w:rFonts w:ascii="Times New Roman" w:hAnsi="Times New Roman" w:cs="Times New Roman"/>
                <w:color w:val="000000" w:themeColor="text1"/>
              </w:rPr>
              <w:t>04/09/2014</w:t>
            </w:r>
          </w:p>
        </w:tc>
        <w:tc>
          <w:tcPr>
            <w:tcW w:w="1473" w:type="dxa"/>
            <w:tcBorders>
              <w:top w:val="single" w:sz="4" w:space="0" w:color="auto"/>
            </w:tcBorders>
          </w:tcPr>
          <w:p w14:paraId="1708BC1E"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+0.55</w:t>
            </w:r>
          </w:p>
        </w:tc>
        <w:tc>
          <w:tcPr>
            <w:tcW w:w="2268" w:type="dxa"/>
            <w:tcBorders>
              <w:top w:val="single" w:sz="4" w:space="0" w:color="auto"/>
            </w:tcBorders>
          </w:tcPr>
          <w:p w14:paraId="4525881E"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+1.75</w:t>
            </w:r>
          </w:p>
        </w:tc>
        <w:tc>
          <w:tcPr>
            <w:tcW w:w="2409" w:type="dxa"/>
            <w:tcBorders>
              <w:top w:val="single" w:sz="4" w:space="0" w:color="auto"/>
            </w:tcBorders>
          </w:tcPr>
          <w:p w14:paraId="4BE3B764"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-0.419</w:t>
            </w:r>
          </w:p>
        </w:tc>
      </w:tr>
      <w:tr w:rsidR="008E1EBD" w:rsidRPr="00B947D9" w14:paraId="16B186EA" w14:textId="77777777" w:rsidTr="00E312AB">
        <w:trPr>
          <w:jc w:val="center"/>
        </w:trPr>
        <w:tc>
          <w:tcPr>
            <w:tcW w:w="2350" w:type="dxa"/>
            <w:tcBorders>
              <w:bottom w:val="nil"/>
            </w:tcBorders>
          </w:tcPr>
          <w:p w14:paraId="52249871" w14:textId="77777777" w:rsidR="00F00BD3" w:rsidRPr="00B947D9" w:rsidRDefault="00F00BD3" w:rsidP="00526523">
            <w:pPr>
              <w:spacing w:line="276" w:lineRule="auto"/>
              <w:rPr>
                <w:rFonts w:ascii="Times New Roman" w:hAnsi="Times New Roman" w:cs="Times New Roman"/>
                <w:color w:val="000000" w:themeColor="text1"/>
              </w:rPr>
            </w:pPr>
            <w:r w:rsidRPr="00B947D9">
              <w:rPr>
                <w:rFonts w:ascii="Times New Roman" w:hAnsi="Times New Roman" w:cs="Times New Roman"/>
                <w:color w:val="000000" w:themeColor="text1"/>
              </w:rPr>
              <w:t>Implementation date 20/10/2014</w:t>
            </w:r>
          </w:p>
        </w:tc>
        <w:tc>
          <w:tcPr>
            <w:tcW w:w="1473" w:type="dxa"/>
            <w:tcBorders>
              <w:bottom w:val="nil"/>
            </w:tcBorders>
          </w:tcPr>
          <w:p w14:paraId="60F8F799"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-0.04</w:t>
            </w:r>
          </w:p>
        </w:tc>
        <w:tc>
          <w:tcPr>
            <w:tcW w:w="2268" w:type="dxa"/>
            <w:tcBorders>
              <w:bottom w:val="nil"/>
            </w:tcBorders>
          </w:tcPr>
          <w:p w14:paraId="4A3F8C89"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+0.98</w:t>
            </w:r>
          </w:p>
        </w:tc>
        <w:tc>
          <w:tcPr>
            <w:tcW w:w="2409" w:type="dxa"/>
            <w:tcBorders>
              <w:bottom w:val="nil"/>
            </w:tcBorders>
          </w:tcPr>
          <w:p w14:paraId="02FF4974"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-0.292</w:t>
            </w:r>
          </w:p>
        </w:tc>
      </w:tr>
      <w:tr w:rsidR="008E1EBD" w:rsidRPr="00B947D9" w14:paraId="162D9323" w14:textId="77777777" w:rsidTr="00526523">
        <w:trPr>
          <w:trHeight w:val="351"/>
          <w:jc w:val="center"/>
        </w:trPr>
        <w:tc>
          <w:tcPr>
            <w:tcW w:w="2350" w:type="dxa"/>
            <w:tcBorders>
              <w:top w:val="nil"/>
              <w:bottom w:val="double" w:sz="4" w:space="0" w:color="auto"/>
            </w:tcBorders>
          </w:tcPr>
          <w:p w14:paraId="33917316" w14:textId="77777777" w:rsidR="00F00BD3" w:rsidRPr="00B947D9" w:rsidRDefault="00F00BD3" w:rsidP="00526523">
            <w:pPr>
              <w:spacing w:line="276" w:lineRule="auto"/>
              <w:rPr>
                <w:rFonts w:ascii="Times New Roman" w:hAnsi="Times New Roman" w:cs="Times New Roman"/>
                <w:color w:val="000000" w:themeColor="text1"/>
              </w:rPr>
            </w:pPr>
            <w:r w:rsidRPr="00B947D9">
              <w:rPr>
                <w:rFonts w:ascii="Times New Roman" w:hAnsi="Times New Roman" w:cs="Times New Roman"/>
                <w:color w:val="000000" w:themeColor="text1"/>
              </w:rPr>
              <w:t>Cumulative effects</w:t>
            </w:r>
          </w:p>
        </w:tc>
        <w:tc>
          <w:tcPr>
            <w:tcW w:w="1473" w:type="dxa"/>
            <w:tcBorders>
              <w:top w:val="nil"/>
              <w:bottom w:val="double" w:sz="4" w:space="0" w:color="auto"/>
            </w:tcBorders>
          </w:tcPr>
          <w:p w14:paraId="6DF8E6AF"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+0.51</w:t>
            </w:r>
          </w:p>
        </w:tc>
        <w:tc>
          <w:tcPr>
            <w:tcW w:w="2268" w:type="dxa"/>
            <w:tcBorders>
              <w:top w:val="nil"/>
              <w:bottom w:val="double" w:sz="4" w:space="0" w:color="auto"/>
            </w:tcBorders>
          </w:tcPr>
          <w:p w14:paraId="00B6C3A9"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+2.73</w:t>
            </w:r>
          </w:p>
        </w:tc>
        <w:tc>
          <w:tcPr>
            <w:tcW w:w="2409" w:type="dxa"/>
            <w:tcBorders>
              <w:top w:val="nil"/>
              <w:bottom w:val="double" w:sz="4" w:space="0" w:color="auto"/>
            </w:tcBorders>
          </w:tcPr>
          <w:p w14:paraId="7E7CD613" w14:textId="77777777" w:rsidR="00F00BD3" w:rsidRPr="00B947D9" w:rsidRDefault="00F00BD3" w:rsidP="00526523">
            <w:pPr>
              <w:spacing w:line="276" w:lineRule="auto"/>
              <w:jc w:val="center"/>
              <w:rPr>
                <w:rFonts w:ascii="Times New Roman" w:hAnsi="Times New Roman" w:cs="Times New Roman"/>
                <w:color w:val="000000" w:themeColor="text1"/>
              </w:rPr>
            </w:pPr>
            <w:r w:rsidRPr="00B947D9">
              <w:rPr>
                <w:rFonts w:ascii="Times New Roman" w:hAnsi="Times New Roman" w:cs="Times New Roman"/>
                <w:color w:val="000000" w:themeColor="text1"/>
              </w:rPr>
              <w:t>-0.711</w:t>
            </w:r>
          </w:p>
        </w:tc>
      </w:tr>
    </w:tbl>
    <w:p w14:paraId="597ADFF3" w14:textId="0909DFC2" w:rsidR="00F00BD3" w:rsidRDefault="00F00BD3" w:rsidP="00D76E6D">
      <w:pPr>
        <w:spacing w:line="480" w:lineRule="auto"/>
        <w:rPr>
          <w:rFonts w:ascii="Times New Roman" w:hAnsi="Times New Roman"/>
          <w:color w:val="000000" w:themeColor="text1"/>
          <w:lang w:val="en-US"/>
        </w:rPr>
      </w:pPr>
    </w:p>
    <w:p w14:paraId="638A5F23" w14:textId="77777777" w:rsidR="008D5AF5" w:rsidRPr="00B947D9" w:rsidRDefault="008D5AF5" w:rsidP="00D76E6D">
      <w:pPr>
        <w:spacing w:line="480" w:lineRule="auto"/>
        <w:rPr>
          <w:rFonts w:ascii="Times New Roman" w:hAnsi="Times New Roman"/>
          <w:color w:val="000000" w:themeColor="text1"/>
          <w:lang w:val="en-US"/>
        </w:rPr>
      </w:pPr>
    </w:p>
    <w:tbl>
      <w:tblPr>
        <w:tblStyle w:val="2"/>
        <w:tblW w:w="0" w:type="auto"/>
        <w:jc w:val="center"/>
        <w:tblBorders>
          <w:top w:val="double" w:sz="4" w:space="0" w:color="auto"/>
          <w:left w:val="none" w:sz="0" w:space="0" w:color="auto"/>
          <w:bottom w:val="double" w:sz="4" w:space="0" w:color="auto"/>
          <w:right w:val="none" w:sz="0" w:space="0" w:color="auto"/>
          <w:insideH w:val="none" w:sz="0" w:space="0" w:color="auto"/>
        </w:tblBorders>
        <w:tblLook w:val="04A0" w:firstRow="1" w:lastRow="0" w:firstColumn="1" w:lastColumn="0" w:noHBand="0" w:noVBand="1"/>
      </w:tblPr>
      <w:tblGrid>
        <w:gridCol w:w="2350"/>
        <w:gridCol w:w="1619"/>
        <w:gridCol w:w="2268"/>
        <w:gridCol w:w="2268"/>
      </w:tblGrid>
      <w:tr w:rsidR="008E1EBD" w:rsidRPr="00B947D9" w14:paraId="2965A041" w14:textId="77777777" w:rsidTr="00D76E6D">
        <w:trPr>
          <w:jc w:val="center"/>
        </w:trPr>
        <w:tc>
          <w:tcPr>
            <w:tcW w:w="8500" w:type="dxa"/>
            <w:gridSpan w:val="4"/>
          </w:tcPr>
          <w:p w14:paraId="30B64011" w14:textId="2007ACDD" w:rsidR="00D76E6D" w:rsidRPr="00B947D9" w:rsidRDefault="00D76E6D" w:rsidP="005738F5">
            <w:pPr>
              <w:rPr>
                <w:rFonts w:ascii="Times New Roman" w:hAnsi="Times New Roman" w:cs="Times New Roman"/>
                <w:color w:val="000000" w:themeColor="text1"/>
              </w:rPr>
            </w:pPr>
            <w:r w:rsidRPr="00B947D9">
              <w:rPr>
                <w:rFonts w:ascii="Times New Roman" w:hAnsi="Times New Roman" w:cs="Times New Roman"/>
                <w:b/>
                <w:bCs/>
                <w:color w:val="000000" w:themeColor="text1"/>
              </w:rPr>
              <w:t xml:space="preserve">Table </w:t>
            </w:r>
            <w:r w:rsidR="00A96336">
              <w:rPr>
                <w:rFonts w:ascii="Times New Roman" w:hAnsi="Times New Roman" w:cs="Times New Roman"/>
                <w:b/>
                <w:bCs/>
                <w:color w:val="000000" w:themeColor="text1"/>
              </w:rPr>
              <w:t>4</w:t>
            </w:r>
            <w:r w:rsidRPr="00B947D9">
              <w:rPr>
                <w:rFonts w:ascii="Times New Roman" w:hAnsi="Times New Roman" w:cs="Times New Roman"/>
                <w:b/>
                <w:bCs/>
                <w:color w:val="000000" w:themeColor="text1"/>
              </w:rPr>
              <w:t>.</w:t>
            </w:r>
            <w:r w:rsidRPr="00B947D9">
              <w:rPr>
                <w:rFonts w:ascii="Times New Roman" w:hAnsi="Times New Roman" w:cs="Times New Roman"/>
                <w:color w:val="000000" w:themeColor="text1"/>
              </w:rPr>
              <w:t xml:space="preserve"> Price movements around ABSPP announcements and implementation dates</w:t>
            </w:r>
          </w:p>
          <w:p w14:paraId="3096EF43" w14:textId="5AC48E69" w:rsidR="005738F5" w:rsidRPr="00B947D9" w:rsidRDefault="005738F5" w:rsidP="005738F5">
            <w:pPr>
              <w:rPr>
                <w:rFonts w:ascii="Times New Roman" w:hAnsi="Times New Roman" w:cs="Times New Roman"/>
                <w:color w:val="000000" w:themeColor="text1"/>
              </w:rPr>
            </w:pPr>
            <w:r w:rsidRPr="00B947D9">
              <w:rPr>
                <w:rFonts w:ascii="Times New Roman" w:hAnsi="Times New Roman" w:cs="Times New Roman"/>
                <w:color w:val="000000" w:themeColor="text1"/>
                <w:sz w:val="20"/>
                <w:szCs w:val="20"/>
              </w:rPr>
              <w:t>The price changes are expressed in percentage changes. The changes in the first two columns are estimated based on daily data, whereas the changes on the House price Index are estimated based on quarterly data.</w:t>
            </w:r>
          </w:p>
        </w:tc>
      </w:tr>
      <w:tr w:rsidR="008E1EBD" w:rsidRPr="00B947D9" w14:paraId="2B4D6139" w14:textId="77777777" w:rsidTr="00D76E6D">
        <w:trPr>
          <w:jc w:val="center"/>
        </w:trPr>
        <w:tc>
          <w:tcPr>
            <w:tcW w:w="2350" w:type="dxa"/>
            <w:tcBorders>
              <w:top w:val="single" w:sz="4" w:space="0" w:color="auto"/>
              <w:bottom w:val="single" w:sz="4" w:space="0" w:color="auto"/>
              <w:right w:val="nil"/>
            </w:tcBorders>
          </w:tcPr>
          <w:p w14:paraId="59EE5FB1" w14:textId="77777777" w:rsidR="00F00BD3" w:rsidRPr="00B947D9" w:rsidRDefault="00F00BD3" w:rsidP="005738F5">
            <w:pPr>
              <w:rPr>
                <w:rFonts w:ascii="Times New Roman" w:hAnsi="Times New Roman" w:cs="Times New Roman"/>
                <w:color w:val="000000" w:themeColor="text1"/>
              </w:rPr>
            </w:pPr>
            <w:r w:rsidRPr="00B947D9">
              <w:rPr>
                <w:rFonts w:ascii="Times New Roman" w:hAnsi="Times New Roman" w:cs="Times New Roman"/>
                <w:color w:val="000000" w:themeColor="text1"/>
              </w:rPr>
              <w:t>Date</w:t>
            </w:r>
          </w:p>
        </w:tc>
        <w:tc>
          <w:tcPr>
            <w:tcW w:w="1619" w:type="dxa"/>
            <w:tcBorders>
              <w:top w:val="single" w:sz="4" w:space="0" w:color="auto"/>
              <w:left w:val="nil"/>
              <w:bottom w:val="single" w:sz="4" w:space="0" w:color="auto"/>
              <w:right w:val="nil"/>
            </w:tcBorders>
          </w:tcPr>
          <w:p w14:paraId="28D9F127" w14:textId="3920830C"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S&amp;P Index</w:t>
            </w:r>
          </w:p>
        </w:tc>
        <w:tc>
          <w:tcPr>
            <w:tcW w:w="2268" w:type="dxa"/>
            <w:tcBorders>
              <w:top w:val="single" w:sz="4" w:space="0" w:color="auto"/>
              <w:left w:val="nil"/>
              <w:bottom w:val="single" w:sz="4" w:space="0" w:color="auto"/>
              <w:right w:val="nil"/>
            </w:tcBorders>
          </w:tcPr>
          <w:p w14:paraId="4C053591" w14:textId="3140821E"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Euro Stoxx 50 Index</w:t>
            </w:r>
          </w:p>
        </w:tc>
        <w:tc>
          <w:tcPr>
            <w:tcW w:w="2268" w:type="dxa"/>
            <w:tcBorders>
              <w:top w:val="single" w:sz="4" w:space="0" w:color="auto"/>
              <w:left w:val="nil"/>
              <w:bottom w:val="single" w:sz="4" w:space="0" w:color="auto"/>
            </w:tcBorders>
          </w:tcPr>
          <w:p w14:paraId="7EE4D1B1" w14:textId="24E4EC16"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 xml:space="preserve">House Price Index </w:t>
            </w:r>
          </w:p>
        </w:tc>
      </w:tr>
      <w:tr w:rsidR="008E1EBD" w:rsidRPr="00B947D9" w14:paraId="1CB9B1A1" w14:textId="77777777" w:rsidTr="00D76E6D">
        <w:trPr>
          <w:jc w:val="center"/>
        </w:trPr>
        <w:tc>
          <w:tcPr>
            <w:tcW w:w="2350" w:type="dxa"/>
            <w:tcBorders>
              <w:top w:val="single" w:sz="4" w:space="0" w:color="auto"/>
              <w:right w:val="nil"/>
            </w:tcBorders>
          </w:tcPr>
          <w:p w14:paraId="52978D2A" w14:textId="77777777" w:rsidR="00F00BD3" w:rsidRPr="00B947D9" w:rsidRDefault="00F00BD3" w:rsidP="005738F5">
            <w:pPr>
              <w:rPr>
                <w:rFonts w:ascii="Times New Roman" w:hAnsi="Times New Roman" w:cs="Times New Roman"/>
                <w:color w:val="000000" w:themeColor="text1"/>
              </w:rPr>
            </w:pPr>
            <w:r w:rsidRPr="00B947D9">
              <w:rPr>
                <w:rFonts w:ascii="Times New Roman" w:hAnsi="Times New Roman" w:cs="Times New Roman"/>
                <w:color w:val="000000" w:themeColor="text1"/>
              </w:rPr>
              <w:t>Announcement date 04/09/2014</w:t>
            </w:r>
          </w:p>
        </w:tc>
        <w:tc>
          <w:tcPr>
            <w:tcW w:w="1619" w:type="dxa"/>
            <w:tcBorders>
              <w:top w:val="single" w:sz="4" w:space="0" w:color="auto"/>
              <w:left w:val="nil"/>
              <w:bottom w:val="nil"/>
              <w:right w:val="nil"/>
            </w:tcBorders>
          </w:tcPr>
          <w:p w14:paraId="1B0F6CB6"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+0.55</w:t>
            </w:r>
          </w:p>
        </w:tc>
        <w:tc>
          <w:tcPr>
            <w:tcW w:w="2268" w:type="dxa"/>
            <w:tcBorders>
              <w:top w:val="single" w:sz="4" w:space="0" w:color="auto"/>
              <w:left w:val="nil"/>
              <w:right w:val="nil"/>
            </w:tcBorders>
          </w:tcPr>
          <w:p w14:paraId="39CA3D89"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+1.75</w:t>
            </w:r>
          </w:p>
        </w:tc>
        <w:tc>
          <w:tcPr>
            <w:tcW w:w="2268" w:type="dxa"/>
            <w:tcBorders>
              <w:top w:val="single" w:sz="4" w:space="0" w:color="auto"/>
              <w:left w:val="nil"/>
            </w:tcBorders>
          </w:tcPr>
          <w:p w14:paraId="1EA78C2F"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-0.419</w:t>
            </w:r>
          </w:p>
        </w:tc>
      </w:tr>
      <w:tr w:rsidR="008E1EBD" w:rsidRPr="00B947D9" w14:paraId="368E14B9" w14:textId="77777777" w:rsidTr="00D76E6D">
        <w:trPr>
          <w:jc w:val="center"/>
        </w:trPr>
        <w:tc>
          <w:tcPr>
            <w:tcW w:w="2350" w:type="dxa"/>
            <w:tcBorders>
              <w:right w:val="nil"/>
            </w:tcBorders>
          </w:tcPr>
          <w:p w14:paraId="1AE03D11" w14:textId="77777777" w:rsidR="00F00BD3" w:rsidRPr="00B947D9" w:rsidRDefault="00F00BD3" w:rsidP="005738F5">
            <w:pPr>
              <w:rPr>
                <w:rFonts w:ascii="Times New Roman" w:hAnsi="Times New Roman" w:cs="Times New Roman"/>
                <w:color w:val="000000" w:themeColor="text1"/>
              </w:rPr>
            </w:pPr>
            <w:r w:rsidRPr="00B947D9">
              <w:rPr>
                <w:rFonts w:ascii="Times New Roman" w:hAnsi="Times New Roman" w:cs="Times New Roman"/>
                <w:color w:val="000000" w:themeColor="text1"/>
              </w:rPr>
              <w:t>Implementation date 21/11/2014</w:t>
            </w:r>
          </w:p>
        </w:tc>
        <w:tc>
          <w:tcPr>
            <w:tcW w:w="1619" w:type="dxa"/>
            <w:tcBorders>
              <w:top w:val="nil"/>
              <w:left w:val="nil"/>
              <w:bottom w:val="nil"/>
              <w:right w:val="nil"/>
            </w:tcBorders>
          </w:tcPr>
          <w:p w14:paraId="279364E8"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+0.36</w:t>
            </w:r>
          </w:p>
        </w:tc>
        <w:tc>
          <w:tcPr>
            <w:tcW w:w="2268" w:type="dxa"/>
            <w:tcBorders>
              <w:left w:val="nil"/>
              <w:right w:val="nil"/>
            </w:tcBorders>
          </w:tcPr>
          <w:p w14:paraId="5C92E6CE"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+3.52</w:t>
            </w:r>
          </w:p>
        </w:tc>
        <w:tc>
          <w:tcPr>
            <w:tcW w:w="2268" w:type="dxa"/>
            <w:tcBorders>
              <w:left w:val="nil"/>
            </w:tcBorders>
          </w:tcPr>
          <w:p w14:paraId="0AAD5477"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-0.292</w:t>
            </w:r>
          </w:p>
        </w:tc>
      </w:tr>
      <w:tr w:rsidR="008E1EBD" w:rsidRPr="00B947D9" w14:paraId="0AF69B90" w14:textId="77777777" w:rsidTr="00D76E6D">
        <w:trPr>
          <w:jc w:val="center"/>
        </w:trPr>
        <w:tc>
          <w:tcPr>
            <w:tcW w:w="2350" w:type="dxa"/>
            <w:tcBorders>
              <w:right w:val="nil"/>
            </w:tcBorders>
          </w:tcPr>
          <w:p w14:paraId="03BDDF98" w14:textId="77777777" w:rsidR="00F00BD3" w:rsidRPr="00B947D9" w:rsidRDefault="00F00BD3" w:rsidP="005738F5">
            <w:pPr>
              <w:rPr>
                <w:rFonts w:ascii="Times New Roman" w:hAnsi="Times New Roman" w:cs="Times New Roman"/>
                <w:color w:val="000000" w:themeColor="text1"/>
              </w:rPr>
            </w:pPr>
            <w:r w:rsidRPr="00B947D9">
              <w:rPr>
                <w:rFonts w:ascii="Times New Roman" w:hAnsi="Times New Roman" w:cs="Times New Roman"/>
                <w:color w:val="000000" w:themeColor="text1"/>
              </w:rPr>
              <w:t>Cumulative effects</w:t>
            </w:r>
          </w:p>
        </w:tc>
        <w:tc>
          <w:tcPr>
            <w:tcW w:w="1619" w:type="dxa"/>
            <w:tcBorders>
              <w:top w:val="nil"/>
              <w:left w:val="nil"/>
              <w:bottom w:val="double" w:sz="4" w:space="0" w:color="auto"/>
              <w:right w:val="nil"/>
            </w:tcBorders>
          </w:tcPr>
          <w:p w14:paraId="26376A4A"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+0.91</w:t>
            </w:r>
          </w:p>
        </w:tc>
        <w:tc>
          <w:tcPr>
            <w:tcW w:w="2268" w:type="dxa"/>
            <w:tcBorders>
              <w:left w:val="nil"/>
              <w:right w:val="nil"/>
            </w:tcBorders>
          </w:tcPr>
          <w:p w14:paraId="36F568D5"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+5.27</w:t>
            </w:r>
          </w:p>
        </w:tc>
        <w:tc>
          <w:tcPr>
            <w:tcW w:w="2268" w:type="dxa"/>
            <w:tcBorders>
              <w:left w:val="nil"/>
              <w:bottom w:val="double" w:sz="4" w:space="0" w:color="auto"/>
            </w:tcBorders>
          </w:tcPr>
          <w:p w14:paraId="7FC385F2" w14:textId="77777777" w:rsidR="00F00BD3" w:rsidRPr="00B947D9" w:rsidRDefault="00F00BD3" w:rsidP="005738F5">
            <w:pPr>
              <w:jc w:val="center"/>
              <w:rPr>
                <w:rFonts w:ascii="Times New Roman" w:hAnsi="Times New Roman" w:cs="Times New Roman"/>
                <w:color w:val="000000" w:themeColor="text1"/>
              </w:rPr>
            </w:pPr>
            <w:r w:rsidRPr="00B947D9">
              <w:rPr>
                <w:rFonts w:ascii="Times New Roman" w:hAnsi="Times New Roman" w:cs="Times New Roman"/>
                <w:color w:val="000000" w:themeColor="text1"/>
              </w:rPr>
              <w:t>-0.711</w:t>
            </w:r>
          </w:p>
        </w:tc>
      </w:tr>
    </w:tbl>
    <w:p w14:paraId="11BA1677" w14:textId="77777777" w:rsidR="00AE56AA" w:rsidRPr="00B947D9" w:rsidRDefault="00AE56AA" w:rsidP="00AE56AA">
      <w:pPr>
        <w:spacing w:line="480" w:lineRule="auto"/>
        <w:jc w:val="both"/>
        <w:rPr>
          <w:rFonts w:ascii="Times New Roman" w:hAnsi="Times New Roman"/>
          <w:color w:val="000000" w:themeColor="text1"/>
          <w:lang w:val="en-US"/>
        </w:rPr>
      </w:pPr>
    </w:p>
    <w:p w14:paraId="0D968D95" w14:textId="0166E4D8" w:rsidR="007D4876" w:rsidRPr="00B947D9" w:rsidRDefault="007D4876" w:rsidP="00AE56AA">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In the second step of our analysis, we simulate the price shocks on the different wealth assets constructed in section 3.1., namely </w:t>
      </w:r>
      <w:r w:rsidRPr="00B947D9">
        <w:rPr>
          <w:rFonts w:ascii="Times New Roman" w:hAnsi="Times New Roman"/>
          <w:i/>
          <w:iCs/>
          <w:color w:val="000000" w:themeColor="text1"/>
          <w:lang w:val="en-US"/>
        </w:rPr>
        <w:t>Housing</w:t>
      </w:r>
      <w:r w:rsidRPr="00B947D9">
        <w:rPr>
          <w:rFonts w:ascii="Times New Roman" w:hAnsi="Times New Roman"/>
          <w:color w:val="000000" w:themeColor="text1"/>
          <w:lang w:val="en-US"/>
        </w:rPr>
        <w:t xml:space="preserve">, </w:t>
      </w:r>
      <w:r w:rsidRPr="00B947D9">
        <w:rPr>
          <w:rFonts w:ascii="Times New Roman" w:hAnsi="Times New Roman"/>
          <w:i/>
          <w:iCs/>
          <w:color w:val="000000" w:themeColor="text1"/>
          <w:lang w:val="en-US"/>
        </w:rPr>
        <w:t>Equity</w:t>
      </w:r>
      <w:r w:rsidRPr="00B947D9">
        <w:rPr>
          <w:rFonts w:ascii="Times New Roman" w:hAnsi="Times New Roman"/>
          <w:color w:val="000000" w:themeColor="text1"/>
          <w:lang w:val="en-US"/>
        </w:rPr>
        <w:t xml:space="preserve">, and </w:t>
      </w:r>
      <w:r w:rsidRPr="00B947D9">
        <w:rPr>
          <w:rFonts w:ascii="Times New Roman" w:hAnsi="Times New Roman"/>
          <w:i/>
          <w:iCs/>
          <w:color w:val="000000" w:themeColor="text1"/>
          <w:lang w:val="en-US"/>
        </w:rPr>
        <w:t>Bonds</w:t>
      </w:r>
      <w:r w:rsidR="00F5513C" w:rsidRPr="00B947D9">
        <w:rPr>
          <w:rFonts w:ascii="Times New Roman" w:hAnsi="Times New Roman"/>
          <w:color w:val="000000" w:themeColor="text1"/>
          <w:lang w:val="en-US"/>
        </w:rPr>
        <w:t xml:space="preserve"> for the second wave of the HFCS survey</w:t>
      </w:r>
      <w:r w:rsidRPr="00B947D9">
        <w:rPr>
          <w:rFonts w:ascii="Times New Roman" w:hAnsi="Times New Roman"/>
          <w:color w:val="000000" w:themeColor="text1"/>
          <w:lang w:val="en-US"/>
        </w:rPr>
        <w:t xml:space="preserve">. </w:t>
      </w:r>
      <w:r w:rsidR="00F5513C" w:rsidRPr="00B947D9">
        <w:rPr>
          <w:rFonts w:ascii="Times New Roman" w:hAnsi="Times New Roman"/>
          <w:color w:val="000000" w:themeColor="text1"/>
          <w:lang w:val="en-US"/>
        </w:rPr>
        <w:t xml:space="preserve">The premise is that since the unconventional monetary policy measures were effective in 2014, it is the assets reported on the second wave that will be affected. </w:t>
      </w:r>
      <w:r w:rsidRPr="00B947D9">
        <w:rPr>
          <w:rFonts w:ascii="Times New Roman" w:hAnsi="Times New Roman"/>
          <w:color w:val="000000" w:themeColor="text1"/>
          <w:lang w:val="en-US"/>
        </w:rPr>
        <w:t xml:space="preserve">To do so, we scale each of these subcomponents to its household’s net wealth and we multiply these ratios with the percentage changes in the prices </w:t>
      </w:r>
      <w:r w:rsidR="00291A61" w:rsidRPr="00B947D9">
        <w:rPr>
          <w:rFonts w:ascii="Times New Roman" w:hAnsi="Times New Roman"/>
          <w:color w:val="000000" w:themeColor="text1"/>
          <w:lang w:val="en-US"/>
        </w:rPr>
        <w:t>described above</w:t>
      </w:r>
      <w:r w:rsidRPr="00B947D9">
        <w:rPr>
          <w:rFonts w:ascii="Times New Roman" w:hAnsi="Times New Roman"/>
          <w:color w:val="000000" w:themeColor="text1"/>
          <w:lang w:val="en-US"/>
        </w:rPr>
        <w:t>.</w:t>
      </w:r>
      <w:r w:rsidRPr="00B947D9">
        <w:rPr>
          <w:rStyle w:val="FootnoteReference"/>
          <w:rFonts w:ascii="Times New Roman" w:hAnsi="Times New Roman"/>
          <w:color w:val="000000" w:themeColor="text1"/>
          <w:lang w:val="en-US"/>
        </w:rPr>
        <w:footnoteReference w:id="5"/>
      </w:r>
      <w:r w:rsidR="00D01DCD" w:rsidRPr="00B947D9">
        <w:rPr>
          <w:rFonts w:ascii="Times New Roman" w:hAnsi="Times New Roman"/>
          <w:color w:val="000000" w:themeColor="text1"/>
          <w:lang w:val="en-US"/>
        </w:rPr>
        <w:t xml:space="preserve"> Then, we estimate the capital gains on net wealth, and the </w:t>
      </w:r>
      <w:r w:rsidR="00831408" w:rsidRPr="00B947D9">
        <w:rPr>
          <w:rFonts w:ascii="Times New Roman" w:hAnsi="Times New Roman"/>
          <w:color w:val="000000" w:themeColor="text1"/>
          <w:lang w:val="en-US"/>
        </w:rPr>
        <w:t xml:space="preserve">wealth </w:t>
      </w:r>
      <w:r w:rsidR="00D01DCD" w:rsidRPr="00B947D9">
        <w:rPr>
          <w:rFonts w:ascii="Times New Roman" w:hAnsi="Times New Roman"/>
          <w:color w:val="000000" w:themeColor="text1"/>
          <w:lang w:val="en-US"/>
        </w:rPr>
        <w:t xml:space="preserve">distribution arising from each different policy. </w:t>
      </w:r>
      <w:r w:rsidR="006E689C">
        <w:rPr>
          <w:rFonts w:ascii="Times New Roman" w:hAnsi="Times New Roman"/>
          <w:color w:val="000000" w:themeColor="text1"/>
          <w:lang w:val="en-US"/>
        </w:rPr>
        <w:t>Finally, w</w:t>
      </w:r>
      <w:r w:rsidR="00D01DCD" w:rsidRPr="00B947D9">
        <w:rPr>
          <w:rFonts w:ascii="Times New Roman" w:hAnsi="Times New Roman"/>
          <w:color w:val="000000" w:themeColor="text1"/>
          <w:lang w:val="en-US"/>
        </w:rPr>
        <w:t xml:space="preserve">e </w:t>
      </w:r>
      <w:r w:rsidR="006E689C">
        <w:rPr>
          <w:rFonts w:ascii="Times New Roman" w:hAnsi="Times New Roman"/>
          <w:color w:val="000000" w:themeColor="text1"/>
          <w:lang w:val="en-US"/>
        </w:rPr>
        <w:t>identify</w:t>
      </w:r>
      <w:r w:rsidR="00EF1744">
        <w:rPr>
          <w:rFonts w:ascii="Times New Roman" w:hAnsi="Times New Roman"/>
          <w:color w:val="000000" w:themeColor="text1"/>
          <w:lang w:val="en-US"/>
        </w:rPr>
        <w:t xml:space="preserve"> the different</w:t>
      </w:r>
      <w:r w:rsidR="006E689C">
        <w:rPr>
          <w:rFonts w:ascii="Times New Roman" w:hAnsi="Times New Roman"/>
          <w:color w:val="000000" w:themeColor="text1"/>
          <w:lang w:val="en-US"/>
        </w:rPr>
        <w:t>ial</w:t>
      </w:r>
      <w:r w:rsidR="00EF1744">
        <w:rPr>
          <w:rFonts w:ascii="Times New Roman" w:hAnsi="Times New Roman"/>
          <w:color w:val="000000" w:themeColor="text1"/>
          <w:lang w:val="en-US"/>
        </w:rPr>
        <w:t xml:space="preserve"> response of</w:t>
      </w:r>
      <w:r w:rsidR="00D01DCD" w:rsidRPr="00B947D9">
        <w:rPr>
          <w:rFonts w:ascii="Times New Roman" w:hAnsi="Times New Roman"/>
          <w:color w:val="000000" w:themeColor="text1"/>
          <w:lang w:val="en-US"/>
        </w:rPr>
        <w:t xml:space="preserve"> low versus high wealth households across countries</w:t>
      </w:r>
      <w:r w:rsidR="005D36F3" w:rsidRPr="00B947D9">
        <w:rPr>
          <w:rFonts w:ascii="Times New Roman" w:hAnsi="Times New Roman"/>
          <w:color w:val="000000" w:themeColor="text1"/>
          <w:lang w:val="en-US"/>
        </w:rPr>
        <w:t>.</w:t>
      </w:r>
    </w:p>
    <w:p w14:paraId="1BD6114F" w14:textId="60CAE0A2" w:rsidR="006A696D" w:rsidRPr="00B947D9" w:rsidRDefault="00772BF1" w:rsidP="000B52CD">
      <w:pPr>
        <w:pStyle w:val="Heading2"/>
        <w:spacing w:line="480" w:lineRule="auto"/>
        <w:rPr>
          <w:rFonts w:ascii="Times New Roman" w:hAnsi="Times New Roman"/>
          <w:i w:val="0"/>
          <w:iCs w:val="0"/>
          <w:color w:val="000000" w:themeColor="text1"/>
          <w:sz w:val="24"/>
          <w:szCs w:val="24"/>
        </w:rPr>
      </w:pPr>
      <w:r w:rsidRPr="00B947D9">
        <w:rPr>
          <w:rFonts w:ascii="Times New Roman" w:hAnsi="Times New Roman"/>
          <w:i w:val="0"/>
          <w:iCs w:val="0"/>
          <w:color w:val="000000" w:themeColor="text1"/>
          <w:sz w:val="24"/>
          <w:szCs w:val="24"/>
        </w:rPr>
        <w:t>3</w:t>
      </w:r>
      <w:r w:rsidR="006A696D" w:rsidRPr="00B947D9">
        <w:rPr>
          <w:rFonts w:ascii="Times New Roman" w:hAnsi="Times New Roman"/>
          <w:i w:val="0"/>
          <w:iCs w:val="0"/>
          <w:color w:val="000000" w:themeColor="text1"/>
          <w:sz w:val="24"/>
          <w:szCs w:val="24"/>
        </w:rPr>
        <w:t>.2. Results</w:t>
      </w:r>
    </w:p>
    <w:p w14:paraId="254E0A0B" w14:textId="7E76B55F" w:rsidR="000B52CD" w:rsidRPr="00B947D9" w:rsidRDefault="00242080" w:rsidP="000B52CD">
      <w:pPr>
        <w:pStyle w:val="Heading3"/>
        <w:spacing w:line="480" w:lineRule="auto"/>
        <w:jc w:val="both"/>
        <w:rPr>
          <w:rFonts w:ascii="Times New Roman" w:hAnsi="Times New Roman"/>
          <w:i/>
          <w:iCs/>
          <w:color w:val="000000" w:themeColor="text1"/>
          <w:sz w:val="24"/>
          <w:szCs w:val="24"/>
        </w:rPr>
      </w:pPr>
      <w:r w:rsidRPr="00B947D9">
        <w:rPr>
          <w:rFonts w:ascii="Times New Roman" w:hAnsi="Times New Roman"/>
          <w:i/>
          <w:iCs/>
          <w:color w:val="000000" w:themeColor="text1"/>
          <w:sz w:val="24"/>
          <w:szCs w:val="24"/>
        </w:rPr>
        <w:t>Overall e</w:t>
      </w:r>
      <w:r w:rsidR="000B52CD" w:rsidRPr="00B947D9">
        <w:rPr>
          <w:rFonts w:ascii="Times New Roman" w:hAnsi="Times New Roman"/>
          <w:i/>
          <w:iCs/>
          <w:color w:val="000000" w:themeColor="text1"/>
          <w:sz w:val="24"/>
          <w:szCs w:val="24"/>
        </w:rPr>
        <w:t>ffects on wealth distribution</w:t>
      </w:r>
    </w:p>
    <w:p w14:paraId="06202803" w14:textId="3BE7E8ED" w:rsidR="00941C2B" w:rsidRPr="00B947D9" w:rsidRDefault="000B52CD" w:rsidP="00941C2B">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rPr>
        <w:t>We start with</w:t>
      </w:r>
      <w:r w:rsidRPr="00B947D9">
        <w:rPr>
          <w:rFonts w:ascii="Times New Roman" w:hAnsi="Times New Roman"/>
          <w:color w:val="000000" w:themeColor="text1"/>
          <w:lang w:val="en-US"/>
        </w:rPr>
        <w:t xml:space="preserve"> the effect of each of the three unconventional monetary policy measures on household’s capital gains across the distribution of the net wealth. </w:t>
      </w:r>
      <w:r w:rsidR="004967F8" w:rsidRPr="00B947D9">
        <w:rPr>
          <w:rFonts w:ascii="Times New Roman" w:hAnsi="Times New Roman"/>
          <w:color w:val="000000" w:themeColor="text1"/>
          <w:lang w:val="en-US"/>
        </w:rPr>
        <w:t>We examine the effect on 6 groups across the wealth distribution, namely the lowest 25%, the 25-50%, the 50-75%, the 75-95%, the 95-99%, and the top 1% of the wealth distribution.</w:t>
      </w:r>
      <w:r w:rsidR="00572EA7" w:rsidRPr="00B947D9">
        <w:rPr>
          <w:rFonts w:ascii="Times New Roman" w:hAnsi="Times New Roman"/>
          <w:color w:val="000000" w:themeColor="text1"/>
          <w:lang w:val="en-US"/>
        </w:rPr>
        <w:t xml:space="preserve"> We report the top 1% of the distribution, as we expect that these households will experience a further increase in their wealth due to the QE programs</w:t>
      </w:r>
      <w:r w:rsidR="00D47BAA" w:rsidRPr="00B947D9">
        <w:rPr>
          <w:rFonts w:ascii="Times New Roman" w:hAnsi="Times New Roman"/>
          <w:color w:val="000000" w:themeColor="text1"/>
          <w:lang w:val="en-US"/>
        </w:rPr>
        <w:t xml:space="preserve"> since</w:t>
      </w:r>
      <w:r w:rsidR="00572EA7" w:rsidRPr="00B947D9">
        <w:rPr>
          <w:rFonts w:ascii="Times New Roman" w:hAnsi="Times New Roman"/>
          <w:color w:val="000000" w:themeColor="text1"/>
          <w:lang w:val="en-US"/>
        </w:rPr>
        <w:t xml:space="preserve"> they are holding a higher </w:t>
      </w:r>
      <w:r w:rsidR="00657CCE">
        <w:rPr>
          <w:rFonts w:ascii="Times New Roman" w:hAnsi="Times New Roman"/>
          <w:color w:val="000000" w:themeColor="text1"/>
          <w:lang w:val="en-US"/>
        </w:rPr>
        <w:t>share</w:t>
      </w:r>
      <w:r w:rsidR="00572EA7" w:rsidRPr="00B947D9">
        <w:rPr>
          <w:rFonts w:ascii="Times New Roman" w:hAnsi="Times New Roman"/>
          <w:color w:val="000000" w:themeColor="text1"/>
          <w:lang w:val="en-US"/>
        </w:rPr>
        <w:t xml:space="preserve"> of equity and bonds.</w:t>
      </w:r>
      <w:r w:rsidR="004967F8"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Figure </w:t>
      </w:r>
      <w:r w:rsidR="004868BB" w:rsidRPr="00B947D9">
        <w:rPr>
          <w:rFonts w:ascii="Times New Roman" w:hAnsi="Times New Roman"/>
          <w:color w:val="000000" w:themeColor="text1"/>
          <w:lang w:val="en-US"/>
        </w:rPr>
        <w:t>1</w:t>
      </w:r>
      <w:r w:rsidR="00D36878">
        <w:rPr>
          <w:rFonts w:ascii="Times New Roman" w:hAnsi="Times New Roman"/>
          <w:color w:val="000000" w:themeColor="text1"/>
          <w:lang w:val="en-US"/>
        </w:rPr>
        <w:t>4</w:t>
      </w:r>
      <w:r w:rsidRPr="00B947D9">
        <w:rPr>
          <w:rFonts w:ascii="Times New Roman" w:hAnsi="Times New Roman"/>
          <w:color w:val="000000" w:themeColor="text1"/>
          <w:lang w:val="en-US"/>
        </w:rPr>
        <w:t xml:space="preserve"> </w:t>
      </w:r>
      <w:r w:rsidR="004967F8" w:rsidRPr="00B947D9">
        <w:rPr>
          <w:rFonts w:ascii="Times New Roman" w:hAnsi="Times New Roman"/>
          <w:color w:val="000000" w:themeColor="text1"/>
          <w:lang w:val="en-US"/>
        </w:rPr>
        <w:t>shows</w:t>
      </w:r>
      <w:r w:rsidRPr="00B947D9">
        <w:rPr>
          <w:rFonts w:ascii="Times New Roman" w:hAnsi="Times New Roman"/>
          <w:color w:val="000000" w:themeColor="text1"/>
          <w:lang w:val="en-US"/>
        </w:rPr>
        <w:t xml:space="preserve"> the</w:t>
      </w:r>
      <w:r w:rsidR="004967F8" w:rsidRPr="00B947D9">
        <w:rPr>
          <w:rFonts w:ascii="Times New Roman" w:hAnsi="Times New Roman"/>
          <w:color w:val="000000" w:themeColor="text1"/>
          <w:lang w:val="en-US"/>
        </w:rPr>
        <w:t xml:space="preserve"> effect on</w:t>
      </w:r>
      <w:r w:rsidRPr="00B947D9">
        <w:rPr>
          <w:rFonts w:ascii="Times New Roman" w:hAnsi="Times New Roman"/>
          <w:color w:val="000000" w:themeColor="text1"/>
          <w:lang w:val="en-US"/>
        </w:rPr>
        <w:t xml:space="preserve"> capital gains associated with </w:t>
      </w:r>
      <w:r w:rsidR="00F5513C" w:rsidRPr="00B947D9">
        <w:rPr>
          <w:rFonts w:ascii="Times New Roman" w:hAnsi="Times New Roman"/>
          <w:color w:val="000000" w:themeColor="text1"/>
          <w:lang w:val="en-US"/>
        </w:rPr>
        <w:t>any of the</w:t>
      </w:r>
      <w:r w:rsidRPr="00B947D9">
        <w:rPr>
          <w:rFonts w:ascii="Times New Roman" w:hAnsi="Times New Roman"/>
          <w:color w:val="000000" w:themeColor="text1"/>
          <w:lang w:val="en-US"/>
        </w:rPr>
        <w:t xml:space="preserve"> three </w:t>
      </w:r>
      <w:r w:rsidR="00F5513C" w:rsidRPr="00B947D9">
        <w:rPr>
          <w:rFonts w:ascii="Times New Roman" w:hAnsi="Times New Roman"/>
          <w:color w:val="000000" w:themeColor="text1"/>
          <w:lang w:val="en-US"/>
        </w:rPr>
        <w:t>measures (NDFR, CBPP3, and ABSPP) as well the</w:t>
      </w:r>
      <w:r w:rsidR="004450A7" w:rsidRPr="00B947D9">
        <w:rPr>
          <w:rFonts w:ascii="Times New Roman" w:hAnsi="Times New Roman"/>
          <w:color w:val="000000" w:themeColor="text1"/>
          <w:lang w:val="en-US"/>
        </w:rPr>
        <w:t>ir</w:t>
      </w:r>
      <w:r w:rsidR="00F5513C" w:rsidRPr="00B947D9">
        <w:rPr>
          <w:rFonts w:ascii="Times New Roman" w:hAnsi="Times New Roman"/>
          <w:color w:val="000000" w:themeColor="text1"/>
          <w:lang w:val="en-US"/>
        </w:rPr>
        <w:t xml:space="preserve"> overall effect.</w:t>
      </w:r>
    </w:p>
    <w:p w14:paraId="12151978" w14:textId="20A90F4E" w:rsidR="00941C2B" w:rsidRPr="00B947D9" w:rsidRDefault="00941C2B" w:rsidP="00941C2B">
      <w:pPr>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w:t>
      </w:r>
      <w:r w:rsidR="00D36878">
        <w:rPr>
          <w:rFonts w:ascii="Times New Roman" w:hAnsi="Times New Roman"/>
          <w:b/>
          <w:bCs/>
          <w:color w:val="000000" w:themeColor="text1"/>
          <w:lang w:val="en-US"/>
        </w:rPr>
        <w:t>4</w:t>
      </w:r>
      <w:r w:rsidRPr="00B947D9">
        <w:rPr>
          <w:rFonts w:ascii="Times New Roman" w:hAnsi="Times New Roman"/>
          <w:b/>
          <w:bCs/>
          <w:color w:val="000000" w:themeColor="text1"/>
          <w:lang w:val="en-US"/>
        </w:rPr>
        <w:t xml:space="preserve">. </w:t>
      </w:r>
      <w:r w:rsidRPr="00B947D9">
        <w:rPr>
          <w:rFonts w:ascii="Times New Roman" w:hAnsi="Times New Roman"/>
          <w:color w:val="000000" w:themeColor="text1"/>
          <w:lang w:val="en-US"/>
        </w:rPr>
        <w:t>The effect on capital gains, based on 2014 data</w:t>
      </w:r>
    </w:p>
    <w:p w14:paraId="45B6D4F8" w14:textId="31575F2A" w:rsidR="00941C2B" w:rsidRPr="00B947D9" w:rsidRDefault="00664FA0" w:rsidP="00941C2B">
      <w:pPr>
        <w:jc w:val="center"/>
        <w:rPr>
          <w:rFonts w:ascii="Times New Roman" w:hAnsi="Times New Roman"/>
          <w:b/>
          <w:bCs/>
          <w:color w:val="000000" w:themeColor="text1"/>
          <w:lang w:val="en-US"/>
        </w:rPr>
      </w:pPr>
      <w:r w:rsidRPr="00B947D9">
        <w:rPr>
          <w:rFonts w:ascii="Times New Roman" w:hAnsi="Times New Roman"/>
          <w:noProof/>
          <w:color w:val="000000" w:themeColor="text1"/>
        </w:rPr>
        <w:drawing>
          <wp:inline distT="0" distB="0" distL="0" distR="0" wp14:anchorId="7FEAAC11" wp14:editId="68D808E7">
            <wp:extent cx="5038725" cy="2795588"/>
            <wp:effectExtent l="0" t="0" r="9525" b="5080"/>
            <wp:docPr id="1364022663" name="Chart 1">
              <a:extLst xmlns:a="http://schemas.openxmlformats.org/drawingml/2006/main">
                <a:ext uri="{FF2B5EF4-FFF2-40B4-BE49-F238E27FC236}">
                  <a16:creationId xmlns:a16="http://schemas.microsoft.com/office/drawing/2014/main" id="{1F670A4D-A400-41CC-A3EC-08B2CAE8DF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270F3FC" w14:textId="77777777" w:rsidR="00941C2B" w:rsidRPr="00B947D9" w:rsidRDefault="00941C2B" w:rsidP="00941C2B">
      <w:pPr>
        <w:rPr>
          <w:rFonts w:ascii="Times New Roman" w:hAnsi="Times New Roman"/>
          <w:b/>
          <w:bCs/>
          <w:color w:val="000000" w:themeColor="text1"/>
          <w:lang w:val="en-US"/>
        </w:rPr>
      </w:pPr>
    </w:p>
    <w:p w14:paraId="2C61BCAD" w14:textId="71E8EC0D" w:rsidR="000B52CD" w:rsidRPr="00B947D9" w:rsidRDefault="00664FA0" w:rsidP="00550AF0">
      <w:pPr>
        <w:spacing w:line="480" w:lineRule="auto"/>
        <w:ind w:firstLine="720"/>
        <w:jc w:val="both"/>
        <w:rPr>
          <w:rFonts w:ascii="Times New Roman" w:hAnsi="Times New Roman"/>
          <w:color w:val="000000" w:themeColor="text1"/>
        </w:rPr>
      </w:pPr>
      <w:r w:rsidRPr="00B947D9">
        <w:rPr>
          <w:rFonts w:ascii="Times New Roman" w:hAnsi="Times New Roman"/>
          <w:color w:val="000000" w:themeColor="text1"/>
          <w:lang w:val="en-US"/>
        </w:rPr>
        <w:t xml:space="preserve">Our results suggest that the </w:t>
      </w:r>
      <w:r w:rsidR="00550AF0" w:rsidRPr="00B947D9">
        <w:rPr>
          <w:rFonts w:ascii="Times New Roman" w:hAnsi="Times New Roman"/>
          <w:color w:val="000000" w:themeColor="text1"/>
          <w:lang w:val="en-US"/>
        </w:rPr>
        <w:t>low wealth</w:t>
      </w:r>
      <w:r w:rsidRPr="00B947D9">
        <w:rPr>
          <w:rFonts w:ascii="Times New Roman" w:hAnsi="Times New Roman"/>
          <w:color w:val="000000" w:themeColor="text1"/>
          <w:lang w:val="en-US"/>
        </w:rPr>
        <w:t xml:space="preserve"> (25%)</w:t>
      </w:r>
      <w:r w:rsidR="003150B6" w:rsidRPr="00B947D9">
        <w:rPr>
          <w:rFonts w:ascii="Times New Roman" w:hAnsi="Times New Roman"/>
          <w:color w:val="000000" w:themeColor="text1"/>
          <w:lang w:val="en-US"/>
        </w:rPr>
        <w:t xml:space="preserve"> group</w:t>
      </w:r>
      <w:r w:rsidRPr="00B947D9">
        <w:rPr>
          <w:rFonts w:ascii="Times New Roman" w:hAnsi="Times New Roman"/>
          <w:color w:val="000000" w:themeColor="text1"/>
          <w:lang w:val="en-US"/>
        </w:rPr>
        <w:t xml:space="preserve"> </w:t>
      </w:r>
      <w:r w:rsidR="00550AF0" w:rsidRPr="00B947D9">
        <w:rPr>
          <w:rFonts w:ascii="Times New Roman" w:hAnsi="Times New Roman"/>
          <w:color w:val="000000" w:themeColor="text1"/>
          <w:lang w:val="en-US"/>
        </w:rPr>
        <w:t>experienced</w:t>
      </w:r>
      <w:r w:rsidRPr="00B947D9">
        <w:rPr>
          <w:rFonts w:ascii="Times New Roman" w:hAnsi="Times New Roman"/>
          <w:color w:val="000000" w:themeColor="text1"/>
          <w:lang w:val="en-US"/>
        </w:rPr>
        <w:t xml:space="preserve"> </w:t>
      </w:r>
      <w:r w:rsidR="00550AF0" w:rsidRPr="00B947D9">
        <w:rPr>
          <w:rFonts w:ascii="Times New Roman" w:hAnsi="Times New Roman"/>
          <w:color w:val="000000" w:themeColor="text1"/>
          <w:lang w:val="en-US"/>
        </w:rPr>
        <w:t xml:space="preserve">relatively </w:t>
      </w:r>
      <w:r w:rsidRPr="00B947D9">
        <w:rPr>
          <w:rFonts w:ascii="Times New Roman" w:hAnsi="Times New Roman"/>
          <w:color w:val="000000" w:themeColor="text1"/>
          <w:lang w:val="en-US"/>
        </w:rPr>
        <w:t>more gains</w:t>
      </w:r>
      <w:r w:rsidR="00550AF0" w:rsidRPr="00B947D9">
        <w:rPr>
          <w:rFonts w:ascii="Times New Roman" w:hAnsi="Times New Roman"/>
          <w:color w:val="000000" w:themeColor="text1"/>
          <w:lang w:val="en-US"/>
        </w:rPr>
        <w:t xml:space="preserve"> from the NDFR compared to the middle groups. This is explained by</w:t>
      </w:r>
      <w:r w:rsidRPr="00B947D9">
        <w:rPr>
          <w:rFonts w:ascii="Times New Roman" w:hAnsi="Times New Roman"/>
          <w:color w:val="000000" w:themeColor="text1"/>
          <w:lang w:val="en-US"/>
        </w:rPr>
        <w:t xml:space="preserve"> </w:t>
      </w:r>
      <w:r w:rsidR="003150B6" w:rsidRPr="00B947D9">
        <w:rPr>
          <w:rFonts w:ascii="Times New Roman" w:hAnsi="Times New Roman"/>
          <w:color w:val="000000" w:themeColor="text1"/>
          <w:lang w:val="en-US"/>
        </w:rPr>
        <w:t xml:space="preserve">the combined fact that </w:t>
      </w:r>
      <w:r w:rsidRPr="00B947D9">
        <w:rPr>
          <w:rFonts w:ascii="Times New Roman" w:hAnsi="Times New Roman"/>
          <w:color w:val="000000" w:themeColor="text1"/>
          <w:lang w:val="en-US"/>
        </w:rPr>
        <w:t>t</w:t>
      </w:r>
      <w:r w:rsidR="000B52CD" w:rsidRPr="00B947D9">
        <w:rPr>
          <w:rFonts w:ascii="Times New Roman" w:hAnsi="Times New Roman"/>
          <w:color w:val="000000" w:themeColor="text1"/>
          <w:lang w:val="en-US"/>
        </w:rPr>
        <w:t>he negative deposit facility rate</w:t>
      </w:r>
      <w:r w:rsidR="00550AF0" w:rsidRPr="00B947D9">
        <w:rPr>
          <w:rFonts w:ascii="Times New Roman" w:hAnsi="Times New Roman"/>
          <w:color w:val="000000" w:themeColor="text1"/>
          <w:lang w:val="en-US"/>
        </w:rPr>
        <w:t xml:space="preserve"> cumulatively</w:t>
      </w:r>
      <w:r w:rsidR="000B52CD" w:rsidRPr="00B947D9">
        <w:rPr>
          <w:rFonts w:ascii="Times New Roman" w:hAnsi="Times New Roman"/>
          <w:color w:val="000000" w:themeColor="text1"/>
          <w:lang w:val="en-US"/>
        </w:rPr>
        <w:t xml:space="preserve"> affect</w:t>
      </w:r>
      <w:r w:rsidR="003150B6" w:rsidRPr="00B947D9">
        <w:rPr>
          <w:rFonts w:ascii="Times New Roman" w:hAnsi="Times New Roman"/>
          <w:color w:val="000000" w:themeColor="text1"/>
          <w:lang w:val="en-US"/>
        </w:rPr>
        <w:t>s</w:t>
      </w:r>
      <w:r w:rsidR="000B52CD" w:rsidRPr="00B947D9">
        <w:rPr>
          <w:rFonts w:ascii="Times New Roman" w:hAnsi="Times New Roman"/>
          <w:color w:val="000000" w:themeColor="text1"/>
          <w:lang w:val="en-US"/>
        </w:rPr>
        <w:t xml:space="preserve"> housing prices</w:t>
      </w:r>
      <w:r w:rsidR="003150B6" w:rsidRPr="00B947D9">
        <w:rPr>
          <w:rFonts w:ascii="Times New Roman" w:hAnsi="Times New Roman"/>
          <w:color w:val="000000" w:themeColor="text1"/>
          <w:lang w:val="en-US"/>
        </w:rPr>
        <w:t xml:space="preserve"> relatively more</w:t>
      </w:r>
      <w:r w:rsidR="000B52CD" w:rsidRPr="00B947D9">
        <w:rPr>
          <w:rFonts w:ascii="Times New Roman" w:hAnsi="Times New Roman"/>
          <w:color w:val="000000" w:themeColor="text1"/>
          <w:lang w:val="en-US"/>
        </w:rPr>
        <w:t xml:space="preserve"> (</w:t>
      </w:r>
      <w:r w:rsidR="00550AF0" w:rsidRPr="00B947D9">
        <w:rPr>
          <w:rFonts w:ascii="Times New Roman" w:hAnsi="Times New Roman"/>
          <w:color w:val="000000" w:themeColor="text1"/>
          <w:lang w:val="en-US"/>
        </w:rPr>
        <w:t xml:space="preserve">see </w:t>
      </w:r>
      <w:r w:rsidR="000B52CD" w:rsidRPr="00B947D9">
        <w:rPr>
          <w:rFonts w:ascii="Times New Roman" w:hAnsi="Times New Roman"/>
          <w:color w:val="000000" w:themeColor="text1"/>
          <w:lang w:val="en-US"/>
        </w:rPr>
        <w:t xml:space="preserve">Table </w:t>
      </w:r>
      <w:r w:rsidRPr="00B947D9">
        <w:rPr>
          <w:rFonts w:ascii="Times New Roman" w:hAnsi="Times New Roman"/>
          <w:color w:val="000000" w:themeColor="text1"/>
          <w:lang w:val="en-US"/>
        </w:rPr>
        <w:t>3</w:t>
      </w:r>
      <w:r w:rsidR="00550AF0" w:rsidRPr="00B947D9">
        <w:rPr>
          <w:rFonts w:ascii="Times New Roman" w:hAnsi="Times New Roman"/>
          <w:color w:val="000000" w:themeColor="text1"/>
          <w:lang w:val="en-US"/>
        </w:rPr>
        <w:t>),</w:t>
      </w:r>
      <w:r w:rsidRPr="00B947D9">
        <w:rPr>
          <w:rFonts w:ascii="Times New Roman" w:hAnsi="Times New Roman"/>
          <w:color w:val="000000" w:themeColor="text1"/>
          <w:lang w:val="en-US"/>
        </w:rPr>
        <w:t xml:space="preserve"> </w:t>
      </w:r>
      <w:r w:rsidR="003150B6" w:rsidRPr="00B947D9">
        <w:rPr>
          <w:rFonts w:ascii="Times New Roman" w:hAnsi="Times New Roman"/>
          <w:color w:val="000000" w:themeColor="text1"/>
          <w:lang w:val="en-US"/>
        </w:rPr>
        <w:t>and</w:t>
      </w:r>
      <w:r w:rsidR="000B52CD" w:rsidRPr="00B947D9">
        <w:rPr>
          <w:rFonts w:ascii="Times New Roman" w:hAnsi="Times New Roman"/>
          <w:color w:val="000000" w:themeColor="text1"/>
          <w:lang w:val="en-US"/>
        </w:rPr>
        <w:t xml:space="preserve"> housing </w:t>
      </w:r>
      <w:r w:rsidR="003150B6" w:rsidRPr="00B947D9">
        <w:rPr>
          <w:rFonts w:ascii="Times New Roman" w:hAnsi="Times New Roman"/>
          <w:color w:val="000000" w:themeColor="text1"/>
          <w:lang w:val="en-US"/>
        </w:rPr>
        <w:t>being</w:t>
      </w:r>
      <w:r w:rsidR="000B52CD" w:rsidRPr="00B947D9">
        <w:rPr>
          <w:rFonts w:ascii="Times New Roman" w:hAnsi="Times New Roman"/>
          <w:color w:val="000000" w:themeColor="text1"/>
          <w:lang w:val="en-US"/>
        </w:rPr>
        <w:t xml:space="preserve"> the main component of wealth</w:t>
      </w:r>
      <w:r w:rsidRPr="00B947D9">
        <w:rPr>
          <w:rFonts w:ascii="Times New Roman" w:hAnsi="Times New Roman"/>
          <w:color w:val="000000" w:themeColor="text1"/>
          <w:lang w:val="en-US"/>
        </w:rPr>
        <w:t xml:space="preserve"> </w:t>
      </w:r>
      <w:r w:rsidR="000B52CD" w:rsidRPr="00B947D9">
        <w:rPr>
          <w:rFonts w:ascii="Times New Roman" w:hAnsi="Times New Roman"/>
          <w:color w:val="000000" w:themeColor="text1"/>
          <w:lang w:val="en-US"/>
        </w:rPr>
        <w:t xml:space="preserve">among </w:t>
      </w:r>
      <w:r w:rsidR="00550AF0" w:rsidRPr="00B947D9">
        <w:rPr>
          <w:rFonts w:ascii="Times New Roman" w:hAnsi="Times New Roman"/>
          <w:color w:val="000000" w:themeColor="text1"/>
          <w:lang w:val="en-US"/>
        </w:rPr>
        <w:t>low wealth</w:t>
      </w:r>
      <w:r w:rsidR="000B52CD" w:rsidRPr="00B947D9">
        <w:rPr>
          <w:rFonts w:ascii="Times New Roman" w:hAnsi="Times New Roman"/>
          <w:color w:val="000000" w:themeColor="text1"/>
          <w:lang w:val="en-US"/>
        </w:rPr>
        <w:t xml:space="preserve"> households</w:t>
      </w:r>
      <w:r w:rsidR="00550AF0" w:rsidRPr="00B947D9">
        <w:rPr>
          <w:rFonts w:ascii="Times New Roman" w:hAnsi="Times New Roman"/>
          <w:color w:val="000000" w:themeColor="text1"/>
          <w:lang w:val="en-US"/>
        </w:rPr>
        <w:t>.</w:t>
      </w:r>
      <w:r w:rsidR="000B52CD" w:rsidRPr="00B947D9">
        <w:rPr>
          <w:rFonts w:ascii="Times New Roman" w:hAnsi="Times New Roman"/>
          <w:color w:val="000000" w:themeColor="text1"/>
          <w:lang w:val="en-US"/>
        </w:rPr>
        <w:t xml:space="preserve"> </w:t>
      </w:r>
      <w:r w:rsidR="00550AF0" w:rsidRPr="00B947D9">
        <w:rPr>
          <w:rFonts w:ascii="Times New Roman" w:hAnsi="Times New Roman"/>
          <w:color w:val="000000" w:themeColor="text1"/>
          <w:lang w:val="en-US"/>
        </w:rPr>
        <w:t>A</w:t>
      </w:r>
      <w:r w:rsidR="000B52CD" w:rsidRPr="00B947D9">
        <w:rPr>
          <w:rFonts w:ascii="Times New Roman" w:hAnsi="Times New Roman"/>
          <w:color w:val="000000" w:themeColor="text1"/>
          <w:lang w:val="en-US"/>
        </w:rPr>
        <w:t>lso</w:t>
      </w:r>
      <w:r w:rsidR="00550AF0" w:rsidRPr="00B947D9">
        <w:rPr>
          <w:rFonts w:ascii="Times New Roman" w:hAnsi="Times New Roman"/>
          <w:color w:val="000000" w:themeColor="text1"/>
          <w:lang w:val="en-US"/>
        </w:rPr>
        <w:t>,</w:t>
      </w:r>
      <w:r w:rsidR="000B52CD" w:rsidRPr="00B947D9">
        <w:rPr>
          <w:rFonts w:ascii="Times New Roman" w:hAnsi="Times New Roman"/>
          <w:color w:val="000000" w:themeColor="text1"/>
          <w:lang w:val="en-US"/>
        </w:rPr>
        <w:t xml:space="preserve"> </w:t>
      </w:r>
      <w:r w:rsidR="00550AF0" w:rsidRPr="00B947D9">
        <w:rPr>
          <w:rFonts w:ascii="Times New Roman" w:hAnsi="Times New Roman"/>
          <w:color w:val="000000" w:themeColor="text1"/>
          <w:lang w:val="en-US"/>
        </w:rPr>
        <w:t xml:space="preserve">households at the top of the distribution </w:t>
      </w:r>
      <w:r w:rsidR="000B52CD" w:rsidRPr="00B947D9">
        <w:rPr>
          <w:rFonts w:ascii="Times New Roman" w:hAnsi="Times New Roman"/>
          <w:color w:val="000000" w:themeColor="text1"/>
          <w:lang w:val="en-US"/>
        </w:rPr>
        <w:t>invest more (relative to their net wealth holdings) in equities and bonds.</w:t>
      </w:r>
      <w:r w:rsidR="00550AF0" w:rsidRPr="00B947D9">
        <w:rPr>
          <w:rFonts w:ascii="Times New Roman" w:hAnsi="Times New Roman"/>
          <w:color w:val="000000" w:themeColor="text1"/>
        </w:rPr>
        <w:t xml:space="preserve"> </w:t>
      </w:r>
      <w:r w:rsidR="000B52CD" w:rsidRPr="00B947D9">
        <w:rPr>
          <w:rFonts w:ascii="Times New Roman" w:hAnsi="Times New Roman"/>
          <w:color w:val="000000" w:themeColor="text1"/>
          <w:lang w:val="en-US"/>
        </w:rPr>
        <w:t xml:space="preserve">On the other hand, the CBPP3 and the </w:t>
      </w:r>
      <w:r w:rsidR="00657CCE" w:rsidRPr="00B947D9">
        <w:rPr>
          <w:rFonts w:ascii="Times New Roman" w:hAnsi="Times New Roman"/>
          <w:color w:val="000000" w:themeColor="text1"/>
          <w:lang w:val="en-US"/>
        </w:rPr>
        <w:t>ABSPP</w:t>
      </w:r>
      <w:r w:rsidR="000B52CD" w:rsidRPr="00B947D9">
        <w:rPr>
          <w:rFonts w:ascii="Times New Roman" w:hAnsi="Times New Roman"/>
          <w:color w:val="000000" w:themeColor="text1"/>
          <w:lang w:val="en-US"/>
        </w:rPr>
        <w:t xml:space="preserve"> affect positively equities and bonds</w:t>
      </w:r>
      <w:r w:rsidR="003150B6" w:rsidRPr="00B947D9">
        <w:rPr>
          <w:rFonts w:ascii="Times New Roman" w:hAnsi="Times New Roman"/>
          <w:color w:val="000000" w:themeColor="text1"/>
          <w:lang w:val="en-US"/>
        </w:rPr>
        <w:t>,</w:t>
      </w:r>
      <w:r w:rsidR="000B52CD" w:rsidRPr="00B947D9">
        <w:rPr>
          <w:rFonts w:ascii="Times New Roman" w:hAnsi="Times New Roman"/>
          <w:color w:val="000000" w:themeColor="text1"/>
          <w:lang w:val="en-US"/>
        </w:rPr>
        <w:t xml:space="preserve"> and negatively housing prices. Thus, </w:t>
      </w:r>
      <w:r w:rsidR="00550AF0" w:rsidRPr="00B947D9">
        <w:rPr>
          <w:rFonts w:ascii="Times New Roman" w:hAnsi="Times New Roman"/>
          <w:color w:val="000000" w:themeColor="text1"/>
          <w:lang w:val="en-US"/>
        </w:rPr>
        <w:t>for</w:t>
      </w:r>
      <w:r w:rsidR="000B52CD" w:rsidRPr="00B947D9">
        <w:rPr>
          <w:rFonts w:ascii="Times New Roman" w:hAnsi="Times New Roman"/>
          <w:color w:val="000000" w:themeColor="text1"/>
          <w:lang w:val="en-US"/>
        </w:rPr>
        <w:t xml:space="preserve"> these two policies</w:t>
      </w:r>
      <w:r w:rsidR="00550AF0" w:rsidRPr="00B947D9">
        <w:rPr>
          <w:rFonts w:ascii="Times New Roman" w:hAnsi="Times New Roman"/>
          <w:color w:val="000000" w:themeColor="text1"/>
          <w:lang w:val="en-US"/>
        </w:rPr>
        <w:t>, it is mostly</w:t>
      </w:r>
      <w:r w:rsidR="000B52CD" w:rsidRPr="00B947D9">
        <w:rPr>
          <w:rFonts w:ascii="Times New Roman" w:hAnsi="Times New Roman"/>
          <w:color w:val="000000" w:themeColor="text1"/>
          <w:lang w:val="en-US"/>
        </w:rPr>
        <w:t xml:space="preserve"> the</w:t>
      </w:r>
      <w:r w:rsidR="00550AF0" w:rsidRPr="00B947D9">
        <w:rPr>
          <w:rFonts w:ascii="Times New Roman" w:hAnsi="Times New Roman"/>
          <w:color w:val="000000" w:themeColor="text1"/>
          <w:lang w:val="en-US"/>
        </w:rPr>
        <w:t xml:space="preserve"> households at the</w:t>
      </w:r>
      <w:r w:rsidR="000B52CD" w:rsidRPr="00B947D9">
        <w:rPr>
          <w:rFonts w:ascii="Times New Roman" w:hAnsi="Times New Roman"/>
          <w:color w:val="000000" w:themeColor="text1"/>
          <w:lang w:val="en-US"/>
        </w:rPr>
        <w:t xml:space="preserve"> top 5% </w:t>
      </w:r>
      <w:r w:rsidR="00550AF0" w:rsidRPr="00B947D9">
        <w:rPr>
          <w:rFonts w:ascii="Times New Roman" w:hAnsi="Times New Roman"/>
          <w:color w:val="000000" w:themeColor="text1"/>
          <w:lang w:val="en-US"/>
        </w:rPr>
        <w:t xml:space="preserve">of the distribution which </w:t>
      </w:r>
      <w:r w:rsidR="003150B6" w:rsidRPr="00B947D9">
        <w:rPr>
          <w:rFonts w:ascii="Times New Roman" w:hAnsi="Times New Roman"/>
          <w:color w:val="000000" w:themeColor="text1"/>
          <w:lang w:val="en-US"/>
        </w:rPr>
        <w:t>experience</w:t>
      </w:r>
      <w:r w:rsidR="00550AF0" w:rsidRPr="00B947D9">
        <w:rPr>
          <w:rFonts w:ascii="Times New Roman" w:hAnsi="Times New Roman"/>
          <w:color w:val="000000" w:themeColor="text1"/>
          <w:lang w:val="en-US"/>
        </w:rPr>
        <w:t xml:space="preserve"> substantial</w:t>
      </w:r>
      <w:r w:rsidR="000B52CD" w:rsidRPr="00B947D9">
        <w:rPr>
          <w:rFonts w:ascii="Times New Roman" w:hAnsi="Times New Roman"/>
          <w:color w:val="000000" w:themeColor="text1"/>
          <w:lang w:val="en-US"/>
        </w:rPr>
        <w:t xml:space="preserve"> capital gains</w:t>
      </w:r>
      <w:r w:rsidR="00550AF0" w:rsidRPr="00B947D9">
        <w:rPr>
          <w:rFonts w:ascii="Times New Roman" w:hAnsi="Times New Roman"/>
          <w:color w:val="000000" w:themeColor="text1"/>
          <w:lang w:val="en-US"/>
        </w:rPr>
        <w:t xml:space="preserve">. An even </w:t>
      </w:r>
      <w:r w:rsidR="000B52CD" w:rsidRPr="00B947D9">
        <w:rPr>
          <w:rFonts w:ascii="Times New Roman" w:hAnsi="Times New Roman"/>
          <w:color w:val="000000" w:themeColor="text1"/>
          <w:lang w:val="en-US"/>
        </w:rPr>
        <w:t>large</w:t>
      </w:r>
      <w:r w:rsidR="00550AF0" w:rsidRPr="00B947D9">
        <w:rPr>
          <w:rFonts w:ascii="Times New Roman" w:hAnsi="Times New Roman"/>
          <w:color w:val="000000" w:themeColor="text1"/>
          <w:lang w:val="en-US"/>
        </w:rPr>
        <w:t xml:space="preserve">r gain </w:t>
      </w:r>
      <w:r w:rsidR="000B52CD" w:rsidRPr="00B947D9">
        <w:rPr>
          <w:rFonts w:ascii="Times New Roman" w:hAnsi="Times New Roman"/>
          <w:color w:val="000000" w:themeColor="text1"/>
          <w:lang w:val="en-US"/>
        </w:rPr>
        <w:t xml:space="preserve">is observed </w:t>
      </w:r>
      <w:r w:rsidR="00550AF0" w:rsidRPr="00B947D9">
        <w:rPr>
          <w:rFonts w:ascii="Times New Roman" w:hAnsi="Times New Roman"/>
          <w:color w:val="000000" w:themeColor="text1"/>
          <w:lang w:val="en-US"/>
        </w:rPr>
        <w:t>for the households at the</w:t>
      </w:r>
      <w:r w:rsidR="000B52CD" w:rsidRPr="00B947D9">
        <w:rPr>
          <w:rFonts w:ascii="Times New Roman" w:hAnsi="Times New Roman"/>
          <w:color w:val="000000" w:themeColor="text1"/>
          <w:lang w:val="en-US"/>
        </w:rPr>
        <w:t xml:space="preserve"> top 1%</w:t>
      </w:r>
      <w:r w:rsidR="00550AF0" w:rsidRPr="00B947D9">
        <w:rPr>
          <w:rFonts w:ascii="Times New Roman" w:hAnsi="Times New Roman"/>
          <w:color w:val="000000" w:themeColor="text1"/>
          <w:lang w:val="en-US"/>
        </w:rPr>
        <w:t>. Overall</w:t>
      </w:r>
      <w:r w:rsidR="000B52CD" w:rsidRPr="00B947D9">
        <w:rPr>
          <w:rFonts w:ascii="Times New Roman" w:hAnsi="Times New Roman"/>
          <w:color w:val="000000" w:themeColor="text1"/>
          <w:lang w:val="en-US"/>
        </w:rPr>
        <w:t xml:space="preserve">, all households benefit from the total effect of the adopted unconventional monetary policies with low-wealth households (lowest 25%) </w:t>
      </w:r>
      <w:r w:rsidR="00572EA7" w:rsidRPr="00B947D9">
        <w:rPr>
          <w:rFonts w:ascii="Times New Roman" w:hAnsi="Times New Roman"/>
          <w:color w:val="000000" w:themeColor="text1"/>
          <w:lang w:val="en-US"/>
        </w:rPr>
        <w:t>benefiting</w:t>
      </w:r>
      <w:r w:rsidR="000B52CD" w:rsidRPr="00B947D9">
        <w:rPr>
          <w:rFonts w:ascii="Times New Roman" w:hAnsi="Times New Roman"/>
          <w:color w:val="000000" w:themeColor="text1"/>
          <w:lang w:val="en-US"/>
        </w:rPr>
        <w:t xml:space="preserve"> proportionately as much as the 75-95% household group</w:t>
      </w:r>
      <w:r w:rsidR="00572EA7" w:rsidRPr="00B947D9">
        <w:rPr>
          <w:rFonts w:ascii="Times New Roman" w:hAnsi="Times New Roman"/>
          <w:color w:val="000000" w:themeColor="text1"/>
          <w:lang w:val="en-US"/>
        </w:rPr>
        <w:t>. The t</w:t>
      </w:r>
      <w:r w:rsidR="000B52CD" w:rsidRPr="00B947D9">
        <w:rPr>
          <w:rFonts w:ascii="Times New Roman" w:hAnsi="Times New Roman"/>
          <w:color w:val="000000" w:themeColor="text1"/>
          <w:lang w:val="en-US"/>
        </w:rPr>
        <w:t xml:space="preserve">op 1% experience double gains compared to </w:t>
      </w:r>
      <w:r w:rsidR="00572EA7" w:rsidRPr="00B947D9">
        <w:rPr>
          <w:rFonts w:ascii="Times New Roman" w:hAnsi="Times New Roman"/>
          <w:color w:val="000000" w:themeColor="text1"/>
          <w:lang w:val="en-US"/>
        </w:rPr>
        <w:t xml:space="preserve">the </w:t>
      </w:r>
      <w:r w:rsidR="000B52CD" w:rsidRPr="00B947D9">
        <w:rPr>
          <w:rFonts w:ascii="Times New Roman" w:hAnsi="Times New Roman"/>
          <w:color w:val="000000" w:themeColor="text1"/>
          <w:lang w:val="en-US"/>
        </w:rPr>
        <w:t>95-99%</w:t>
      </w:r>
      <w:r w:rsidR="00572EA7" w:rsidRPr="00B947D9">
        <w:rPr>
          <w:rFonts w:ascii="Times New Roman" w:hAnsi="Times New Roman"/>
          <w:color w:val="000000" w:themeColor="text1"/>
          <w:lang w:val="en-US"/>
        </w:rPr>
        <w:t xml:space="preserve"> group</w:t>
      </w:r>
      <w:r w:rsidR="000B52CD" w:rsidRPr="00B947D9">
        <w:rPr>
          <w:rFonts w:ascii="Times New Roman" w:hAnsi="Times New Roman"/>
          <w:color w:val="000000" w:themeColor="text1"/>
          <w:lang w:val="en-US"/>
        </w:rPr>
        <w:t>.</w:t>
      </w:r>
    </w:p>
    <w:p w14:paraId="7C0E60E9" w14:textId="52BE1D0B" w:rsidR="00242080" w:rsidRPr="00B947D9" w:rsidRDefault="00242080" w:rsidP="00B05745">
      <w:pPr>
        <w:pStyle w:val="Heading3"/>
        <w:spacing w:line="480" w:lineRule="auto"/>
        <w:jc w:val="both"/>
        <w:rPr>
          <w:rFonts w:ascii="Times New Roman" w:hAnsi="Times New Roman"/>
          <w:i/>
          <w:iCs/>
          <w:color w:val="000000" w:themeColor="text1"/>
          <w:sz w:val="24"/>
          <w:szCs w:val="24"/>
        </w:rPr>
      </w:pPr>
      <w:r w:rsidRPr="00B947D9">
        <w:rPr>
          <w:rFonts w:ascii="Times New Roman" w:hAnsi="Times New Roman"/>
          <w:i/>
          <w:iCs/>
          <w:color w:val="000000" w:themeColor="text1"/>
          <w:sz w:val="24"/>
          <w:szCs w:val="24"/>
        </w:rPr>
        <w:t xml:space="preserve">Heterogeneity across </w:t>
      </w:r>
      <w:r w:rsidR="00B05745" w:rsidRPr="00B947D9">
        <w:rPr>
          <w:rFonts w:ascii="Times New Roman" w:hAnsi="Times New Roman"/>
          <w:i/>
          <w:iCs/>
          <w:color w:val="000000" w:themeColor="text1"/>
          <w:sz w:val="24"/>
          <w:szCs w:val="24"/>
        </w:rPr>
        <w:t>countries</w:t>
      </w:r>
    </w:p>
    <w:p w14:paraId="400E613C" w14:textId="5EB33E2C" w:rsidR="00B05745" w:rsidRPr="00B947D9" w:rsidRDefault="0051355E" w:rsidP="00B05745">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In t</w:t>
      </w:r>
      <w:r w:rsidR="00B05745" w:rsidRPr="00B947D9">
        <w:rPr>
          <w:rFonts w:ascii="Times New Roman" w:hAnsi="Times New Roman"/>
          <w:color w:val="000000" w:themeColor="text1"/>
          <w:lang w:val="en-US"/>
        </w:rPr>
        <w:t>his section</w:t>
      </w:r>
      <w:r w:rsidRPr="00B947D9">
        <w:rPr>
          <w:rFonts w:ascii="Times New Roman" w:hAnsi="Times New Roman"/>
          <w:color w:val="000000" w:themeColor="text1"/>
          <w:lang w:val="en-US"/>
        </w:rPr>
        <w:t xml:space="preserve"> we examine whether the effects differ across countries. </w:t>
      </w:r>
      <w:r w:rsidR="00B05745" w:rsidRPr="00B947D9">
        <w:rPr>
          <w:rFonts w:ascii="Times New Roman" w:hAnsi="Times New Roman"/>
          <w:color w:val="000000" w:themeColor="text1"/>
          <w:lang w:val="en-US"/>
        </w:rPr>
        <w:t xml:space="preserve">Figure </w:t>
      </w:r>
      <w:r w:rsidR="00C4786B" w:rsidRPr="00B947D9">
        <w:rPr>
          <w:rFonts w:ascii="Times New Roman" w:hAnsi="Times New Roman"/>
          <w:color w:val="000000" w:themeColor="text1"/>
          <w:lang w:val="en-US"/>
        </w:rPr>
        <w:t>1</w:t>
      </w:r>
      <w:r w:rsidR="00D36878">
        <w:rPr>
          <w:rFonts w:ascii="Times New Roman" w:hAnsi="Times New Roman"/>
          <w:color w:val="000000" w:themeColor="text1"/>
          <w:lang w:val="en-US"/>
        </w:rPr>
        <w:t>5</w:t>
      </w:r>
      <w:r w:rsidR="00B05745"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presents the </w:t>
      </w:r>
      <w:r w:rsidR="00A04588" w:rsidRPr="00B947D9">
        <w:rPr>
          <w:rFonts w:ascii="Times New Roman" w:hAnsi="Times New Roman"/>
          <w:color w:val="000000" w:themeColor="text1"/>
          <w:lang w:val="en-US"/>
        </w:rPr>
        <w:t xml:space="preserve">resulted distributions when </w:t>
      </w:r>
      <w:r w:rsidR="00C4786B" w:rsidRPr="00B947D9">
        <w:rPr>
          <w:rFonts w:ascii="Times New Roman" w:hAnsi="Times New Roman"/>
          <w:color w:val="000000" w:themeColor="text1"/>
          <w:lang w:val="en-US"/>
        </w:rPr>
        <w:t>simulating</w:t>
      </w:r>
      <w:r w:rsidR="00A04588" w:rsidRPr="00B947D9">
        <w:rPr>
          <w:rFonts w:ascii="Times New Roman" w:hAnsi="Times New Roman"/>
          <w:color w:val="000000" w:themeColor="text1"/>
          <w:lang w:val="en-US"/>
        </w:rPr>
        <w:t xml:space="preserve"> the effect of the NDFR. We observe that low wealth households benefited mostly in</w:t>
      </w:r>
      <w:r w:rsidR="00B05745" w:rsidRPr="00B947D9">
        <w:rPr>
          <w:rFonts w:ascii="Times New Roman" w:hAnsi="Times New Roman"/>
          <w:color w:val="000000" w:themeColor="text1"/>
          <w:lang w:val="en-US"/>
        </w:rPr>
        <w:t xml:space="preserve"> </w:t>
      </w:r>
      <w:r w:rsidR="00C4786B" w:rsidRPr="00B947D9">
        <w:rPr>
          <w:rFonts w:ascii="Times New Roman" w:hAnsi="Times New Roman"/>
          <w:color w:val="000000" w:themeColor="text1"/>
          <w:lang w:val="en-US"/>
        </w:rPr>
        <w:t xml:space="preserve">France, </w:t>
      </w:r>
      <w:r w:rsidR="00B05745" w:rsidRPr="00B947D9">
        <w:rPr>
          <w:rFonts w:ascii="Times New Roman" w:hAnsi="Times New Roman"/>
          <w:color w:val="000000" w:themeColor="text1"/>
          <w:lang w:val="en-US"/>
        </w:rPr>
        <w:t>the Netherlands</w:t>
      </w:r>
      <w:r w:rsidR="00C4786B" w:rsidRPr="00B947D9">
        <w:rPr>
          <w:rFonts w:ascii="Times New Roman" w:hAnsi="Times New Roman"/>
          <w:color w:val="000000" w:themeColor="text1"/>
          <w:lang w:val="en-US"/>
        </w:rPr>
        <w:t>, Germany, Malta, and Italy</w:t>
      </w:r>
      <w:r w:rsidR="00B05745" w:rsidRPr="00B947D9">
        <w:rPr>
          <w:rFonts w:ascii="Times New Roman" w:hAnsi="Times New Roman"/>
          <w:color w:val="000000" w:themeColor="text1"/>
          <w:lang w:val="en-US"/>
        </w:rPr>
        <w:t xml:space="preserve">. </w:t>
      </w:r>
      <w:r w:rsidR="00061CAB" w:rsidRPr="00B947D9">
        <w:rPr>
          <w:rFonts w:ascii="Times New Roman" w:hAnsi="Times New Roman"/>
          <w:color w:val="000000" w:themeColor="text1"/>
          <w:lang w:val="en-US"/>
        </w:rPr>
        <w:t>L</w:t>
      </w:r>
      <w:r w:rsidR="00B05745" w:rsidRPr="00B947D9">
        <w:rPr>
          <w:rFonts w:ascii="Times New Roman" w:hAnsi="Times New Roman"/>
          <w:color w:val="000000" w:themeColor="text1"/>
          <w:lang w:val="en-US"/>
        </w:rPr>
        <w:t xml:space="preserve">ow wealth households in </w:t>
      </w:r>
      <w:r w:rsidR="00061CAB" w:rsidRPr="00B947D9">
        <w:rPr>
          <w:rFonts w:ascii="Times New Roman" w:hAnsi="Times New Roman"/>
          <w:color w:val="000000" w:themeColor="text1"/>
          <w:lang w:val="en-US"/>
        </w:rPr>
        <w:t>France</w:t>
      </w:r>
      <w:r w:rsidR="00B05745" w:rsidRPr="00B947D9">
        <w:rPr>
          <w:rFonts w:ascii="Times New Roman" w:hAnsi="Times New Roman"/>
          <w:color w:val="000000" w:themeColor="text1"/>
          <w:lang w:val="en-US"/>
        </w:rPr>
        <w:t xml:space="preserve"> experience</w:t>
      </w:r>
      <w:r w:rsidR="00061CAB" w:rsidRPr="00B947D9">
        <w:rPr>
          <w:rFonts w:ascii="Times New Roman" w:hAnsi="Times New Roman"/>
          <w:color w:val="000000" w:themeColor="text1"/>
          <w:lang w:val="en-US"/>
        </w:rPr>
        <w:t xml:space="preserve"> an increase even</w:t>
      </w:r>
      <w:r w:rsidR="00B05745" w:rsidRPr="00B947D9">
        <w:rPr>
          <w:rFonts w:ascii="Times New Roman" w:hAnsi="Times New Roman"/>
          <w:color w:val="000000" w:themeColor="text1"/>
          <w:lang w:val="en-US"/>
        </w:rPr>
        <w:t xml:space="preserve"> </w:t>
      </w:r>
      <w:r w:rsidR="00061CAB" w:rsidRPr="00B947D9">
        <w:rPr>
          <w:rFonts w:ascii="Times New Roman" w:hAnsi="Times New Roman"/>
          <w:color w:val="000000" w:themeColor="text1"/>
          <w:lang w:val="en-US"/>
        </w:rPr>
        <w:t>higher</w:t>
      </w:r>
      <w:r w:rsidR="00B05745" w:rsidRPr="00B947D9">
        <w:rPr>
          <w:rFonts w:ascii="Times New Roman" w:hAnsi="Times New Roman"/>
          <w:color w:val="000000" w:themeColor="text1"/>
          <w:lang w:val="en-US"/>
        </w:rPr>
        <w:t xml:space="preserve"> than </w:t>
      </w:r>
      <w:r w:rsidR="00061CAB" w:rsidRPr="00B947D9">
        <w:rPr>
          <w:rFonts w:ascii="Times New Roman" w:hAnsi="Times New Roman"/>
          <w:color w:val="000000" w:themeColor="text1"/>
          <w:lang w:val="en-US"/>
        </w:rPr>
        <w:t>this of the</w:t>
      </w:r>
      <w:r w:rsidR="00B05745" w:rsidRPr="00B947D9">
        <w:rPr>
          <w:rFonts w:ascii="Times New Roman" w:hAnsi="Times New Roman"/>
          <w:color w:val="000000" w:themeColor="text1"/>
          <w:lang w:val="en-US"/>
        </w:rPr>
        <w:t xml:space="preserve"> high wealth households (relative to group net wealth). On the contrary, in </w:t>
      </w:r>
      <w:r w:rsidR="007F5A63" w:rsidRPr="00B947D9">
        <w:rPr>
          <w:rFonts w:ascii="Times New Roman" w:hAnsi="Times New Roman"/>
          <w:color w:val="000000" w:themeColor="text1"/>
          <w:lang w:val="en-US"/>
        </w:rPr>
        <w:t>Slovakia</w:t>
      </w:r>
      <w:r w:rsidR="00B05745" w:rsidRPr="00B947D9">
        <w:rPr>
          <w:rFonts w:ascii="Times New Roman" w:hAnsi="Times New Roman"/>
          <w:color w:val="000000" w:themeColor="text1"/>
          <w:lang w:val="en-US"/>
        </w:rPr>
        <w:t xml:space="preserve">, </w:t>
      </w:r>
      <w:r w:rsidR="00061CAB" w:rsidRPr="00B947D9">
        <w:rPr>
          <w:rFonts w:ascii="Times New Roman" w:hAnsi="Times New Roman"/>
          <w:color w:val="000000" w:themeColor="text1"/>
          <w:lang w:val="en-US"/>
        </w:rPr>
        <w:t>Portugal</w:t>
      </w:r>
      <w:r w:rsidR="00B05745" w:rsidRPr="00B947D9">
        <w:rPr>
          <w:rFonts w:ascii="Times New Roman" w:hAnsi="Times New Roman"/>
          <w:color w:val="000000" w:themeColor="text1"/>
          <w:lang w:val="en-US"/>
        </w:rPr>
        <w:t xml:space="preserve">, </w:t>
      </w:r>
      <w:r w:rsidR="00061CAB" w:rsidRPr="00B947D9">
        <w:rPr>
          <w:rFonts w:ascii="Times New Roman" w:hAnsi="Times New Roman"/>
          <w:color w:val="000000" w:themeColor="text1"/>
          <w:lang w:val="en-US"/>
        </w:rPr>
        <w:t>Slovenia, and S</w:t>
      </w:r>
      <w:r w:rsidR="007F5A63" w:rsidRPr="00B947D9">
        <w:rPr>
          <w:rFonts w:ascii="Times New Roman" w:hAnsi="Times New Roman"/>
          <w:color w:val="000000" w:themeColor="text1"/>
          <w:lang w:val="en-US"/>
        </w:rPr>
        <w:t>pain</w:t>
      </w:r>
      <w:r w:rsidR="00A04588" w:rsidRPr="00B947D9">
        <w:rPr>
          <w:rFonts w:ascii="Times New Roman" w:hAnsi="Times New Roman"/>
          <w:color w:val="000000" w:themeColor="text1"/>
          <w:lang w:val="en-US"/>
        </w:rPr>
        <w:t xml:space="preserve"> low wealth households</w:t>
      </w:r>
      <w:r w:rsidR="00B05745" w:rsidRPr="00B947D9">
        <w:rPr>
          <w:rFonts w:ascii="Times New Roman" w:hAnsi="Times New Roman"/>
          <w:color w:val="000000" w:themeColor="text1"/>
          <w:lang w:val="en-US"/>
        </w:rPr>
        <w:t xml:space="preserve"> benefited least from this policy</w:t>
      </w:r>
      <w:r w:rsidR="00061CAB" w:rsidRPr="00B947D9">
        <w:rPr>
          <w:rFonts w:ascii="Times New Roman" w:hAnsi="Times New Roman"/>
          <w:color w:val="000000" w:themeColor="text1"/>
          <w:lang w:val="en-US"/>
        </w:rPr>
        <w:t>, with the households at the top 5% of the wealth distribution in Slovenia benefiting 6 times more than the low wealth ones.</w:t>
      </w:r>
      <w:r w:rsidR="00A04588" w:rsidRPr="00B947D9">
        <w:rPr>
          <w:rFonts w:ascii="Times New Roman" w:hAnsi="Times New Roman"/>
          <w:color w:val="000000" w:themeColor="text1"/>
          <w:lang w:val="en-US"/>
        </w:rPr>
        <w:t xml:space="preserve"> Finally, households on the top 5% of the wealth distribution benefited mostly in </w:t>
      </w:r>
      <w:r w:rsidR="007F5A63" w:rsidRPr="00B947D9">
        <w:rPr>
          <w:rFonts w:ascii="Times New Roman" w:hAnsi="Times New Roman"/>
          <w:color w:val="000000" w:themeColor="text1"/>
          <w:lang w:val="en-US"/>
        </w:rPr>
        <w:t xml:space="preserve">Slovenia, Austria, Cyprus, and </w:t>
      </w:r>
      <w:r w:rsidR="00A04588" w:rsidRPr="00B947D9">
        <w:rPr>
          <w:rFonts w:ascii="Times New Roman" w:hAnsi="Times New Roman"/>
          <w:color w:val="000000" w:themeColor="text1"/>
          <w:lang w:val="en-US"/>
        </w:rPr>
        <w:t>Finland.</w:t>
      </w:r>
    </w:p>
    <w:p w14:paraId="02B50E45" w14:textId="0215CC8B" w:rsidR="00B05745" w:rsidRPr="00B947D9" w:rsidRDefault="00B05745" w:rsidP="00B05745">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 xml:space="preserve">Figure </w:t>
      </w:r>
      <w:r w:rsidR="003150B6" w:rsidRPr="00B947D9">
        <w:rPr>
          <w:rFonts w:ascii="Times New Roman" w:hAnsi="Times New Roman"/>
          <w:b/>
          <w:bCs/>
          <w:color w:val="000000" w:themeColor="text1"/>
          <w:lang w:val="en-US"/>
        </w:rPr>
        <w:t>1</w:t>
      </w:r>
      <w:r w:rsidR="00D36878">
        <w:rPr>
          <w:rFonts w:ascii="Times New Roman" w:hAnsi="Times New Roman"/>
          <w:b/>
          <w:bCs/>
          <w:color w:val="000000" w:themeColor="text1"/>
          <w:lang w:val="en-US"/>
        </w:rPr>
        <w:t>5</w:t>
      </w:r>
      <w:r w:rsidRPr="00B947D9">
        <w:rPr>
          <w:rFonts w:ascii="Times New Roman" w:hAnsi="Times New Roman"/>
          <w:b/>
          <w:bCs/>
          <w:color w:val="000000" w:themeColor="text1"/>
          <w:lang w:val="en-US"/>
        </w:rPr>
        <w:t xml:space="preserve">. </w:t>
      </w:r>
      <w:r w:rsidR="0096075D" w:rsidRPr="00B947D9">
        <w:rPr>
          <w:rFonts w:ascii="Times New Roman" w:hAnsi="Times New Roman"/>
          <w:color w:val="000000" w:themeColor="text1"/>
          <w:lang w:val="en-US"/>
        </w:rPr>
        <w:t>Wealth distributions following the</w:t>
      </w:r>
      <w:r w:rsidRPr="00B947D9">
        <w:rPr>
          <w:rFonts w:ascii="Times New Roman" w:hAnsi="Times New Roman"/>
          <w:color w:val="000000" w:themeColor="text1"/>
          <w:lang w:val="en-US"/>
        </w:rPr>
        <w:t xml:space="preserve"> NDFR</w:t>
      </w:r>
      <w:r w:rsidR="0096075D" w:rsidRPr="00B947D9">
        <w:rPr>
          <w:rFonts w:ascii="Times New Roman" w:hAnsi="Times New Roman"/>
          <w:color w:val="000000" w:themeColor="text1"/>
          <w:lang w:val="en-US"/>
        </w:rPr>
        <w:t>, based on 2014 data</w:t>
      </w:r>
    </w:p>
    <w:p w14:paraId="69D870A0" w14:textId="58C02032" w:rsidR="00B05745" w:rsidRPr="00B947D9" w:rsidRDefault="003150B6" w:rsidP="003150B6">
      <w:pPr>
        <w:spacing w:line="480" w:lineRule="auto"/>
        <w:jc w:val="center"/>
        <w:rPr>
          <w:rFonts w:ascii="Times New Roman" w:hAnsi="Times New Roman"/>
          <w:b/>
          <w:bCs/>
          <w:color w:val="000000" w:themeColor="text1"/>
          <w:lang w:val="en-US"/>
        </w:rPr>
      </w:pPr>
      <w:r w:rsidRPr="00B947D9">
        <w:rPr>
          <w:rFonts w:ascii="Times New Roman" w:hAnsi="Times New Roman"/>
          <w:noProof/>
          <w:color w:val="000000" w:themeColor="text1"/>
        </w:rPr>
        <w:drawing>
          <wp:inline distT="0" distB="0" distL="0" distR="0" wp14:anchorId="11C4571E" wp14:editId="636CB497">
            <wp:extent cx="5731510" cy="3489350"/>
            <wp:effectExtent l="0" t="0" r="2540" b="15875"/>
            <wp:docPr id="873350866" name="Chart 1">
              <a:extLst xmlns:a="http://schemas.openxmlformats.org/drawingml/2006/main">
                <a:ext uri="{FF2B5EF4-FFF2-40B4-BE49-F238E27FC236}">
                  <a16:creationId xmlns:a16="http://schemas.microsoft.com/office/drawing/2014/main" id="{0DE1E8D0-F8B2-6543-B328-FB0F8E3884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A98BB99" w14:textId="49FC37DA" w:rsidR="00B05745" w:rsidRPr="00B947D9" w:rsidRDefault="00666D10" w:rsidP="0096075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ab/>
        <w:t>Figure 1</w:t>
      </w:r>
      <w:r w:rsidR="00D36878">
        <w:rPr>
          <w:rFonts w:ascii="Times New Roman" w:hAnsi="Times New Roman"/>
          <w:color w:val="000000" w:themeColor="text1"/>
          <w:lang w:val="en-US"/>
        </w:rPr>
        <w:t>6</w:t>
      </w:r>
      <w:r w:rsidRPr="00B947D9">
        <w:rPr>
          <w:rFonts w:ascii="Times New Roman" w:hAnsi="Times New Roman"/>
          <w:b/>
          <w:bCs/>
          <w:color w:val="000000" w:themeColor="text1"/>
          <w:lang w:val="en-US"/>
        </w:rPr>
        <w:t xml:space="preserve"> </w:t>
      </w:r>
      <w:r w:rsidR="00B05745" w:rsidRPr="00B947D9">
        <w:rPr>
          <w:rFonts w:ascii="Times New Roman" w:hAnsi="Times New Roman"/>
          <w:color w:val="000000" w:themeColor="text1"/>
          <w:lang w:val="en-US"/>
        </w:rPr>
        <w:t xml:space="preserve">depicts </w:t>
      </w:r>
      <w:r w:rsidR="0096075D" w:rsidRPr="00B947D9">
        <w:rPr>
          <w:rFonts w:ascii="Times New Roman" w:hAnsi="Times New Roman"/>
          <w:color w:val="000000" w:themeColor="text1"/>
          <w:lang w:val="en-US"/>
        </w:rPr>
        <w:t xml:space="preserve">the simulation of the third covered bond purchase program (CBPP3) and the effect on the wealth distribution of each country. </w:t>
      </w:r>
      <w:r w:rsidR="009E057B" w:rsidRPr="00B947D9">
        <w:rPr>
          <w:rFonts w:ascii="Times New Roman" w:hAnsi="Times New Roman"/>
          <w:color w:val="000000" w:themeColor="text1"/>
          <w:lang w:val="en-US"/>
        </w:rPr>
        <w:t>We observe that households on the</w:t>
      </w:r>
      <w:r w:rsidR="00B05745" w:rsidRPr="00B947D9">
        <w:rPr>
          <w:rFonts w:ascii="Times New Roman" w:hAnsi="Times New Roman"/>
          <w:color w:val="000000" w:themeColor="text1"/>
          <w:lang w:val="en-US"/>
        </w:rPr>
        <w:t xml:space="preserve"> low</w:t>
      </w:r>
      <w:r w:rsidR="009E057B" w:rsidRPr="00B947D9">
        <w:rPr>
          <w:rFonts w:ascii="Times New Roman" w:hAnsi="Times New Roman"/>
          <w:color w:val="000000" w:themeColor="text1"/>
          <w:lang w:val="en-US"/>
        </w:rPr>
        <w:t xml:space="preserve"> part of the distribution relatively benefited more in France, the Netherlands, </w:t>
      </w:r>
      <w:r w:rsidR="004809BB" w:rsidRPr="00B947D9">
        <w:rPr>
          <w:rFonts w:ascii="Times New Roman" w:hAnsi="Times New Roman"/>
          <w:color w:val="000000" w:themeColor="text1"/>
          <w:lang w:val="en-US"/>
        </w:rPr>
        <w:t xml:space="preserve">Germany, and </w:t>
      </w:r>
      <w:r w:rsidR="00B05745" w:rsidRPr="00B947D9">
        <w:rPr>
          <w:rFonts w:ascii="Times New Roman" w:hAnsi="Times New Roman"/>
          <w:color w:val="000000" w:themeColor="text1"/>
          <w:lang w:val="en-US"/>
        </w:rPr>
        <w:t>Italy</w:t>
      </w:r>
      <w:r w:rsidR="004809BB" w:rsidRPr="00B947D9">
        <w:rPr>
          <w:rFonts w:ascii="Times New Roman" w:hAnsi="Times New Roman"/>
          <w:color w:val="000000" w:themeColor="text1"/>
          <w:lang w:val="en-US"/>
        </w:rPr>
        <w:t>. Once again, in France</w:t>
      </w:r>
      <w:r w:rsidR="00B05745" w:rsidRPr="00B947D9">
        <w:rPr>
          <w:rFonts w:ascii="Times New Roman" w:hAnsi="Times New Roman"/>
          <w:color w:val="000000" w:themeColor="text1"/>
          <w:lang w:val="en-US"/>
        </w:rPr>
        <w:t xml:space="preserve"> </w:t>
      </w:r>
      <w:r w:rsidR="004809BB" w:rsidRPr="00B947D9">
        <w:rPr>
          <w:rFonts w:ascii="Times New Roman" w:hAnsi="Times New Roman"/>
          <w:color w:val="000000" w:themeColor="text1"/>
          <w:lang w:val="en-US"/>
        </w:rPr>
        <w:t>low wealth households</w:t>
      </w:r>
      <w:r w:rsidR="00B05745" w:rsidRPr="00B947D9">
        <w:rPr>
          <w:rFonts w:ascii="Times New Roman" w:hAnsi="Times New Roman"/>
          <w:color w:val="000000" w:themeColor="text1"/>
          <w:lang w:val="en-US"/>
        </w:rPr>
        <w:t xml:space="preserve"> only benefit most from</w:t>
      </w:r>
      <w:r w:rsidR="004809BB" w:rsidRPr="00B947D9">
        <w:rPr>
          <w:rFonts w:ascii="Times New Roman" w:hAnsi="Times New Roman"/>
          <w:color w:val="000000" w:themeColor="text1"/>
          <w:lang w:val="en-US"/>
        </w:rPr>
        <w:t xml:space="preserve"> the</w:t>
      </w:r>
      <w:r w:rsidR="00B05745" w:rsidRPr="00B947D9">
        <w:rPr>
          <w:rFonts w:ascii="Times New Roman" w:hAnsi="Times New Roman"/>
          <w:color w:val="000000" w:themeColor="text1"/>
          <w:lang w:val="en-US"/>
        </w:rPr>
        <w:t xml:space="preserve"> </w:t>
      </w:r>
      <w:r w:rsidR="004809BB" w:rsidRPr="00B947D9">
        <w:rPr>
          <w:rFonts w:ascii="Times New Roman" w:hAnsi="Times New Roman"/>
          <w:color w:val="000000" w:themeColor="text1"/>
          <w:lang w:val="en-US"/>
        </w:rPr>
        <w:t>CBPP3</w:t>
      </w:r>
      <w:r w:rsidR="00B05745" w:rsidRPr="00B947D9">
        <w:rPr>
          <w:rFonts w:ascii="Times New Roman" w:hAnsi="Times New Roman"/>
          <w:color w:val="000000" w:themeColor="text1"/>
          <w:lang w:val="en-US"/>
        </w:rPr>
        <w:t xml:space="preserve"> compared to other low wealth households across EA countries, but also experience proportionately higher capital gains</w:t>
      </w:r>
      <w:r w:rsidR="004809BB" w:rsidRPr="00B947D9">
        <w:rPr>
          <w:rFonts w:ascii="Times New Roman" w:hAnsi="Times New Roman"/>
          <w:color w:val="000000" w:themeColor="text1"/>
          <w:lang w:val="en-US"/>
        </w:rPr>
        <w:t xml:space="preserve"> </w:t>
      </w:r>
      <w:r w:rsidR="00B05745" w:rsidRPr="00B947D9">
        <w:rPr>
          <w:rFonts w:ascii="Times New Roman" w:hAnsi="Times New Roman"/>
          <w:color w:val="000000" w:themeColor="text1"/>
          <w:lang w:val="en-US"/>
        </w:rPr>
        <w:t xml:space="preserve">than the </w:t>
      </w:r>
      <w:r w:rsidR="004809BB" w:rsidRPr="00B947D9">
        <w:rPr>
          <w:rFonts w:ascii="Times New Roman" w:hAnsi="Times New Roman"/>
          <w:color w:val="000000" w:themeColor="text1"/>
          <w:lang w:val="en-US"/>
        </w:rPr>
        <w:t xml:space="preserve">top 5% </w:t>
      </w:r>
      <w:r w:rsidR="00B05745" w:rsidRPr="00B947D9">
        <w:rPr>
          <w:rFonts w:ascii="Times New Roman" w:hAnsi="Times New Roman"/>
          <w:color w:val="000000" w:themeColor="text1"/>
          <w:lang w:val="en-US"/>
        </w:rPr>
        <w:t xml:space="preserve">group. On the contrary, low wealth households in </w:t>
      </w:r>
      <w:r w:rsidR="004809BB" w:rsidRPr="00B947D9">
        <w:rPr>
          <w:rFonts w:ascii="Times New Roman" w:hAnsi="Times New Roman"/>
          <w:color w:val="000000" w:themeColor="text1"/>
          <w:lang w:val="en-US"/>
        </w:rPr>
        <w:t>Slovakia, Portugal, and Slovenia</w:t>
      </w:r>
      <w:r w:rsidR="00B05745" w:rsidRPr="00B947D9">
        <w:rPr>
          <w:rFonts w:ascii="Times New Roman" w:hAnsi="Times New Roman"/>
          <w:color w:val="000000" w:themeColor="text1"/>
          <w:lang w:val="en-US"/>
        </w:rPr>
        <w:t xml:space="preserve"> benefit least, </w:t>
      </w:r>
      <w:r w:rsidR="004809BB" w:rsidRPr="00B947D9">
        <w:rPr>
          <w:rFonts w:ascii="Times New Roman" w:hAnsi="Times New Roman"/>
          <w:color w:val="000000" w:themeColor="text1"/>
          <w:lang w:val="en-US"/>
        </w:rPr>
        <w:t xml:space="preserve">almost </w:t>
      </w:r>
      <w:r w:rsidR="00B05745" w:rsidRPr="00B947D9">
        <w:rPr>
          <w:rFonts w:ascii="Times New Roman" w:hAnsi="Times New Roman"/>
          <w:color w:val="000000" w:themeColor="text1"/>
          <w:lang w:val="en-US"/>
        </w:rPr>
        <w:t>experiencing capital losses relative to group net wealth.</w:t>
      </w:r>
    </w:p>
    <w:p w14:paraId="26F16FC5" w14:textId="12509B6D" w:rsidR="0096075D" w:rsidRPr="00B947D9" w:rsidRDefault="0096075D" w:rsidP="0096075D">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w:t>
      </w:r>
      <w:r w:rsidR="00D36878">
        <w:rPr>
          <w:rFonts w:ascii="Times New Roman" w:hAnsi="Times New Roman"/>
          <w:b/>
          <w:bCs/>
          <w:color w:val="000000" w:themeColor="text1"/>
          <w:lang w:val="en-US"/>
        </w:rPr>
        <w:t>6</w:t>
      </w:r>
      <w:r w:rsidRPr="00B947D9">
        <w:rPr>
          <w:rFonts w:ascii="Times New Roman" w:hAnsi="Times New Roman"/>
          <w:b/>
          <w:bCs/>
          <w:color w:val="000000" w:themeColor="text1"/>
          <w:lang w:val="en-US"/>
        </w:rPr>
        <w:t xml:space="preserve">. </w:t>
      </w:r>
      <w:r w:rsidRPr="00B947D9">
        <w:rPr>
          <w:rFonts w:ascii="Times New Roman" w:hAnsi="Times New Roman"/>
          <w:color w:val="000000" w:themeColor="text1"/>
          <w:lang w:val="en-US"/>
        </w:rPr>
        <w:t>Wealth distributions following the CBPP3, based on 2014 data</w:t>
      </w:r>
    </w:p>
    <w:p w14:paraId="6BAC4C6D" w14:textId="7ECDF054" w:rsidR="00B05745" w:rsidRPr="00B947D9" w:rsidRDefault="0021211D" w:rsidP="0021211D">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3D89C73E" wp14:editId="74DF78FA">
            <wp:extent cx="5731510" cy="3291840"/>
            <wp:effectExtent l="0" t="0" r="2540" b="3810"/>
            <wp:docPr id="703139102" name="Chart 1">
              <a:extLst xmlns:a="http://schemas.openxmlformats.org/drawingml/2006/main">
                <a:ext uri="{FF2B5EF4-FFF2-40B4-BE49-F238E27FC236}">
                  <a16:creationId xmlns:a16="http://schemas.microsoft.com/office/drawing/2014/main" id="{E83A20D9-7C8F-834A-B3BA-40120E1E5D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701A009" w14:textId="4D401BD9" w:rsidR="00B05745" w:rsidRDefault="001C5C4F" w:rsidP="00E465AD">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When it comes to the asset-backed securities purchase program (ABSPP), the results of</w:t>
      </w:r>
      <w:r w:rsidR="000964CC"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the simulation of the shock on the wealth distribution are presented in Figure 1</w:t>
      </w:r>
      <w:r w:rsidR="00D36878">
        <w:rPr>
          <w:rFonts w:ascii="Times New Roman" w:hAnsi="Times New Roman"/>
          <w:color w:val="000000" w:themeColor="text1"/>
          <w:lang w:val="en-US"/>
        </w:rPr>
        <w:t>7</w:t>
      </w:r>
      <w:r w:rsidRPr="00B947D9">
        <w:rPr>
          <w:rFonts w:ascii="Times New Roman" w:hAnsi="Times New Roman"/>
          <w:color w:val="000000" w:themeColor="text1"/>
          <w:lang w:val="en-US"/>
        </w:rPr>
        <w:t xml:space="preserve">.  </w:t>
      </w:r>
      <w:r w:rsidR="00B05745" w:rsidRPr="00B947D9">
        <w:rPr>
          <w:rFonts w:ascii="Times New Roman" w:hAnsi="Times New Roman"/>
          <w:color w:val="000000" w:themeColor="text1"/>
          <w:lang w:val="en-US"/>
        </w:rPr>
        <w:t xml:space="preserve">Low wealth households in </w:t>
      </w:r>
      <w:r w:rsidR="000964CC" w:rsidRPr="00B947D9">
        <w:rPr>
          <w:rFonts w:ascii="Times New Roman" w:hAnsi="Times New Roman"/>
          <w:color w:val="000000" w:themeColor="text1"/>
          <w:lang w:val="en-US"/>
        </w:rPr>
        <w:t>France, the Netherland</w:t>
      </w:r>
      <w:r w:rsidR="004D1A49" w:rsidRPr="00B947D9">
        <w:rPr>
          <w:rFonts w:ascii="Times New Roman" w:hAnsi="Times New Roman"/>
          <w:color w:val="000000" w:themeColor="text1"/>
          <w:lang w:val="en-US"/>
        </w:rPr>
        <w:t>s</w:t>
      </w:r>
      <w:r w:rsidR="000964CC" w:rsidRPr="00B947D9">
        <w:rPr>
          <w:rFonts w:ascii="Times New Roman" w:hAnsi="Times New Roman"/>
          <w:color w:val="000000" w:themeColor="text1"/>
          <w:lang w:val="en-US"/>
        </w:rPr>
        <w:t xml:space="preserve">, Italy, and </w:t>
      </w:r>
      <w:r w:rsidR="00B05745" w:rsidRPr="00B947D9">
        <w:rPr>
          <w:rFonts w:ascii="Times New Roman" w:hAnsi="Times New Roman"/>
          <w:color w:val="000000" w:themeColor="text1"/>
          <w:lang w:val="en-US"/>
        </w:rPr>
        <w:t xml:space="preserve">Germany, experience higher capital gains from the asset-backed securities purchase program effect, while </w:t>
      </w:r>
      <w:r w:rsidR="007C022E">
        <w:rPr>
          <w:rFonts w:ascii="Times New Roman" w:hAnsi="Times New Roman"/>
          <w:color w:val="000000" w:themeColor="text1"/>
          <w:lang w:val="en-US"/>
        </w:rPr>
        <w:t xml:space="preserve">the </w:t>
      </w:r>
      <w:r w:rsidR="000964CC" w:rsidRPr="00B947D9">
        <w:rPr>
          <w:rFonts w:ascii="Times New Roman" w:hAnsi="Times New Roman"/>
          <w:color w:val="000000" w:themeColor="text1"/>
          <w:lang w:val="en-US"/>
        </w:rPr>
        <w:t xml:space="preserve">top 5% households benefit mostly once again in Slovenia, </w:t>
      </w:r>
      <w:r w:rsidR="001B1860" w:rsidRPr="00B947D9">
        <w:rPr>
          <w:rFonts w:ascii="Times New Roman" w:hAnsi="Times New Roman"/>
          <w:color w:val="000000" w:themeColor="text1"/>
          <w:lang w:val="en-US"/>
        </w:rPr>
        <w:t>Malta, Slovakia, and Finland. The low wealth households least benefitted from the ABSPP are in Slovakia, Portugal, and Slovenia. We observe that the effects of ABSPP and CBPP3 are actually very similar.</w:t>
      </w:r>
    </w:p>
    <w:p w14:paraId="446D34DE" w14:textId="77777777" w:rsidR="007C022E" w:rsidRDefault="007C022E" w:rsidP="00E465AD">
      <w:pPr>
        <w:spacing w:line="480" w:lineRule="auto"/>
        <w:ind w:firstLine="720"/>
        <w:jc w:val="both"/>
        <w:rPr>
          <w:rFonts w:ascii="Times New Roman" w:hAnsi="Times New Roman"/>
          <w:color w:val="000000" w:themeColor="text1"/>
          <w:lang w:val="en-US"/>
        </w:rPr>
      </w:pPr>
    </w:p>
    <w:p w14:paraId="769BFC6B" w14:textId="77777777" w:rsidR="007C022E" w:rsidRDefault="007C022E" w:rsidP="00E465AD">
      <w:pPr>
        <w:spacing w:line="480" w:lineRule="auto"/>
        <w:ind w:firstLine="720"/>
        <w:jc w:val="both"/>
        <w:rPr>
          <w:rFonts w:ascii="Times New Roman" w:hAnsi="Times New Roman"/>
          <w:color w:val="000000" w:themeColor="text1"/>
          <w:lang w:val="en-US"/>
        </w:rPr>
      </w:pPr>
    </w:p>
    <w:p w14:paraId="0FD03E97" w14:textId="77777777" w:rsidR="007C022E" w:rsidRPr="00B947D9" w:rsidRDefault="007C022E" w:rsidP="00E465AD">
      <w:pPr>
        <w:spacing w:line="480" w:lineRule="auto"/>
        <w:ind w:firstLine="720"/>
        <w:jc w:val="both"/>
        <w:rPr>
          <w:rFonts w:ascii="Times New Roman" w:hAnsi="Times New Roman"/>
          <w:color w:val="000000" w:themeColor="text1"/>
          <w:lang w:val="en-US"/>
        </w:rPr>
      </w:pPr>
    </w:p>
    <w:p w14:paraId="3AE9D981" w14:textId="592A1684" w:rsidR="001C5C4F" w:rsidRPr="00B947D9" w:rsidRDefault="001C5C4F" w:rsidP="001C5C4F">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w:t>
      </w:r>
      <w:r w:rsidR="00D36878">
        <w:rPr>
          <w:rFonts w:ascii="Times New Roman" w:hAnsi="Times New Roman"/>
          <w:b/>
          <w:bCs/>
          <w:color w:val="000000" w:themeColor="text1"/>
          <w:lang w:val="en-US"/>
        </w:rPr>
        <w:t>7</w:t>
      </w:r>
      <w:r w:rsidRPr="00B947D9">
        <w:rPr>
          <w:rFonts w:ascii="Times New Roman" w:hAnsi="Times New Roman"/>
          <w:b/>
          <w:bCs/>
          <w:color w:val="000000" w:themeColor="text1"/>
          <w:lang w:val="en-US"/>
        </w:rPr>
        <w:t xml:space="preserve">. </w:t>
      </w:r>
      <w:r w:rsidRPr="00B947D9">
        <w:rPr>
          <w:rFonts w:ascii="Times New Roman" w:hAnsi="Times New Roman"/>
          <w:color w:val="000000" w:themeColor="text1"/>
          <w:lang w:val="en-US"/>
        </w:rPr>
        <w:t>Wealth distributions following the ABSPP, based on 2014 data</w:t>
      </w:r>
    </w:p>
    <w:p w14:paraId="65CFC7D0" w14:textId="480B7A23" w:rsidR="00B05745" w:rsidRPr="00B947D9" w:rsidRDefault="00774BEF" w:rsidP="001B1860">
      <w:pPr>
        <w:spacing w:line="480" w:lineRule="auto"/>
        <w:jc w:val="center"/>
        <w:rPr>
          <w:rFonts w:ascii="Times New Roman" w:hAnsi="Times New Roman"/>
          <w:b/>
          <w:bCs/>
          <w:color w:val="000000" w:themeColor="text1"/>
          <w:lang w:val="en-US"/>
        </w:rPr>
      </w:pPr>
      <w:r w:rsidRPr="00B947D9">
        <w:rPr>
          <w:rFonts w:ascii="Times New Roman" w:hAnsi="Times New Roman"/>
          <w:noProof/>
          <w:color w:val="000000" w:themeColor="text1"/>
        </w:rPr>
        <w:drawing>
          <wp:inline distT="0" distB="0" distL="0" distR="0" wp14:anchorId="78691BF0" wp14:editId="75F39E00">
            <wp:extent cx="5731510" cy="3343046"/>
            <wp:effectExtent l="0" t="0" r="2540" b="10160"/>
            <wp:docPr id="581538540" name="Chart 1">
              <a:extLst xmlns:a="http://schemas.openxmlformats.org/drawingml/2006/main">
                <a:ext uri="{FF2B5EF4-FFF2-40B4-BE49-F238E27FC236}">
                  <a16:creationId xmlns:a16="http://schemas.microsoft.com/office/drawing/2014/main" id="{7B6AD686-05B9-084F-B5C3-0A219B83F9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0DE0F27" w14:textId="474763F7" w:rsidR="006A696D" w:rsidRDefault="001B1860" w:rsidP="006E2DE5">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Finally, in Figure 1</w:t>
      </w:r>
      <w:r w:rsidR="00D36878">
        <w:rPr>
          <w:rFonts w:ascii="Times New Roman" w:hAnsi="Times New Roman"/>
          <w:color w:val="000000" w:themeColor="text1"/>
          <w:lang w:val="en-US"/>
        </w:rPr>
        <w:t>8</w:t>
      </w:r>
      <w:r w:rsidRPr="00B947D9">
        <w:rPr>
          <w:rFonts w:ascii="Times New Roman" w:hAnsi="Times New Roman"/>
          <w:color w:val="000000" w:themeColor="text1"/>
          <w:lang w:val="en-US"/>
        </w:rPr>
        <w:t xml:space="preserve"> we present the cumulative effect of all three policies combined. </w:t>
      </w:r>
      <w:r w:rsidR="004C7481" w:rsidRPr="00B947D9">
        <w:rPr>
          <w:rFonts w:ascii="Times New Roman" w:hAnsi="Times New Roman"/>
          <w:color w:val="000000" w:themeColor="text1"/>
          <w:lang w:val="en-US"/>
        </w:rPr>
        <w:t xml:space="preserve">The picture is similar to one previously discussed for </w:t>
      </w:r>
      <w:r w:rsidR="007C022E">
        <w:rPr>
          <w:rFonts w:ascii="Times New Roman" w:hAnsi="Times New Roman"/>
          <w:color w:val="000000" w:themeColor="text1"/>
          <w:lang w:val="en-US"/>
        </w:rPr>
        <w:t>each single</w:t>
      </w:r>
      <w:r w:rsidR="004C7481" w:rsidRPr="00B947D9">
        <w:rPr>
          <w:rFonts w:ascii="Times New Roman" w:hAnsi="Times New Roman"/>
          <w:color w:val="000000" w:themeColor="text1"/>
          <w:lang w:val="en-US"/>
        </w:rPr>
        <w:t xml:space="preserve"> measure. Once again, French low wealth households are the ones mostly benefited with capital gains relatively higher to the ones experienced by the top 5% of the wealth distribution. Slovakia maintains its position as the country where the low wealth households benefit least from the monetary policy conducted during 2014-2016. Similarly, Slovenian top 5% wealth households were the ones relatively mostly benefited.</w:t>
      </w:r>
    </w:p>
    <w:p w14:paraId="793BB18C" w14:textId="77777777" w:rsidR="00CE692E" w:rsidRDefault="00CE692E" w:rsidP="006E2DE5">
      <w:pPr>
        <w:spacing w:line="480" w:lineRule="auto"/>
        <w:ind w:firstLine="720"/>
        <w:jc w:val="both"/>
        <w:rPr>
          <w:rFonts w:ascii="Times New Roman" w:hAnsi="Times New Roman"/>
          <w:color w:val="000000" w:themeColor="text1"/>
          <w:lang w:val="en-US"/>
        </w:rPr>
      </w:pPr>
    </w:p>
    <w:p w14:paraId="52A19AA5" w14:textId="77777777" w:rsidR="00CE692E" w:rsidRDefault="00CE692E" w:rsidP="006E2DE5">
      <w:pPr>
        <w:spacing w:line="480" w:lineRule="auto"/>
        <w:ind w:firstLine="720"/>
        <w:jc w:val="both"/>
        <w:rPr>
          <w:rFonts w:ascii="Times New Roman" w:hAnsi="Times New Roman"/>
          <w:color w:val="000000" w:themeColor="text1"/>
          <w:lang w:val="en-US"/>
        </w:rPr>
      </w:pPr>
    </w:p>
    <w:p w14:paraId="21B88C83" w14:textId="77777777" w:rsidR="00CE692E" w:rsidRDefault="00CE692E" w:rsidP="006E2DE5">
      <w:pPr>
        <w:spacing w:line="480" w:lineRule="auto"/>
        <w:ind w:firstLine="720"/>
        <w:jc w:val="both"/>
        <w:rPr>
          <w:rFonts w:ascii="Times New Roman" w:hAnsi="Times New Roman"/>
          <w:color w:val="000000" w:themeColor="text1"/>
          <w:lang w:val="en-US"/>
        </w:rPr>
      </w:pPr>
    </w:p>
    <w:p w14:paraId="74F52E10" w14:textId="77777777" w:rsidR="00CE692E" w:rsidRDefault="00CE692E" w:rsidP="006E2DE5">
      <w:pPr>
        <w:spacing w:line="480" w:lineRule="auto"/>
        <w:ind w:firstLine="720"/>
        <w:jc w:val="both"/>
        <w:rPr>
          <w:rFonts w:ascii="Times New Roman" w:hAnsi="Times New Roman"/>
          <w:color w:val="000000" w:themeColor="text1"/>
          <w:lang w:val="en-US"/>
        </w:rPr>
      </w:pPr>
    </w:p>
    <w:p w14:paraId="5F60B84E" w14:textId="77777777" w:rsidR="00CE692E" w:rsidRDefault="00CE692E" w:rsidP="006E2DE5">
      <w:pPr>
        <w:spacing w:line="480" w:lineRule="auto"/>
        <w:ind w:firstLine="720"/>
        <w:jc w:val="both"/>
        <w:rPr>
          <w:rFonts w:ascii="Times New Roman" w:hAnsi="Times New Roman"/>
          <w:color w:val="000000" w:themeColor="text1"/>
          <w:lang w:val="en-US"/>
        </w:rPr>
      </w:pPr>
    </w:p>
    <w:p w14:paraId="2E1EFD88" w14:textId="77777777" w:rsidR="00CE692E" w:rsidRDefault="00CE692E" w:rsidP="006E2DE5">
      <w:pPr>
        <w:spacing w:line="480" w:lineRule="auto"/>
        <w:ind w:firstLine="720"/>
        <w:jc w:val="both"/>
        <w:rPr>
          <w:rFonts w:ascii="Times New Roman" w:hAnsi="Times New Roman"/>
          <w:color w:val="000000" w:themeColor="text1"/>
          <w:lang w:val="en-US"/>
        </w:rPr>
      </w:pPr>
    </w:p>
    <w:p w14:paraId="3F3C143B" w14:textId="77777777" w:rsidR="00CE692E" w:rsidRPr="00B947D9" w:rsidRDefault="00CE692E" w:rsidP="006E2DE5">
      <w:pPr>
        <w:spacing w:line="480" w:lineRule="auto"/>
        <w:ind w:firstLine="720"/>
        <w:jc w:val="both"/>
        <w:rPr>
          <w:rFonts w:ascii="Times New Roman" w:hAnsi="Times New Roman"/>
          <w:color w:val="000000" w:themeColor="text1"/>
          <w:lang w:val="en-US"/>
        </w:rPr>
      </w:pPr>
    </w:p>
    <w:p w14:paraId="21A4CF40" w14:textId="4B6609BB" w:rsidR="006E2DE5" w:rsidRPr="00B947D9" w:rsidRDefault="006E2DE5" w:rsidP="006E2DE5">
      <w:pPr>
        <w:spacing w:line="480" w:lineRule="auto"/>
        <w:jc w:val="center"/>
        <w:rPr>
          <w:rFonts w:ascii="Times New Roman" w:hAnsi="Times New Roman"/>
          <w:color w:val="000000" w:themeColor="text1"/>
          <w:lang w:val="en-US"/>
        </w:rPr>
      </w:pPr>
      <w:r w:rsidRPr="00B947D9">
        <w:rPr>
          <w:rFonts w:ascii="Times New Roman" w:hAnsi="Times New Roman"/>
          <w:b/>
          <w:bCs/>
          <w:color w:val="000000" w:themeColor="text1"/>
          <w:lang w:val="en-US"/>
        </w:rPr>
        <w:t>Figure 1</w:t>
      </w:r>
      <w:r w:rsidR="00D36878">
        <w:rPr>
          <w:rFonts w:ascii="Times New Roman" w:hAnsi="Times New Roman"/>
          <w:b/>
          <w:bCs/>
          <w:color w:val="000000" w:themeColor="text1"/>
          <w:lang w:val="en-US"/>
        </w:rPr>
        <w:t>8</w:t>
      </w:r>
      <w:r w:rsidRPr="00B947D9">
        <w:rPr>
          <w:rFonts w:ascii="Times New Roman" w:hAnsi="Times New Roman"/>
          <w:b/>
          <w:bCs/>
          <w:color w:val="000000" w:themeColor="text1"/>
          <w:lang w:val="en-US"/>
        </w:rPr>
        <w:t xml:space="preserve">. </w:t>
      </w:r>
      <w:r w:rsidRPr="00B947D9">
        <w:rPr>
          <w:rFonts w:ascii="Times New Roman" w:hAnsi="Times New Roman"/>
          <w:color w:val="000000" w:themeColor="text1"/>
          <w:lang w:val="en-US"/>
        </w:rPr>
        <w:t>Wealth distributions, cumulative effect of unconventional monetary policy</w:t>
      </w:r>
    </w:p>
    <w:p w14:paraId="0249ECD3" w14:textId="669581B0" w:rsidR="004C7481" w:rsidRPr="00B947D9" w:rsidRDefault="004C7481" w:rsidP="006E2DE5">
      <w:pPr>
        <w:spacing w:line="480" w:lineRule="auto"/>
        <w:jc w:val="center"/>
        <w:rPr>
          <w:rFonts w:ascii="Times New Roman" w:hAnsi="Times New Roman"/>
          <w:color w:val="000000" w:themeColor="text1"/>
          <w:lang w:val="en-US"/>
        </w:rPr>
      </w:pPr>
      <w:r w:rsidRPr="00B947D9">
        <w:rPr>
          <w:rFonts w:ascii="Times New Roman" w:hAnsi="Times New Roman"/>
          <w:noProof/>
          <w:color w:val="000000" w:themeColor="text1"/>
        </w:rPr>
        <w:drawing>
          <wp:inline distT="0" distB="0" distL="0" distR="0" wp14:anchorId="109D30B4" wp14:editId="2343CCCD">
            <wp:extent cx="5731510" cy="3313786"/>
            <wp:effectExtent l="0" t="0" r="2540" b="1270"/>
            <wp:docPr id="665620727" name="Chart 1">
              <a:extLst xmlns:a="http://schemas.openxmlformats.org/drawingml/2006/main">
                <a:ext uri="{FF2B5EF4-FFF2-40B4-BE49-F238E27FC236}">
                  <a16:creationId xmlns:a16="http://schemas.microsoft.com/office/drawing/2014/main" id="{841B1F29-B8D2-4242-B472-1265FBD424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64EDB08" w14:textId="61921206" w:rsidR="00D31238" w:rsidRPr="00B947D9" w:rsidRDefault="00772BF1" w:rsidP="00D31238">
      <w:pPr>
        <w:pStyle w:val="Heading2"/>
        <w:spacing w:line="480" w:lineRule="auto"/>
        <w:rPr>
          <w:rFonts w:ascii="Times New Roman" w:hAnsi="Times New Roman"/>
          <w:i w:val="0"/>
          <w:iCs w:val="0"/>
          <w:color w:val="000000" w:themeColor="text1"/>
          <w:sz w:val="24"/>
          <w:szCs w:val="24"/>
        </w:rPr>
      </w:pPr>
      <w:r w:rsidRPr="00B947D9">
        <w:rPr>
          <w:rFonts w:ascii="Times New Roman" w:hAnsi="Times New Roman"/>
          <w:i w:val="0"/>
          <w:iCs w:val="0"/>
          <w:color w:val="000000" w:themeColor="text1"/>
          <w:sz w:val="24"/>
          <w:szCs w:val="24"/>
        </w:rPr>
        <w:t>4</w:t>
      </w:r>
      <w:r w:rsidR="00D31238" w:rsidRPr="00B947D9">
        <w:rPr>
          <w:rFonts w:ascii="Times New Roman" w:hAnsi="Times New Roman"/>
          <w:i w:val="0"/>
          <w:iCs w:val="0"/>
          <w:color w:val="000000" w:themeColor="text1"/>
          <w:sz w:val="24"/>
          <w:szCs w:val="24"/>
        </w:rPr>
        <w:t>. Conclusions</w:t>
      </w:r>
      <w:r w:rsidR="00117435" w:rsidRPr="00B947D9">
        <w:rPr>
          <w:rFonts w:ascii="Times New Roman" w:hAnsi="Times New Roman"/>
          <w:i w:val="0"/>
          <w:iCs w:val="0"/>
          <w:color w:val="000000" w:themeColor="text1"/>
          <w:sz w:val="24"/>
          <w:szCs w:val="24"/>
        </w:rPr>
        <w:t xml:space="preserve"> and policy implications</w:t>
      </w:r>
    </w:p>
    <w:p w14:paraId="0D8103D3" w14:textId="7C9AF6E1" w:rsidR="00E1396E" w:rsidRPr="00B947D9" w:rsidRDefault="00C655FB" w:rsidP="00E95AEC">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In this </w:t>
      </w:r>
      <w:r w:rsidR="00CE692E">
        <w:rPr>
          <w:rFonts w:ascii="Times New Roman" w:hAnsi="Times New Roman"/>
          <w:color w:val="000000" w:themeColor="text1"/>
          <w:lang w:val="en-US"/>
        </w:rPr>
        <w:t>research</w:t>
      </w:r>
      <w:r w:rsidRPr="00B947D9">
        <w:rPr>
          <w:rFonts w:ascii="Times New Roman" w:hAnsi="Times New Roman"/>
          <w:color w:val="000000" w:themeColor="text1"/>
          <w:lang w:val="en-US"/>
        </w:rPr>
        <w:t xml:space="preserve"> we attempt to examine how the unconventional monetary policy measures implemented by the ECB during the period 2014-2016 have affected </w:t>
      </w:r>
      <w:r w:rsidR="00AA4588" w:rsidRPr="00B947D9">
        <w:rPr>
          <w:rFonts w:ascii="Times New Roman" w:hAnsi="Times New Roman"/>
          <w:color w:val="000000" w:themeColor="text1"/>
          <w:lang w:val="en-US"/>
        </w:rPr>
        <w:t xml:space="preserve">household </w:t>
      </w:r>
      <w:r w:rsidRPr="00B947D9">
        <w:rPr>
          <w:rFonts w:ascii="Times New Roman" w:hAnsi="Times New Roman"/>
          <w:color w:val="000000" w:themeColor="text1"/>
          <w:lang w:val="en-US"/>
        </w:rPr>
        <w:t xml:space="preserve">wealth distribution across Eurozone </w:t>
      </w:r>
      <w:r w:rsidR="00AA4588" w:rsidRPr="00B947D9">
        <w:rPr>
          <w:rFonts w:ascii="Times New Roman" w:hAnsi="Times New Roman"/>
          <w:color w:val="000000" w:themeColor="text1"/>
          <w:lang w:val="en-US"/>
        </w:rPr>
        <w:t>countries</w:t>
      </w:r>
      <w:r w:rsidRPr="00B947D9">
        <w:rPr>
          <w:rFonts w:ascii="Times New Roman" w:hAnsi="Times New Roman"/>
          <w:color w:val="000000" w:themeColor="text1"/>
          <w:lang w:val="en-US"/>
        </w:rPr>
        <w:t>. Our basic assumption is that the different monetary policy measures, namely the negative deposit facility rate</w:t>
      </w:r>
      <w:r w:rsidR="00E1396E" w:rsidRPr="00B947D9">
        <w:rPr>
          <w:rFonts w:ascii="Times New Roman" w:hAnsi="Times New Roman"/>
          <w:color w:val="000000" w:themeColor="text1"/>
          <w:lang w:val="en-US"/>
        </w:rPr>
        <w:t xml:space="preserve"> and</w:t>
      </w:r>
      <w:r w:rsidRPr="00B947D9">
        <w:rPr>
          <w:rFonts w:ascii="Times New Roman" w:hAnsi="Times New Roman"/>
          <w:color w:val="000000" w:themeColor="text1"/>
          <w:lang w:val="en-US"/>
        </w:rPr>
        <w:t xml:space="preserve"> the</w:t>
      </w:r>
      <w:r w:rsidR="00E1396E" w:rsidRPr="00B947D9">
        <w:rPr>
          <w:rFonts w:ascii="Times New Roman" w:hAnsi="Times New Roman"/>
          <w:color w:val="000000" w:themeColor="text1"/>
          <w:lang w:val="en-US"/>
        </w:rPr>
        <w:t xml:space="preserve"> various</w:t>
      </w:r>
      <w:r w:rsidRPr="00B947D9">
        <w:rPr>
          <w:rFonts w:ascii="Times New Roman" w:hAnsi="Times New Roman"/>
          <w:color w:val="000000" w:themeColor="text1"/>
          <w:lang w:val="en-US"/>
        </w:rPr>
        <w:t xml:space="preserve"> asset purchase programmes</w:t>
      </w:r>
      <w:r w:rsidR="00E1396E" w:rsidRPr="00B947D9">
        <w:rPr>
          <w:rFonts w:ascii="Times New Roman" w:hAnsi="Times New Roman"/>
          <w:color w:val="000000" w:themeColor="text1"/>
          <w:lang w:val="en-US"/>
        </w:rPr>
        <w:t xml:space="preserve">, differentially affect prices </w:t>
      </w:r>
      <w:r w:rsidR="00AA4588" w:rsidRPr="00B947D9">
        <w:rPr>
          <w:rFonts w:ascii="Times New Roman" w:hAnsi="Times New Roman"/>
          <w:color w:val="000000" w:themeColor="text1"/>
          <w:lang w:val="en-US"/>
        </w:rPr>
        <w:t xml:space="preserve">of assets </w:t>
      </w:r>
      <w:r w:rsidR="00E1396E" w:rsidRPr="00B947D9">
        <w:rPr>
          <w:rFonts w:ascii="Times New Roman" w:hAnsi="Times New Roman"/>
          <w:color w:val="000000" w:themeColor="text1"/>
          <w:lang w:val="en-US"/>
        </w:rPr>
        <w:t xml:space="preserve">of </w:t>
      </w:r>
      <w:r w:rsidR="00602AC2" w:rsidRPr="00B947D9">
        <w:rPr>
          <w:rFonts w:ascii="Times New Roman" w:hAnsi="Times New Roman"/>
          <w:color w:val="000000" w:themeColor="text1"/>
          <w:lang w:val="en-US"/>
        </w:rPr>
        <w:t>diverse</w:t>
      </w:r>
      <w:r w:rsidR="00E1396E" w:rsidRPr="00B947D9">
        <w:rPr>
          <w:rFonts w:ascii="Times New Roman" w:hAnsi="Times New Roman"/>
          <w:color w:val="000000" w:themeColor="text1"/>
          <w:lang w:val="en-US"/>
        </w:rPr>
        <w:t xml:space="preserve"> nature. For example, we expect that the negative facility rate </w:t>
      </w:r>
      <w:r w:rsidR="00AA4588" w:rsidRPr="00B947D9">
        <w:rPr>
          <w:rFonts w:ascii="Times New Roman" w:hAnsi="Times New Roman"/>
          <w:color w:val="000000" w:themeColor="text1"/>
          <w:lang w:val="en-US"/>
        </w:rPr>
        <w:t>mostly</w:t>
      </w:r>
      <w:r w:rsidR="00E1396E" w:rsidRPr="00B947D9">
        <w:rPr>
          <w:rFonts w:ascii="Times New Roman" w:hAnsi="Times New Roman"/>
          <w:color w:val="000000" w:themeColor="text1"/>
          <w:lang w:val="en-US"/>
        </w:rPr>
        <w:t xml:space="preserve"> affects housing prices, since it will reduce the mortgage rates boosting housing demand compared to bonds, which now are offered to lower interest rates. These differential effects will result in households restructuring their wealth portfolio.</w:t>
      </w:r>
    </w:p>
    <w:p w14:paraId="133ABCCB" w14:textId="115F196A" w:rsidR="00E1396E" w:rsidRPr="00B947D9" w:rsidRDefault="00E1396E" w:rsidP="00E1396E">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 xml:space="preserve">To answer our question, we first identify the effects of the announcement and implementation of the unconventional monetary policies </w:t>
      </w:r>
      <w:r w:rsidR="00602AC2">
        <w:rPr>
          <w:rFonts w:ascii="Times New Roman" w:hAnsi="Times New Roman"/>
          <w:color w:val="000000" w:themeColor="text1"/>
          <w:lang w:val="en-US"/>
        </w:rPr>
        <w:t>on</w:t>
      </w:r>
      <w:r w:rsidRPr="00B947D9">
        <w:rPr>
          <w:rFonts w:ascii="Times New Roman" w:hAnsi="Times New Roman"/>
          <w:color w:val="000000" w:themeColor="text1"/>
          <w:lang w:val="en-US"/>
        </w:rPr>
        <w:t xml:space="preserve"> the prices of bonds, equities, and housing. Then we simulate these price shocks to </w:t>
      </w:r>
      <w:r w:rsidR="00AA4588" w:rsidRPr="00B947D9">
        <w:rPr>
          <w:rFonts w:ascii="Times New Roman" w:hAnsi="Times New Roman"/>
          <w:color w:val="000000" w:themeColor="text1"/>
          <w:lang w:val="en-US"/>
        </w:rPr>
        <w:t>households’</w:t>
      </w:r>
      <w:r w:rsidRPr="00B947D9">
        <w:rPr>
          <w:rFonts w:ascii="Times New Roman" w:hAnsi="Times New Roman"/>
          <w:color w:val="000000" w:themeColor="text1"/>
          <w:lang w:val="en-US"/>
        </w:rPr>
        <w:t xml:space="preserve"> wealth data constructed by the Household Finance and Consumption </w:t>
      </w:r>
      <w:r w:rsidR="00AA4588" w:rsidRPr="00B947D9">
        <w:rPr>
          <w:rFonts w:ascii="Times New Roman" w:hAnsi="Times New Roman"/>
          <w:color w:val="000000" w:themeColor="text1"/>
          <w:lang w:val="en-US"/>
        </w:rPr>
        <w:t>Survey</w:t>
      </w:r>
      <w:r w:rsidR="00602AC2">
        <w:rPr>
          <w:rFonts w:ascii="Times New Roman" w:hAnsi="Times New Roman"/>
          <w:color w:val="000000" w:themeColor="text1"/>
          <w:lang w:val="en-US"/>
        </w:rPr>
        <w:t>. Subsequently,</w:t>
      </w:r>
      <w:r w:rsidR="00AA4588" w:rsidRPr="00B947D9">
        <w:rPr>
          <w:rFonts w:ascii="Times New Roman" w:hAnsi="Times New Roman"/>
          <w:color w:val="000000" w:themeColor="text1"/>
          <w:lang w:val="en-US"/>
        </w:rPr>
        <w:t xml:space="preserve"> we</w:t>
      </w:r>
      <w:r w:rsidRPr="00B947D9">
        <w:rPr>
          <w:rFonts w:ascii="Times New Roman" w:hAnsi="Times New Roman"/>
          <w:color w:val="000000" w:themeColor="text1"/>
          <w:lang w:val="en-US"/>
        </w:rPr>
        <w:t xml:space="preserve"> estimate how the change in prices affects the value of each wealth component across the wealth distribution. To do so, first we estimated wealth distributions per country, an</w:t>
      </w:r>
      <w:r w:rsidR="00AA4588" w:rsidRPr="00B947D9">
        <w:rPr>
          <w:rFonts w:ascii="Times New Roman" w:hAnsi="Times New Roman"/>
          <w:color w:val="000000" w:themeColor="text1"/>
          <w:lang w:val="en-US"/>
        </w:rPr>
        <w:t>d</w:t>
      </w:r>
      <w:r w:rsidRPr="00B947D9">
        <w:rPr>
          <w:rFonts w:ascii="Times New Roman" w:hAnsi="Times New Roman"/>
          <w:color w:val="000000" w:themeColor="text1"/>
          <w:lang w:val="en-US"/>
        </w:rPr>
        <w:t xml:space="preserve"> we decomposed total wealth into the </w:t>
      </w:r>
      <w:r w:rsidR="00602AC2">
        <w:rPr>
          <w:rFonts w:ascii="Times New Roman" w:hAnsi="Times New Roman"/>
          <w:color w:val="000000" w:themeColor="text1"/>
          <w:lang w:val="en-US"/>
        </w:rPr>
        <w:t>sub-</w:t>
      </w:r>
      <w:r w:rsidRPr="00B947D9">
        <w:rPr>
          <w:rFonts w:ascii="Times New Roman" w:hAnsi="Times New Roman"/>
          <w:color w:val="000000" w:themeColor="text1"/>
          <w:lang w:val="en-US"/>
        </w:rPr>
        <w:t xml:space="preserve">components housing, bonds, and equities. We use data from </w:t>
      </w:r>
      <w:r w:rsidR="00AA4588" w:rsidRPr="00B947D9">
        <w:rPr>
          <w:rFonts w:ascii="Times New Roman" w:hAnsi="Times New Roman"/>
          <w:color w:val="000000" w:themeColor="text1"/>
          <w:lang w:val="en-US"/>
        </w:rPr>
        <w:t>the first two wa</w:t>
      </w:r>
      <w:r w:rsidRPr="00B947D9">
        <w:rPr>
          <w:rFonts w:ascii="Times New Roman" w:hAnsi="Times New Roman"/>
          <w:color w:val="000000" w:themeColor="text1"/>
          <w:lang w:val="en-US"/>
        </w:rPr>
        <w:t>ves (2010-2014) from 15 Eurozone countries.</w:t>
      </w:r>
    </w:p>
    <w:p w14:paraId="6C67F3C3" w14:textId="175852CA" w:rsidR="004D1A49" w:rsidRPr="00B947D9" w:rsidRDefault="00E1396E" w:rsidP="00E1396E">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We find that h</w:t>
      </w:r>
      <w:r w:rsidR="00E95AEC" w:rsidRPr="00B947D9">
        <w:rPr>
          <w:rFonts w:ascii="Times New Roman" w:hAnsi="Times New Roman"/>
          <w:color w:val="000000" w:themeColor="text1"/>
          <w:lang w:val="en-US"/>
        </w:rPr>
        <w:t>ousing wealth represents the largest share of households’ total wealth in all Euro Area countries in both years 2010 and 2014. Also, real assets are by far the principal component of households’ total assets with main residence, other real estate property</w:t>
      </w:r>
      <w:r w:rsidRPr="00B947D9">
        <w:rPr>
          <w:rFonts w:ascii="Times New Roman" w:hAnsi="Times New Roman"/>
          <w:color w:val="000000" w:themeColor="text1"/>
          <w:lang w:val="en-US"/>
        </w:rPr>
        <w:t>,</w:t>
      </w:r>
      <w:r w:rsidR="00E95AEC" w:rsidRPr="00B947D9">
        <w:rPr>
          <w:rFonts w:ascii="Times New Roman" w:hAnsi="Times New Roman"/>
          <w:color w:val="000000" w:themeColor="text1"/>
          <w:lang w:val="en-US"/>
        </w:rPr>
        <w:t xml:space="preserve"> and self-employment businesses being the main assets</w:t>
      </w:r>
      <w:r w:rsidRPr="00B947D9">
        <w:rPr>
          <w:rFonts w:ascii="Times New Roman" w:hAnsi="Times New Roman"/>
          <w:color w:val="000000" w:themeColor="text1"/>
          <w:lang w:val="en-US"/>
        </w:rPr>
        <w:t xml:space="preserve"> </w:t>
      </w:r>
      <w:r w:rsidR="003823AF" w:rsidRPr="00B947D9">
        <w:rPr>
          <w:rFonts w:ascii="Times New Roman" w:hAnsi="Times New Roman"/>
          <w:color w:val="000000" w:themeColor="text1"/>
          <w:lang w:val="en-US"/>
        </w:rPr>
        <w:t>held</w:t>
      </w:r>
      <w:r w:rsidRPr="00B947D9">
        <w:rPr>
          <w:rFonts w:ascii="Times New Roman" w:hAnsi="Times New Roman"/>
          <w:color w:val="000000" w:themeColor="text1"/>
          <w:lang w:val="en-US"/>
        </w:rPr>
        <w:t xml:space="preserve"> by </w:t>
      </w:r>
      <w:r w:rsidR="00E95AEC" w:rsidRPr="00B947D9">
        <w:rPr>
          <w:rFonts w:ascii="Times New Roman" w:hAnsi="Times New Roman"/>
          <w:color w:val="000000" w:themeColor="text1"/>
          <w:lang w:val="en-US"/>
        </w:rPr>
        <w:t>households. On the other hand, deposits, voluntary pension funds</w:t>
      </w:r>
      <w:r w:rsidR="003823AF" w:rsidRPr="00B947D9">
        <w:rPr>
          <w:rFonts w:ascii="Times New Roman" w:hAnsi="Times New Roman"/>
          <w:color w:val="000000" w:themeColor="text1"/>
          <w:lang w:val="en-US"/>
        </w:rPr>
        <w:t>,</w:t>
      </w:r>
      <w:r w:rsidR="00E95AEC" w:rsidRPr="00B947D9">
        <w:rPr>
          <w:rFonts w:ascii="Times New Roman" w:hAnsi="Times New Roman"/>
          <w:color w:val="000000" w:themeColor="text1"/>
          <w:lang w:val="en-US"/>
        </w:rPr>
        <w:t xml:space="preserve"> and equity have a predominant position in households’ financial asset composition.</w:t>
      </w:r>
    </w:p>
    <w:p w14:paraId="610A5432" w14:textId="3E69DE0A" w:rsidR="00E95AEC" w:rsidRPr="00B947D9" w:rsidRDefault="00E95AEC" w:rsidP="003823AF">
      <w:pPr>
        <w:spacing w:line="480" w:lineRule="auto"/>
        <w:ind w:firstLine="720"/>
        <w:jc w:val="both"/>
        <w:rPr>
          <w:rFonts w:ascii="Times New Roman" w:hAnsi="Times New Roman"/>
          <w:color w:val="000000" w:themeColor="text1"/>
          <w:lang w:val="en-US"/>
        </w:rPr>
      </w:pPr>
      <w:r w:rsidRPr="00B947D9">
        <w:rPr>
          <w:rFonts w:ascii="Times New Roman" w:hAnsi="Times New Roman"/>
          <w:color w:val="000000" w:themeColor="text1"/>
          <w:lang w:val="en-US"/>
        </w:rPr>
        <w:t>Overall, unconventional monetary policies have a</w:t>
      </w:r>
      <w:r w:rsidR="00602AC2">
        <w:rPr>
          <w:rFonts w:ascii="Times New Roman" w:hAnsi="Times New Roman"/>
          <w:color w:val="000000" w:themeColor="text1"/>
          <w:lang w:val="en-US"/>
        </w:rPr>
        <w:t xml:space="preserve"> </w:t>
      </w:r>
      <w:r w:rsidRPr="00B947D9">
        <w:rPr>
          <w:rFonts w:ascii="Times New Roman" w:hAnsi="Times New Roman"/>
          <w:color w:val="000000" w:themeColor="text1"/>
          <w:lang w:val="en-US"/>
        </w:rPr>
        <w:t xml:space="preserve">positive effect in households’ capital gains </w:t>
      </w:r>
      <w:r w:rsidR="00602AC2">
        <w:rPr>
          <w:rFonts w:ascii="Times New Roman" w:hAnsi="Times New Roman"/>
          <w:color w:val="000000" w:themeColor="text1"/>
          <w:lang w:val="en-US"/>
        </w:rPr>
        <w:t>across</w:t>
      </w:r>
      <w:r w:rsidRPr="00B947D9">
        <w:rPr>
          <w:rFonts w:ascii="Times New Roman" w:hAnsi="Times New Roman"/>
          <w:color w:val="000000" w:themeColor="text1"/>
          <w:lang w:val="en-US"/>
        </w:rPr>
        <w:t xml:space="preserve"> all household groups in the net wealth distribution, with those in top 1% benefit twice as much as those in group 95-99%, while the lowest 25% of households benefit slightly more than the 75-95% group (relative to group net wealth) leading to an increase in wealth inequality.</w:t>
      </w:r>
      <w:r w:rsidR="003823AF" w:rsidRPr="00B947D9">
        <w:rPr>
          <w:rFonts w:ascii="Times New Roman" w:hAnsi="Times New Roman"/>
          <w:color w:val="000000" w:themeColor="text1"/>
          <w:lang w:val="en-US"/>
        </w:rPr>
        <w:t xml:space="preserve"> </w:t>
      </w:r>
      <w:r w:rsidRPr="00B947D9">
        <w:rPr>
          <w:rFonts w:ascii="Times New Roman" w:hAnsi="Times New Roman"/>
          <w:color w:val="000000" w:themeColor="text1"/>
          <w:lang w:val="en-US"/>
        </w:rPr>
        <w:t>Across Euro Area countries, low wealth households in</w:t>
      </w:r>
      <w:r w:rsidR="004D1A49" w:rsidRPr="00B947D9">
        <w:rPr>
          <w:rFonts w:ascii="Times New Roman" w:hAnsi="Times New Roman"/>
          <w:color w:val="000000" w:themeColor="text1"/>
          <w:lang w:val="en-US"/>
        </w:rPr>
        <w:t xml:space="preserve"> France, the Netherlands, Italy, and Germany</w:t>
      </w:r>
      <w:r w:rsidRPr="00B947D9">
        <w:rPr>
          <w:rFonts w:ascii="Times New Roman" w:hAnsi="Times New Roman"/>
          <w:color w:val="000000" w:themeColor="text1"/>
          <w:lang w:val="en-US"/>
        </w:rPr>
        <w:t>, and the Netherlands benefit most</w:t>
      </w:r>
      <w:r w:rsidR="004D1A49" w:rsidRPr="00B947D9">
        <w:rPr>
          <w:rFonts w:ascii="Times New Roman" w:hAnsi="Times New Roman"/>
          <w:color w:val="000000" w:themeColor="text1"/>
          <w:lang w:val="en-US"/>
        </w:rPr>
        <w:t xml:space="preserve">. On the contrary, the top 5% of the wealth distribution group is mostly benefitted in Slovakia and Slovenia. </w:t>
      </w:r>
    </w:p>
    <w:p w14:paraId="4E3FB1EE" w14:textId="7E780649" w:rsidR="002C51B7" w:rsidRPr="00B947D9" w:rsidRDefault="004D1A49" w:rsidP="006A696D">
      <w:pPr>
        <w:spacing w:line="480" w:lineRule="auto"/>
        <w:jc w:val="both"/>
        <w:rPr>
          <w:rFonts w:ascii="Times New Roman" w:hAnsi="Times New Roman"/>
          <w:color w:val="000000" w:themeColor="text1"/>
          <w:lang w:val="en-US"/>
        </w:rPr>
      </w:pPr>
      <w:r w:rsidRPr="00B947D9">
        <w:rPr>
          <w:rFonts w:ascii="Times New Roman" w:hAnsi="Times New Roman"/>
          <w:color w:val="000000" w:themeColor="text1"/>
          <w:lang w:val="en-US"/>
        </w:rPr>
        <w:tab/>
        <w:t>Our results suggest that the unconventional monetary policies have strong differential effects on the distribution of wealth. This observation highlights the importance of designing monetary policies targeted to reduce wealth inequality.</w:t>
      </w:r>
    </w:p>
    <w:p w14:paraId="4103C3C1" w14:textId="77777777" w:rsidR="00B22D22" w:rsidRPr="00B947D9" w:rsidRDefault="00B22D22" w:rsidP="006A696D">
      <w:pPr>
        <w:spacing w:line="480" w:lineRule="auto"/>
        <w:jc w:val="both"/>
        <w:rPr>
          <w:rFonts w:ascii="Times New Roman" w:hAnsi="Times New Roman"/>
          <w:color w:val="000000" w:themeColor="text1"/>
          <w:lang w:val="en-US"/>
        </w:rPr>
      </w:pPr>
    </w:p>
    <w:p w14:paraId="1D09076F" w14:textId="480A4D2E" w:rsidR="002570A8" w:rsidRPr="00B947D9" w:rsidRDefault="004247D2" w:rsidP="006A696D">
      <w:pPr>
        <w:spacing w:line="480" w:lineRule="auto"/>
        <w:jc w:val="both"/>
        <w:rPr>
          <w:rFonts w:ascii="Times New Roman" w:hAnsi="Times New Roman"/>
          <w:i/>
          <w:iCs/>
          <w:color w:val="000000" w:themeColor="text1"/>
          <w:lang w:val="en-US"/>
        </w:rPr>
      </w:pPr>
      <w:r w:rsidRPr="00B947D9">
        <w:rPr>
          <w:rFonts w:ascii="Times New Roman" w:hAnsi="Times New Roman"/>
          <w:i/>
          <w:iCs/>
          <w:color w:val="000000" w:themeColor="text1"/>
          <w:lang w:val="en-US"/>
        </w:rPr>
        <w:t>References</w:t>
      </w:r>
    </w:p>
    <w:p w14:paraId="7327C3D4"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Adam, K., &amp; Zhu, J. (2016). Price-level changes and the redistribution of nominal wealth across the Euro Area. </w:t>
      </w:r>
      <w:r w:rsidRPr="00B947D9">
        <w:rPr>
          <w:rFonts w:ascii="Times New Roman" w:eastAsia="Times New Roman" w:hAnsi="Times New Roman"/>
          <w:i/>
          <w:iCs/>
          <w:color w:val="000000" w:themeColor="text1"/>
          <w:shd w:val="clear" w:color="auto" w:fill="FFFFFF"/>
          <w:lang w:eastAsia="en-GB"/>
        </w:rPr>
        <w:t>Journal of the European Economic Association</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14</w:t>
      </w:r>
      <w:r w:rsidRPr="00B947D9">
        <w:rPr>
          <w:rFonts w:ascii="Times New Roman" w:eastAsia="Times New Roman" w:hAnsi="Times New Roman"/>
          <w:color w:val="000000" w:themeColor="text1"/>
          <w:shd w:val="clear" w:color="auto" w:fill="FFFFFF"/>
          <w:lang w:eastAsia="en-GB"/>
        </w:rPr>
        <w:t>(4), 871-906.</w:t>
      </w:r>
    </w:p>
    <w:p w14:paraId="57909C24"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Alvaredo F, Atkinson AB, Morelli S. (2018a). Top wealth shares in the UK over more than a century. </w:t>
      </w:r>
      <w:r w:rsidRPr="00B947D9">
        <w:rPr>
          <w:rFonts w:ascii="Times New Roman" w:eastAsia="Times New Roman" w:hAnsi="Times New Roman"/>
          <w:i/>
          <w:iCs/>
          <w:color w:val="000000" w:themeColor="text1"/>
          <w:lang w:val="en-US" w:eastAsia="en-GB"/>
        </w:rPr>
        <w:t xml:space="preserve">J. Public Econ. </w:t>
      </w:r>
      <w:r w:rsidRPr="00B947D9">
        <w:rPr>
          <w:rFonts w:ascii="Times New Roman" w:eastAsia="Times New Roman" w:hAnsi="Times New Roman"/>
          <w:color w:val="000000" w:themeColor="text1"/>
          <w:lang w:val="en-US" w:eastAsia="en-GB"/>
        </w:rPr>
        <w:t>162:26–47.</w:t>
      </w:r>
    </w:p>
    <w:p w14:paraId="61C3024B" w14:textId="77777777" w:rsidR="00FB3171" w:rsidRPr="00B947D9" w:rsidRDefault="00FB3171" w:rsidP="00C46EA8">
      <w:pPr>
        <w:pStyle w:val="NormalWeb"/>
        <w:jc w:val="both"/>
        <w:rPr>
          <w:color w:val="000000" w:themeColor="text1"/>
        </w:rPr>
      </w:pPr>
      <w:r w:rsidRPr="00B947D9">
        <w:rPr>
          <w:color w:val="000000" w:themeColor="text1"/>
        </w:rPr>
        <w:t xml:space="preserve">Alvaredo F, Chancel L, Piketty T, Saez E, Zucman G. (2018b). </w:t>
      </w:r>
      <w:r w:rsidRPr="00B947D9">
        <w:rPr>
          <w:i/>
          <w:iCs/>
          <w:color w:val="000000" w:themeColor="text1"/>
        </w:rPr>
        <w:t>The World Inequality Report 2018</w:t>
      </w:r>
      <w:r w:rsidRPr="00B947D9">
        <w:rPr>
          <w:color w:val="000000" w:themeColor="text1"/>
        </w:rPr>
        <w:t>. Cambridge, MA: Harvard Univ. Press.</w:t>
      </w:r>
    </w:p>
    <w:p w14:paraId="113BE2B2" w14:textId="77777777" w:rsidR="00FB3171" w:rsidRPr="00B947D9" w:rsidRDefault="00FB3171" w:rsidP="00C46EA8">
      <w:pPr>
        <w:jc w:val="both"/>
        <w:rPr>
          <w:rFonts w:ascii="Times New Roman" w:eastAsia="Times New Roman" w:hAnsi="Times New Roman"/>
          <w:color w:val="000000" w:themeColor="text1"/>
          <w:shd w:val="clear" w:color="auto" w:fill="FFFFFF"/>
          <w:lang w:eastAsia="en-GB"/>
        </w:rPr>
      </w:pPr>
      <w:r w:rsidRPr="00B947D9">
        <w:rPr>
          <w:rFonts w:ascii="Times New Roman" w:eastAsia="Times New Roman" w:hAnsi="Times New Roman"/>
          <w:color w:val="000000" w:themeColor="text1"/>
          <w:shd w:val="clear" w:color="auto" w:fill="FFFFFF"/>
          <w:lang w:eastAsia="en-GB"/>
        </w:rPr>
        <w:t>Kucharčuková, O. B., Claeys, P., &amp; Vašíček, B. (2016). Spillover of the ECB's monetary policy outside the euro area: How different is conventional from unconventional policy?. </w:t>
      </w:r>
      <w:r w:rsidRPr="00B947D9">
        <w:rPr>
          <w:rFonts w:ascii="Times New Roman" w:eastAsia="Times New Roman" w:hAnsi="Times New Roman"/>
          <w:i/>
          <w:iCs/>
          <w:color w:val="000000" w:themeColor="text1"/>
          <w:shd w:val="clear" w:color="auto" w:fill="FFFFFF"/>
          <w:lang w:eastAsia="en-GB"/>
        </w:rPr>
        <w:t>Journal of Policy Modeling</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38</w:t>
      </w:r>
      <w:r w:rsidRPr="00B947D9">
        <w:rPr>
          <w:rFonts w:ascii="Times New Roman" w:eastAsia="Times New Roman" w:hAnsi="Times New Roman"/>
          <w:color w:val="000000" w:themeColor="text1"/>
          <w:shd w:val="clear" w:color="auto" w:fill="FFFFFF"/>
          <w:lang w:eastAsia="en-GB"/>
        </w:rPr>
        <w:t>(2), 199-225.</w:t>
      </w:r>
    </w:p>
    <w:p w14:paraId="41748C46" w14:textId="77777777" w:rsidR="00FB3171" w:rsidRPr="00B947D9" w:rsidRDefault="00FB3171" w:rsidP="00C46EA8">
      <w:pPr>
        <w:jc w:val="both"/>
        <w:rPr>
          <w:rFonts w:ascii="Times New Roman" w:eastAsia="Times New Roman" w:hAnsi="Times New Roman"/>
          <w:color w:val="000000" w:themeColor="text1"/>
          <w:lang w:eastAsia="en-GB"/>
        </w:rPr>
      </w:pPr>
    </w:p>
    <w:p w14:paraId="2F362974" w14:textId="77777777" w:rsidR="00FB3171" w:rsidRPr="00B947D9" w:rsidRDefault="00FB3171" w:rsidP="00C46EA8">
      <w:pPr>
        <w:jc w:val="both"/>
        <w:rPr>
          <w:rFonts w:ascii="Times New Roman" w:eastAsia="Times New Roman" w:hAnsi="Times New Roman"/>
          <w:color w:val="000000" w:themeColor="text1"/>
          <w:shd w:val="clear" w:color="auto" w:fill="FFFFFF"/>
          <w:lang w:eastAsia="en-GB"/>
        </w:rPr>
      </w:pPr>
      <w:r w:rsidRPr="00B947D9">
        <w:rPr>
          <w:rFonts w:ascii="Times New Roman" w:eastAsia="Times New Roman" w:hAnsi="Times New Roman"/>
          <w:color w:val="000000" w:themeColor="text1"/>
          <w:shd w:val="clear" w:color="auto" w:fill="FFFFFF"/>
          <w:lang w:eastAsia="en-GB"/>
        </w:rPr>
        <w:t>Bernanke, B. S. (2012, August). Opening remarks: monetary policy since the onset of the crisis. In </w:t>
      </w:r>
      <w:r w:rsidRPr="00B947D9">
        <w:rPr>
          <w:rFonts w:ascii="Times New Roman" w:eastAsia="Times New Roman" w:hAnsi="Times New Roman"/>
          <w:i/>
          <w:iCs/>
          <w:color w:val="000000" w:themeColor="text1"/>
          <w:shd w:val="clear" w:color="auto" w:fill="FFFFFF"/>
          <w:lang w:eastAsia="en-GB"/>
        </w:rPr>
        <w:t>Proceedings: economic policy symposium Jackson hole</w:t>
      </w:r>
      <w:r w:rsidRPr="00B947D9">
        <w:rPr>
          <w:rFonts w:ascii="Times New Roman" w:eastAsia="Times New Roman" w:hAnsi="Times New Roman"/>
          <w:color w:val="000000" w:themeColor="text1"/>
          <w:shd w:val="clear" w:color="auto" w:fill="FFFFFF"/>
          <w:lang w:eastAsia="en-GB"/>
        </w:rPr>
        <w:t> (Vol. 1, p. 22).</w:t>
      </w:r>
    </w:p>
    <w:p w14:paraId="4BE120AE" w14:textId="77777777" w:rsidR="00FB3171" w:rsidRPr="00B947D9" w:rsidRDefault="00FB3171" w:rsidP="00C46EA8">
      <w:pPr>
        <w:jc w:val="both"/>
        <w:rPr>
          <w:rFonts w:ascii="Times New Roman" w:eastAsia="Times New Roman" w:hAnsi="Times New Roman"/>
          <w:color w:val="000000" w:themeColor="text1"/>
          <w:lang w:eastAsia="en-GB"/>
        </w:rPr>
      </w:pPr>
    </w:p>
    <w:p w14:paraId="16AF8F60"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Gambacorta, L., Hofmann, B., &amp; Peersman, G. (2014). The effectiveness of unconventional monetary policy at the zero lower bound: A cross‐country analysis. </w:t>
      </w:r>
      <w:r w:rsidRPr="00B947D9">
        <w:rPr>
          <w:rFonts w:ascii="Times New Roman" w:eastAsia="Times New Roman" w:hAnsi="Times New Roman"/>
          <w:i/>
          <w:iCs/>
          <w:color w:val="000000" w:themeColor="text1"/>
          <w:shd w:val="clear" w:color="auto" w:fill="FFFFFF"/>
          <w:lang w:eastAsia="en-GB"/>
        </w:rPr>
        <w:t>Journal of Money, Credit and Banking</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46</w:t>
      </w:r>
      <w:r w:rsidRPr="00B947D9">
        <w:rPr>
          <w:rFonts w:ascii="Times New Roman" w:eastAsia="Times New Roman" w:hAnsi="Times New Roman"/>
          <w:color w:val="000000" w:themeColor="text1"/>
          <w:shd w:val="clear" w:color="auto" w:fill="FFFFFF"/>
          <w:lang w:eastAsia="en-GB"/>
        </w:rPr>
        <w:t>(4), 615-642.</w:t>
      </w:r>
    </w:p>
    <w:p w14:paraId="3F278CD9" w14:textId="77777777" w:rsidR="00C46EA8" w:rsidRPr="00B947D9" w:rsidRDefault="00C46EA8" w:rsidP="00C46EA8">
      <w:pPr>
        <w:jc w:val="both"/>
        <w:rPr>
          <w:rFonts w:ascii="Times New Roman" w:eastAsia="Times New Roman" w:hAnsi="Times New Roman"/>
          <w:color w:val="000000" w:themeColor="text1"/>
          <w:shd w:val="clear" w:color="auto" w:fill="FFFFFF"/>
          <w:lang w:eastAsia="en-GB"/>
        </w:rPr>
      </w:pPr>
    </w:p>
    <w:p w14:paraId="4F80AF39" w14:textId="012337FD"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Casiraghi, M., Gaiotti, E., Rodano, L., &amp; Secchi, A. (2018). A “reverse Robin Hood”? The distributional implications of non-standard monetary policy for Italian households. </w:t>
      </w:r>
      <w:r w:rsidRPr="00B947D9">
        <w:rPr>
          <w:rFonts w:ascii="Times New Roman" w:eastAsia="Times New Roman" w:hAnsi="Times New Roman"/>
          <w:i/>
          <w:iCs/>
          <w:color w:val="000000" w:themeColor="text1"/>
          <w:shd w:val="clear" w:color="auto" w:fill="FFFFFF"/>
          <w:lang w:eastAsia="en-GB"/>
        </w:rPr>
        <w:t>Journal of International Money and Finance</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85</w:t>
      </w:r>
      <w:r w:rsidRPr="00B947D9">
        <w:rPr>
          <w:rFonts w:ascii="Times New Roman" w:eastAsia="Times New Roman" w:hAnsi="Times New Roman"/>
          <w:color w:val="000000" w:themeColor="text1"/>
          <w:shd w:val="clear" w:color="auto" w:fill="FFFFFF"/>
          <w:lang w:eastAsia="en-GB"/>
        </w:rPr>
        <w:t>, 215-235.</w:t>
      </w:r>
    </w:p>
    <w:p w14:paraId="16CEFEF7"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Cowell, F., E. Karagiannaki and A. Mcknight (2017). “Accounting for Cross-Country Differences in Wealth Inequality”, </w:t>
      </w:r>
      <w:r w:rsidRPr="00B947D9">
        <w:rPr>
          <w:rFonts w:ascii="Times New Roman" w:eastAsia="Times New Roman" w:hAnsi="Times New Roman"/>
          <w:i/>
          <w:iCs/>
          <w:color w:val="000000" w:themeColor="text1"/>
          <w:lang w:val="en-US" w:eastAsia="en-GB"/>
        </w:rPr>
        <w:t>Review of Income and Wealth</w:t>
      </w:r>
      <w:r w:rsidRPr="00B947D9">
        <w:rPr>
          <w:rFonts w:ascii="Times New Roman" w:eastAsia="Times New Roman" w:hAnsi="Times New Roman"/>
          <w:color w:val="000000" w:themeColor="text1"/>
          <w:lang w:val="en-US" w:eastAsia="en-GB"/>
        </w:rPr>
        <w:t>.</w:t>
      </w:r>
    </w:p>
    <w:p w14:paraId="1E181ABB"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Doepke, M., &amp; Schneider, M. (2006). Inflation and the redistribution of nominal wealth. </w:t>
      </w:r>
      <w:r w:rsidRPr="00B947D9">
        <w:rPr>
          <w:rFonts w:ascii="Times New Roman" w:eastAsia="Times New Roman" w:hAnsi="Times New Roman"/>
          <w:i/>
          <w:iCs/>
          <w:color w:val="000000" w:themeColor="text1"/>
          <w:shd w:val="clear" w:color="auto" w:fill="FFFFFF"/>
          <w:lang w:eastAsia="en-GB"/>
        </w:rPr>
        <w:t>Journal of Political Economy</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114</w:t>
      </w:r>
      <w:r w:rsidRPr="00B947D9">
        <w:rPr>
          <w:rFonts w:ascii="Times New Roman" w:eastAsia="Times New Roman" w:hAnsi="Times New Roman"/>
          <w:color w:val="000000" w:themeColor="text1"/>
          <w:shd w:val="clear" w:color="auto" w:fill="FFFFFF"/>
          <w:lang w:eastAsia="en-GB"/>
        </w:rPr>
        <w:t>(6), 1069-1097.</w:t>
      </w:r>
    </w:p>
    <w:p w14:paraId="1DC638F9" w14:textId="77777777" w:rsidR="00FB3171" w:rsidRPr="00B947D9" w:rsidRDefault="00FB3171" w:rsidP="00C46EA8">
      <w:pPr>
        <w:jc w:val="both"/>
        <w:rPr>
          <w:rFonts w:ascii="Times New Roman" w:eastAsia="Times New Roman" w:hAnsi="Times New Roman"/>
          <w:color w:val="000000" w:themeColor="text1"/>
          <w:sz w:val="20"/>
          <w:szCs w:val="20"/>
          <w:shd w:val="clear" w:color="auto" w:fill="FFFFFF"/>
          <w:lang w:eastAsia="en-GB"/>
        </w:rPr>
      </w:pPr>
    </w:p>
    <w:p w14:paraId="58847568"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Domanski, D., Scatigna, M., &amp; Zabai, A. (2016). Wealth inequality and monetary policy. </w:t>
      </w:r>
      <w:r w:rsidRPr="00B947D9">
        <w:rPr>
          <w:rFonts w:ascii="Times New Roman" w:eastAsia="Times New Roman" w:hAnsi="Times New Roman"/>
          <w:i/>
          <w:iCs/>
          <w:color w:val="000000" w:themeColor="text1"/>
          <w:shd w:val="clear" w:color="auto" w:fill="FFFFFF"/>
          <w:lang w:eastAsia="en-GB"/>
        </w:rPr>
        <w:t>BIS Quarterly Review March</w:t>
      </w:r>
      <w:r w:rsidRPr="00B947D9">
        <w:rPr>
          <w:rFonts w:ascii="Times New Roman" w:eastAsia="Times New Roman" w:hAnsi="Times New Roman"/>
          <w:color w:val="000000" w:themeColor="text1"/>
          <w:shd w:val="clear" w:color="auto" w:fill="FFFFFF"/>
          <w:lang w:eastAsia="en-GB"/>
        </w:rPr>
        <w:t>.</w:t>
      </w:r>
    </w:p>
    <w:p w14:paraId="6C990586" w14:textId="77777777" w:rsidR="00FB3171" w:rsidRPr="00B947D9" w:rsidRDefault="00FB3171" w:rsidP="00C46EA8">
      <w:pPr>
        <w:jc w:val="both"/>
        <w:rPr>
          <w:rFonts w:ascii="Times New Roman" w:eastAsia="Times New Roman" w:hAnsi="Times New Roman"/>
          <w:color w:val="000000" w:themeColor="text1"/>
          <w:lang w:eastAsia="en-GB"/>
        </w:rPr>
      </w:pPr>
    </w:p>
    <w:p w14:paraId="4575D15A"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Evgenidis, A., &amp; Fasianos, A. (2021). Unconventional monetary policy and wealth inequalities in Great Britain. </w:t>
      </w:r>
      <w:r w:rsidRPr="00B947D9">
        <w:rPr>
          <w:rFonts w:ascii="Times New Roman" w:eastAsia="Times New Roman" w:hAnsi="Times New Roman"/>
          <w:i/>
          <w:iCs/>
          <w:color w:val="000000" w:themeColor="text1"/>
          <w:shd w:val="clear" w:color="auto" w:fill="FFFFFF"/>
          <w:lang w:eastAsia="en-GB"/>
        </w:rPr>
        <w:t>Oxford Bulletin of Economics and Statistics</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83</w:t>
      </w:r>
      <w:r w:rsidRPr="00B947D9">
        <w:rPr>
          <w:rFonts w:ascii="Times New Roman" w:eastAsia="Times New Roman" w:hAnsi="Times New Roman"/>
          <w:color w:val="000000" w:themeColor="text1"/>
          <w:shd w:val="clear" w:color="auto" w:fill="FFFFFF"/>
          <w:lang w:eastAsia="en-GB"/>
        </w:rPr>
        <w:t>(1), 115-175.</w:t>
      </w:r>
    </w:p>
    <w:p w14:paraId="53ED4448" w14:textId="77777777" w:rsidR="00FB3171" w:rsidRPr="00B947D9" w:rsidRDefault="00FB3171" w:rsidP="00C46EA8">
      <w:pPr>
        <w:jc w:val="both"/>
        <w:rPr>
          <w:rFonts w:ascii="Times New Roman" w:eastAsia="Times New Roman" w:hAnsi="Times New Roman"/>
          <w:color w:val="000000" w:themeColor="text1"/>
          <w:lang w:eastAsia="en-GB"/>
        </w:rPr>
      </w:pPr>
    </w:p>
    <w:p w14:paraId="7D2E73A6"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Hartmann, P., &amp; Smets, F. (2018). The first twenty years of the European Central Bank: monetary policy.</w:t>
      </w:r>
    </w:p>
    <w:p w14:paraId="780C1D59" w14:textId="77777777" w:rsidR="00FB3171" w:rsidRPr="00B947D9" w:rsidRDefault="00FB3171" w:rsidP="00C46EA8">
      <w:pPr>
        <w:jc w:val="both"/>
        <w:rPr>
          <w:rFonts w:ascii="Times New Roman" w:eastAsia="Times New Roman" w:hAnsi="Times New Roman"/>
          <w:color w:val="000000" w:themeColor="text1"/>
          <w:lang w:eastAsia="en-GB"/>
        </w:rPr>
      </w:pPr>
    </w:p>
    <w:p w14:paraId="61EDB869" w14:textId="7A17A46F" w:rsidR="00FB3171" w:rsidRPr="00B947D9" w:rsidRDefault="00FB3171" w:rsidP="00C46EA8">
      <w:pPr>
        <w:jc w:val="both"/>
        <w:rPr>
          <w:rFonts w:ascii="Times New Roman" w:hAnsi="Times New Roman"/>
          <w:color w:val="000000" w:themeColor="text1"/>
          <w:shd w:val="clear" w:color="auto" w:fill="FFFFFF"/>
        </w:rPr>
      </w:pPr>
      <w:r w:rsidRPr="00B947D9">
        <w:rPr>
          <w:rFonts w:ascii="Times New Roman" w:hAnsi="Times New Roman"/>
          <w:color w:val="000000" w:themeColor="text1"/>
          <w:shd w:val="clear" w:color="auto" w:fill="FFFFFF"/>
        </w:rPr>
        <w:t>Hohberger, S., Priftis, R., &amp; Vogel, L. (2020). The distributional effects of conventional monetary policy and quantitative easing: Evidence from an estimated DSGE model. </w:t>
      </w:r>
      <w:r w:rsidRPr="00B947D9">
        <w:rPr>
          <w:rFonts w:ascii="Times New Roman" w:hAnsi="Times New Roman"/>
          <w:i/>
          <w:iCs/>
          <w:color w:val="000000" w:themeColor="text1"/>
          <w:shd w:val="clear" w:color="auto" w:fill="FFFFFF"/>
        </w:rPr>
        <w:t>Journal of Banking &amp; Finance</w:t>
      </w:r>
      <w:r w:rsidRPr="00B947D9">
        <w:rPr>
          <w:rFonts w:ascii="Times New Roman" w:hAnsi="Times New Roman"/>
          <w:color w:val="000000" w:themeColor="text1"/>
          <w:shd w:val="clear" w:color="auto" w:fill="FFFFFF"/>
        </w:rPr>
        <w:t>, </w:t>
      </w:r>
      <w:r w:rsidRPr="00B947D9">
        <w:rPr>
          <w:rFonts w:ascii="Times New Roman" w:hAnsi="Times New Roman"/>
          <w:i/>
          <w:iCs/>
          <w:color w:val="000000" w:themeColor="text1"/>
          <w:shd w:val="clear" w:color="auto" w:fill="FFFFFF"/>
        </w:rPr>
        <w:t>113</w:t>
      </w:r>
      <w:r w:rsidRPr="00B947D9">
        <w:rPr>
          <w:rFonts w:ascii="Times New Roman" w:hAnsi="Times New Roman"/>
          <w:color w:val="000000" w:themeColor="text1"/>
          <w:shd w:val="clear" w:color="auto" w:fill="FFFFFF"/>
        </w:rPr>
        <w:t>, 105483.</w:t>
      </w:r>
    </w:p>
    <w:p w14:paraId="30FDEC8E" w14:textId="77777777" w:rsidR="00FB3171" w:rsidRPr="00B947D9" w:rsidRDefault="00FB3171" w:rsidP="00C46EA8">
      <w:pPr>
        <w:jc w:val="both"/>
        <w:rPr>
          <w:rFonts w:ascii="Times New Roman" w:eastAsia="Times New Roman" w:hAnsi="Times New Roman"/>
          <w:color w:val="000000" w:themeColor="text1"/>
          <w:lang w:eastAsia="en-GB"/>
        </w:rPr>
      </w:pPr>
    </w:p>
    <w:p w14:paraId="6B1CFA3C" w14:textId="3697358A" w:rsidR="00FB3171" w:rsidRPr="00B947D9" w:rsidRDefault="00FB3171" w:rsidP="00C46EA8">
      <w:pPr>
        <w:jc w:val="both"/>
        <w:rPr>
          <w:rFonts w:ascii="Times New Roman" w:hAnsi="Times New Roman"/>
          <w:color w:val="000000" w:themeColor="text1"/>
        </w:rPr>
      </w:pPr>
      <w:r w:rsidRPr="00B947D9">
        <w:rPr>
          <w:rFonts w:ascii="Times New Roman" w:hAnsi="Times New Roman"/>
          <w:color w:val="000000" w:themeColor="text1"/>
          <w:shd w:val="clear" w:color="auto" w:fill="FFFFFF"/>
        </w:rPr>
        <w:t>Hutchinson, J., &amp; Smets, F. (2017). Monetary policy in uncertain times: ECB monetary policy since June 2014. </w:t>
      </w:r>
      <w:r w:rsidRPr="00B947D9">
        <w:rPr>
          <w:rFonts w:ascii="Times New Roman" w:hAnsi="Times New Roman"/>
          <w:i/>
          <w:iCs/>
          <w:color w:val="000000" w:themeColor="text1"/>
          <w:shd w:val="clear" w:color="auto" w:fill="FFFFFF"/>
        </w:rPr>
        <w:t>The Manchester School</w:t>
      </w:r>
      <w:r w:rsidRPr="00B947D9">
        <w:rPr>
          <w:rFonts w:ascii="Times New Roman" w:hAnsi="Times New Roman"/>
          <w:color w:val="000000" w:themeColor="text1"/>
          <w:shd w:val="clear" w:color="auto" w:fill="FFFFFF"/>
        </w:rPr>
        <w:t>, </w:t>
      </w:r>
      <w:r w:rsidRPr="00B947D9">
        <w:rPr>
          <w:rFonts w:ascii="Times New Roman" w:hAnsi="Times New Roman"/>
          <w:i/>
          <w:iCs/>
          <w:color w:val="000000" w:themeColor="text1"/>
          <w:shd w:val="clear" w:color="auto" w:fill="FFFFFF"/>
        </w:rPr>
        <w:t>85</w:t>
      </w:r>
      <w:r w:rsidRPr="00B947D9">
        <w:rPr>
          <w:rFonts w:ascii="Times New Roman" w:hAnsi="Times New Roman"/>
          <w:color w:val="000000" w:themeColor="text1"/>
          <w:shd w:val="clear" w:color="auto" w:fill="FFFFFF"/>
        </w:rPr>
        <w:t>, e1-e15.</w:t>
      </w:r>
    </w:p>
    <w:p w14:paraId="50F76021"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Jakobsen K, Jakobsen K, Kleven H, Zucman G. (2018). Wealth taxation and wealth accumulation: theory and evidence from Denmark. </w:t>
      </w:r>
      <w:r w:rsidRPr="00B947D9">
        <w:rPr>
          <w:rFonts w:ascii="Times New Roman" w:eastAsia="Times New Roman" w:hAnsi="Times New Roman"/>
          <w:i/>
          <w:iCs/>
          <w:color w:val="000000" w:themeColor="text1"/>
          <w:lang w:val="en-US" w:eastAsia="en-GB"/>
        </w:rPr>
        <w:t>NBER Working Pap</w:t>
      </w:r>
      <w:r w:rsidRPr="00B947D9">
        <w:rPr>
          <w:rFonts w:ascii="Times New Roman" w:eastAsia="Times New Roman" w:hAnsi="Times New Roman"/>
          <w:color w:val="000000" w:themeColor="text1"/>
          <w:lang w:val="en-US" w:eastAsia="en-GB"/>
        </w:rPr>
        <w:t>er 24371.</w:t>
      </w:r>
    </w:p>
    <w:p w14:paraId="3D2FAE9A"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hAnsi="Times New Roman"/>
          <w:color w:val="000000" w:themeColor="text1"/>
          <w:shd w:val="clear" w:color="auto" w:fill="FFFFFF"/>
        </w:rPr>
        <w:t>Jann, B. (2016). Estimating Lorenz and concentration curves. </w:t>
      </w:r>
      <w:r w:rsidRPr="00B947D9">
        <w:rPr>
          <w:rFonts w:ascii="Times New Roman" w:hAnsi="Times New Roman"/>
          <w:i/>
          <w:iCs/>
          <w:color w:val="000000" w:themeColor="text1"/>
          <w:shd w:val="clear" w:color="auto" w:fill="FFFFFF"/>
        </w:rPr>
        <w:t>The Stata Journal</w:t>
      </w:r>
      <w:r w:rsidRPr="00B947D9">
        <w:rPr>
          <w:rFonts w:ascii="Times New Roman" w:hAnsi="Times New Roman"/>
          <w:color w:val="000000" w:themeColor="text1"/>
          <w:shd w:val="clear" w:color="auto" w:fill="FFFFFF"/>
        </w:rPr>
        <w:t>, </w:t>
      </w:r>
      <w:r w:rsidRPr="00B947D9">
        <w:rPr>
          <w:rFonts w:ascii="Times New Roman" w:hAnsi="Times New Roman"/>
          <w:i/>
          <w:iCs/>
          <w:color w:val="000000" w:themeColor="text1"/>
          <w:shd w:val="clear" w:color="auto" w:fill="FFFFFF"/>
        </w:rPr>
        <w:t>16</w:t>
      </w:r>
      <w:r w:rsidRPr="00B947D9">
        <w:rPr>
          <w:rFonts w:ascii="Times New Roman" w:hAnsi="Times New Roman"/>
          <w:color w:val="000000" w:themeColor="text1"/>
          <w:shd w:val="clear" w:color="auto" w:fill="FFFFFF"/>
        </w:rPr>
        <w:t>(4), 837-866.</w:t>
      </w:r>
    </w:p>
    <w:p w14:paraId="694A10E6"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Kopczuk W, Saez E. (2004). Top wealth shares in the United States, 1916–2000: evidence from estate tax returns. </w:t>
      </w:r>
      <w:r w:rsidRPr="00B947D9">
        <w:rPr>
          <w:rFonts w:ascii="Times New Roman" w:eastAsia="Times New Roman" w:hAnsi="Times New Roman"/>
          <w:i/>
          <w:iCs/>
          <w:color w:val="000000" w:themeColor="text1"/>
          <w:lang w:val="en-US" w:eastAsia="en-GB"/>
        </w:rPr>
        <w:t xml:space="preserve">Natl. Tax J. </w:t>
      </w:r>
      <w:r w:rsidRPr="00B947D9">
        <w:rPr>
          <w:rFonts w:ascii="Times New Roman" w:eastAsia="Times New Roman" w:hAnsi="Times New Roman"/>
          <w:color w:val="000000" w:themeColor="text1"/>
          <w:lang w:val="en-US" w:eastAsia="en-GB"/>
        </w:rPr>
        <w:t>57(2):445–87.</w:t>
      </w:r>
    </w:p>
    <w:p w14:paraId="59774848" w14:textId="77777777" w:rsidR="00FB3171" w:rsidRPr="00B947D9" w:rsidRDefault="00FB3171" w:rsidP="00C46EA8">
      <w:pPr>
        <w:spacing w:before="100" w:beforeAutospacing="1" w:after="100" w:afterAutospacing="1"/>
        <w:jc w:val="both"/>
        <w:rPr>
          <w:rFonts w:ascii="Times New Roman" w:hAnsi="Times New Roman"/>
          <w:color w:val="000000" w:themeColor="text1"/>
          <w:lang w:val="en-US"/>
        </w:rPr>
      </w:pPr>
      <w:r w:rsidRPr="00B947D9">
        <w:rPr>
          <w:rFonts w:ascii="Times New Roman" w:hAnsi="Times New Roman"/>
          <w:color w:val="000000" w:themeColor="text1"/>
          <w:lang w:val="en-US"/>
        </w:rPr>
        <w:t>Krishnamurthy et al., 2018</w:t>
      </w:r>
    </w:p>
    <w:p w14:paraId="501CCE3E" w14:textId="77777777" w:rsidR="00FB3171" w:rsidRPr="00B947D9" w:rsidRDefault="00FB3171" w:rsidP="00C46EA8">
      <w:pPr>
        <w:jc w:val="both"/>
        <w:rPr>
          <w:rFonts w:ascii="Times New Roman" w:hAnsi="Times New Roman"/>
          <w:color w:val="000000" w:themeColor="text1"/>
        </w:rPr>
      </w:pPr>
      <w:r w:rsidRPr="00B947D9">
        <w:rPr>
          <w:rFonts w:ascii="Times New Roman" w:hAnsi="Times New Roman"/>
          <w:color w:val="000000" w:themeColor="text1"/>
          <w:shd w:val="clear" w:color="auto" w:fill="FFFFFF"/>
        </w:rPr>
        <w:t>Kuhn, M., Schularick, M., &amp; Steins, U. I. (2020). Income and wealth inequality in America, 1949–2016. </w:t>
      </w:r>
      <w:r w:rsidRPr="00B947D9">
        <w:rPr>
          <w:rFonts w:ascii="Times New Roman" w:hAnsi="Times New Roman"/>
          <w:i/>
          <w:iCs/>
          <w:color w:val="000000" w:themeColor="text1"/>
          <w:shd w:val="clear" w:color="auto" w:fill="FFFFFF"/>
        </w:rPr>
        <w:t>Journal of Political Economy</w:t>
      </w:r>
      <w:r w:rsidRPr="00B947D9">
        <w:rPr>
          <w:rFonts w:ascii="Times New Roman" w:hAnsi="Times New Roman"/>
          <w:color w:val="000000" w:themeColor="text1"/>
          <w:shd w:val="clear" w:color="auto" w:fill="FFFFFF"/>
        </w:rPr>
        <w:t>, </w:t>
      </w:r>
      <w:r w:rsidRPr="00B947D9">
        <w:rPr>
          <w:rFonts w:ascii="Times New Roman" w:hAnsi="Times New Roman"/>
          <w:i/>
          <w:iCs/>
          <w:color w:val="000000" w:themeColor="text1"/>
          <w:shd w:val="clear" w:color="auto" w:fill="FFFFFF"/>
        </w:rPr>
        <w:t>128</w:t>
      </w:r>
      <w:r w:rsidRPr="00B947D9">
        <w:rPr>
          <w:rFonts w:ascii="Times New Roman" w:hAnsi="Times New Roman"/>
          <w:color w:val="000000" w:themeColor="text1"/>
          <w:shd w:val="clear" w:color="auto" w:fill="FFFFFF"/>
        </w:rPr>
        <w:t>(9), 3469-3519.</w:t>
      </w:r>
    </w:p>
    <w:p w14:paraId="7C21036D"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Martínez-Toledano C. (2017). </w:t>
      </w:r>
      <w:r w:rsidRPr="00B947D9">
        <w:rPr>
          <w:rFonts w:ascii="Times New Roman" w:eastAsia="Times New Roman" w:hAnsi="Times New Roman"/>
          <w:i/>
          <w:iCs/>
          <w:color w:val="000000" w:themeColor="text1"/>
          <w:lang w:val="en-US" w:eastAsia="en-GB"/>
        </w:rPr>
        <w:t>Housing bubbles, offshore assets, and wealth inequality in Spain (1984–2014)</w:t>
      </w:r>
      <w:r w:rsidRPr="00B947D9">
        <w:rPr>
          <w:rFonts w:ascii="Times New Roman" w:eastAsia="Times New Roman" w:hAnsi="Times New Roman"/>
          <w:color w:val="000000" w:themeColor="text1"/>
          <w:lang w:val="en-US" w:eastAsia="en-GB"/>
        </w:rPr>
        <w:t>. Work. Pap. 2017/19, WID world, Paris.</w:t>
      </w:r>
    </w:p>
    <w:p w14:paraId="198D63D0"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Mumtaz, H., &amp; Theophilopoulou, A. (2020). Monetary policy and wealth inequality over the great recession in the UK. An empirical analysis. </w:t>
      </w:r>
      <w:r w:rsidRPr="00B947D9">
        <w:rPr>
          <w:rFonts w:ascii="Times New Roman" w:eastAsia="Times New Roman" w:hAnsi="Times New Roman"/>
          <w:i/>
          <w:iCs/>
          <w:color w:val="000000" w:themeColor="text1"/>
          <w:shd w:val="clear" w:color="auto" w:fill="FFFFFF"/>
          <w:lang w:eastAsia="en-GB"/>
        </w:rPr>
        <w:t>European Economic Review</w:t>
      </w:r>
      <w:r w:rsidRPr="00B947D9">
        <w:rPr>
          <w:rFonts w:ascii="Times New Roman" w:eastAsia="Times New Roman" w:hAnsi="Times New Roman"/>
          <w:color w:val="000000" w:themeColor="text1"/>
          <w:shd w:val="clear" w:color="auto" w:fill="FFFFFF"/>
          <w:lang w:eastAsia="en-GB"/>
        </w:rPr>
        <w:t>, </w:t>
      </w:r>
      <w:r w:rsidRPr="00B947D9">
        <w:rPr>
          <w:rFonts w:ascii="Times New Roman" w:eastAsia="Times New Roman" w:hAnsi="Times New Roman"/>
          <w:i/>
          <w:iCs/>
          <w:color w:val="000000" w:themeColor="text1"/>
          <w:shd w:val="clear" w:color="auto" w:fill="FFFFFF"/>
          <w:lang w:eastAsia="en-GB"/>
        </w:rPr>
        <w:t>130</w:t>
      </w:r>
      <w:r w:rsidRPr="00B947D9">
        <w:rPr>
          <w:rFonts w:ascii="Times New Roman" w:eastAsia="Times New Roman" w:hAnsi="Times New Roman"/>
          <w:color w:val="000000" w:themeColor="text1"/>
          <w:shd w:val="clear" w:color="auto" w:fill="FFFFFF"/>
          <w:lang w:eastAsia="en-GB"/>
        </w:rPr>
        <w:t>, 103598.</w:t>
      </w:r>
    </w:p>
    <w:p w14:paraId="603AD5BD"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OECD (2018). Inequalities in household wealth across OECD countries: Evidence from the OECD Wealth Distribution Database, </w:t>
      </w:r>
      <w:r w:rsidRPr="00B947D9">
        <w:rPr>
          <w:rFonts w:ascii="Times New Roman" w:eastAsia="Times New Roman" w:hAnsi="Times New Roman"/>
          <w:i/>
          <w:iCs/>
          <w:color w:val="000000" w:themeColor="text1"/>
          <w:lang w:val="en-US" w:eastAsia="en-GB"/>
        </w:rPr>
        <w:t>OECD Working Paper</w:t>
      </w:r>
      <w:r w:rsidRPr="00B947D9">
        <w:rPr>
          <w:rFonts w:ascii="Times New Roman" w:eastAsia="Times New Roman" w:hAnsi="Times New Roman"/>
          <w:color w:val="000000" w:themeColor="text1"/>
          <w:lang w:val="en-US" w:eastAsia="en-GB"/>
        </w:rPr>
        <w:t xml:space="preserve"> No. 88.</w:t>
      </w:r>
    </w:p>
    <w:p w14:paraId="4C268FD2"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Orthofer A. (2016). Wealth inequality in South Africa: evidence from survey and tax data. </w:t>
      </w:r>
      <w:r w:rsidRPr="00B947D9">
        <w:rPr>
          <w:rFonts w:ascii="Times New Roman" w:eastAsia="Times New Roman" w:hAnsi="Times New Roman"/>
          <w:i/>
          <w:iCs/>
          <w:color w:val="000000" w:themeColor="text1"/>
          <w:lang w:val="en-US" w:eastAsia="en-GB"/>
        </w:rPr>
        <w:t>Working Paper</w:t>
      </w:r>
      <w:r w:rsidRPr="00B947D9">
        <w:rPr>
          <w:rFonts w:ascii="Times New Roman" w:eastAsia="Times New Roman" w:hAnsi="Times New Roman"/>
          <w:color w:val="000000" w:themeColor="text1"/>
          <w:lang w:val="en-US" w:eastAsia="en-GB"/>
        </w:rPr>
        <w:t>, Stellenbosch Univ., Stellenbosch, South Africa.</w:t>
      </w:r>
    </w:p>
    <w:p w14:paraId="7E685529" w14:textId="77777777" w:rsidR="00FB3171" w:rsidRPr="00B947D9" w:rsidRDefault="00FB3171" w:rsidP="00C46EA8">
      <w:pPr>
        <w:jc w:val="both"/>
        <w:rPr>
          <w:rFonts w:ascii="Times New Roman" w:eastAsia="Times New Roman" w:hAnsi="Times New Roman"/>
          <w:color w:val="000000" w:themeColor="text1"/>
          <w:lang w:eastAsia="en-GB"/>
        </w:rPr>
      </w:pPr>
      <w:r w:rsidRPr="00B947D9">
        <w:rPr>
          <w:rFonts w:ascii="Times New Roman" w:eastAsia="Times New Roman" w:hAnsi="Times New Roman"/>
          <w:color w:val="000000" w:themeColor="text1"/>
          <w:shd w:val="clear" w:color="auto" w:fill="FFFFFF"/>
          <w:lang w:eastAsia="en-GB"/>
        </w:rPr>
        <w:t>Rostagno, M., Altavilla, C., Carboni, G., Lemke, W., Motto, R., Guilhem, A. S., &amp; Yiangou, J. (2019). A tale of two decades: the ECB's monetary policy at 20.</w:t>
      </w:r>
    </w:p>
    <w:p w14:paraId="0397F8FD" w14:textId="77777777" w:rsidR="00FB3171" w:rsidRPr="00B947D9" w:rsidRDefault="00FB3171" w:rsidP="00C46EA8">
      <w:pPr>
        <w:spacing w:before="100" w:beforeAutospacing="1" w:after="100" w:afterAutospacing="1"/>
        <w:jc w:val="both"/>
        <w:rPr>
          <w:rFonts w:ascii="Times New Roman" w:eastAsia="Times New Roman" w:hAnsi="Times New Roman"/>
          <w:color w:val="000000" w:themeColor="text1"/>
          <w:lang w:val="en-US" w:eastAsia="en-GB"/>
        </w:rPr>
      </w:pPr>
      <w:r w:rsidRPr="00B947D9">
        <w:rPr>
          <w:rFonts w:ascii="Times New Roman" w:eastAsia="Times New Roman" w:hAnsi="Times New Roman"/>
          <w:color w:val="000000" w:themeColor="text1"/>
          <w:lang w:val="en-US" w:eastAsia="en-GB"/>
        </w:rPr>
        <w:t xml:space="preserve">Saez E, Zucman G. (2016). Wealth inequality in the United States since 1913: evidence from capitalized income tax data. </w:t>
      </w:r>
      <w:r w:rsidRPr="00B947D9">
        <w:rPr>
          <w:rFonts w:ascii="Times New Roman" w:eastAsia="Times New Roman" w:hAnsi="Times New Roman"/>
          <w:i/>
          <w:iCs/>
          <w:color w:val="000000" w:themeColor="text1"/>
          <w:lang w:val="en-US" w:eastAsia="en-GB"/>
        </w:rPr>
        <w:t xml:space="preserve">Quarterly Journal Economics </w:t>
      </w:r>
      <w:r w:rsidRPr="00B947D9">
        <w:rPr>
          <w:rFonts w:ascii="Times New Roman" w:eastAsia="Times New Roman" w:hAnsi="Times New Roman"/>
          <w:color w:val="000000" w:themeColor="text1"/>
          <w:lang w:val="en-US" w:eastAsia="en-GB"/>
        </w:rPr>
        <w:t>131(2):519–78.</w:t>
      </w:r>
    </w:p>
    <w:p w14:paraId="70B45644" w14:textId="258978DB" w:rsidR="003C2693" w:rsidRPr="00B947D9" w:rsidRDefault="00FB3171" w:rsidP="00C46EA8">
      <w:pPr>
        <w:pStyle w:val="NormalWeb"/>
        <w:jc w:val="both"/>
        <w:rPr>
          <w:color w:val="000000" w:themeColor="text1"/>
        </w:rPr>
      </w:pPr>
      <w:r w:rsidRPr="00B947D9">
        <w:rPr>
          <w:color w:val="000000" w:themeColor="text1"/>
        </w:rPr>
        <w:t xml:space="preserve">UN. (2009). </w:t>
      </w:r>
      <w:r w:rsidRPr="00B947D9">
        <w:rPr>
          <w:i/>
          <w:iCs/>
          <w:color w:val="000000" w:themeColor="text1"/>
        </w:rPr>
        <w:t>System of National Accounts 2008</w:t>
      </w:r>
      <w:r w:rsidRPr="00B947D9">
        <w:rPr>
          <w:color w:val="000000" w:themeColor="text1"/>
        </w:rPr>
        <w:t>. Rep., International Monetary Fund/Organ. Econ. Co-op. Dev./UN/ World Bank, Washington, DC/Paris/New York/Washington, DC.</w:t>
      </w:r>
    </w:p>
    <w:sectPr w:rsidR="003C2693" w:rsidRPr="00B947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2D542" w14:textId="77777777" w:rsidR="00FE1500" w:rsidRDefault="00FE1500" w:rsidP="00890291">
      <w:r>
        <w:separator/>
      </w:r>
    </w:p>
  </w:endnote>
  <w:endnote w:type="continuationSeparator" w:id="0">
    <w:p w14:paraId="2D8745AA" w14:textId="77777777" w:rsidR="00FE1500" w:rsidRDefault="00FE1500" w:rsidP="008902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BB8986" w14:textId="77777777" w:rsidR="00FE1500" w:rsidRDefault="00FE1500" w:rsidP="00890291">
      <w:r>
        <w:separator/>
      </w:r>
    </w:p>
  </w:footnote>
  <w:footnote w:type="continuationSeparator" w:id="0">
    <w:p w14:paraId="7D1E69D0" w14:textId="77777777" w:rsidR="00FE1500" w:rsidRDefault="00FE1500" w:rsidP="00890291">
      <w:r>
        <w:continuationSeparator/>
      </w:r>
    </w:p>
  </w:footnote>
  <w:footnote w:id="1">
    <w:p w14:paraId="028568BE" w14:textId="1BDD2EFF" w:rsidR="00890291" w:rsidRPr="007D4876" w:rsidRDefault="00890291" w:rsidP="00890291">
      <w:pPr>
        <w:spacing w:line="276" w:lineRule="auto"/>
        <w:jc w:val="both"/>
        <w:rPr>
          <w:rFonts w:ascii="Times New Roman" w:hAnsi="Times New Roman"/>
          <w:sz w:val="20"/>
          <w:szCs w:val="20"/>
          <w:lang w:val="en-US"/>
        </w:rPr>
      </w:pPr>
      <w:r w:rsidRPr="007D4876">
        <w:rPr>
          <w:rStyle w:val="FootnoteReference"/>
          <w:rFonts w:ascii="Times New Roman" w:hAnsi="Times New Roman"/>
          <w:sz w:val="20"/>
          <w:szCs w:val="20"/>
        </w:rPr>
        <w:footnoteRef/>
      </w:r>
      <w:r w:rsidRPr="007D4876">
        <w:rPr>
          <w:rFonts w:ascii="Times New Roman" w:hAnsi="Times New Roman"/>
          <w:sz w:val="20"/>
          <w:szCs w:val="20"/>
        </w:rPr>
        <w:t xml:space="preserve"> Deli, Y., D.: Economics Department, University College Dublin, School of Economics, Newman Building, Belfield, Dublin 4. Email: </w:t>
      </w:r>
      <w:hyperlink r:id="rId1" w:history="1">
        <w:r w:rsidRPr="007D4876">
          <w:rPr>
            <w:rStyle w:val="Hyperlink"/>
            <w:rFonts w:ascii="Times New Roman" w:hAnsi="Times New Roman"/>
            <w:sz w:val="20"/>
            <w:szCs w:val="20"/>
          </w:rPr>
          <w:t>yota.deli@ucd.ie</w:t>
        </w:r>
      </w:hyperlink>
      <w:r w:rsidRPr="007D4876">
        <w:rPr>
          <w:rFonts w:ascii="Times New Roman" w:hAnsi="Times New Roman"/>
          <w:sz w:val="20"/>
          <w:szCs w:val="20"/>
        </w:rPr>
        <w:t xml:space="preserve">; Karamalis, P.: Economics Department, University College Dublin, School of Economics, Newman Building, Belfield, Dublin 4. Email: </w:t>
      </w:r>
      <w:hyperlink r:id="rId2" w:history="1">
        <w:r w:rsidRPr="007D4876">
          <w:rPr>
            <w:rStyle w:val="Hyperlink"/>
            <w:rFonts w:ascii="Times New Roman" w:hAnsi="Times New Roman"/>
            <w:sz w:val="20"/>
            <w:szCs w:val="20"/>
          </w:rPr>
          <w:t>p.karamalis@gmail.com</w:t>
        </w:r>
      </w:hyperlink>
    </w:p>
  </w:footnote>
  <w:footnote w:id="2">
    <w:p w14:paraId="5C7FC203" w14:textId="1F5C5045" w:rsidR="0028039F" w:rsidRPr="007D4876" w:rsidRDefault="0028039F">
      <w:pPr>
        <w:pStyle w:val="FootnoteText"/>
        <w:rPr>
          <w:rFonts w:ascii="Times New Roman" w:hAnsi="Times New Roman" w:cs="Times New Roman"/>
          <w:lang w:val="en-IE"/>
        </w:rPr>
      </w:pPr>
      <w:r w:rsidRPr="007D4876">
        <w:rPr>
          <w:rStyle w:val="FootnoteReference"/>
          <w:rFonts w:ascii="Times New Roman" w:hAnsi="Times New Roman" w:cs="Times New Roman"/>
        </w:rPr>
        <w:footnoteRef/>
      </w:r>
      <w:r w:rsidRPr="007D4876">
        <w:rPr>
          <w:rFonts w:ascii="Times New Roman" w:hAnsi="Times New Roman" w:cs="Times New Roman"/>
          <w:lang w:val="en-IE"/>
        </w:rPr>
        <w:t xml:space="preserve"> </w:t>
      </w:r>
      <w:r w:rsidRPr="007D4876">
        <w:rPr>
          <w:rFonts w:ascii="Times New Roman" w:eastAsia="Times New Roman" w:hAnsi="Times New Roman" w:cs="Times New Roman"/>
          <w:lang w:val="en-US" w:eastAsia="el-GR"/>
        </w:rPr>
        <w:t>A temporary €120 billion of net asset purchases were added from March to December 2020.</w:t>
      </w:r>
    </w:p>
  </w:footnote>
  <w:footnote w:id="3">
    <w:p w14:paraId="644FE72E" w14:textId="77777777" w:rsidR="0039115D" w:rsidRPr="007D4876" w:rsidRDefault="0039115D" w:rsidP="0039115D">
      <w:pPr>
        <w:pStyle w:val="FootnoteText"/>
        <w:jc w:val="both"/>
        <w:rPr>
          <w:rFonts w:ascii="Times New Roman" w:hAnsi="Times New Roman" w:cs="Times New Roman"/>
          <w:lang w:val="en-US"/>
        </w:rPr>
      </w:pPr>
      <w:r w:rsidRPr="007D4876">
        <w:rPr>
          <w:rStyle w:val="FootnoteReference"/>
          <w:rFonts w:ascii="Times New Roman" w:hAnsi="Times New Roman" w:cs="Times New Roman"/>
        </w:rPr>
        <w:footnoteRef/>
      </w:r>
      <w:r w:rsidRPr="007D4876">
        <w:rPr>
          <w:rFonts w:ascii="Times New Roman" w:hAnsi="Times New Roman" w:cs="Times New Roman"/>
          <w:lang w:val="en-US"/>
        </w:rPr>
        <w:t xml:space="preserve"> Lithuania is the only Euro Area country not included in the survey, because it entered the Eurozone in 01/01/2015.</w:t>
      </w:r>
    </w:p>
  </w:footnote>
  <w:footnote w:id="4">
    <w:p w14:paraId="6979F027" w14:textId="681E89AC" w:rsidR="009E17BB" w:rsidRPr="007D4876" w:rsidRDefault="009E17BB" w:rsidP="009E17BB">
      <w:pPr>
        <w:pStyle w:val="FootnoteText"/>
        <w:jc w:val="both"/>
        <w:rPr>
          <w:rFonts w:ascii="Times New Roman" w:hAnsi="Times New Roman" w:cs="Times New Roman"/>
          <w:color w:val="FF0000"/>
          <w:lang w:val="en-US"/>
        </w:rPr>
      </w:pPr>
      <w:r w:rsidRPr="007D4876">
        <w:rPr>
          <w:rStyle w:val="FootnoteReference"/>
          <w:rFonts w:ascii="Times New Roman" w:hAnsi="Times New Roman" w:cs="Times New Roman"/>
        </w:rPr>
        <w:footnoteRef/>
      </w:r>
      <w:r w:rsidRPr="007D4876">
        <w:rPr>
          <w:rFonts w:ascii="Times New Roman" w:hAnsi="Times New Roman" w:cs="Times New Roman"/>
          <w:lang w:val="en-IE"/>
        </w:rPr>
        <w:t xml:space="preserve"> Due to data availability in the </w:t>
      </w:r>
      <w:r w:rsidRPr="007D4876">
        <w:rPr>
          <w:rFonts w:ascii="Times New Roman" w:hAnsi="Times New Roman" w:cs="Times New Roman"/>
          <w:lang w:val="en-US"/>
        </w:rPr>
        <w:t xml:space="preserve">HFCS, this wealth decomposition is not estimated for the first wave for Germany, </w:t>
      </w:r>
      <w:r w:rsidRPr="00A85B0A">
        <w:rPr>
          <w:rFonts w:ascii="Times New Roman" w:hAnsi="Times New Roman" w:cs="Times New Roman"/>
          <w:color w:val="000000" w:themeColor="text1"/>
          <w:lang w:val="en-US"/>
        </w:rPr>
        <w:t xml:space="preserve">Finland, Greece, the Netherlands, and Portugal, and for the second wave for Finland, the Netherlands, and Portugal. For these countries the survey provides observations on the total reported mutual fund amount, and </w:t>
      </w:r>
      <w:r w:rsidR="00255BEC" w:rsidRPr="00A85B0A">
        <w:rPr>
          <w:rFonts w:ascii="Times New Roman" w:hAnsi="Times New Roman" w:cs="Times New Roman"/>
          <w:color w:val="000000" w:themeColor="text1"/>
          <w:lang w:val="en-US"/>
        </w:rPr>
        <w:t>we</w:t>
      </w:r>
      <w:r w:rsidRPr="00A85B0A">
        <w:rPr>
          <w:rFonts w:ascii="Times New Roman" w:hAnsi="Times New Roman" w:cs="Times New Roman"/>
          <w:color w:val="000000" w:themeColor="text1"/>
          <w:lang w:val="en-US"/>
        </w:rPr>
        <w:t xml:space="preserve"> assign it equally to the categories held.</w:t>
      </w:r>
    </w:p>
  </w:footnote>
  <w:footnote w:id="5">
    <w:p w14:paraId="63C25356" w14:textId="7B0A376D" w:rsidR="007D4876" w:rsidRPr="00F211CB" w:rsidRDefault="007D4876" w:rsidP="00291A61">
      <w:pPr>
        <w:pStyle w:val="FootnoteText"/>
        <w:jc w:val="both"/>
        <w:rPr>
          <w:lang w:val="en-US"/>
        </w:rPr>
      </w:pPr>
      <w:r w:rsidRPr="007D4876">
        <w:rPr>
          <w:rStyle w:val="FootnoteReference"/>
          <w:rFonts w:ascii="Times New Roman" w:hAnsi="Times New Roman" w:cs="Times New Roman"/>
        </w:rPr>
        <w:footnoteRef/>
      </w:r>
      <w:r w:rsidRPr="007D4876">
        <w:rPr>
          <w:rFonts w:ascii="Times New Roman" w:hAnsi="Times New Roman" w:cs="Times New Roman"/>
          <w:lang w:val="en-US"/>
        </w:rPr>
        <w:t xml:space="preserve"> </w:t>
      </w:r>
      <w:r w:rsidR="00291A61">
        <w:rPr>
          <w:rFonts w:ascii="Times New Roman" w:hAnsi="Times New Roman" w:cs="Times New Roman"/>
          <w:lang w:val="en-US"/>
        </w:rPr>
        <w:t>We</w:t>
      </w:r>
      <w:r w:rsidRPr="007D4876">
        <w:rPr>
          <w:rFonts w:ascii="Times New Roman" w:hAnsi="Times New Roman" w:cs="Times New Roman"/>
          <w:lang w:val="en-US"/>
        </w:rPr>
        <w:t xml:space="preserve"> note </w:t>
      </w:r>
      <w:r w:rsidR="00291A61">
        <w:rPr>
          <w:rFonts w:ascii="Times New Roman" w:hAnsi="Times New Roman" w:cs="Times New Roman"/>
          <w:lang w:val="en-US"/>
        </w:rPr>
        <w:t>that we</w:t>
      </w:r>
      <w:r w:rsidRPr="007D4876">
        <w:rPr>
          <w:rFonts w:ascii="Times New Roman" w:hAnsi="Times New Roman" w:cs="Times New Roman"/>
          <w:lang w:val="en-US"/>
        </w:rPr>
        <w:t xml:space="preserve"> expect that the</w:t>
      </w:r>
      <w:r w:rsidR="00291A61">
        <w:rPr>
          <w:rFonts w:ascii="Times New Roman" w:hAnsi="Times New Roman" w:cs="Times New Roman"/>
          <w:lang w:val="en-US"/>
        </w:rPr>
        <w:t xml:space="preserve"> actual</w:t>
      </w:r>
      <w:r w:rsidRPr="007D4876">
        <w:rPr>
          <w:rFonts w:ascii="Times New Roman" w:hAnsi="Times New Roman" w:cs="Times New Roman"/>
          <w:lang w:val="en-US"/>
        </w:rPr>
        <w:t xml:space="preserve"> announcement effects </w:t>
      </w:r>
      <w:r w:rsidR="00291A61">
        <w:rPr>
          <w:rFonts w:ascii="Times New Roman" w:hAnsi="Times New Roman" w:cs="Times New Roman"/>
          <w:lang w:val="en-US"/>
        </w:rPr>
        <w:t xml:space="preserve">are </w:t>
      </w:r>
      <w:r w:rsidRPr="007D4876">
        <w:rPr>
          <w:rFonts w:ascii="Times New Roman" w:hAnsi="Times New Roman" w:cs="Times New Roman"/>
          <w:lang w:val="en-US"/>
        </w:rPr>
        <w:t xml:space="preserve">different than </w:t>
      </w:r>
      <w:r w:rsidR="00291A61">
        <w:rPr>
          <w:rFonts w:ascii="Times New Roman" w:hAnsi="Times New Roman" w:cs="Times New Roman"/>
          <w:lang w:val="en-US"/>
        </w:rPr>
        <w:t>anticipation</w:t>
      </w:r>
      <w:r w:rsidRPr="007D4876">
        <w:rPr>
          <w:rFonts w:ascii="Times New Roman" w:hAnsi="Times New Roman" w:cs="Times New Roman"/>
          <w:lang w:val="en-US"/>
        </w:rPr>
        <w:t xml:space="preserve"> effects. In future </w:t>
      </w:r>
      <w:r w:rsidR="00291A61">
        <w:rPr>
          <w:rFonts w:ascii="Times New Roman" w:hAnsi="Times New Roman" w:cs="Times New Roman"/>
          <w:lang w:val="en-US"/>
        </w:rPr>
        <w:t>research</w:t>
      </w:r>
      <w:r w:rsidRPr="007D4876">
        <w:rPr>
          <w:rFonts w:ascii="Times New Roman" w:hAnsi="Times New Roman" w:cs="Times New Roman"/>
          <w:lang w:val="en-US"/>
        </w:rPr>
        <w:t xml:space="preserve"> </w:t>
      </w:r>
      <w:r w:rsidR="00291A61">
        <w:rPr>
          <w:rFonts w:ascii="Times New Roman" w:hAnsi="Times New Roman" w:cs="Times New Roman"/>
          <w:lang w:val="en-US"/>
        </w:rPr>
        <w:t>we</w:t>
      </w:r>
      <w:r w:rsidRPr="007D4876">
        <w:rPr>
          <w:rFonts w:ascii="Times New Roman" w:hAnsi="Times New Roman" w:cs="Times New Roman"/>
          <w:lang w:val="en-US"/>
        </w:rPr>
        <w:t xml:space="preserve"> plan to disentangle these effects</w:t>
      </w:r>
      <w:r w:rsidR="00291A61">
        <w:rPr>
          <w:rFonts w:ascii="Times New Roman" w:hAnsi="Times New Roman" w:cs="Times New Roman"/>
          <w:lang w:val="en-US"/>
        </w:rPr>
        <w:t>. S</w:t>
      </w:r>
      <w:r w:rsidRPr="007D4876">
        <w:rPr>
          <w:rFonts w:ascii="Times New Roman" w:hAnsi="Times New Roman" w:cs="Times New Roman"/>
          <w:lang w:val="en-US"/>
        </w:rPr>
        <w:t>till</w:t>
      </w:r>
      <w:r w:rsidR="00291A61">
        <w:rPr>
          <w:rFonts w:ascii="Times New Roman" w:hAnsi="Times New Roman" w:cs="Times New Roman"/>
          <w:lang w:val="en-US"/>
        </w:rPr>
        <w:t xml:space="preserve">, </w:t>
      </w:r>
      <w:r w:rsidRPr="007D4876">
        <w:rPr>
          <w:rFonts w:ascii="Times New Roman" w:hAnsi="Times New Roman" w:cs="Times New Roman"/>
          <w:lang w:val="en-US"/>
        </w:rPr>
        <w:t xml:space="preserve">here </w:t>
      </w:r>
      <w:r w:rsidR="00291A61">
        <w:rPr>
          <w:rFonts w:ascii="Times New Roman" w:hAnsi="Times New Roman" w:cs="Times New Roman"/>
          <w:lang w:val="en-US"/>
        </w:rPr>
        <w:t xml:space="preserve">we are </w:t>
      </w:r>
      <w:r w:rsidRPr="007D4876">
        <w:rPr>
          <w:rFonts w:ascii="Times New Roman" w:hAnsi="Times New Roman" w:cs="Times New Roman"/>
          <w:lang w:val="en-US"/>
        </w:rPr>
        <w:t xml:space="preserve">capturing </w:t>
      </w:r>
      <w:r w:rsidR="00291A61">
        <w:rPr>
          <w:rFonts w:ascii="Times New Roman" w:hAnsi="Times New Roman" w:cs="Times New Roman"/>
          <w:lang w:val="en-US"/>
        </w:rPr>
        <w:t>part</w:t>
      </w:r>
      <w:r w:rsidRPr="007D4876">
        <w:rPr>
          <w:rFonts w:ascii="Times New Roman" w:hAnsi="Times New Roman" w:cs="Times New Roman"/>
          <w:lang w:val="en-US"/>
        </w:rPr>
        <w:t xml:space="preserve"> </w:t>
      </w:r>
      <w:r w:rsidR="00291A61">
        <w:rPr>
          <w:rFonts w:ascii="Times New Roman" w:hAnsi="Times New Roman" w:cs="Times New Roman"/>
          <w:lang w:val="en-US"/>
        </w:rPr>
        <w:t>of the anticipation effects</w:t>
      </w:r>
      <w:r w:rsidRPr="007D4876">
        <w:rPr>
          <w:rFonts w:ascii="Times New Roman" w:hAnsi="Times New Roman" w:cs="Times New Roman"/>
          <w:lang w:val="en-US"/>
        </w:rPr>
        <w:t xml:space="preserve">, </w:t>
      </w:r>
      <w:r w:rsidR="00291A61">
        <w:rPr>
          <w:rFonts w:ascii="Times New Roman" w:hAnsi="Times New Roman" w:cs="Times New Roman"/>
          <w:lang w:val="en-US"/>
        </w:rPr>
        <w:t xml:space="preserve">thus </w:t>
      </w:r>
      <w:r w:rsidRPr="007D4876">
        <w:rPr>
          <w:rFonts w:ascii="Times New Roman" w:hAnsi="Times New Roman" w:cs="Times New Roman"/>
          <w:lang w:val="en-US"/>
        </w:rPr>
        <w:t>this analysis can be considered as a lower bound capturing the tail end of these events.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C7F47"/>
    <w:multiLevelType w:val="hybridMultilevel"/>
    <w:tmpl w:val="166CA992"/>
    <w:lvl w:ilvl="0" w:tplc="FFFFFFFF">
      <w:start w:val="1"/>
      <w:numFmt w:val="decimal"/>
      <w:lvlText w:val="%1."/>
      <w:lvlJc w:val="left"/>
      <w:pPr>
        <w:ind w:left="720" w:hanging="360"/>
      </w:pPr>
      <w:rPr>
        <w:rFonts w:eastAsia="Times New Roman" w:hint="default"/>
        <w:i w:val="0"/>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7EE363E"/>
    <w:multiLevelType w:val="hybridMultilevel"/>
    <w:tmpl w:val="485A3B40"/>
    <w:lvl w:ilvl="0" w:tplc="18090001">
      <w:start w:val="1"/>
      <w:numFmt w:val="bullet"/>
      <w:lvlText w:val=""/>
      <w:lvlJc w:val="left"/>
      <w:pPr>
        <w:ind w:left="3600" w:hanging="360"/>
      </w:pPr>
      <w:rPr>
        <w:rFonts w:ascii="Symbol" w:hAnsi="Symbol" w:hint="default"/>
      </w:rPr>
    </w:lvl>
    <w:lvl w:ilvl="1" w:tplc="18090003" w:tentative="1">
      <w:start w:val="1"/>
      <w:numFmt w:val="bullet"/>
      <w:lvlText w:val="o"/>
      <w:lvlJc w:val="left"/>
      <w:pPr>
        <w:ind w:left="4320" w:hanging="360"/>
      </w:pPr>
      <w:rPr>
        <w:rFonts w:ascii="Courier New" w:hAnsi="Courier New" w:cs="Courier New" w:hint="default"/>
      </w:rPr>
    </w:lvl>
    <w:lvl w:ilvl="2" w:tplc="18090005" w:tentative="1">
      <w:start w:val="1"/>
      <w:numFmt w:val="bullet"/>
      <w:lvlText w:val=""/>
      <w:lvlJc w:val="left"/>
      <w:pPr>
        <w:ind w:left="5040" w:hanging="360"/>
      </w:pPr>
      <w:rPr>
        <w:rFonts w:ascii="Wingdings" w:hAnsi="Wingdings" w:hint="default"/>
      </w:rPr>
    </w:lvl>
    <w:lvl w:ilvl="3" w:tplc="18090001" w:tentative="1">
      <w:start w:val="1"/>
      <w:numFmt w:val="bullet"/>
      <w:lvlText w:val=""/>
      <w:lvlJc w:val="left"/>
      <w:pPr>
        <w:ind w:left="5760" w:hanging="360"/>
      </w:pPr>
      <w:rPr>
        <w:rFonts w:ascii="Symbol" w:hAnsi="Symbol" w:hint="default"/>
      </w:rPr>
    </w:lvl>
    <w:lvl w:ilvl="4" w:tplc="18090003" w:tentative="1">
      <w:start w:val="1"/>
      <w:numFmt w:val="bullet"/>
      <w:lvlText w:val="o"/>
      <w:lvlJc w:val="left"/>
      <w:pPr>
        <w:ind w:left="6480" w:hanging="360"/>
      </w:pPr>
      <w:rPr>
        <w:rFonts w:ascii="Courier New" w:hAnsi="Courier New" w:cs="Courier New" w:hint="default"/>
      </w:rPr>
    </w:lvl>
    <w:lvl w:ilvl="5" w:tplc="18090005" w:tentative="1">
      <w:start w:val="1"/>
      <w:numFmt w:val="bullet"/>
      <w:lvlText w:val=""/>
      <w:lvlJc w:val="left"/>
      <w:pPr>
        <w:ind w:left="7200" w:hanging="360"/>
      </w:pPr>
      <w:rPr>
        <w:rFonts w:ascii="Wingdings" w:hAnsi="Wingdings" w:hint="default"/>
      </w:rPr>
    </w:lvl>
    <w:lvl w:ilvl="6" w:tplc="18090001" w:tentative="1">
      <w:start w:val="1"/>
      <w:numFmt w:val="bullet"/>
      <w:lvlText w:val=""/>
      <w:lvlJc w:val="left"/>
      <w:pPr>
        <w:ind w:left="7920" w:hanging="360"/>
      </w:pPr>
      <w:rPr>
        <w:rFonts w:ascii="Symbol" w:hAnsi="Symbol" w:hint="default"/>
      </w:rPr>
    </w:lvl>
    <w:lvl w:ilvl="7" w:tplc="18090003" w:tentative="1">
      <w:start w:val="1"/>
      <w:numFmt w:val="bullet"/>
      <w:lvlText w:val="o"/>
      <w:lvlJc w:val="left"/>
      <w:pPr>
        <w:ind w:left="8640" w:hanging="360"/>
      </w:pPr>
      <w:rPr>
        <w:rFonts w:ascii="Courier New" w:hAnsi="Courier New" w:cs="Courier New" w:hint="default"/>
      </w:rPr>
    </w:lvl>
    <w:lvl w:ilvl="8" w:tplc="18090005" w:tentative="1">
      <w:start w:val="1"/>
      <w:numFmt w:val="bullet"/>
      <w:lvlText w:val=""/>
      <w:lvlJc w:val="left"/>
      <w:pPr>
        <w:ind w:left="9360" w:hanging="360"/>
      </w:pPr>
      <w:rPr>
        <w:rFonts w:ascii="Wingdings" w:hAnsi="Wingdings" w:hint="default"/>
      </w:rPr>
    </w:lvl>
  </w:abstractNum>
  <w:abstractNum w:abstractNumId="2" w15:restartNumberingAfterBreak="0">
    <w:nsid w:val="4820468B"/>
    <w:multiLevelType w:val="hybridMultilevel"/>
    <w:tmpl w:val="E66674E0"/>
    <w:lvl w:ilvl="0" w:tplc="57361B34">
      <w:start w:val="1"/>
      <w:numFmt w:val="decimal"/>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3" w15:restartNumberingAfterBreak="0">
    <w:nsid w:val="4DC95E90"/>
    <w:multiLevelType w:val="hybridMultilevel"/>
    <w:tmpl w:val="166CA992"/>
    <w:lvl w:ilvl="0" w:tplc="4208ADC0">
      <w:start w:val="1"/>
      <w:numFmt w:val="decimal"/>
      <w:lvlText w:val="%1."/>
      <w:lvlJc w:val="left"/>
      <w:pPr>
        <w:ind w:left="720" w:hanging="360"/>
      </w:pPr>
      <w:rPr>
        <w:rFonts w:eastAsia="Times New Roman" w:hint="default"/>
        <w:i w:val="0"/>
        <w:color w:val="000000" w:themeColor="text1"/>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58B43BB8"/>
    <w:multiLevelType w:val="hybridMultilevel"/>
    <w:tmpl w:val="77823C5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5D6526DF"/>
    <w:multiLevelType w:val="hybridMultilevel"/>
    <w:tmpl w:val="FC1ED3A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700248D1"/>
    <w:multiLevelType w:val="hybridMultilevel"/>
    <w:tmpl w:val="B6265E0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5953493"/>
    <w:multiLevelType w:val="hybridMultilevel"/>
    <w:tmpl w:val="3F1EDD86"/>
    <w:lvl w:ilvl="0" w:tplc="18090001">
      <w:start w:val="1"/>
      <w:numFmt w:val="bullet"/>
      <w:lvlText w:val=""/>
      <w:lvlJc w:val="left"/>
      <w:pPr>
        <w:ind w:left="3600" w:hanging="360"/>
      </w:pPr>
      <w:rPr>
        <w:rFonts w:ascii="Symbol" w:hAnsi="Symbol" w:hint="default"/>
      </w:rPr>
    </w:lvl>
    <w:lvl w:ilvl="1" w:tplc="18090003" w:tentative="1">
      <w:start w:val="1"/>
      <w:numFmt w:val="bullet"/>
      <w:lvlText w:val="o"/>
      <w:lvlJc w:val="left"/>
      <w:pPr>
        <w:ind w:left="4320" w:hanging="360"/>
      </w:pPr>
      <w:rPr>
        <w:rFonts w:ascii="Courier New" w:hAnsi="Courier New" w:cs="Courier New" w:hint="default"/>
      </w:rPr>
    </w:lvl>
    <w:lvl w:ilvl="2" w:tplc="18090005" w:tentative="1">
      <w:start w:val="1"/>
      <w:numFmt w:val="bullet"/>
      <w:lvlText w:val=""/>
      <w:lvlJc w:val="left"/>
      <w:pPr>
        <w:ind w:left="5040" w:hanging="360"/>
      </w:pPr>
      <w:rPr>
        <w:rFonts w:ascii="Wingdings" w:hAnsi="Wingdings" w:hint="default"/>
      </w:rPr>
    </w:lvl>
    <w:lvl w:ilvl="3" w:tplc="18090001" w:tentative="1">
      <w:start w:val="1"/>
      <w:numFmt w:val="bullet"/>
      <w:lvlText w:val=""/>
      <w:lvlJc w:val="left"/>
      <w:pPr>
        <w:ind w:left="5760" w:hanging="360"/>
      </w:pPr>
      <w:rPr>
        <w:rFonts w:ascii="Symbol" w:hAnsi="Symbol" w:hint="default"/>
      </w:rPr>
    </w:lvl>
    <w:lvl w:ilvl="4" w:tplc="18090003" w:tentative="1">
      <w:start w:val="1"/>
      <w:numFmt w:val="bullet"/>
      <w:lvlText w:val="o"/>
      <w:lvlJc w:val="left"/>
      <w:pPr>
        <w:ind w:left="6480" w:hanging="360"/>
      </w:pPr>
      <w:rPr>
        <w:rFonts w:ascii="Courier New" w:hAnsi="Courier New" w:cs="Courier New" w:hint="default"/>
      </w:rPr>
    </w:lvl>
    <w:lvl w:ilvl="5" w:tplc="18090005" w:tentative="1">
      <w:start w:val="1"/>
      <w:numFmt w:val="bullet"/>
      <w:lvlText w:val=""/>
      <w:lvlJc w:val="left"/>
      <w:pPr>
        <w:ind w:left="7200" w:hanging="360"/>
      </w:pPr>
      <w:rPr>
        <w:rFonts w:ascii="Wingdings" w:hAnsi="Wingdings" w:hint="default"/>
      </w:rPr>
    </w:lvl>
    <w:lvl w:ilvl="6" w:tplc="18090001" w:tentative="1">
      <w:start w:val="1"/>
      <w:numFmt w:val="bullet"/>
      <w:lvlText w:val=""/>
      <w:lvlJc w:val="left"/>
      <w:pPr>
        <w:ind w:left="7920" w:hanging="360"/>
      </w:pPr>
      <w:rPr>
        <w:rFonts w:ascii="Symbol" w:hAnsi="Symbol" w:hint="default"/>
      </w:rPr>
    </w:lvl>
    <w:lvl w:ilvl="7" w:tplc="18090003" w:tentative="1">
      <w:start w:val="1"/>
      <w:numFmt w:val="bullet"/>
      <w:lvlText w:val="o"/>
      <w:lvlJc w:val="left"/>
      <w:pPr>
        <w:ind w:left="8640" w:hanging="360"/>
      </w:pPr>
      <w:rPr>
        <w:rFonts w:ascii="Courier New" w:hAnsi="Courier New" w:cs="Courier New" w:hint="default"/>
      </w:rPr>
    </w:lvl>
    <w:lvl w:ilvl="8" w:tplc="18090005" w:tentative="1">
      <w:start w:val="1"/>
      <w:numFmt w:val="bullet"/>
      <w:lvlText w:val=""/>
      <w:lvlJc w:val="left"/>
      <w:pPr>
        <w:ind w:left="9360" w:hanging="360"/>
      </w:pPr>
      <w:rPr>
        <w:rFonts w:ascii="Wingdings" w:hAnsi="Wingdings" w:hint="default"/>
      </w:rPr>
    </w:lvl>
  </w:abstractNum>
  <w:num w:numId="1" w16cid:durableId="1631131850">
    <w:abstractNumId w:val="2"/>
  </w:num>
  <w:num w:numId="2" w16cid:durableId="1415712250">
    <w:abstractNumId w:val="6"/>
  </w:num>
  <w:num w:numId="3" w16cid:durableId="1665740253">
    <w:abstractNumId w:val="4"/>
  </w:num>
  <w:num w:numId="4" w16cid:durableId="1501658526">
    <w:abstractNumId w:val="5"/>
  </w:num>
  <w:num w:numId="5" w16cid:durableId="890578316">
    <w:abstractNumId w:val="3"/>
  </w:num>
  <w:num w:numId="6" w16cid:durableId="744959758">
    <w:abstractNumId w:val="0"/>
  </w:num>
  <w:num w:numId="7" w16cid:durableId="483278841">
    <w:abstractNumId w:val="7"/>
  </w:num>
  <w:num w:numId="8" w16cid:durableId="10287499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3FD"/>
    <w:rsid w:val="00006E24"/>
    <w:rsid w:val="000143FD"/>
    <w:rsid w:val="0003178A"/>
    <w:rsid w:val="000501F5"/>
    <w:rsid w:val="00051CEA"/>
    <w:rsid w:val="000564EA"/>
    <w:rsid w:val="00061CAB"/>
    <w:rsid w:val="00067A7C"/>
    <w:rsid w:val="00073C64"/>
    <w:rsid w:val="00077874"/>
    <w:rsid w:val="000863F2"/>
    <w:rsid w:val="000964CC"/>
    <w:rsid w:val="000A5328"/>
    <w:rsid w:val="000A5AFB"/>
    <w:rsid w:val="000B2F1E"/>
    <w:rsid w:val="000B52CD"/>
    <w:rsid w:val="000B5D91"/>
    <w:rsid w:val="000D3BE3"/>
    <w:rsid w:val="000D5C70"/>
    <w:rsid w:val="000E23C5"/>
    <w:rsid w:val="000F2171"/>
    <w:rsid w:val="000F58A4"/>
    <w:rsid w:val="000F6352"/>
    <w:rsid w:val="00100EAE"/>
    <w:rsid w:val="001047D9"/>
    <w:rsid w:val="00105A7D"/>
    <w:rsid w:val="00117435"/>
    <w:rsid w:val="001300AC"/>
    <w:rsid w:val="00136AC3"/>
    <w:rsid w:val="00137640"/>
    <w:rsid w:val="00141466"/>
    <w:rsid w:val="00142F2B"/>
    <w:rsid w:val="00144F3B"/>
    <w:rsid w:val="00157327"/>
    <w:rsid w:val="00162423"/>
    <w:rsid w:val="00174676"/>
    <w:rsid w:val="00175614"/>
    <w:rsid w:val="0018306D"/>
    <w:rsid w:val="001A281A"/>
    <w:rsid w:val="001A392D"/>
    <w:rsid w:val="001B1467"/>
    <w:rsid w:val="001B1860"/>
    <w:rsid w:val="001B306A"/>
    <w:rsid w:val="001B68FF"/>
    <w:rsid w:val="001C4668"/>
    <w:rsid w:val="001C5C4F"/>
    <w:rsid w:val="001C5C5C"/>
    <w:rsid w:val="001D02BE"/>
    <w:rsid w:val="001D048A"/>
    <w:rsid w:val="001D4C98"/>
    <w:rsid w:val="001E15A1"/>
    <w:rsid w:val="001E4FEE"/>
    <w:rsid w:val="001F2CFB"/>
    <w:rsid w:val="00200ACC"/>
    <w:rsid w:val="00202B45"/>
    <w:rsid w:val="002048D0"/>
    <w:rsid w:val="00205AE0"/>
    <w:rsid w:val="00206899"/>
    <w:rsid w:val="0021211D"/>
    <w:rsid w:val="00237BDE"/>
    <w:rsid w:val="0024162F"/>
    <w:rsid w:val="00242080"/>
    <w:rsid w:val="00244079"/>
    <w:rsid w:val="002457DA"/>
    <w:rsid w:val="00255BEC"/>
    <w:rsid w:val="002570A8"/>
    <w:rsid w:val="00261215"/>
    <w:rsid w:val="00261242"/>
    <w:rsid w:val="002767B8"/>
    <w:rsid w:val="00276B3C"/>
    <w:rsid w:val="0028039F"/>
    <w:rsid w:val="00286CB0"/>
    <w:rsid w:val="00287F50"/>
    <w:rsid w:val="00290A81"/>
    <w:rsid w:val="00291A61"/>
    <w:rsid w:val="002A11BB"/>
    <w:rsid w:val="002A6BA3"/>
    <w:rsid w:val="002B0503"/>
    <w:rsid w:val="002C20BD"/>
    <w:rsid w:val="002C3436"/>
    <w:rsid w:val="002C3633"/>
    <w:rsid w:val="002C51B7"/>
    <w:rsid w:val="002F12ED"/>
    <w:rsid w:val="002F2538"/>
    <w:rsid w:val="00313334"/>
    <w:rsid w:val="003150B6"/>
    <w:rsid w:val="00315FFE"/>
    <w:rsid w:val="0031609F"/>
    <w:rsid w:val="00326142"/>
    <w:rsid w:val="00333FAB"/>
    <w:rsid w:val="0033590B"/>
    <w:rsid w:val="003424C9"/>
    <w:rsid w:val="00352FE3"/>
    <w:rsid w:val="00362EE0"/>
    <w:rsid w:val="00370F6D"/>
    <w:rsid w:val="00372E38"/>
    <w:rsid w:val="003823AF"/>
    <w:rsid w:val="0039010A"/>
    <w:rsid w:val="0039115D"/>
    <w:rsid w:val="0039291B"/>
    <w:rsid w:val="003B5870"/>
    <w:rsid w:val="003C0C3D"/>
    <w:rsid w:val="003C2693"/>
    <w:rsid w:val="003C4828"/>
    <w:rsid w:val="003F33F9"/>
    <w:rsid w:val="00407A80"/>
    <w:rsid w:val="004247D2"/>
    <w:rsid w:val="00427A7F"/>
    <w:rsid w:val="00431D7B"/>
    <w:rsid w:val="0043246D"/>
    <w:rsid w:val="00433540"/>
    <w:rsid w:val="00435F48"/>
    <w:rsid w:val="00440D90"/>
    <w:rsid w:val="00445008"/>
    <w:rsid w:val="004450A7"/>
    <w:rsid w:val="004454C9"/>
    <w:rsid w:val="0045013C"/>
    <w:rsid w:val="00457C24"/>
    <w:rsid w:val="0046305A"/>
    <w:rsid w:val="00463AA4"/>
    <w:rsid w:val="00472D05"/>
    <w:rsid w:val="00474EF1"/>
    <w:rsid w:val="004809BB"/>
    <w:rsid w:val="00483241"/>
    <w:rsid w:val="004868BB"/>
    <w:rsid w:val="004967F8"/>
    <w:rsid w:val="004A03A8"/>
    <w:rsid w:val="004A1AD4"/>
    <w:rsid w:val="004A258E"/>
    <w:rsid w:val="004C7481"/>
    <w:rsid w:val="004D1A49"/>
    <w:rsid w:val="004D1FCD"/>
    <w:rsid w:val="00511FC7"/>
    <w:rsid w:val="005123C2"/>
    <w:rsid w:val="0051355E"/>
    <w:rsid w:val="00517F66"/>
    <w:rsid w:val="00525316"/>
    <w:rsid w:val="00526523"/>
    <w:rsid w:val="005350D7"/>
    <w:rsid w:val="005363CC"/>
    <w:rsid w:val="00542F9B"/>
    <w:rsid w:val="0054716A"/>
    <w:rsid w:val="00550AF0"/>
    <w:rsid w:val="0055676D"/>
    <w:rsid w:val="00557AAC"/>
    <w:rsid w:val="00560DF6"/>
    <w:rsid w:val="005640C0"/>
    <w:rsid w:val="0056778B"/>
    <w:rsid w:val="00571ADB"/>
    <w:rsid w:val="00571DBF"/>
    <w:rsid w:val="00572EA7"/>
    <w:rsid w:val="005738F5"/>
    <w:rsid w:val="00574BFA"/>
    <w:rsid w:val="005811FC"/>
    <w:rsid w:val="00584FF5"/>
    <w:rsid w:val="00593801"/>
    <w:rsid w:val="005A00F8"/>
    <w:rsid w:val="005A5F93"/>
    <w:rsid w:val="005B5DD3"/>
    <w:rsid w:val="005B5F6E"/>
    <w:rsid w:val="005C17BC"/>
    <w:rsid w:val="005D08E4"/>
    <w:rsid w:val="005D2201"/>
    <w:rsid w:val="005D36F3"/>
    <w:rsid w:val="005E4DC6"/>
    <w:rsid w:val="005F1A39"/>
    <w:rsid w:val="005F359B"/>
    <w:rsid w:val="005F5DC6"/>
    <w:rsid w:val="005F7002"/>
    <w:rsid w:val="006003E3"/>
    <w:rsid w:val="00602AC2"/>
    <w:rsid w:val="00636B90"/>
    <w:rsid w:val="00641647"/>
    <w:rsid w:val="006510E3"/>
    <w:rsid w:val="00657CCE"/>
    <w:rsid w:val="0066039A"/>
    <w:rsid w:val="00664FA0"/>
    <w:rsid w:val="00666D10"/>
    <w:rsid w:val="0067120A"/>
    <w:rsid w:val="006818AF"/>
    <w:rsid w:val="00681BB8"/>
    <w:rsid w:val="00682FCA"/>
    <w:rsid w:val="00687932"/>
    <w:rsid w:val="00692965"/>
    <w:rsid w:val="00695BB3"/>
    <w:rsid w:val="006A5719"/>
    <w:rsid w:val="006A696D"/>
    <w:rsid w:val="006B16B0"/>
    <w:rsid w:val="006B4E0B"/>
    <w:rsid w:val="006B58EA"/>
    <w:rsid w:val="006B7527"/>
    <w:rsid w:val="006C167D"/>
    <w:rsid w:val="006C64B3"/>
    <w:rsid w:val="006C6822"/>
    <w:rsid w:val="006D6B1B"/>
    <w:rsid w:val="006E2DE5"/>
    <w:rsid w:val="006E57CF"/>
    <w:rsid w:val="006E689C"/>
    <w:rsid w:val="006F247A"/>
    <w:rsid w:val="006F6DEC"/>
    <w:rsid w:val="007073FD"/>
    <w:rsid w:val="007273EB"/>
    <w:rsid w:val="00740B1F"/>
    <w:rsid w:val="00763F08"/>
    <w:rsid w:val="00765F46"/>
    <w:rsid w:val="00772BF1"/>
    <w:rsid w:val="00772CF4"/>
    <w:rsid w:val="00774BEF"/>
    <w:rsid w:val="00775356"/>
    <w:rsid w:val="007765B3"/>
    <w:rsid w:val="0078362C"/>
    <w:rsid w:val="00783939"/>
    <w:rsid w:val="0078475B"/>
    <w:rsid w:val="00787A7F"/>
    <w:rsid w:val="00790A24"/>
    <w:rsid w:val="00790C8A"/>
    <w:rsid w:val="007A2832"/>
    <w:rsid w:val="007A2EAC"/>
    <w:rsid w:val="007B1423"/>
    <w:rsid w:val="007B7403"/>
    <w:rsid w:val="007C022E"/>
    <w:rsid w:val="007C24EB"/>
    <w:rsid w:val="007C2C5B"/>
    <w:rsid w:val="007D32DD"/>
    <w:rsid w:val="007D4876"/>
    <w:rsid w:val="007D5033"/>
    <w:rsid w:val="007F403E"/>
    <w:rsid w:val="007F5A63"/>
    <w:rsid w:val="00823171"/>
    <w:rsid w:val="00823A22"/>
    <w:rsid w:val="00825A7D"/>
    <w:rsid w:val="00831408"/>
    <w:rsid w:val="00832965"/>
    <w:rsid w:val="00837662"/>
    <w:rsid w:val="008539B2"/>
    <w:rsid w:val="00855AAC"/>
    <w:rsid w:val="00863D80"/>
    <w:rsid w:val="0087661F"/>
    <w:rsid w:val="00876B8E"/>
    <w:rsid w:val="00885576"/>
    <w:rsid w:val="00890291"/>
    <w:rsid w:val="00894ED7"/>
    <w:rsid w:val="00895EC1"/>
    <w:rsid w:val="008A066A"/>
    <w:rsid w:val="008A2AFF"/>
    <w:rsid w:val="008C354C"/>
    <w:rsid w:val="008D1699"/>
    <w:rsid w:val="008D2771"/>
    <w:rsid w:val="008D5AF5"/>
    <w:rsid w:val="008E1EBD"/>
    <w:rsid w:val="008E4EA4"/>
    <w:rsid w:val="008F0435"/>
    <w:rsid w:val="00900D20"/>
    <w:rsid w:val="00900E4F"/>
    <w:rsid w:val="009073F5"/>
    <w:rsid w:val="00910128"/>
    <w:rsid w:val="00916C36"/>
    <w:rsid w:val="00916F4D"/>
    <w:rsid w:val="00934307"/>
    <w:rsid w:val="00941C2B"/>
    <w:rsid w:val="0094623A"/>
    <w:rsid w:val="0095528C"/>
    <w:rsid w:val="0096075D"/>
    <w:rsid w:val="0096160C"/>
    <w:rsid w:val="009706E0"/>
    <w:rsid w:val="00980044"/>
    <w:rsid w:val="0098192D"/>
    <w:rsid w:val="00982F81"/>
    <w:rsid w:val="00987522"/>
    <w:rsid w:val="00990523"/>
    <w:rsid w:val="009907A2"/>
    <w:rsid w:val="00995379"/>
    <w:rsid w:val="009965B1"/>
    <w:rsid w:val="009A6EE6"/>
    <w:rsid w:val="009B28D1"/>
    <w:rsid w:val="009C13A6"/>
    <w:rsid w:val="009C4D74"/>
    <w:rsid w:val="009C59C1"/>
    <w:rsid w:val="009C60B1"/>
    <w:rsid w:val="009C70AA"/>
    <w:rsid w:val="009D2941"/>
    <w:rsid w:val="009D34A3"/>
    <w:rsid w:val="009E057B"/>
    <w:rsid w:val="009E17BB"/>
    <w:rsid w:val="009F5CF0"/>
    <w:rsid w:val="00A018E2"/>
    <w:rsid w:val="00A03841"/>
    <w:rsid w:val="00A04588"/>
    <w:rsid w:val="00A24A74"/>
    <w:rsid w:val="00A263C7"/>
    <w:rsid w:val="00A32E71"/>
    <w:rsid w:val="00A3354D"/>
    <w:rsid w:val="00A40114"/>
    <w:rsid w:val="00A405F7"/>
    <w:rsid w:val="00A42B51"/>
    <w:rsid w:val="00A44498"/>
    <w:rsid w:val="00A54CB4"/>
    <w:rsid w:val="00A577A2"/>
    <w:rsid w:val="00A63050"/>
    <w:rsid w:val="00A669C4"/>
    <w:rsid w:val="00A77E0E"/>
    <w:rsid w:val="00A83B7F"/>
    <w:rsid w:val="00A852A3"/>
    <w:rsid w:val="00A85B0A"/>
    <w:rsid w:val="00A96336"/>
    <w:rsid w:val="00A96DEF"/>
    <w:rsid w:val="00AA398C"/>
    <w:rsid w:val="00AA4588"/>
    <w:rsid w:val="00AC0DB3"/>
    <w:rsid w:val="00AC319D"/>
    <w:rsid w:val="00AC6C3E"/>
    <w:rsid w:val="00AD0B45"/>
    <w:rsid w:val="00AD7A82"/>
    <w:rsid w:val="00AE20E8"/>
    <w:rsid w:val="00AE2785"/>
    <w:rsid w:val="00AE56AA"/>
    <w:rsid w:val="00B05745"/>
    <w:rsid w:val="00B22D22"/>
    <w:rsid w:val="00B24E02"/>
    <w:rsid w:val="00B30800"/>
    <w:rsid w:val="00B3391E"/>
    <w:rsid w:val="00B33C40"/>
    <w:rsid w:val="00B362A8"/>
    <w:rsid w:val="00B477C2"/>
    <w:rsid w:val="00B5082E"/>
    <w:rsid w:val="00B77669"/>
    <w:rsid w:val="00B83C5E"/>
    <w:rsid w:val="00B947D9"/>
    <w:rsid w:val="00B96275"/>
    <w:rsid w:val="00B976C3"/>
    <w:rsid w:val="00BB2805"/>
    <w:rsid w:val="00BC7DF9"/>
    <w:rsid w:val="00BD168C"/>
    <w:rsid w:val="00BD4270"/>
    <w:rsid w:val="00BD4860"/>
    <w:rsid w:val="00BD5FB8"/>
    <w:rsid w:val="00BD7A99"/>
    <w:rsid w:val="00BD7B21"/>
    <w:rsid w:val="00BE506C"/>
    <w:rsid w:val="00BF37A8"/>
    <w:rsid w:val="00BF5356"/>
    <w:rsid w:val="00C01AFF"/>
    <w:rsid w:val="00C02EFF"/>
    <w:rsid w:val="00C15010"/>
    <w:rsid w:val="00C25ACF"/>
    <w:rsid w:val="00C30974"/>
    <w:rsid w:val="00C34A1E"/>
    <w:rsid w:val="00C34D08"/>
    <w:rsid w:val="00C44C85"/>
    <w:rsid w:val="00C45763"/>
    <w:rsid w:val="00C46EA8"/>
    <w:rsid w:val="00C4786B"/>
    <w:rsid w:val="00C50497"/>
    <w:rsid w:val="00C6513B"/>
    <w:rsid w:val="00C65562"/>
    <w:rsid w:val="00C655FB"/>
    <w:rsid w:val="00C662E7"/>
    <w:rsid w:val="00C73662"/>
    <w:rsid w:val="00C93F66"/>
    <w:rsid w:val="00CB6958"/>
    <w:rsid w:val="00CC1BA8"/>
    <w:rsid w:val="00CC78F5"/>
    <w:rsid w:val="00CD2B9B"/>
    <w:rsid w:val="00CE007A"/>
    <w:rsid w:val="00CE24F8"/>
    <w:rsid w:val="00CE3E41"/>
    <w:rsid w:val="00CE692E"/>
    <w:rsid w:val="00D01DCD"/>
    <w:rsid w:val="00D0212B"/>
    <w:rsid w:val="00D14E6C"/>
    <w:rsid w:val="00D151BC"/>
    <w:rsid w:val="00D163BA"/>
    <w:rsid w:val="00D24D44"/>
    <w:rsid w:val="00D31238"/>
    <w:rsid w:val="00D3245A"/>
    <w:rsid w:val="00D32504"/>
    <w:rsid w:val="00D330E9"/>
    <w:rsid w:val="00D36878"/>
    <w:rsid w:val="00D46AAD"/>
    <w:rsid w:val="00D47BAA"/>
    <w:rsid w:val="00D47CA5"/>
    <w:rsid w:val="00D528BA"/>
    <w:rsid w:val="00D621A3"/>
    <w:rsid w:val="00D67F2D"/>
    <w:rsid w:val="00D751B2"/>
    <w:rsid w:val="00D76E6D"/>
    <w:rsid w:val="00D82378"/>
    <w:rsid w:val="00D86A12"/>
    <w:rsid w:val="00D90C30"/>
    <w:rsid w:val="00D9129A"/>
    <w:rsid w:val="00D94303"/>
    <w:rsid w:val="00D956A1"/>
    <w:rsid w:val="00D97BB7"/>
    <w:rsid w:val="00DA3F68"/>
    <w:rsid w:val="00DA50DF"/>
    <w:rsid w:val="00DC471D"/>
    <w:rsid w:val="00DD190D"/>
    <w:rsid w:val="00DD4B69"/>
    <w:rsid w:val="00DD736E"/>
    <w:rsid w:val="00DE7929"/>
    <w:rsid w:val="00DF2A56"/>
    <w:rsid w:val="00DF5601"/>
    <w:rsid w:val="00E0193B"/>
    <w:rsid w:val="00E03A65"/>
    <w:rsid w:val="00E04F30"/>
    <w:rsid w:val="00E1396E"/>
    <w:rsid w:val="00E13E5F"/>
    <w:rsid w:val="00E1456A"/>
    <w:rsid w:val="00E30BDF"/>
    <w:rsid w:val="00E312AB"/>
    <w:rsid w:val="00E3663A"/>
    <w:rsid w:val="00E42549"/>
    <w:rsid w:val="00E43C5B"/>
    <w:rsid w:val="00E45A42"/>
    <w:rsid w:val="00E4636F"/>
    <w:rsid w:val="00E465AD"/>
    <w:rsid w:val="00E46C4B"/>
    <w:rsid w:val="00E53F87"/>
    <w:rsid w:val="00E55103"/>
    <w:rsid w:val="00E621CD"/>
    <w:rsid w:val="00E6786F"/>
    <w:rsid w:val="00E92A3B"/>
    <w:rsid w:val="00E9469C"/>
    <w:rsid w:val="00E95AEC"/>
    <w:rsid w:val="00EA3F3E"/>
    <w:rsid w:val="00EA59F7"/>
    <w:rsid w:val="00EB4BC8"/>
    <w:rsid w:val="00EB6716"/>
    <w:rsid w:val="00EB6C67"/>
    <w:rsid w:val="00EC0BD2"/>
    <w:rsid w:val="00EE4D93"/>
    <w:rsid w:val="00EF1744"/>
    <w:rsid w:val="00EF5F35"/>
    <w:rsid w:val="00F00BD3"/>
    <w:rsid w:val="00F033C4"/>
    <w:rsid w:val="00F03CE5"/>
    <w:rsid w:val="00F03DFE"/>
    <w:rsid w:val="00F16E76"/>
    <w:rsid w:val="00F21543"/>
    <w:rsid w:val="00F23470"/>
    <w:rsid w:val="00F2455A"/>
    <w:rsid w:val="00F2492D"/>
    <w:rsid w:val="00F349D8"/>
    <w:rsid w:val="00F41F79"/>
    <w:rsid w:val="00F421A3"/>
    <w:rsid w:val="00F44A7F"/>
    <w:rsid w:val="00F53088"/>
    <w:rsid w:val="00F5513C"/>
    <w:rsid w:val="00F70857"/>
    <w:rsid w:val="00F7525D"/>
    <w:rsid w:val="00F76E62"/>
    <w:rsid w:val="00F774EE"/>
    <w:rsid w:val="00F92FEE"/>
    <w:rsid w:val="00F9398F"/>
    <w:rsid w:val="00FA1CC4"/>
    <w:rsid w:val="00FB3171"/>
    <w:rsid w:val="00FB3BCF"/>
    <w:rsid w:val="00FB5112"/>
    <w:rsid w:val="00FC6F5E"/>
    <w:rsid w:val="00FD46B1"/>
    <w:rsid w:val="00FD7E4C"/>
    <w:rsid w:val="00FE1500"/>
    <w:rsid w:val="00FE493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991BA"/>
  <w15:chartTrackingRefBased/>
  <w15:docId w15:val="{5A41C802-DE1E-43D3-B011-6C518FDDE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5A7D"/>
    <w:rPr>
      <w:sz w:val="24"/>
      <w:szCs w:val="24"/>
    </w:rPr>
  </w:style>
  <w:style w:type="paragraph" w:styleId="Heading1">
    <w:name w:val="heading 1"/>
    <w:basedOn w:val="Normal"/>
    <w:next w:val="Normal"/>
    <w:link w:val="Heading1Char"/>
    <w:uiPriority w:val="9"/>
    <w:qFormat/>
    <w:rsid w:val="00825A7D"/>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825A7D"/>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unhideWhenUsed/>
    <w:qFormat/>
    <w:rsid w:val="00825A7D"/>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unhideWhenUsed/>
    <w:qFormat/>
    <w:rsid w:val="00825A7D"/>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825A7D"/>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825A7D"/>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825A7D"/>
    <w:pPr>
      <w:spacing w:before="240" w:after="60"/>
      <w:outlineLvl w:val="6"/>
    </w:pPr>
  </w:style>
  <w:style w:type="paragraph" w:styleId="Heading8">
    <w:name w:val="heading 8"/>
    <w:basedOn w:val="Normal"/>
    <w:next w:val="Normal"/>
    <w:link w:val="Heading8Char"/>
    <w:uiPriority w:val="9"/>
    <w:semiHidden/>
    <w:unhideWhenUsed/>
    <w:qFormat/>
    <w:rsid w:val="00825A7D"/>
    <w:pPr>
      <w:spacing w:before="240" w:after="60"/>
      <w:outlineLvl w:val="7"/>
    </w:pPr>
    <w:rPr>
      <w:i/>
      <w:iCs/>
    </w:rPr>
  </w:style>
  <w:style w:type="paragraph" w:styleId="Heading9">
    <w:name w:val="heading 9"/>
    <w:basedOn w:val="Normal"/>
    <w:next w:val="Normal"/>
    <w:link w:val="Heading9Char"/>
    <w:uiPriority w:val="9"/>
    <w:semiHidden/>
    <w:unhideWhenUsed/>
    <w:qFormat/>
    <w:rsid w:val="00825A7D"/>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90291"/>
    <w:rPr>
      <w:color w:val="0563C1" w:themeColor="hyperlink"/>
      <w:u w:val="single"/>
    </w:rPr>
  </w:style>
  <w:style w:type="character" w:styleId="FootnoteReference">
    <w:name w:val="footnote reference"/>
    <w:basedOn w:val="DefaultParagraphFont"/>
    <w:uiPriority w:val="99"/>
    <w:semiHidden/>
    <w:unhideWhenUsed/>
    <w:rsid w:val="00890291"/>
    <w:rPr>
      <w:vertAlign w:val="superscript"/>
    </w:rPr>
  </w:style>
  <w:style w:type="character" w:styleId="Strong">
    <w:name w:val="Strong"/>
    <w:basedOn w:val="DefaultParagraphFont"/>
    <w:uiPriority w:val="22"/>
    <w:qFormat/>
    <w:rsid w:val="00825A7D"/>
    <w:rPr>
      <w:b/>
      <w:bCs/>
    </w:rPr>
  </w:style>
  <w:style w:type="character" w:customStyle="1" w:styleId="Heading1Char">
    <w:name w:val="Heading 1 Char"/>
    <w:basedOn w:val="DefaultParagraphFont"/>
    <w:link w:val="Heading1"/>
    <w:uiPriority w:val="9"/>
    <w:rsid w:val="00825A7D"/>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825A7D"/>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rsid w:val="00825A7D"/>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825A7D"/>
    <w:rPr>
      <w:b/>
      <w:bCs/>
      <w:sz w:val="28"/>
      <w:szCs w:val="28"/>
    </w:rPr>
  </w:style>
  <w:style w:type="character" w:customStyle="1" w:styleId="Heading5Char">
    <w:name w:val="Heading 5 Char"/>
    <w:basedOn w:val="DefaultParagraphFont"/>
    <w:link w:val="Heading5"/>
    <w:uiPriority w:val="9"/>
    <w:semiHidden/>
    <w:rsid w:val="00825A7D"/>
    <w:rPr>
      <w:b/>
      <w:bCs/>
      <w:i/>
      <w:iCs/>
      <w:sz w:val="26"/>
      <w:szCs w:val="26"/>
    </w:rPr>
  </w:style>
  <w:style w:type="character" w:customStyle="1" w:styleId="Heading6Char">
    <w:name w:val="Heading 6 Char"/>
    <w:basedOn w:val="DefaultParagraphFont"/>
    <w:link w:val="Heading6"/>
    <w:uiPriority w:val="9"/>
    <w:semiHidden/>
    <w:rsid w:val="00825A7D"/>
    <w:rPr>
      <w:b/>
      <w:bCs/>
    </w:rPr>
  </w:style>
  <w:style w:type="character" w:customStyle="1" w:styleId="Heading7Char">
    <w:name w:val="Heading 7 Char"/>
    <w:basedOn w:val="DefaultParagraphFont"/>
    <w:link w:val="Heading7"/>
    <w:uiPriority w:val="9"/>
    <w:semiHidden/>
    <w:rsid w:val="00825A7D"/>
    <w:rPr>
      <w:sz w:val="24"/>
      <w:szCs w:val="24"/>
    </w:rPr>
  </w:style>
  <w:style w:type="character" w:customStyle="1" w:styleId="Heading8Char">
    <w:name w:val="Heading 8 Char"/>
    <w:basedOn w:val="DefaultParagraphFont"/>
    <w:link w:val="Heading8"/>
    <w:uiPriority w:val="9"/>
    <w:semiHidden/>
    <w:rsid w:val="00825A7D"/>
    <w:rPr>
      <w:i/>
      <w:iCs/>
      <w:sz w:val="24"/>
      <w:szCs w:val="24"/>
    </w:rPr>
  </w:style>
  <w:style w:type="character" w:customStyle="1" w:styleId="Heading9Char">
    <w:name w:val="Heading 9 Char"/>
    <w:basedOn w:val="DefaultParagraphFont"/>
    <w:link w:val="Heading9"/>
    <w:uiPriority w:val="9"/>
    <w:semiHidden/>
    <w:rsid w:val="00825A7D"/>
    <w:rPr>
      <w:rFonts w:asciiTheme="majorHAnsi" w:eastAsiaTheme="majorEastAsia" w:hAnsiTheme="majorHAnsi"/>
    </w:rPr>
  </w:style>
  <w:style w:type="paragraph" w:styleId="Title">
    <w:name w:val="Title"/>
    <w:basedOn w:val="Normal"/>
    <w:next w:val="Normal"/>
    <w:link w:val="TitleChar"/>
    <w:uiPriority w:val="10"/>
    <w:qFormat/>
    <w:rsid w:val="00825A7D"/>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825A7D"/>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825A7D"/>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825A7D"/>
    <w:rPr>
      <w:rFonts w:asciiTheme="majorHAnsi" w:eastAsiaTheme="majorEastAsia" w:hAnsiTheme="majorHAnsi"/>
      <w:sz w:val="24"/>
      <w:szCs w:val="24"/>
    </w:rPr>
  </w:style>
  <w:style w:type="character" w:styleId="Emphasis">
    <w:name w:val="Emphasis"/>
    <w:basedOn w:val="DefaultParagraphFont"/>
    <w:uiPriority w:val="20"/>
    <w:qFormat/>
    <w:rsid w:val="00825A7D"/>
    <w:rPr>
      <w:rFonts w:asciiTheme="minorHAnsi" w:hAnsiTheme="minorHAnsi"/>
      <w:b/>
      <w:i/>
      <w:iCs/>
    </w:rPr>
  </w:style>
  <w:style w:type="paragraph" w:styleId="NoSpacing">
    <w:name w:val="No Spacing"/>
    <w:basedOn w:val="Normal"/>
    <w:uiPriority w:val="1"/>
    <w:qFormat/>
    <w:rsid w:val="00825A7D"/>
    <w:rPr>
      <w:szCs w:val="32"/>
    </w:rPr>
  </w:style>
  <w:style w:type="paragraph" w:styleId="ListParagraph">
    <w:name w:val="List Paragraph"/>
    <w:basedOn w:val="Normal"/>
    <w:uiPriority w:val="34"/>
    <w:qFormat/>
    <w:rsid w:val="00825A7D"/>
    <w:pPr>
      <w:ind w:left="720"/>
      <w:contextualSpacing/>
    </w:pPr>
  </w:style>
  <w:style w:type="paragraph" w:styleId="Quote">
    <w:name w:val="Quote"/>
    <w:basedOn w:val="Normal"/>
    <w:next w:val="Normal"/>
    <w:link w:val="QuoteChar"/>
    <w:uiPriority w:val="29"/>
    <w:qFormat/>
    <w:rsid w:val="00825A7D"/>
    <w:rPr>
      <w:i/>
    </w:rPr>
  </w:style>
  <w:style w:type="character" w:customStyle="1" w:styleId="QuoteChar">
    <w:name w:val="Quote Char"/>
    <w:basedOn w:val="DefaultParagraphFont"/>
    <w:link w:val="Quote"/>
    <w:uiPriority w:val="29"/>
    <w:rsid w:val="00825A7D"/>
    <w:rPr>
      <w:i/>
      <w:sz w:val="24"/>
      <w:szCs w:val="24"/>
    </w:rPr>
  </w:style>
  <w:style w:type="paragraph" w:styleId="IntenseQuote">
    <w:name w:val="Intense Quote"/>
    <w:basedOn w:val="Normal"/>
    <w:next w:val="Normal"/>
    <w:link w:val="IntenseQuoteChar"/>
    <w:uiPriority w:val="30"/>
    <w:qFormat/>
    <w:rsid w:val="00825A7D"/>
    <w:pPr>
      <w:ind w:left="720" w:right="720"/>
    </w:pPr>
    <w:rPr>
      <w:b/>
      <w:i/>
      <w:szCs w:val="22"/>
    </w:rPr>
  </w:style>
  <w:style w:type="character" w:customStyle="1" w:styleId="IntenseQuoteChar">
    <w:name w:val="Intense Quote Char"/>
    <w:basedOn w:val="DefaultParagraphFont"/>
    <w:link w:val="IntenseQuote"/>
    <w:uiPriority w:val="30"/>
    <w:rsid w:val="00825A7D"/>
    <w:rPr>
      <w:b/>
      <w:i/>
      <w:sz w:val="24"/>
    </w:rPr>
  </w:style>
  <w:style w:type="character" w:styleId="SubtleEmphasis">
    <w:name w:val="Subtle Emphasis"/>
    <w:uiPriority w:val="19"/>
    <w:qFormat/>
    <w:rsid w:val="00825A7D"/>
    <w:rPr>
      <w:i/>
      <w:color w:val="5A5A5A" w:themeColor="text1" w:themeTint="A5"/>
    </w:rPr>
  </w:style>
  <w:style w:type="character" w:styleId="IntenseEmphasis">
    <w:name w:val="Intense Emphasis"/>
    <w:basedOn w:val="DefaultParagraphFont"/>
    <w:uiPriority w:val="21"/>
    <w:qFormat/>
    <w:rsid w:val="00825A7D"/>
    <w:rPr>
      <w:b/>
      <w:i/>
      <w:sz w:val="24"/>
      <w:szCs w:val="24"/>
      <w:u w:val="single"/>
    </w:rPr>
  </w:style>
  <w:style w:type="character" w:styleId="SubtleReference">
    <w:name w:val="Subtle Reference"/>
    <w:basedOn w:val="DefaultParagraphFont"/>
    <w:uiPriority w:val="31"/>
    <w:qFormat/>
    <w:rsid w:val="00825A7D"/>
    <w:rPr>
      <w:sz w:val="24"/>
      <w:szCs w:val="24"/>
      <w:u w:val="single"/>
    </w:rPr>
  </w:style>
  <w:style w:type="character" w:styleId="IntenseReference">
    <w:name w:val="Intense Reference"/>
    <w:basedOn w:val="DefaultParagraphFont"/>
    <w:uiPriority w:val="32"/>
    <w:qFormat/>
    <w:rsid w:val="00825A7D"/>
    <w:rPr>
      <w:b/>
      <w:sz w:val="24"/>
      <w:u w:val="single"/>
    </w:rPr>
  </w:style>
  <w:style w:type="character" w:styleId="BookTitle">
    <w:name w:val="Book Title"/>
    <w:basedOn w:val="DefaultParagraphFont"/>
    <w:uiPriority w:val="33"/>
    <w:qFormat/>
    <w:rsid w:val="00825A7D"/>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825A7D"/>
    <w:pPr>
      <w:outlineLvl w:val="9"/>
    </w:pPr>
    <w:rPr>
      <w:rFonts w:cs="Times New Roman"/>
    </w:rPr>
  </w:style>
  <w:style w:type="paragraph" w:styleId="FootnoteText">
    <w:name w:val="footnote text"/>
    <w:basedOn w:val="Normal"/>
    <w:link w:val="FootnoteTextChar"/>
    <w:uiPriority w:val="99"/>
    <w:unhideWhenUsed/>
    <w:rsid w:val="000501F5"/>
    <w:rPr>
      <w:rFonts w:eastAsiaTheme="minorHAnsi" w:cstheme="minorBidi"/>
      <w:sz w:val="20"/>
      <w:szCs w:val="20"/>
      <w:lang w:val="el-GR"/>
    </w:rPr>
  </w:style>
  <w:style w:type="character" w:customStyle="1" w:styleId="FootnoteTextChar">
    <w:name w:val="Footnote Text Char"/>
    <w:basedOn w:val="DefaultParagraphFont"/>
    <w:link w:val="FootnoteText"/>
    <w:uiPriority w:val="99"/>
    <w:rsid w:val="000501F5"/>
    <w:rPr>
      <w:rFonts w:eastAsiaTheme="minorHAnsi" w:cstheme="minorBidi"/>
      <w:sz w:val="20"/>
      <w:szCs w:val="20"/>
      <w:lang w:val="el-GR"/>
    </w:rPr>
  </w:style>
  <w:style w:type="character" w:styleId="CommentReference">
    <w:name w:val="annotation reference"/>
    <w:basedOn w:val="DefaultParagraphFont"/>
    <w:uiPriority w:val="99"/>
    <w:semiHidden/>
    <w:unhideWhenUsed/>
    <w:rsid w:val="00F70857"/>
    <w:rPr>
      <w:sz w:val="16"/>
      <w:szCs w:val="16"/>
    </w:rPr>
  </w:style>
  <w:style w:type="paragraph" w:styleId="CommentText">
    <w:name w:val="annotation text"/>
    <w:basedOn w:val="Normal"/>
    <w:link w:val="CommentTextChar"/>
    <w:uiPriority w:val="99"/>
    <w:unhideWhenUsed/>
    <w:rsid w:val="00F70857"/>
    <w:rPr>
      <w:sz w:val="20"/>
      <w:szCs w:val="20"/>
    </w:rPr>
  </w:style>
  <w:style w:type="character" w:customStyle="1" w:styleId="CommentTextChar">
    <w:name w:val="Comment Text Char"/>
    <w:basedOn w:val="DefaultParagraphFont"/>
    <w:link w:val="CommentText"/>
    <w:uiPriority w:val="99"/>
    <w:rsid w:val="00F70857"/>
    <w:rPr>
      <w:sz w:val="20"/>
      <w:szCs w:val="20"/>
    </w:rPr>
  </w:style>
  <w:style w:type="paragraph" w:styleId="CommentSubject">
    <w:name w:val="annotation subject"/>
    <w:basedOn w:val="CommentText"/>
    <w:next w:val="CommentText"/>
    <w:link w:val="CommentSubjectChar"/>
    <w:uiPriority w:val="99"/>
    <w:semiHidden/>
    <w:unhideWhenUsed/>
    <w:rsid w:val="00F70857"/>
    <w:rPr>
      <w:b/>
      <w:bCs/>
    </w:rPr>
  </w:style>
  <w:style w:type="character" w:customStyle="1" w:styleId="CommentSubjectChar">
    <w:name w:val="Comment Subject Char"/>
    <w:basedOn w:val="CommentTextChar"/>
    <w:link w:val="CommentSubject"/>
    <w:uiPriority w:val="99"/>
    <w:semiHidden/>
    <w:rsid w:val="00F70857"/>
    <w:rPr>
      <w:b/>
      <w:bCs/>
      <w:sz w:val="20"/>
      <w:szCs w:val="20"/>
    </w:rPr>
  </w:style>
  <w:style w:type="character" w:customStyle="1" w:styleId="cf01">
    <w:name w:val="cf01"/>
    <w:basedOn w:val="DefaultParagraphFont"/>
    <w:rsid w:val="00472D05"/>
    <w:rPr>
      <w:rFonts w:ascii="Segoe UI" w:hAnsi="Segoe UI" w:cs="Segoe UI" w:hint="default"/>
      <w:sz w:val="18"/>
      <w:szCs w:val="18"/>
    </w:rPr>
  </w:style>
  <w:style w:type="table" w:styleId="TableGrid">
    <w:name w:val="Table Grid"/>
    <w:basedOn w:val="TableNormal"/>
    <w:uiPriority w:val="59"/>
    <w:rsid w:val="009D34A3"/>
    <w:rPr>
      <w:rFonts w:eastAsiaTheme="minorHAnsi" w:cstheme="minorBidi"/>
      <w:lang w:val="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Πλέγμα πίνακα2"/>
    <w:basedOn w:val="TableNormal"/>
    <w:next w:val="TableGrid"/>
    <w:uiPriority w:val="39"/>
    <w:rsid w:val="009C70AA"/>
    <w:rPr>
      <w:rFonts w:eastAsiaTheme="minorHAnsi" w:cstheme="minorBid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C70AA"/>
    <w:pPr>
      <w:spacing w:before="100" w:beforeAutospacing="1" w:after="100" w:afterAutospacing="1"/>
    </w:pPr>
    <w:rPr>
      <w:rFonts w:ascii="Times New Roman" w:eastAsia="Times New Roman" w:hAnsi="Times New Roman"/>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64046">
      <w:bodyDiv w:val="1"/>
      <w:marLeft w:val="0"/>
      <w:marRight w:val="0"/>
      <w:marTop w:val="0"/>
      <w:marBottom w:val="0"/>
      <w:divBdr>
        <w:top w:val="none" w:sz="0" w:space="0" w:color="auto"/>
        <w:left w:val="none" w:sz="0" w:space="0" w:color="auto"/>
        <w:bottom w:val="none" w:sz="0" w:space="0" w:color="auto"/>
        <w:right w:val="none" w:sz="0" w:space="0" w:color="auto"/>
      </w:divBdr>
    </w:div>
    <w:div w:id="11286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2.png"/><Relationship Id="rId26" Type="http://schemas.openxmlformats.org/officeDocument/2006/relationships/chart" Target="charts/chart9.xml"/><Relationship Id="rId3" Type="http://schemas.openxmlformats.org/officeDocument/2006/relationships/customXml" Target="../customXml/item3.xml"/><Relationship Id="rId21" Type="http://schemas.openxmlformats.org/officeDocument/2006/relationships/chart" Target="charts/chart4.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image" Target="media/image1.png"/><Relationship Id="rId25" Type="http://schemas.openxmlformats.org/officeDocument/2006/relationships/chart" Target="charts/chart8.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3.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chart" Target="charts/chart7.xml"/><Relationship Id="rId32" Type="http://schemas.openxmlformats.org/officeDocument/2006/relationships/chart" Target="charts/chart15.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chart" Target="charts/chart6.xml"/><Relationship Id="rId28" Type="http://schemas.openxmlformats.org/officeDocument/2006/relationships/chart" Target="charts/chart11.xml"/><Relationship Id="rId10" Type="http://schemas.openxmlformats.org/officeDocument/2006/relationships/endnotes" Target="endnotes.xml"/><Relationship Id="rId19" Type="http://schemas.openxmlformats.org/officeDocument/2006/relationships/chart" Target="charts/chart2.xml"/><Relationship Id="rId31" Type="http://schemas.openxmlformats.org/officeDocument/2006/relationships/chart" Target="charts/chart1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file:///C:\Users\Yota\Documents\papers%20in%20progress\DK_elselvier%20chapter\p.karamalis@gmail.com" TargetMode="External"/><Relationship Id="rId1" Type="http://schemas.openxmlformats.org/officeDocument/2006/relationships/hyperlink" Target="mailto:yota.deli@ucd.ie"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key%20ecb%20interest%20rates%20graph%5b116988%5d.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202%20(15%20EA%20coun.)\&#957;Wave%202%20-%2015%20EA%20coun.%20-%20Portfolio%20Compositio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Wave%202%20(15%20EA%20coun.)-1%20graph%20for%20all%20UMPs%5b116983%5d.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Wave%202%20(15%20EA%20coun.)Distr.NDFR%20effect%5b116995%5d.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Wave%202%20(15%20EA%20coun.)Distr.CBPP3%20effect%5b116994%5d.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Wave%202%20(15%20EA%20coun.)Distr.ABSPP%20effect%5b116993%5d.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Yota\AppData\Local\Packages\microsoft.windowscommunicationsapps_8wekyb3d8bbwe\LocalState\Files\S0\20792\Attachments\Wave%202%20(15%20EA%20coun.)Distr.%20all%20UMPs%20effect%5b116992%5d.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Users\panteleimonkaramalis\Desktop\&#957;Waves%20(bars)%201&amp;2d.%20(15%20EA%20coun.)-Portfolio%20Compos.%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panteleimonkaramalis\Desktop\&#957;Waves%20(bars)%201&amp;2d.%20(15%20EA%20coun.)-Portfolio%20Comp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2%20(detailed)\Portfolio%20compositions%20-%20Assets\&#957;Waves%20(bars)%201&amp;2d.%20(15%20EA%20coun.)-Portfolio%20Comp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s%201&amp;2%20(15%20EA%20coun.)\&#957;Waves%201&amp;2%20-%2015%20EA%20coun.-Portfolio%20Composit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s%201&amp;2%20(15%20EA%20coun.)\&#957;Waves%201&amp;2%20-%2015%20EA%20coun.-Portfolio%20Composit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s%201&amp;2%20(15%20EA%20coun.)\&#957;Waves%201&amp;2%20-%2015%20EA%20coun.-Portfolio%20Compositio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202%20(15%20EA%20coun.)\&#957;Wave%202%20-%2015%20EA%20coun.%20-%20Portfolio%20Compositio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Volumes\NO%20NAME\PhD%20Paper%201-New%20analysis%20(Housing)%20&amp;%20neg.%20values%20in%20gini\Paper%201%20-%20March%202020\Empirical%20part%20(distributions)\Portfolio%20Construction-Wave%202%20(15%20EA%20coun.)\&#957;Wave%202%20-%2015%20EA%20coun.%20-%20Portfolio%20Compositio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Sheet1!$A$2</c:f>
              <c:strCache>
                <c:ptCount val="1"/>
                <c:pt idx="0">
                  <c:v>Deposit facility</c:v>
                </c:pt>
              </c:strCache>
            </c:strRef>
          </c:tx>
          <c:spPr>
            <a:ln w="28575" cap="rnd">
              <a:solidFill>
                <a:schemeClr val="accent1"/>
              </a:solidFill>
              <a:round/>
            </a:ln>
            <a:effectLst/>
          </c:spPr>
          <c:marker>
            <c:symbol val="none"/>
          </c:marker>
          <c:cat>
            <c:numRef>
              <c:f>Sheet1!$B$1:$AB$1</c:f>
              <c:numCache>
                <c:formatCode>mmm\-yy</c:formatCode>
                <c:ptCount val="27"/>
                <c:pt idx="0">
                  <c:v>39722</c:v>
                </c:pt>
                <c:pt idx="1">
                  <c:v>39753</c:v>
                </c:pt>
                <c:pt idx="2">
                  <c:v>39783</c:v>
                </c:pt>
                <c:pt idx="3">
                  <c:v>39814</c:v>
                </c:pt>
                <c:pt idx="4">
                  <c:v>39873</c:v>
                </c:pt>
                <c:pt idx="5">
                  <c:v>39904</c:v>
                </c:pt>
                <c:pt idx="6">
                  <c:v>39934</c:v>
                </c:pt>
                <c:pt idx="7">
                  <c:v>40634</c:v>
                </c:pt>
                <c:pt idx="8">
                  <c:v>40725</c:v>
                </c:pt>
                <c:pt idx="9">
                  <c:v>40848</c:v>
                </c:pt>
                <c:pt idx="10">
                  <c:v>40878</c:v>
                </c:pt>
                <c:pt idx="11">
                  <c:v>41091</c:v>
                </c:pt>
                <c:pt idx="12">
                  <c:v>41395</c:v>
                </c:pt>
                <c:pt idx="13">
                  <c:v>41579</c:v>
                </c:pt>
                <c:pt idx="14">
                  <c:v>41791</c:v>
                </c:pt>
                <c:pt idx="15">
                  <c:v>41883</c:v>
                </c:pt>
                <c:pt idx="16">
                  <c:v>42339</c:v>
                </c:pt>
                <c:pt idx="17">
                  <c:v>42430</c:v>
                </c:pt>
                <c:pt idx="18">
                  <c:v>43709</c:v>
                </c:pt>
                <c:pt idx="19">
                  <c:v>44743</c:v>
                </c:pt>
                <c:pt idx="20">
                  <c:v>44805</c:v>
                </c:pt>
                <c:pt idx="21">
                  <c:v>44866</c:v>
                </c:pt>
                <c:pt idx="22">
                  <c:v>44896</c:v>
                </c:pt>
                <c:pt idx="23">
                  <c:v>44958</c:v>
                </c:pt>
                <c:pt idx="24">
                  <c:v>44986</c:v>
                </c:pt>
                <c:pt idx="25">
                  <c:v>45047</c:v>
                </c:pt>
                <c:pt idx="26">
                  <c:v>45078</c:v>
                </c:pt>
              </c:numCache>
            </c:numRef>
          </c:cat>
          <c:val>
            <c:numRef>
              <c:f>Sheet1!$B$2:$AB$2</c:f>
              <c:numCache>
                <c:formatCode>General</c:formatCode>
                <c:ptCount val="27"/>
                <c:pt idx="0">
                  <c:v>3.25</c:v>
                </c:pt>
                <c:pt idx="1">
                  <c:v>3.75</c:v>
                </c:pt>
                <c:pt idx="2">
                  <c:v>4.25</c:v>
                </c:pt>
                <c:pt idx="3">
                  <c:v>1</c:v>
                </c:pt>
                <c:pt idx="4">
                  <c:v>0.5</c:v>
                </c:pt>
                <c:pt idx="5">
                  <c:v>0.25</c:v>
                </c:pt>
                <c:pt idx="6">
                  <c:v>0.25</c:v>
                </c:pt>
                <c:pt idx="7">
                  <c:v>0.5</c:v>
                </c:pt>
                <c:pt idx="8">
                  <c:v>0.75</c:v>
                </c:pt>
                <c:pt idx="9">
                  <c:v>0.5</c:v>
                </c:pt>
                <c:pt idx="10">
                  <c:v>0.25</c:v>
                </c:pt>
                <c:pt idx="11">
                  <c:v>0</c:v>
                </c:pt>
                <c:pt idx="12">
                  <c:v>0</c:v>
                </c:pt>
                <c:pt idx="13">
                  <c:v>0</c:v>
                </c:pt>
                <c:pt idx="14">
                  <c:v>-0.1</c:v>
                </c:pt>
                <c:pt idx="15">
                  <c:v>-0.2</c:v>
                </c:pt>
                <c:pt idx="16">
                  <c:v>-0.3</c:v>
                </c:pt>
                <c:pt idx="17">
                  <c:v>-0.4</c:v>
                </c:pt>
                <c:pt idx="18">
                  <c:v>-0.5</c:v>
                </c:pt>
                <c:pt idx="19">
                  <c:v>0</c:v>
                </c:pt>
                <c:pt idx="20">
                  <c:v>0.75</c:v>
                </c:pt>
                <c:pt idx="21">
                  <c:v>1.5</c:v>
                </c:pt>
                <c:pt idx="22">
                  <c:v>2</c:v>
                </c:pt>
                <c:pt idx="23">
                  <c:v>2.5</c:v>
                </c:pt>
                <c:pt idx="24">
                  <c:v>3</c:v>
                </c:pt>
                <c:pt idx="25">
                  <c:v>3.25</c:v>
                </c:pt>
                <c:pt idx="26">
                  <c:v>3.5</c:v>
                </c:pt>
              </c:numCache>
            </c:numRef>
          </c:val>
          <c:smooth val="0"/>
          <c:extLst>
            <c:ext xmlns:c16="http://schemas.microsoft.com/office/drawing/2014/chart" uri="{C3380CC4-5D6E-409C-BE32-E72D297353CC}">
              <c16:uniqueId val="{00000000-0564-44DD-8F7A-5A68A49368F5}"/>
            </c:ext>
          </c:extLst>
        </c:ser>
        <c:ser>
          <c:idx val="1"/>
          <c:order val="1"/>
          <c:tx>
            <c:strRef>
              <c:f>Sheet1!$A$3</c:f>
              <c:strCache>
                <c:ptCount val="1"/>
                <c:pt idx="0">
                  <c:v>Main refiinancing operations - fiixed rate tenders  (fixed rate)</c:v>
                </c:pt>
              </c:strCache>
            </c:strRef>
          </c:tx>
          <c:spPr>
            <a:ln w="28575" cap="rnd">
              <a:solidFill>
                <a:schemeClr val="accent2"/>
              </a:solidFill>
              <a:round/>
            </a:ln>
            <a:effectLst/>
          </c:spPr>
          <c:marker>
            <c:symbol val="none"/>
          </c:marker>
          <c:cat>
            <c:numRef>
              <c:f>Sheet1!$B$1:$AB$1</c:f>
              <c:numCache>
                <c:formatCode>mmm\-yy</c:formatCode>
                <c:ptCount val="27"/>
                <c:pt idx="0">
                  <c:v>39722</c:v>
                </c:pt>
                <c:pt idx="1">
                  <c:v>39753</c:v>
                </c:pt>
                <c:pt idx="2">
                  <c:v>39783</c:v>
                </c:pt>
                <c:pt idx="3">
                  <c:v>39814</c:v>
                </c:pt>
                <c:pt idx="4">
                  <c:v>39873</c:v>
                </c:pt>
                <c:pt idx="5">
                  <c:v>39904</c:v>
                </c:pt>
                <c:pt idx="6">
                  <c:v>39934</c:v>
                </c:pt>
                <c:pt idx="7">
                  <c:v>40634</c:v>
                </c:pt>
                <c:pt idx="8">
                  <c:v>40725</c:v>
                </c:pt>
                <c:pt idx="9">
                  <c:v>40848</c:v>
                </c:pt>
                <c:pt idx="10">
                  <c:v>40878</c:v>
                </c:pt>
                <c:pt idx="11">
                  <c:v>41091</c:v>
                </c:pt>
                <c:pt idx="12">
                  <c:v>41395</c:v>
                </c:pt>
                <c:pt idx="13">
                  <c:v>41579</c:v>
                </c:pt>
                <c:pt idx="14">
                  <c:v>41791</c:v>
                </c:pt>
                <c:pt idx="15">
                  <c:v>41883</c:v>
                </c:pt>
                <c:pt idx="16">
                  <c:v>42339</c:v>
                </c:pt>
                <c:pt idx="17">
                  <c:v>42430</c:v>
                </c:pt>
                <c:pt idx="18">
                  <c:v>43709</c:v>
                </c:pt>
                <c:pt idx="19">
                  <c:v>44743</c:v>
                </c:pt>
                <c:pt idx="20">
                  <c:v>44805</c:v>
                </c:pt>
                <c:pt idx="21">
                  <c:v>44866</c:v>
                </c:pt>
                <c:pt idx="22">
                  <c:v>44896</c:v>
                </c:pt>
                <c:pt idx="23">
                  <c:v>44958</c:v>
                </c:pt>
                <c:pt idx="24">
                  <c:v>44986</c:v>
                </c:pt>
                <c:pt idx="25">
                  <c:v>45047</c:v>
                </c:pt>
                <c:pt idx="26">
                  <c:v>45078</c:v>
                </c:pt>
              </c:numCache>
            </c:numRef>
          </c:cat>
          <c:val>
            <c:numRef>
              <c:f>Sheet1!$B$3:$AB$3</c:f>
              <c:numCache>
                <c:formatCode>General</c:formatCode>
                <c:ptCount val="27"/>
                <c:pt idx="0">
                  <c:v>2.75</c:v>
                </c:pt>
                <c:pt idx="1">
                  <c:v>3.25</c:v>
                </c:pt>
                <c:pt idx="2">
                  <c:v>3.75</c:v>
                </c:pt>
                <c:pt idx="3">
                  <c:v>2</c:v>
                </c:pt>
                <c:pt idx="4">
                  <c:v>1.5</c:v>
                </c:pt>
                <c:pt idx="5">
                  <c:v>1.25</c:v>
                </c:pt>
                <c:pt idx="6">
                  <c:v>1</c:v>
                </c:pt>
                <c:pt idx="7">
                  <c:v>1.25</c:v>
                </c:pt>
                <c:pt idx="8">
                  <c:v>1.5</c:v>
                </c:pt>
                <c:pt idx="9">
                  <c:v>1.25</c:v>
                </c:pt>
                <c:pt idx="10">
                  <c:v>1</c:v>
                </c:pt>
                <c:pt idx="11">
                  <c:v>0.75</c:v>
                </c:pt>
                <c:pt idx="12">
                  <c:v>0.5</c:v>
                </c:pt>
                <c:pt idx="13">
                  <c:v>0.25</c:v>
                </c:pt>
                <c:pt idx="14">
                  <c:v>0.15</c:v>
                </c:pt>
                <c:pt idx="15">
                  <c:v>0.05</c:v>
                </c:pt>
                <c:pt idx="16">
                  <c:v>0.05</c:v>
                </c:pt>
                <c:pt idx="17">
                  <c:v>0</c:v>
                </c:pt>
                <c:pt idx="18">
                  <c:v>0</c:v>
                </c:pt>
                <c:pt idx="19">
                  <c:v>0.5</c:v>
                </c:pt>
                <c:pt idx="20">
                  <c:v>1.25</c:v>
                </c:pt>
                <c:pt idx="21">
                  <c:v>2</c:v>
                </c:pt>
                <c:pt idx="22">
                  <c:v>2.5</c:v>
                </c:pt>
                <c:pt idx="23">
                  <c:v>3</c:v>
                </c:pt>
                <c:pt idx="24">
                  <c:v>3.5</c:v>
                </c:pt>
                <c:pt idx="25">
                  <c:v>3.75</c:v>
                </c:pt>
                <c:pt idx="26">
                  <c:v>4</c:v>
                </c:pt>
              </c:numCache>
            </c:numRef>
          </c:val>
          <c:smooth val="0"/>
          <c:extLst>
            <c:ext xmlns:c16="http://schemas.microsoft.com/office/drawing/2014/chart" uri="{C3380CC4-5D6E-409C-BE32-E72D297353CC}">
              <c16:uniqueId val="{00000001-0564-44DD-8F7A-5A68A49368F5}"/>
            </c:ext>
          </c:extLst>
        </c:ser>
        <c:ser>
          <c:idx val="2"/>
          <c:order val="2"/>
          <c:tx>
            <c:strRef>
              <c:f>Sheet1!$A$4</c:f>
              <c:strCache>
                <c:ptCount val="1"/>
                <c:pt idx="0">
                  <c:v>Marginal lending facility</c:v>
                </c:pt>
              </c:strCache>
            </c:strRef>
          </c:tx>
          <c:spPr>
            <a:ln w="28575" cap="rnd">
              <a:solidFill>
                <a:schemeClr val="accent3"/>
              </a:solidFill>
              <a:round/>
            </a:ln>
            <a:effectLst/>
          </c:spPr>
          <c:marker>
            <c:symbol val="none"/>
          </c:marker>
          <c:cat>
            <c:numRef>
              <c:f>Sheet1!$B$1:$AB$1</c:f>
              <c:numCache>
                <c:formatCode>mmm\-yy</c:formatCode>
                <c:ptCount val="27"/>
                <c:pt idx="0">
                  <c:v>39722</c:v>
                </c:pt>
                <c:pt idx="1">
                  <c:v>39753</c:v>
                </c:pt>
                <c:pt idx="2">
                  <c:v>39783</c:v>
                </c:pt>
                <c:pt idx="3">
                  <c:v>39814</c:v>
                </c:pt>
                <c:pt idx="4">
                  <c:v>39873</c:v>
                </c:pt>
                <c:pt idx="5">
                  <c:v>39904</c:v>
                </c:pt>
                <c:pt idx="6">
                  <c:v>39934</c:v>
                </c:pt>
                <c:pt idx="7">
                  <c:v>40634</c:v>
                </c:pt>
                <c:pt idx="8">
                  <c:v>40725</c:v>
                </c:pt>
                <c:pt idx="9">
                  <c:v>40848</c:v>
                </c:pt>
                <c:pt idx="10">
                  <c:v>40878</c:v>
                </c:pt>
                <c:pt idx="11">
                  <c:v>41091</c:v>
                </c:pt>
                <c:pt idx="12">
                  <c:v>41395</c:v>
                </c:pt>
                <c:pt idx="13">
                  <c:v>41579</c:v>
                </c:pt>
                <c:pt idx="14">
                  <c:v>41791</c:v>
                </c:pt>
                <c:pt idx="15">
                  <c:v>41883</c:v>
                </c:pt>
                <c:pt idx="16">
                  <c:v>42339</c:v>
                </c:pt>
                <c:pt idx="17">
                  <c:v>42430</c:v>
                </c:pt>
                <c:pt idx="18">
                  <c:v>43709</c:v>
                </c:pt>
                <c:pt idx="19">
                  <c:v>44743</c:v>
                </c:pt>
                <c:pt idx="20">
                  <c:v>44805</c:v>
                </c:pt>
                <c:pt idx="21">
                  <c:v>44866</c:v>
                </c:pt>
                <c:pt idx="22">
                  <c:v>44896</c:v>
                </c:pt>
                <c:pt idx="23">
                  <c:v>44958</c:v>
                </c:pt>
                <c:pt idx="24">
                  <c:v>44986</c:v>
                </c:pt>
                <c:pt idx="25">
                  <c:v>45047</c:v>
                </c:pt>
                <c:pt idx="26">
                  <c:v>45078</c:v>
                </c:pt>
              </c:numCache>
            </c:numRef>
          </c:cat>
          <c:val>
            <c:numRef>
              <c:f>Sheet1!$B$4:$AB$4</c:f>
              <c:numCache>
                <c:formatCode>General</c:formatCode>
                <c:ptCount val="27"/>
                <c:pt idx="0">
                  <c:v>2</c:v>
                </c:pt>
                <c:pt idx="1">
                  <c:v>2.5</c:v>
                </c:pt>
                <c:pt idx="2">
                  <c:v>3</c:v>
                </c:pt>
                <c:pt idx="3">
                  <c:v>3</c:v>
                </c:pt>
                <c:pt idx="4">
                  <c:v>2.5</c:v>
                </c:pt>
                <c:pt idx="5">
                  <c:v>2.25</c:v>
                </c:pt>
                <c:pt idx="6">
                  <c:v>1.75</c:v>
                </c:pt>
                <c:pt idx="7">
                  <c:v>2</c:v>
                </c:pt>
                <c:pt idx="8">
                  <c:v>2.25</c:v>
                </c:pt>
                <c:pt idx="9">
                  <c:v>2</c:v>
                </c:pt>
                <c:pt idx="10">
                  <c:v>1.75</c:v>
                </c:pt>
                <c:pt idx="11">
                  <c:v>1.5</c:v>
                </c:pt>
                <c:pt idx="12">
                  <c:v>1</c:v>
                </c:pt>
                <c:pt idx="13">
                  <c:v>0.75</c:v>
                </c:pt>
                <c:pt idx="14">
                  <c:v>0.4</c:v>
                </c:pt>
                <c:pt idx="15">
                  <c:v>0.3</c:v>
                </c:pt>
                <c:pt idx="16">
                  <c:v>0.3</c:v>
                </c:pt>
                <c:pt idx="17">
                  <c:v>0.25</c:v>
                </c:pt>
                <c:pt idx="18">
                  <c:v>0.25</c:v>
                </c:pt>
                <c:pt idx="19">
                  <c:v>0.75</c:v>
                </c:pt>
                <c:pt idx="20">
                  <c:v>1.5</c:v>
                </c:pt>
                <c:pt idx="21">
                  <c:v>2.25</c:v>
                </c:pt>
                <c:pt idx="22">
                  <c:v>2.75</c:v>
                </c:pt>
                <c:pt idx="23">
                  <c:v>3.25</c:v>
                </c:pt>
                <c:pt idx="24">
                  <c:v>3.75</c:v>
                </c:pt>
                <c:pt idx="25">
                  <c:v>4</c:v>
                </c:pt>
                <c:pt idx="26">
                  <c:v>4.25</c:v>
                </c:pt>
              </c:numCache>
            </c:numRef>
          </c:val>
          <c:smooth val="0"/>
          <c:extLst>
            <c:ext xmlns:c16="http://schemas.microsoft.com/office/drawing/2014/chart" uri="{C3380CC4-5D6E-409C-BE32-E72D297353CC}">
              <c16:uniqueId val="{00000002-0564-44DD-8F7A-5A68A49368F5}"/>
            </c:ext>
          </c:extLst>
        </c:ser>
        <c:dLbls>
          <c:showLegendKey val="0"/>
          <c:showVal val="0"/>
          <c:showCatName val="0"/>
          <c:showSerName val="0"/>
          <c:showPercent val="0"/>
          <c:showBubbleSize val="0"/>
        </c:dLbls>
        <c:smooth val="0"/>
        <c:axId val="780865664"/>
        <c:axId val="791524416"/>
      </c:lineChart>
      <c:dateAx>
        <c:axId val="7808656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524416"/>
        <c:crosses val="autoZero"/>
        <c:auto val="1"/>
        <c:lblOffset val="100"/>
        <c:baseTimeUnit val="months"/>
      </c:dateAx>
      <c:valAx>
        <c:axId val="79152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0865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'Euro Area (15) - All countries'!$B$78</c:f>
              <c:strCache>
                <c:ptCount val="1"/>
                <c:pt idx="0">
                  <c:v>Bond Wealth (% of net wealth) 2010</c:v>
                </c:pt>
              </c:strCache>
            </c:strRef>
          </c:tx>
          <c:spPr>
            <a:solidFill>
              <a:schemeClr val="accent1"/>
            </a:solidFill>
            <a:ln>
              <a:noFill/>
            </a:ln>
            <a:effectLst/>
          </c:spPr>
          <c:invertIfNegative val="0"/>
          <c:cat>
            <c:strRef>
              <c:f>'Euro Area (15) - All countries'!$A$79:$A$93</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countries'!$B$79:$B$93</c:f>
              <c:numCache>
                <c:formatCode>0.00</c:formatCode>
                <c:ptCount val="15"/>
                <c:pt idx="0">
                  <c:v>3.032985</c:v>
                </c:pt>
                <c:pt idx="1">
                  <c:v>8.6843830000000004</c:v>
                </c:pt>
                <c:pt idx="2">
                  <c:v>1.253439</c:v>
                </c:pt>
                <c:pt idx="3">
                  <c:v>4.9432260000000001</c:v>
                </c:pt>
                <c:pt idx="4">
                  <c:v>1.0359699999999998</c:v>
                </c:pt>
                <c:pt idx="5">
                  <c:v>1.873786</c:v>
                </c:pt>
                <c:pt idx="6">
                  <c:v>5.6618360000000001</c:v>
                </c:pt>
                <c:pt idx="7">
                  <c:v>0.48219500000000004</c:v>
                </c:pt>
                <c:pt idx="8">
                  <c:v>3.150442</c:v>
                </c:pt>
                <c:pt idx="9">
                  <c:v>2.2347999999999999</c:v>
                </c:pt>
                <c:pt idx="10">
                  <c:v>3.3885739999999998</c:v>
                </c:pt>
                <c:pt idx="11">
                  <c:v>6.3317890000000006</c:v>
                </c:pt>
                <c:pt idx="12">
                  <c:v>1.0546800000000001</c:v>
                </c:pt>
                <c:pt idx="13">
                  <c:v>0.50266100000000002</c:v>
                </c:pt>
                <c:pt idx="14">
                  <c:v>0.54166800000000004</c:v>
                </c:pt>
              </c:numCache>
            </c:numRef>
          </c:val>
          <c:extLst>
            <c:ext xmlns:c16="http://schemas.microsoft.com/office/drawing/2014/chart" uri="{C3380CC4-5D6E-409C-BE32-E72D297353CC}">
              <c16:uniqueId val="{00000000-25EC-40D4-893D-9994B5470DE5}"/>
            </c:ext>
          </c:extLst>
        </c:ser>
        <c:ser>
          <c:idx val="1"/>
          <c:order val="1"/>
          <c:tx>
            <c:strRef>
              <c:f>'Euro Area (15) - All countries'!$C$78</c:f>
              <c:strCache>
                <c:ptCount val="1"/>
                <c:pt idx="0">
                  <c:v>Bond Wealth (% of net wealth) 2014</c:v>
                </c:pt>
              </c:strCache>
            </c:strRef>
          </c:tx>
          <c:spPr>
            <a:solidFill>
              <a:schemeClr val="accent2"/>
            </a:solidFill>
            <a:ln>
              <a:noFill/>
            </a:ln>
            <a:effectLst/>
          </c:spPr>
          <c:invertIfNegative val="0"/>
          <c:cat>
            <c:strRef>
              <c:f>'Euro Area (15) - All countries'!$A$79:$A$93</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countries'!$C$79:$C$93</c:f>
              <c:numCache>
                <c:formatCode>0.00</c:formatCode>
                <c:ptCount val="15"/>
                <c:pt idx="0">
                  <c:v>1.798414</c:v>
                </c:pt>
                <c:pt idx="1">
                  <c:v>4.7269399999999999</c:v>
                </c:pt>
                <c:pt idx="2">
                  <c:v>1.742302</c:v>
                </c:pt>
                <c:pt idx="3">
                  <c:v>4.0739020000000004</c:v>
                </c:pt>
                <c:pt idx="4">
                  <c:v>1.8497460000000001</c:v>
                </c:pt>
                <c:pt idx="5">
                  <c:v>1.8516560000000002</c:v>
                </c:pt>
                <c:pt idx="6">
                  <c:v>6.7449529999999998</c:v>
                </c:pt>
                <c:pt idx="7">
                  <c:v>9.7731999999999999E-2</c:v>
                </c:pt>
                <c:pt idx="8">
                  <c:v>3.4144450000000002</c:v>
                </c:pt>
                <c:pt idx="9">
                  <c:v>2.4410370000000001</c:v>
                </c:pt>
                <c:pt idx="10">
                  <c:v>3.7985949999999997</c:v>
                </c:pt>
                <c:pt idx="11">
                  <c:v>8.803996999999999</c:v>
                </c:pt>
                <c:pt idx="12">
                  <c:v>1.1003769999999999</c:v>
                </c:pt>
                <c:pt idx="13">
                  <c:v>0.34571499999999999</c:v>
                </c:pt>
                <c:pt idx="14">
                  <c:v>0.66771400000000003</c:v>
                </c:pt>
              </c:numCache>
            </c:numRef>
          </c:val>
          <c:extLst>
            <c:ext xmlns:c16="http://schemas.microsoft.com/office/drawing/2014/chart" uri="{C3380CC4-5D6E-409C-BE32-E72D297353CC}">
              <c16:uniqueId val="{00000001-25EC-40D4-893D-9994B5470DE5}"/>
            </c:ext>
          </c:extLst>
        </c:ser>
        <c:dLbls>
          <c:showLegendKey val="0"/>
          <c:showVal val="0"/>
          <c:showCatName val="0"/>
          <c:showSerName val="0"/>
          <c:showPercent val="0"/>
          <c:showBubbleSize val="0"/>
        </c:dLbls>
        <c:gapWidth val="219"/>
        <c:overlap val="-27"/>
        <c:axId val="669575055"/>
        <c:axId val="666122559"/>
      </c:barChart>
      <c:catAx>
        <c:axId val="669575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6122559"/>
        <c:crosses val="autoZero"/>
        <c:auto val="1"/>
        <c:lblAlgn val="ctr"/>
        <c:lblOffset val="100"/>
        <c:noMultiLvlLbl val="0"/>
      </c:catAx>
      <c:valAx>
        <c:axId val="666122559"/>
        <c:scaling>
          <c:orientation val="minMax"/>
          <c:max val="2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95750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'The effect of all UMPs together'!$A$2</c:f>
              <c:strCache>
                <c:ptCount val="1"/>
                <c:pt idx="0">
                  <c:v>NDFR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'The effect of all UMPs together'!$B$1:$G$1</c:f>
              <c:strCache>
                <c:ptCount val="6"/>
                <c:pt idx="0">
                  <c:v>Lowest 25%</c:v>
                </c:pt>
                <c:pt idx="1">
                  <c:v>25-50%</c:v>
                </c:pt>
                <c:pt idx="2">
                  <c:v>50-75%</c:v>
                </c:pt>
                <c:pt idx="3">
                  <c:v>75-95%</c:v>
                </c:pt>
                <c:pt idx="4">
                  <c:v>95-99%</c:v>
                </c:pt>
                <c:pt idx="5">
                  <c:v>Top 1%</c:v>
                </c:pt>
              </c:strCache>
            </c:strRef>
          </c:cat>
          <c:val>
            <c:numRef>
              <c:f>'The effect of all UMPs together'!$B$2:$G$2</c:f>
              <c:numCache>
                <c:formatCode>General</c:formatCode>
                <c:ptCount val="6"/>
                <c:pt idx="0">
                  <c:v>0.11220720000000001</c:v>
                </c:pt>
                <c:pt idx="1">
                  <c:v>4.2442130000000002E-2</c:v>
                </c:pt>
                <c:pt idx="2">
                  <c:v>5.3759649999999999E-2</c:v>
                </c:pt>
                <c:pt idx="3">
                  <c:v>0.11206248000000001</c:v>
                </c:pt>
                <c:pt idx="4">
                  <c:v>0.22274086000000001</c:v>
                </c:pt>
                <c:pt idx="5">
                  <c:v>0.41310786999999999</c:v>
                </c:pt>
              </c:numCache>
            </c:numRef>
          </c:val>
          <c:smooth val="0"/>
          <c:extLst>
            <c:ext xmlns:c16="http://schemas.microsoft.com/office/drawing/2014/chart" uri="{C3380CC4-5D6E-409C-BE32-E72D297353CC}">
              <c16:uniqueId val="{00000000-6787-4000-99FE-A61463103F3E}"/>
            </c:ext>
          </c:extLst>
        </c:ser>
        <c:ser>
          <c:idx val="1"/>
          <c:order val="1"/>
          <c:tx>
            <c:strRef>
              <c:f>'The effect of all UMPs together'!$A$3</c:f>
              <c:strCache>
                <c:ptCount val="1"/>
                <c:pt idx="0">
                  <c:v>CBPP3</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'The effect of all UMPs together'!$B$1:$G$1</c:f>
              <c:strCache>
                <c:ptCount val="6"/>
                <c:pt idx="0">
                  <c:v>Lowest 25%</c:v>
                </c:pt>
                <c:pt idx="1">
                  <c:v>25-50%</c:v>
                </c:pt>
                <c:pt idx="2">
                  <c:v>50-75%</c:v>
                </c:pt>
                <c:pt idx="3">
                  <c:v>75-95%</c:v>
                </c:pt>
                <c:pt idx="4">
                  <c:v>95-99%</c:v>
                </c:pt>
                <c:pt idx="5">
                  <c:v>Top 1%</c:v>
                </c:pt>
              </c:strCache>
            </c:strRef>
          </c:cat>
          <c:val>
            <c:numRef>
              <c:f>'The effect of all UMPs together'!$B$3:$G$3</c:f>
              <c:numCache>
                <c:formatCode>General</c:formatCode>
                <c:ptCount val="6"/>
                <c:pt idx="0">
                  <c:v>0.29909702999999999</c:v>
                </c:pt>
                <c:pt idx="1">
                  <c:v>0.10168302</c:v>
                </c:pt>
                <c:pt idx="2">
                  <c:v>0.13193709000000001</c:v>
                </c:pt>
                <c:pt idx="3">
                  <c:v>0.29819330999999999</c:v>
                </c:pt>
                <c:pt idx="4">
                  <c:v>0.61220366000000004</c:v>
                </c:pt>
                <c:pt idx="5">
                  <c:v>1.2484016</c:v>
                </c:pt>
              </c:numCache>
            </c:numRef>
          </c:val>
          <c:smooth val="0"/>
          <c:extLst>
            <c:ext xmlns:c16="http://schemas.microsoft.com/office/drawing/2014/chart" uri="{C3380CC4-5D6E-409C-BE32-E72D297353CC}">
              <c16:uniqueId val="{00000001-6787-4000-99FE-A61463103F3E}"/>
            </c:ext>
          </c:extLst>
        </c:ser>
        <c:ser>
          <c:idx val="2"/>
          <c:order val="2"/>
          <c:tx>
            <c:strRef>
              <c:f>'The effect of all UMPs together'!$A$4</c:f>
              <c:strCache>
                <c:ptCount val="1"/>
                <c:pt idx="0">
                  <c:v>ABSPP</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'The effect of all UMPs together'!$B$1:$G$1</c:f>
              <c:strCache>
                <c:ptCount val="6"/>
                <c:pt idx="0">
                  <c:v>Lowest 25%</c:v>
                </c:pt>
                <c:pt idx="1">
                  <c:v>25-50%</c:v>
                </c:pt>
                <c:pt idx="2">
                  <c:v>50-75%</c:v>
                </c:pt>
                <c:pt idx="3">
                  <c:v>75-95%</c:v>
                </c:pt>
                <c:pt idx="4">
                  <c:v>95-99%</c:v>
                </c:pt>
                <c:pt idx="5">
                  <c:v>Top 1%</c:v>
                </c:pt>
              </c:strCache>
            </c:strRef>
          </c:cat>
          <c:val>
            <c:numRef>
              <c:f>'The effect of all UMPs together'!$B$4:$G$4</c:f>
              <c:numCache>
                <c:formatCode>General</c:formatCode>
                <c:ptCount val="6"/>
                <c:pt idx="0">
                  <c:v>0.57508921999999996</c:v>
                </c:pt>
                <c:pt idx="1">
                  <c:v>0.19499598000000001</c:v>
                </c:pt>
                <c:pt idx="2">
                  <c:v>0.25317091000000003</c:v>
                </c:pt>
                <c:pt idx="3">
                  <c:v>0.57332826000000003</c:v>
                </c:pt>
                <c:pt idx="4">
                  <c:v>1.1779463999999999</c:v>
                </c:pt>
                <c:pt idx="5">
                  <c:v>2.4069902999999999</c:v>
                </c:pt>
              </c:numCache>
            </c:numRef>
          </c:val>
          <c:smooth val="0"/>
          <c:extLst>
            <c:ext xmlns:c16="http://schemas.microsoft.com/office/drawing/2014/chart" uri="{C3380CC4-5D6E-409C-BE32-E72D297353CC}">
              <c16:uniqueId val="{00000002-6787-4000-99FE-A61463103F3E}"/>
            </c:ext>
          </c:extLst>
        </c:ser>
        <c:ser>
          <c:idx val="3"/>
          <c:order val="3"/>
          <c:tx>
            <c:strRef>
              <c:f>'The effect of all UMPs together'!$A$5</c:f>
              <c:strCache>
                <c:ptCount val="1"/>
                <c:pt idx="0">
                  <c:v>Total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'The effect of all UMPs together'!$B$1:$G$1</c:f>
              <c:strCache>
                <c:ptCount val="6"/>
                <c:pt idx="0">
                  <c:v>Lowest 25%</c:v>
                </c:pt>
                <c:pt idx="1">
                  <c:v>25-50%</c:v>
                </c:pt>
                <c:pt idx="2">
                  <c:v>50-75%</c:v>
                </c:pt>
                <c:pt idx="3">
                  <c:v>75-95%</c:v>
                </c:pt>
                <c:pt idx="4">
                  <c:v>95-99%</c:v>
                </c:pt>
                <c:pt idx="5">
                  <c:v>Top 1%</c:v>
                </c:pt>
              </c:strCache>
            </c:strRef>
          </c:cat>
          <c:val>
            <c:numRef>
              <c:f>'The effect of all UMPs together'!$B$5:$G$5</c:f>
              <c:numCache>
                <c:formatCode>General</c:formatCode>
                <c:ptCount val="6"/>
                <c:pt idx="0">
                  <c:v>0.98639345</c:v>
                </c:pt>
                <c:pt idx="1">
                  <c:v>0.33912115999999998</c:v>
                </c:pt>
                <c:pt idx="2">
                  <c:v>0.43886765999999999</c:v>
                </c:pt>
                <c:pt idx="3">
                  <c:v>0.98358405000000004</c:v>
                </c:pt>
                <c:pt idx="4">
                  <c:v>2.0128911</c:v>
                </c:pt>
                <c:pt idx="5">
                  <c:v>4.0684996</c:v>
                </c:pt>
              </c:numCache>
            </c:numRef>
          </c:val>
          <c:smooth val="0"/>
          <c:extLst>
            <c:ext xmlns:c16="http://schemas.microsoft.com/office/drawing/2014/chart" uri="{C3380CC4-5D6E-409C-BE32-E72D297353CC}">
              <c16:uniqueId val="{00000003-6787-4000-99FE-A61463103F3E}"/>
            </c:ext>
          </c:extLst>
        </c:ser>
        <c:dLbls>
          <c:showLegendKey val="0"/>
          <c:showVal val="0"/>
          <c:showCatName val="0"/>
          <c:showSerName val="0"/>
          <c:showPercent val="0"/>
          <c:showBubbleSize val="0"/>
        </c:dLbls>
        <c:marker val="1"/>
        <c:smooth val="0"/>
        <c:axId val="490762464"/>
        <c:axId val="490761152"/>
      </c:lineChart>
      <c:catAx>
        <c:axId val="4907624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Household</a:t>
                </a:r>
                <a:r>
                  <a:rPr lang="en-US" baseline="0"/>
                  <a:t> group within net wealth distribution</a:t>
                </a:r>
                <a:endParaRPr lang="el-G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761152"/>
        <c:crosses val="autoZero"/>
        <c:auto val="1"/>
        <c:lblAlgn val="ctr"/>
        <c:lblOffset val="100"/>
        <c:noMultiLvlLbl val="0"/>
      </c:catAx>
      <c:valAx>
        <c:axId val="490761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Capital</a:t>
                </a:r>
                <a:r>
                  <a:rPr lang="en-US" baseline="0"/>
                  <a:t> gain (in % of group net wealth)</a:t>
                </a:r>
                <a:endParaRPr lang="el-GR"/>
              </a:p>
            </c:rich>
          </c:tx>
          <c:layout>
            <c:manualLayout>
              <c:xMode val="edge"/>
              <c:yMode val="edge"/>
              <c:x val="2.7725267800882167E-2"/>
              <c:y val="0.1234047013357372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762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'NDFR effect on each dist.&amp;count'!$A$2</c:f>
              <c:strCache>
                <c:ptCount val="1"/>
                <c:pt idx="0">
                  <c:v>Austria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dist.&amp;count'!$B$2:$F$2</c:f>
              <c:numCache>
                <c:formatCode>General</c:formatCode>
                <c:ptCount val="5"/>
                <c:pt idx="0">
                  <c:v>4.9718659999999998E-2</c:v>
                </c:pt>
                <c:pt idx="1">
                  <c:v>4.393681E-2</c:v>
                </c:pt>
                <c:pt idx="2">
                  <c:v>3.9088110000000002E-2</c:v>
                </c:pt>
                <c:pt idx="3">
                  <c:v>0.11607812000000001</c:v>
                </c:pt>
                <c:pt idx="4">
                  <c:v>0.33695170000000002</c:v>
                </c:pt>
              </c:numCache>
            </c:numRef>
          </c:val>
          <c:smooth val="0"/>
          <c:extLst>
            <c:ext xmlns:c16="http://schemas.microsoft.com/office/drawing/2014/chart" uri="{C3380CC4-5D6E-409C-BE32-E72D297353CC}">
              <c16:uniqueId val="{00000000-5411-41CB-A2F4-16A146E7EA3E}"/>
            </c:ext>
          </c:extLst>
        </c:ser>
        <c:ser>
          <c:idx val="1"/>
          <c:order val="1"/>
          <c:tx>
            <c:strRef>
              <c:f>'NDFR effect on each dist.&amp;count'!$A$3</c:f>
              <c:strCache>
                <c:ptCount val="1"/>
                <c:pt idx="0">
                  <c:v>Belgium</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dist.&amp;count'!$B$3:$F$3</c:f>
              <c:numCache>
                <c:formatCode>General</c:formatCode>
                <c:ptCount val="5"/>
                <c:pt idx="0">
                  <c:v>9.4170680000000007E-2</c:v>
                </c:pt>
                <c:pt idx="1">
                  <c:v>5.6292689999999999E-2</c:v>
                </c:pt>
                <c:pt idx="2">
                  <c:v>4.1710539999999997E-2</c:v>
                </c:pt>
                <c:pt idx="3">
                  <c:v>0.12548171999999999</c:v>
                </c:pt>
                <c:pt idx="4">
                  <c:v>0.27439359000000002</c:v>
                </c:pt>
              </c:numCache>
            </c:numRef>
          </c:val>
          <c:smooth val="0"/>
          <c:extLst>
            <c:ext xmlns:c16="http://schemas.microsoft.com/office/drawing/2014/chart" uri="{C3380CC4-5D6E-409C-BE32-E72D297353CC}">
              <c16:uniqueId val="{00000001-5411-41CB-A2F4-16A146E7EA3E}"/>
            </c:ext>
          </c:extLst>
        </c:ser>
        <c:ser>
          <c:idx val="2"/>
          <c:order val="2"/>
          <c:tx>
            <c:strRef>
              <c:f>'NDFR effect on each dist.&amp;count'!$A$4</c:f>
              <c:strCache>
                <c:ptCount val="1"/>
                <c:pt idx="0">
                  <c:v>Cyprus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dist.&amp;count'!$B$4:$F$4</c:f>
              <c:numCache>
                <c:formatCode>General</c:formatCode>
                <c:ptCount val="5"/>
                <c:pt idx="0">
                  <c:v>6.1543899999999999E-2</c:v>
                </c:pt>
                <c:pt idx="1">
                  <c:v>6.3940049999999998E-2</c:v>
                </c:pt>
                <c:pt idx="2">
                  <c:v>5.0285000000000003E-2</c:v>
                </c:pt>
                <c:pt idx="3">
                  <c:v>0.12495784</c:v>
                </c:pt>
                <c:pt idx="4">
                  <c:v>0.37185787999999997</c:v>
                </c:pt>
              </c:numCache>
            </c:numRef>
          </c:val>
          <c:smooth val="0"/>
          <c:extLst>
            <c:ext xmlns:c16="http://schemas.microsoft.com/office/drawing/2014/chart" uri="{C3380CC4-5D6E-409C-BE32-E72D297353CC}">
              <c16:uniqueId val="{00000002-5411-41CB-A2F4-16A146E7EA3E}"/>
            </c:ext>
          </c:extLst>
        </c:ser>
        <c:ser>
          <c:idx val="3"/>
          <c:order val="3"/>
          <c:tx>
            <c:strRef>
              <c:f>'NDFR effect on each dist.&amp;count'!$A$5</c:f>
              <c:strCache>
                <c:ptCount val="1"/>
                <c:pt idx="0">
                  <c:v>Germany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dist.&amp;count'!$B$5:$F$5</c:f>
              <c:numCache>
                <c:formatCode>General</c:formatCode>
                <c:ptCount val="5"/>
                <c:pt idx="0">
                  <c:v>0.13468350000000001</c:v>
                </c:pt>
                <c:pt idx="1">
                  <c:v>9.0938909999999998E-2</c:v>
                </c:pt>
                <c:pt idx="2">
                  <c:v>6.6110489999999994E-2</c:v>
                </c:pt>
                <c:pt idx="3">
                  <c:v>0.10594881</c:v>
                </c:pt>
                <c:pt idx="4">
                  <c:v>0.29403147000000002</c:v>
                </c:pt>
              </c:numCache>
            </c:numRef>
          </c:val>
          <c:smooth val="0"/>
          <c:extLst>
            <c:ext xmlns:c16="http://schemas.microsoft.com/office/drawing/2014/chart" uri="{C3380CC4-5D6E-409C-BE32-E72D297353CC}">
              <c16:uniqueId val="{00000003-5411-41CB-A2F4-16A146E7EA3E}"/>
            </c:ext>
          </c:extLst>
        </c:ser>
        <c:ser>
          <c:idx val="4"/>
          <c:order val="4"/>
          <c:tx>
            <c:strRef>
              <c:f>'NDFR effect on each dist.&amp;count'!$A$6</c:f>
              <c:strCache>
                <c:ptCount val="1"/>
                <c:pt idx="0">
                  <c:v>Spain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dist.&amp;count'!$B$6:$F$6</c:f>
              <c:numCache>
                <c:formatCode>General</c:formatCode>
                <c:ptCount val="5"/>
                <c:pt idx="0">
                  <c:v>5.331582E-2</c:v>
                </c:pt>
                <c:pt idx="1">
                  <c:v>2.8534799999999999E-2</c:v>
                </c:pt>
                <c:pt idx="2">
                  <c:v>3.7187539999999998E-2</c:v>
                </c:pt>
                <c:pt idx="3">
                  <c:v>9.5746330000000004E-2</c:v>
                </c:pt>
                <c:pt idx="4">
                  <c:v>0.3550894</c:v>
                </c:pt>
              </c:numCache>
            </c:numRef>
          </c:val>
          <c:smooth val="0"/>
          <c:extLst>
            <c:ext xmlns:c16="http://schemas.microsoft.com/office/drawing/2014/chart" uri="{C3380CC4-5D6E-409C-BE32-E72D297353CC}">
              <c16:uniqueId val="{00000004-5411-41CB-A2F4-16A146E7EA3E}"/>
            </c:ext>
          </c:extLst>
        </c:ser>
        <c:ser>
          <c:idx val="5"/>
          <c:order val="5"/>
          <c:tx>
            <c:strRef>
              <c:f>'NDFR effect on each dist.&amp;count'!$A$7</c:f>
              <c:strCache>
                <c:ptCount val="1"/>
                <c:pt idx="0">
                  <c:v>Finland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dist.&amp;count'!$B$7:$F$7</c:f>
              <c:numCache>
                <c:formatCode>General</c:formatCode>
                <c:ptCount val="5"/>
                <c:pt idx="0">
                  <c:v>7.4994679999999994E-2</c:v>
                </c:pt>
                <c:pt idx="1">
                  <c:v>3.4424980000000001E-2</c:v>
                </c:pt>
                <c:pt idx="2">
                  <c:v>4.2781159999999999E-2</c:v>
                </c:pt>
                <c:pt idx="3">
                  <c:v>9.6500169999999996E-2</c:v>
                </c:pt>
                <c:pt idx="4">
                  <c:v>0.47168853999999999</c:v>
                </c:pt>
              </c:numCache>
            </c:numRef>
          </c:val>
          <c:smooth val="0"/>
          <c:extLst>
            <c:ext xmlns:c16="http://schemas.microsoft.com/office/drawing/2014/chart" uri="{C3380CC4-5D6E-409C-BE32-E72D297353CC}">
              <c16:uniqueId val="{00000005-5411-41CB-A2F4-16A146E7EA3E}"/>
            </c:ext>
          </c:extLst>
        </c:ser>
        <c:ser>
          <c:idx val="6"/>
          <c:order val="6"/>
          <c:tx>
            <c:strRef>
              <c:f>'NDFR effect on each dist.&amp;count'!$A$8</c:f>
              <c:strCache>
                <c:ptCount val="1"/>
                <c:pt idx="0">
                  <c:v>France</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dist.&amp;count'!$B$8:$F$8</c:f>
              <c:numCache>
                <c:formatCode>General</c:formatCode>
                <c:ptCount val="5"/>
                <c:pt idx="0">
                  <c:v>0.37629428999999998</c:v>
                </c:pt>
                <c:pt idx="1">
                  <c:v>5.9791700000000003E-2</c:v>
                </c:pt>
                <c:pt idx="2">
                  <c:v>6.5088560000000004E-2</c:v>
                </c:pt>
                <c:pt idx="3">
                  <c:v>0.14304367000000001</c:v>
                </c:pt>
                <c:pt idx="4">
                  <c:v>0.32062423000000001</c:v>
                </c:pt>
              </c:numCache>
            </c:numRef>
          </c:val>
          <c:smooth val="0"/>
          <c:extLst>
            <c:ext xmlns:c16="http://schemas.microsoft.com/office/drawing/2014/chart" uri="{C3380CC4-5D6E-409C-BE32-E72D297353CC}">
              <c16:uniqueId val="{00000006-5411-41CB-A2F4-16A146E7EA3E}"/>
            </c:ext>
          </c:extLst>
        </c:ser>
        <c:ser>
          <c:idx val="7"/>
          <c:order val="7"/>
          <c:tx>
            <c:strRef>
              <c:f>'NDFR effect on each dist.&amp;count'!$A$9</c:f>
              <c:strCache>
                <c:ptCount val="1"/>
                <c:pt idx="0">
                  <c:v>Greece</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dist.&amp;count'!$B$9:$F$9</c:f>
              <c:numCache>
                <c:formatCode>General</c:formatCode>
                <c:ptCount val="5"/>
                <c:pt idx="0">
                  <c:v>5.5114410000000003E-2</c:v>
                </c:pt>
                <c:pt idx="1">
                  <c:v>5.3126560000000003E-2</c:v>
                </c:pt>
                <c:pt idx="2">
                  <c:v>6.8992339999999999E-2</c:v>
                </c:pt>
                <c:pt idx="3">
                  <c:v>0.10156634</c:v>
                </c:pt>
                <c:pt idx="4">
                  <c:v>8.7019260000000001E-2</c:v>
                </c:pt>
              </c:numCache>
            </c:numRef>
          </c:val>
          <c:smooth val="0"/>
          <c:extLst>
            <c:ext xmlns:c16="http://schemas.microsoft.com/office/drawing/2014/chart" uri="{C3380CC4-5D6E-409C-BE32-E72D297353CC}">
              <c16:uniqueId val="{00000007-5411-41CB-A2F4-16A146E7EA3E}"/>
            </c:ext>
          </c:extLst>
        </c:ser>
        <c:ser>
          <c:idx val="8"/>
          <c:order val="8"/>
          <c:tx>
            <c:strRef>
              <c:f>'NDFR effect on each dist.&amp;count'!$A$10</c:f>
              <c:strCache>
                <c:ptCount val="1"/>
                <c:pt idx="0">
                  <c:v>Italy</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dist.&amp;count'!$B$10:$F$10</c:f>
              <c:numCache>
                <c:formatCode>General</c:formatCode>
                <c:ptCount val="5"/>
                <c:pt idx="0">
                  <c:v>0.10513324</c:v>
                </c:pt>
                <c:pt idx="1">
                  <c:v>3.5880080000000002E-2</c:v>
                </c:pt>
                <c:pt idx="2">
                  <c:v>4.5719410000000002E-2</c:v>
                </c:pt>
                <c:pt idx="3">
                  <c:v>8.3074899999999993E-2</c:v>
                </c:pt>
                <c:pt idx="4">
                  <c:v>0.25906046999999999</c:v>
                </c:pt>
              </c:numCache>
            </c:numRef>
          </c:val>
          <c:smooth val="0"/>
          <c:extLst>
            <c:ext xmlns:c16="http://schemas.microsoft.com/office/drawing/2014/chart" uri="{C3380CC4-5D6E-409C-BE32-E72D297353CC}">
              <c16:uniqueId val="{00000008-5411-41CB-A2F4-16A146E7EA3E}"/>
            </c:ext>
          </c:extLst>
        </c:ser>
        <c:ser>
          <c:idx val="9"/>
          <c:order val="9"/>
          <c:tx>
            <c:strRef>
              <c:f>'NDFR effect on each dist.&amp;count'!$A$11</c:f>
              <c:strCache>
                <c:ptCount val="1"/>
                <c:pt idx="0">
                  <c:v>Luxembourg</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dist.&amp;count'!$B$11:$F$11</c:f>
              <c:numCache>
                <c:formatCode>General</c:formatCode>
                <c:ptCount val="5"/>
                <c:pt idx="0">
                  <c:v>7.1926119999999996E-2</c:v>
                </c:pt>
                <c:pt idx="1">
                  <c:v>8.5378099999999998E-2</c:v>
                </c:pt>
                <c:pt idx="2">
                  <c:v>3.3946560000000001E-2</c:v>
                </c:pt>
                <c:pt idx="3">
                  <c:v>4.383484E-2</c:v>
                </c:pt>
                <c:pt idx="4">
                  <c:v>0.16283297999999999</c:v>
                </c:pt>
              </c:numCache>
            </c:numRef>
          </c:val>
          <c:smooth val="0"/>
          <c:extLst>
            <c:ext xmlns:c16="http://schemas.microsoft.com/office/drawing/2014/chart" uri="{C3380CC4-5D6E-409C-BE32-E72D297353CC}">
              <c16:uniqueId val="{00000009-5411-41CB-A2F4-16A146E7EA3E}"/>
            </c:ext>
          </c:extLst>
        </c:ser>
        <c:ser>
          <c:idx val="10"/>
          <c:order val="10"/>
          <c:tx>
            <c:strRef>
              <c:f>'NDFR effect on each dist.&amp;count'!$A$12</c:f>
              <c:strCache>
                <c:ptCount val="1"/>
                <c:pt idx="0">
                  <c:v>Malta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dist.&amp;count'!$B$12:$F$12</c:f>
              <c:numCache>
                <c:formatCode>General</c:formatCode>
                <c:ptCount val="5"/>
                <c:pt idx="0">
                  <c:v>0.11083153</c:v>
                </c:pt>
                <c:pt idx="1">
                  <c:v>4.1583019999999998E-2</c:v>
                </c:pt>
                <c:pt idx="2">
                  <c:v>5.4716510000000003E-2</c:v>
                </c:pt>
                <c:pt idx="3">
                  <c:v>0.12894812</c:v>
                </c:pt>
                <c:pt idx="4">
                  <c:v>0.52423315999999998</c:v>
                </c:pt>
              </c:numCache>
            </c:numRef>
          </c:val>
          <c:smooth val="0"/>
          <c:extLst>
            <c:ext xmlns:c16="http://schemas.microsoft.com/office/drawing/2014/chart" uri="{C3380CC4-5D6E-409C-BE32-E72D297353CC}">
              <c16:uniqueId val="{0000000A-5411-41CB-A2F4-16A146E7EA3E}"/>
            </c:ext>
          </c:extLst>
        </c:ser>
        <c:ser>
          <c:idx val="11"/>
          <c:order val="11"/>
          <c:tx>
            <c:strRef>
              <c:f>'NDFR effect on each dist.&amp;count'!$A$13</c:f>
              <c:strCache>
                <c:ptCount val="1"/>
                <c:pt idx="0">
                  <c:v>Netherlands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dist.&amp;count'!$B$13:$F$13</c:f>
              <c:numCache>
                <c:formatCode>General</c:formatCode>
                <c:ptCount val="5"/>
                <c:pt idx="0">
                  <c:v>0.17869550000000001</c:v>
                </c:pt>
                <c:pt idx="1">
                  <c:v>0.10945292</c:v>
                </c:pt>
                <c:pt idx="2">
                  <c:v>6.8422289999999997E-2</c:v>
                </c:pt>
                <c:pt idx="3">
                  <c:v>0.12103317</c:v>
                </c:pt>
                <c:pt idx="4">
                  <c:v>0.18670713999999999</c:v>
                </c:pt>
              </c:numCache>
            </c:numRef>
          </c:val>
          <c:smooth val="0"/>
          <c:extLst>
            <c:ext xmlns:c16="http://schemas.microsoft.com/office/drawing/2014/chart" uri="{C3380CC4-5D6E-409C-BE32-E72D297353CC}">
              <c16:uniqueId val="{0000000B-5411-41CB-A2F4-16A146E7EA3E}"/>
            </c:ext>
          </c:extLst>
        </c:ser>
        <c:ser>
          <c:idx val="12"/>
          <c:order val="12"/>
          <c:tx>
            <c:strRef>
              <c:f>'NDFR effect on each dist.&amp;count'!$A$14</c:f>
              <c:strCache>
                <c:ptCount val="1"/>
                <c:pt idx="0">
                  <c:v>Portugal</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dist.&amp;count'!$B$14:$F$14</c:f>
              <c:numCache>
                <c:formatCode>General</c:formatCode>
                <c:ptCount val="5"/>
                <c:pt idx="0">
                  <c:v>2.3128300000000001E-2</c:v>
                </c:pt>
                <c:pt idx="1">
                  <c:v>2.5322999999999998E-2</c:v>
                </c:pt>
                <c:pt idx="2">
                  <c:v>8.4006410000000004E-2</c:v>
                </c:pt>
                <c:pt idx="3">
                  <c:v>0.16549617</c:v>
                </c:pt>
                <c:pt idx="4">
                  <c:v>0.43643004000000002</c:v>
                </c:pt>
              </c:numCache>
            </c:numRef>
          </c:val>
          <c:smooth val="0"/>
          <c:extLst>
            <c:ext xmlns:c16="http://schemas.microsoft.com/office/drawing/2014/chart" uri="{C3380CC4-5D6E-409C-BE32-E72D297353CC}">
              <c16:uniqueId val="{0000000C-5411-41CB-A2F4-16A146E7EA3E}"/>
            </c:ext>
          </c:extLst>
        </c:ser>
        <c:ser>
          <c:idx val="13"/>
          <c:order val="13"/>
          <c:tx>
            <c:strRef>
              <c:f>'NDFR effect on each dist.&amp;count'!$A$15</c:f>
              <c:strCache>
                <c:ptCount val="1"/>
                <c:pt idx="0">
                  <c:v>Slovenia</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dist.&amp;count'!$B$15:$F$15</c:f>
              <c:numCache>
                <c:formatCode>General</c:formatCode>
                <c:ptCount val="5"/>
                <c:pt idx="0">
                  <c:v>3.878786E-2</c:v>
                </c:pt>
                <c:pt idx="1">
                  <c:v>2.3982659999999999E-2</c:v>
                </c:pt>
                <c:pt idx="2">
                  <c:v>5.4078620000000001E-2</c:v>
                </c:pt>
                <c:pt idx="3">
                  <c:v>0.26245724999999998</c:v>
                </c:pt>
                <c:pt idx="4">
                  <c:v>0.66376853000000002</c:v>
                </c:pt>
              </c:numCache>
            </c:numRef>
          </c:val>
          <c:smooth val="0"/>
          <c:extLst>
            <c:ext xmlns:c16="http://schemas.microsoft.com/office/drawing/2014/chart" uri="{C3380CC4-5D6E-409C-BE32-E72D297353CC}">
              <c16:uniqueId val="{0000000D-5411-41CB-A2F4-16A146E7EA3E}"/>
            </c:ext>
          </c:extLst>
        </c:ser>
        <c:ser>
          <c:idx val="14"/>
          <c:order val="14"/>
          <c:tx>
            <c:strRef>
              <c:f>'NDFR effect on each dist.&amp;count'!$A$16</c:f>
              <c:strCache>
                <c:ptCount val="1"/>
                <c:pt idx="0">
                  <c:v>Slovakia</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cat>
            <c:strRef>
              <c:f>'NDFR effect on each dist.&amp;count'!$B$1:$F$1</c:f>
              <c:strCache>
                <c:ptCount val="5"/>
                <c:pt idx="0">
                  <c:v>Lowest 25%</c:v>
                </c:pt>
                <c:pt idx="1">
                  <c:v>25-50%</c:v>
                </c:pt>
                <c:pt idx="2">
                  <c:v>50-75%</c:v>
                </c:pt>
                <c:pt idx="3">
                  <c:v>75-95%</c:v>
                </c:pt>
                <c:pt idx="4">
                  <c:v>Top 5%</c:v>
                </c:pt>
              </c:strCache>
            </c:strRef>
          </c:cat>
          <c:val>
            <c:numRef>
              <c:f>'NDFR effect on each dist.&amp;count'!$B$16:$F$16</c:f>
              <c:numCache>
                <c:formatCode>General</c:formatCode>
                <c:ptCount val="5"/>
                <c:pt idx="0">
                  <c:v>1.1137029999999999E-2</c:v>
                </c:pt>
                <c:pt idx="1">
                  <c:v>2.2623460000000001E-2</c:v>
                </c:pt>
                <c:pt idx="2">
                  <c:v>0.14032309000000001</c:v>
                </c:pt>
                <c:pt idx="3">
                  <c:v>0.39563394000000002</c:v>
                </c:pt>
                <c:pt idx="4">
                  <c:v>0.46828502</c:v>
                </c:pt>
              </c:numCache>
            </c:numRef>
          </c:val>
          <c:smooth val="0"/>
          <c:extLst>
            <c:ext xmlns:c16="http://schemas.microsoft.com/office/drawing/2014/chart" uri="{C3380CC4-5D6E-409C-BE32-E72D297353CC}">
              <c16:uniqueId val="{0000000E-5411-41CB-A2F4-16A146E7EA3E}"/>
            </c:ext>
          </c:extLst>
        </c:ser>
        <c:dLbls>
          <c:showLegendKey val="0"/>
          <c:showVal val="0"/>
          <c:showCatName val="0"/>
          <c:showSerName val="0"/>
          <c:showPercent val="0"/>
          <c:showBubbleSize val="0"/>
        </c:dLbls>
        <c:marker val="1"/>
        <c:smooth val="0"/>
        <c:axId val="791327760"/>
        <c:axId val="784870672"/>
      </c:lineChart>
      <c:catAx>
        <c:axId val="791327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4870672"/>
        <c:crosses val="autoZero"/>
        <c:auto val="1"/>
        <c:lblAlgn val="ctr"/>
        <c:lblOffset val="100"/>
        <c:noMultiLvlLbl val="0"/>
      </c:catAx>
      <c:valAx>
        <c:axId val="784870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32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'CBPP3 effect on each dist.&amp;coun'!$A$2</c:f>
              <c:strCache>
                <c:ptCount val="1"/>
                <c:pt idx="0">
                  <c:v>Austria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dist.&amp;coun'!$B$2:$F$2</c:f>
              <c:numCache>
                <c:formatCode>General</c:formatCode>
                <c:ptCount val="5"/>
                <c:pt idx="0">
                  <c:v>0.10569956</c:v>
                </c:pt>
                <c:pt idx="1">
                  <c:v>9.8019029999999993E-2</c:v>
                </c:pt>
                <c:pt idx="2">
                  <c:v>8.8918040000000004E-2</c:v>
                </c:pt>
                <c:pt idx="3">
                  <c:v>0.32429963000000001</c:v>
                </c:pt>
                <c:pt idx="4">
                  <c:v>1.0730146</c:v>
                </c:pt>
              </c:numCache>
            </c:numRef>
          </c:val>
          <c:smooth val="0"/>
          <c:extLst>
            <c:ext xmlns:c16="http://schemas.microsoft.com/office/drawing/2014/chart" uri="{C3380CC4-5D6E-409C-BE32-E72D297353CC}">
              <c16:uniqueId val="{00000000-35DE-4E18-9A3A-55B623770F8F}"/>
            </c:ext>
          </c:extLst>
        </c:ser>
        <c:ser>
          <c:idx val="1"/>
          <c:order val="1"/>
          <c:tx>
            <c:strRef>
              <c:f>'CBPP3 effect on each dist.&amp;coun'!$A$3</c:f>
              <c:strCache>
                <c:ptCount val="1"/>
                <c:pt idx="0">
                  <c:v>Belgium</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dist.&amp;coun'!$B$3:$F$3</c:f>
              <c:numCache>
                <c:formatCode>General</c:formatCode>
                <c:ptCount val="5"/>
                <c:pt idx="0">
                  <c:v>0.14459072000000001</c:v>
                </c:pt>
                <c:pt idx="1">
                  <c:v>0.11192086</c:v>
                </c:pt>
                <c:pt idx="2">
                  <c:v>8.4474170000000001E-2</c:v>
                </c:pt>
                <c:pt idx="3">
                  <c:v>0.29069753999999998</c:v>
                </c:pt>
                <c:pt idx="4">
                  <c:v>0.78673994999999997</c:v>
                </c:pt>
              </c:numCache>
            </c:numRef>
          </c:val>
          <c:smooth val="0"/>
          <c:extLst>
            <c:ext xmlns:c16="http://schemas.microsoft.com/office/drawing/2014/chart" uri="{C3380CC4-5D6E-409C-BE32-E72D297353CC}">
              <c16:uniqueId val="{00000001-35DE-4E18-9A3A-55B623770F8F}"/>
            </c:ext>
          </c:extLst>
        </c:ser>
        <c:ser>
          <c:idx val="2"/>
          <c:order val="2"/>
          <c:tx>
            <c:strRef>
              <c:f>'CBPP3 effect on each dist.&amp;coun'!$A$4</c:f>
              <c:strCache>
                <c:ptCount val="1"/>
                <c:pt idx="0">
                  <c:v>Cyprus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dist.&amp;coun'!$B$4:$F$4</c:f>
              <c:numCache>
                <c:formatCode>General</c:formatCode>
                <c:ptCount val="5"/>
                <c:pt idx="0">
                  <c:v>0.18775058</c:v>
                </c:pt>
                <c:pt idx="1">
                  <c:v>0.17495564</c:v>
                </c:pt>
                <c:pt idx="2">
                  <c:v>0.13356470000000001</c:v>
                </c:pt>
                <c:pt idx="3">
                  <c:v>0.37515363000000002</c:v>
                </c:pt>
                <c:pt idx="4">
                  <c:v>1.1505654000000001</c:v>
                </c:pt>
              </c:numCache>
            </c:numRef>
          </c:val>
          <c:smooth val="0"/>
          <c:extLst>
            <c:ext xmlns:c16="http://schemas.microsoft.com/office/drawing/2014/chart" uri="{C3380CC4-5D6E-409C-BE32-E72D297353CC}">
              <c16:uniqueId val="{00000002-35DE-4E18-9A3A-55B623770F8F}"/>
            </c:ext>
          </c:extLst>
        </c:ser>
        <c:ser>
          <c:idx val="3"/>
          <c:order val="3"/>
          <c:tx>
            <c:strRef>
              <c:f>'CBPP3 effect on each dist.&amp;coun'!$A$5</c:f>
              <c:strCache>
                <c:ptCount val="1"/>
                <c:pt idx="0">
                  <c:v>Germany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dist.&amp;coun'!$B$5:$F$5</c:f>
              <c:numCache>
                <c:formatCode>General</c:formatCode>
                <c:ptCount val="5"/>
                <c:pt idx="0">
                  <c:v>0.24337094000000001</c:v>
                </c:pt>
                <c:pt idx="1">
                  <c:v>0.16958228</c:v>
                </c:pt>
                <c:pt idx="2">
                  <c:v>0.13699135000000001</c:v>
                </c:pt>
                <c:pt idx="3">
                  <c:v>0.26104292000000001</c:v>
                </c:pt>
                <c:pt idx="4">
                  <c:v>0.86587417</c:v>
                </c:pt>
              </c:numCache>
            </c:numRef>
          </c:val>
          <c:smooth val="0"/>
          <c:extLst>
            <c:ext xmlns:c16="http://schemas.microsoft.com/office/drawing/2014/chart" uri="{C3380CC4-5D6E-409C-BE32-E72D297353CC}">
              <c16:uniqueId val="{00000003-35DE-4E18-9A3A-55B623770F8F}"/>
            </c:ext>
          </c:extLst>
        </c:ser>
        <c:ser>
          <c:idx val="4"/>
          <c:order val="4"/>
          <c:tx>
            <c:strRef>
              <c:f>'CBPP3 effect on each dist.&amp;coun'!$A$6</c:f>
              <c:strCache>
                <c:ptCount val="1"/>
                <c:pt idx="0">
                  <c:v>Spain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dist.&amp;coun'!$B$6:$F$6</c:f>
              <c:numCache>
                <c:formatCode>General</c:formatCode>
                <c:ptCount val="5"/>
                <c:pt idx="0">
                  <c:v>0.14475119</c:v>
                </c:pt>
                <c:pt idx="1">
                  <c:v>7.3670799999999995E-2</c:v>
                </c:pt>
                <c:pt idx="2">
                  <c:v>9.8012559999999999E-2</c:v>
                </c:pt>
                <c:pt idx="3">
                  <c:v>0.27510208000000003</c:v>
                </c:pt>
                <c:pt idx="4">
                  <c:v>1.1012580000000001</c:v>
                </c:pt>
              </c:numCache>
            </c:numRef>
          </c:val>
          <c:smooth val="0"/>
          <c:extLst>
            <c:ext xmlns:c16="http://schemas.microsoft.com/office/drawing/2014/chart" uri="{C3380CC4-5D6E-409C-BE32-E72D297353CC}">
              <c16:uniqueId val="{00000004-35DE-4E18-9A3A-55B623770F8F}"/>
            </c:ext>
          </c:extLst>
        </c:ser>
        <c:ser>
          <c:idx val="5"/>
          <c:order val="5"/>
          <c:tx>
            <c:strRef>
              <c:f>'CBPP3 effect on each dist.&amp;coun'!$A$7</c:f>
              <c:strCache>
                <c:ptCount val="1"/>
                <c:pt idx="0">
                  <c:v>Finland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dist.&amp;coun'!$B$7:$F$7</c:f>
              <c:numCache>
                <c:formatCode>General</c:formatCode>
                <c:ptCount val="5"/>
                <c:pt idx="0">
                  <c:v>0.18352241999999999</c:v>
                </c:pt>
                <c:pt idx="1">
                  <c:v>8.5972850000000003E-2</c:v>
                </c:pt>
                <c:pt idx="2">
                  <c:v>0.10861785</c:v>
                </c:pt>
                <c:pt idx="3">
                  <c:v>0.27329062999999998</c:v>
                </c:pt>
                <c:pt idx="4">
                  <c:v>1.4571666999999999</c:v>
                </c:pt>
              </c:numCache>
            </c:numRef>
          </c:val>
          <c:smooth val="0"/>
          <c:extLst>
            <c:ext xmlns:c16="http://schemas.microsoft.com/office/drawing/2014/chart" uri="{C3380CC4-5D6E-409C-BE32-E72D297353CC}">
              <c16:uniqueId val="{00000005-35DE-4E18-9A3A-55B623770F8F}"/>
            </c:ext>
          </c:extLst>
        </c:ser>
        <c:ser>
          <c:idx val="6"/>
          <c:order val="6"/>
          <c:tx>
            <c:strRef>
              <c:f>'CBPP3 effect on each dist.&amp;coun'!$A$8</c:f>
              <c:strCache>
                <c:ptCount val="1"/>
                <c:pt idx="0">
                  <c:v>France</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dist.&amp;coun'!$B$8:$F$8</c:f>
              <c:numCache>
                <c:formatCode>General</c:formatCode>
                <c:ptCount val="5"/>
                <c:pt idx="0">
                  <c:v>1.1443676</c:v>
                </c:pt>
                <c:pt idx="1">
                  <c:v>0.14780718000000001</c:v>
                </c:pt>
                <c:pt idx="2">
                  <c:v>0.16587084999999999</c:v>
                </c:pt>
                <c:pt idx="3">
                  <c:v>0.36835520999999999</c:v>
                </c:pt>
                <c:pt idx="4">
                  <c:v>0.86328523999999995</c:v>
                </c:pt>
              </c:numCache>
            </c:numRef>
          </c:val>
          <c:smooth val="0"/>
          <c:extLst>
            <c:ext xmlns:c16="http://schemas.microsoft.com/office/drawing/2014/chart" uri="{C3380CC4-5D6E-409C-BE32-E72D297353CC}">
              <c16:uniqueId val="{00000006-35DE-4E18-9A3A-55B623770F8F}"/>
            </c:ext>
          </c:extLst>
        </c:ser>
        <c:ser>
          <c:idx val="7"/>
          <c:order val="7"/>
          <c:tx>
            <c:strRef>
              <c:f>'CBPP3 effect on each dist.&amp;coun'!$A$9</c:f>
              <c:strCache>
                <c:ptCount val="1"/>
                <c:pt idx="0">
                  <c:v>Greece</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dist.&amp;coun'!$B$9:$F$9</c:f>
              <c:numCache>
                <c:formatCode>General</c:formatCode>
                <c:ptCount val="5"/>
                <c:pt idx="0">
                  <c:v>0.17562948</c:v>
                </c:pt>
                <c:pt idx="1">
                  <c:v>0.1689427</c:v>
                </c:pt>
                <c:pt idx="2">
                  <c:v>0.21872354999999999</c:v>
                </c:pt>
                <c:pt idx="3">
                  <c:v>0.32482660000000002</c:v>
                </c:pt>
                <c:pt idx="4">
                  <c:v>0.27948537000000001</c:v>
                </c:pt>
              </c:numCache>
            </c:numRef>
          </c:val>
          <c:smooth val="0"/>
          <c:extLst>
            <c:ext xmlns:c16="http://schemas.microsoft.com/office/drawing/2014/chart" uri="{C3380CC4-5D6E-409C-BE32-E72D297353CC}">
              <c16:uniqueId val="{00000007-35DE-4E18-9A3A-55B623770F8F}"/>
            </c:ext>
          </c:extLst>
        </c:ser>
        <c:ser>
          <c:idx val="8"/>
          <c:order val="8"/>
          <c:tx>
            <c:strRef>
              <c:f>'CBPP3 effect on each dist.&amp;coun'!$A$10</c:f>
              <c:strCache>
                <c:ptCount val="1"/>
                <c:pt idx="0">
                  <c:v>Italy</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dist.&amp;coun'!$B$10:$F$10</c:f>
              <c:numCache>
                <c:formatCode>General</c:formatCode>
                <c:ptCount val="5"/>
                <c:pt idx="0">
                  <c:v>0.24367992999999999</c:v>
                </c:pt>
                <c:pt idx="1">
                  <c:v>7.5659569999999995E-2</c:v>
                </c:pt>
                <c:pt idx="2">
                  <c:v>9.0023199999999998E-2</c:v>
                </c:pt>
                <c:pt idx="3">
                  <c:v>0.18877593000000001</c:v>
                </c:pt>
                <c:pt idx="4">
                  <c:v>0.74028713000000002</c:v>
                </c:pt>
              </c:numCache>
            </c:numRef>
          </c:val>
          <c:smooth val="0"/>
          <c:extLst>
            <c:ext xmlns:c16="http://schemas.microsoft.com/office/drawing/2014/chart" uri="{C3380CC4-5D6E-409C-BE32-E72D297353CC}">
              <c16:uniqueId val="{00000008-35DE-4E18-9A3A-55B623770F8F}"/>
            </c:ext>
          </c:extLst>
        </c:ser>
        <c:ser>
          <c:idx val="9"/>
          <c:order val="9"/>
          <c:tx>
            <c:strRef>
              <c:f>'CBPP3 effect on each dist.&amp;coun'!$A$11</c:f>
              <c:strCache>
                <c:ptCount val="1"/>
                <c:pt idx="0">
                  <c:v>Luxembourg</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dist.&amp;coun'!$B$11:$F$11</c:f>
              <c:numCache>
                <c:formatCode>General</c:formatCode>
                <c:ptCount val="5"/>
                <c:pt idx="0">
                  <c:v>0.13462861000000001</c:v>
                </c:pt>
                <c:pt idx="1">
                  <c:v>0.19218525</c:v>
                </c:pt>
                <c:pt idx="2">
                  <c:v>6.8268079999999995E-2</c:v>
                </c:pt>
                <c:pt idx="3">
                  <c:v>9.0795299999999995E-2</c:v>
                </c:pt>
                <c:pt idx="4">
                  <c:v>0.47515622000000002</c:v>
                </c:pt>
              </c:numCache>
            </c:numRef>
          </c:val>
          <c:smooth val="0"/>
          <c:extLst>
            <c:ext xmlns:c16="http://schemas.microsoft.com/office/drawing/2014/chart" uri="{C3380CC4-5D6E-409C-BE32-E72D297353CC}">
              <c16:uniqueId val="{00000009-35DE-4E18-9A3A-55B623770F8F}"/>
            </c:ext>
          </c:extLst>
        </c:ser>
        <c:ser>
          <c:idx val="10"/>
          <c:order val="10"/>
          <c:tx>
            <c:strRef>
              <c:f>'CBPP3 effect on each dist.&amp;coun'!$A$12</c:f>
              <c:strCache>
                <c:ptCount val="1"/>
                <c:pt idx="0">
                  <c:v>Malta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dist.&amp;coun'!$B$12:$F$12</c:f>
              <c:numCache>
                <c:formatCode>General</c:formatCode>
                <c:ptCount val="5"/>
                <c:pt idx="0">
                  <c:v>0.15643407000000001</c:v>
                </c:pt>
                <c:pt idx="1">
                  <c:v>7.9187839999999995E-2</c:v>
                </c:pt>
                <c:pt idx="2">
                  <c:v>0.11003998</c:v>
                </c:pt>
                <c:pt idx="3">
                  <c:v>0.31113246</c:v>
                </c:pt>
                <c:pt idx="4">
                  <c:v>1.6421093</c:v>
                </c:pt>
              </c:numCache>
            </c:numRef>
          </c:val>
          <c:smooth val="0"/>
          <c:extLst>
            <c:ext xmlns:c16="http://schemas.microsoft.com/office/drawing/2014/chart" uri="{C3380CC4-5D6E-409C-BE32-E72D297353CC}">
              <c16:uniqueId val="{0000000A-35DE-4E18-9A3A-55B623770F8F}"/>
            </c:ext>
          </c:extLst>
        </c:ser>
        <c:ser>
          <c:idx val="11"/>
          <c:order val="11"/>
          <c:tx>
            <c:strRef>
              <c:f>'CBPP3 effect on each dist.&amp;coun'!$A$13</c:f>
              <c:strCache>
                <c:ptCount val="1"/>
                <c:pt idx="0">
                  <c:v>Netherlands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dist.&amp;coun'!$B$13:$F$13</c:f>
              <c:numCache>
                <c:formatCode>General</c:formatCode>
                <c:ptCount val="5"/>
                <c:pt idx="0">
                  <c:v>0.26963964000000001</c:v>
                </c:pt>
                <c:pt idx="1">
                  <c:v>0.17570867000000001</c:v>
                </c:pt>
                <c:pt idx="2">
                  <c:v>0.11961379</c:v>
                </c:pt>
                <c:pt idx="3">
                  <c:v>0.16872481</c:v>
                </c:pt>
                <c:pt idx="4">
                  <c:v>0.28966462999999998</c:v>
                </c:pt>
              </c:numCache>
            </c:numRef>
          </c:val>
          <c:smooth val="0"/>
          <c:extLst>
            <c:ext xmlns:c16="http://schemas.microsoft.com/office/drawing/2014/chart" uri="{C3380CC4-5D6E-409C-BE32-E72D297353CC}">
              <c16:uniqueId val="{0000000B-35DE-4E18-9A3A-55B623770F8F}"/>
            </c:ext>
          </c:extLst>
        </c:ser>
        <c:ser>
          <c:idx val="12"/>
          <c:order val="12"/>
          <c:tx>
            <c:strRef>
              <c:f>'CBPP3 effect on each dist.&amp;coun'!$A$14</c:f>
              <c:strCache>
                <c:ptCount val="1"/>
                <c:pt idx="0">
                  <c:v>Portugal</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dist.&amp;coun'!$B$14:$F$14</c:f>
              <c:numCache>
                <c:formatCode>General</c:formatCode>
                <c:ptCount val="5"/>
                <c:pt idx="0">
                  <c:v>5.6520279999999999E-2</c:v>
                </c:pt>
                <c:pt idx="1">
                  <c:v>6.5220959999999994E-2</c:v>
                </c:pt>
                <c:pt idx="2">
                  <c:v>0.24347553999999999</c:v>
                </c:pt>
                <c:pt idx="3">
                  <c:v>0.50941533000000006</c:v>
                </c:pt>
                <c:pt idx="4">
                  <c:v>1.3796010000000001</c:v>
                </c:pt>
              </c:numCache>
            </c:numRef>
          </c:val>
          <c:smooth val="0"/>
          <c:extLst>
            <c:ext xmlns:c16="http://schemas.microsoft.com/office/drawing/2014/chart" uri="{C3380CC4-5D6E-409C-BE32-E72D297353CC}">
              <c16:uniqueId val="{0000000C-35DE-4E18-9A3A-55B623770F8F}"/>
            </c:ext>
          </c:extLst>
        </c:ser>
        <c:ser>
          <c:idx val="13"/>
          <c:order val="13"/>
          <c:tx>
            <c:strRef>
              <c:f>'CBPP3 effect on each dist.&amp;coun'!$A$15</c:f>
              <c:strCache>
                <c:ptCount val="1"/>
                <c:pt idx="0">
                  <c:v>Slovenia</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dist.&amp;coun'!$B$15:$F$15</c:f>
              <c:numCache>
                <c:formatCode>General</c:formatCode>
                <c:ptCount val="5"/>
                <c:pt idx="0">
                  <c:v>0.10484321000000001</c:v>
                </c:pt>
                <c:pt idx="1">
                  <c:v>7.0012690000000002E-2</c:v>
                </c:pt>
                <c:pt idx="2">
                  <c:v>0.16463011999999999</c:v>
                </c:pt>
                <c:pt idx="3">
                  <c:v>0.83633119</c:v>
                </c:pt>
                <c:pt idx="4">
                  <c:v>2.1317184</c:v>
                </c:pt>
              </c:numCache>
            </c:numRef>
          </c:val>
          <c:smooth val="0"/>
          <c:extLst>
            <c:ext xmlns:c16="http://schemas.microsoft.com/office/drawing/2014/chart" uri="{C3380CC4-5D6E-409C-BE32-E72D297353CC}">
              <c16:uniqueId val="{0000000D-35DE-4E18-9A3A-55B623770F8F}"/>
            </c:ext>
          </c:extLst>
        </c:ser>
        <c:ser>
          <c:idx val="14"/>
          <c:order val="14"/>
          <c:tx>
            <c:strRef>
              <c:f>'CBPP3 effect on each dist.&amp;coun'!$A$16</c:f>
              <c:strCache>
                <c:ptCount val="1"/>
                <c:pt idx="0">
                  <c:v>Slovakia</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cat>
            <c:strRef>
              <c:f>'CBPP3 effect on each dist.&amp;coun'!$B$1:$F$1</c:f>
              <c:strCache>
                <c:ptCount val="5"/>
                <c:pt idx="0">
                  <c:v>Lowest 25%</c:v>
                </c:pt>
                <c:pt idx="1">
                  <c:v>25-50%</c:v>
                </c:pt>
                <c:pt idx="2">
                  <c:v>50-75%</c:v>
                </c:pt>
                <c:pt idx="3">
                  <c:v>75-95%</c:v>
                </c:pt>
                <c:pt idx="4">
                  <c:v>Top 5%</c:v>
                </c:pt>
              </c:strCache>
            </c:strRef>
          </c:cat>
          <c:val>
            <c:numRef>
              <c:f>'CBPP3 effect on each dist.&amp;coun'!$B$16:$F$16</c:f>
              <c:numCache>
                <c:formatCode>General</c:formatCode>
                <c:ptCount val="5"/>
                <c:pt idx="0">
                  <c:v>2.717309E-2</c:v>
                </c:pt>
                <c:pt idx="1">
                  <c:v>6.052681E-2</c:v>
                </c:pt>
                <c:pt idx="2">
                  <c:v>0.42168945000000002</c:v>
                </c:pt>
                <c:pt idx="3">
                  <c:v>1.2532376999999999</c:v>
                </c:pt>
                <c:pt idx="4">
                  <c:v>1.5020579999999999</c:v>
                </c:pt>
              </c:numCache>
            </c:numRef>
          </c:val>
          <c:smooth val="0"/>
          <c:extLst>
            <c:ext xmlns:c16="http://schemas.microsoft.com/office/drawing/2014/chart" uri="{C3380CC4-5D6E-409C-BE32-E72D297353CC}">
              <c16:uniqueId val="{0000000E-35DE-4E18-9A3A-55B623770F8F}"/>
            </c:ext>
          </c:extLst>
        </c:ser>
        <c:dLbls>
          <c:showLegendKey val="0"/>
          <c:showVal val="0"/>
          <c:showCatName val="0"/>
          <c:showSerName val="0"/>
          <c:showPercent val="0"/>
          <c:showBubbleSize val="0"/>
        </c:dLbls>
        <c:marker val="1"/>
        <c:smooth val="0"/>
        <c:axId val="822664592"/>
        <c:axId val="822666240"/>
      </c:lineChart>
      <c:catAx>
        <c:axId val="82266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2666240"/>
        <c:crosses val="autoZero"/>
        <c:auto val="1"/>
        <c:lblAlgn val="ctr"/>
        <c:lblOffset val="100"/>
        <c:noMultiLvlLbl val="0"/>
      </c:catAx>
      <c:valAx>
        <c:axId val="822666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2664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'ABSPP effect on each dist.&amp;coun'!$A$2</c:f>
              <c:strCache>
                <c:ptCount val="1"/>
                <c:pt idx="0">
                  <c:v>Austria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dist.&amp;coun'!$B$2:$F$2</c:f>
              <c:numCache>
                <c:formatCode>General</c:formatCode>
                <c:ptCount val="5"/>
                <c:pt idx="0">
                  <c:v>0.20202677999999999</c:v>
                </c:pt>
                <c:pt idx="1">
                  <c:v>0.18760689999999999</c:v>
                </c:pt>
                <c:pt idx="2">
                  <c:v>0.17028001000000001</c:v>
                </c:pt>
                <c:pt idx="3">
                  <c:v>0.62421720999999997</c:v>
                </c:pt>
                <c:pt idx="4">
                  <c:v>2.0710073000000002</c:v>
                </c:pt>
              </c:numCache>
            </c:numRef>
          </c:val>
          <c:smooth val="0"/>
          <c:extLst>
            <c:ext xmlns:c16="http://schemas.microsoft.com/office/drawing/2014/chart" uri="{C3380CC4-5D6E-409C-BE32-E72D297353CC}">
              <c16:uniqueId val="{00000000-67F4-43B4-A139-87CAE8C29F26}"/>
            </c:ext>
          </c:extLst>
        </c:ser>
        <c:ser>
          <c:idx val="1"/>
          <c:order val="1"/>
          <c:tx>
            <c:strRef>
              <c:f>'ABSPP effect on each dist.&amp;coun'!$A$3</c:f>
              <c:strCache>
                <c:ptCount val="1"/>
                <c:pt idx="0">
                  <c:v>Belgium</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dist.&amp;coun'!$B$3:$F$3</c:f>
              <c:numCache>
                <c:formatCode>General</c:formatCode>
                <c:ptCount val="5"/>
                <c:pt idx="0">
                  <c:v>0.27322328000000001</c:v>
                </c:pt>
                <c:pt idx="1">
                  <c:v>0.21348027999999999</c:v>
                </c:pt>
                <c:pt idx="2">
                  <c:v>0.16122106999999999</c:v>
                </c:pt>
                <c:pt idx="3">
                  <c:v>0.55696911000000004</c:v>
                </c:pt>
                <c:pt idx="4">
                  <c:v>1.5151945</c:v>
                </c:pt>
              </c:numCache>
            </c:numRef>
          </c:val>
          <c:smooth val="0"/>
          <c:extLst>
            <c:ext xmlns:c16="http://schemas.microsoft.com/office/drawing/2014/chart" uri="{C3380CC4-5D6E-409C-BE32-E72D297353CC}">
              <c16:uniqueId val="{00000001-67F4-43B4-A139-87CAE8C29F26}"/>
            </c:ext>
          </c:extLst>
        </c:ser>
        <c:ser>
          <c:idx val="2"/>
          <c:order val="2"/>
          <c:tx>
            <c:strRef>
              <c:f>'ABSPP effect on each dist.&amp;coun'!$A$4</c:f>
              <c:strCache>
                <c:ptCount val="1"/>
                <c:pt idx="0">
                  <c:v>Cyprus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dist.&amp;coun'!$B$4:$F$4</c:f>
              <c:numCache>
                <c:formatCode>General</c:formatCode>
                <c:ptCount val="5"/>
                <c:pt idx="0">
                  <c:v>0.36206402999999998</c:v>
                </c:pt>
                <c:pt idx="1">
                  <c:v>0.3365995</c:v>
                </c:pt>
                <c:pt idx="2">
                  <c:v>0.25679036999999999</c:v>
                </c:pt>
                <c:pt idx="3">
                  <c:v>0.72321999000000003</c:v>
                </c:pt>
                <c:pt idx="4">
                  <c:v>2.2194208999999998</c:v>
                </c:pt>
              </c:numCache>
            </c:numRef>
          </c:val>
          <c:smooth val="0"/>
          <c:extLst>
            <c:ext xmlns:c16="http://schemas.microsoft.com/office/drawing/2014/chart" uri="{C3380CC4-5D6E-409C-BE32-E72D297353CC}">
              <c16:uniqueId val="{00000002-67F4-43B4-A139-87CAE8C29F26}"/>
            </c:ext>
          </c:extLst>
        </c:ser>
        <c:ser>
          <c:idx val="3"/>
          <c:order val="3"/>
          <c:tx>
            <c:strRef>
              <c:f>'ABSPP effect on each dist.&amp;coun'!$A$5</c:f>
              <c:strCache>
                <c:ptCount val="1"/>
                <c:pt idx="0">
                  <c:v>Germany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dist.&amp;coun'!$B$5:$F$5</c:f>
              <c:numCache>
                <c:formatCode>General</c:formatCode>
                <c:ptCount val="5"/>
                <c:pt idx="0">
                  <c:v>0.46273866000000002</c:v>
                </c:pt>
                <c:pt idx="1">
                  <c:v>0.32278791000000001</c:v>
                </c:pt>
                <c:pt idx="2">
                  <c:v>0.26163512</c:v>
                </c:pt>
                <c:pt idx="3">
                  <c:v>0.50095904000000002</c:v>
                </c:pt>
                <c:pt idx="4">
                  <c:v>1.6685551000000001</c:v>
                </c:pt>
              </c:numCache>
            </c:numRef>
          </c:val>
          <c:smooth val="0"/>
          <c:extLst>
            <c:ext xmlns:c16="http://schemas.microsoft.com/office/drawing/2014/chart" uri="{C3380CC4-5D6E-409C-BE32-E72D297353CC}">
              <c16:uniqueId val="{00000003-67F4-43B4-A139-87CAE8C29F26}"/>
            </c:ext>
          </c:extLst>
        </c:ser>
        <c:ser>
          <c:idx val="4"/>
          <c:order val="4"/>
          <c:tx>
            <c:strRef>
              <c:f>'ABSPP effect on each dist.&amp;coun'!$A$6</c:f>
              <c:strCache>
                <c:ptCount val="1"/>
                <c:pt idx="0">
                  <c:v>Spain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dist.&amp;coun'!$B$6:$F$6</c:f>
              <c:numCache>
                <c:formatCode>General</c:formatCode>
                <c:ptCount val="5"/>
                <c:pt idx="0">
                  <c:v>0.27843907000000001</c:v>
                </c:pt>
                <c:pt idx="1">
                  <c:v>0.14154305</c:v>
                </c:pt>
                <c:pt idx="2">
                  <c:v>0.18840367999999999</c:v>
                </c:pt>
                <c:pt idx="3">
                  <c:v>0.52984743999999995</c:v>
                </c:pt>
                <c:pt idx="4">
                  <c:v>2.1244078000000002</c:v>
                </c:pt>
              </c:numCache>
            </c:numRef>
          </c:val>
          <c:smooth val="0"/>
          <c:extLst>
            <c:ext xmlns:c16="http://schemas.microsoft.com/office/drawing/2014/chart" uri="{C3380CC4-5D6E-409C-BE32-E72D297353CC}">
              <c16:uniqueId val="{00000004-67F4-43B4-A139-87CAE8C29F26}"/>
            </c:ext>
          </c:extLst>
        </c:ser>
        <c:ser>
          <c:idx val="5"/>
          <c:order val="5"/>
          <c:tx>
            <c:strRef>
              <c:f>'ABSPP effect on each dist.&amp;coun'!$A$7</c:f>
              <c:strCache>
                <c:ptCount val="1"/>
                <c:pt idx="0">
                  <c:v>Finland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dist.&amp;coun'!$B$7:$F$7</c:f>
              <c:numCache>
                <c:formatCode>General</c:formatCode>
                <c:ptCount val="5"/>
                <c:pt idx="0">
                  <c:v>0.35213088999999997</c:v>
                </c:pt>
                <c:pt idx="1">
                  <c:v>0.16504389</c:v>
                </c:pt>
                <c:pt idx="2">
                  <c:v>0.20860128</c:v>
                </c:pt>
                <c:pt idx="3">
                  <c:v>0.52619267000000003</c:v>
                </c:pt>
                <c:pt idx="4">
                  <c:v>2.8107606999999999</c:v>
                </c:pt>
              </c:numCache>
            </c:numRef>
          </c:val>
          <c:smooth val="0"/>
          <c:extLst>
            <c:ext xmlns:c16="http://schemas.microsoft.com/office/drawing/2014/chart" uri="{C3380CC4-5D6E-409C-BE32-E72D297353CC}">
              <c16:uniqueId val="{00000005-67F4-43B4-A139-87CAE8C29F26}"/>
            </c:ext>
          </c:extLst>
        </c:ser>
        <c:ser>
          <c:idx val="6"/>
          <c:order val="6"/>
          <c:tx>
            <c:strRef>
              <c:f>'ABSPP effect on each dist.&amp;coun'!$A$8</c:f>
              <c:strCache>
                <c:ptCount val="1"/>
                <c:pt idx="0">
                  <c:v>France</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dist.&amp;coun'!$B$8:$F$8</c:f>
              <c:numCache>
                <c:formatCode>General</c:formatCode>
                <c:ptCount val="5"/>
                <c:pt idx="0">
                  <c:v>2.2066929000000002</c:v>
                </c:pt>
                <c:pt idx="1">
                  <c:v>0.28367576</c:v>
                </c:pt>
                <c:pt idx="2">
                  <c:v>0.31858519000000002</c:v>
                </c:pt>
                <c:pt idx="3">
                  <c:v>0.70767325000000003</c:v>
                </c:pt>
                <c:pt idx="4">
                  <c:v>1.6602714000000001</c:v>
                </c:pt>
              </c:numCache>
            </c:numRef>
          </c:val>
          <c:smooth val="0"/>
          <c:extLst>
            <c:ext xmlns:c16="http://schemas.microsoft.com/office/drawing/2014/chart" uri="{C3380CC4-5D6E-409C-BE32-E72D297353CC}">
              <c16:uniqueId val="{00000006-67F4-43B4-A139-87CAE8C29F26}"/>
            </c:ext>
          </c:extLst>
        </c:ser>
        <c:ser>
          <c:idx val="7"/>
          <c:order val="7"/>
          <c:tx>
            <c:strRef>
              <c:f>'ABSPP effect on each dist.&amp;coun'!$A$9</c:f>
              <c:strCache>
                <c:ptCount val="1"/>
                <c:pt idx="0">
                  <c:v>Greece</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dist.&amp;coun'!$B$9:$F$9</c:f>
              <c:numCache>
                <c:formatCode>General</c:formatCode>
                <c:ptCount val="5"/>
                <c:pt idx="0">
                  <c:v>0.33898394999999998</c:v>
                </c:pt>
                <c:pt idx="1">
                  <c:v>0.32606449999999998</c:v>
                </c:pt>
                <c:pt idx="2">
                  <c:v>0.42211768</c:v>
                </c:pt>
                <c:pt idx="3">
                  <c:v>0.62699466999999998</c:v>
                </c:pt>
                <c:pt idx="4">
                  <c:v>0.53951943000000002</c:v>
                </c:pt>
              </c:numCache>
            </c:numRef>
          </c:val>
          <c:smooth val="0"/>
          <c:extLst>
            <c:ext xmlns:c16="http://schemas.microsoft.com/office/drawing/2014/chart" uri="{C3380CC4-5D6E-409C-BE32-E72D297353CC}">
              <c16:uniqueId val="{00000007-67F4-43B4-A139-87CAE8C29F26}"/>
            </c:ext>
          </c:extLst>
        </c:ser>
        <c:ser>
          <c:idx val="8"/>
          <c:order val="8"/>
          <c:tx>
            <c:strRef>
              <c:f>'ABSPP effect on each dist.&amp;coun'!$A$10</c:f>
              <c:strCache>
                <c:ptCount val="1"/>
                <c:pt idx="0">
                  <c:v>Italy</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dist.&amp;coun'!$B$10:$F$10</c:f>
              <c:numCache>
                <c:formatCode>General</c:formatCode>
                <c:ptCount val="5"/>
                <c:pt idx="0">
                  <c:v>0.46689080999999999</c:v>
                </c:pt>
                <c:pt idx="1">
                  <c:v>0.14457548000000001</c:v>
                </c:pt>
                <c:pt idx="2">
                  <c:v>0.17165937000000001</c:v>
                </c:pt>
                <c:pt idx="3">
                  <c:v>0.36149934</c:v>
                </c:pt>
                <c:pt idx="4">
                  <c:v>1.4256260000000001</c:v>
                </c:pt>
              </c:numCache>
            </c:numRef>
          </c:val>
          <c:smooth val="0"/>
          <c:extLst>
            <c:ext xmlns:c16="http://schemas.microsoft.com/office/drawing/2014/chart" uri="{C3380CC4-5D6E-409C-BE32-E72D297353CC}">
              <c16:uniqueId val="{00000008-67F4-43B4-A139-87CAE8C29F26}"/>
            </c:ext>
          </c:extLst>
        </c:ser>
        <c:ser>
          <c:idx val="9"/>
          <c:order val="9"/>
          <c:tx>
            <c:strRef>
              <c:f>'ABSPP effect on each dist.&amp;coun'!$A$11</c:f>
              <c:strCache>
                <c:ptCount val="1"/>
                <c:pt idx="0">
                  <c:v>Luxembourg</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dist.&amp;coun'!$B$11:$F$11</c:f>
              <c:numCache>
                <c:formatCode>General</c:formatCode>
                <c:ptCount val="5"/>
                <c:pt idx="0">
                  <c:v>0.25628835</c:v>
                </c:pt>
                <c:pt idx="1">
                  <c:v>0.36793177999999999</c:v>
                </c:pt>
                <c:pt idx="2">
                  <c:v>0.13026278999999999</c:v>
                </c:pt>
                <c:pt idx="3">
                  <c:v>0.17340468000000001</c:v>
                </c:pt>
                <c:pt idx="4">
                  <c:v>0.91545712999999995</c:v>
                </c:pt>
              </c:numCache>
            </c:numRef>
          </c:val>
          <c:smooth val="0"/>
          <c:extLst>
            <c:ext xmlns:c16="http://schemas.microsoft.com/office/drawing/2014/chart" uri="{C3380CC4-5D6E-409C-BE32-E72D297353CC}">
              <c16:uniqueId val="{00000009-67F4-43B4-A139-87CAE8C29F26}"/>
            </c:ext>
          </c:extLst>
        </c:ser>
        <c:ser>
          <c:idx val="10"/>
          <c:order val="10"/>
          <c:tx>
            <c:strRef>
              <c:f>'ABSPP effect on each dist.&amp;coun'!$A$12</c:f>
              <c:strCache>
                <c:ptCount val="1"/>
                <c:pt idx="0">
                  <c:v>Malta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dist.&amp;coun'!$B$12:$F$12</c:f>
              <c:numCache>
                <c:formatCode>General</c:formatCode>
                <c:ptCount val="5"/>
                <c:pt idx="0">
                  <c:v>0.29452977000000002</c:v>
                </c:pt>
                <c:pt idx="1">
                  <c:v>0.15083421999999999</c:v>
                </c:pt>
                <c:pt idx="2">
                  <c:v>0.20996819</c:v>
                </c:pt>
                <c:pt idx="3">
                  <c:v>0.59676403</c:v>
                </c:pt>
                <c:pt idx="4">
                  <c:v>3.1683788000000002</c:v>
                </c:pt>
              </c:numCache>
            </c:numRef>
          </c:val>
          <c:smooth val="0"/>
          <c:extLst>
            <c:ext xmlns:c16="http://schemas.microsoft.com/office/drawing/2014/chart" uri="{C3380CC4-5D6E-409C-BE32-E72D297353CC}">
              <c16:uniqueId val="{0000000A-67F4-43B4-A139-87CAE8C29F26}"/>
            </c:ext>
          </c:extLst>
        </c:ser>
        <c:ser>
          <c:idx val="11"/>
          <c:order val="11"/>
          <c:tx>
            <c:strRef>
              <c:f>'ABSPP effect on each dist.&amp;coun'!$A$13</c:f>
              <c:strCache>
                <c:ptCount val="1"/>
                <c:pt idx="0">
                  <c:v>Netherlands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dist.&amp;coun'!$B$13:$F$13</c:f>
              <c:numCache>
                <c:formatCode>General</c:formatCode>
                <c:ptCount val="5"/>
                <c:pt idx="0">
                  <c:v>0.50915014999999997</c:v>
                </c:pt>
                <c:pt idx="1">
                  <c:v>0.33262259</c:v>
                </c:pt>
                <c:pt idx="2">
                  <c:v>0.22716320000000001</c:v>
                </c:pt>
                <c:pt idx="3">
                  <c:v>0.31749126</c:v>
                </c:pt>
                <c:pt idx="4">
                  <c:v>0.54759336000000003</c:v>
                </c:pt>
              </c:numCache>
            </c:numRef>
          </c:val>
          <c:smooth val="0"/>
          <c:extLst>
            <c:ext xmlns:c16="http://schemas.microsoft.com/office/drawing/2014/chart" uri="{C3380CC4-5D6E-409C-BE32-E72D297353CC}">
              <c16:uniqueId val="{0000000B-67F4-43B4-A139-87CAE8C29F26}"/>
            </c:ext>
          </c:extLst>
        </c:ser>
        <c:ser>
          <c:idx val="12"/>
          <c:order val="12"/>
          <c:tx>
            <c:strRef>
              <c:f>'ABSPP effect on each dist.&amp;coun'!$A$14</c:f>
              <c:strCache>
                <c:ptCount val="1"/>
                <c:pt idx="0">
                  <c:v>Portugal</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dist.&amp;coun'!$B$14:$F$14</c:f>
              <c:numCache>
                <c:formatCode>General</c:formatCode>
                <c:ptCount val="5"/>
                <c:pt idx="0">
                  <c:v>0.10844363</c:v>
                </c:pt>
                <c:pt idx="1">
                  <c:v>0.12530114000000001</c:v>
                </c:pt>
                <c:pt idx="2">
                  <c:v>0.46902251</c:v>
                </c:pt>
                <c:pt idx="3">
                  <c:v>0.98255091999999999</c:v>
                </c:pt>
                <c:pt idx="4">
                  <c:v>2.6623602000000002</c:v>
                </c:pt>
              </c:numCache>
            </c:numRef>
          </c:val>
          <c:smooth val="0"/>
          <c:extLst>
            <c:ext xmlns:c16="http://schemas.microsoft.com/office/drawing/2014/chart" uri="{C3380CC4-5D6E-409C-BE32-E72D297353CC}">
              <c16:uniqueId val="{0000000C-67F4-43B4-A139-87CAE8C29F26}"/>
            </c:ext>
          </c:extLst>
        </c:ser>
        <c:ser>
          <c:idx val="13"/>
          <c:order val="13"/>
          <c:tx>
            <c:strRef>
              <c:f>'ABSPP effect on each dist.&amp;coun'!$A$15</c:f>
              <c:strCache>
                <c:ptCount val="1"/>
                <c:pt idx="0">
                  <c:v>Slovenia</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dist.&amp;coun'!$B$15:$F$15</c:f>
              <c:numCache>
                <c:formatCode>General</c:formatCode>
                <c:ptCount val="5"/>
                <c:pt idx="0">
                  <c:v>0.20165271000000001</c:v>
                </c:pt>
                <c:pt idx="1">
                  <c:v>0.13489076</c:v>
                </c:pt>
                <c:pt idx="2">
                  <c:v>0.31746423000000001</c:v>
                </c:pt>
                <c:pt idx="3">
                  <c:v>1.6142091000000001</c:v>
                </c:pt>
                <c:pt idx="4">
                  <c:v>4.1150698999999999</c:v>
                </c:pt>
              </c:numCache>
            </c:numRef>
          </c:val>
          <c:smooth val="0"/>
          <c:extLst>
            <c:ext xmlns:c16="http://schemas.microsoft.com/office/drawing/2014/chart" uri="{C3380CC4-5D6E-409C-BE32-E72D297353CC}">
              <c16:uniqueId val="{0000000D-67F4-43B4-A139-87CAE8C29F26}"/>
            </c:ext>
          </c:extLst>
        </c:ser>
        <c:ser>
          <c:idx val="14"/>
          <c:order val="14"/>
          <c:tx>
            <c:strRef>
              <c:f>'ABSPP effect on each dist.&amp;coun'!$A$16</c:f>
              <c:strCache>
                <c:ptCount val="1"/>
                <c:pt idx="0">
                  <c:v>Slovakia</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cat>
            <c:strRef>
              <c:f>'ABSPP effect on each dist.&amp;coun'!$B$1:$F$1</c:f>
              <c:strCache>
                <c:ptCount val="5"/>
                <c:pt idx="0">
                  <c:v>Lowest 25%</c:v>
                </c:pt>
                <c:pt idx="1">
                  <c:v>25-50%</c:v>
                </c:pt>
                <c:pt idx="2">
                  <c:v>50-75%</c:v>
                </c:pt>
                <c:pt idx="3">
                  <c:v>75-95%</c:v>
                </c:pt>
                <c:pt idx="4">
                  <c:v>Top 5%</c:v>
                </c:pt>
              </c:strCache>
            </c:strRef>
          </c:cat>
          <c:val>
            <c:numRef>
              <c:f>'ABSPP effect on each dist.&amp;coun'!$B$16:$F$16</c:f>
              <c:numCache>
                <c:formatCode>General</c:formatCode>
                <c:ptCount val="5"/>
                <c:pt idx="0">
                  <c:v>5.2134E-2</c:v>
                </c:pt>
                <c:pt idx="1">
                  <c:v>0.11638800000000001</c:v>
                </c:pt>
                <c:pt idx="2">
                  <c:v>0.81294787000000002</c:v>
                </c:pt>
                <c:pt idx="3">
                  <c:v>2.4186025</c:v>
                </c:pt>
                <c:pt idx="4">
                  <c:v>2.8995036999999999</c:v>
                </c:pt>
              </c:numCache>
            </c:numRef>
          </c:val>
          <c:smooth val="0"/>
          <c:extLst>
            <c:ext xmlns:c16="http://schemas.microsoft.com/office/drawing/2014/chart" uri="{C3380CC4-5D6E-409C-BE32-E72D297353CC}">
              <c16:uniqueId val="{0000000E-67F4-43B4-A139-87CAE8C29F26}"/>
            </c:ext>
          </c:extLst>
        </c:ser>
        <c:dLbls>
          <c:showLegendKey val="0"/>
          <c:showVal val="0"/>
          <c:showCatName val="0"/>
          <c:showSerName val="0"/>
          <c:showPercent val="0"/>
          <c:showBubbleSize val="0"/>
        </c:dLbls>
        <c:marker val="1"/>
        <c:smooth val="0"/>
        <c:axId val="796535136"/>
        <c:axId val="796536784"/>
      </c:lineChart>
      <c:catAx>
        <c:axId val="79653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536784"/>
        <c:crosses val="autoZero"/>
        <c:auto val="1"/>
        <c:lblAlgn val="ctr"/>
        <c:lblOffset val="100"/>
        <c:noMultiLvlLbl val="0"/>
      </c:catAx>
      <c:valAx>
        <c:axId val="796536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535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'All UMPs effect on each dis.&amp;co'!$A$2</c:f>
              <c:strCache>
                <c:ptCount val="1"/>
                <c:pt idx="0">
                  <c:v>Austria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dis.&amp;co'!$B$2:$F$2</c:f>
              <c:numCache>
                <c:formatCode>General</c:formatCode>
                <c:ptCount val="5"/>
                <c:pt idx="0">
                  <c:v>0.35744496999999997</c:v>
                </c:pt>
                <c:pt idx="1">
                  <c:v>0.32956275000000002</c:v>
                </c:pt>
                <c:pt idx="2">
                  <c:v>0.29828617000000002</c:v>
                </c:pt>
                <c:pt idx="3">
                  <c:v>1.064595</c:v>
                </c:pt>
                <c:pt idx="4">
                  <c:v>3.4809735000000002</c:v>
                </c:pt>
              </c:numCache>
            </c:numRef>
          </c:val>
          <c:smooth val="0"/>
          <c:extLst>
            <c:ext xmlns:c16="http://schemas.microsoft.com/office/drawing/2014/chart" uri="{C3380CC4-5D6E-409C-BE32-E72D297353CC}">
              <c16:uniqueId val="{00000000-D5FB-49EA-A89D-91B8F82AB48E}"/>
            </c:ext>
          </c:extLst>
        </c:ser>
        <c:ser>
          <c:idx val="1"/>
          <c:order val="1"/>
          <c:tx>
            <c:strRef>
              <c:f>'All UMPs effect on each dis.&amp;co'!$A$3</c:f>
              <c:strCache>
                <c:ptCount val="1"/>
                <c:pt idx="0">
                  <c:v>Belgium</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dis.&amp;co'!$B$3:$F$3</c:f>
              <c:numCache>
                <c:formatCode>General</c:formatCode>
                <c:ptCount val="5"/>
                <c:pt idx="0">
                  <c:v>0.51198465000000004</c:v>
                </c:pt>
                <c:pt idx="1">
                  <c:v>0.38169384000000001</c:v>
                </c:pt>
                <c:pt idx="2">
                  <c:v>0.28740578999999999</c:v>
                </c:pt>
                <c:pt idx="3">
                  <c:v>0.97314829000000003</c:v>
                </c:pt>
                <c:pt idx="4">
                  <c:v>2.5763280000000002</c:v>
                </c:pt>
              </c:numCache>
            </c:numRef>
          </c:val>
          <c:smooth val="0"/>
          <c:extLst>
            <c:ext xmlns:c16="http://schemas.microsoft.com/office/drawing/2014/chart" uri="{C3380CC4-5D6E-409C-BE32-E72D297353CC}">
              <c16:uniqueId val="{00000001-D5FB-49EA-A89D-91B8F82AB48E}"/>
            </c:ext>
          </c:extLst>
        </c:ser>
        <c:ser>
          <c:idx val="2"/>
          <c:order val="2"/>
          <c:tx>
            <c:strRef>
              <c:f>'All UMPs effect on each dis.&amp;co'!$A$4</c:f>
              <c:strCache>
                <c:ptCount val="1"/>
                <c:pt idx="0">
                  <c:v>Cyprus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dis.&amp;co'!$B$4:$F$4</c:f>
              <c:numCache>
                <c:formatCode>General</c:formatCode>
                <c:ptCount val="5"/>
                <c:pt idx="0">
                  <c:v>0.61135852000000002</c:v>
                </c:pt>
                <c:pt idx="1">
                  <c:v>0.57549518</c:v>
                </c:pt>
                <c:pt idx="2">
                  <c:v>0.44064008999999998</c:v>
                </c:pt>
                <c:pt idx="3">
                  <c:v>1.2233315</c:v>
                </c:pt>
                <c:pt idx="4">
                  <c:v>3.7418439000000001</c:v>
                </c:pt>
              </c:numCache>
            </c:numRef>
          </c:val>
          <c:smooth val="0"/>
          <c:extLst>
            <c:ext xmlns:c16="http://schemas.microsoft.com/office/drawing/2014/chart" uri="{C3380CC4-5D6E-409C-BE32-E72D297353CC}">
              <c16:uniqueId val="{00000002-D5FB-49EA-A89D-91B8F82AB48E}"/>
            </c:ext>
          </c:extLst>
        </c:ser>
        <c:ser>
          <c:idx val="3"/>
          <c:order val="3"/>
          <c:tx>
            <c:strRef>
              <c:f>'All UMPs effect on each dis.&amp;co'!$A$5</c:f>
              <c:strCache>
                <c:ptCount val="1"/>
                <c:pt idx="0">
                  <c:v>Germany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dis.&amp;co'!$B$5:$F$5</c:f>
              <c:numCache>
                <c:formatCode>General</c:formatCode>
                <c:ptCount val="5"/>
                <c:pt idx="0">
                  <c:v>0.84079307000000003</c:v>
                </c:pt>
                <c:pt idx="1">
                  <c:v>0.58330910999999996</c:v>
                </c:pt>
                <c:pt idx="2">
                  <c:v>0.46473700000000001</c:v>
                </c:pt>
                <c:pt idx="3">
                  <c:v>0.86795074000000005</c:v>
                </c:pt>
                <c:pt idx="4">
                  <c:v>2.8284604999999998</c:v>
                </c:pt>
              </c:numCache>
            </c:numRef>
          </c:val>
          <c:smooth val="0"/>
          <c:extLst>
            <c:ext xmlns:c16="http://schemas.microsoft.com/office/drawing/2014/chart" uri="{C3380CC4-5D6E-409C-BE32-E72D297353CC}">
              <c16:uniqueId val="{00000003-D5FB-49EA-A89D-91B8F82AB48E}"/>
            </c:ext>
          </c:extLst>
        </c:ser>
        <c:ser>
          <c:idx val="4"/>
          <c:order val="4"/>
          <c:tx>
            <c:strRef>
              <c:f>'All UMPs effect on each dis.&amp;co'!$A$6</c:f>
              <c:strCache>
                <c:ptCount val="1"/>
                <c:pt idx="0">
                  <c:v>Spain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dis.&amp;co'!$B$6:$F$6</c:f>
              <c:numCache>
                <c:formatCode>General</c:formatCode>
                <c:ptCount val="5"/>
                <c:pt idx="0">
                  <c:v>0.47650608</c:v>
                </c:pt>
                <c:pt idx="1">
                  <c:v>0.24374865000000001</c:v>
                </c:pt>
                <c:pt idx="2">
                  <c:v>0.32360378000000001</c:v>
                </c:pt>
                <c:pt idx="3">
                  <c:v>0.90069586000000001</c:v>
                </c:pt>
                <c:pt idx="4">
                  <c:v>3.5807549999999999</c:v>
                </c:pt>
              </c:numCache>
            </c:numRef>
          </c:val>
          <c:smooth val="0"/>
          <c:extLst>
            <c:ext xmlns:c16="http://schemas.microsoft.com/office/drawing/2014/chart" uri="{C3380CC4-5D6E-409C-BE32-E72D297353CC}">
              <c16:uniqueId val="{00000004-D5FB-49EA-A89D-91B8F82AB48E}"/>
            </c:ext>
          </c:extLst>
        </c:ser>
        <c:ser>
          <c:idx val="5"/>
          <c:order val="5"/>
          <c:tx>
            <c:strRef>
              <c:f>'All UMPs effect on each dis.&amp;co'!$A$7</c:f>
              <c:strCache>
                <c:ptCount val="1"/>
                <c:pt idx="0">
                  <c:v>Finland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dis.&amp;co'!$B$7:$F$7</c:f>
              <c:numCache>
                <c:formatCode>General</c:formatCode>
                <c:ptCount val="5"/>
                <c:pt idx="0">
                  <c:v>0.61064797999999998</c:v>
                </c:pt>
                <c:pt idx="1">
                  <c:v>0.28544170000000002</c:v>
                </c:pt>
                <c:pt idx="2">
                  <c:v>0.36000028000000001</c:v>
                </c:pt>
                <c:pt idx="3">
                  <c:v>0.89598345999999995</c:v>
                </c:pt>
                <c:pt idx="4">
                  <c:v>4.7396159000000004</c:v>
                </c:pt>
              </c:numCache>
            </c:numRef>
          </c:val>
          <c:smooth val="0"/>
          <c:extLst>
            <c:ext xmlns:c16="http://schemas.microsoft.com/office/drawing/2014/chart" uri="{C3380CC4-5D6E-409C-BE32-E72D297353CC}">
              <c16:uniqueId val="{00000005-D5FB-49EA-A89D-91B8F82AB48E}"/>
            </c:ext>
          </c:extLst>
        </c:ser>
        <c:ser>
          <c:idx val="6"/>
          <c:order val="6"/>
          <c:tx>
            <c:strRef>
              <c:f>'All UMPs effect on each dis.&amp;co'!$A$8</c:f>
              <c:strCache>
                <c:ptCount val="1"/>
                <c:pt idx="0">
                  <c:v>France</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dis.&amp;co'!$B$8:$F$8</c:f>
              <c:numCache>
                <c:formatCode>General</c:formatCode>
                <c:ptCount val="5"/>
                <c:pt idx="0">
                  <c:v>3.7273551999999999</c:v>
                </c:pt>
                <c:pt idx="1">
                  <c:v>0.49127464999999998</c:v>
                </c:pt>
                <c:pt idx="2">
                  <c:v>0.54954457000000001</c:v>
                </c:pt>
                <c:pt idx="3">
                  <c:v>1.2190721</c:v>
                </c:pt>
                <c:pt idx="4">
                  <c:v>2.8441808000000002</c:v>
                </c:pt>
              </c:numCache>
            </c:numRef>
          </c:val>
          <c:smooth val="0"/>
          <c:extLst>
            <c:ext xmlns:c16="http://schemas.microsoft.com/office/drawing/2014/chart" uri="{C3380CC4-5D6E-409C-BE32-E72D297353CC}">
              <c16:uniqueId val="{00000006-D5FB-49EA-A89D-91B8F82AB48E}"/>
            </c:ext>
          </c:extLst>
        </c:ser>
        <c:ser>
          <c:idx val="7"/>
          <c:order val="7"/>
          <c:tx>
            <c:strRef>
              <c:f>'All UMPs effect on each dis.&amp;co'!$A$9</c:f>
              <c:strCache>
                <c:ptCount val="1"/>
                <c:pt idx="0">
                  <c:v>Greece</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dis.&amp;co'!$B$9:$F$9</c:f>
              <c:numCache>
                <c:formatCode>General</c:formatCode>
                <c:ptCount val="5"/>
                <c:pt idx="0">
                  <c:v>0.56972783999999999</c:v>
                </c:pt>
                <c:pt idx="1">
                  <c:v>0.54813378999999995</c:v>
                </c:pt>
                <c:pt idx="2">
                  <c:v>0.70983350000000001</c:v>
                </c:pt>
                <c:pt idx="3">
                  <c:v>1.0533874999999999</c:v>
                </c:pt>
                <c:pt idx="4">
                  <c:v>0.9060241</c:v>
                </c:pt>
              </c:numCache>
            </c:numRef>
          </c:val>
          <c:smooth val="0"/>
          <c:extLst>
            <c:ext xmlns:c16="http://schemas.microsoft.com/office/drawing/2014/chart" uri="{C3380CC4-5D6E-409C-BE32-E72D297353CC}">
              <c16:uniqueId val="{00000007-D5FB-49EA-A89D-91B8F82AB48E}"/>
            </c:ext>
          </c:extLst>
        </c:ser>
        <c:ser>
          <c:idx val="8"/>
          <c:order val="8"/>
          <c:tx>
            <c:strRef>
              <c:f>'All UMPs effect on each dis.&amp;co'!$A$10</c:f>
              <c:strCache>
                <c:ptCount val="1"/>
                <c:pt idx="0">
                  <c:v>Italy</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dis.&amp;co'!$B$10:$F$10</c:f>
              <c:numCache>
                <c:formatCode>General</c:formatCode>
                <c:ptCount val="5"/>
                <c:pt idx="0">
                  <c:v>0.81570399000000005</c:v>
                </c:pt>
                <c:pt idx="1">
                  <c:v>0.25611514000000002</c:v>
                </c:pt>
                <c:pt idx="2">
                  <c:v>0.30740195999999997</c:v>
                </c:pt>
                <c:pt idx="3">
                  <c:v>0.63335012999999996</c:v>
                </c:pt>
                <c:pt idx="4">
                  <c:v>2.4249736999999998</c:v>
                </c:pt>
              </c:numCache>
            </c:numRef>
          </c:val>
          <c:smooth val="0"/>
          <c:extLst>
            <c:ext xmlns:c16="http://schemas.microsoft.com/office/drawing/2014/chart" uri="{C3380CC4-5D6E-409C-BE32-E72D297353CC}">
              <c16:uniqueId val="{00000008-D5FB-49EA-A89D-91B8F82AB48E}"/>
            </c:ext>
          </c:extLst>
        </c:ser>
        <c:ser>
          <c:idx val="9"/>
          <c:order val="9"/>
          <c:tx>
            <c:strRef>
              <c:f>'All UMPs effect on each dis.&amp;co'!$A$11</c:f>
              <c:strCache>
                <c:ptCount val="1"/>
                <c:pt idx="0">
                  <c:v>Luxembourg</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dis.&amp;co'!$B$11:$F$11</c:f>
              <c:numCache>
                <c:formatCode>General</c:formatCode>
                <c:ptCount val="5"/>
                <c:pt idx="0">
                  <c:v>0.46284305999999997</c:v>
                </c:pt>
                <c:pt idx="1">
                  <c:v>0.64549517999999995</c:v>
                </c:pt>
                <c:pt idx="2">
                  <c:v>0.23247744000000001</c:v>
                </c:pt>
                <c:pt idx="3">
                  <c:v>0.30803480999999999</c:v>
                </c:pt>
                <c:pt idx="4">
                  <c:v>1.5534463000000001</c:v>
                </c:pt>
              </c:numCache>
            </c:numRef>
          </c:val>
          <c:smooth val="0"/>
          <c:extLst>
            <c:ext xmlns:c16="http://schemas.microsoft.com/office/drawing/2014/chart" uri="{C3380CC4-5D6E-409C-BE32-E72D297353CC}">
              <c16:uniqueId val="{00000009-D5FB-49EA-A89D-91B8F82AB48E}"/>
            </c:ext>
          </c:extLst>
        </c:ser>
        <c:ser>
          <c:idx val="10"/>
          <c:order val="10"/>
          <c:tx>
            <c:strRef>
              <c:f>'All UMPs effect on each dis.&amp;co'!$A$12</c:f>
              <c:strCache>
                <c:ptCount val="1"/>
                <c:pt idx="0">
                  <c:v>Malta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dis.&amp;co'!$B$12:$F$12</c:f>
              <c:numCache>
                <c:formatCode>General</c:formatCode>
                <c:ptCount val="5"/>
                <c:pt idx="0">
                  <c:v>0.56179535000000003</c:v>
                </c:pt>
                <c:pt idx="1">
                  <c:v>0.27160507</c:v>
                </c:pt>
                <c:pt idx="2">
                  <c:v>0.37472465999999999</c:v>
                </c:pt>
                <c:pt idx="3">
                  <c:v>1.0368446</c:v>
                </c:pt>
                <c:pt idx="4">
                  <c:v>5.3347211000000003</c:v>
                </c:pt>
              </c:numCache>
            </c:numRef>
          </c:val>
          <c:smooth val="0"/>
          <c:extLst>
            <c:ext xmlns:c16="http://schemas.microsoft.com/office/drawing/2014/chart" uri="{C3380CC4-5D6E-409C-BE32-E72D297353CC}">
              <c16:uniqueId val="{0000000A-D5FB-49EA-A89D-91B8F82AB48E}"/>
            </c:ext>
          </c:extLst>
        </c:ser>
        <c:ser>
          <c:idx val="11"/>
          <c:order val="11"/>
          <c:tx>
            <c:strRef>
              <c:f>'All UMPs effect on each dis.&amp;co'!$A$13</c:f>
              <c:strCache>
                <c:ptCount val="1"/>
                <c:pt idx="0">
                  <c:v>Netherlands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dis.&amp;co'!$B$13:$F$13</c:f>
              <c:numCache>
                <c:formatCode>General</c:formatCode>
                <c:ptCount val="5"/>
                <c:pt idx="0">
                  <c:v>0.95748520000000004</c:v>
                </c:pt>
                <c:pt idx="1">
                  <c:v>0.61778414000000004</c:v>
                </c:pt>
                <c:pt idx="2">
                  <c:v>0.41519930999999999</c:v>
                </c:pt>
                <c:pt idx="3">
                  <c:v>0.60724926000000001</c:v>
                </c:pt>
                <c:pt idx="4">
                  <c:v>1.0239651999999999</c:v>
                </c:pt>
              </c:numCache>
            </c:numRef>
          </c:val>
          <c:smooth val="0"/>
          <c:extLst>
            <c:ext xmlns:c16="http://schemas.microsoft.com/office/drawing/2014/chart" uri="{C3380CC4-5D6E-409C-BE32-E72D297353CC}">
              <c16:uniqueId val="{0000000B-D5FB-49EA-A89D-91B8F82AB48E}"/>
            </c:ext>
          </c:extLst>
        </c:ser>
        <c:ser>
          <c:idx val="12"/>
          <c:order val="12"/>
          <c:tx>
            <c:strRef>
              <c:f>'All UMPs effect on each dis.&amp;co'!$A$14</c:f>
              <c:strCache>
                <c:ptCount val="1"/>
                <c:pt idx="0">
                  <c:v>Portugal</c:v>
                </c:pt>
              </c:strCache>
            </c:strRef>
          </c:tx>
          <c:spPr>
            <a:ln w="28575"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dis.&amp;co'!$B$14:$F$14</c:f>
              <c:numCache>
                <c:formatCode>General</c:formatCode>
                <c:ptCount val="5"/>
                <c:pt idx="0">
                  <c:v>0.18809222</c:v>
                </c:pt>
                <c:pt idx="1">
                  <c:v>0.21584508999999999</c:v>
                </c:pt>
                <c:pt idx="2">
                  <c:v>0.79650443999999998</c:v>
                </c:pt>
                <c:pt idx="3">
                  <c:v>1.6574624</c:v>
                </c:pt>
                <c:pt idx="4">
                  <c:v>4.4783916000000001</c:v>
                </c:pt>
              </c:numCache>
            </c:numRef>
          </c:val>
          <c:smooth val="0"/>
          <c:extLst>
            <c:ext xmlns:c16="http://schemas.microsoft.com/office/drawing/2014/chart" uri="{C3380CC4-5D6E-409C-BE32-E72D297353CC}">
              <c16:uniqueId val="{0000000C-D5FB-49EA-A89D-91B8F82AB48E}"/>
            </c:ext>
          </c:extLst>
        </c:ser>
        <c:ser>
          <c:idx val="13"/>
          <c:order val="13"/>
          <c:tx>
            <c:strRef>
              <c:f>'All UMPs effect on each dis.&amp;co'!$A$15</c:f>
              <c:strCache>
                <c:ptCount val="1"/>
                <c:pt idx="0">
                  <c:v>Slovenia</c:v>
                </c:pt>
              </c:strCache>
            </c:strRef>
          </c:tx>
          <c:spPr>
            <a:ln w="28575"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dis.&amp;co'!$B$15:$F$15</c:f>
              <c:numCache>
                <c:formatCode>General</c:formatCode>
                <c:ptCount val="5"/>
                <c:pt idx="0">
                  <c:v>0.34528377999999998</c:v>
                </c:pt>
                <c:pt idx="1">
                  <c:v>0.22888612999999999</c:v>
                </c:pt>
                <c:pt idx="2">
                  <c:v>0.53617298999999996</c:v>
                </c:pt>
                <c:pt idx="3">
                  <c:v>2.7129976999999998</c:v>
                </c:pt>
                <c:pt idx="4">
                  <c:v>6.9105568000000002</c:v>
                </c:pt>
              </c:numCache>
            </c:numRef>
          </c:val>
          <c:smooth val="0"/>
          <c:extLst>
            <c:ext xmlns:c16="http://schemas.microsoft.com/office/drawing/2014/chart" uri="{C3380CC4-5D6E-409C-BE32-E72D297353CC}">
              <c16:uniqueId val="{0000000D-D5FB-49EA-A89D-91B8F82AB48E}"/>
            </c:ext>
          </c:extLst>
        </c:ser>
        <c:ser>
          <c:idx val="14"/>
          <c:order val="14"/>
          <c:tx>
            <c:strRef>
              <c:f>'All UMPs effect on each dis.&amp;co'!$A$16</c:f>
              <c:strCache>
                <c:ptCount val="1"/>
                <c:pt idx="0">
                  <c:v>Slovakia</c:v>
                </c:pt>
              </c:strCache>
            </c:strRef>
          </c:tx>
          <c:spPr>
            <a:ln w="28575" cap="rnd">
              <a:solidFill>
                <a:schemeClr val="accent3">
                  <a:lumMod val="80000"/>
                  <a:lumOff val="20000"/>
                </a:schemeClr>
              </a:solid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cat>
            <c:strRef>
              <c:f>'All UMPs effect on each dis.&amp;co'!$B$1:$F$1</c:f>
              <c:strCache>
                <c:ptCount val="5"/>
                <c:pt idx="0">
                  <c:v>Lowest 25%</c:v>
                </c:pt>
                <c:pt idx="1">
                  <c:v>25-50%</c:v>
                </c:pt>
                <c:pt idx="2">
                  <c:v>50-75%</c:v>
                </c:pt>
                <c:pt idx="3">
                  <c:v>75-95%</c:v>
                </c:pt>
                <c:pt idx="4">
                  <c:v>Top 5%</c:v>
                </c:pt>
              </c:strCache>
            </c:strRef>
          </c:cat>
          <c:val>
            <c:numRef>
              <c:f>'All UMPs effect on each dis.&amp;co'!$B$16:$F$16</c:f>
              <c:numCache>
                <c:formatCode>General</c:formatCode>
                <c:ptCount val="5"/>
                <c:pt idx="0">
                  <c:v>9.0444120000000003E-2</c:v>
                </c:pt>
                <c:pt idx="1">
                  <c:v>0.19953826</c:v>
                </c:pt>
                <c:pt idx="2">
                  <c:v>1.3749602999999999</c:v>
                </c:pt>
                <c:pt idx="3">
                  <c:v>4.0674739000000004</c:v>
                </c:pt>
                <c:pt idx="4">
                  <c:v>4.8698468000000004</c:v>
                </c:pt>
              </c:numCache>
            </c:numRef>
          </c:val>
          <c:smooth val="0"/>
          <c:extLst>
            <c:ext xmlns:c16="http://schemas.microsoft.com/office/drawing/2014/chart" uri="{C3380CC4-5D6E-409C-BE32-E72D297353CC}">
              <c16:uniqueId val="{0000000E-D5FB-49EA-A89D-91B8F82AB48E}"/>
            </c:ext>
          </c:extLst>
        </c:ser>
        <c:dLbls>
          <c:showLegendKey val="0"/>
          <c:showVal val="0"/>
          <c:showCatName val="0"/>
          <c:showSerName val="0"/>
          <c:showPercent val="0"/>
          <c:showBubbleSize val="0"/>
        </c:dLbls>
        <c:marker val="1"/>
        <c:smooth val="0"/>
        <c:axId val="796612304"/>
        <c:axId val="823100816"/>
      </c:lineChart>
      <c:catAx>
        <c:axId val="79661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3100816"/>
        <c:crosses val="autoZero"/>
        <c:auto val="1"/>
        <c:lblAlgn val="ctr"/>
        <c:lblOffset val="100"/>
        <c:noMultiLvlLbl val="0"/>
      </c:catAx>
      <c:valAx>
        <c:axId val="823100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612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Φύλλο1!$C$2</c:f>
              <c:strCache>
                <c:ptCount val="1"/>
                <c:pt idx="0">
                  <c:v>Real Assets (% of total assets)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Φύλλο1!$B$3:$B$5</c:f>
              <c:numCache>
                <c:formatCode>General</c:formatCode>
                <c:ptCount val="3"/>
                <c:pt idx="0">
                  <c:v>2010</c:v>
                </c:pt>
                <c:pt idx="1">
                  <c:v>2014</c:v>
                </c:pt>
                <c:pt idx="2">
                  <c:v>2017</c:v>
                </c:pt>
              </c:numCache>
            </c:numRef>
          </c:cat>
          <c:val>
            <c:numRef>
              <c:f>Φύλλο1!$C$3:$C$5</c:f>
              <c:numCache>
                <c:formatCode>0.00</c:formatCode>
                <c:ptCount val="3"/>
                <c:pt idx="0">
                  <c:v>81.095326</c:v>
                </c:pt>
                <c:pt idx="1">
                  <c:v>76.502115000000003</c:v>
                </c:pt>
                <c:pt idx="2">
                  <c:v>61.843470000000003</c:v>
                </c:pt>
              </c:numCache>
            </c:numRef>
          </c:val>
          <c:extLst>
            <c:ext xmlns:c16="http://schemas.microsoft.com/office/drawing/2014/chart" uri="{C3380CC4-5D6E-409C-BE32-E72D297353CC}">
              <c16:uniqueId val="{00000000-8C17-4450-ABD6-FA884C9AE5E3}"/>
            </c:ext>
          </c:extLst>
        </c:ser>
        <c:ser>
          <c:idx val="1"/>
          <c:order val="1"/>
          <c:tx>
            <c:strRef>
              <c:f>Φύλλο1!$D$2</c:f>
              <c:strCache>
                <c:ptCount val="1"/>
                <c:pt idx="0">
                  <c:v>Financial Assets (% of total assets)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Φύλλο1!$B$3:$B$5</c:f>
              <c:numCache>
                <c:formatCode>General</c:formatCode>
                <c:ptCount val="3"/>
                <c:pt idx="0">
                  <c:v>2010</c:v>
                </c:pt>
                <c:pt idx="1">
                  <c:v>2014</c:v>
                </c:pt>
                <c:pt idx="2">
                  <c:v>2017</c:v>
                </c:pt>
              </c:numCache>
            </c:numRef>
          </c:cat>
          <c:val>
            <c:numRef>
              <c:f>Φύλλο1!$D$3:$D$5</c:f>
              <c:numCache>
                <c:formatCode>0.00</c:formatCode>
                <c:ptCount val="3"/>
                <c:pt idx="0">
                  <c:v>18.904678999999998</c:v>
                </c:pt>
                <c:pt idx="1">
                  <c:v>23.497888</c:v>
                </c:pt>
                <c:pt idx="2">
                  <c:v>38.156529999999997</c:v>
                </c:pt>
              </c:numCache>
            </c:numRef>
          </c:val>
          <c:extLst>
            <c:ext xmlns:c16="http://schemas.microsoft.com/office/drawing/2014/chart" uri="{C3380CC4-5D6E-409C-BE32-E72D297353CC}">
              <c16:uniqueId val="{00000001-8C17-4450-ABD6-FA884C9AE5E3}"/>
            </c:ext>
          </c:extLst>
        </c:ser>
        <c:dLbls>
          <c:dLblPos val="ctr"/>
          <c:showLegendKey val="0"/>
          <c:showVal val="1"/>
          <c:showCatName val="0"/>
          <c:showSerName val="0"/>
          <c:showPercent val="0"/>
          <c:showBubbleSize val="0"/>
        </c:dLbls>
        <c:gapWidth val="150"/>
        <c:overlap val="100"/>
        <c:axId val="374935120"/>
        <c:axId val="374936104"/>
      </c:barChart>
      <c:catAx>
        <c:axId val="37493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936104"/>
        <c:crosses val="autoZero"/>
        <c:auto val="1"/>
        <c:lblAlgn val="ctr"/>
        <c:lblOffset val="100"/>
        <c:noMultiLvlLbl val="0"/>
      </c:catAx>
      <c:valAx>
        <c:axId val="374936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93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47434794670166E-2"/>
          <c:y val="6.4257028112449793E-2"/>
          <c:w val="0.89815162147496908"/>
          <c:h val="0.75070929386838703"/>
        </c:manualLayout>
      </c:layout>
      <c:barChart>
        <c:barDir val="col"/>
        <c:grouping val="percentStacked"/>
        <c:varyColors val="0"/>
        <c:ser>
          <c:idx val="0"/>
          <c:order val="0"/>
          <c:tx>
            <c:strRef>
              <c:f>Φύλλο1!$H$2</c:f>
              <c:strCache>
                <c:ptCount val="1"/>
                <c:pt idx="0">
                  <c:v>Main residence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Φύλλο1!$G$3:$G$4</c:f>
              <c:numCache>
                <c:formatCode>General</c:formatCode>
                <c:ptCount val="2"/>
                <c:pt idx="0">
                  <c:v>2010</c:v>
                </c:pt>
                <c:pt idx="1">
                  <c:v>2014</c:v>
                </c:pt>
              </c:numCache>
            </c:numRef>
          </c:cat>
          <c:val>
            <c:numRef>
              <c:f>Φύλλο1!$H$3:$H$4</c:f>
              <c:numCache>
                <c:formatCode>0.00</c:formatCode>
                <c:ptCount val="2"/>
                <c:pt idx="0">
                  <c:v>46.153169999999996</c:v>
                </c:pt>
                <c:pt idx="1">
                  <c:v>46.011233000000004</c:v>
                </c:pt>
              </c:numCache>
            </c:numRef>
          </c:val>
          <c:extLst>
            <c:ext xmlns:c16="http://schemas.microsoft.com/office/drawing/2014/chart" uri="{C3380CC4-5D6E-409C-BE32-E72D297353CC}">
              <c16:uniqueId val="{00000000-5E87-497B-BA5F-949702FD2ECA}"/>
            </c:ext>
          </c:extLst>
        </c:ser>
        <c:ser>
          <c:idx val="1"/>
          <c:order val="1"/>
          <c:tx>
            <c:strRef>
              <c:f>Φύλλο1!$I$2</c:f>
              <c:strCache>
                <c:ptCount val="1"/>
                <c:pt idx="0">
                  <c:v>Other real estate property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Φύλλο1!$G$3:$G$4</c:f>
              <c:numCache>
                <c:formatCode>General</c:formatCode>
                <c:ptCount val="2"/>
                <c:pt idx="0">
                  <c:v>2010</c:v>
                </c:pt>
                <c:pt idx="1">
                  <c:v>2014</c:v>
                </c:pt>
              </c:numCache>
            </c:numRef>
          </c:cat>
          <c:val>
            <c:numRef>
              <c:f>Φύλλο1!$I$3:$I$4</c:f>
              <c:numCache>
                <c:formatCode>0.00</c:formatCode>
                <c:ptCount val="2"/>
                <c:pt idx="0">
                  <c:v>31.789759</c:v>
                </c:pt>
                <c:pt idx="1">
                  <c:v>29.670781000000002</c:v>
                </c:pt>
              </c:numCache>
            </c:numRef>
          </c:val>
          <c:extLst>
            <c:ext xmlns:c16="http://schemas.microsoft.com/office/drawing/2014/chart" uri="{C3380CC4-5D6E-409C-BE32-E72D297353CC}">
              <c16:uniqueId val="{00000001-5E87-497B-BA5F-949702FD2ECA}"/>
            </c:ext>
          </c:extLst>
        </c:ser>
        <c:ser>
          <c:idx val="2"/>
          <c:order val="2"/>
          <c:tx>
            <c:strRef>
              <c:f>Φύλλο1!$J$2</c:f>
              <c:strCache>
                <c:ptCount val="1"/>
                <c:pt idx="0">
                  <c:v>Self-employment business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Φύλλο1!$G$3:$G$4</c:f>
              <c:numCache>
                <c:formatCode>General</c:formatCode>
                <c:ptCount val="2"/>
                <c:pt idx="0">
                  <c:v>2010</c:v>
                </c:pt>
                <c:pt idx="1">
                  <c:v>2014</c:v>
                </c:pt>
              </c:numCache>
            </c:numRef>
          </c:cat>
          <c:val>
            <c:numRef>
              <c:f>Φύλλο1!$J$3:$J$4</c:f>
              <c:numCache>
                <c:formatCode>0.00</c:formatCode>
                <c:ptCount val="2"/>
                <c:pt idx="0">
                  <c:v>17.623958999999999</c:v>
                </c:pt>
                <c:pt idx="1">
                  <c:v>19.374675</c:v>
                </c:pt>
              </c:numCache>
            </c:numRef>
          </c:val>
          <c:extLst>
            <c:ext xmlns:c16="http://schemas.microsoft.com/office/drawing/2014/chart" uri="{C3380CC4-5D6E-409C-BE32-E72D297353CC}">
              <c16:uniqueId val="{00000002-5E87-497B-BA5F-949702FD2ECA}"/>
            </c:ext>
          </c:extLst>
        </c:ser>
        <c:ser>
          <c:idx val="3"/>
          <c:order val="3"/>
          <c:tx>
            <c:strRef>
              <c:f>Φύλλο1!$K$2</c:f>
              <c:strCache>
                <c:ptCount val="1"/>
                <c:pt idx="0">
                  <c:v>Other</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Φύλλο1!$G$3:$G$4</c:f>
              <c:numCache>
                <c:formatCode>General</c:formatCode>
                <c:ptCount val="2"/>
                <c:pt idx="0">
                  <c:v>2010</c:v>
                </c:pt>
                <c:pt idx="1">
                  <c:v>2014</c:v>
                </c:pt>
              </c:numCache>
            </c:numRef>
          </c:cat>
          <c:val>
            <c:numRef>
              <c:f>Φύλλο1!$K$3:$K$4</c:f>
              <c:numCache>
                <c:formatCode>0.00</c:formatCode>
                <c:ptCount val="2"/>
                <c:pt idx="0">
                  <c:v>4.4331120000000057</c:v>
                </c:pt>
                <c:pt idx="1">
                  <c:v>4.9433109999999942</c:v>
                </c:pt>
              </c:numCache>
            </c:numRef>
          </c:val>
          <c:extLst>
            <c:ext xmlns:c16="http://schemas.microsoft.com/office/drawing/2014/chart" uri="{C3380CC4-5D6E-409C-BE32-E72D297353CC}">
              <c16:uniqueId val="{00000003-5E87-497B-BA5F-949702FD2ECA}"/>
            </c:ext>
          </c:extLst>
        </c:ser>
        <c:dLbls>
          <c:dLblPos val="ctr"/>
          <c:showLegendKey val="0"/>
          <c:showVal val="1"/>
          <c:showCatName val="0"/>
          <c:showSerName val="0"/>
          <c:showPercent val="0"/>
          <c:showBubbleSize val="0"/>
        </c:dLbls>
        <c:gapWidth val="150"/>
        <c:overlap val="100"/>
        <c:axId val="307420192"/>
        <c:axId val="307423144"/>
      </c:barChart>
      <c:catAx>
        <c:axId val="307420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423144"/>
        <c:crosses val="autoZero"/>
        <c:auto val="1"/>
        <c:lblAlgn val="ctr"/>
        <c:lblOffset val="100"/>
        <c:noMultiLvlLbl val="0"/>
      </c:catAx>
      <c:valAx>
        <c:axId val="307423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42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Φύλλο1!$O$2</c:f>
              <c:strCache>
                <c:ptCount val="1"/>
                <c:pt idx="0">
                  <c:v>Deposits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Φύλλο1!$O$3:$O$4</c:f>
              <c:numCache>
                <c:formatCode>0.00</c:formatCode>
                <c:ptCount val="2"/>
                <c:pt idx="0">
                  <c:v>29.017004</c:v>
                </c:pt>
                <c:pt idx="1">
                  <c:v>25.862601000000002</c:v>
                </c:pt>
              </c:numCache>
            </c:numRef>
          </c:val>
          <c:extLst>
            <c:ext xmlns:c16="http://schemas.microsoft.com/office/drawing/2014/chart" uri="{C3380CC4-5D6E-409C-BE32-E72D297353CC}">
              <c16:uniqueId val="{00000000-A1E2-4896-A701-E104EB4FB97E}"/>
            </c:ext>
          </c:extLst>
        </c:ser>
        <c:ser>
          <c:idx val="1"/>
          <c:order val="1"/>
          <c:tx>
            <c:strRef>
              <c:f>Φύλλο1!$P$2</c:f>
              <c:strCache>
                <c:ptCount val="1"/>
                <c:pt idx="0">
                  <c:v>Mutual Funds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Φύλλο1!$P$3:$P$4</c:f>
              <c:numCache>
                <c:formatCode>0.00</c:formatCode>
                <c:ptCount val="2"/>
                <c:pt idx="0">
                  <c:v>11.073478</c:v>
                </c:pt>
                <c:pt idx="1">
                  <c:v>11.127606</c:v>
                </c:pt>
              </c:numCache>
            </c:numRef>
          </c:val>
          <c:extLst>
            <c:ext xmlns:c16="http://schemas.microsoft.com/office/drawing/2014/chart" uri="{C3380CC4-5D6E-409C-BE32-E72D297353CC}">
              <c16:uniqueId val="{00000001-A1E2-4896-A701-E104EB4FB97E}"/>
            </c:ext>
          </c:extLst>
        </c:ser>
        <c:ser>
          <c:idx val="2"/>
          <c:order val="2"/>
          <c:tx>
            <c:strRef>
              <c:f>Φύλλο1!$Q$2</c:f>
              <c:strCache>
                <c:ptCount val="1"/>
                <c:pt idx="0">
                  <c:v>Equity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Φύλλο1!$Q$3:$Q$4</c:f>
              <c:numCache>
                <c:formatCode>0.00</c:formatCode>
                <c:ptCount val="2"/>
                <c:pt idx="0">
                  <c:v>17.067837999999998</c:v>
                </c:pt>
                <c:pt idx="1">
                  <c:v>17.622993999999998</c:v>
                </c:pt>
              </c:numCache>
            </c:numRef>
          </c:val>
          <c:extLst>
            <c:ext xmlns:c16="http://schemas.microsoft.com/office/drawing/2014/chart" uri="{C3380CC4-5D6E-409C-BE32-E72D297353CC}">
              <c16:uniqueId val="{00000002-A1E2-4896-A701-E104EB4FB97E}"/>
            </c:ext>
          </c:extLst>
        </c:ser>
        <c:ser>
          <c:idx val="3"/>
          <c:order val="3"/>
          <c:tx>
            <c:strRef>
              <c:f>Φύλλο1!$R$2</c:f>
              <c:strCache>
                <c:ptCount val="1"/>
                <c:pt idx="0">
                  <c:v>Pension Funds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Φύλλο1!$R$3:$R$4</c:f>
              <c:numCache>
                <c:formatCode>0.00</c:formatCode>
                <c:ptCount val="2"/>
                <c:pt idx="0">
                  <c:v>24.667180999999999</c:v>
                </c:pt>
                <c:pt idx="1">
                  <c:v>22.430669000000002</c:v>
                </c:pt>
              </c:numCache>
            </c:numRef>
          </c:val>
          <c:extLst>
            <c:ext xmlns:c16="http://schemas.microsoft.com/office/drawing/2014/chart" uri="{C3380CC4-5D6E-409C-BE32-E72D297353CC}">
              <c16:uniqueId val="{00000003-A1E2-4896-A701-E104EB4FB97E}"/>
            </c:ext>
          </c:extLst>
        </c:ser>
        <c:ser>
          <c:idx val="4"/>
          <c:order val="4"/>
          <c:tx>
            <c:strRef>
              <c:f>Φύλλο1!$S$2</c:f>
              <c:strCache>
                <c:ptCount val="1"/>
                <c:pt idx="0">
                  <c:v>Non self-employment business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Φύλλο1!$S$3:$S$4</c:f>
              <c:numCache>
                <c:formatCode>0.00</c:formatCode>
                <c:ptCount val="2"/>
                <c:pt idx="0">
                  <c:v>10.014666999999999</c:v>
                </c:pt>
                <c:pt idx="1">
                  <c:v>15.134418</c:v>
                </c:pt>
              </c:numCache>
            </c:numRef>
          </c:val>
          <c:extLst>
            <c:ext xmlns:c16="http://schemas.microsoft.com/office/drawing/2014/chart" uri="{C3380CC4-5D6E-409C-BE32-E72D297353CC}">
              <c16:uniqueId val="{00000004-A1E2-4896-A701-E104EB4FB97E}"/>
            </c:ext>
          </c:extLst>
        </c:ser>
        <c:ser>
          <c:idx val="5"/>
          <c:order val="5"/>
          <c:tx>
            <c:strRef>
              <c:f>Φύλλο1!$T$2</c:f>
              <c:strCache>
                <c:ptCount val="1"/>
                <c:pt idx="0">
                  <c:v>Other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Φύλλο1!$N$3:$N$4</c:f>
              <c:numCache>
                <c:formatCode>General</c:formatCode>
                <c:ptCount val="2"/>
                <c:pt idx="0">
                  <c:v>2010</c:v>
                </c:pt>
                <c:pt idx="1">
                  <c:v>2014</c:v>
                </c:pt>
              </c:numCache>
            </c:numRef>
          </c:cat>
          <c:val>
            <c:numRef>
              <c:f>Φύλλο1!$T$3:$T$4</c:f>
              <c:numCache>
                <c:formatCode>0.00</c:formatCode>
                <c:ptCount val="2"/>
                <c:pt idx="0">
                  <c:v>8.1598319999999891</c:v>
                </c:pt>
                <c:pt idx="1">
                  <c:v>7.8217119999999918</c:v>
                </c:pt>
              </c:numCache>
            </c:numRef>
          </c:val>
          <c:extLst>
            <c:ext xmlns:c16="http://schemas.microsoft.com/office/drawing/2014/chart" uri="{C3380CC4-5D6E-409C-BE32-E72D297353CC}">
              <c16:uniqueId val="{00000005-A1E2-4896-A701-E104EB4FB97E}"/>
            </c:ext>
          </c:extLst>
        </c:ser>
        <c:dLbls>
          <c:dLblPos val="ctr"/>
          <c:showLegendKey val="0"/>
          <c:showVal val="1"/>
          <c:showCatName val="0"/>
          <c:showSerName val="0"/>
          <c:showPercent val="0"/>
          <c:showBubbleSize val="0"/>
        </c:dLbls>
        <c:gapWidth val="150"/>
        <c:overlap val="100"/>
        <c:axId val="565656072"/>
        <c:axId val="565651808"/>
      </c:barChart>
      <c:catAx>
        <c:axId val="565656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651808"/>
        <c:crosses val="autoZero"/>
        <c:auto val="1"/>
        <c:lblAlgn val="ctr"/>
        <c:lblOffset val="100"/>
        <c:noMultiLvlLbl val="0"/>
      </c:catAx>
      <c:valAx>
        <c:axId val="5656518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656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055347975607233E-2"/>
          <c:y val="6.7772836182615037E-2"/>
          <c:w val="0.89017934006102706"/>
          <c:h val="0.76546790291032829"/>
        </c:manualLayout>
      </c:layout>
      <c:barChart>
        <c:barDir val="col"/>
        <c:grouping val="percentStacked"/>
        <c:varyColors val="0"/>
        <c:ser>
          <c:idx val="0"/>
          <c:order val="0"/>
          <c:tx>
            <c:strRef>
              <c:f>Φύλλο1!$C$2</c:f>
              <c:strCache>
                <c:ptCount val="1"/>
                <c:pt idx="0">
                  <c:v>Main residence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Φύλλο1!$B$3:$B$4</c:f>
              <c:numCache>
                <c:formatCode>General</c:formatCode>
                <c:ptCount val="2"/>
                <c:pt idx="0">
                  <c:v>2010</c:v>
                </c:pt>
                <c:pt idx="1">
                  <c:v>2014</c:v>
                </c:pt>
              </c:numCache>
            </c:numRef>
          </c:cat>
          <c:val>
            <c:numRef>
              <c:f>Φύλλο1!$C$3:$C$4</c:f>
              <c:numCache>
                <c:formatCode>0.00</c:formatCode>
                <c:ptCount val="2"/>
                <c:pt idx="0">
                  <c:v>58.793974000000006</c:v>
                </c:pt>
                <c:pt idx="1">
                  <c:v>60.561841999999999</c:v>
                </c:pt>
              </c:numCache>
            </c:numRef>
          </c:val>
          <c:extLst>
            <c:ext xmlns:c16="http://schemas.microsoft.com/office/drawing/2014/chart" uri="{C3380CC4-5D6E-409C-BE32-E72D297353CC}">
              <c16:uniqueId val="{00000000-3CC0-443E-99A6-19FCABC406D9}"/>
            </c:ext>
          </c:extLst>
        </c:ser>
        <c:ser>
          <c:idx val="1"/>
          <c:order val="1"/>
          <c:tx>
            <c:strRef>
              <c:f>Φύλλο1!$D$2</c:f>
              <c:strCache>
                <c:ptCount val="1"/>
                <c:pt idx="0">
                  <c:v>Other real estate property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Φύλλο1!$B$3:$B$4</c:f>
              <c:numCache>
                <c:formatCode>General</c:formatCode>
                <c:ptCount val="2"/>
                <c:pt idx="0">
                  <c:v>2010</c:v>
                </c:pt>
                <c:pt idx="1">
                  <c:v>2014</c:v>
                </c:pt>
              </c:numCache>
            </c:numRef>
          </c:cat>
          <c:val>
            <c:numRef>
              <c:f>Φύλλο1!$D$3:$D$4</c:f>
              <c:numCache>
                <c:formatCode>0.00</c:formatCode>
                <c:ptCount val="2"/>
                <c:pt idx="0">
                  <c:v>40.616909</c:v>
                </c:pt>
                <c:pt idx="1">
                  <c:v>39.068868999999999</c:v>
                </c:pt>
              </c:numCache>
            </c:numRef>
          </c:val>
          <c:extLst>
            <c:ext xmlns:c16="http://schemas.microsoft.com/office/drawing/2014/chart" uri="{C3380CC4-5D6E-409C-BE32-E72D297353CC}">
              <c16:uniqueId val="{00000001-3CC0-443E-99A6-19FCABC406D9}"/>
            </c:ext>
          </c:extLst>
        </c:ser>
        <c:ser>
          <c:idx val="2"/>
          <c:order val="2"/>
          <c:tx>
            <c:strRef>
              <c:f>Φύλλο1!$E$2</c:f>
              <c:strCache>
                <c:ptCount val="1"/>
                <c:pt idx="0">
                  <c:v>Real estate funds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Φύλλο1!$B$3:$B$4</c:f>
              <c:numCache>
                <c:formatCode>General</c:formatCode>
                <c:ptCount val="2"/>
                <c:pt idx="0">
                  <c:v>2010</c:v>
                </c:pt>
                <c:pt idx="1">
                  <c:v>2014</c:v>
                </c:pt>
              </c:numCache>
            </c:numRef>
          </c:cat>
          <c:val>
            <c:numRef>
              <c:f>Φύλλο1!$E$3:$E$4</c:f>
              <c:numCache>
                <c:formatCode>0.00</c:formatCode>
                <c:ptCount val="2"/>
                <c:pt idx="0">
                  <c:v>0.58911600000000008</c:v>
                </c:pt>
                <c:pt idx="1">
                  <c:v>0.36928299999999997</c:v>
                </c:pt>
              </c:numCache>
            </c:numRef>
          </c:val>
          <c:extLst>
            <c:ext xmlns:c16="http://schemas.microsoft.com/office/drawing/2014/chart" uri="{C3380CC4-5D6E-409C-BE32-E72D297353CC}">
              <c16:uniqueId val="{00000002-3CC0-443E-99A6-19FCABC406D9}"/>
            </c:ext>
          </c:extLst>
        </c:ser>
        <c:dLbls>
          <c:dLblPos val="ctr"/>
          <c:showLegendKey val="0"/>
          <c:showVal val="1"/>
          <c:showCatName val="0"/>
          <c:showSerName val="0"/>
          <c:showPercent val="0"/>
          <c:showBubbleSize val="0"/>
        </c:dLbls>
        <c:gapWidth val="150"/>
        <c:overlap val="100"/>
        <c:axId val="564515264"/>
        <c:axId val="564509032"/>
      </c:barChart>
      <c:catAx>
        <c:axId val="56451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4509032"/>
        <c:crosses val="autoZero"/>
        <c:auto val="1"/>
        <c:lblAlgn val="ctr"/>
        <c:lblOffset val="100"/>
        <c:noMultiLvlLbl val="0"/>
      </c:catAx>
      <c:valAx>
        <c:axId val="56450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4515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47434794670166E-2"/>
          <c:y val="4.7412090082971155E-2"/>
          <c:w val="0.89815162147496908"/>
          <c:h val="0.77055161664649685"/>
        </c:manualLayout>
      </c:layout>
      <c:barChart>
        <c:barDir val="col"/>
        <c:grouping val="percentStacked"/>
        <c:varyColors val="0"/>
        <c:ser>
          <c:idx val="0"/>
          <c:order val="0"/>
          <c:tx>
            <c:strRef>
              <c:f>Φύλλο1!$P$2</c:f>
              <c:strCache>
                <c:ptCount val="1"/>
                <c:pt idx="0">
                  <c:v>Bond holdings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Φύλλο1!$O$3:$O$4</c:f>
              <c:numCache>
                <c:formatCode>General</c:formatCode>
                <c:ptCount val="2"/>
                <c:pt idx="0">
                  <c:v>2010</c:v>
                </c:pt>
                <c:pt idx="1">
                  <c:v>2014</c:v>
                </c:pt>
              </c:numCache>
            </c:numRef>
          </c:cat>
          <c:val>
            <c:numRef>
              <c:f>Φύλλο1!$P$3:$P$4</c:f>
              <c:numCache>
                <c:formatCode>0.00</c:formatCode>
                <c:ptCount val="2"/>
                <c:pt idx="0">
                  <c:v>26.954716000000001</c:v>
                </c:pt>
                <c:pt idx="1">
                  <c:v>24.583331999999999</c:v>
                </c:pt>
              </c:numCache>
            </c:numRef>
          </c:val>
          <c:extLst>
            <c:ext xmlns:c16="http://schemas.microsoft.com/office/drawing/2014/chart" uri="{C3380CC4-5D6E-409C-BE32-E72D297353CC}">
              <c16:uniqueId val="{00000000-A69A-437B-A279-8A1B0D9CA804}"/>
            </c:ext>
          </c:extLst>
        </c:ser>
        <c:ser>
          <c:idx val="1"/>
          <c:order val="1"/>
          <c:tx>
            <c:strRef>
              <c:f>Φύλλο1!$Q$2</c:f>
              <c:strCache>
                <c:ptCount val="1"/>
                <c:pt idx="0">
                  <c:v>Mutual funds in bonds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Φύλλο1!$O$3:$O$4</c:f>
              <c:numCache>
                <c:formatCode>General</c:formatCode>
                <c:ptCount val="2"/>
                <c:pt idx="0">
                  <c:v>2010</c:v>
                </c:pt>
                <c:pt idx="1">
                  <c:v>2014</c:v>
                </c:pt>
              </c:numCache>
            </c:numRef>
          </c:cat>
          <c:val>
            <c:numRef>
              <c:f>Φύλλο1!$Q$3:$Q$4</c:f>
              <c:numCache>
                <c:formatCode>0.00</c:formatCode>
                <c:ptCount val="2"/>
                <c:pt idx="0">
                  <c:v>14.00459</c:v>
                </c:pt>
                <c:pt idx="1">
                  <c:v>11.620286</c:v>
                </c:pt>
              </c:numCache>
            </c:numRef>
          </c:val>
          <c:extLst>
            <c:ext xmlns:c16="http://schemas.microsoft.com/office/drawing/2014/chart" uri="{C3380CC4-5D6E-409C-BE32-E72D297353CC}">
              <c16:uniqueId val="{00000001-A69A-437B-A279-8A1B0D9CA804}"/>
            </c:ext>
          </c:extLst>
        </c:ser>
        <c:ser>
          <c:idx val="2"/>
          <c:order val="2"/>
          <c:tx>
            <c:strRef>
              <c:f>Φύλλο1!$R$2</c:f>
              <c:strCache>
                <c:ptCount val="1"/>
                <c:pt idx="0">
                  <c:v>Pension holdings in bonds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Φύλλο1!$O$3:$O$4</c:f>
              <c:numCache>
                <c:formatCode>General</c:formatCode>
                <c:ptCount val="2"/>
                <c:pt idx="0">
                  <c:v>2010</c:v>
                </c:pt>
                <c:pt idx="1">
                  <c:v>2014</c:v>
                </c:pt>
              </c:numCache>
            </c:numRef>
          </c:cat>
          <c:val>
            <c:numRef>
              <c:f>Φύλλο1!$R$3:$R$4</c:f>
              <c:numCache>
                <c:formatCode>0.00</c:formatCode>
                <c:ptCount val="2"/>
                <c:pt idx="0">
                  <c:v>59.040689</c:v>
                </c:pt>
                <c:pt idx="1">
                  <c:v>63.796382999999999</c:v>
                </c:pt>
              </c:numCache>
            </c:numRef>
          </c:val>
          <c:extLst>
            <c:ext xmlns:c16="http://schemas.microsoft.com/office/drawing/2014/chart" uri="{C3380CC4-5D6E-409C-BE32-E72D297353CC}">
              <c16:uniqueId val="{00000002-A69A-437B-A279-8A1B0D9CA804}"/>
            </c:ext>
          </c:extLst>
        </c:ser>
        <c:dLbls>
          <c:dLblPos val="ctr"/>
          <c:showLegendKey val="0"/>
          <c:showVal val="1"/>
          <c:showCatName val="0"/>
          <c:showSerName val="0"/>
          <c:showPercent val="0"/>
          <c:showBubbleSize val="0"/>
        </c:dLbls>
        <c:gapWidth val="150"/>
        <c:overlap val="100"/>
        <c:axId val="581231976"/>
        <c:axId val="581230664"/>
      </c:barChart>
      <c:catAx>
        <c:axId val="581231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1230664"/>
        <c:crosses val="autoZero"/>
        <c:auto val="1"/>
        <c:lblAlgn val="ctr"/>
        <c:lblOffset val="100"/>
        <c:noMultiLvlLbl val="0"/>
      </c:catAx>
      <c:valAx>
        <c:axId val="5812306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1231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47434794670166E-2"/>
          <c:y val="9.5634095634095639E-2"/>
          <c:w val="0.89815162147496908"/>
          <c:h val="0.712792574524858"/>
        </c:manualLayout>
      </c:layout>
      <c:barChart>
        <c:barDir val="col"/>
        <c:grouping val="percentStacked"/>
        <c:varyColors val="0"/>
        <c:ser>
          <c:idx val="0"/>
          <c:order val="0"/>
          <c:tx>
            <c:strRef>
              <c:f>Φύλλο1!$I$2</c:f>
              <c:strCache>
                <c:ptCount val="1"/>
                <c:pt idx="0">
                  <c:v>Self-employment businesses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Φύλλο1!$H$3:$H$4</c:f>
              <c:numCache>
                <c:formatCode>General</c:formatCode>
                <c:ptCount val="2"/>
                <c:pt idx="0">
                  <c:v>2010</c:v>
                </c:pt>
                <c:pt idx="1">
                  <c:v>2014</c:v>
                </c:pt>
              </c:numCache>
            </c:numRef>
          </c:cat>
          <c:val>
            <c:numRef>
              <c:f>Φύλλο1!$I$3:$I$4</c:f>
              <c:numCache>
                <c:formatCode>0.00</c:formatCode>
                <c:ptCount val="2"/>
                <c:pt idx="0">
                  <c:v>76.610129999999998</c:v>
                </c:pt>
                <c:pt idx="1">
                  <c:v>73.676503000000011</c:v>
                </c:pt>
              </c:numCache>
            </c:numRef>
          </c:val>
          <c:extLst>
            <c:ext xmlns:c16="http://schemas.microsoft.com/office/drawing/2014/chart" uri="{C3380CC4-5D6E-409C-BE32-E72D297353CC}">
              <c16:uniqueId val="{00000000-4BC3-4970-A001-5F95E88F8898}"/>
            </c:ext>
          </c:extLst>
        </c:ser>
        <c:ser>
          <c:idx val="1"/>
          <c:order val="1"/>
          <c:tx>
            <c:strRef>
              <c:f>Φύλλο1!$J$2</c:f>
              <c:strCache>
                <c:ptCount val="1"/>
                <c:pt idx="0">
                  <c:v>Shares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Φύλλο1!$H$3:$H$4</c:f>
              <c:numCache>
                <c:formatCode>General</c:formatCode>
                <c:ptCount val="2"/>
                <c:pt idx="0">
                  <c:v>2010</c:v>
                </c:pt>
                <c:pt idx="1">
                  <c:v>2014</c:v>
                </c:pt>
              </c:numCache>
            </c:numRef>
          </c:cat>
          <c:val>
            <c:numRef>
              <c:f>Φύλλο1!$J$3:$J$4</c:f>
              <c:numCache>
                <c:formatCode>0.00</c:formatCode>
                <c:ptCount val="2"/>
                <c:pt idx="0">
                  <c:v>17.293966999999999</c:v>
                </c:pt>
                <c:pt idx="1">
                  <c:v>20.619330999999999</c:v>
                </c:pt>
              </c:numCache>
            </c:numRef>
          </c:val>
          <c:extLst>
            <c:ext xmlns:c16="http://schemas.microsoft.com/office/drawing/2014/chart" uri="{C3380CC4-5D6E-409C-BE32-E72D297353CC}">
              <c16:uniqueId val="{00000001-4BC3-4970-A001-5F95E88F8898}"/>
            </c:ext>
          </c:extLst>
        </c:ser>
        <c:ser>
          <c:idx val="2"/>
          <c:order val="2"/>
          <c:tx>
            <c:strRef>
              <c:f>Φύλλο1!$K$2</c:f>
              <c:strCache>
                <c:ptCount val="1"/>
                <c:pt idx="0">
                  <c:v>Mutual funds in equity</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Φύλλο1!$H$3:$H$4</c:f>
              <c:numCache>
                <c:formatCode>General</c:formatCode>
                <c:ptCount val="2"/>
                <c:pt idx="0">
                  <c:v>2010</c:v>
                </c:pt>
                <c:pt idx="1">
                  <c:v>2014</c:v>
                </c:pt>
              </c:numCache>
            </c:numRef>
          </c:cat>
          <c:val>
            <c:numRef>
              <c:f>Φύλλο1!$K$3:$K$4</c:f>
              <c:numCache>
                <c:formatCode>0.00</c:formatCode>
                <c:ptCount val="2"/>
                <c:pt idx="0">
                  <c:v>3.1012550000000001</c:v>
                </c:pt>
                <c:pt idx="1">
                  <c:v>2.815118</c:v>
                </c:pt>
              </c:numCache>
            </c:numRef>
          </c:val>
          <c:extLst>
            <c:ext xmlns:c16="http://schemas.microsoft.com/office/drawing/2014/chart" uri="{C3380CC4-5D6E-409C-BE32-E72D297353CC}">
              <c16:uniqueId val="{00000002-4BC3-4970-A001-5F95E88F8898}"/>
            </c:ext>
          </c:extLst>
        </c:ser>
        <c:ser>
          <c:idx val="3"/>
          <c:order val="3"/>
          <c:tx>
            <c:strRef>
              <c:f>Φύλλο1!$L$2</c:f>
              <c:strCache>
                <c:ptCount val="1"/>
                <c:pt idx="0">
                  <c:v>Pension holdings in equity</c:v>
                </c:pt>
              </c:strCache>
            </c:strRef>
          </c:tx>
          <c:spPr>
            <a:solidFill>
              <a:schemeClr val="accent4"/>
            </a:solidFill>
            <a:ln>
              <a:noFill/>
            </a:ln>
            <a:effectLst/>
          </c:spPr>
          <c:invertIfNegative val="0"/>
          <c:dLbls>
            <c:dLbl>
              <c:idx val="0"/>
              <c:layout>
                <c:manualLayout>
                  <c:x val="0"/>
                  <c:y val="-2.01409869083585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BC3-4970-A001-5F95E88F8898}"/>
                </c:ext>
              </c:extLst>
            </c:dLbl>
            <c:dLbl>
              <c:idx val="1"/>
              <c:layout>
                <c:manualLayout>
                  <c:x val="0"/>
                  <c:y val="-2.01409869083585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BC3-4970-A001-5F95E88F889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Φύλλο1!$H$3:$H$4</c:f>
              <c:numCache>
                <c:formatCode>General</c:formatCode>
                <c:ptCount val="2"/>
                <c:pt idx="0">
                  <c:v>2010</c:v>
                </c:pt>
                <c:pt idx="1">
                  <c:v>2014</c:v>
                </c:pt>
              </c:numCache>
            </c:numRef>
          </c:cat>
          <c:val>
            <c:numRef>
              <c:f>Φύλλο1!$L$3:$L$4</c:f>
              <c:numCache>
                <c:formatCode>0.00</c:formatCode>
                <c:ptCount val="2"/>
                <c:pt idx="0">
                  <c:v>2.9946480000000002</c:v>
                </c:pt>
                <c:pt idx="1">
                  <c:v>2.8890500000000001</c:v>
                </c:pt>
              </c:numCache>
            </c:numRef>
          </c:val>
          <c:extLst>
            <c:ext xmlns:c16="http://schemas.microsoft.com/office/drawing/2014/chart" uri="{C3380CC4-5D6E-409C-BE32-E72D297353CC}">
              <c16:uniqueId val="{00000003-4BC3-4970-A001-5F95E88F8898}"/>
            </c:ext>
          </c:extLst>
        </c:ser>
        <c:dLbls>
          <c:dLblPos val="ctr"/>
          <c:showLegendKey val="0"/>
          <c:showVal val="1"/>
          <c:showCatName val="0"/>
          <c:showSerName val="0"/>
          <c:showPercent val="0"/>
          <c:showBubbleSize val="0"/>
        </c:dLbls>
        <c:gapWidth val="150"/>
        <c:overlap val="100"/>
        <c:axId val="565851712"/>
        <c:axId val="565852368"/>
      </c:barChart>
      <c:catAx>
        <c:axId val="565851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852368"/>
        <c:crosses val="autoZero"/>
        <c:auto val="1"/>
        <c:lblAlgn val="ctr"/>
        <c:lblOffset val="100"/>
        <c:noMultiLvlLbl val="0"/>
      </c:catAx>
      <c:valAx>
        <c:axId val="565852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851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'Euro Area (15) - All countries'!$B$40</c:f>
              <c:strCache>
                <c:ptCount val="1"/>
                <c:pt idx="0">
                  <c:v>Housing Wealth (% of net wealth) 2010</c:v>
                </c:pt>
              </c:strCache>
            </c:strRef>
          </c:tx>
          <c:spPr>
            <a:solidFill>
              <a:schemeClr val="accent1"/>
            </a:solidFill>
            <a:ln>
              <a:noFill/>
            </a:ln>
            <a:effectLst/>
          </c:spPr>
          <c:invertIfNegative val="0"/>
          <c:cat>
            <c:strRef>
              <c:f>'Euro Area (15) - All countries'!$A$41:$A$55</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countries'!$B$41:$B$55</c:f>
              <c:numCache>
                <c:formatCode>0.00</c:formatCode>
                <c:ptCount val="15"/>
                <c:pt idx="0">
                  <c:v>56.842691000000002</c:v>
                </c:pt>
                <c:pt idx="1">
                  <c:v>65.414154999999994</c:v>
                </c:pt>
                <c:pt idx="2">
                  <c:v>70.218485999999999</c:v>
                </c:pt>
                <c:pt idx="3">
                  <c:v>68.631309000000002</c:v>
                </c:pt>
                <c:pt idx="4">
                  <c:v>57.949996000000006</c:v>
                </c:pt>
                <c:pt idx="5">
                  <c:v>89.940178000000003</c:v>
                </c:pt>
                <c:pt idx="6">
                  <c:v>61.589503000000001</c:v>
                </c:pt>
                <c:pt idx="7">
                  <c:v>87.146591999999998</c:v>
                </c:pt>
                <c:pt idx="8">
                  <c:v>79.595369000000005</c:v>
                </c:pt>
                <c:pt idx="9">
                  <c:v>87.193792999999999</c:v>
                </c:pt>
                <c:pt idx="10">
                  <c:v>70.552712999999997</c:v>
                </c:pt>
                <c:pt idx="11">
                  <c:v>95.592600000000004</c:v>
                </c:pt>
                <c:pt idx="12">
                  <c:v>75.112212</c:v>
                </c:pt>
                <c:pt idx="13">
                  <c:v>81.607717000000008</c:v>
                </c:pt>
                <c:pt idx="14">
                  <c:v>83.473401999999993</c:v>
                </c:pt>
              </c:numCache>
            </c:numRef>
          </c:val>
          <c:extLst>
            <c:ext xmlns:c16="http://schemas.microsoft.com/office/drawing/2014/chart" uri="{C3380CC4-5D6E-409C-BE32-E72D297353CC}">
              <c16:uniqueId val="{00000000-15ED-4677-81CE-33A6FC679058}"/>
            </c:ext>
          </c:extLst>
        </c:ser>
        <c:ser>
          <c:idx val="1"/>
          <c:order val="1"/>
          <c:tx>
            <c:strRef>
              <c:f>'Euro Area (15) - All countries'!$C$40</c:f>
              <c:strCache>
                <c:ptCount val="1"/>
                <c:pt idx="0">
                  <c:v>Housing Wealth (% of net wealth) 2014</c:v>
                </c:pt>
              </c:strCache>
            </c:strRef>
          </c:tx>
          <c:spPr>
            <a:solidFill>
              <a:schemeClr val="accent2"/>
            </a:solidFill>
            <a:ln>
              <a:noFill/>
            </a:ln>
            <a:effectLst/>
          </c:spPr>
          <c:invertIfNegative val="0"/>
          <c:cat>
            <c:strRef>
              <c:f>'Euro Area (15) - All countries'!$A$41:$A$55</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countries'!$C$41:$C$55</c:f>
              <c:numCache>
                <c:formatCode>0.00</c:formatCode>
                <c:ptCount val="15"/>
                <c:pt idx="0">
                  <c:v>70.607668000000004</c:v>
                </c:pt>
                <c:pt idx="1">
                  <c:v>68.145602999999994</c:v>
                </c:pt>
                <c:pt idx="2">
                  <c:v>75.099254000000002</c:v>
                </c:pt>
                <c:pt idx="3">
                  <c:v>67.39268899999999</c:v>
                </c:pt>
                <c:pt idx="4">
                  <c:v>46.927755999999995</c:v>
                </c:pt>
                <c:pt idx="5">
                  <c:v>84.300989000000001</c:v>
                </c:pt>
                <c:pt idx="6">
                  <c:v>53.656936000000002</c:v>
                </c:pt>
                <c:pt idx="7">
                  <c:v>84.702235000000002</c:v>
                </c:pt>
                <c:pt idx="8">
                  <c:v>79.446471000000003</c:v>
                </c:pt>
                <c:pt idx="9">
                  <c:v>80.552285999999995</c:v>
                </c:pt>
                <c:pt idx="10">
                  <c:v>67.932665</c:v>
                </c:pt>
                <c:pt idx="11">
                  <c:v>93.016446000000002</c:v>
                </c:pt>
                <c:pt idx="12">
                  <c:v>75.809562</c:v>
                </c:pt>
                <c:pt idx="13">
                  <c:v>71.33270499999999</c:v>
                </c:pt>
                <c:pt idx="14">
                  <c:v>78.247458000000009</c:v>
                </c:pt>
              </c:numCache>
            </c:numRef>
          </c:val>
          <c:extLst>
            <c:ext xmlns:c16="http://schemas.microsoft.com/office/drawing/2014/chart" uri="{C3380CC4-5D6E-409C-BE32-E72D297353CC}">
              <c16:uniqueId val="{00000001-15ED-4677-81CE-33A6FC679058}"/>
            </c:ext>
          </c:extLst>
        </c:ser>
        <c:dLbls>
          <c:showLegendKey val="0"/>
          <c:showVal val="0"/>
          <c:showCatName val="0"/>
          <c:showSerName val="0"/>
          <c:showPercent val="0"/>
          <c:showBubbleSize val="0"/>
        </c:dLbls>
        <c:gapWidth val="219"/>
        <c:overlap val="-27"/>
        <c:axId val="590769551"/>
        <c:axId val="625906143"/>
      </c:barChart>
      <c:catAx>
        <c:axId val="590769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5906143"/>
        <c:crosses val="autoZero"/>
        <c:auto val="1"/>
        <c:lblAlgn val="ctr"/>
        <c:lblOffset val="100"/>
        <c:noMultiLvlLbl val="0"/>
      </c:catAx>
      <c:valAx>
        <c:axId val="625906143"/>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07695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'Euro Area (15) - All countries'!$B$60</c:f>
              <c:strCache>
                <c:ptCount val="1"/>
                <c:pt idx="0">
                  <c:v>Equity Wealth (% of net wealth) 2010</c:v>
                </c:pt>
              </c:strCache>
            </c:strRef>
          </c:tx>
          <c:spPr>
            <a:solidFill>
              <a:schemeClr val="accent1"/>
            </a:solidFill>
            <a:ln>
              <a:noFill/>
            </a:ln>
            <a:effectLst/>
          </c:spPr>
          <c:invertIfNegative val="0"/>
          <c:cat>
            <c:strRef>
              <c:f>'Euro Area (15) - All countries'!$A$61:$A$75</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countries'!$B$61:$B$75</c:f>
              <c:numCache>
                <c:formatCode>0.00</c:formatCode>
                <c:ptCount val="15"/>
                <c:pt idx="0">
                  <c:v>27.811995</c:v>
                </c:pt>
                <c:pt idx="1">
                  <c:v>12.299481</c:v>
                </c:pt>
                <c:pt idx="2">
                  <c:v>31.359458</c:v>
                </c:pt>
                <c:pt idx="3">
                  <c:v>18.203132999999998</c:v>
                </c:pt>
                <c:pt idx="4">
                  <c:v>31.627636999999996</c:v>
                </c:pt>
                <c:pt idx="5">
                  <c:v>11.693818</c:v>
                </c:pt>
                <c:pt idx="6">
                  <c:v>18.13288</c:v>
                </c:pt>
                <c:pt idx="7">
                  <c:v>8.2021420000000003</c:v>
                </c:pt>
                <c:pt idx="8">
                  <c:v>8.9790480000000006</c:v>
                </c:pt>
                <c:pt idx="9">
                  <c:v>8.8689540000000004</c:v>
                </c:pt>
                <c:pt idx="10">
                  <c:v>16.089561999999997</c:v>
                </c:pt>
                <c:pt idx="11">
                  <c:v>6.3092309999999996</c:v>
                </c:pt>
                <c:pt idx="12">
                  <c:v>16.372958000000001</c:v>
                </c:pt>
                <c:pt idx="13">
                  <c:v>10.025375</c:v>
                </c:pt>
                <c:pt idx="14">
                  <c:v>6.2908489999999997</c:v>
                </c:pt>
              </c:numCache>
            </c:numRef>
          </c:val>
          <c:extLst>
            <c:ext xmlns:c16="http://schemas.microsoft.com/office/drawing/2014/chart" uri="{C3380CC4-5D6E-409C-BE32-E72D297353CC}">
              <c16:uniqueId val="{00000000-CB73-4622-8F3C-290A1B108900}"/>
            </c:ext>
          </c:extLst>
        </c:ser>
        <c:ser>
          <c:idx val="1"/>
          <c:order val="1"/>
          <c:tx>
            <c:strRef>
              <c:f>'Euro Area (15) - All countries'!$C$60</c:f>
              <c:strCache>
                <c:ptCount val="1"/>
                <c:pt idx="0">
                  <c:v>Equity Wealth (% of net wealth) 2014</c:v>
                </c:pt>
              </c:strCache>
            </c:strRef>
          </c:tx>
          <c:spPr>
            <a:solidFill>
              <a:schemeClr val="accent2"/>
            </a:solidFill>
            <a:ln>
              <a:noFill/>
            </a:ln>
            <a:effectLst/>
          </c:spPr>
          <c:invertIfNegative val="0"/>
          <c:cat>
            <c:strRef>
              <c:f>'Euro Area (15) - All countries'!$A$61:$A$75</c:f>
              <c:strCache>
                <c:ptCount val="15"/>
                <c:pt idx="0">
                  <c:v>Austria</c:v>
                </c:pt>
                <c:pt idx="1">
                  <c:v>Belgium</c:v>
                </c:pt>
                <c:pt idx="2">
                  <c:v>Cyprus</c:v>
                </c:pt>
                <c:pt idx="3">
                  <c:v>Germany</c:v>
                </c:pt>
                <c:pt idx="4">
                  <c:v>Spain</c:v>
                </c:pt>
                <c:pt idx="5">
                  <c:v>Finland</c:v>
                </c:pt>
                <c:pt idx="6">
                  <c:v>France</c:v>
                </c:pt>
                <c:pt idx="7">
                  <c:v>Greece</c:v>
                </c:pt>
                <c:pt idx="8">
                  <c:v>Italy</c:v>
                </c:pt>
                <c:pt idx="9">
                  <c:v>Luxembourg</c:v>
                </c:pt>
                <c:pt idx="10">
                  <c:v>Malta</c:v>
                </c:pt>
                <c:pt idx="11">
                  <c:v>Netherlands</c:v>
                </c:pt>
                <c:pt idx="12">
                  <c:v>Portugal</c:v>
                </c:pt>
                <c:pt idx="13">
                  <c:v>Slovenia</c:v>
                </c:pt>
                <c:pt idx="14">
                  <c:v>Slovakia</c:v>
                </c:pt>
              </c:strCache>
            </c:strRef>
          </c:cat>
          <c:val>
            <c:numRef>
              <c:f>'Euro Area (15) - All countries'!$C$61:$C$75</c:f>
              <c:numCache>
                <c:formatCode>0.00</c:formatCode>
                <c:ptCount val="15"/>
                <c:pt idx="0">
                  <c:v>15.506229999999999</c:v>
                </c:pt>
                <c:pt idx="1">
                  <c:v>13.034976</c:v>
                </c:pt>
                <c:pt idx="2">
                  <c:v>25.342110000000002</c:v>
                </c:pt>
                <c:pt idx="3">
                  <c:v>16.892445000000002</c:v>
                </c:pt>
                <c:pt idx="4">
                  <c:v>32.823639999999997</c:v>
                </c:pt>
                <c:pt idx="5">
                  <c:v>14.066307</c:v>
                </c:pt>
                <c:pt idx="6">
                  <c:v>23.344694</c:v>
                </c:pt>
                <c:pt idx="7">
                  <c:v>8.0846370000000007</c:v>
                </c:pt>
                <c:pt idx="8">
                  <c:v>7.1419189999999997</c:v>
                </c:pt>
                <c:pt idx="9">
                  <c:v>11.083879000000001</c:v>
                </c:pt>
                <c:pt idx="10">
                  <c:v>18.269273999999999</c:v>
                </c:pt>
                <c:pt idx="11">
                  <c:v>4.2100559999999998</c:v>
                </c:pt>
                <c:pt idx="12">
                  <c:v>18.396630999999999</c:v>
                </c:pt>
                <c:pt idx="13">
                  <c:v>21.433457999999998</c:v>
                </c:pt>
                <c:pt idx="14">
                  <c:v>13.541760999999999</c:v>
                </c:pt>
              </c:numCache>
            </c:numRef>
          </c:val>
          <c:extLst>
            <c:ext xmlns:c16="http://schemas.microsoft.com/office/drawing/2014/chart" uri="{C3380CC4-5D6E-409C-BE32-E72D297353CC}">
              <c16:uniqueId val="{00000001-CB73-4622-8F3C-290A1B108900}"/>
            </c:ext>
          </c:extLst>
        </c:ser>
        <c:dLbls>
          <c:showLegendKey val="0"/>
          <c:showVal val="0"/>
          <c:showCatName val="0"/>
          <c:showSerName val="0"/>
          <c:showPercent val="0"/>
          <c:showBubbleSize val="0"/>
        </c:dLbls>
        <c:gapWidth val="219"/>
        <c:overlap val="-27"/>
        <c:axId val="543358367"/>
        <c:axId val="664147807"/>
      </c:barChart>
      <c:catAx>
        <c:axId val="543358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4147807"/>
        <c:crosses val="autoZero"/>
        <c:auto val="1"/>
        <c:lblAlgn val="ctr"/>
        <c:lblOffset val="100"/>
        <c:noMultiLvlLbl val="0"/>
      </c:catAx>
      <c:valAx>
        <c:axId val="664147807"/>
        <c:scaling>
          <c:orientation val="minMax"/>
          <c:max val="5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3358367"/>
        <c:crosses val="autoZero"/>
        <c:crossBetween val="between"/>
        <c:majorUnit val="2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DBAD7EB-B527-4AAA-8FC1-C1EC5D5B2D2E}" type="doc">
      <dgm:prSet loTypeId="urn:microsoft.com/office/officeart/2005/8/layout/hProcess11" loCatId="process" qsTypeId="urn:microsoft.com/office/officeart/2005/8/quickstyle/simple1" qsCatId="simple" csTypeId="urn:microsoft.com/office/officeart/2005/8/colors/accent1_2" csCatId="accent1" phldr="1"/>
      <dgm:spPr/>
      <dgm:t>
        <a:bodyPr/>
        <a:lstStyle/>
        <a:p>
          <a:endParaRPr lang="el-GR"/>
        </a:p>
      </dgm:t>
    </dgm:pt>
    <dgm:pt modelId="{B66E519F-9298-4A56-9949-F3418CE2803B}">
      <dgm:prSet phldrT="[Κείμενο]" custT="1"/>
      <dgm:spPr/>
      <dgm:t>
        <a:bodyPr/>
        <a:lstStyle/>
        <a:p>
          <a:pPr algn="ctr"/>
          <a:r>
            <a:rPr lang="en-US" sz="700" dirty="0"/>
            <a:t>Start of Forward guidance </a:t>
          </a:r>
          <a:r>
            <a:rPr lang="en-US" sz="700" dirty="0" err="1"/>
            <a:t>Programme</a:t>
          </a:r>
          <a:r>
            <a:rPr lang="en-US" sz="700" dirty="0"/>
            <a:t> 07/2013</a:t>
          </a:r>
          <a:endParaRPr lang="el-GR" sz="700" dirty="0"/>
        </a:p>
      </dgm:t>
    </dgm:pt>
    <dgm:pt modelId="{E1A2B66C-C7DE-4E0E-A72C-FA78F4745B50}" type="parTrans" cxnId="{0B0DA016-5889-4853-B851-2753E11C0D7A}">
      <dgm:prSet/>
      <dgm:spPr/>
      <dgm:t>
        <a:bodyPr/>
        <a:lstStyle/>
        <a:p>
          <a:pPr algn="ctr"/>
          <a:endParaRPr lang="el-GR"/>
        </a:p>
      </dgm:t>
    </dgm:pt>
    <dgm:pt modelId="{B6D82676-C37C-4849-A868-61491074BE96}" type="sibTrans" cxnId="{0B0DA016-5889-4853-B851-2753E11C0D7A}">
      <dgm:prSet/>
      <dgm:spPr/>
      <dgm:t>
        <a:bodyPr/>
        <a:lstStyle/>
        <a:p>
          <a:pPr algn="ctr"/>
          <a:endParaRPr lang="el-GR"/>
        </a:p>
      </dgm:t>
    </dgm:pt>
    <dgm:pt modelId="{E1299DB5-8880-4A80-BDDA-DE6DAC2B8A22}">
      <dgm:prSet phldrT="[Κείμενο]" custT="1"/>
      <dgm:spPr/>
      <dgm:t>
        <a:bodyPr/>
        <a:lstStyle/>
        <a:p>
          <a:pPr algn="ctr"/>
          <a:r>
            <a:rPr lang="en-US" sz="700" dirty="0"/>
            <a:t>05/2014 Announcement of the first series of TLTROs</a:t>
          </a:r>
          <a:endParaRPr lang="el-GR" sz="700" dirty="0"/>
        </a:p>
      </dgm:t>
    </dgm:pt>
    <dgm:pt modelId="{195F086F-0011-44A7-BB75-B25B96B1311B}" type="parTrans" cxnId="{1373BED1-85FE-4CCE-A73C-C98D7836C715}">
      <dgm:prSet/>
      <dgm:spPr/>
      <dgm:t>
        <a:bodyPr/>
        <a:lstStyle/>
        <a:p>
          <a:pPr algn="ctr"/>
          <a:endParaRPr lang="el-GR"/>
        </a:p>
      </dgm:t>
    </dgm:pt>
    <dgm:pt modelId="{A5B62084-F748-4633-A87E-0DF59F907FDF}" type="sibTrans" cxnId="{1373BED1-85FE-4CCE-A73C-C98D7836C715}">
      <dgm:prSet/>
      <dgm:spPr/>
      <dgm:t>
        <a:bodyPr/>
        <a:lstStyle/>
        <a:p>
          <a:pPr algn="ctr"/>
          <a:endParaRPr lang="el-GR"/>
        </a:p>
      </dgm:t>
    </dgm:pt>
    <dgm:pt modelId="{2896A8CD-0150-43A6-AB60-2AC05D00F582}">
      <dgm:prSet phldrT="[Κείμενο]" custT="1"/>
      <dgm:spPr/>
      <dgm:t>
        <a:bodyPr/>
        <a:lstStyle/>
        <a:p>
          <a:pPr algn="ctr"/>
          <a:r>
            <a:rPr lang="en-US" sz="700" dirty="0"/>
            <a:t>Introduction of negative interest rate policy (NIRP) </a:t>
          </a:r>
        </a:p>
        <a:p>
          <a:pPr algn="ctr"/>
          <a:r>
            <a:rPr lang="en-US" sz="700" dirty="0"/>
            <a:t> 06/2014</a:t>
          </a:r>
          <a:endParaRPr lang="el-GR" sz="700" dirty="0"/>
        </a:p>
      </dgm:t>
    </dgm:pt>
    <dgm:pt modelId="{FDEAB7A5-02AB-4307-9A2C-FCF78952EA00}" type="parTrans" cxnId="{999BA63C-493D-46D8-A8E2-67A820F7F71F}">
      <dgm:prSet/>
      <dgm:spPr/>
      <dgm:t>
        <a:bodyPr/>
        <a:lstStyle/>
        <a:p>
          <a:pPr algn="ctr"/>
          <a:endParaRPr lang="el-GR"/>
        </a:p>
      </dgm:t>
    </dgm:pt>
    <dgm:pt modelId="{F9FBAC42-CF37-4702-83AE-FEABE3D0D3BA}" type="sibTrans" cxnId="{999BA63C-493D-46D8-A8E2-67A820F7F71F}">
      <dgm:prSet/>
      <dgm:spPr/>
      <dgm:t>
        <a:bodyPr/>
        <a:lstStyle/>
        <a:p>
          <a:pPr algn="ctr"/>
          <a:endParaRPr lang="el-GR"/>
        </a:p>
      </dgm:t>
    </dgm:pt>
    <dgm:pt modelId="{6BE5D659-510E-471E-9280-3890526EA305}">
      <dgm:prSet phldrT="[Κείμενο]" custT="1"/>
      <dgm:spPr/>
      <dgm:t>
        <a:bodyPr/>
        <a:lstStyle/>
        <a:p>
          <a:pPr algn="ctr"/>
          <a:r>
            <a:rPr lang="en-US" sz="700" dirty="0"/>
            <a:t>10/2014 Beginning of Asset Purchase </a:t>
          </a:r>
          <a:r>
            <a:rPr lang="en-US" sz="700" dirty="0" err="1"/>
            <a:t>Programmes</a:t>
          </a:r>
          <a:r>
            <a:rPr lang="en-US" sz="700" dirty="0"/>
            <a:t> (APPs)</a:t>
          </a:r>
          <a:endParaRPr lang="el-GR" sz="700" dirty="0"/>
        </a:p>
      </dgm:t>
    </dgm:pt>
    <dgm:pt modelId="{96A21497-833F-4D2A-A11E-1EC81F429511}" type="parTrans" cxnId="{3B19DD9F-16DE-4B1C-B79E-D819CC95EC56}">
      <dgm:prSet/>
      <dgm:spPr/>
      <dgm:t>
        <a:bodyPr/>
        <a:lstStyle/>
        <a:p>
          <a:pPr algn="ctr"/>
          <a:endParaRPr lang="el-GR"/>
        </a:p>
      </dgm:t>
    </dgm:pt>
    <dgm:pt modelId="{2C5F20FC-45B1-4F69-913A-4B269CFAC00B}" type="sibTrans" cxnId="{3B19DD9F-16DE-4B1C-B79E-D819CC95EC56}">
      <dgm:prSet/>
      <dgm:spPr/>
      <dgm:t>
        <a:bodyPr/>
        <a:lstStyle/>
        <a:p>
          <a:pPr algn="ctr"/>
          <a:endParaRPr lang="el-GR"/>
        </a:p>
      </dgm:t>
    </dgm:pt>
    <dgm:pt modelId="{589E88B9-4028-4D92-A849-76E873C3C692}">
      <dgm:prSet phldrT="[Κείμενο]" custT="1"/>
      <dgm:spPr/>
      <dgm:t>
        <a:bodyPr/>
        <a:lstStyle/>
        <a:p>
          <a:pPr algn="ctr"/>
          <a:r>
            <a:rPr lang="en-US" sz="700" dirty="0"/>
            <a:t>Launch of Pandemic Emergency Purchase </a:t>
          </a:r>
          <a:r>
            <a:rPr lang="en-US" sz="700" dirty="0" err="1"/>
            <a:t>Programme</a:t>
          </a:r>
          <a:r>
            <a:rPr lang="en-US" sz="700" dirty="0"/>
            <a:t> (PEPP) </a:t>
          </a:r>
        </a:p>
        <a:p>
          <a:pPr algn="ctr"/>
          <a:r>
            <a:rPr lang="en-US" sz="700" dirty="0"/>
            <a:t>03/2020 </a:t>
          </a:r>
          <a:endParaRPr lang="el-GR" sz="700" dirty="0"/>
        </a:p>
      </dgm:t>
    </dgm:pt>
    <dgm:pt modelId="{1881EFC4-5565-46D1-8149-D88F8FBC30AF}" type="parTrans" cxnId="{A1AF0F7B-13C7-49CF-8BE3-653111D21F80}">
      <dgm:prSet/>
      <dgm:spPr/>
      <dgm:t>
        <a:bodyPr/>
        <a:lstStyle/>
        <a:p>
          <a:pPr algn="ctr"/>
          <a:endParaRPr lang="el-GR"/>
        </a:p>
      </dgm:t>
    </dgm:pt>
    <dgm:pt modelId="{9AE4FA06-F45E-46D6-8C68-ABF99675257A}" type="sibTrans" cxnId="{A1AF0F7B-13C7-49CF-8BE3-653111D21F80}">
      <dgm:prSet/>
      <dgm:spPr/>
      <dgm:t>
        <a:bodyPr/>
        <a:lstStyle/>
        <a:p>
          <a:pPr algn="ctr"/>
          <a:endParaRPr lang="el-GR"/>
        </a:p>
      </dgm:t>
    </dgm:pt>
    <dgm:pt modelId="{E451313F-BA05-8E42-AF02-A0A5EC5AE044}">
      <dgm:prSet phldrT="[Κείμενο]" custT="1"/>
      <dgm:spPr/>
      <dgm:t>
        <a:bodyPr/>
        <a:lstStyle/>
        <a:p>
          <a:pPr algn="ctr"/>
          <a:r>
            <a:rPr lang="en-US" sz="700" dirty="0"/>
            <a:t>07/2022 </a:t>
          </a:r>
        </a:p>
        <a:p>
          <a:pPr algn="ctr"/>
          <a:r>
            <a:rPr lang="en-US" sz="700" dirty="0"/>
            <a:t>End of negative interest rate policy (NIRP)</a:t>
          </a:r>
          <a:endParaRPr lang="el-GR" sz="700" dirty="0"/>
        </a:p>
      </dgm:t>
    </dgm:pt>
    <dgm:pt modelId="{7AFB303D-9BEC-6C42-8881-C79621CF77F3}" type="parTrans" cxnId="{A67AD642-BB58-4F46-A0D1-8069D1420082}">
      <dgm:prSet/>
      <dgm:spPr/>
      <dgm:t>
        <a:bodyPr/>
        <a:lstStyle/>
        <a:p>
          <a:pPr algn="ctr"/>
          <a:endParaRPr lang="en-GB"/>
        </a:p>
      </dgm:t>
    </dgm:pt>
    <dgm:pt modelId="{C98FAA44-5726-5246-9CAB-08B9FC5914B2}" type="sibTrans" cxnId="{A67AD642-BB58-4F46-A0D1-8069D1420082}">
      <dgm:prSet/>
      <dgm:spPr/>
      <dgm:t>
        <a:bodyPr/>
        <a:lstStyle/>
        <a:p>
          <a:pPr algn="ctr"/>
          <a:endParaRPr lang="en-GB"/>
        </a:p>
      </dgm:t>
    </dgm:pt>
    <dgm:pt modelId="{F30AEBC9-97FA-EA44-A272-53470328B14C}">
      <dgm:prSet phldrT="[Κείμενο]" custT="1"/>
      <dgm:spPr/>
      <dgm:t>
        <a:bodyPr/>
        <a:lstStyle/>
        <a:p>
          <a:pPr algn="ctr"/>
          <a:r>
            <a:rPr lang="en-US" sz="700" dirty="0"/>
            <a:t>Announcement of the second series of TLTROs</a:t>
          </a:r>
        </a:p>
        <a:p>
          <a:pPr algn="ctr"/>
          <a:r>
            <a:rPr lang="en-US" sz="700" dirty="0"/>
            <a:t>03/2016</a:t>
          </a:r>
          <a:endParaRPr lang="el-GR" sz="700" dirty="0"/>
        </a:p>
      </dgm:t>
    </dgm:pt>
    <dgm:pt modelId="{1073D9B5-8B55-624E-9DD8-D4B471652AAF}" type="parTrans" cxnId="{2D7A968E-5EC1-944C-B475-C0265A0269AA}">
      <dgm:prSet/>
      <dgm:spPr/>
      <dgm:t>
        <a:bodyPr/>
        <a:lstStyle/>
        <a:p>
          <a:pPr algn="ctr"/>
          <a:endParaRPr lang="en-IE"/>
        </a:p>
      </dgm:t>
    </dgm:pt>
    <dgm:pt modelId="{97B2AFBD-FA98-5144-9E44-E72D39380185}" type="sibTrans" cxnId="{2D7A968E-5EC1-944C-B475-C0265A0269AA}">
      <dgm:prSet/>
      <dgm:spPr/>
      <dgm:t>
        <a:bodyPr/>
        <a:lstStyle/>
        <a:p>
          <a:pPr algn="ctr"/>
          <a:endParaRPr lang="en-IE"/>
        </a:p>
      </dgm:t>
    </dgm:pt>
    <dgm:pt modelId="{10BC10D3-D175-614C-AB3F-45C1BC9FBD93}">
      <dgm:prSet phldrT="[Κείμενο]" custT="1"/>
      <dgm:spPr/>
      <dgm:t>
        <a:bodyPr/>
        <a:lstStyle/>
        <a:p>
          <a:pPr algn="ctr"/>
          <a:r>
            <a:rPr lang="en-US" sz="700" dirty="0"/>
            <a:t>07/2019</a:t>
          </a:r>
        </a:p>
        <a:p>
          <a:pPr algn="ctr"/>
          <a:r>
            <a:rPr lang="en-US" sz="700" dirty="0"/>
            <a:t>Announcement of the third series of TLTROs</a:t>
          </a:r>
          <a:endParaRPr lang="el-GR" sz="700" dirty="0"/>
        </a:p>
      </dgm:t>
    </dgm:pt>
    <dgm:pt modelId="{68479542-9F39-6E49-BC1A-868843F6EEE4}" type="parTrans" cxnId="{0DBF5C10-2C3C-BE47-949A-DC405AAC35CB}">
      <dgm:prSet/>
      <dgm:spPr/>
      <dgm:t>
        <a:bodyPr/>
        <a:lstStyle/>
        <a:p>
          <a:pPr algn="ctr"/>
          <a:endParaRPr lang="en-IE"/>
        </a:p>
      </dgm:t>
    </dgm:pt>
    <dgm:pt modelId="{1266CC75-9C53-024F-B22E-39B161BBBFD2}" type="sibTrans" cxnId="{0DBF5C10-2C3C-BE47-949A-DC405AAC35CB}">
      <dgm:prSet/>
      <dgm:spPr/>
      <dgm:t>
        <a:bodyPr/>
        <a:lstStyle/>
        <a:p>
          <a:pPr algn="ctr"/>
          <a:endParaRPr lang="en-IE"/>
        </a:p>
      </dgm:t>
    </dgm:pt>
    <dgm:pt modelId="{9F2F5576-08E9-415C-B6BF-BDE371A46EB1}" type="pres">
      <dgm:prSet presAssocID="{7DBAD7EB-B527-4AAA-8FC1-C1EC5D5B2D2E}" presName="Name0" presStyleCnt="0">
        <dgm:presLayoutVars>
          <dgm:dir/>
          <dgm:resizeHandles val="exact"/>
        </dgm:presLayoutVars>
      </dgm:prSet>
      <dgm:spPr/>
    </dgm:pt>
    <dgm:pt modelId="{7D5A0F42-423B-44F2-8556-E3241BB8BC94}" type="pres">
      <dgm:prSet presAssocID="{7DBAD7EB-B527-4AAA-8FC1-C1EC5D5B2D2E}" presName="arrow" presStyleLbl="bgShp" presStyleIdx="0" presStyleCnt="1"/>
      <dgm:spPr/>
    </dgm:pt>
    <dgm:pt modelId="{7B9EABD2-FCE4-437F-910A-AF22D19A6547}" type="pres">
      <dgm:prSet presAssocID="{7DBAD7EB-B527-4AAA-8FC1-C1EC5D5B2D2E}" presName="points" presStyleCnt="0"/>
      <dgm:spPr/>
    </dgm:pt>
    <dgm:pt modelId="{29FE1932-0F1A-4C16-A9B9-8303D6ADF24D}" type="pres">
      <dgm:prSet presAssocID="{B66E519F-9298-4A56-9949-F3418CE2803B}" presName="compositeA" presStyleCnt="0"/>
      <dgm:spPr/>
    </dgm:pt>
    <dgm:pt modelId="{F8859A3F-03A4-4C6A-9F98-163ED9DF6CB2}" type="pres">
      <dgm:prSet presAssocID="{B66E519F-9298-4A56-9949-F3418CE2803B}" presName="textA" presStyleLbl="revTx" presStyleIdx="0" presStyleCnt="8" custScaleX="284851" custLinFactNeighborX="17089" custLinFactNeighborY="1580">
        <dgm:presLayoutVars>
          <dgm:bulletEnabled val="1"/>
        </dgm:presLayoutVars>
      </dgm:prSet>
      <dgm:spPr/>
    </dgm:pt>
    <dgm:pt modelId="{7E8406B4-0ECD-4D0D-AC2B-D611BE844C3B}" type="pres">
      <dgm:prSet presAssocID="{B66E519F-9298-4A56-9949-F3418CE2803B}" presName="circleA" presStyleLbl="node1" presStyleIdx="0" presStyleCnt="8" custLinFactNeighborX="44928"/>
      <dgm:spPr/>
    </dgm:pt>
    <dgm:pt modelId="{F4062D08-23E4-4C0A-B921-C9851DDA8033}" type="pres">
      <dgm:prSet presAssocID="{B66E519F-9298-4A56-9949-F3418CE2803B}" presName="spaceA" presStyleCnt="0"/>
      <dgm:spPr/>
    </dgm:pt>
    <dgm:pt modelId="{A67F18C5-B989-4782-8AB6-5FDFB360A5B7}" type="pres">
      <dgm:prSet presAssocID="{B6D82676-C37C-4849-A868-61491074BE96}" presName="space" presStyleCnt="0"/>
      <dgm:spPr/>
    </dgm:pt>
    <dgm:pt modelId="{E6DB87B6-5196-4767-B84E-319887BD220F}" type="pres">
      <dgm:prSet presAssocID="{E1299DB5-8880-4A80-BDDA-DE6DAC2B8A22}" presName="compositeB" presStyleCnt="0"/>
      <dgm:spPr/>
    </dgm:pt>
    <dgm:pt modelId="{54726712-E263-4651-9744-6AA83D5C7E71}" type="pres">
      <dgm:prSet presAssocID="{E1299DB5-8880-4A80-BDDA-DE6DAC2B8A22}" presName="textB" presStyleLbl="revTx" presStyleIdx="1" presStyleCnt="8" custScaleX="380149">
        <dgm:presLayoutVars>
          <dgm:bulletEnabled val="1"/>
        </dgm:presLayoutVars>
      </dgm:prSet>
      <dgm:spPr/>
    </dgm:pt>
    <dgm:pt modelId="{171461E7-0595-46E3-A4BC-C705A9550BA9}" type="pres">
      <dgm:prSet presAssocID="{E1299DB5-8880-4A80-BDDA-DE6DAC2B8A22}" presName="circleB" presStyleLbl="node1" presStyleIdx="1" presStyleCnt="8"/>
      <dgm:spPr/>
    </dgm:pt>
    <dgm:pt modelId="{897F9453-C149-4B0A-92F9-1FEDC551ED98}" type="pres">
      <dgm:prSet presAssocID="{E1299DB5-8880-4A80-BDDA-DE6DAC2B8A22}" presName="spaceB" presStyleCnt="0"/>
      <dgm:spPr/>
    </dgm:pt>
    <dgm:pt modelId="{6695EF9A-5FBF-4EEB-9811-3E4A78AE3442}" type="pres">
      <dgm:prSet presAssocID="{A5B62084-F748-4633-A87E-0DF59F907FDF}" presName="space" presStyleCnt="0"/>
      <dgm:spPr/>
    </dgm:pt>
    <dgm:pt modelId="{DD34132F-D5B9-4652-A5F4-1D401C8B668D}" type="pres">
      <dgm:prSet presAssocID="{2896A8CD-0150-43A6-AB60-2AC05D00F582}" presName="compositeA" presStyleCnt="0"/>
      <dgm:spPr/>
    </dgm:pt>
    <dgm:pt modelId="{55A18860-6072-43C1-A7F5-B368A164A646}" type="pres">
      <dgm:prSet presAssocID="{2896A8CD-0150-43A6-AB60-2AC05D00F582}" presName="textA" presStyleLbl="revTx" presStyleIdx="2" presStyleCnt="8" custScaleX="336914">
        <dgm:presLayoutVars>
          <dgm:bulletEnabled val="1"/>
        </dgm:presLayoutVars>
      </dgm:prSet>
      <dgm:spPr/>
    </dgm:pt>
    <dgm:pt modelId="{667987D7-525E-478F-BB4A-80224F878B2E}" type="pres">
      <dgm:prSet presAssocID="{2896A8CD-0150-43A6-AB60-2AC05D00F582}" presName="circleA" presStyleLbl="node1" presStyleIdx="2" presStyleCnt="8"/>
      <dgm:spPr/>
    </dgm:pt>
    <dgm:pt modelId="{9BDED2F2-CF45-4D5B-81F1-A8CA0524FBBB}" type="pres">
      <dgm:prSet presAssocID="{2896A8CD-0150-43A6-AB60-2AC05D00F582}" presName="spaceA" presStyleCnt="0"/>
      <dgm:spPr/>
    </dgm:pt>
    <dgm:pt modelId="{E53CEB4D-F3F5-4EAC-9D38-7A6E0F516B24}" type="pres">
      <dgm:prSet presAssocID="{F9FBAC42-CF37-4702-83AE-FEABE3D0D3BA}" presName="space" presStyleCnt="0"/>
      <dgm:spPr/>
    </dgm:pt>
    <dgm:pt modelId="{51C86976-E68B-4D78-BB23-C77C645B06B3}" type="pres">
      <dgm:prSet presAssocID="{6BE5D659-510E-471E-9280-3890526EA305}" presName="compositeB" presStyleCnt="0"/>
      <dgm:spPr/>
    </dgm:pt>
    <dgm:pt modelId="{04EE4A18-5B0E-4CA9-AC1F-0AAB8FED05F4}" type="pres">
      <dgm:prSet presAssocID="{6BE5D659-510E-471E-9280-3890526EA305}" presName="textB" presStyleLbl="revTx" presStyleIdx="3" presStyleCnt="8" custScaleX="339805">
        <dgm:presLayoutVars>
          <dgm:bulletEnabled val="1"/>
        </dgm:presLayoutVars>
      </dgm:prSet>
      <dgm:spPr/>
    </dgm:pt>
    <dgm:pt modelId="{21F96D30-8E15-403D-A6E3-41ECAE98953D}" type="pres">
      <dgm:prSet presAssocID="{6BE5D659-510E-471E-9280-3890526EA305}" presName="circleB" presStyleLbl="node1" presStyleIdx="3" presStyleCnt="8"/>
      <dgm:spPr/>
    </dgm:pt>
    <dgm:pt modelId="{09F4AF71-9A72-4F75-9D68-0717F2F7587A}" type="pres">
      <dgm:prSet presAssocID="{6BE5D659-510E-471E-9280-3890526EA305}" presName="spaceB" presStyleCnt="0"/>
      <dgm:spPr/>
    </dgm:pt>
    <dgm:pt modelId="{49B81CEB-49A7-416F-8EB7-AE35D3DC977B}" type="pres">
      <dgm:prSet presAssocID="{2C5F20FC-45B1-4F69-913A-4B269CFAC00B}" presName="space" presStyleCnt="0"/>
      <dgm:spPr/>
    </dgm:pt>
    <dgm:pt modelId="{5867B674-7840-D946-92F5-08690B72F9D3}" type="pres">
      <dgm:prSet presAssocID="{F30AEBC9-97FA-EA44-A272-53470328B14C}" presName="compositeA" presStyleCnt="0"/>
      <dgm:spPr/>
    </dgm:pt>
    <dgm:pt modelId="{45AC2499-3AE9-4D42-BB50-6D72933F605C}" type="pres">
      <dgm:prSet presAssocID="{F30AEBC9-97FA-EA44-A272-53470328B14C}" presName="textA" presStyleLbl="revTx" presStyleIdx="4" presStyleCnt="8" custScaleX="360837">
        <dgm:presLayoutVars>
          <dgm:bulletEnabled val="1"/>
        </dgm:presLayoutVars>
      </dgm:prSet>
      <dgm:spPr/>
    </dgm:pt>
    <dgm:pt modelId="{8F8B230E-2E2E-3947-AB46-276D928DD8F3}" type="pres">
      <dgm:prSet presAssocID="{F30AEBC9-97FA-EA44-A272-53470328B14C}" presName="circleA" presStyleLbl="node1" presStyleIdx="4" presStyleCnt="8"/>
      <dgm:spPr/>
    </dgm:pt>
    <dgm:pt modelId="{FC807F64-72C2-8F45-8581-10E4BB4C6C26}" type="pres">
      <dgm:prSet presAssocID="{F30AEBC9-97FA-EA44-A272-53470328B14C}" presName="spaceA" presStyleCnt="0"/>
      <dgm:spPr/>
    </dgm:pt>
    <dgm:pt modelId="{02CE4434-DC65-284D-A57C-E7699811C09B}" type="pres">
      <dgm:prSet presAssocID="{97B2AFBD-FA98-5144-9E44-E72D39380185}" presName="space" presStyleCnt="0"/>
      <dgm:spPr/>
    </dgm:pt>
    <dgm:pt modelId="{C48C206E-FE14-104F-8DC1-AE2951B1E0AC}" type="pres">
      <dgm:prSet presAssocID="{10BC10D3-D175-614C-AB3F-45C1BC9FBD93}" presName="compositeB" presStyleCnt="0"/>
      <dgm:spPr/>
    </dgm:pt>
    <dgm:pt modelId="{DBC89435-74AC-4140-9F46-E843E5AAA8B4}" type="pres">
      <dgm:prSet presAssocID="{10BC10D3-D175-614C-AB3F-45C1BC9FBD93}" presName="textB" presStyleLbl="revTx" presStyleIdx="5" presStyleCnt="8" custScaleX="381096">
        <dgm:presLayoutVars>
          <dgm:bulletEnabled val="1"/>
        </dgm:presLayoutVars>
      </dgm:prSet>
      <dgm:spPr/>
    </dgm:pt>
    <dgm:pt modelId="{6AE3D18D-451E-8645-818D-2B0EAFBF3C54}" type="pres">
      <dgm:prSet presAssocID="{10BC10D3-D175-614C-AB3F-45C1BC9FBD93}" presName="circleB" presStyleLbl="node1" presStyleIdx="5" presStyleCnt="8"/>
      <dgm:spPr/>
    </dgm:pt>
    <dgm:pt modelId="{2045C460-5641-904E-A41B-C314A4C59767}" type="pres">
      <dgm:prSet presAssocID="{10BC10D3-D175-614C-AB3F-45C1BC9FBD93}" presName="spaceB" presStyleCnt="0"/>
      <dgm:spPr/>
    </dgm:pt>
    <dgm:pt modelId="{15FA5ECB-D664-5840-9847-551C3AA17BB8}" type="pres">
      <dgm:prSet presAssocID="{1266CC75-9C53-024F-B22E-39B161BBBFD2}" presName="space" presStyleCnt="0"/>
      <dgm:spPr/>
    </dgm:pt>
    <dgm:pt modelId="{E79A5195-1AD5-3B4F-BAD6-27277BF02DF7}" type="pres">
      <dgm:prSet presAssocID="{589E88B9-4028-4D92-A849-76E873C3C692}" presName="compositeA" presStyleCnt="0"/>
      <dgm:spPr/>
    </dgm:pt>
    <dgm:pt modelId="{3397B33D-04B8-CE45-9C62-9619C4C558C1}" type="pres">
      <dgm:prSet presAssocID="{589E88B9-4028-4D92-A849-76E873C3C692}" presName="textA" presStyleLbl="revTx" presStyleIdx="6" presStyleCnt="8" custScaleX="344484">
        <dgm:presLayoutVars>
          <dgm:bulletEnabled val="1"/>
        </dgm:presLayoutVars>
      </dgm:prSet>
      <dgm:spPr/>
    </dgm:pt>
    <dgm:pt modelId="{DC3A20E6-1E97-7F4A-8B56-814244959842}" type="pres">
      <dgm:prSet presAssocID="{589E88B9-4028-4D92-A849-76E873C3C692}" presName="circleA" presStyleLbl="node1" presStyleIdx="6" presStyleCnt="8"/>
      <dgm:spPr/>
    </dgm:pt>
    <dgm:pt modelId="{17A45B00-CECD-D847-A3A7-952B3E5A60E3}" type="pres">
      <dgm:prSet presAssocID="{589E88B9-4028-4D92-A849-76E873C3C692}" presName="spaceA" presStyleCnt="0"/>
      <dgm:spPr/>
    </dgm:pt>
    <dgm:pt modelId="{15DDB7A9-A70C-0540-ABFA-57AADC0CA22B}" type="pres">
      <dgm:prSet presAssocID="{9AE4FA06-F45E-46D6-8C68-ABF99675257A}" presName="space" presStyleCnt="0"/>
      <dgm:spPr/>
    </dgm:pt>
    <dgm:pt modelId="{981A07A6-D120-3041-944C-6DE60E2E6A8B}" type="pres">
      <dgm:prSet presAssocID="{E451313F-BA05-8E42-AF02-A0A5EC5AE044}" presName="compositeB" presStyleCnt="0"/>
      <dgm:spPr/>
    </dgm:pt>
    <dgm:pt modelId="{0BD69739-3AA3-5E43-A2E7-FAB3D7FB2721}" type="pres">
      <dgm:prSet presAssocID="{E451313F-BA05-8E42-AF02-A0A5EC5AE044}" presName="textB" presStyleLbl="revTx" presStyleIdx="7" presStyleCnt="8" custScaleX="310886">
        <dgm:presLayoutVars>
          <dgm:bulletEnabled val="1"/>
        </dgm:presLayoutVars>
      </dgm:prSet>
      <dgm:spPr/>
    </dgm:pt>
    <dgm:pt modelId="{9115D4F4-B3E8-FF4E-A125-949436B0CACB}" type="pres">
      <dgm:prSet presAssocID="{E451313F-BA05-8E42-AF02-A0A5EC5AE044}" presName="circleB" presStyleLbl="node1" presStyleIdx="7" presStyleCnt="8"/>
      <dgm:spPr/>
    </dgm:pt>
    <dgm:pt modelId="{A6E2F283-90BB-2C4B-ABF8-9485D6020D09}" type="pres">
      <dgm:prSet presAssocID="{E451313F-BA05-8E42-AF02-A0A5EC5AE044}" presName="spaceB" presStyleCnt="0"/>
      <dgm:spPr/>
    </dgm:pt>
  </dgm:ptLst>
  <dgm:cxnLst>
    <dgm:cxn modelId="{EEAA100E-4D4A-48F1-BBEB-8A5F7E976F01}" type="presOf" srcId="{6BE5D659-510E-471E-9280-3890526EA305}" destId="{04EE4A18-5B0E-4CA9-AC1F-0AAB8FED05F4}" srcOrd="0" destOrd="0" presId="urn:microsoft.com/office/officeart/2005/8/layout/hProcess11"/>
    <dgm:cxn modelId="{0DBF5C10-2C3C-BE47-949A-DC405AAC35CB}" srcId="{7DBAD7EB-B527-4AAA-8FC1-C1EC5D5B2D2E}" destId="{10BC10D3-D175-614C-AB3F-45C1BC9FBD93}" srcOrd="5" destOrd="0" parTransId="{68479542-9F39-6E49-BC1A-868843F6EEE4}" sibTransId="{1266CC75-9C53-024F-B22E-39B161BBBFD2}"/>
    <dgm:cxn modelId="{0B0DA016-5889-4853-B851-2753E11C0D7A}" srcId="{7DBAD7EB-B527-4AAA-8FC1-C1EC5D5B2D2E}" destId="{B66E519F-9298-4A56-9949-F3418CE2803B}" srcOrd="0" destOrd="0" parTransId="{E1A2B66C-C7DE-4E0E-A72C-FA78F4745B50}" sibTransId="{B6D82676-C37C-4849-A868-61491074BE96}"/>
    <dgm:cxn modelId="{02D8C918-EB14-504A-B2D4-8247C151693C}" type="presOf" srcId="{F30AEBC9-97FA-EA44-A272-53470328B14C}" destId="{45AC2499-3AE9-4D42-BB50-6D72933F605C}" srcOrd="0" destOrd="0" presId="urn:microsoft.com/office/officeart/2005/8/layout/hProcess11"/>
    <dgm:cxn modelId="{B70D763B-FCF9-4553-8143-5EB63F8AF140}" type="presOf" srcId="{2896A8CD-0150-43A6-AB60-2AC05D00F582}" destId="{55A18860-6072-43C1-A7F5-B368A164A646}" srcOrd="0" destOrd="0" presId="urn:microsoft.com/office/officeart/2005/8/layout/hProcess11"/>
    <dgm:cxn modelId="{999BA63C-493D-46D8-A8E2-67A820F7F71F}" srcId="{7DBAD7EB-B527-4AAA-8FC1-C1EC5D5B2D2E}" destId="{2896A8CD-0150-43A6-AB60-2AC05D00F582}" srcOrd="2" destOrd="0" parTransId="{FDEAB7A5-02AB-4307-9A2C-FCF78952EA00}" sibTransId="{F9FBAC42-CF37-4702-83AE-FEABE3D0D3BA}"/>
    <dgm:cxn modelId="{0E723540-CB2D-4BF9-B6C7-511F16CD5332}" type="presOf" srcId="{7DBAD7EB-B527-4AAA-8FC1-C1EC5D5B2D2E}" destId="{9F2F5576-08E9-415C-B6BF-BDE371A46EB1}" srcOrd="0" destOrd="0" presId="urn:microsoft.com/office/officeart/2005/8/layout/hProcess11"/>
    <dgm:cxn modelId="{4DB9F161-44DE-C944-BE47-7CD0420794F1}" type="presOf" srcId="{E451313F-BA05-8E42-AF02-A0A5EC5AE044}" destId="{0BD69739-3AA3-5E43-A2E7-FAB3D7FB2721}" srcOrd="0" destOrd="0" presId="urn:microsoft.com/office/officeart/2005/8/layout/hProcess11"/>
    <dgm:cxn modelId="{A67AD642-BB58-4F46-A0D1-8069D1420082}" srcId="{7DBAD7EB-B527-4AAA-8FC1-C1EC5D5B2D2E}" destId="{E451313F-BA05-8E42-AF02-A0A5EC5AE044}" srcOrd="7" destOrd="0" parTransId="{7AFB303D-9BEC-6C42-8881-C79621CF77F3}" sibTransId="{C98FAA44-5726-5246-9CAB-08B9FC5914B2}"/>
    <dgm:cxn modelId="{5002254A-0330-8A4F-906A-448543054B1C}" type="presOf" srcId="{10BC10D3-D175-614C-AB3F-45C1BC9FBD93}" destId="{DBC89435-74AC-4140-9F46-E843E5AAA8B4}" srcOrd="0" destOrd="0" presId="urn:microsoft.com/office/officeart/2005/8/layout/hProcess11"/>
    <dgm:cxn modelId="{A1AF0F7B-13C7-49CF-8BE3-653111D21F80}" srcId="{7DBAD7EB-B527-4AAA-8FC1-C1EC5D5B2D2E}" destId="{589E88B9-4028-4D92-A849-76E873C3C692}" srcOrd="6" destOrd="0" parTransId="{1881EFC4-5565-46D1-8149-D88F8FBC30AF}" sibTransId="{9AE4FA06-F45E-46D6-8C68-ABF99675257A}"/>
    <dgm:cxn modelId="{2D7A968E-5EC1-944C-B475-C0265A0269AA}" srcId="{7DBAD7EB-B527-4AAA-8FC1-C1EC5D5B2D2E}" destId="{F30AEBC9-97FA-EA44-A272-53470328B14C}" srcOrd="4" destOrd="0" parTransId="{1073D9B5-8B55-624E-9DD8-D4B471652AAF}" sibTransId="{97B2AFBD-FA98-5144-9E44-E72D39380185}"/>
    <dgm:cxn modelId="{3B19DD9F-16DE-4B1C-B79E-D819CC95EC56}" srcId="{7DBAD7EB-B527-4AAA-8FC1-C1EC5D5B2D2E}" destId="{6BE5D659-510E-471E-9280-3890526EA305}" srcOrd="3" destOrd="0" parTransId="{96A21497-833F-4D2A-A11E-1EC81F429511}" sibTransId="{2C5F20FC-45B1-4F69-913A-4B269CFAC00B}"/>
    <dgm:cxn modelId="{1373BED1-85FE-4CCE-A73C-C98D7836C715}" srcId="{7DBAD7EB-B527-4AAA-8FC1-C1EC5D5B2D2E}" destId="{E1299DB5-8880-4A80-BDDA-DE6DAC2B8A22}" srcOrd="1" destOrd="0" parTransId="{195F086F-0011-44A7-BB75-B25B96B1311B}" sibTransId="{A5B62084-F748-4633-A87E-0DF59F907FDF}"/>
    <dgm:cxn modelId="{9AF4CCD4-2F7E-47F6-A83B-214848033B8D}" type="presOf" srcId="{E1299DB5-8880-4A80-BDDA-DE6DAC2B8A22}" destId="{54726712-E263-4651-9744-6AA83D5C7E71}" srcOrd="0" destOrd="0" presId="urn:microsoft.com/office/officeart/2005/8/layout/hProcess11"/>
    <dgm:cxn modelId="{B9C944E3-BE5E-4F5E-B8F8-0C06CB1F459B}" type="presOf" srcId="{B66E519F-9298-4A56-9949-F3418CE2803B}" destId="{F8859A3F-03A4-4C6A-9F98-163ED9DF6CB2}" srcOrd="0" destOrd="0" presId="urn:microsoft.com/office/officeart/2005/8/layout/hProcess11"/>
    <dgm:cxn modelId="{2E1EF8F2-DB5A-B04E-9F47-F4548C93ADBE}" type="presOf" srcId="{589E88B9-4028-4D92-A849-76E873C3C692}" destId="{3397B33D-04B8-CE45-9C62-9619C4C558C1}" srcOrd="0" destOrd="0" presId="urn:microsoft.com/office/officeart/2005/8/layout/hProcess11"/>
    <dgm:cxn modelId="{98BE48F7-A130-4F72-93D9-90B85AFD257F}" type="presParOf" srcId="{9F2F5576-08E9-415C-B6BF-BDE371A46EB1}" destId="{7D5A0F42-423B-44F2-8556-E3241BB8BC94}" srcOrd="0" destOrd="0" presId="urn:microsoft.com/office/officeart/2005/8/layout/hProcess11"/>
    <dgm:cxn modelId="{EE21043D-275D-4DF0-80C6-1D9C6BABE4A0}" type="presParOf" srcId="{9F2F5576-08E9-415C-B6BF-BDE371A46EB1}" destId="{7B9EABD2-FCE4-437F-910A-AF22D19A6547}" srcOrd="1" destOrd="0" presId="urn:microsoft.com/office/officeart/2005/8/layout/hProcess11"/>
    <dgm:cxn modelId="{D60C8351-8336-43AB-9F6C-49720A4A60F8}" type="presParOf" srcId="{7B9EABD2-FCE4-437F-910A-AF22D19A6547}" destId="{29FE1932-0F1A-4C16-A9B9-8303D6ADF24D}" srcOrd="0" destOrd="0" presId="urn:microsoft.com/office/officeart/2005/8/layout/hProcess11"/>
    <dgm:cxn modelId="{3B580828-D9BB-493E-8D5F-FC57A27DC9D1}" type="presParOf" srcId="{29FE1932-0F1A-4C16-A9B9-8303D6ADF24D}" destId="{F8859A3F-03A4-4C6A-9F98-163ED9DF6CB2}" srcOrd="0" destOrd="0" presId="urn:microsoft.com/office/officeart/2005/8/layout/hProcess11"/>
    <dgm:cxn modelId="{AC4E1E5E-B0BE-497E-8D93-FCD03A239C75}" type="presParOf" srcId="{29FE1932-0F1A-4C16-A9B9-8303D6ADF24D}" destId="{7E8406B4-0ECD-4D0D-AC2B-D611BE844C3B}" srcOrd="1" destOrd="0" presId="urn:microsoft.com/office/officeart/2005/8/layout/hProcess11"/>
    <dgm:cxn modelId="{396B84BB-131B-4AC6-B1CB-0DCAC5969C09}" type="presParOf" srcId="{29FE1932-0F1A-4C16-A9B9-8303D6ADF24D}" destId="{F4062D08-23E4-4C0A-B921-C9851DDA8033}" srcOrd="2" destOrd="0" presId="urn:microsoft.com/office/officeart/2005/8/layout/hProcess11"/>
    <dgm:cxn modelId="{6B0E6452-A3D8-438D-8831-EB832844B300}" type="presParOf" srcId="{7B9EABD2-FCE4-437F-910A-AF22D19A6547}" destId="{A67F18C5-B989-4782-8AB6-5FDFB360A5B7}" srcOrd="1" destOrd="0" presId="urn:microsoft.com/office/officeart/2005/8/layout/hProcess11"/>
    <dgm:cxn modelId="{8ED4A91E-4915-49CE-8606-D1EF38581E63}" type="presParOf" srcId="{7B9EABD2-FCE4-437F-910A-AF22D19A6547}" destId="{E6DB87B6-5196-4767-B84E-319887BD220F}" srcOrd="2" destOrd="0" presId="urn:microsoft.com/office/officeart/2005/8/layout/hProcess11"/>
    <dgm:cxn modelId="{05459B10-2869-4B6B-9540-0684DEA8613D}" type="presParOf" srcId="{E6DB87B6-5196-4767-B84E-319887BD220F}" destId="{54726712-E263-4651-9744-6AA83D5C7E71}" srcOrd="0" destOrd="0" presId="urn:microsoft.com/office/officeart/2005/8/layout/hProcess11"/>
    <dgm:cxn modelId="{D53C8049-10AA-4CD6-9AF1-1492A0C9FC18}" type="presParOf" srcId="{E6DB87B6-5196-4767-B84E-319887BD220F}" destId="{171461E7-0595-46E3-A4BC-C705A9550BA9}" srcOrd="1" destOrd="0" presId="urn:microsoft.com/office/officeart/2005/8/layout/hProcess11"/>
    <dgm:cxn modelId="{033067C0-9C2A-484E-8F73-CEA365810860}" type="presParOf" srcId="{E6DB87B6-5196-4767-B84E-319887BD220F}" destId="{897F9453-C149-4B0A-92F9-1FEDC551ED98}" srcOrd="2" destOrd="0" presId="urn:microsoft.com/office/officeart/2005/8/layout/hProcess11"/>
    <dgm:cxn modelId="{E1CBB747-119F-4BDC-BD68-94F4B4C53CEC}" type="presParOf" srcId="{7B9EABD2-FCE4-437F-910A-AF22D19A6547}" destId="{6695EF9A-5FBF-4EEB-9811-3E4A78AE3442}" srcOrd="3" destOrd="0" presId="urn:microsoft.com/office/officeart/2005/8/layout/hProcess11"/>
    <dgm:cxn modelId="{95F74FAE-83AF-42A9-B4FA-6F09447A2385}" type="presParOf" srcId="{7B9EABD2-FCE4-437F-910A-AF22D19A6547}" destId="{DD34132F-D5B9-4652-A5F4-1D401C8B668D}" srcOrd="4" destOrd="0" presId="urn:microsoft.com/office/officeart/2005/8/layout/hProcess11"/>
    <dgm:cxn modelId="{C46703C7-1FE9-42B9-8A57-3FF5D1377486}" type="presParOf" srcId="{DD34132F-D5B9-4652-A5F4-1D401C8B668D}" destId="{55A18860-6072-43C1-A7F5-B368A164A646}" srcOrd="0" destOrd="0" presId="urn:microsoft.com/office/officeart/2005/8/layout/hProcess11"/>
    <dgm:cxn modelId="{4988E903-0D50-4687-A31C-E3CABFBDE029}" type="presParOf" srcId="{DD34132F-D5B9-4652-A5F4-1D401C8B668D}" destId="{667987D7-525E-478F-BB4A-80224F878B2E}" srcOrd="1" destOrd="0" presId="urn:microsoft.com/office/officeart/2005/8/layout/hProcess11"/>
    <dgm:cxn modelId="{1C15D853-CF18-47EA-9D23-58D0E9D38207}" type="presParOf" srcId="{DD34132F-D5B9-4652-A5F4-1D401C8B668D}" destId="{9BDED2F2-CF45-4D5B-81F1-A8CA0524FBBB}" srcOrd="2" destOrd="0" presId="urn:microsoft.com/office/officeart/2005/8/layout/hProcess11"/>
    <dgm:cxn modelId="{45E7DC28-4C4D-4319-B814-1290A790D5EE}" type="presParOf" srcId="{7B9EABD2-FCE4-437F-910A-AF22D19A6547}" destId="{E53CEB4D-F3F5-4EAC-9D38-7A6E0F516B24}" srcOrd="5" destOrd="0" presId="urn:microsoft.com/office/officeart/2005/8/layout/hProcess11"/>
    <dgm:cxn modelId="{D0A5B587-9A03-4874-9D78-EE9E41F7527A}" type="presParOf" srcId="{7B9EABD2-FCE4-437F-910A-AF22D19A6547}" destId="{51C86976-E68B-4D78-BB23-C77C645B06B3}" srcOrd="6" destOrd="0" presId="urn:microsoft.com/office/officeart/2005/8/layout/hProcess11"/>
    <dgm:cxn modelId="{4F49D2EF-34C4-4D2E-85FF-0590FB7B4684}" type="presParOf" srcId="{51C86976-E68B-4D78-BB23-C77C645B06B3}" destId="{04EE4A18-5B0E-4CA9-AC1F-0AAB8FED05F4}" srcOrd="0" destOrd="0" presId="urn:microsoft.com/office/officeart/2005/8/layout/hProcess11"/>
    <dgm:cxn modelId="{3E115B6E-4CCE-45A5-B586-88BB757036E8}" type="presParOf" srcId="{51C86976-E68B-4D78-BB23-C77C645B06B3}" destId="{21F96D30-8E15-403D-A6E3-41ECAE98953D}" srcOrd="1" destOrd="0" presId="urn:microsoft.com/office/officeart/2005/8/layout/hProcess11"/>
    <dgm:cxn modelId="{2176175B-92E9-4DAE-8390-626E77BCF500}" type="presParOf" srcId="{51C86976-E68B-4D78-BB23-C77C645B06B3}" destId="{09F4AF71-9A72-4F75-9D68-0717F2F7587A}" srcOrd="2" destOrd="0" presId="urn:microsoft.com/office/officeart/2005/8/layout/hProcess11"/>
    <dgm:cxn modelId="{67122F7D-F271-474A-80EB-532050C22148}" type="presParOf" srcId="{7B9EABD2-FCE4-437F-910A-AF22D19A6547}" destId="{49B81CEB-49A7-416F-8EB7-AE35D3DC977B}" srcOrd="7" destOrd="0" presId="urn:microsoft.com/office/officeart/2005/8/layout/hProcess11"/>
    <dgm:cxn modelId="{9FBA252D-549E-C747-8CC5-3633CE840C0C}" type="presParOf" srcId="{7B9EABD2-FCE4-437F-910A-AF22D19A6547}" destId="{5867B674-7840-D946-92F5-08690B72F9D3}" srcOrd="8" destOrd="0" presId="urn:microsoft.com/office/officeart/2005/8/layout/hProcess11"/>
    <dgm:cxn modelId="{D41D1B70-0B5D-7B43-BA3B-7173D87A26FF}" type="presParOf" srcId="{5867B674-7840-D946-92F5-08690B72F9D3}" destId="{45AC2499-3AE9-4D42-BB50-6D72933F605C}" srcOrd="0" destOrd="0" presId="urn:microsoft.com/office/officeart/2005/8/layout/hProcess11"/>
    <dgm:cxn modelId="{E84A257A-01BA-7A40-B666-F8BA1B0657A8}" type="presParOf" srcId="{5867B674-7840-D946-92F5-08690B72F9D3}" destId="{8F8B230E-2E2E-3947-AB46-276D928DD8F3}" srcOrd="1" destOrd="0" presId="urn:microsoft.com/office/officeart/2005/8/layout/hProcess11"/>
    <dgm:cxn modelId="{AC3CB806-EB81-2A46-8FFB-8D8FFA3A8B9E}" type="presParOf" srcId="{5867B674-7840-D946-92F5-08690B72F9D3}" destId="{FC807F64-72C2-8F45-8581-10E4BB4C6C26}" srcOrd="2" destOrd="0" presId="urn:microsoft.com/office/officeart/2005/8/layout/hProcess11"/>
    <dgm:cxn modelId="{C9C1ED7D-2678-CE44-9123-A817040CE9D9}" type="presParOf" srcId="{7B9EABD2-FCE4-437F-910A-AF22D19A6547}" destId="{02CE4434-DC65-284D-A57C-E7699811C09B}" srcOrd="9" destOrd="0" presId="urn:microsoft.com/office/officeart/2005/8/layout/hProcess11"/>
    <dgm:cxn modelId="{64B3A52D-9C88-6E4D-9EC7-B994E7DF8981}" type="presParOf" srcId="{7B9EABD2-FCE4-437F-910A-AF22D19A6547}" destId="{C48C206E-FE14-104F-8DC1-AE2951B1E0AC}" srcOrd="10" destOrd="0" presId="urn:microsoft.com/office/officeart/2005/8/layout/hProcess11"/>
    <dgm:cxn modelId="{754B63E5-22E6-5844-9E1D-E4F01AE3599E}" type="presParOf" srcId="{C48C206E-FE14-104F-8DC1-AE2951B1E0AC}" destId="{DBC89435-74AC-4140-9F46-E843E5AAA8B4}" srcOrd="0" destOrd="0" presId="urn:microsoft.com/office/officeart/2005/8/layout/hProcess11"/>
    <dgm:cxn modelId="{81E7668D-DE83-4F46-A1F8-138C47141A8B}" type="presParOf" srcId="{C48C206E-FE14-104F-8DC1-AE2951B1E0AC}" destId="{6AE3D18D-451E-8645-818D-2B0EAFBF3C54}" srcOrd="1" destOrd="0" presId="urn:microsoft.com/office/officeart/2005/8/layout/hProcess11"/>
    <dgm:cxn modelId="{CCA8850F-4855-AC40-B387-82AAA10058E4}" type="presParOf" srcId="{C48C206E-FE14-104F-8DC1-AE2951B1E0AC}" destId="{2045C460-5641-904E-A41B-C314A4C59767}" srcOrd="2" destOrd="0" presId="urn:microsoft.com/office/officeart/2005/8/layout/hProcess11"/>
    <dgm:cxn modelId="{BFB2BAC2-1762-D142-A3FF-929C9615ECE2}" type="presParOf" srcId="{7B9EABD2-FCE4-437F-910A-AF22D19A6547}" destId="{15FA5ECB-D664-5840-9847-551C3AA17BB8}" srcOrd="11" destOrd="0" presId="urn:microsoft.com/office/officeart/2005/8/layout/hProcess11"/>
    <dgm:cxn modelId="{70D8EA91-E4E7-4948-B033-88A67A55CEC2}" type="presParOf" srcId="{7B9EABD2-FCE4-437F-910A-AF22D19A6547}" destId="{E79A5195-1AD5-3B4F-BAD6-27277BF02DF7}" srcOrd="12" destOrd="0" presId="urn:microsoft.com/office/officeart/2005/8/layout/hProcess11"/>
    <dgm:cxn modelId="{B7230855-12E9-DC45-9E40-935AA2843B77}" type="presParOf" srcId="{E79A5195-1AD5-3B4F-BAD6-27277BF02DF7}" destId="{3397B33D-04B8-CE45-9C62-9619C4C558C1}" srcOrd="0" destOrd="0" presId="urn:microsoft.com/office/officeart/2005/8/layout/hProcess11"/>
    <dgm:cxn modelId="{8EC2CC41-741B-4943-A6DD-3136FCCB686F}" type="presParOf" srcId="{E79A5195-1AD5-3B4F-BAD6-27277BF02DF7}" destId="{DC3A20E6-1E97-7F4A-8B56-814244959842}" srcOrd="1" destOrd="0" presId="urn:microsoft.com/office/officeart/2005/8/layout/hProcess11"/>
    <dgm:cxn modelId="{A310F179-E03B-4F40-BD0C-C3F95D54058D}" type="presParOf" srcId="{E79A5195-1AD5-3B4F-BAD6-27277BF02DF7}" destId="{17A45B00-CECD-D847-A3A7-952B3E5A60E3}" srcOrd="2" destOrd="0" presId="urn:microsoft.com/office/officeart/2005/8/layout/hProcess11"/>
    <dgm:cxn modelId="{C53F5E90-54E0-204A-9498-14D515B16677}" type="presParOf" srcId="{7B9EABD2-FCE4-437F-910A-AF22D19A6547}" destId="{15DDB7A9-A70C-0540-ABFA-57AADC0CA22B}" srcOrd="13" destOrd="0" presId="urn:microsoft.com/office/officeart/2005/8/layout/hProcess11"/>
    <dgm:cxn modelId="{58814EB2-8804-B041-A7A6-A2912F8291C0}" type="presParOf" srcId="{7B9EABD2-FCE4-437F-910A-AF22D19A6547}" destId="{981A07A6-D120-3041-944C-6DE60E2E6A8B}" srcOrd="14" destOrd="0" presId="urn:microsoft.com/office/officeart/2005/8/layout/hProcess11"/>
    <dgm:cxn modelId="{0001864D-BEF9-AD49-85F0-F6CDFEAA9AEE}" type="presParOf" srcId="{981A07A6-D120-3041-944C-6DE60E2E6A8B}" destId="{0BD69739-3AA3-5E43-A2E7-FAB3D7FB2721}" srcOrd="0" destOrd="0" presId="urn:microsoft.com/office/officeart/2005/8/layout/hProcess11"/>
    <dgm:cxn modelId="{13CFC121-89D8-4749-853D-734E2306C330}" type="presParOf" srcId="{981A07A6-D120-3041-944C-6DE60E2E6A8B}" destId="{9115D4F4-B3E8-FF4E-A125-949436B0CACB}" srcOrd="1" destOrd="0" presId="urn:microsoft.com/office/officeart/2005/8/layout/hProcess11"/>
    <dgm:cxn modelId="{144013C5-8C53-414C-9A9B-87DF2D2764AF}" type="presParOf" srcId="{981A07A6-D120-3041-944C-6DE60E2E6A8B}" destId="{A6E2F283-90BB-2C4B-ABF8-9485D6020D09}" srcOrd="2" destOrd="0" presId="urn:microsoft.com/office/officeart/2005/8/layout/hProcess1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5A0F42-423B-44F2-8556-E3241BB8BC94}">
      <dsp:nvSpPr>
        <dsp:cNvPr id="0" name=""/>
        <dsp:cNvSpPr/>
      </dsp:nvSpPr>
      <dsp:spPr>
        <a:xfrm>
          <a:off x="0" y="586762"/>
          <a:ext cx="5873750" cy="782350"/>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8859A3F-03A4-4C6A-9F98-163ED9DF6CB2}">
      <dsp:nvSpPr>
        <dsp:cNvPr id="0" name=""/>
        <dsp:cNvSpPr/>
      </dsp:nvSpPr>
      <dsp:spPr>
        <a:xfrm>
          <a:off x="104046" y="12361"/>
          <a:ext cx="527784"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marL="0" lvl="0" indent="0" algn="ctr" defTabSz="311150">
            <a:lnSpc>
              <a:spcPct val="90000"/>
            </a:lnSpc>
            <a:spcBef>
              <a:spcPct val="0"/>
            </a:spcBef>
            <a:spcAft>
              <a:spcPct val="35000"/>
            </a:spcAft>
            <a:buNone/>
          </a:pPr>
          <a:r>
            <a:rPr lang="en-US" sz="700" kern="1200" dirty="0"/>
            <a:t>Start of Forward guidance </a:t>
          </a:r>
          <a:r>
            <a:rPr lang="en-US" sz="700" kern="1200" dirty="0" err="1"/>
            <a:t>Programme</a:t>
          </a:r>
          <a:r>
            <a:rPr lang="en-US" sz="700" kern="1200" dirty="0"/>
            <a:t> 07/2013</a:t>
          </a:r>
          <a:endParaRPr lang="el-GR" sz="700" kern="1200" dirty="0"/>
        </a:p>
      </dsp:txBody>
      <dsp:txXfrm>
        <a:off x="104046" y="12361"/>
        <a:ext cx="527784" cy="782350"/>
      </dsp:txXfrm>
    </dsp:sp>
    <dsp:sp modelId="{7E8406B4-0ECD-4D0D-AC2B-D611BE844C3B}">
      <dsp:nvSpPr>
        <dsp:cNvPr id="0" name=""/>
        <dsp:cNvSpPr/>
      </dsp:nvSpPr>
      <dsp:spPr>
        <a:xfrm>
          <a:off x="326620"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4726712-E263-4651-9744-6AA83D5C7E71}">
      <dsp:nvSpPr>
        <dsp:cNvPr id="0" name=""/>
        <dsp:cNvSpPr/>
      </dsp:nvSpPr>
      <dsp:spPr>
        <a:xfrm>
          <a:off x="609686" y="1173525"/>
          <a:ext cx="704356"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marL="0" lvl="0" indent="0" algn="ctr" defTabSz="311150">
            <a:lnSpc>
              <a:spcPct val="90000"/>
            </a:lnSpc>
            <a:spcBef>
              <a:spcPct val="0"/>
            </a:spcBef>
            <a:spcAft>
              <a:spcPct val="35000"/>
            </a:spcAft>
            <a:buNone/>
          </a:pPr>
          <a:r>
            <a:rPr lang="en-US" sz="700" kern="1200" dirty="0"/>
            <a:t>05/2014 Announcement of the first series of TLTROs</a:t>
          </a:r>
          <a:endParaRPr lang="el-GR" sz="700" kern="1200" dirty="0"/>
        </a:p>
      </dsp:txBody>
      <dsp:txXfrm>
        <a:off x="609686" y="1173525"/>
        <a:ext cx="704356" cy="782350"/>
      </dsp:txXfrm>
    </dsp:sp>
    <dsp:sp modelId="{171461E7-0595-46E3-A4BC-C705A9550BA9}">
      <dsp:nvSpPr>
        <dsp:cNvPr id="0" name=""/>
        <dsp:cNvSpPr/>
      </dsp:nvSpPr>
      <dsp:spPr>
        <a:xfrm>
          <a:off x="866681"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5A18860-6072-43C1-A7F5-B368A164A646}">
      <dsp:nvSpPr>
        <dsp:cNvPr id="0" name=""/>
        <dsp:cNvSpPr/>
      </dsp:nvSpPr>
      <dsp:spPr>
        <a:xfrm>
          <a:off x="1323561" y="0"/>
          <a:ext cx="624248"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marL="0" lvl="0" indent="0" algn="ctr" defTabSz="311150">
            <a:lnSpc>
              <a:spcPct val="90000"/>
            </a:lnSpc>
            <a:spcBef>
              <a:spcPct val="0"/>
            </a:spcBef>
            <a:spcAft>
              <a:spcPct val="35000"/>
            </a:spcAft>
            <a:buNone/>
          </a:pPr>
          <a:r>
            <a:rPr lang="en-US" sz="700" kern="1200" dirty="0"/>
            <a:t>Introduction of negative interest rate policy (NIRP) </a:t>
          </a:r>
        </a:p>
        <a:p>
          <a:pPr marL="0" lvl="0" indent="0" algn="ctr" defTabSz="311150">
            <a:lnSpc>
              <a:spcPct val="90000"/>
            </a:lnSpc>
            <a:spcBef>
              <a:spcPct val="0"/>
            </a:spcBef>
            <a:spcAft>
              <a:spcPct val="35000"/>
            </a:spcAft>
            <a:buNone/>
          </a:pPr>
          <a:r>
            <a:rPr lang="en-US" sz="700" kern="1200" dirty="0"/>
            <a:t> 06/2014</a:t>
          </a:r>
          <a:endParaRPr lang="el-GR" sz="700" kern="1200" dirty="0"/>
        </a:p>
      </dsp:txBody>
      <dsp:txXfrm>
        <a:off x="1323561" y="0"/>
        <a:ext cx="624248" cy="782350"/>
      </dsp:txXfrm>
    </dsp:sp>
    <dsp:sp modelId="{667987D7-525E-478F-BB4A-80224F878B2E}">
      <dsp:nvSpPr>
        <dsp:cNvPr id="0" name=""/>
        <dsp:cNvSpPr/>
      </dsp:nvSpPr>
      <dsp:spPr>
        <a:xfrm>
          <a:off x="1540502"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4EE4A18-5B0E-4CA9-AC1F-0AAB8FED05F4}">
      <dsp:nvSpPr>
        <dsp:cNvPr id="0" name=""/>
        <dsp:cNvSpPr/>
      </dsp:nvSpPr>
      <dsp:spPr>
        <a:xfrm>
          <a:off x="1957328" y="1173525"/>
          <a:ext cx="629605"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marL="0" lvl="0" indent="0" algn="ctr" defTabSz="311150">
            <a:lnSpc>
              <a:spcPct val="90000"/>
            </a:lnSpc>
            <a:spcBef>
              <a:spcPct val="0"/>
            </a:spcBef>
            <a:spcAft>
              <a:spcPct val="35000"/>
            </a:spcAft>
            <a:buNone/>
          </a:pPr>
          <a:r>
            <a:rPr lang="en-US" sz="700" kern="1200" dirty="0"/>
            <a:t>10/2014 Beginning of Asset Purchase </a:t>
          </a:r>
          <a:r>
            <a:rPr lang="en-US" sz="700" kern="1200" dirty="0" err="1"/>
            <a:t>Programmes</a:t>
          </a:r>
          <a:r>
            <a:rPr lang="en-US" sz="700" kern="1200" dirty="0"/>
            <a:t> (APPs)</a:t>
          </a:r>
          <a:endParaRPr lang="el-GR" sz="700" kern="1200" dirty="0"/>
        </a:p>
      </dsp:txBody>
      <dsp:txXfrm>
        <a:off x="1957328" y="1173525"/>
        <a:ext cx="629605" cy="782350"/>
      </dsp:txXfrm>
    </dsp:sp>
    <dsp:sp modelId="{21F96D30-8E15-403D-A6E3-41ECAE98953D}">
      <dsp:nvSpPr>
        <dsp:cNvPr id="0" name=""/>
        <dsp:cNvSpPr/>
      </dsp:nvSpPr>
      <dsp:spPr>
        <a:xfrm>
          <a:off x="2176948"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AC2499-3AE9-4D42-BB50-6D72933F605C}">
      <dsp:nvSpPr>
        <dsp:cNvPr id="0" name=""/>
        <dsp:cNvSpPr/>
      </dsp:nvSpPr>
      <dsp:spPr>
        <a:xfrm>
          <a:off x="2596452" y="0"/>
          <a:ext cx="668574"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marL="0" lvl="0" indent="0" algn="ctr" defTabSz="311150">
            <a:lnSpc>
              <a:spcPct val="90000"/>
            </a:lnSpc>
            <a:spcBef>
              <a:spcPct val="0"/>
            </a:spcBef>
            <a:spcAft>
              <a:spcPct val="35000"/>
            </a:spcAft>
            <a:buNone/>
          </a:pPr>
          <a:r>
            <a:rPr lang="en-US" sz="700" kern="1200" dirty="0"/>
            <a:t>Announcement of the second series of TLTROs</a:t>
          </a:r>
        </a:p>
        <a:p>
          <a:pPr marL="0" lvl="0" indent="0" algn="ctr" defTabSz="311150">
            <a:lnSpc>
              <a:spcPct val="90000"/>
            </a:lnSpc>
            <a:spcBef>
              <a:spcPct val="0"/>
            </a:spcBef>
            <a:spcAft>
              <a:spcPct val="35000"/>
            </a:spcAft>
            <a:buNone/>
          </a:pPr>
          <a:r>
            <a:rPr lang="en-US" sz="700" kern="1200" dirty="0"/>
            <a:t>03/2016</a:t>
          </a:r>
          <a:endParaRPr lang="el-GR" sz="700" kern="1200" dirty="0"/>
        </a:p>
      </dsp:txBody>
      <dsp:txXfrm>
        <a:off x="2596452" y="0"/>
        <a:ext cx="668574" cy="782350"/>
      </dsp:txXfrm>
    </dsp:sp>
    <dsp:sp modelId="{8F8B230E-2E2E-3947-AB46-276D928DD8F3}">
      <dsp:nvSpPr>
        <dsp:cNvPr id="0" name=""/>
        <dsp:cNvSpPr/>
      </dsp:nvSpPr>
      <dsp:spPr>
        <a:xfrm>
          <a:off x="2835556"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BC89435-74AC-4140-9F46-E843E5AAA8B4}">
      <dsp:nvSpPr>
        <dsp:cNvPr id="0" name=""/>
        <dsp:cNvSpPr/>
      </dsp:nvSpPr>
      <dsp:spPr>
        <a:xfrm>
          <a:off x="3274545" y="1173525"/>
          <a:ext cx="706111"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marL="0" lvl="0" indent="0" algn="ctr" defTabSz="311150">
            <a:lnSpc>
              <a:spcPct val="90000"/>
            </a:lnSpc>
            <a:spcBef>
              <a:spcPct val="0"/>
            </a:spcBef>
            <a:spcAft>
              <a:spcPct val="35000"/>
            </a:spcAft>
            <a:buNone/>
          </a:pPr>
          <a:r>
            <a:rPr lang="en-US" sz="700" kern="1200" dirty="0"/>
            <a:t>07/2019</a:t>
          </a:r>
        </a:p>
        <a:p>
          <a:pPr marL="0" lvl="0" indent="0" algn="ctr" defTabSz="311150">
            <a:lnSpc>
              <a:spcPct val="90000"/>
            </a:lnSpc>
            <a:spcBef>
              <a:spcPct val="0"/>
            </a:spcBef>
            <a:spcAft>
              <a:spcPct val="35000"/>
            </a:spcAft>
            <a:buNone/>
          </a:pPr>
          <a:r>
            <a:rPr lang="en-US" sz="700" kern="1200" dirty="0"/>
            <a:t>Announcement of the third series of TLTROs</a:t>
          </a:r>
          <a:endParaRPr lang="el-GR" sz="700" kern="1200" dirty="0"/>
        </a:p>
      </dsp:txBody>
      <dsp:txXfrm>
        <a:off x="3274545" y="1173525"/>
        <a:ext cx="706111" cy="782350"/>
      </dsp:txXfrm>
    </dsp:sp>
    <dsp:sp modelId="{6AE3D18D-451E-8645-818D-2B0EAFBF3C54}">
      <dsp:nvSpPr>
        <dsp:cNvPr id="0" name=""/>
        <dsp:cNvSpPr/>
      </dsp:nvSpPr>
      <dsp:spPr>
        <a:xfrm>
          <a:off x="3532417"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97B33D-04B8-CE45-9C62-9619C4C558C1}">
      <dsp:nvSpPr>
        <dsp:cNvPr id="0" name=""/>
        <dsp:cNvSpPr/>
      </dsp:nvSpPr>
      <dsp:spPr>
        <a:xfrm>
          <a:off x="3990174" y="0"/>
          <a:ext cx="638274"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marL="0" lvl="0" indent="0" algn="ctr" defTabSz="311150">
            <a:lnSpc>
              <a:spcPct val="90000"/>
            </a:lnSpc>
            <a:spcBef>
              <a:spcPct val="0"/>
            </a:spcBef>
            <a:spcAft>
              <a:spcPct val="35000"/>
            </a:spcAft>
            <a:buNone/>
          </a:pPr>
          <a:r>
            <a:rPr lang="en-US" sz="700" kern="1200" dirty="0"/>
            <a:t>Launch of Pandemic Emergency Purchase </a:t>
          </a:r>
          <a:r>
            <a:rPr lang="en-US" sz="700" kern="1200" dirty="0" err="1"/>
            <a:t>Programme</a:t>
          </a:r>
          <a:r>
            <a:rPr lang="en-US" sz="700" kern="1200" dirty="0"/>
            <a:t> (PEPP) </a:t>
          </a:r>
        </a:p>
        <a:p>
          <a:pPr marL="0" lvl="0" indent="0" algn="ctr" defTabSz="311150">
            <a:lnSpc>
              <a:spcPct val="90000"/>
            </a:lnSpc>
            <a:spcBef>
              <a:spcPct val="0"/>
            </a:spcBef>
            <a:spcAft>
              <a:spcPct val="35000"/>
            </a:spcAft>
            <a:buNone/>
          </a:pPr>
          <a:r>
            <a:rPr lang="en-US" sz="700" kern="1200" dirty="0"/>
            <a:t>03/2020 </a:t>
          </a:r>
          <a:endParaRPr lang="el-GR" sz="700" kern="1200" dirty="0"/>
        </a:p>
      </dsp:txBody>
      <dsp:txXfrm>
        <a:off x="3990174" y="0"/>
        <a:ext cx="638274" cy="782350"/>
      </dsp:txXfrm>
    </dsp:sp>
    <dsp:sp modelId="{DC3A20E6-1E97-7F4A-8B56-814244959842}">
      <dsp:nvSpPr>
        <dsp:cNvPr id="0" name=""/>
        <dsp:cNvSpPr/>
      </dsp:nvSpPr>
      <dsp:spPr>
        <a:xfrm>
          <a:off x="4214129"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D69739-3AA3-5E43-A2E7-FAB3D7FB2721}">
      <dsp:nvSpPr>
        <dsp:cNvPr id="0" name=""/>
        <dsp:cNvSpPr/>
      </dsp:nvSpPr>
      <dsp:spPr>
        <a:xfrm>
          <a:off x="4637968" y="1173525"/>
          <a:ext cx="576023" cy="7823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marL="0" lvl="0" indent="0" algn="ctr" defTabSz="311150">
            <a:lnSpc>
              <a:spcPct val="90000"/>
            </a:lnSpc>
            <a:spcBef>
              <a:spcPct val="0"/>
            </a:spcBef>
            <a:spcAft>
              <a:spcPct val="35000"/>
            </a:spcAft>
            <a:buNone/>
          </a:pPr>
          <a:r>
            <a:rPr lang="en-US" sz="700" kern="1200" dirty="0"/>
            <a:t>07/2022 </a:t>
          </a:r>
        </a:p>
        <a:p>
          <a:pPr marL="0" lvl="0" indent="0" algn="ctr" defTabSz="311150">
            <a:lnSpc>
              <a:spcPct val="90000"/>
            </a:lnSpc>
            <a:spcBef>
              <a:spcPct val="0"/>
            </a:spcBef>
            <a:spcAft>
              <a:spcPct val="35000"/>
            </a:spcAft>
            <a:buNone/>
          </a:pPr>
          <a:r>
            <a:rPr lang="en-US" sz="700" kern="1200" dirty="0"/>
            <a:t>End of negative interest rate policy (NIRP)</a:t>
          </a:r>
          <a:endParaRPr lang="el-GR" sz="700" kern="1200" dirty="0"/>
        </a:p>
      </dsp:txBody>
      <dsp:txXfrm>
        <a:off x="4637968" y="1173525"/>
        <a:ext cx="576023" cy="782350"/>
      </dsp:txXfrm>
    </dsp:sp>
    <dsp:sp modelId="{9115D4F4-B3E8-FF4E-A125-949436B0CACB}">
      <dsp:nvSpPr>
        <dsp:cNvPr id="0" name=""/>
        <dsp:cNvSpPr/>
      </dsp:nvSpPr>
      <dsp:spPr>
        <a:xfrm>
          <a:off x="4830796" y="882754"/>
          <a:ext cx="190366" cy="1903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EBF5A3E1481344BA88F6D8A0168FEBC" ma:contentTypeVersion="3" ma:contentTypeDescription="Create a new document." ma:contentTypeScope="" ma:versionID="b7c81d6c8694273753e4f3cae0c918b1">
  <xsd:schema xmlns:xsd="http://www.w3.org/2001/XMLSchema" xmlns:xs="http://www.w3.org/2001/XMLSchema" xmlns:p="http://schemas.microsoft.com/office/2006/metadata/properties" xmlns:ns3="4a368621-a7f7-474a-a215-dd9bec42fb8c" targetNamespace="http://schemas.microsoft.com/office/2006/metadata/properties" ma:root="true" ma:fieldsID="df96c8fbcbcee0de9b4e3a281b45a290" ns3:_="">
    <xsd:import namespace="4a368621-a7f7-474a-a215-dd9bec42fb8c"/>
    <xsd:element name="properties">
      <xsd:complexType>
        <xsd:sequence>
          <xsd:element name="documentManagement">
            <xsd:complexType>
              <xsd:all>
                <xsd:element ref="ns3:MediaServiceMetadata" minOccurs="0"/>
                <xsd:element ref="ns3:MediaServiceFastMetadata"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68621-a7f7-474a-a215-dd9bec42fb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22FFB32-76F1-4035-880C-BDD7FD6027AD}">
  <ds:schemaRefs>
    <ds:schemaRef ds:uri="http://schemas.openxmlformats.org/officeDocument/2006/bibliography"/>
  </ds:schemaRefs>
</ds:datastoreItem>
</file>

<file path=customXml/itemProps2.xml><?xml version="1.0" encoding="utf-8"?>
<ds:datastoreItem xmlns:ds="http://schemas.openxmlformats.org/officeDocument/2006/customXml" ds:itemID="{D3C42D1E-1864-41B6-8E39-0EF2DFEFA5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68621-a7f7-474a-a215-dd9bec42fb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09C354-04F9-459D-9C6E-FF528D338C60}">
  <ds:schemaRefs>
    <ds:schemaRef ds:uri="http://schemas.microsoft.com/sharepoint/v3/contenttype/forms"/>
  </ds:schemaRefs>
</ds:datastoreItem>
</file>

<file path=customXml/itemProps4.xml><?xml version="1.0" encoding="utf-8"?>
<ds:datastoreItem xmlns:ds="http://schemas.openxmlformats.org/officeDocument/2006/customXml" ds:itemID="{25A17434-AFDC-4BAE-A298-7D856E2111A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34</Pages>
  <Words>7695</Words>
  <Characters>43866</Characters>
  <Application>Microsoft Office Word</Application>
  <DocSecurity>0</DocSecurity>
  <Lines>365</Lines>
  <Paragraphs>102</Paragraphs>
  <ScaleCrop>false</ScaleCrop>
  <HeadingPairs>
    <vt:vector size="4" baseType="variant">
      <vt:variant>
        <vt:lpstr>Title</vt:lpstr>
      </vt:variant>
      <vt:variant>
        <vt:i4>1</vt:i4>
      </vt:variant>
      <vt:variant>
        <vt:lpstr>Headings</vt:lpstr>
      </vt:variant>
      <vt:variant>
        <vt:i4>22</vt:i4>
      </vt:variant>
    </vt:vector>
  </HeadingPairs>
  <TitlesOfParts>
    <vt:vector size="23" baseType="lpstr">
      <vt:lpstr/>
      <vt:lpstr>1. Introduction</vt:lpstr>
      <vt:lpstr>2. Unconventional monetary policy</vt:lpstr>
      <vt:lpstr>    2.1. Historical overview</vt:lpstr>
      <vt:lpstr>        Forward guidance</vt:lpstr>
      <vt:lpstr>        Targeted longer-term refinancing operations </vt:lpstr>
      <vt:lpstr>        Negative interest rate</vt:lpstr>
      <vt:lpstr>        Quantitative easing, Asset purchase programmes</vt:lpstr>
      <vt:lpstr>        Pandemic emergency purchase programme </vt:lpstr>
      <vt:lpstr>    2.2. The effects of unconventional monetary on wealth inequality: theoretical me</vt:lpstr>
      <vt:lpstr>        Theoretical mechanisms</vt:lpstr>
      <vt:lpstr>3. Wealth inequality in the EU</vt:lpstr>
      <vt:lpstr>3.1. Household wealth data</vt:lpstr>
      <vt:lpstr>        Total real and financial assets</vt:lpstr>
      <vt:lpstr>        Total assets</vt:lpstr>
      <vt:lpstr>3. The effects of unconventional monetary policy on wealth inequality</vt:lpstr>
      <vt:lpstr>    3.1. Empirical methodology</vt:lpstr>
      <vt:lpstr>        Measuring wealth inequality</vt:lpstr>
      <vt:lpstr>        Identifying monetary policy shocks</vt:lpstr>
      <vt:lpstr>    3.2. Results</vt:lpstr>
      <vt:lpstr>        Overall effects on wealth distribution</vt:lpstr>
      <vt:lpstr>        Heterogeneity across countries</vt:lpstr>
      <vt:lpstr>    4. Conclusions and policy implications</vt:lpstr>
    </vt:vector>
  </TitlesOfParts>
  <Company/>
  <LinksUpToDate>false</LinksUpToDate>
  <CharactersWithSpaces>51459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Yota Deli</dc:creator>
  <cp:keywords/>
  <dc:description/>
  <cp:lastModifiedBy>Yota Deli</cp:lastModifiedBy>
  <cp:revision>14</cp:revision>
  <dcterms:created xsi:type="dcterms:W3CDTF">2023-06-23T10:07:00Z</dcterms:created>
  <dcterms:modified xsi:type="dcterms:W3CDTF">2023-06-23T10:32:00Z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0x0101001EBF5A3E1481344BA88F6D8A0168FEBC</vt:lpwstr>
  </property>
</Properties>
</file>