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4721EF" w14:textId="435F2254" w:rsidR="000A7496" w:rsidRPr="001C2C36" w:rsidRDefault="00675B1D" w:rsidP="00F8579D">
      <w:pPr>
        <w:spacing w:before="240"/>
        <w:rPr>
          <w:rFonts w:cs="Times New Roman"/>
          <w:b/>
          <w:sz w:val="32"/>
          <w:szCs w:val="32"/>
        </w:rPr>
      </w:pPr>
      <w:r w:rsidRPr="001C2C36">
        <w:rPr>
          <w:rFonts w:cs="Times New Roman"/>
          <w:b/>
          <w:sz w:val="32"/>
          <w:szCs w:val="32"/>
        </w:rPr>
        <w:t>D</w:t>
      </w:r>
      <w:r w:rsidR="00D96714" w:rsidRPr="001C2C36">
        <w:rPr>
          <w:rFonts w:cs="Times New Roman"/>
          <w:b/>
          <w:sz w:val="32"/>
          <w:szCs w:val="32"/>
        </w:rPr>
        <w:t xml:space="preserve">ynamic capabilities </w:t>
      </w:r>
      <w:r w:rsidR="00150DD1" w:rsidRPr="001C2C36">
        <w:rPr>
          <w:rFonts w:cs="Times New Roman"/>
          <w:b/>
          <w:sz w:val="32"/>
          <w:szCs w:val="32"/>
        </w:rPr>
        <w:t>and</w:t>
      </w:r>
      <w:r w:rsidR="00D96714" w:rsidRPr="001C2C36">
        <w:rPr>
          <w:rFonts w:cs="Times New Roman"/>
          <w:b/>
          <w:sz w:val="32"/>
          <w:szCs w:val="32"/>
        </w:rPr>
        <w:t xml:space="preserve"> e</w:t>
      </w:r>
      <w:r w:rsidR="000A7496" w:rsidRPr="001C2C36">
        <w:rPr>
          <w:rFonts w:cs="Times New Roman"/>
          <w:b/>
          <w:sz w:val="32"/>
          <w:szCs w:val="32"/>
        </w:rPr>
        <w:t>mployment</w:t>
      </w:r>
      <w:r w:rsidR="00150DD1" w:rsidRPr="001C2C36">
        <w:rPr>
          <w:rFonts w:cs="Times New Roman"/>
          <w:b/>
          <w:sz w:val="32"/>
          <w:szCs w:val="32"/>
        </w:rPr>
        <w:t xml:space="preserve"> </w:t>
      </w:r>
      <w:r w:rsidRPr="001C2C36">
        <w:rPr>
          <w:rFonts w:cs="Times New Roman"/>
          <w:b/>
          <w:sz w:val="32"/>
          <w:szCs w:val="32"/>
        </w:rPr>
        <w:t>during Covid-19</w:t>
      </w:r>
      <w:r w:rsidR="00D96714" w:rsidRPr="001C2C36">
        <w:rPr>
          <w:rFonts w:cs="Times New Roman"/>
          <w:b/>
          <w:sz w:val="32"/>
          <w:szCs w:val="32"/>
        </w:rPr>
        <w:t>:</w:t>
      </w:r>
      <w:r w:rsidR="006237C8" w:rsidRPr="001C2C36">
        <w:rPr>
          <w:rFonts w:cs="Times New Roman"/>
          <w:b/>
          <w:sz w:val="32"/>
          <w:szCs w:val="32"/>
        </w:rPr>
        <w:t xml:space="preserve"> </w:t>
      </w:r>
      <w:r w:rsidR="094F045E" w:rsidRPr="001C2C36">
        <w:rPr>
          <w:rFonts w:cs="Times New Roman"/>
          <w:b/>
          <w:sz w:val="32"/>
          <w:szCs w:val="32"/>
        </w:rPr>
        <w:t>The</w:t>
      </w:r>
      <w:r w:rsidR="74E7A299" w:rsidRPr="001C2C36">
        <w:rPr>
          <w:rFonts w:cs="Times New Roman"/>
          <w:b/>
          <w:sz w:val="32"/>
          <w:szCs w:val="32"/>
        </w:rPr>
        <w:t xml:space="preserve"> </w:t>
      </w:r>
      <w:r w:rsidR="00D345DB" w:rsidRPr="001C2C36">
        <w:rPr>
          <w:rFonts w:cs="Times New Roman"/>
          <w:b/>
          <w:sz w:val="32"/>
          <w:szCs w:val="32"/>
        </w:rPr>
        <w:t xml:space="preserve">moderating effect of government </w:t>
      </w:r>
      <w:r w:rsidR="009C0ACB" w:rsidRPr="001C2C36">
        <w:rPr>
          <w:rFonts w:cs="Times New Roman"/>
          <w:b/>
          <w:sz w:val="32"/>
          <w:szCs w:val="32"/>
        </w:rPr>
        <w:t>support</w:t>
      </w:r>
    </w:p>
    <w:p w14:paraId="5FB823E1" w14:textId="40D66FC8" w:rsidR="00BF3480" w:rsidRPr="001C2C36" w:rsidRDefault="00BF3480" w:rsidP="0057588E">
      <w:pPr>
        <w:pStyle w:val="Heading1"/>
        <w:rPr>
          <w:rFonts w:cs="Times New Roman"/>
          <w:bCs/>
          <w:i/>
          <w:iCs/>
          <w:szCs w:val="24"/>
        </w:rPr>
      </w:pPr>
      <w:r w:rsidRPr="001C2C36">
        <w:rPr>
          <w:rFonts w:cs="Times New Roman"/>
          <w:i/>
          <w:iCs/>
          <w:szCs w:val="24"/>
        </w:rPr>
        <w:t>Abstract</w:t>
      </w:r>
    </w:p>
    <w:p w14:paraId="453F6C97" w14:textId="23C6EF5E" w:rsidR="00E1174B" w:rsidRPr="001C2C36" w:rsidRDefault="00E1174B" w:rsidP="00B736C3">
      <w:pPr>
        <w:rPr>
          <w:rFonts w:cs="Times New Roman"/>
        </w:rPr>
      </w:pPr>
      <w:r w:rsidRPr="001C2C36">
        <w:rPr>
          <w:rFonts w:cs="Times New Roman"/>
        </w:rPr>
        <w:t xml:space="preserve">Although small and medium-sized enterprises (SMEs) were particularly hard hit by the Covid-19 pandemic, some performed relatively well, </w:t>
      </w:r>
      <w:proofErr w:type="gramStart"/>
      <w:r w:rsidRPr="001C2C36">
        <w:rPr>
          <w:rFonts w:cs="Times New Roman"/>
        </w:rPr>
        <w:t>maintaining</w:t>
      </w:r>
      <w:proofErr w:type="gramEnd"/>
      <w:r w:rsidRPr="001C2C36">
        <w:rPr>
          <w:rFonts w:cs="Times New Roman"/>
        </w:rPr>
        <w:t xml:space="preserve"> or increasing employment growth. We study these differences in performance through the lens of dynamic capabilities theory</w:t>
      </w:r>
      <w:r w:rsidR="5DC8440C" w:rsidRPr="001C2C36">
        <w:rPr>
          <w:rFonts w:cs="Times New Roman"/>
        </w:rPr>
        <w:t>,</w:t>
      </w:r>
      <w:r w:rsidRPr="001C2C36">
        <w:rPr>
          <w:rFonts w:cs="Times New Roman"/>
        </w:rPr>
        <w:t xml:space="preserve"> </w:t>
      </w:r>
      <w:r w:rsidR="25B37601" w:rsidRPr="001C2C36">
        <w:rPr>
          <w:rFonts w:cs="Times New Roman"/>
        </w:rPr>
        <w:t>which</w:t>
      </w:r>
      <w:r w:rsidRPr="001C2C36">
        <w:rPr>
          <w:rFonts w:cs="Times New Roman"/>
        </w:rPr>
        <w:t xml:space="preserve"> we extend by incorporating the moderating effect of government support during Covid-19. We analyse responses from </w:t>
      </w:r>
      <w:r w:rsidR="5CBEC3C1" w:rsidRPr="001C2C36">
        <w:rPr>
          <w:rFonts w:cs="Times New Roman"/>
        </w:rPr>
        <w:t>1,421</w:t>
      </w:r>
      <w:r w:rsidRPr="001C2C36">
        <w:rPr>
          <w:rFonts w:cs="Times New Roman"/>
        </w:rPr>
        <w:t xml:space="preserve"> UK SMEs and find that government support </w:t>
      </w:r>
      <w:r w:rsidR="00AF37B7" w:rsidRPr="001C2C36">
        <w:rPr>
          <w:rFonts w:cs="Times New Roman"/>
        </w:rPr>
        <w:t>and dynamic capabilities</w:t>
      </w:r>
      <w:r w:rsidR="16E8BBB9" w:rsidRPr="001C2C36">
        <w:rPr>
          <w:rFonts w:cs="Times New Roman"/>
        </w:rPr>
        <w:t xml:space="preserve"> </w:t>
      </w:r>
      <w:r w:rsidRPr="001C2C36">
        <w:rPr>
          <w:rFonts w:cs="Times New Roman"/>
        </w:rPr>
        <w:t>positively impact employment</w:t>
      </w:r>
      <w:r w:rsidR="16E8BBB9" w:rsidRPr="001C2C36">
        <w:rPr>
          <w:rFonts w:cs="Times New Roman"/>
        </w:rPr>
        <w:t>.</w:t>
      </w:r>
      <w:r w:rsidRPr="001C2C36">
        <w:rPr>
          <w:rFonts w:cs="Times New Roman"/>
        </w:rPr>
        <w:t xml:space="preserve"> We also show that government support moderates the link between dynamic capabilities and employment with a negative effect after the </w:t>
      </w:r>
      <w:r w:rsidR="0002536B" w:rsidRPr="001C2C36">
        <w:rPr>
          <w:rFonts w:cs="Times New Roman"/>
        </w:rPr>
        <w:t>first</w:t>
      </w:r>
      <w:r w:rsidRPr="001C2C36">
        <w:rPr>
          <w:rFonts w:cs="Times New Roman"/>
        </w:rPr>
        <w:t xml:space="preserve"> Covid-19</w:t>
      </w:r>
      <w:r w:rsidR="0002536B" w:rsidRPr="001C2C36">
        <w:rPr>
          <w:rFonts w:cs="Times New Roman"/>
        </w:rPr>
        <w:t xml:space="preserve"> lockdown</w:t>
      </w:r>
      <w:r w:rsidRPr="001C2C36">
        <w:rPr>
          <w:rFonts w:cs="Times New Roman"/>
        </w:rPr>
        <w:t xml:space="preserve">. The findings highlight the role of government policy intervention in </w:t>
      </w:r>
      <w:r w:rsidR="0D671D43" w:rsidRPr="001C2C36">
        <w:rPr>
          <w:rFonts w:cs="Times New Roman"/>
        </w:rPr>
        <w:t>discouraging</w:t>
      </w:r>
      <w:r w:rsidR="16E8BBB9" w:rsidRPr="001C2C36">
        <w:rPr>
          <w:rFonts w:cs="Times New Roman"/>
        </w:rPr>
        <w:t xml:space="preserve"> </w:t>
      </w:r>
      <w:r w:rsidRPr="001C2C36">
        <w:rPr>
          <w:rFonts w:cs="Times New Roman"/>
        </w:rPr>
        <w:t xml:space="preserve">SMEs </w:t>
      </w:r>
      <w:r w:rsidR="7AED2232" w:rsidRPr="001C2C36">
        <w:rPr>
          <w:rFonts w:cs="Times New Roman"/>
        </w:rPr>
        <w:t>from</w:t>
      </w:r>
      <w:r w:rsidR="16E8BBB9" w:rsidRPr="001C2C36">
        <w:rPr>
          <w:rFonts w:cs="Times New Roman"/>
        </w:rPr>
        <w:t xml:space="preserve"> </w:t>
      </w:r>
      <w:r w:rsidR="181AF9D2" w:rsidRPr="001C2C36">
        <w:rPr>
          <w:rFonts w:cs="Times New Roman"/>
        </w:rPr>
        <w:t xml:space="preserve">effectively </w:t>
      </w:r>
      <w:r w:rsidR="16E8BBB9" w:rsidRPr="001C2C36">
        <w:rPr>
          <w:rFonts w:cs="Times New Roman"/>
        </w:rPr>
        <w:t>exercis</w:t>
      </w:r>
      <w:r w:rsidR="6888C688" w:rsidRPr="001C2C36">
        <w:rPr>
          <w:rFonts w:cs="Times New Roman"/>
        </w:rPr>
        <w:t>ing</w:t>
      </w:r>
      <w:r w:rsidRPr="001C2C36">
        <w:rPr>
          <w:rFonts w:cs="Times New Roman"/>
        </w:rPr>
        <w:t xml:space="preserve"> dynamic capabilities during a crisis and the general importance of dynamic capabilities</w:t>
      </w:r>
      <w:r w:rsidR="008E7642" w:rsidRPr="001C2C36">
        <w:rPr>
          <w:rFonts w:cs="Times New Roman"/>
        </w:rPr>
        <w:t xml:space="preserve"> and government support</w:t>
      </w:r>
      <w:r w:rsidRPr="001C2C36">
        <w:rPr>
          <w:rFonts w:cs="Times New Roman"/>
        </w:rPr>
        <w:t xml:space="preserve"> in enabling SMEs to cope with shocks.</w:t>
      </w:r>
      <w:r w:rsidR="004C03FF" w:rsidRPr="001C2C36">
        <w:rPr>
          <w:rFonts w:cs="Times New Roman"/>
        </w:rPr>
        <w:t xml:space="preserve"> </w:t>
      </w:r>
    </w:p>
    <w:p w14:paraId="09BE8EF5" w14:textId="7F1FC71A" w:rsidR="00AB33F6" w:rsidRPr="001C2C36" w:rsidRDefault="00AB33F6" w:rsidP="0093358C">
      <w:pPr>
        <w:pStyle w:val="Heading1"/>
        <w:rPr>
          <w:rFonts w:cs="Times New Roman"/>
          <w:szCs w:val="24"/>
        </w:rPr>
      </w:pPr>
      <w:r w:rsidRPr="001C2C36">
        <w:rPr>
          <w:rFonts w:cs="Times New Roman"/>
          <w:szCs w:val="24"/>
        </w:rPr>
        <w:t>Introduction</w:t>
      </w:r>
    </w:p>
    <w:p w14:paraId="6E128A3B" w14:textId="53466E6A" w:rsidR="00B510F7" w:rsidRPr="001C2C36" w:rsidRDefault="00B4394D">
      <w:pPr>
        <w:rPr>
          <w:rFonts w:cs="Times New Roman"/>
          <w:szCs w:val="24"/>
        </w:rPr>
      </w:pPr>
      <w:r w:rsidRPr="001C2C36">
        <w:rPr>
          <w:rFonts w:cs="Times New Roman"/>
          <w:szCs w:val="24"/>
        </w:rPr>
        <w:t xml:space="preserve">The </w:t>
      </w:r>
      <w:r w:rsidR="00802CDE" w:rsidRPr="001C2C36">
        <w:rPr>
          <w:rFonts w:cs="Times New Roman"/>
          <w:szCs w:val="24"/>
        </w:rPr>
        <w:t>Covid-19</w:t>
      </w:r>
      <w:r w:rsidRPr="001C2C36">
        <w:rPr>
          <w:rFonts w:cs="Times New Roman"/>
          <w:szCs w:val="24"/>
        </w:rPr>
        <w:t xml:space="preserve"> pandemic </w:t>
      </w:r>
      <w:r w:rsidR="004D02B8" w:rsidRPr="001C2C36">
        <w:rPr>
          <w:rFonts w:cs="Times New Roman"/>
          <w:szCs w:val="24"/>
        </w:rPr>
        <w:t xml:space="preserve">had a substantial </w:t>
      </w:r>
      <w:r w:rsidR="007138B4" w:rsidRPr="001C2C36">
        <w:rPr>
          <w:rFonts w:cs="Times New Roman"/>
          <w:szCs w:val="24"/>
        </w:rPr>
        <w:t>impact</w:t>
      </w:r>
      <w:r w:rsidR="004D02B8" w:rsidRPr="001C2C36">
        <w:rPr>
          <w:rFonts w:cs="Times New Roman"/>
          <w:szCs w:val="24"/>
        </w:rPr>
        <w:t xml:space="preserve"> on</w:t>
      </w:r>
      <w:r w:rsidRPr="001C2C36">
        <w:rPr>
          <w:rFonts w:cs="Times New Roman"/>
          <w:szCs w:val="24"/>
        </w:rPr>
        <w:t xml:space="preserve"> businesses</w:t>
      </w:r>
      <w:r w:rsidR="00635CFC" w:rsidRPr="001C2C36">
        <w:rPr>
          <w:rFonts w:cs="Times New Roman"/>
          <w:szCs w:val="24"/>
        </w:rPr>
        <w:t xml:space="preserve"> across most industries</w:t>
      </w:r>
      <w:r w:rsidRPr="001C2C36">
        <w:rPr>
          <w:rFonts w:cs="Times New Roman"/>
          <w:szCs w:val="24"/>
        </w:rPr>
        <w:t xml:space="preserve">, with </w:t>
      </w:r>
      <w:r w:rsidR="001071AF" w:rsidRPr="001C2C36">
        <w:rPr>
          <w:rFonts w:cs="Times New Roman"/>
          <w:szCs w:val="24"/>
        </w:rPr>
        <w:t>many</w:t>
      </w:r>
      <w:r w:rsidRPr="001C2C36">
        <w:rPr>
          <w:rFonts w:cs="Times New Roman"/>
          <w:szCs w:val="24"/>
        </w:rPr>
        <w:t xml:space="preserve"> firms suffering from decreased </w:t>
      </w:r>
      <w:r w:rsidR="000246D4" w:rsidRPr="001C2C36">
        <w:rPr>
          <w:rFonts w:cs="Times New Roman"/>
          <w:szCs w:val="24"/>
        </w:rPr>
        <w:t>revenue</w:t>
      </w:r>
      <w:r w:rsidRPr="001C2C36">
        <w:rPr>
          <w:rFonts w:cs="Times New Roman"/>
          <w:szCs w:val="24"/>
        </w:rPr>
        <w:t>, employee layoffs, and closure</w:t>
      </w:r>
      <w:r w:rsidR="006B44D4" w:rsidRPr="001C2C36">
        <w:rPr>
          <w:rFonts w:cs="Times New Roman"/>
          <w:szCs w:val="24"/>
        </w:rPr>
        <w:t>s</w:t>
      </w:r>
      <w:r w:rsidR="003C0749" w:rsidRPr="001C2C36">
        <w:rPr>
          <w:rFonts w:cs="Times New Roman"/>
          <w:szCs w:val="24"/>
        </w:rPr>
        <w:t xml:space="preserve"> </w:t>
      </w:r>
      <w:r w:rsidR="003C0749" w:rsidRPr="001C2C36">
        <w:rPr>
          <w:rFonts w:cs="Times New Roman"/>
          <w:szCs w:val="24"/>
        </w:rPr>
        <w:fldChar w:fldCharType="begin" w:fldLock="1"/>
      </w:r>
      <w:r w:rsidR="002F3566">
        <w:rPr>
          <w:rFonts w:cs="Times New Roman"/>
          <w:szCs w:val="24"/>
        </w:rPr>
        <w:instrText>ADDIN CSL_CITATION {"citationItems":[{"id":"ITEM-1","itemData":{"DOI":"10.2139/ssrn.3570896","abstract":"The outbreak of coronavirus disease (COVID-19) has severely affected the global and Pakistani economy. Major vic-tims of the COVID-19 outbreak are micro, small, and medium-sized enterprises (MSMEs). This article aims to assessthe impactof COVID-19 outbreak on these businesses and provide policy recommendations to help MSMEs in reducingbusiness losses and survive through the crisis. We adopted an exploratory methodology with comprehensivelyreviewing the available literature, including policy documents, research papers, and reports in the relevantfield. Fur-ther, to add empirical evidence, we collected data from 184 Pakistani MSMEs by administering an online question-naire. The data were analyzed through descriptive statistics. The results indicate that most of the participatingenterprises have been severely affected and they are facing several issues such asfinancial, supply chain disruption,decrease in demand, reduction in sales and profit, among others. Besides, over 83% of enterprises were neither pre-pared nor have any plan to handle such a situation. Further, more than two-thirds of participating enterprises reportedthat they could not survive if the lockdown lasts more than two months. Thefindings of our study are consistent withprevious studies. Based on the results of the research, different policy recommendations were proposed to ease the ad-verse effects of the outbreak on MSMEs. Although our suggested policy recommendations may not be sufficient to helpMSMEs go through the ongoing crisis, these measures will help them weather the storm.","author":[{"dropping-particle":"","family":"Bartik","given":"Alexander W","non-dropping-particle":"","parse-names":false,"suffix":""},{"dropping-particle":"","family":"Bertrand","given":"Marianne","non-dropping-particle":"","parse-names":false,"suffix":""},{"dropping-particle":"","family":"Cullen","given":"Zoe","non-dropping-particle":"","parse-names":false,"suffix":""},{"dropping-particle":"","family":"Glaeser","given":"Edward L.","non-dropping-particle":"","parse-names":false,"suffix":""},{"dropping-particle":"","family":"Luca","given":"Michael","non-dropping-particle":"","parse-names":false,"suffix":""},{"dropping-particle":"","family":"Stanton","given":"Christopher","non-dropping-particle":"","parse-names":false,"suffix":""}],"container-title":"NBER Working Paper No. w26989","id":"ITEM-1","issued":{"date-parts":[["2020"]]},"title":"How Are Small Businesses Adjusting to COVID-19? Early Evidence From a Survey","type":"article-journal"},"uris":["http://www.mendeley.com/documents/?uuid=8c4e8eae-009c-47bb-b416-1e52cb44e92a"]},{"id":"ITEM-2","itemData":{"URL":"https://www.ons.gov.uk/employmentandlabourmarket/peopleinwork/earningsandworkinghours/articles/howfurloughandchangesintheemployeeworkforcehaveaffectedearningsgrowthduringthecoronaviruscovid19pandemicuk2020to2021/2022-04-29","accessed":{"date-parts":[["2022","9","2"]]},"author":[{"dropping-particle":"","family":"Office for National Statistics","given":"","non-dropping-particle":"","parse-names":false,"suffix":""}],"id":"ITEM-2","issued":{"date-parts":[["2022"]]},"title":"How furlough and changes in the employee workforce have affected earnings growth during the coronavirus (COVID-19) pandemic, UK: 2020 to 2021","type":"webpage"},"uris":["http://www.mendeley.com/documents/?uuid=def96db8-301b-43b3-b73e-75a7945cec7d"]},{"id":"ITEM-3","itemData":{"DOI":"10.1016/j.jbusres.2020.06.008","ISSN":"01482963","PMID":"32536736","abstract":"The COVID-19 outbreak is a sharp reminder that pandemics, like other rarely occurring catastrophes, have happened in the past and will continue to happen in the future. Even if we cannot prevent dangerous viruses from emerging, we should prepare to dampen their effects on society. The current outbreak has had severe economic consequences across the globe, and it does not look like any country will be unaffected. This not only has consequences for the economy; all of society is affected, which has led to dramatic changes in how businesses act and consumers behave. This special issue is a global effort to address some of the pandemic-related issues affecting society. In total, there are 13 papers that cover different industry sectors (e.g., tourism, retail, higher education), changes in consumer behavior and businesses, ethical issues, and aspects related to employees and leadership.","author":[{"dropping-particle":"","family":"Donthu","given":"Naveen","non-dropping-particle":"","parse-names":false,"suffix":""},{"dropping-particle":"","family":"Gustafsson","given":"Anders","non-dropping-particle":"","parse-names":false,"suffix":""}],"container-title":"Journal of Business Research","id":"ITEM-3","issue":"284-289","issued":{"date-parts":[["2020"]]},"page":"284-289","title":"Effects of COVID-19 on business and research","type":"article-journal","volume":"117"},"uris":["http://www.mendeley.com/documents/?uuid=cdbd504a-af59-4433-99fc-5f782904cb23"]},{"id":"ITEM-4","itemData":{"URL":"https://www.mckinsey.com/~/media/McKinsey/Industries/Public and Social Sector/Our Insights/How the COVID 19 crisis is affecting UK small and medium size enterprises/How-the-COVID-19-crisis-is-affecting-UK-small-and-medium-size enterprises.pdf","abstract":"Small and medium-size enterprises are the lifeblood of the UK economy. A drop in SME revenue would have a disproportionate impact on SME survival: nearly three of four say they would be out of business by January 2021 if their revenue were to decrease by 10 to 30 percent. [Extracted from the article] Copyright of McKinsey Insights is the property of McKinsey &amp; Company, Inc.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ccessed":{"date-parts":[["2022","9","2"]]},"author":[{"dropping-particle":"","family":"Albonico","given":"Maria","non-dropping-particle":"","parse-names":false,"suffix":""},{"dropping-particle":"","family":"Mladenov","given":"Zdravko","non-dropping-particle":"","parse-names":false,"suffix":""},{"dropping-particle":"","family":"Sharma","given":"Ruchi","non-dropping-particle":"","parse-names":false,"suffix":""}],"id":"ITEM-4","issued":{"date-parts":[["2020"]]},"title":"How the COVID-19 crisis is affecting UK small and medium-size enterprises","type":"webpage"},"uris":["http://www.mendeley.com/documents/?uuid=16f9b40e-5f92-4a8d-8b8a-09e5e5140118"]}],"mendeley":{"formattedCitation":"(Albonico et al., 2020; Alexander W Bartik et al., 2020; Donthu and Gustafsson, 2020; Office for National Statistics, 2022a)","manualFormatting":"(Albonico et al., 2020; Bartik et al., 2020; Donthu and Gustafsson, 2020; Office for National Statistics, 2022a)","plainTextFormattedCitation":"(Albonico et al., 2020; Alexander W Bartik et al., 2020; Donthu and Gustafsson, 2020; Office for National Statistics, 2022a)","previouslyFormattedCitation":"(Albonico et al., 2020; Alexander W Bartik et al., 2020; Donthu and Gustafsson, 2020; Office for National Statistics, 2022a)"},"properties":{"noteIndex":0},"schema":"https://github.com/citation-style-language/schema/raw/master/csl-citation.json"}</w:instrText>
      </w:r>
      <w:r w:rsidR="003C0749" w:rsidRPr="001C2C36">
        <w:rPr>
          <w:rFonts w:cs="Times New Roman"/>
          <w:szCs w:val="24"/>
        </w:rPr>
        <w:fldChar w:fldCharType="separate"/>
      </w:r>
      <w:r w:rsidR="00B81CC0" w:rsidRPr="001C2C36">
        <w:rPr>
          <w:rFonts w:cs="Times New Roman"/>
          <w:noProof/>
          <w:szCs w:val="24"/>
        </w:rPr>
        <w:t>(Albonico et al., 2020; Bartik et al., 2020; Donthu and Gustafsson, 2020; Office for National Statistics, 2022a)</w:t>
      </w:r>
      <w:r w:rsidR="003C0749" w:rsidRPr="001C2C36">
        <w:rPr>
          <w:rFonts w:cs="Times New Roman"/>
          <w:szCs w:val="24"/>
        </w:rPr>
        <w:fldChar w:fldCharType="end"/>
      </w:r>
      <w:r w:rsidRPr="001C2C36">
        <w:rPr>
          <w:rFonts w:cs="Times New Roman"/>
          <w:szCs w:val="24"/>
        </w:rPr>
        <w:t xml:space="preserve">. </w:t>
      </w:r>
      <w:r w:rsidR="001071AF" w:rsidRPr="001C2C36">
        <w:rPr>
          <w:rFonts w:cs="Times New Roman"/>
          <w:szCs w:val="24"/>
        </w:rPr>
        <w:t>Small and medium</w:t>
      </w:r>
      <w:r w:rsidR="00DF5F54" w:rsidRPr="001C2C36">
        <w:rPr>
          <w:rFonts w:cs="Times New Roman"/>
          <w:szCs w:val="24"/>
        </w:rPr>
        <w:t>-</w:t>
      </w:r>
      <w:r w:rsidR="001071AF" w:rsidRPr="001C2C36">
        <w:rPr>
          <w:rFonts w:cs="Times New Roman"/>
          <w:szCs w:val="24"/>
        </w:rPr>
        <w:t>size</w:t>
      </w:r>
      <w:r w:rsidR="00EB5180" w:rsidRPr="001C2C36">
        <w:rPr>
          <w:rFonts w:cs="Times New Roman"/>
          <w:szCs w:val="24"/>
        </w:rPr>
        <w:t>d</w:t>
      </w:r>
      <w:r w:rsidR="001071AF" w:rsidRPr="001C2C36">
        <w:rPr>
          <w:rFonts w:cs="Times New Roman"/>
          <w:szCs w:val="24"/>
        </w:rPr>
        <w:t xml:space="preserve"> enterprises (</w:t>
      </w:r>
      <w:r w:rsidRPr="001C2C36">
        <w:rPr>
          <w:rFonts w:cs="Times New Roman"/>
          <w:szCs w:val="24"/>
        </w:rPr>
        <w:t>SMEs</w:t>
      </w:r>
      <w:r w:rsidR="001071AF" w:rsidRPr="001C2C36">
        <w:rPr>
          <w:rFonts w:cs="Times New Roman"/>
          <w:szCs w:val="24"/>
        </w:rPr>
        <w:t>)</w:t>
      </w:r>
      <w:r w:rsidR="00B510F7" w:rsidRPr="001C2C36">
        <w:rPr>
          <w:rFonts w:cs="Times New Roman"/>
          <w:szCs w:val="24"/>
        </w:rPr>
        <w:t xml:space="preserve"> were particularly </w:t>
      </w:r>
      <w:r w:rsidR="00A2646C" w:rsidRPr="001C2C36">
        <w:rPr>
          <w:rFonts w:cs="Times New Roman"/>
          <w:szCs w:val="24"/>
        </w:rPr>
        <w:t xml:space="preserve">negatively affected (Liguori and </w:t>
      </w:r>
      <w:proofErr w:type="spellStart"/>
      <w:r w:rsidR="00A2646C" w:rsidRPr="001C2C36">
        <w:rPr>
          <w:rFonts w:cs="Times New Roman"/>
          <w:szCs w:val="24"/>
        </w:rPr>
        <w:t>Pittz</w:t>
      </w:r>
      <w:proofErr w:type="spellEnd"/>
      <w:r w:rsidR="00A2646C" w:rsidRPr="001C2C36">
        <w:rPr>
          <w:rFonts w:cs="Times New Roman"/>
          <w:szCs w:val="24"/>
        </w:rPr>
        <w:t>, 2020)</w:t>
      </w:r>
      <w:r w:rsidR="008B4C36" w:rsidRPr="001C2C36">
        <w:rPr>
          <w:rFonts w:cs="Times New Roman"/>
          <w:szCs w:val="24"/>
        </w:rPr>
        <w:t xml:space="preserve"> </w:t>
      </w:r>
      <w:r w:rsidR="004A06DE" w:rsidRPr="001C2C36">
        <w:rPr>
          <w:rFonts w:cs="Times New Roman"/>
          <w:szCs w:val="24"/>
        </w:rPr>
        <w:t>due to their small</w:t>
      </w:r>
      <w:r w:rsidR="00DF5F54" w:rsidRPr="001C2C36">
        <w:rPr>
          <w:rFonts w:cs="Times New Roman"/>
          <w:szCs w:val="24"/>
        </w:rPr>
        <w:t>er</w:t>
      </w:r>
      <w:r w:rsidR="004A06DE" w:rsidRPr="001C2C36">
        <w:rPr>
          <w:rFonts w:cs="Times New Roman"/>
          <w:szCs w:val="24"/>
        </w:rPr>
        <w:t xml:space="preserve"> size,</w:t>
      </w:r>
      <w:r w:rsidR="00D75160" w:rsidRPr="001C2C36">
        <w:rPr>
          <w:rFonts w:cs="Times New Roman"/>
          <w:szCs w:val="24"/>
        </w:rPr>
        <w:t xml:space="preserve"> lower cash holdings </w:t>
      </w:r>
      <w:r w:rsidR="008B4C36" w:rsidRPr="001C2C36">
        <w:rPr>
          <w:rFonts w:cs="Times New Roman"/>
          <w:szCs w:val="24"/>
        </w:rPr>
        <w:fldChar w:fldCharType="begin" w:fldLock="1"/>
      </w:r>
      <w:r w:rsidR="001749D9" w:rsidRPr="001C2C36">
        <w:rPr>
          <w:rFonts w:cs="Times New Roman"/>
          <w:szCs w:val="24"/>
        </w:rPr>
        <w:instrText>ADDIN CSL_CITATION {"citationItems":[{"id":"ITEM-1","itemData":{"DOI":"10.1016/j.jbusres.2020.05.025","ISSN":"01482963","abstract":"Small and medium-sized enterprises (SMEs) are the backbone of every economy. So, when an external crisis jeopardizes markets, such as the recent COVID-19 outbreak, SMEs are hit with great force. Their so-called liability of smallness, a lack of resources that would shield them from outside shocks, worsens the situation. This manuscript conducts a literature study on 69 manuscripts that studied SMEs in previous crises and proposes ways to overcome economic downturns in the areas of finance, strategy and the institutional environment. The paper finds a “strategy/funding chicken-and-egg-problem” and proposes an effectual world view when dealing with situations of great uncertainty.","author":[{"dropping-particle":"","family":"Eggers","given":"Fabian","non-dropping-particle":"","parse-names":false,"suffix":""}],"container-title":"Journal of Business Research","id":"ITEM-1","issued":{"date-parts":[["2020"]]},"page":"199-208","title":"Masters of disasters? Challenges and opportunities for SMEs in times of crisis","type":"article-journal","volume":"116"},"uris":["http://www.mendeley.com/documents/?uuid=a505391c-ee3b-4910-bd86-d721882303cb","http://www.mendeley.com/documents/?uuid=21a82353-6f42-4d18-b114-0088fe92fb88"]},{"id":"ITEM-2","itemData":{"DOI":"10.1111/1467-8551.12576","ISSN":"14678551","abstract":"The scale of the UK government's response to the Covid-19 crisis after the first lockdown in March 2020 was unprecedented. For the business sector, two financing schemes were particularly relevant: the Coronavirus Business Interruption Loan Scheme (CBILS) and the Bounce Back Loan Scheme (BBLS). Both were designed to support the capitalization of businesses through this difficult trading period. In this paper, we use data covering the first two quarters of the Covid-19 crisis to explore the dynamics of small and medium-sized enterprise (SME) financing and in particular the role of government support schemes. Our findings show that 92.1% of all debt funds provided in this period were backed by the UK government, which compares to less than 5% under normal circumstances. We find that the demand, supply and government share of SME lending increased from Covid-19 quarter 1 (April–June 2020) to quarter 2 (July–September 2020), that micro and small businesses had the highest demand for loans, and that better-performing firms were more likely to receive loans. Further, in a world where more loan requests than ever were granted, the government share of this pool of loans had a different risk profile than the small pool of non-government-backed loans.","author":[{"dropping-particle":"","family":"Calabrese","given":"Raffaella","non-dropping-particle":"","parse-names":false,"suffix":""},{"dropping-particle":"","family":"Cowling","given":"Marc","non-dropping-particle":"","parse-names":false,"suffix":""},{"dropping-particle":"","family":"Liu","given":"Weixi","non-dropping-particle":"","parse-names":false,"suffix":""}],"container-title":"British Journal of Management","id":"ITEM-2","issue":"2","issued":{"date-parts":[["2022"]]},"page":"657-677","title":"Understanding the Dynamics of UK Covid-19 SME Financing","type":"article-journal","volume":"33"},"uris":["http://www.mendeley.com/documents/?uuid=bb6a7275-c2ca-4611-a400-9cae8392d93b","http://www.mendeley.com/documents/?uuid=d9dba954-b535-490c-a14b-6c0267314475"]},{"id":"ITEM-3","itemData":{"DOI":"10.1177/0266242620945102","ISSN":"17412870","abstract":"As COVID-19 spreads across the globe, a common public policy response has been to enforce the temporary closure of non-essential business activity. In some countries, governments have underwritten a proportion of the wage income for staff forced to furlough or broadened their welfare systems to accommodate newly laid off workers or small business owners. While these actions are helpful, they do not explicitly address the lack of sales trading activity on business income and cash balances. In commentary, we identify what types of businesses have been increasing their cash holdings in the lead up to COVID-19 as an indication of what types of small and medium-sized enterprises (SMEs) are most at risk if the lockdown extends for a protracted period of time. We find that only 39% of the of businesses were bolstering their cash balances leading up to COVID-19 which suggests that 61% of businesses may run out of cash, including 8.6% that had no retained earnings whatsoever with micro firms at particular risk. The importance of precautionary saving for SMEs is critical to enhance resilience when Black Swan events occur.","author":[{"dropping-particle":"","family":"Cowling","given":"Marc","non-dropping-particle":"","parse-names":false,"suffix":""},{"dropping-particle":"","family":"Brown","given":"Ross","non-dropping-particle":"","parse-names":false,"suffix":""},{"dropping-particle":"","family":"Rocha","given":"Augusto","non-dropping-particle":"","parse-names":false,"suffix":""}],"container-title":"International Small Business Journal: Researching Entrepreneurship","id":"ITEM-3","issue":"7","issued":{"date-parts":[["2020"]]},"page":"593-604","title":"Did you save some cash for a rainy COVID-19 day? The crisis and SMEs","type":"article-journal","volume":"38"},"uris":["http://www.mendeley.com/documents/?uuid=8c9e5f33-2070-431d-9945-92ec8dcaffee"]}],"mendeley":{"formattedCitation":"(Calabrese et al., 2022; Cowling et al., 2020; Eggers, 2020)","plainTextFormattedCitation":"(Calabrese et al., 2022; Cowling et al., 2020; Eggers, 2020)","previouslyFormattedCitation":"(Calabrese et al., 2022; Cowling et al., 2020; Eggers, 2020)"},"properties":{"noteIndex":0},"schema":"https://github.com/citation-style-language/schema/raw/master/csl-citation.json"}</w:instrText>
      </w:r>
      <w:r w:rsidR="008B4C36" w:rsidRPr="001C2C36">
        <w:rPr>
          <w:rFonts w:cs="Times New Roman"/>
          <w:szCs w:val="24"/>
        </w:rPr>
        <w:fldChar w:fldCharType="separate"/>
      </w:r>
      <w:r w:rsidR="00C44456" w:rsidRPr="001C2C36">
        <w:rPr>
          <w:rFonts w:cs="Times New Roman"/>
          <w:noProof/>
          <w:szCs w:val="24"/>
        </w:rPr>
        <w:t>(Calabrese et al., 2022; Cowling et al., 2020; Eggers, 2020)</w:t>
      </w:r>
      <w:r w:rsidR="008B4C36" w:rsidRPr="001C2C36">
        <w:rPr>
          <w:rFonts w:cs="Times New Roman"/>
          <w:szCs w:val="24"/>
        </w:rPr>
        <w:fldChar w:fldCharType="end"/>
      </w:r>
      <w:r w:rsidR="004A59CC" w:rsidRPr="001C2C36">
        <w:rPr>
          <w:rFonts w:cs="Times New Roman"/>
          <w:szCs w:val="24"/>
        </w:rPr>
        <w:t>, and</w:t>
      </w:r>
      <w:r w:rsidR="00B06AFC" w:rsidRPr="001C2C36">
        <w:rPr>
          <w:rFonts w:cs="Times New Roman"/>
          <w:szCs w:val="24"/>
        </w:rPr>
        <w:t xml:space="preserve"> </w:t>
      </w:r>
      <w:r w:rsidR="000746F9" w:rsidRPr="001C2C36">
        <w:rPr>
          <w:rFonts w:cs="Times New Roman"/>
          <w:szCs w:val="24"/>
        </w:rPr>
        <w:t xml:space="preserve">a </w:t>
      </w:r>
      <w:r w:rsidR="00081DA4" w:rsidRPr="001C2C36">
        <w:rPr>
          <w:rFonts w:cs="Times New Roman"/>
          <w:szCs w:val="24"/>
        </w:rPr>
        <w:t xml:space="preserve">relatively higher proportion of SMEs in industries impacted by </w:t>
      </w:r>
      <w:r w:rsidR="00A739B8" w:rsidRPr="001C2C36">
        <w:rPr>
          <w:rFonts w:cs="Times New Roman"/>
          <w:szCs w:val="24"/>
        </w:rPr>
        <w:t>Covid-19 constrain</w:t>
      </w:r>
      <w:r w:rsidR="000746F9" w:rsidRPr="001C2C36">
        <w:rPr>
          <w:rFonts w:cs="Times New Roman"/>
          <w:szCs w:val="24"/>
        </w:rPr>
        <w:t>t</w:t>
      </w:r>
      <w:r w:rsidR="00A739B8" w:rsidRPr="001C2C36">
        <w:rPr>
          <w:rFonts w:cs="Times New Roman"/>
          <w:szCs w:val="24"/>
        </w:rPr>
        <w:t>s</w:t>
      </w:r>
      <w:r w:rsidR="000746F9" w:rsidRPr="001C2C36">
        <w:rPr>
          <w:rFonts w:cs="Times New Roman"/>
          <w:szCs w:val="24"/>
        </w:rPr>
        <w:t xml:space="preserve">, such as </w:t>
      </w:r>
      <w:r w:rsidR="00081DA4" w:rsidRPr="001C2C36">
        <w:rPr>
          <w:rFonts w:cs="Times New Roman"/>
          <w:szCs w:val="24"/>
        </w:rPr>
        <w:t>social distancing</w:t>
      </w:r>
      <w:r w:rsidR="000746F9" w:rsidRPr="001C2C36">
        <w:rPr>
          <w:rFonts w:cs="Times New Roman"/>
          <w:szCs w:val="24"/>
        </w:rPr>
        <w:t xml:space="preserve"> in</w:t>
      </w:r>
      <w:r w:rsidR="00081DA4" w:rsidRPr="001C2C36">
        <w:rPr>
          <w:rFonts w:cs="Times New Roman"/>
          <w:szCs w:val="24"/>
        </w:rPr>
        <w:t xml:space="preserve"> the service sector </w:t>
      </w:r>
      <w:r w:rsidR="004A59CC" w:rsidRPr="001C2C36">
        <w:rPr>
          <w:rFonts w:cs="Times New Roman"/>
          <w:szCs w:val="24"/>
        </w:rPr>
        <w:fldChar w:fldCharType="begin" w:fldLock="1"/>
      </w:r>
      <w:r w:rsidR="003C0749" w:rsidRPr="001C2C36">
        <w:rPr>
          <w:rFonts w:cs="Times New Roman"/>
          <w:szCs w:val="24"/>
        </w:rPr>
        <w:instrText>ADDIN CSL_CITATION {"citationItems":[{"id":"ITEM-1","itemData":{"DOI":"10.1007/s11187-021-00544-y","ISBN":"0123456789","ISSN":"15730913","abstract":"The existential threat to small businesses, based on their crucial role in the economy, is behind the plethora of scholarly studies in 2020, the first year of the COVID-19 pandemic. Examining the 15 contributions of the special issue on the “Economic effects of the COVID-19 pandemic on entrepreneurship and small businesses,” the paper comprises four parts: a systematic review of the literature on the effect on entrepreneurship and small businesses; a discussion of four literature strands based on this review; an overview of the contributions in this special issue; and some ideas for post-pandemic economic research.","author":[{"dropping-particle":"","family":"Belitski","given":"Maksim","non-dropping-particle":"","parse-names":false,"suffix":""},{"dropping-particle":"","family":"Guenther","given":"Christina","non-dropping-particle":"","parse-names":false,"suffix":""},{"dropping-particle":"","family":"Kritikos","given":"Alexander S.","non-dropping-particle":"","parse-names":false,"suffix":""},{"dropping-particle":"","family":"Thurik","given":"Roy","non-dropping-particle":"","parse-names":false,"suffix":""}],"container-title":"Small Business Economics","id":"ITEM-1","issue":"2","issued":{"date-parts":[["2022"]]},"page":"593-609","publisher":"Springer US","title":"Economic effects of the COVID-19 pandemic on entrepreneurship and small businesses","type":"article-journal","volume":"58"},"uris":["http://www.mendeley.com/documents/?uuid=6db3a8f2-438a-49a0-994d-5c3a1d0812f6","http://www.mendeley.com/documents/?uuid=a1bfb27d-e2ee-421f-87fd-9bb3bdb8a965"]}],"mendeley":{"formattedCitation":"(Belitski et al., 2022)","plainTextFormattedCitation":"(Belitski et al., 2022)","previouslyFormattedCitation":"(Belitski et al., 2022)"},"properties":{"noteIndex":0},"schema":"https://github.com/citation-style-language/schema/raw/master/csl-citation.json"}</w:instrText>
      </w:r>
      <w:r w:rsidR="004A59CC" w:rsidRPr="001C2C36">
        <w:rPr>
          <w:rFonts w:cs="Times New Roman"/>
          <w:szCs w:val="24"/>
        </w:rPr>
        <w:fldChar w:fldCharType="separate"/>
      </w:r>
      <w:r w:rsidR="004A59CC" w:rsidRPr="001C2C36">
        <w:rPr>
          <w:rFonts w:cs="Times New Roman"/>
          <w:noProof/>
          <w:szCs w:val="24"/>
        </w:rPr>
        <w:t>(Belitski et al., 2022)</w:t>
      </w:r>
      <w:r w:rsidR="004A59CC" w:rsidRPr="001C2C36">
        <w:rPr>
          <w:rFonts w:cs="Times New Roman"/>
          <w:szCs w:val="24"/>
        </w:rPr>
        <w:fldChar w:fldCharType="end"/>
      </w:r>
      <w:r w:rsidR="00081DA4" w:rsidRPr="001C2C36">
        <w:rPr>
          <w:rFonts w:cs="Times New Roman"/>
          <w:szCs w:val="24"/>
        </w:rPr>
        <w:t>.</w:t>
      </w:r>
    </w:p>
    <w:p w14:paraId="01174667" w14:textId="023558B5" w:rsidR="00BE0B07" w:rsidRPr="001C2C36" w:rsidRDefault="496F4BF7" w:rsidP="1EAAF3B2">
      <w:pPr>
        <w:rPr>
          <w:rFonts w:cs="Times New Roman"/>
          <w:szCs w:val="24"/>
        </w:rPr>
      </w:pPr>
      <w:r w:rsidRPr="001C2C36">
        <w:rPr>
          <w:rFonts w:cs="Times New Roman"/>
          <w:szCs w:val="24"/>
        </w:rPr>
        <w:t xml:space="preserve">To mitigate the negative impact of Covid-19, most governments introduced support mechanisms, including loan and furlough schemes, to help reduce redundancies and risk of failure </w:t>
      </w:r>
      <w:r w:rsidRPr="001C2C36">
        <w:rPr>
          <w:rFonts w:cs="Times New Roman"/>
          <w:szCs w:val="24"/>
        </w:rPr>
        <w:fldChar w:fldCharType="begin" w:fldLock="1"/>
      </w:r>
      <w:r w:rsidR="007B4FB7" w:rsidRPr="001C2C36">
        <w:rPr>
          <w:rFonts w:cs="Times New Roman"/>
          <w:szCs w:val="24"/>
        </w:rPr>
        <w:instrText>ADDIN CSL_CITATION {"citationItems":[{"id":"ITEM-1","itemData":{"DOI":"10.1016/j.jbusres.2021.09.062","ISSN":"01482963","abstract":"The ongoing COVID-19 pandemic has affected countless businesses, leading to serious disruptions for many industries. Drawing on the resilience literature, this study offers an understanding of the impact of the COVID-19 pandemic on the creative industries and their response to the challenges they have encountered. This study reviews 59 papers following the systematic literature review approach and reveals several positive implications of the COVID-19 pandemic within the creative industries (e.g., IT and software) as well as the negative (the music industry, festivals, cultural events). Identifying six themes related to the impact of the COVID-19 pandemic on the creative industries, we develop a response matrix based on the discussion of firms’ digital capabilities and their ability to adapt to the COVID-19 crisis. We outline future research directions using a Theory-Context-Characteristics-Methodology (TCCM) framework.","author":[{"dropping-particle":"","family":"Khlystova","given":"Olena","non-dropping-particle":"","parse-names":false,"suffix":""},{"dropping-particle":"","family":"Kalyuzhnova","given":"Yelena","non-dropping-particle":"","parse-names":false,"suffix":""},{"dropping-particle":"","family":"Belitski","given":"Maksim","non-dropping-particle":"","parse-names":false,"suffix":""}],"container-title":"Journal of Business Research","id":"ITEM-1","issued":{"date-parts":[["2022"]]},"page":"1192-1210","title":"The impact of the COVID-19 pandemic on the creative industries: A literature review and future research agenda","type":"article-journal","volume":"139"},"uris":["http://www.mendeley.com/documents/?uuid=7cc656cc-9ff9-4f53-adff-188c3ab1da95","http://www.mendeley.com/documents/?uuid=fc6ed43d-48fa-4d1d-ad1d-9aa10aaa9a41"]},{"id":"ITEM-2","itemData":{"DOI":"10.1111/1467-8551.12576","ISSN":"14678551","abstract":"The scale of the UK government's response to the Covid-19 crisis after the first lockdown in March 2020 was unprecedented. For the business sector, two financing schemes were particularly relevant: the Coronavirus Business Interruption Loan Scheme (CBILS) and the Bounce Back Loan Scheme (BBLS). Both were designed to support the capitalization of businesses through this difficult trading period. In this paper, we use data covering the first two quarters of the Covid-19 crisis to explore the dynamics of small and medium-sized enterprise (SME) financing and in particular the role of government support schemes. Our findings show that 92.1% of all debt funds provided in this period were backed by the UK government, which compares to less than 5% under normal circumstances. We find that the demand, supply and government share of SME lending increased from Covid-19 quarter 1 (April–June 2020) to quarter 2 (July–September 2020), that micro and small businesses had the highest demand for loans, and that better-performing firms were more likely to receive loans. Further, in a world where more loan requests than ever were granted, the government share of this pool of loans had a different risk profile than the small pool of non-government-backed loans.","author":[{"dropping-particle":"","family":"Calabrese","given":"Raffaella","non-dropping-particle":"","parse-names":false,"suffix":""},{"dropping-particle":"","family":"Cowling","given":"Marc","non-dropping-particle":"","parse-names":false,"suffix":""},{"dropping-particle":"","family":"Liu","given":"Weixi","non-dropping-particle":"","parse-names":false,"suffix":""}],"container-title":"British Journal of Management","id":"ITEM-2","issue":"2","issued":{"date-parts":[["2022"]]},"page":"657-677","title":"Understanding the Dynamics of UK Covid-19 SME Financing","type":"article-journal","volume":"33"},"uris":["http://www.mendeley.com/documents/?uuid=d9dba954-b535-490c-a14b-6c0267314475","http://www.mendeley.com/documents/?uuid=bb6a7275-c2ca-4611-a400-9cae8392d93b"]}],"mendeley":{"formattedCitation":"(Calabrese et al., 2022; Khlystova et al., 2022)","plainTextFormattedCitation":"(Calabrese et al., 2022; Khlystova et al., 2022)","previouslyFormattedCitation":"(Calabrese et al., 2022; Khlystova et al., 2022)"},"properties":{"noteIndex":0},"schema":"https://github.com/citation-style-language/schema/raw/master/csl-citation.json"}</w:instrText>
      </w:r>
      <w:r w:rsidRPr="001C2C36">
        <w:rPr>
          <w:rFonts w:cs="Times New Roman"/>
          <w:szCs w:val="24"/>
        </w:rPr>
        <w:fldChar w:fldCharType="separate"/>
      </w:r>
      <w:r w:rsidRPr="001C2C36">
        <w:rPr>
          <w:rFonts w:cs="Times New Roman"/>
          <w:noProof/>
          <w:szCs w:val="24"/>
        </w:rPr>
        <w:t>(Calabrese et al., 2022; Khlystova et al., 2022)</w:t>
      </w:r>
      <w:r w:rsidRPr="001C2C36">
        <w:rPr>
          <w:rFonts w:cs="Times New Roman"/>
          <w:szCs w:val="24"/>
        </w:rPr>
        <w:fldChar w:fldCharType="end"/>
      </w:r>
      <w:r w:rsidRPr="001C2C36">
        <w:rPr>
          <w:rFonts w:cs="Times New Roman"/>
          <w:szCs w:val="24"/>
        </w:rPr>
        <w:t xml:space="preserve">. </w:t>
      </w:r>
      <w:r w:rsidR="00E21190" w:rsidRPr="001C2C36">
        <w:rPr>
          <w:rFonts w:cs="Times New Roman"/>
          <w:szCs w:val="24"/>
        </w:rPr>
        <w:t>In the UK, t</w:t>
      </w:r>
      <w:r w:rsidR="00E3145C" w:rsidRPr="001C2C36">
        <w:rPr>
          <w:rFonts w:cs="Times New Roman"/>
          <w:szCs w:val="24"/>
        </w:rPr>
        <w:t xml:space="preserve">hese assistance </w:t>
      </w:r>
      <w:r w:rsidR="003F42F8" w:rsidRPr="001C2C36">
        <w:rPr>
          <w:rFonts w:cs="Times New Roman"/>
          <w:szCs w:val="24"/>
        </w:rPr>
        <w:t xml:space="preserve">schemes </w:t>
      </w:r>
      <w:r w:rsidR="00E3145C" w:rsidRPr="001C2C36">
        <w:rPr>
          <w:rFonts w:cs="Times New Roman"/>
          <w:szCs w:val="24"/>
        </w:rPr>
        <w:t xml:space="preserve">were </w:t>
      </w:r>
      <w:r w:rsidR="00610F4F" w:rsidRPr="001C2C36">
        <w:rPr>
          <w:rFonts w:cs="Times New Roman"/>
          <w:szCs w:val="24"/>
        </w:rPr>
        <w:t>extensive</w:t>
      </w:r>
      <w:r w:rsidR="00DA1113" w:rsidRPr="001C2C36">
        <w:rPr>
          <w:rFonts w:cs="Times New Roman"/>
          <w:szCs w:val="24"/>
        </w:rPr>
        <w:t>,</w:t>
      </w:r>
      <w:r w:rsidR="00E3145C" w:rsidRPr="001C2C36">
        <w:rPr>
          <w:rFonts w:cs="Times New Roman"/>
          <w:szCs w:val="24"/>
        </w:rPr>
        <w:t xml:space="preserve"> </w:t>
      </w:r>
      <w:r w:rsidR="004E5D56" w:rsidRPr="001C2C36">
        <w:rPr>
          <w:rFonts w:cs="Times New Roman"/>
          <w:szCs w:val="24"/>
        </w:rPr>
        <w:t xml:space="preserve">with estimated costs of </w:t>
      </w:r>
      <w:r w:rsidR="004C47F4" w:rsidRPr="001C2C36">
        <w:rPr>
          <w:rFonts w:cs="Times New Roman"/>
          <w:szCs w:val="24"/>
        </w:rPr>
        <w:t xml:space="preserve">over </w:t>
      </w:r>
      <w:r w:rsidR="003E7DC5" w:rsidRPr="001C2C36">
        <w:rPr>
          <w:rFonts w:eastAsia="Times New Roman" w:cs="Times New Roman"/>
          <w:szCs w:val="24"/>
        </w:rPr>
        <w:t>£147 billion</w:t>
      </w:r>
      <w:r w:rsidR="00725AB6" w:rsidRPr="001C2C36">
        <w:rPr>
          <w:rFonts w:cs="Times New Roman"/>
          <w:szCs w:val="24"/>
        </w:rPr>
        <w:t xml:space="preserve"> </w:t>
      </w:r>
      <w:r w:rsidRPr="001C2C36">
        <w:rPr>
          <w:rFonts w:cs="Times New Roman"/>
          <w:szCs w:val="24"/>
        </w:rPr>
        <w:fldChar w:fldCharType="begin" w:fldLock="1"/>
      </w:r>
      <w:r w:rsidR="000E4D26" w:rsidRPr="001C2C36">
        <w:rPr>
          <w:rFonts w:cs="Times New Roman"/>
          <w:szCs w:val="24"/>
        </w:rPr>
        <w:instrText>ADDIN CSL_CITATION {"citationItems":[{"id":"ITEM-1","itemData":{"URL":"https://www.nao.org.uk/overviews/covid-19-cost-tracker/","accessed":{"date-parts":[["2022","9","2"]]},"author":[{"dropping-particle":"","family":"National Audit Office","given":"","non-dropping-particle":"","parse-names":false,"suffix":""}],"id":"ITEM-1","issued":{"date-parts":[["2022"]]},"title":"COVID-19 cost tracker","type":"webpage"},"uris":["http://www.mendeley.com/documents/?uuid=c7c101bb-57e0-4b7e-b3fc-f64a55861372","http://www.mendeley.com/documents/?uuid=a4de55d6-e658-40b7-a03a-d84c51021f8e"]}],"mendeley":{"formattedCitation":"(National Audit Office, 2022)","plainTextFormattedCitation":"(National Audit Office, 2022)","previouslyFormattedCitation":"(National Audit Office, 2022)"},"properties":{"noteIndex":0},"schema":"https://github.com/citation-style-language/schema/raw/master/csl-citation.json"}</w:instrText>
      </w:r>
      <w:r w:rsidRPr="001C2C36">
        <w:rPr>
          <w:rFonts w:cs="Times New Roman"/>
          <w:szCs w:val="24"/>
        </w:rPr>
        <w:fldChar w:fldCharType="separate"/>
      </w:r>
      <w:r w:rsidR="0078158A" w:rsidRPr="001C2C36">
        <w:rPr>
          <w:rFonts w:cs="Times New Roman"/>
          <w:noProof/>
          <w:szCs w:val="24"/>
        </w:rPr>
        <w:t>(National Audit Office, 2022)</w:t>
      </w:r>
      <w:r w:rsidRPr="001C2C36">
        <w:rPr>
          <w:rFonts w:cs="Times New Roman"/>
          <w:szCs w:val="24"/>
        </w:rPr>
        <w:fldChar w:fldCharType="end"/>
      </w:r>
      <w:r w:rsidR="008B7083" w:rsidRPr="001C2C36">
        <w:rPr>
          <w:rFonts w:cs="Times New Roman"/>
          <w:szCs w:val="24"/>
        </w:rPr>
        <w:t xml:space="preserve">. </w:t>
      </w:r>
      <w:r w:rsidR="00725AB6" w:rsidRPr="001C2C36">
        <w:rPr>
          <w:rFonts w:cs="Times New Roman"/>
          <w:szCs w:val="24"/>
        </w:rPr>
        <w:t xml:space="preserve">The initial findings </w:t>
      </w:r>
      <w:r w:rsidR="007B2B67" w:rsidRPr="001C2C36">
        <w:rPr>
          <w:rFonts w:cs="Times New Roman"/>
          <w:szCs w:val="24"/>
        </w:rPr>
        <w:t>indicate</w:t>
      </w:r>
      <w:r w:rsidR="00725AB6" w:rsidRPr="001C2C36">
        <w:rPr>
          <w:rFonts w:cs="Times New Roman"/>
          <w:szCs w:val="24"/>
        </w:rPr>
        <w:t xml:space="preserve"> that they</w:t>
      </w:r>
      <w:r w:rsidRPr="001C2C36">
        <w:rPr>
          <w:rFonts w:cs="Times New Roman"/>
          <w:szCs w:val="24"/>
        </w:rPr>
        <w:t xml:space="preserve"> h</w:t>
      </w:r>
      <w:r w:rsidR="00725AB6" w:rsidRPr="001C2C36">
        <w:rPr>
          <w:rFonts w:cs="Times New Roman"/>
          <w:szCs w:val="24"/>
        </w:rPr>
        <w:t>elped</w:t>
      </w:r>
      <w:r w:rsidRPr="001C2C36">
        <w:rPr>
          <w:rFonts w:cs="Times New Roman"/>
          <w:szCs w:val="24"/>
        </w:rPr>
        <w:t xml:space="preserve"> firms during the pandemic </w:t>
      </w:r>
      <w:r w:rsidR="00BD7792" w:rsidRPr="001C2C36">
        <w:rPr>
          <w:rFonts w:cs="Times New Roman"/>
          <w:szCs w:val="24"/>
        </w:rPr>
        <w:t xml:space="preserve">by contributing to the reduction in </w:t>
      </w:r>
      <w:r w:rsidR="00DA1113" w:rsidRPr="001C2C36">
        <w:rPr>
          <w:rFonts w:cs="Times New Roman"/>
          <w:szCs w:val="24"/>
        </w:rPr>
        <w:t xml:space="preserve">failure rates and </w:t>
      </w:r>
      <w:r w:rsidRPr="001C2C36">
        <w:rPr>
          <w:rFonts w:cs="Times New Roman"/>
          <w:szCs w:val="24"/>
        </w:rPr>
        <w:t xml:space="preserve">employee layoffs </w:t>
      </w:r>
      <w:r w:rsidRPr="001C2C36">
        <w:rPr>
          <w:rFonts w:cs="Times New Roman"/>
          <w:szCs w:val="24"/>
        </w:rPr>
        <w:fldChar w:fldCharType="begin" w:fldLock="1"/>
      </w:r>
      <w:r w:rsidRPr="001C2C36">
        <w:rPr>
          <w:rFonts w:cs="Times New Roman"/>
          <w:szCs w:val="24"/>
        </w:rPr>
        <w:instrText>ADDIN CSL_CITATION {"citationItems":[{"id":"ITEM-1","itemData":{"DOI":"10.1007/s11187-021-00510-8","ISBN":"0123456789","ISSN":"15730913","abstract":"We investigate the impact of COVID-19 on 42,401 UK SMEs and how government intervention affects their capability to survive the pandemic. The results show that, without governmental mitigation schemes, 59% of UK SMEs report negative earnings and that their residual life is reduced from 164 to 139 days. The analysis shows that government support scheme reduces the number of SMEs with negative earnings to 49% and allows extending the residual life for SMEs with negative earnings to 194 days. In addition, the support scheme reduces the number of jobs at risk in our sample by around 20%. However, our results suggest that weaker firms benefit more than strong ones. Besides, industries that are worst hit by COVID-19 are not those that benefit most from the government support scheme. We ascribe this result to the fact that the schemes do not discriminate between those firms that deserve support and those that do not deserve it.","author":[{"dropping-particle":"","family":"Belghitar","given":"Yacine","non-dropping-particle":"","parse-names":false,"suffix":""},{"dropping-particle":"","family":"Moro","given":"Andrea","non-dropping-particle":"","parse-names":false,"suffix":""},{"dropping-particle":"","family":"Radić","given":"Nemanja","non-dropping-particle":"","parse-names":false,"suffix":""}],"container-title":"Small Business Economics","id":"ITEM-1","issue":"2","issued":{"date-parts":[["2022"]]},"page":"943-961","title":"When the rainy day is the worst hurricane ever: the effects of governmental policies on SMEs during COVID-19","type":"article-journal","volume":"58"},"uris":["http://www.mendeley.com/documents/?uuid=be91fdda-1f1d-4ab8-a9b1-df1e3c2fe39e","http://www.mendeley.com/documents/?uuid=af116aab-69a4-4d7a-a72b-045dc2707e0e"]},{"id":"ITEM-2","itemData":{"DOI":"10.1177/02662426211058050","ISSN":"17412870","abstract":"The UK has had a commitment to loan guarantee schemes since 1981 when it introduced the Small Firms Loan Guarantee (SFLG) scheme to address access to debt finance issues for smaller firms. Over the last 40 years, its support has been unwavering, and in the Covid-19 crisis, it once again turned to loan guarantees as a means of supporting smaller firms through the crisis-induced slump in trading activities. Of its three core Covid-19 guarantee schemes, the Bounce Back Loan (BBL) scheme was the most numerous with 1,531,095 loans issued amounting to a total of £46.5bn in lending. The BBL scheme provided a 100% capital guarantee on loans between £2,000 and £50,000, and firms were allowed to borrow up to 25% of their trading income, with a fixed interest rate of 2.5% of which the first years interest was paid by the government to the lending bank. Our findings suggest that the government losses may range between £7bn and £12bn depending on the underlying assumptions; however, we estimate Covid-19 guarantee schemes may have protected 118,639 businesses and 1,117,849 jobs. Looking to the future, we suggest that a new loan guarantee is justified that more resembles the former SFLG than the restrictive Enterprise Finance Guarantee (EFG) as more than one million small businesses will be heavily indebted and unable to borrow to invest in future growth opportunities. This would support the ‘levelling-up’ agenda and help prevent a post-Covid-19 low investment–low growth scenario.","author":[{"dropping-particle":"","family":"Cowling","given":"Marc","non-dropping-particle":"","parse-names":false,"suffix":""},{"dropping-particle":"","family":"Wilson","given":"Nick","non-dropping-particle":"","parse-names":false,"suffix":""},{"dropping-particle":"","family":"Nightingale","given":"Paul","non-dropping-particle":"","parse-names":false,"suffix":""},{"dropping-particle":"","family":"Kacer","given":"Marek","non-dropping-particle":"","parse-names":false,"suffix":""}],"container-title":"International Small Business Journal: Researching Entrepreneurship","id":"ITEM-2","issue":"5","issued":{"date-parts":[["2022"]]},"page":"650-666","title":"Predicting future default on the Covid-19 bounce back loan scheme: The £46.5 billion question","type":"article-journal","volume":"40"},"uris":["http://www.mendeley.com/documents/?uuid=865ca792-3d4f-4aa3-aed2-0c1459288f3c"]}],"mendeley":{"formattedCitation":"(Belghitar et al., 2022; Cowling et al., 2022)","plainTextFormattedCitation":"(Belghitar et al., 2022; Cowling et al., 2022)","previouslyFormattedCitation":"(Belghitar et al., 2022; Cowling et al., 2022)"},"properties":{"noteIndex":0},"schema":"https://github.com/citation-style-language/schema/raw/master/csl-citation.json"}</w:instrText>
      </w:r>
      <w:r w:rsidRPr="001C2C36">
        <w:rPr>
          <w:rFonts w:cs="Times New Roman"/>
          <w:szCs w:val="24"/>
        </w:rPr>
        <w:fldChar w:fldCharType="separate"/>
      </w:r>
      <w:r w:rsidRPr="001C2C36">
        <w:rPr>
          <w:rFonts w:cs="Times New Roman"/>
          <w:noProof/>
          <w:szCs w:val="24"/>
        </w:rPr>
        <w:t>(Belghitar et al., 2022; Cowling et al., 2022)</w:t>
      </w:r>
      <w:r w:rsidRPr="001C2C36">
        <w:rPr>
          <w:rFonts w:cs="Times New Roman"/>
          <w:szCs w:val="24"/>
        </w:rPr>
        <w:fldChar w:fldCharType="end"/>
      </w:r>
      <w:r w:rsidRPr="001C2C36">
        <w:rPr>
          <w:rFonts w:cs="Times New Roman"/>
          <w:szCs w:val="24"/>
        </w:rPr>
        <w:t xml:space="preserve">. </w:t>
      </w:r>
    </w:p>
    <w:p w14:paraId="7F3FF131" w14:textId="040FF05F" w:rsidR="00B4394D" w:rsidRPr="001C2C36" w:rsidRDefault="00B4394D">
      <w:pPr>
        <w:rPr>
          <w:rFonts w:cs="Times New Roman"/>
        </w:rPr>
      </w:pPr>
      <w:r w:rsidRPr="001C2C36">
        <w:rPr>
          <w:rFonts w:cs="Times New Roman"/>
        </w:rPr>
        <w:t>Although the pandemic has had an overall negative impact on the economy</w:t>
      </w:r>
      <w:r w:rsidR="00305DCB" w:rsidRPr="001C2C36">
        <w:rPr>
          <w:rFonts w:cs="Times New Roman"/>
        </w:rPr>
        <w:t xml:space="preserve"> and</w:t>
      </w:r>
      <w:r w:rsidR="002613D6" w:rsidRPr="001C2C36">
        <w:rPr>
          <w:rFonts w:cs="Times New Roman"/>
        </w:rPr>
        <w:t>,</w:t>
      </w:r>
      <w:r w:rsidR="00305DCB" w:rsidRPr="001C2C36">
        <w:rPr>
          <w:rFonts w:cs="Times New Roman"/>
        </w:rPr>
        <w:t xml:space="preserve"> in particular</w:t>
      </w:r>
      <w:r w:rsidR="002613D6" w:rsidRPr="001C2C36">
        <w:rPr>
          <w:rFonts w:cs="Times New Roman"/>
        </w:rPr>
        <w:t>,</w:t>
      </w:r>
      <w:r w:rsidR="00305DCB" w:rsidRPr="001C2C36">
        <w:rPr>
          <w:rFonts w:cs="Times New Roman"/>
        </w:rPr>
        <w:t xml:space="preserve"> on SMEs </w:t>
      </w:r>
      <w:r w:rsidR="00305DCB" w:rsidRPr="001C2C36">
        <w:rPr>
          <w:rFonts w:cs="Times New Roman"/>
        </w:rPr>
        <w:fldChar w:fldCharType="begin" w:fldLock="1"/>
      </w:r>
      <w:r w:rsidR="003C0749" w:rsidRPr="001C2C36">
        <w:rPr>
          <w:rFonts w:cs="Times New Roman"/>
        </w:rPr>
        <w:instrText>ADDIN CSL_CITATION {"citationItems":[{"id":"ITEM-1","itemData":{"DOI":"10.1007/s11187-021-00544-y","ISBN":"0123456789","ISSN":"15730913","abstract":"The existential threat to small businesses, based on their crucial role in the economy, is behind the plethora of scholarly studies in 2020, the first year of the COVID-19 pandemic. Examining the 15 contributions of the special issue on the “Economic effects of the COVID-19 pandemic on entrepreneurship and small businesses,” the paper comprises four parts: a systematic review of the literature on the effect on entrepreneurship and small businesses; a discussion of four literature strands based on this review; an overview of the contributions in this special issue; and some ideas for post-pandemic economic research.","author":[{"dropping-particle":"","family":"Belitski","given":"Maksim","non-dropping-particle":"","parse-names":false,"suffix":""},{"dropping-particle":"","family":"Guenther","given":"Christina","non-dropping-particle":"","parse-names":false,"suffix":""},{"dropping-particle":"","family":"Kritikos","given":"Alexander S.","non-dropping-particle":"","parse-names":false,"suffix":""},{"dropping-particle":"","family":"Thurik","given":"Roy","non-dropping-particle":"","parse-names":false,"suffix":""}],"container-title":"Small Business Economics","id":"ITEM-1","issue":"2","issued":{"date-parts":[["2022"]]},"page":"593-609","publisher":"Springer US","title":"Economic effects of the COVID-19 pandemic on entrepreneurship and small businesses","type":"article-journal","volume":"58"},"uris":["http://www.mendeley.com/documents/?uuid=a1bfb27d-e2ee-421f-87fd-9bb3bdb8a965","http://www.mendeley.com/documents/?uuid=6db3a8f2-438a-49a0-994d-5c3a1d0812f6"]}],"mendeley":{"formattedCitation":"(Belitski et al., 2022)","plainTextFormattedCitation":"(Belitski et al., 2022)","previouslyFormattedCitation":"(Belitski et al., 2022)"},"properties":{"noteIndex":0},"schema":"https://github.com/citation-style-language/schema/raw/master/csl-citation.json"}</w:instrText>
      </w:r>
      <w:r w:rsidR="00305DCB" w:rsidRPr="001C2C36">
        <w:rPr>
          <w:rFonts w:cs="Times New Roman"/>
        </w:rPr>
        <w:fldChar w:fldCharType="separate"/>
      </w:r>
      <w:r w:rsidR="00305DCB" w:rsidRPr="001C2C36">
        <w:rPr>
          <w:rFonts w:cs="Times New Roman"/>
          <w:noProof/>
        </w:rPr>
        <w:t>(Belitski et al., 2022)</w:t>
      </w:r>
      <w:r w:rsidR="00305DCB" w:rsidRPr="001C2C36">
        <w:rPr>
          <w:rFonts w:cs="Times New Roman"/>
        </w:rPr>
        <w:fldChar w:fldCharType="end"/>
      </w:r>
      <w:r w:rsidRPr="001C2C36">
        <w:rPr>
          <w:rFonts w:cs="Times New Roman"/>
        </w:rPr>
        <w:t xml:space="preserve">, some firms have performed relatively well, increasing sales and </w:t>
      </w:r>
      <w:r w:rsidRPr="001C2C36">
        <w:rPr>
          <w:rFonts w:cs="Times New Roman"/>
        </w:rPr>
        <w:lastRenderedPageBreak/>
        <w:t>employee growth</w:t>
      </w:r>
      <w:r w:rsidR="00FC15AC" w:rsidRPr="001C2C36">
        <w:rPr>
          <w:rFonts w:cs="Times New Roman"/>
        </w:rPr>
        <w:t xml:space="preserve"> </w:t>
      </w:r>
      <w:r w:rsidR="00FC15AC" w:rsidRPr="001C2C36">
        <w:rPr>
          <w:rFonts w:cs="Times New Roman"/>
        </w:rPr>
        <w:fldChar w:fldCharType="begin" w:fldLock="1"/>
      </w:r>
      <w:r w:rsidR="007B4FB7" w:rsidRPr="001C2C36">
        <w:rPr>
          <w:rFonts w:cs="Times New Roman"/>
        </w:rPr>
        <w:instrText>ADDIN CSL_CITATION {"citationItems":[{"id":"ITEM-1","itemData":{"DOI":"10.1016/j.jbusres.2021.09.062","ISSN":"01482963","abstract":"The ongoing COVID-19 pandemic has affected countless businesses, leading to serious disruptions for many industries. Drawing on the resilience literature, this study offers an understanding of the impact of the COVID-19 pandemic on the creative industries and their response to the challenges they have encountered. This study reviews 59 papers following the systematic literature review approach and reveals several positive implications of the COVID-19 pandemic within the creative industries (e.g., IT and software) as well as the negative (the music industry, festivals, cultural events). Identifying six themes related to the impact of the COVID-19 pandemic on the creative industries, we develop a response matrix based on the discussion of firms’ digital capabilities and their ability to adapt to the COVID-19 crisis. We outline future research directions using a Theory-Context-Characteristics-Methodology (TCCM) framework.","author":[{"dropping-particle":"","family":"Khlystova","given":"Olena","non-dropping-particle":"","parse-names":false,"suffix":""},{"dropping-particle":"","family":"Kalyuzhnova","given":"Yelena","non-dropping-particle":"","parse-names":false,"suffix":""},{"dropping-particle":"","family":"Belitski","given":"Maksim","non-dropping-particle":"","parse-names":false,"suffix":""}],"container-title":"Journal of Business Research","id":"ITEM-1","issued":{"date-parts":[["2022"]]},"page":"1192-1210","title":"The impact of the COVID-19 pandemic on the creative industries: A literature review and future research agenda","type":"article-journal","volume":"139"},"uris":["http://www.mendeley.com/documents/?uuid=fc6ed43d-48fa-4d1d-ad1d-9aa10aaa9a41","http://www.mendeley.com/documents/?uuid=7cc656cc-9ff9-4f53-adff-188c3ab1da95"]},{"id":"ITEM-2","itemData":{"DOI":"10.1111/tesg.12453","ISSN":"14679663","abstract":"The COVID-19 pandemic has led to a sharp increase in online trade. This article examines the impact of the pandemic on online grocery retail in Germany. Here we follow and refine the multi-level perspective by Geels, and examine to what extent and why the online grocery retail expanded during the pandemic. A particular focus is on the spatial expansion into rural areas. The study shows a general upswing in the grocery trade and disproportionately high growth in online grocery trade and identifies driving and limiting factors. While COVID-19 has opened a window of opportunity, our results indicate little transition of grocery to e-grocery. This finding can be explained by the sudden and temporary constellation at the level of the socio-technical regime during the pandemic. As a result, we argue for a rethinking the temporality of windows of opportunities and the related vulnerability of the innovations which need them.","author":[{"dropping-particle":"","family":"Dannenberg","given":"Peter","non-dropping-particle":"","parse-names":false,"suffix":""},{"dropping-particle":"","family":"Fuchs","given":"Martina","non-dropping-particle":"","parse-names":false,"suffix":""},{"dropping-particle":"","family":"Riedler","given":"Tim","non-dropping-particle":"","parse-names":false,"suffix":""},{"dropping-particle":"","family":"Wiedemann","given":"Cathrin","non-dropping-particle":"","parse-names":false,"suffix":""}],"container-title":"Tijdschrift voor Economische en Sociale Geografie","id":"ITEM-2","issue":"3","issued":{"date-parts":[["2020"]]},"page":"543-560","title":"Digital Transition by COVID-19 Pandemic? The German Food Online Retail","type":"article-journal","volume":"111"},"uris":["http://www.mendeley.com/documents/?uuid=86d09b6e-182c-4722-a34b-17691f48d23b"]},{"id":"ITEM-3","itemData":{"DOI":"10.1177/0047239520934018","ISSN":"0047-2395","abstract":"Educational institutions (schools, colleges, and universities) in India are currently based only on traditional methods of learning, that is, they follow the traditional set up of face-to-face lectures in a classroom. Although many academic units have also started blended learning, still a lot of them are stuck with old procedures. The sudden outbreak of a deadly disease called Covid-19 caused by a Corona Virus (SARS-CoV-2) shook the entire world. The World Health Organization declared it as a pandemic. This situation challenged the education system across the world and forced educators to shift to an online mode of teaching overnight. Many academic institutions that were earlier reluctant to change their traditional pedagogical approach had no option but to shift entirely to online teaching–learning. The article includes the importance of online learning and Strengths, Weaknesses, Opportunities, &amp; Challenges (SWOC) analysis of e-learning modes in the time of crisis. This article also put some light on the growth of EdTech Start-ups during the time of pandemic and natural disasters and includes suggestions for academic institutions of how to deal with challenges associated with online learning.","author":[{"dropping-particle":"","family":"Dhawan","given":"Shivangi","non-dropping-particle":"","parse-names":false,"suffix":""}],"container-title":"Journal of Educational Technology Systems","id":"ITEM-3","issue":"1","issued":{"date-parts":[["2020"]]},"page":"5-22","title":"Online Learning: A Panacea in the Time of COVID-19 Crisis","type":"article-journal","volume":"49"},"uris":["http://www.mendeley.com/documents/?uuid=3e464946-86ad-4685-b7f6-202769949d9e"]},{"id":"ITEM-4","itemData":{"DOI":"10.1016/j.scitotenv.2020.141362","ISSN":"00489697","PMID":"32823223","abstract":"COVID-19 pandemic is on a trajectory to cause catastrophic global upheaval with the potential to alter geopolitical and socio-economic norms. Many countries are frantically responding with staggering financial stimulus recovery initiatives. This opinion-paper reviews challenges, opportunities, and potential solutions for the post-COVID-19 era that focuses on intensive sustaining of agri-food supply chain in tandem with meeting the high demand for new green deal innovation. For example, the development of wet peatland innovation, known as Paludiculture, can intensively sustain and blend agri-food and green innovations that will help support COVID-19 pandemic transitioning. The future looks bright for the creation of new sustainability multi-actor innovation hubs that will support, connect, and enable businesses to recover and pivot beyond the COVID-19 pandemic. The nexus between first ‘Green Deal’ initiative supporting 64 selected European Startups and SMEs (European Innovation Council) and 43 Irish Disruptive Technology projects are addressed in the context of cross-cutting developments and relevance to COVID-19. Candidate areas for future consideration will focus on climate action, digitization, manufacturing, and sustainable food production, security, and waste mitigation. Recommendations are also provided to facilitate community transitioning, training, enterprise, and employment to low carbon economy.","author":[{"dropping-particle":"","family":"Rowan","given":"Neil J.","non-dropping-particle":"","parse-names":false,"suffix":""},{"dropping-particle":"","family":"Galanakis","given":"Charis M.","non-dropping-particle":"","parse-names":false,"suffix":""}],"container-title":"Science of The Total Environment","id":"ITEM-4","issued":{"date-parts":[["2020","12"]]},"page":"141362","title":"Unlocking challenges and opportunities presented by COVID-19 pandemic for cross-cutting disruption in agri-food and green deal innovations: Quo Vadis?","type":"article-journal","volume":"748"},"uris":["http://www.mendeley.com/documents/?uuid=e56999a6-54c7-4b08-a91b-bd1923dc3929"]}],"mendeley":{"formattedCitation":"(Dannenberg et al., 2020; Dhawan, 2020; Khlystova et al., 2022; Rowan and Galanakis, 2020)","plainTextFormattedCitation":"(Dannenberg et al., 2020; Dhawan, 2020; Khlystova et al., 2022; Rowan and Galanakis, 2020)","previouslyFormattedCitation":"(Dannenberg et al., 2020; Dhawan, 2020; Khlystova et al., 2022; Rowan and Galanakis, 2020)"},"properties":{"noteIndex":0},"schema":"https://github.com/citation-style-language/schema/raw/master/csl-citation.json"}</w:instrText>
      </w:r>
      <w:r w:rsidR="00FC15AC" w:rsidRPr="001C2C36">
        <w:rPr>
          <w:rFonts w:cs="Times New Roman"/>
        </w:rPr>
        <w:fldChar w:fldCharType="separate"/>
      </w:r>
      <w:r w:rsidR="00761381" w:rsidRPr="001C2C36">
        <w:rPr>
          <w:rFonts w:cs="Times New Roman"/>
          <w:noProof/>
        </w:rPr>
        <w:t>(Dannenberg et al., 2020; Dhawan, 2020; Khlystova et al., 2022; Rowan and Galanakis, 2020)</w:t>
      </w:r>
      <w:r w:rsidR="00FC15AC" w:rsidRPr="001C2C36">
        <w:rPr>
          <w:rFonts w:cs="Times New Roman"/>
        </w:rPr>
        <w:fldChar w:fldCharType="end"/>
      </w:r>
      <w:r w:rsidRPr="001C2C36">
        <w:rPr>
          <w:rFonts w:cs="Times New Roman"/>
        </w:rPr>
        <w:t>.</w:t>
      </w:r>
      <w:r w:rsidR="00FA297A" w:rsidRPr="001C2C36">
        <w:rPr>
          <w:rFonts w:cs="Times New Roman"/>
        </w:rPr>
        <w:t xml:space="preserve"> However, th</w:t>
      </w:r>
      <w:r w:rsidR="00F03279" w:rsidRPr="001C2C36">
        <w:rPr>
          <w:rFonts w:cs="Times New Roman"/>
        </w:rPr>
        <w:t>e</w:t>
      </w:r>
      <w:r w:rsidR="00FA297A" w:rsidRPr="001C2C36">
        <w:rPr>
          <w:rFonts w:cs="Times New Roman"/>
        </w:rPr>
        <w:t xml:space="preserve"> mechanisms behind </w:t>
      </w:r>
      <w:r w:rsidR="147862D9" w:rsidRPr="001C2C36">
        <w:rPr>
          <w:rFonts w:cs="Times New Roman"/>
        </w:rPr>
        <w:t>th</w:t>
      </w:r>
      <w:r w:rsidR="3995AD4A" w:rsidRPr="001C2C36">
        <w:rPr>
          <w:rFonts w:cs="Times New Roman"/>
        </w:rPr>
        <w:t>ese</w:t>
      </w:r>
      <w:r w:rsidR="00FA297A" w:rsidRPr="001C2C36">
        <w:rPr>
          <w:rFonts w:cs="Times New Roman"/>
        </w:rPr>
        <w:t xml:space="preserve"> performance </w:t>
      </w:r>
      <w:r w:rsidR="7FF48406" w:rsidRPr="001C2C36">
        <w:rPr>
          <w:rFonts w:cs="Times New Roman"/>
        </w:rPr>
        <w:t xml:space="preserve">differences </w:t>
      </w:r>
      <w:r w:rsidR="00FA297A" w:rsidRPr="001C2C36">
        <w:rPr>
          <w:rFonts w:cs="Times New Roman"/>
        </w:rPr>
        <w:t>are not well understood.</w:t>
      </w:r>
      <w:r w:rsidR="00E76A01" w:rsidRPr="001C2C36">
        <w:rPr>
          <w:rFonts w:cs="Times New Roman"/>
        </w:rPr>
        <w:t xml:space="preserve"> </w:t>
      </w:r>
      <w:r w:rsidR="75526B4F" w:rsidRPr="001C2C36">
        <w:rPr>
          <w:rFonts w:cs="Times New Roman"/>
        </w:rPr>
        <w:t>One strand of research</w:t>
      </w:r>
      <w:r w:rsidR="14726A19" w:rsidRPr="001C2C36">
        <w:rPr>
          <w:rFonts w:cs="Times New Roman"/>
        </w:rPr>
        <w:t xml:space="preserve"> </w:t>
      </w:r>
      <w:r w:rsidR="578DE387" w:rsidRPr="001C2C36">
        <w:rPr>
          <w:rFonts w:cs="Times New Roman"/>
        </w:rPr>
        <w:fldChar w:fldCharType="begin" w:fldLock="1"/>
      </w:r>
      <w:r w:rsidR="000E4D26" w:rsidRPr="001C2C36">
        <w:rPr>
          <w:rFonts w:cs="Times New Roman"/>
        </w:rPr>
        <w:instrText>ADDIN CSL_CITATION {"citationItems":[{"id":"ITEM-1","itemData":{"DOI":"10.1177/02662426211033270","ISSN":"17412870","abstract":"COVID-19 wreaked havoc on public health and the global economy. Small and medium-sized enterprises (SMEs) were hit especially hard. In this research note, we test the ability of dynamic capabilities (DCs) to predict SME performance during the pandemic. Based on our analysis of data from a survey conducted in the United States, we find that DCs meaningfully predicted both operational levels and revenue. Furthermore, while the empirical literature suggests that SME size is positively related to DC efficacy, we found that this effect was reversed during COVID-19, as the positive link between DCs and performance was stronger for smaller SMEs.","author":[{"dropping-particle":"","family":"Clampit","given":"Jack A.","non-dropping-particle":"","parse-names":false,"suffix":""},{"dropping-particle":"","family":"Lorenz","given":"Melanie P.","non-dropping-particle":"","parse-names":false,"suffix":""},{"dropping-particle":"","family":"Gamble","given":"John E.","non-dropping-particle":"","parse-names":false,"suffix":""},{"dropping-particle":"","family":"Lee","given":"Jim","non-dropping-particle":"","parse-names":false,"suffix":""}],"container-title":"International Small Business Journal: Researching Entrepreneurship","id":"ITEM-1","issue":"3","issued":{"date-parts":[["2021"]]},"page":"403 –419","title":"Performance stability among small and medium-sized enterprises during COVID-19: A test of the efficacy of dynamic capabilities","type":"article-journal","volume":"40"},"uris":["http://www.mendeley.com/documents/?uuid=91c45b80-89c5-4e6b-aaea-066b44b12e58"]},{"id":"ITEM-2","itemData":{"DOI":"10.1007/s11846-022-00569-x","ISBN":"1184602200569","ISSN":"1863-6683","abstract":"This paper addresses the debate on the ability/inability of SMEs to balance social, environmental and economic objectives by integrating insights from the dynamic capabilities literature. Using unique survey data from 297 Dutch SMEs, we propose that integrative dynamic capabilities simultaneously drive all three pillars of sustainability in SMEs.","author":[{"dropping-particle":"","family":"Dejardin","given":"Marcus","non-dropping-particle":"","parse-names":false,"suffix":""},{"dropping-particle":"","family":"Raposo","given":"Mario L.","non-dropping-particle":"","parse-names":false,"suffix":""},{"dropping-particle":"","family":"Ferreira","given":"João J.","non-dropping-particle":"","parse-names":false,"suffix":""},{"dropping-particle":"","family":"Fernandes","given":"Cristina I.","non-dropping-particle":"","parse-names":false,"suffix":""},{"dropping-particle":"","family":"Veiga","given":"Pedro M.","non-dropping-particle":"","parse-names":false,"suffix":""},{"dropping-particle":"","family":"Farinha","given":"Luís","non-dropping-particle":"","parse-names":false,"suffix":""}],"container-title":"Review of Managerial Science","id":"ITEM-2","issue":"1","issued":{"date-parts":[["2022","7","18"]]},"page":"11482","publisher":"Springer Berlin Heidelberg","title":"The impact of dynamic capabilities on SME performance during COVID-19","type":"article-journal","volume":"2018"},"uris":["http://www.mendeley.com/documents/?uuid=1449dbde-85ad-478b-8a5c-6d9844d29b28","http://www.mendeley.com/documents/?uuid=a6794bab-f252-46a3-8e62-ecbd672b19b3"]},{"id":"ITEM-3","itemData":{"DOI":"10.1080/13032917.2021.1969960","ISSN":"1303-2917","abstract":"The aim of this research is to explore the positive effect of dynamic capabilities on firm performance in Spanish hotels to further expand the ongoing knowledge of management strategies in a dynamic environment. It also embraces novel issues by linking uncertain changes with the current literature on the COVID-19 crisis. This study also emphasizes the mediation effect of innovation capability as a key hotel strategy in today’s world. The final sample is composed of 212 hotels in Spain. The results reveal a positive and significant influence of dynamic capabilities on hotel performance, which is mediated by innovation capability (partial mediation effect). Both theoretical and practical implication of this research can help navigate the economic consequences of the COVID-19 pandemic.","author":[{"dropping-particle":"","family":"Marco-Lajara","given":"Bartolomé","non-dropping-particle":"","parse-names":false,"suffix":""},{"dropping-particle":"","family":"Ruiz-Fernández","given":"Lorena","non-dropping-particle":"","parse-names":false,"suffix":""},{"dropping-particle":"","family":"Seva-Larrosa","given":"Pedro","non-dropping-particle":"","parse-names":false,"suffix":""},{"dropping-particle":"","family":"Sánchez-García","given":"Eduardo","non-dropping-particle":"","parse-names":false,"suffix":""}],"container-title":"Anatolia","id":"ITEM-3","issued":{"date-parts":[["2021","8","26"]]},"publisher":"Routledge","title":"Hotel strategies in times of COVID-19: a dynamic capabilities approach","type":"article-journal"},"uris":["http://www.mendeley.com/documents/?uuid=7ed69180-28b8-41b8-908e-20cf14ba3db7","http://www.mendeley.com/documents/?uuid=69dfa87f-2800-478b-baff-c743b026d398"]},{"id":"ITEM-4","itemData":{"DOI":"10.1108/IJLM-01-2021-0059","ISSN":"0957-4093","abstract":"Purpose: The purpose of this paper is to use a theoretical framework to investigate the relationships between different innovation-oriented dynamic capabilities, dynamic resilience and firm performance among logistics service providers (LSPs) and in-house logistics departments of industrial companies during the coronavirus disease 2019 (COVID-19) pandemic. Design/methodology/approach: The conceptual theoretical framework relies on the dynamic capabilities framework (DCF) and the relational view (RV), which are rooted in the resource-based view (RBV). It is hypothesized that the dynamic capability to innovate reinforces the dynamic capability to adapt and to recover in highly dynamic and vulnerable environments during the pandemic. This allows LSPs to successfully create new services and respond to the changing market circumstances in terms of logistics service quality (LSQ) and firm performance. Data were collected from 83 LSPs and 30 in-house logistics departments via an online survey. The study determined the general strength and direction of the relationships between latent variables. A correlation analysis was utilized to establish statistical significance of the results. Findings: In this study, a range of innovation-oriented capabilities for achieving more dynamic resilience were bundled in a conceptual framework and were found to be statistically significant for LSQ and firm performance. They are the capability to distribute new knowledge, to train employees effectively, to develop cross-functional collaboration within the firm, to develop inter-firm relationships with business partners on a long-term basis as well as to learn from rivals, and to pursue a win-win relationship with them. Research limitations/implications: The results of the study do not imply that the identified capabilities are the only ones relevant to increasing dynamic resilience during the pandemic. In October 2020, the COVID-19 pandemic was at different stages in different countries, so that the level to which firms were affected varied, and although the data were collected during one month only, due to the high dynamics of the pandemic, data were collected during different stages of disruptions, even among respondents in the same country. This study was set in the context of COVID-19, and it could not be proved whether the conceptual framework is generalizable to other crises or particular industries, but it would be worthwhile to examine this in the future. Finally, it was…","author":[{"dropping-particle":"","family":"Dovbischuk","given":"Irina","non-dropping-particle":"","parse-names":false,"suffix":""}],"container-title":"The International Journal of Logistics Management","id":"ITEM-4","issue":"2","issued":{"date-parts":[["2022","4","19"]]},"page":"499-519","title":"Innovation-oriented dynamic capabilities of logistics service providers, dynamic resilience and firm performance during the COVID-19 pandemic","type":"article-journal","volume":"33"},"uris":["http://www.mendeley.com/documents/?uuid=1a1eccb3-6c5d-4701-a7c6-bef107533348","http://www.mendeley.com/documents/?uuid=0680302c-58a2-42cc-b22a-2a69487a0734"]}],"mendeley":{"formattedCitation":"(Clampit et al., 2021; Dejardin et al., 2022; Dovbischuk, 2022; Marco-Lajara et al., 2021)","plainTextFormattedCitation":"(Clampit et al., 2021; Dejardin et al., 2022; Dovbischuk, 2022; Marco-Lajara et al., 2021)","previouslyFormattedCitation":"(Clampit et al., 2021; Dejardin et al., 2022; Dovbischuk, 2022; Marco-Lajara et al., 2021)"},"properties":{"noteIndex":0},"schema":"https://github.com/citation-style-language/schema/raw/master/csl-citation.json"}</w:instrText>
      </w:r>
      <w:r w:rsidR="578DE387" w:rsidRPr="001C2C36">
        <w:rPr>
          <w:rFonts w:cs="Times New Roman"/>
        </w:rPr>
        <w:fldChar w:fldCharType="separate"/>
      </w:r>
      <w:r w:rsidR="41CBE753" w:rsidRPr="001C2C36">
        <w:rPr>
          <w:rFonts w:cs="Times New Roman"/>
          <w:noProof/>
        </w:rPr>
        <w:t>(Clampit et al., 2021; Dejardin et al., 2022; Dovbischuk, 2022; Marco-Lajara et al., 2021)</w:t>
      </w:r>
      <w:r w:rsidR="578DE387" w:rsidRPr="001C2C36">
        <w:rPr>
          <w:rFonts w:cs="Times New Roman"/>
        </w:rPr>
        <w:fldChar w:fldCharType="end"/>
      </w:r>
      <w:r w:rsidR="14726A19" w:rsidRPr="001C2C36">
        <w:rPr>
          <w:rFonts w:cs="Times New Roman"/>
        </w:rPr>
        <w:t xml:space="preserve"> </w:t>
      </w:r>
      <w:r w:rsidR="7A0B2AC0" w:rsidRPr="001C2C36">
        <w:rPr>
          <w:rFonts w:cs="Times New Roman"/>
        </w:rPr>
        <w:t>has highlighted the importance of dynamic capabilities</w:t>
      </w:r>
      <w:r w:rsidR="47D0852A" w:rsidRPr="001C2C36">
        <w:rPr>
          <w:rFonts w:cs="Times New Roman"/>
        </w:rPr>
        <w:t xml:space="preserve"> (DCs)</w:t>
      </w:r>
      <w:r w:rsidR="7A0B2AC0" w:rsidRPr="001C2C36">
        <w:rPr>
          <w:rFonts w:cs="Times New Roman"/>
        </w:rPr>
        <w:t xml:space="preserve"> in enabling firms to cope with shocks such as the </w:t>
      </w:r>
      <w:r w:rsidR="70D8AAB5" w:rsidRPr="001C2C36">
        <w:rPr>
          <w:rFonts w:cs="Times New Roman"/>
        </w:rPr>
        <w:t>Covid-19</w:t>
      </w:r>
      <w:r w:rsidR="7A0B2AC0" w:rsidRPr="001C2C36">
        <w:rPr>
          <w:rFonts w:cs="Times New Roman"/>
        </w:rPr>
        <w:t xml:space="preserve"> pandemic</w:t>
      </w:r>
      <w:r w:rsidR="5CD0D917" w:rsidRPr="001C2C36">
        <w:rPr>
          <w:rFonts w:cs="Times New Roman"/>
        </w:rPr>
        <w:t>.</w:t>
      </w:r>
      <w:r w:rsidR="70DB6085" w:rsidRPr="001C2C36">
        <w:rPr>
          <w:rFonts w:cs="Times New Roman"/>
        </w:rPr>
        <w:t xml:space="preserve"> </w:t>
      </w:r>
      <w:r w:rsidR="0F574868" w:rsidRPr="001C2C36">
        <w:rPr>
          <w:rFonts w:cs="Times New Roman"/>
        </w:rPr>
        <w:t xml:space="preserve">This research has identified a positive relationship between DCs and firm performance. </w:t>
      </w:r>
      <w:r w:rsidR="7A0B2AC0" w:rsidRPr="001C2C36">
        <w:rPr>
          <w:rFonts w:cs="Times New Roman"/>
        </w:rPr>
        <w:t xml:space="preserve">However, </w:t>
      </w:r>
      <w:r w:rsidR="08D53027" w:rsidRPr="001C2C36">
        <w:rPr>
          <w:rFonts w:cs="Times New Roman"/>
        </w:rPr>
        <w:t>past studies have</w:t>
      </w:r>
      <w:r w:rsidR="7A0B2AC0" w:rsidRPr="001C2C36">
        <w:rPr>
          <w:rFonts w:cs="Times New Roman"/>
        </w:rPr>
        <w:t xml:space="preserve"> not considered the moderating role of government support mechanisms in shaping firms</w:t>
      </w:r>
      <w:r w:rsidR="7B6FE9A8" w:rsidRPr="001C2C36">
        <w:rPr>
          <w:rFonts w:cs="Times New Roman"/>
        </w:rPr>
        <w:t>'</w:t>
      </w:r>
      <w:r w:rsidR="7A0B2AC0" w:rsidRPr="001C2C36">
        <w:rPr>
          <w:rFonts w:cs="Times New Roman"/>
        </w:rPr>
        <w:t xml:space="preserve"> ability to exercise their </w:t>
      </w:r>
      <w:r w:rsidR="5BF51237" w:rsidRPr="001C2C36">
        <w:rPr>
          <w:rFonts w:cs="Times New Roman"/>
        </w:rPr>
        <w:t>DCs</w:t>
      </w:r>
      <w:r w:rsidR="7A0B2AC0" w:rsidRPr="001C2C36">
        <w:rPr>
          <w:rFonts w:cs="Times New Roman"/>
        </w:rPr>
        <w:t xml:space="preserve"> to cope with the challenge</w:t>
      </w:r>
      <w:r w:rsidR="31257FE5" w:rsidRPr="001C2C36">
        <w:rPr>
          <w:rFonts w:cs="Times New Roman"/>
        </w:rPr>
        <w:t xml:space="preserve">s </w:t>
      </w:r>
      <w:r w:rsidR="52DCC1B1" w:rsidRPr="001C2C36">
        <w:rPr>
          <w:rFonts w:cs="Times New Roman"/>
        </w:rPr>
        <w:t>of</w:t>
      </w:r>
      <w:r w:rsidR="31257FE5" w:rsidRPr="001C2C36">
        <w:rPr>
          <w:rFonts w:cs="Times New Roman"/>
        </w:rPr>
        <w:t xml:space="preserve"> the </w:t>
      </w:r>
      <w:r w:rsidR="70D8AAB5" w:rsidRPr="001C2C36">
        <w:rPr>
          <w:rFonts w:cs="Times New Roman"/>
        </w:rPr>
        <w:t>COVID-19</w:t>
      </w:r>
      <w:r w:rsidR="31257FE5" w:rsidRPr="001C2C36">
        <w:rPr>
          <w:rFonts w:cs="Times New Roman"/>
        </w:rPr>
        <w:t xml:space="preserve"> pandemic.</w:t>
      </w:r>
    </w:p>
    <w:p w14:paraId="0F622FA5" w14:textId="1F906BE0" w:rsidR="002B7922" w:rsidRPr="001C2C36" w:rsidRDefault="496F4BF7" w:rsidP="00352432">
      <w:pPr>
        <w:rPr>
          <w:rFonts w:cs="Times New Roman"/>
        </w:rPr>
      </w:pPr>
      <w:r w:rsidRPr="001C2C36">
        <w:rPr>
          <w:rFonts w:cs="Times New Roman"/>
        </w:rPr>
        <w:t xml:space="preserve">It is not clear </w:t>
      </w:r>
      <w:r w:rsidR="00F40950" w:rsidRPr="001C2C36">
        <w:rPr>
          <w:rFonts w:cs="Times New Roman"/>
        </w:rPr>
        <w:t xml:space="preserve">from the extant literature </w:t>
      </w:r>
      <w:r w:rsidRPr="001C2C36">
        <w:rPr>
          <w:rFonts w:cs="Times New Roman"/>
        </w:rPr>
        <w:t>how government support initiatives interact with DCs.</w:t>
      </w:r>
      <w:r w:rsidR="00124C2F" w:rsidRPr="001C2C36">
        <w:rPr>
          <w:rFonts w:cs="Times New Roman"/>
        </w:rPr>
        <w:t xml:space="preserve"> </w:t>
      </w:r>
      <w:r w:rsidR="0039195F" w:rsidRPr="001C2C36">
        <w:rPr>
          <w:rFonts w:cs="Times New Roman"/>
        </w:rPr>
        <w:t>Although g</w:t>
      </w:r>
      <w:r w:rsidR="00D74E4C" w:rsidRPr="001C2C36">
        <w:rPr>
          <w:rFonts w:cs="Times New Roman"/>
        </w:rPr>
        <w:t>overnment support sc</w:t>
      </w:r>
      <w:r w:rsidR="00AE2103" w:rsidRPr="001C2C36">
        <w:rPr>
          <w:rFonts w:cs="Times New Roman"/>
        </w:rPr>
        <w:t>he</w:t>
      </w:r>
      <w:r w:rsidR="00D74E4C" w:rsidRPr="001C2C36">
        <w:rPr>
          <w:rFonts w:cs="Times New Roman"/>
        </w:rPr>
        <w:t xml:space="preserve">mes, such as loan guarantees, helped to protect businesses and jobs during the pandemic </w:t>
      </w:r>
      <w:r w:rsidR="00D74E4C" w:rsidRPr="001C2C36">
        <w:rPr>
          <w:rFonts w:eastAsia="Times New Roman" w:cs="Times New Roman"/>
          <w:lang w:eastAsia="en-GB"/>
        </w:rPr>
        <w:fldChar w:fldCharType="begin" w:fldLock="1"/>
      </w:r>
      <w:r w:rsidR="0078158A" w:rsidRPr="001C2C36">
        <w:rPr>
          <w:rFonts w:cs="Times New Roman"/>
        </w:rPr>
        <w:instrText>ADDIN CSL_CITATION {"citationItems":[{"id":"ITEM-1","itemData":{"DOI":"10.1177/02662426211058050","ISSN":"17412870","abstract":"The UK has had a commitment to loan guarantee schemes since 1981 when it introduced the Small Firms Loan Guarantee (SFLG) scheme to address access to debt finance issues for smaller firms. Over the last 40 years, its support has been unwavering, and in the Covid-19 crisis, it once again turned to loan guarantees as a means of supporting smaller firms through the crisis-induced slump in trading activities. Of its three core Covid-19 guarantee schemes, the Bounce Back Loan (BBL) scheme was the most numerous with 1,531,095 loans issued amounting to a total of £46.5bn in lending. The BBL scheme provided a 100% capital guarantee on loans between £2,000 and £50,000, and firms were allowed to borrow up to 25% of their trading income, with a fixed interest rate of 2.5% of which the first years interest was paid by the government to the lending bank. Our findings suggest that the government losses may range between £7bn and £12bn depending on the underlying assumptions; however, we estimate Covid-19 guarantee schemes may have protected 118,639 businesses and 1,117,849 jobs. Looking to the future, we suggest that a new loan guarantee is justified that more resembles the former SFLG than the restrictive Enterprise Finance Guarantee (EFG) as more than one million small businesses will be heavily indebted and unable to borrow to invest in future growth opportunities. This would support the ‘levelling-up’ agenda and help prevent a post-Covid-19 low investment–low growth scenario.","author":[{"dropping-particle":"","family":"Cowling","given":"Marc","non-dropping-particle":"","parse-names":false,"suffix":""},{"dropping-particle":"","family":"Wilson","given":"Nick","non-dropping-particle":"","parse-names":false,"suffix":""},{"dropping-particle":"","family":"Nightingale","given":"Paul","non-dropping-particle":"","parse-names":false,"suffix":""},{"dropping-particle":"","family":"Kacer","given":"Marek","non-dropping-particle":"","parse-names":false,"suffix":""}],"container-title":"International Small Business Journal: Researching Entrepreneurship","id":"ITEM-1","issue":"5","issued":{"date-parts":[["2022"]]},"page":"650-666","title":"Predicting future default on the Covid-19 bounce back loan scheme: The £46.5 billion question","type":"article-journal","volume":"40"},"uris":["http://www.mendeley.com/documents/?uuid=865ca792-3d4f-4aa3-aed2-0c1459288f3c"]}],"mendeley":{"formattedCitation":"(Cowling et al., 2022)","plainTextFormattedCitation":"(Cowling et al., 2022)","previouslyFormattedCitation":"(Cowling et al., 2022)"},"properties":{"noteIndex":0},"schema":"https://github.com/citation-style-language/schema/raw/master/csl-citation.json"}</w:instrText>
      </w:r>
      <w:r w:rsidR="00D74E4C" w:rsidRPr="001C2C36">
        <w:rPr>
          <w:rFonts w:eastAsia="Times New Roman" w:cs="Times New Roman"/>
          <w:lang w:eastAsia="en-GB"/>
        </w:rPr>
        <w:fldChar w:fldCharType="separate"/>
      </w:r>
      <w:r w:rsidR="00D74E4C" w:rsidRPr="001C2C36">
        <w:rPr>
          <w:rFonts w:cs="Times New Roman"/>
          <w:noProof/>
        </w:rPr>
        <w:t>(Cowling et al., 2022)</w:t>
      </w:r>
      <w:r w:rsidR="00D74E4C" w:rsidRPr="001C2C36">
        <w:rPr>
          <w:rFonts w:eastAsia="Times New Roman" w:cs="Times New Roman"/>
          <w:lang w:eastAsia="en-GB"/>
        </w:rPr>
        <w:fldChar w:fldCharType="end"/>
      </w:r>
      <w:r w:rsidR="0039195F" w:rsidRPr="001C2C36">
        <w:rPr>
          <w:rFonts w:cs="Times New Roman"/>
        </w:rPr>
        <w:t>,</w:t>
      </w:r>
      <w:r w:rsidR="00D12D84" w:rsidRPr="001C2C36">
        <w:rPr>
          <w:rFonts w:cs="Times New Roman"/>
        </w:rPr>
        <w:t xml:space="preserve"> some studies </w:t>
      </w:r>
      <w:r w:rsidR="0039195F" w:rsidRPr="001C2C36">
        <w:rPr>
          <w:rFonts w:cs="Times New Roman"/>
        </w:rPr>
        <w:t xml:space="preserve">have </w:t>
      </w:r>
      <w:r w:rsidRPr="001C2C36">
        <w:rPr>
          <w:rFonts w:cs="Times New Roman"/>
        </w:rPr>
        <w:t>highlight</w:t>
      </w:r>
      <w:r w:rsidR="0039195F" w:rsidRPr="001C2C36">
        <w:rPr>
          <w:rFonts w:cs="Times New Roman"/>
        </w:rPr>
        <w:t>ed</w:t>
      </w:r>
      <w:r w:rsidRPr="001C2C36">
        <w:rPr>
          <w:rFonts w:cs="Times New Roman"/>
        </w:rPr>
        <w:t xml:space="preserve"> the unintended negative consequences of expansive assistance programmes, especially in the longer term.</w:t>
      </w:r>
      <w:r w:rsidR="00F910E5" w:rsidRPr="001C2C36">
        <w:rPr>
          <w:rFonts w:cs="Times New Roman"/>
        </w:rPr>
        <w:t xml:space="preserve"> </w:t>
      </w:r>
      <w:r w:rsidR="00ED7BE7" w:rsidRPr="001C2C36">
        <w:rPr>
          <w:rFonts w:cs="Times New Roman"/>
        </w:rPr>
        <w:t xml:space="preserve">These included </w:t>
      </w:r>
      <w:r w:rsidR="00B6119E" w:rsidRPr="001C2C36">
        <w:rPr>
          <w:rFonts w:cs="Times New Roman"/>
        </w:rPr>
        <w:t xml:space="preserve">a rising proportion of </w:t>
      </w:r>
      <w:r w:rsidR="00783708" w:rsidRPr="001C2C36">
        <w:rPr>
          <w:rFonts w:cs="Times New Roman"/>
        </w:rPr>
        <w:t xml:space="preserve">non-viable firms that are alive because of assistance </w:t>
      </w:r>
      <w:r w:rsidR="007B1DDF" w:rsidRPr="001C2C36">
        <w:rPr>
          <w:rFonts w:cs="Times New Roman"/>
        </w:rPr>
        <w:t>negatively impacting</w:t>
      </w:r>
      <w:r w:rsidR="007B0D64" w:rsidRPr="001C2C36">
        <w:rPr>
          <w:rFonts w:cs="Times New Roman"/>
        </w:rPr>
        <w:t xml:space="preserve"> </w:t>
      </w:r>
      <w:r w:rsidR="007620D4" w:rsidRPr="001C2C36">
        <w:rPr>
          <w:rFonts w:cs="Times New Roman"/>
          <w:szCs w:val="24"/>
        </w:rPr>
        <w:t xml:space="preserve">employment </w:t>
      </w:r>
      <w:r w:rsidR="007620D4" w:rsidRPr="001C2C36">
        <w:rPr>
          <w:rFonts w:cs="Times New Roman"/>
          <w:szCs w:val="24"/>
        </w:rPr>
        <w:fldChar w:fldCharType="begin" w:fldLock="1"/>
      </w:r>
      <w:r w:rsidR="0024068B" w:rsidRPr="001C2C36">
        <w:rPr>
          <w:rFonts w:cs="Times New Roman"/>
          <w:szCs w:val="24"/>
        </w:rPr>
        <w:instrText>ADDIN CSL_CITATION {"citationItems":[{"id":"ITEM-1","itemData":{"DOI":"10.1257/aer.98.5.1943","ISSN":"0002-8282","abstract":"Large Japanese banks often engaged in sham loan restructurings that kept credit flowing to otherwise insolvent borrowers (which we call zombies). We examine the implications of suppressing the normal competitive process whereby the zombies would shed workers and lose market share. The congestion created by the zombies reduces the profits for healthy firms, which discourages their entry and investment. We confirm that zombie-dominated industries exhibit more depressed job creation and destruction, and lower productivity. We present firm-level regressions showing that the increase in zombies depressed the investment and employment growth of non-zombies and widened the productivity gap between zombies and non-zombies. (JEL G21, G32, L25)","author":[{"dropping-particle":"","family":"Caballero","given":"Ricardo J","non-dropping-particle":"","parse-names":false,"suffix":""},{"dropping-particle":"","family":"Hoshi","given":"Takeo","non-dropping-particle":"","parse-names":false,"suffix":""},{"dropping-particle":"","family":"Kashyap","given":"Anil K","non-dropping-particle":"","parse-names":false,"suffix":""}],"container-title":"American Economic Review","id":"ITEM-1","issue":"5","issued":{"date-parts":[["2008","11","1"]]},"page":"1943-1977","title":"Zombie Lending and Depressed Restructuring in Japan","type":"article-journal","volume":"98"},"uris":["http://www.mendeley.com/documents/?uuid=f8e1b4f4-d9c6-47e4-953d-02d9b6ca0026","http://www.mendeley.com/documents/?uuid=c905c379-4bc0-48ca-be6b-a9ff5661b023"]},{"id":"ITEM-2","itemData":{"DOI":"10.1093/epolic/eiy012","ISBN":"9781607410874","ISSN":"0266-4658","abstract":"This paper explores the extent to which ‘zombie’ firms – defined as old firms that have persistent problems meeting their interest payments – are stifling labour productivity performance. The results show that the prevalence of and resources sunk in zombie firms have risen since the mid-2000s and that the increasing survival of these low productivity firms at the margins of exit congests markets and constrains the growth of more productive firms. Controlling for cyclical effects, cross-country analysis shows that within-industries over the period 2003–13, a higher share of industry capital sunk in zombie firms is associated with lower investment and employment growth of the typical non-zombie firm and less productivity-enhancing capital reallocation. Besides limiting the expansion possibilities of healthy incumbent firms, market congestion generated by zombie firms can also create barriers to entry and constrain the post-entry growth of young firms. Finally, we link the rise of zombie firms to the decline in OECD potential output growth through two key channels: business investment and multi-factor productivity growth.","author":[{"dropping-particle":"","family":"McGowan","given":"MügeA dalet","non-dropping-particle":"","parse-names":false,"suffix":""},{"dropping-particle":"","family":"Andrews","given":"Dan","non-dropping-particle":"","parse-names":false,"suffix":""},{"dropping-particle":"","family":"Millot","given":"Valentine","non-dropping-particle":"","parse-names":false,"suffix":""}],"container-title":"Economic Policy","id":"ITEM-2","issue":"96","issued":{"date-parts":[["2018"]]},"page":"685-736","title":"The walking dead? Zombie firms and productivity performance in OECD countries","type":"article-journal","volume":"33"},"uris":["http://www.mendeley.com/documents/?uuid=8bbd7a16-c6c0-4905-a6ad-179b100a173c","http://www.mendeley.com/documents/?uuid=f324030f-870b-445c-acb9-d8d4ded10924"]},{"id":"ITEM-3","itemData":{"DOI":"10.2139/ssrn.3760126","abstract":"We show that cheap credit to impaired firms has a disinflationary effect. By helping distressed firms to stay afloat, “zombie credit” can create excess production capacity, and in turn, put downward pressure on markups and prices. We test this mechanism exploiting granular inflation and firm-level data from twelve European countries. In the cross-section of industries and countries, we find that a rise of zombie credit is associated with a decrease in firm defaults and entries, firm markups and product prices; lower productivity; and, an increase in aggregate sales as well as material and labor cost. These results hold at the firm-level, where we document spillover effects to healthy firms in markets with high zombie credit. Our partial equilibrium estimates suggest that without a rise in zombie credit post 2012, annual inflation in Europe during 2012-2016 would have been 0.45 percentage points higher.","author":[{"dropping-particle":"V.","family":"Acharya","given":"Viral","non-dropping-particle":"","parse-names":false,"suffix":""},{"dropping-particle":"","family":"Crosignani","given":"Matteo","non-dropping-particle":"","parse-names":false,"suffix":""},{"dropping-particle":"","family":"Eisert","given":"Tim","non-dropping-particle":"","parse-names":false,"suffix":""},{"dropping-particle":"","family":"Eufinger","given":"Christian","non-dropping-particle":"","parse-names":false,"suffix":""}],"container-title":"NBER Working Paper No. w27158","id":"ITEM-3","issued":{"date-parts":[["2020"]]},"title":"Zombie Credit and (Dis-)Inflation: Evidence from Europe","type":"report"},"uris":["http://www.mendeley.com/documents/?uuid=4f0c03c2-8dfa-4dd1-a69c-c65d7553031e"]},{"id":"ITEM-4","itemData":{"DOI":"10.1146/annurev-financial-111620-114424","ISSN":"1941-1367","abstract":"This article surveys the theory on zombie lending incentives and the consequences of zombie lending for the real economy. It also offers a historical perspective by reviewing the growing empirical evidence on zombie lending along three dimensions: ( a) the role of undercapitalized banks, ( b) effects on zombie firms, and ( c) spillovers and distortions for non-zombie firms. We then provide an overview of how zombie lending can be attenuated. Finally, we use a sample of US publicly listed firms to compare various measures proposed in the literature to classify firms as “zombies.” We identify definitions of zombie firms that are adequate to investigate economic inefficiency in the form of real sector competitive distortions of zombie lending. We find that only definitions based on interest rate subsidies are able to detect these spillovers and thereby provide evidence in support of credit misallocation.","author":[{"dropping-particle":"V.","family":"Acharya","given":"Viral","non-dropping-particle":"","parse-names":false,"suffix":""},{"dropping-particle":"","family":"Crosignani","given":"Matteo","non-dropping-particle":"","parse-names":false,"suffix":""},{"dropping-particle":"","family":"Eisert","given":"Tim","non-dropping-particle":"","parse-names":false,"suffix":""},{"dropping-particle":"","family":"Steffen","given":"Sascha","non-dropping-particle":"","parse-names":false,"suffix":""}],"container-title":"Annual Review of Financial Economics","id":"ITEM-4","issue":"1","issued":{"date-parts":[["2022","11","1"]]},"page":"21-38","title":"Zombie Lending: Theoretical, International, and Historical Perspectives","type":"article-journal","volume":"14"},"uris":["http://www.mendeley.com/documents/?uuid=69dd94d4-d3e0-426e-b639-253d8aa1d120"]}],"mendeley":{"formattedCitation":"(Acharya et al., 2020, 2022; Caballero et al., 2008; McGowan et al., 2018)","plainTextFormattedCitation":"(Acharya et al., 2020, 2022; Caballero et al., 2008; McGowan et al., 2018)","previouslyFormattedCitation":"(Acharya et al., 2020, 2022; Caballero et al., 2008; McGowan et al., 2018)"},"properties":{"noteIndex":0},"schema":"https://github.com/citation-style-language/schema/raw/master/csl-citation.json"}</w:instrText>
      </w:r>
      <w:r w:rsidR="007620D4" w:rsidRPr="001C2C36">
        <w:rPr>
          <w:rFonts w:cs="Times New Roman"/>
          <w:szCs w:val="24"/>
        </w:rPr>
        <w:fldChar w:fldCharType="separate"/>
      </w:r>
      <w:r w:rsidR="004F03C8" w:rsidRPr="001C2C36">
        <w:rPr>
          <w:rFonts w:cs="Times New Roman"/>
          <w:noProof/>
          <w:szCs w:val="24"/>
        </w:rPr>
        <w:t>(Acharya et al., 2020, 2022; Caballero et al., 2008; McGowan et al., 2018)</w:t>
      </w:r>
      <w:r w:rsidR="007620D4" w:rsidRPr="001C2C36">
        <w:rPr>
          <w:rFonts w:cs="Times New Roman"/>
          <w:szCs w:val="24"/>
        </w:rPr>
        <w:fldChar w:fldCharType="end"/>
      </w:r>
      <w:r w:rsidR="007620D4" w:rsidRPr="001C2C36">
        <w:rPr>
          <w:rFonts w:cs="Times New Roman"/>
          <w:szCs w:val="24"/>
        </w:rPr>
        <w:t>, among other indicators</w:t>
      </w:r>
      <w:r w:rsidR="004555AC" w:rsidRPr="001C2C36">
        <w:rPr>
          <w:rFonts w:cs="Times New Roman"/>
        </w:rPr>
        <w:t xml:space="preserve">. </w:t>
      </w:r>
      <w:r w:rsidR="00D711C6" w:rsidRPr="001C2C36">
        <w:rPr>
          <w:rFonts w:cs="Times New Roman"/>
        </w:rPr>
        <w:t>A</w:t>
      </w:r>
      <w:r w:rsidR="00226F90" w:rsidRPr="001C2C36">
        <w:rPr>
          <w:rFonts w:cs="Times New Roman"/>
        </w:rPr>
        <w:t>lthough</w:t>
      </w:r>
      <w:r w:rsidR="00811693" w:rsidRPr="001C2C36">
        <w:rPr>
          <w:rFonts w:cs="Times New Roman"/>
        </w:rPr>
        <w:t xml:space="preserve"> </w:t>
      </w:r>
      <w:r w:rsidR="00B16146" w:rsidRPr="001C2C36">
        <w:rPr>
          <w:rFonts w:cs="Times New Roman"/>
        </w:rPr>
        <w:t>past</w:t>
      </w:r>
      <w:r w:rsidR="00811693" w:rsidRPr="001C2C36">
        <w:rPr>
          <w:rFonts w:cs="Times New Roman"/>
        </w:rPr>
        <w:t xml:space="preserve"> research provide</w:t>
      </w:r>
      <w:r w:rsidR="00B16146" w:rsidRPr="001C2C36">
        <w:rPr>
          <w:rFonts w:cs="Times New Roman"/>
        </w:rPr>
        <w:t>d</w:t>
      </w:r>
      <w:r w:rsidR="00811693" w:rsidRPr="001C2C36">
        <w:rPr>
          <w:rFonts w:cs="Times New Roman"/>
        </w:rPr>
        <w:t xml:space="preserve"> valuable insight into the role of DCs and government support</w:t>
      </w:r>
      <w:r w:rsidRPr="001C2C36">
        <w:rPr>
          <w:rFonts w:cs="Times New Roman"/>
        </w:rPr>
        <w:t xml:space="preserve">, </w:t>
      </w:r>
      <w:r w:rsidR="00B16146" w:rsidRPr="001C2C36">
        <w:rPr>
          <w:rFonts w:cs="Times New Roman"/>
        </w:rPr>
        <w:t>it</w:t>
      </w:r>
      <w:r w:rsidRPr="001C2C36">
        <w:rPr>
          <w:rFonts w:cs="Times New Roman"/>
        </w:rPr>
        <w:t xml:space="preserve"> has not examined the potential for unintended consequences arising from </w:t>
      </w:r>
      <w:r w:rsidR="008423DE" w:rsidRPr="001C2C36">
        <w:rPr>
          <w:rFonts w:cs="Times New Roman"/>
        </w:rPr>
        <w:t>C</w:t>
      </w:r>
      <w:r w:rsidRPr="001C2C36">
        <w:rPr>
          <w:rFonts w:cs="Times New Roman"/>
        </w:rPr>
        <w:t xml:space="preserve">ovid-19 government support, </w:t>
      </w:r>
      <w:r w:rsidR="008423DE" w:rsidRPr="001C2C36">
        <w:rPr>
          <w:rFonts w:cs="Times New Roman"/>
        </w:rPr>
        <w:t>particularly</w:t>
      </w:r>
      <w:r w:rsidRPr="001C2C36">
        <w:rPr>
          <w:rFonts w:cs="Times New Roman"/>
        </w:rPr>
        <w:t xml:space="preserve"> the interaction between support and DCs</w:t>
      </w:r>
      <w:r w:rsidR="00A40428" w:rsidRPr="001C2C36">
        <w:rPr>
          <w:rFonts w:cs="Times New Roman"/>
        </w:rPr>
        <w:t>.</w:t>
      </w:r>
      <w:r w:rsidRPr="001C2C36">
        <w:rPr>
          <w:rFonts w:cs="Times New Roman"/>
        </w:rPr>
        <w:t xml:space="preserve"> </w:t>
      </w:r>
      <w:r w:rsidR="6D9867B4" w:rsidRPr="001C2C36">
        <w:rPr>
          <w:rFonts w:cs="Times New Roman"/>
        </w:rPr>
        <w:t>Examin</w:t>
      </w:r>
      <w:r w:rsidR="751968EC" w:rsidRPr="001C2C36">
        <w:rPr>
          <w:rFonts w:cs="Times New Roman"/>
        </w:rPr>
        <w:t>in</w:t>
      </w:r>
      <w:r w:rsidR="6D9867B4" w:rsidRPr="001C2C36">
        <w:rPr>
          <w:rFonts w:cs="Times New Roman"/>
        </w:rPr>
        <w:t>g</w:t>
      </w:r>
      <w:r w:rsidR="00F76F81" w:rsidRPr="001C2C36">
        <w:rPr>
          <w:rFonts w:cs="Times New Roman"/>
        </w:rPr>
        <w:t xml:space="preserve"> this</w:t>
      </w:r>
      <w:r w:rsidR="00BD642C" w:rsidRPr="001C2C36">
        <w:rPr>
          <w:rFonts w:cs="Times New Roman"/>
        </w:rPr>
        <w:t xml:space="preserve"> is important, as it could enable </w:t>
      </w:r>
      <w:r w:rsidR="00E4429A" w:rsidRPr="001C2C36">
        <w:rPr>
          <w:rFonts w:cs="Times New Roman"/>
        </w:rPr>
        <w:t xml:space="preserve">us </w:t>
      </w:r>
      <w:r w:rsidR="00BD642C" w:rsidRPr="001C2C36">
        <w:rPr>
          <w:rFonts w:cs="Times New Roman"/>
        </w:rPr>
        <w:t xml:space="preserve">to </w:t>
      </w:r>
      <w:r w:rsidR="00F76F81" w:rsidRPr="001C2C36">
        <w:rPr>
          <w:rFonts w:cs="Times New Roman"/>
        </w:rPr>
        <w:t xml:space="preserve">understand </w:t>
      </w:r>
      <w:r w:rsidR="002B7922" w:rsidRPr="001C2C36">
        <w:rPr>
          <w:rFonts w:cs="Times New Roman"/>
        </w:rPr>
        <w:t xml:space="preserve">the role of government policy intervention in </w:t>
      </w:r>
      <w:r w:rsidR="7A645328" w:rsidRPr="001C2C36">
        <w:rPr>
          <w:rFonts w:cs="Times New Roman"/>
        </w:rPr>
        <w:t>discouragin</w:t>
      </w:r>
      <w:r w:rsidR="74667E91" w:rsidRPr="001C2C36">
        <w:rPr>
          <w:rFonts w:cs="Times New Roman"/>
        </w:rPr>
        <w:t>g</w:t>
      </w:r>
      <w:r w:rsidR="002B7922" w:rsidRPr="001C2C36">
        <w:rPr>
          <w:rFonts w:cs="Times New Roman"/>
        </w:rPr>
        <w:t xml:space="preserve"> SMEs </w:t>
      </w:r>
      <w:r w:rsidR="45440DAF" w:rsidRPr="001C2C36">
        <w:rPr>
          <w:rFonts w:cs="Times New Roman"/>
        </w:rPr>
        <w:t xml:space="preserve">from effectively </w:t>
      </w:r>
      <w:r w:rsidR="74667E91" w:rsidRPr="001C2C36">
        <w:rPr>
          <w:rFonts w:cs="Times New Roman"/>
        </w:rPr>
        <w:t>exercis</w:t>
      </w:r>
      <w:r w:rsidR="7481EEE6" w:rsidRPr="001C2C36">
        <w:rPr>
          <w:rFonts w:cs="Times New Roman"/>
        </w:rPr>
        <w:t>ing</w:t>
      </w:r>
      <w:r w:rsidR="002B7922" w:rsidRPr="001C2C36">
        <w:rPr>
          <w:rFonts w:cs="Times New Roman"/>
        </w:rPr>
        <w:t xml:space="preserve"> DCs</w:t>
      </w:r>
      <w:r w:rsidR="00E4429A" w:rsidRPr="001C2C36">
        <w:rPr>
          <w:rFonts w:cs="Times New Roman"/>
        </w:rPr>
        <w:t xml:space="preserve"> and consequently provide an evidence base for </w:t>
      </w:r>
      <w:r w:rsidR="00147453" w:rsidRPr="001C2C36">
        <w:rPr>
          <w:rFonts w:cs="Times New Roman"/>
        </w:rPr>
        <w:t>better policymaking</w:t>
      </w:r>
      <w:r w:rsidR="002B7922" w:rsidRPr="001C2C36">
        <w:rPr>
          <w:rFonts w:cs="Times New Roman"/>
        </w:rPr>
        <w:t>.</w:t>
      </w:r>
    </w:p>
    <w:p w14:paraId="4C3C4723" w14:textId="028A5B09" w:rsidR="00C751E1" w:rsidRPr="001C2C36" w:rsidRDefault="7B6D9762">
      <w:pPr>
        <w:rPr>
          <w:rFonts w:cs="Times New Roman"/>
        </w:rPr>
      </w:pPr>
      <w:r w:rsidRPr="001C2C36">
        <w:rPr>
          <w:rFonts w:cs="Times New Roman"/>
        </w:rPr>
        <w:t>T</w:t>
      </w:r>
      <w:r w:rsidR="002D63E2" w:rsidRPr="001C2C36">
        <w:rPr>
          <w:rFonts w:cs="Times New Roman"/>
        </w:rPr>
        <w:t xml:space="preserve">his </w:t>
      </w:r>
      <w:r w:rsidR="00A72127" w:rsidRPr="001C2C36">
        <w:rPr>
          <w:rFonts w:cs="Times New Roman"/>
        </w:rPr>
        <w:t>study</w:t>
      </w:r>
      <w:r w:rsidR="002D63E2" w:rsidRPr="001C2C36">
        <w:rPr>
          <w:rFonts w:cs="Times New Roman"/>
        </w:rPr>
        <w:t xml:space="preserve"> aims</w:t>
      </w:r>
      <w:r w:rsidR="496F4BF7" w:rsidRPr="001C2C36">
        <w:rPr>
          <w:rFonts w:cs="Times New Roman"/>
        </w:rPr>
        <w:t xml:space="preserve"> to contribute to </w:t>
      </w:r>
      <w:r w:rsidR="2BFB8D0E" w:rsidRPr="001C2C36">
        <w:rPr>
          <w:rFonts w:cs="Times New Roman"/>
        </w:rPr>
        <w:t>th</w:t>
      </w:r>
      <w:r w:rsidR="6C1F5ABC" w:rsidRPr="001C2C36">
        <w:rPr>
          <w:rFonts w:cs="Times New Roman"/>
        </w:rPr>
        <w:t>ese</w:t>
      </w:r>
      <w:r w:rsidR="2BFB8D0E" w:rsidRPr="001C2C36">
        <w:rPr>
          <w:rFonts w:cs="Times New Roman"/>
        </w:rPr>
        <w:t xml:space="preserve"> gap</w:t>
      </w:r>
      <w:r w:rsidR="76DD310B" w:rsidRPr="001C2C36">
        <w:rPr>
          <w:rFonts w:cs="Times New Roman"/>
        </w:rPr>
        <w:t>s</w:t>
      </w:r>
      <w:r w:rsidR="496F4BF7" w:rsidRPr="001C2C36">
        <w:rPr>
          <w:rFonts w:cs="Times New Roman"/>
        </w:rPr>
        <w:t xml:space="preserve"> in the literature by studying the impact of DCs on employment during the </w:t>
      </w:r>
      <w:r w:rsidR="00DA4DA5" w:rsidRPr="001C2C36">
        <w:rPr>
          <w:rFonts w:cs="Times New Roman"/>
        </w:rPr>
        <w:t xml:space="preserve">Covid-19 </w:t>
      </w:r>
      <w:r w:rsidR="496F4BF7" w:rsidRPr="001C2C36">
        <w:rPr>
          <w:rFonts w:cs="Times New Roman"/>
        </w:rPr>
        <w:t xml:space="preserve">pandemic and the moderating role of government support. </w:t>
      </w:r>
      <w:r w:rsidR="2B5842D5" w:rsidRPr="001C2C36">
        <w:rPr>
          <w:rFonts w:cs="Times New Roman"/>
        </w:rPr>
        <w:t>W</w:t>
      </w:r>
      <w:r w:rsidR="496F4BF7" w:rsidRPr="001C2C36">
        <w:rPr>
          <w:rFonts w:cs="Times New Roman"/>
        </w:rPr>
        <w:t>e question whether the unprecedented government su</w:t>
      </w:r>
      <w:r w:rsidR="00873C0B" w:rsidRPr="001C2C36">
        <w:rPr>
          <w:rFonts w:cs="Times New Roman"/>
        </w:rPr>
        <w:t>p</w:t>
      </w:r>
      <w:r w:rsidR="496F4BF7" w:rsidRPr="001C2C36">
        <w:rPr>
          <w:rFonts w:cs="Times New Roman"/>
        </w:rPr>
        <w:t xml:space="preserve">port could have unintended effects on DCs. To this end, we empirically test hypotheses, informed by dynamic capabilities theory, with </w:t>
      </w:r>
      <w:r w:rsidR="008A4BEA" w:rsidRPr="001C2C36">
        <w:rPr>
          <w:rFonts w:cs="Times New Roman"/>
        </w:rPr>
        <w:t>a</w:t>
      </w:r>
      <w:r w:rsidR="496F4BF7" w:rsidRPr="001C2C36">
        <w:rPr>
          <w:rFonts w:cs="Times New Roman"/>
        </w:rPr>
        <w:t xml:space="preserve"> representative sample of </w:t>
      </w:r>
      <w:r w:rsidR="00966981" w:rsidRPr="001C2C36">
        <w:rPr>
          <w:rFonts w:cs="Times New Roman"/>
        </w:rPr>
        <w:t xml:space="preserve">1,421 </w:t>
      </w:r>
      <w:r w:rsidR="496F4BF7" w:rsidRPr="001C2C36">
        <w:rPr>
          <w:rFonts w:cs="Times New Roman"/>
        </w:rPr>
        <w:t>micro, small and medium-sized enterprises to understand how DCs affect changes in employment during the Covid-19 pandemic and whether the government support moderate</w:t>
      </w:r>
      <w:r w:rsidR="00FD6DA9" w:rsidRPr="001C2C36">
        <w:rPr>
          <w:rFonts w:cs="Times New Roman"/>
        </w:rPr>
        <w:t>s</w:t>
      </w:r>
      <w:r w:rsidR="496F4BF7" w:rsidRPr="001C2C36">
        <w:rPr>
          <w:rFonts w:cs="Times New Roman"/>
        </w:rPr>
        <w:t xml:space="preserve"> this link.</w:t>
      </w:r>
    </w:p>
    <w:p w14:paraId="65485E72" w14:textId="19794A79" w:rsidR="00752C62" w:rsidRPr="001C2C36" w:rsidRDefault="7AE634AE">
      <w:pPr>
        <w:rPr>
          <w:rFonts w:cs="Times New Roman"/>
        </w:rPr>
      </w:pPr>
      <w:r w:rsidRPr="001C2C36">
        <w:rPr>
          <w:rFonts w:cs="Times New Roman"/>
        </w:rPr>
        <w:t xml:space="preserve">The results of the study highlight the positive impact of </w:t>
      </w:r>
      <w:r w:rsidR="00A72D3F" w:rsidRPr="001C2C36">
        <w:rPr>
          <w:rFonts w:cs="Times New Roman"/>
        </w:rPr>
        <w:t>dynamic capabilities</w:t>
      </w:r>
      <w:r w:rsidR="00124D7A" w:rsidRPr="001C2C36">
        <w:rPr>
          <w:rFonts w:cs="Times New Roman"/>
        </w:rPr>
        <w:t xml:space="preserve"> and government support </w:t>
      </w:r>
      <w:r w:rsidRPr="001C2C36">
        <w:rPr>
          <w:rFonts w:cs="Times New Roman"/>
        </w:rPr>
        <w:t xml:space="preserve">on </w:t>
      </w:r>
      <w:r w:rsidR="005911BE" w:rsidRPr="001C2C36">
        <w:rPr>
          <w:rFonts w:cs="Times New Roman"/>
        </w:rPr>
        <w:t>employment</w:t>
      </w:r>
      <w:r w:rsidR="2F60B3C2" w:rsidRPr="001C2C36">
        <w:rPr>
          <w:rFonts w:cs="Times New Roman"/>
        </w:rPr>
        <w:t xml:space="preserve">. </w:t>
      </w:r>
      <w:r w:rsidR="009C430F" w:rsidRPr="001C2C36">
        <w:rPr>
          <w:rFonts w:cs="Times New Roman"/>
        </w:rPr>
        <w:t xml:space="preserve">Most importantly, we show that the moderation effect becomes negative for </w:t>
      </w:r>
      <w:r w:rsidR="00EE152F" w:rsidRPr="001C2C36">
        <w:rPr>
          <w:rFonts w:cs="Times New Roman"/>
        </w:rPr>
        <w:t xml:space="preserve">employment </w:t>
      </w:r>
      <w:r w:rsidR="69E615C1" w:rsidRPr="001C2C36">
        <w:rPr>
          <w:rFonts w:cs="Times New Roman"/>
        </w:rPr>
        <w:t xml:space="preserve">growth </w:t>
      </w:r>
      <w:r w:rsidR="00EE152F" w:rsidRPr="001C2C36">
        <w:rPr>
          <w:rFonts w:cs="Times New Roman"/>
        </w:rPr>
        <w:t>aspirations</w:t>
      </w:r>
      <w:r w:rsidR="009C430F" w:rsidRPr="001C2C36">
        <w:rPr>
          <w:rFonts w:cs="Times New Roman"/>
        </w:rPr>
        <w:t xml:space="preserve"> after the first lockdown</w:t>
      </w:r>
      <w:r w:rsidR="00EF422D" w:rsidRPr="001C2C36">
        <w:rPr>
          <w:rFonts w:cs="Times New Roman"/>
        </w:rPr>
        <w:t xml:space="preserve">, signalling the adverse </w:t>
      </w:r>
      <w:proofErr w:type="gramStart"/>
      <w:r w:rsidR="7ECF29E9" w:rsidRPr="001C2C36">
        <w:rPr>
          <w:rFonts w:cs="Times New Roman"/>
        </w:rPr>
        <w:t>longer term</w:t>
      </w:r>
      <w:proofErr w:type="gramEnd"/>
      <w:r w:rsidR="7ECF29E9" w:rsidRPr="001C2C36">
        <w:rPr>
          <w:rFonts w:cs="Times New Roman"/>
        </w:rPr>
        <w:t xml:space="preserve"> </w:t>
      </w:r>
      <w:r w:rsidR="00EF422D" w:rsidRPr="001C2C36">
        <w:rPr>
          <w:rFonts w:cs="Times New Roman"/>
        </w:rPr>
        <w:t>impact of government support on DCs</w:t>
      </w:r>
      <w:r w:rsidR="009C430F" w:rsidRPr="001C2C36">
        <w:rPr>
          <w:rFonts w:cs="Times New Roman"/>
        </w:rPr>
        <w:t>.</w:t>
      </w:r>
      <w:r w:rsidR="009B3035" w:rsidRPr="001C2C36">
        <w:rPr>
          <w:rFonts w:cs="Times New Roman"/>
        </w:rPr>
        <w:t xml:space="preserve"> </w:t>
      </w:r>
      <w:r w:rsidRPr="001C2C36">
        <w:rPr>
          <w:rFonts w:cs="Times New Roman"/>
        </w:rPr>
        <w:t>From a practical perspective, th</w:t>
      </w:r>
      <w:r w:rsidR="00FC3C1E" w:rsidRPr="001C2C36">
        <w:rPr>
          <w:rFonts w:cs="Times New Roman"/>
        </w:rPr>
        <w:t>is</w:t>
      </w:r>
      <w:r w:rsidRPr="001C2C36">
        <w:rPr>
          <w:rFonts w:cs="Times New Roman"/>
        </w:rPr>
        <w:t xml:space="preserve"> </w:t>
      </w:r>
      <w:r w:rsidR="00957DD7" w:rsidRPr="001C2C36">
        <w:rPr>
          <w:rFonts w:cs="Times New Roman"/>
        </w:rPr>
        <w:t>study</w:t>
      </w:r>
      <w:r w:rsidRPr="001C2C36">
        <w:rPr>
          <w:rFonts w:cs="Times New Roman"/>
        </w:rPr>
        <w:t xml:space="preserve"> thus calls attention to the role of government policy intervention in enabling SMEs to exercise DCs during a crisis and the general importance of DCs </w:t>
      </w:r>
      <w:r w:rsidR="00064561" w:rsidRPr="001C2C36">
        <w:rPr>
          <w:rFonts w:cs="Times New Roman"/>
        </w:rPr>
        <w:t xml:space="preserve">and government support </w:t>
      </w:r>
      <w:r w:rsidRPr="001C2C36">
        <w:rPr>
          <w:rFonts w:cs="Times New Roman"/>
        </w:rPr>
        <w:t>in enabling SMEs to cope with shocks.</w:t>
      </w:r>
    </w:p>
    <w:p w14:paraId="2B337812" w14:textId="46EC378E" w:rsidR="005B1A6C" w:rsidRPr="001C2C36" w:rsidRDefault="7AE634AE" w:rsidP="00217B5A">
      <w:pPr>
        <w:rPr>
          <w:rFonts w:cs="Times New Roman"/>
          <w:szCs w:val="24"/>
        </w:rPr>
      </w:pPr>
      <w:r w:rsidRPr="001C2C36">
        <w:rPr>
          <w:rFonts w:cs="Times New Roman"/>
          <w:szCs w:val="24"/>
        </w:rPr>
        <w:lastRenderedPageBreak/>
        <w:t xml:space="preserve">In carrying out the study, we contribute to the literature on the impact of Covid-19 on SMEs, their resources </w:t>
      </w:r>
      <w:r w:rsidR="005B1A6C" w:rsidRPr="001C2C36">
        <w:rPr>
          <w:rFonts w:cs="Times New Roman"/>
          <w:szCs w:val="24"/>
        </w:rPr>
        <w:fldChar w:fldCharType="begin" w:fldLock="1"/>
      </w:r>
      <w:r w:rsidR="000E4D26" w:rsidRPr="001C2C36">
        <w:rPr>
          <w:rFonts w:cs="Times New Roman"/>
          <w:szCs w:val="24"/>
        </w:rPr>
        <w:instrText>ADDIN CSL_CITATION {"citationItems":[{"id":"ITEM-1","itemData":{"DOI":"10.1177/0266242620947946","ISSN":"17412870","abstract":"How did the great financial crisis (GFC) of 2008–2010 impact on R&amp;D and innovation in the United Kingdom and internationally? What can we learn about the likely innovation effects of the COVID-19 crisis on small and medium enterprises (SME) innovation? Numerous international studies suggest the strong procyclicality of R&amp;D and innovation investments in firms: investment rises in recovery and falls sharply in times of crisis. This procyclicality is driven in firms by both internal financial resources or slack and varying market incentives for innovation. Cash constraints, in particular, may impact most strongly on R&amp;D and innovation investments by smaller firms. In the United Kingdom, the proportion of innovating firms fell by around a third during the GFC and took around four to six years to recover. Recovery was also uneven – notably weaker in some sectors and regions. The COVID-19 crisis seems likely to leave many firms financially weaker, with the most significant impacts on the willingness or ability of SMEs to sustain R&amp;D and innovation. Where firms are able to sustain these investments, however, the evidence from the GFC suggests that they will lead to better survival chances, stronger growth and higher profitability. Some additional financial support for innovation has been announced by the UK government. Whether this will be sufficient to sustain SME levels of innovative activity, however, remains to be seen.","author":[{"dropping-particle":"","family":"Roper","given":"Stephen","non-dropping-particle":"","parse-names":false,"suffix":""},{"dropping-particle":"","family":"Turner","given":"Joanne","non-dropping-particle":"","parse-names":false,"suffix":""}],"container-title":"International Small Business Journal: Researching Entrepreneurship","id":"ITEM-1","issue":"6","issued":{"date-parts":[["2020"]]},"page":"504-514","title":"R&amp;D and innovation after COVID-19: What can we expect? A review of prior research and data trends after the great financial crisis","type":"article-journal","volume":"38"},"uris":["http://www.mendeley.com/documents/?uuid=2cac4048-be3d-4e8a-845b-5fa0702bcaa3","http://www.mendeley.com/documents/?uuid=c3d54955-a23a-487c-acc5-22a800e0747c"]},{"id":"ITEM-2","itemData":{"DOI":"10.1177/0266242620937464","ISSN":"17412870","abstract":"This commentary explores the manner in which the current COVID-19 crisis is affecting key sources of entrepreneurial finance in the United Kingdom. We posit that the unique relational nature of entrepreneurial finance may make it highly susceptible to such a shock owing to the need for face-to-face interaction between investors and entrepreneurs. The article explores this conjecture by scrutinising a real-time data source of equity investments. Our findings suggest that the volume of new equity transactions in the United Kingdom has declined markedly since the outbreak of the COVID-19 pandemic. It appears that seed finance is the main type of entrepreneurial finance most acutely affected by the crisis, which typically goes to the most nascent entrepreneurial start-ups facing the greatest obstacles obtaining finance. Policy makers can utilise these real-time data sources to help inform their strategic policy interventions to assist the firms most affected by crisis events.","author":[{"dropping-particle":"","family":"Brown","given":"Ross","non-dropping-particle":"","parse-names":false,"suffix":""},{"dropping-particle":"","family":"Rocha","given":"Augusto","non-dropping-particle":"","parse-names":false,"suffix":""},{"dropping-particle":"","family":"Cowling","given":"Marc","non-dropping-particle":"","parse-names":false,"suffix":""}],"container-title":"International Small Business Journal: Researching Entrepreneurship","id":"ITEM-2","issue":"5","issued":{"date-parts":[["2020"]]},"page":"380-390","title":"Financing entrepreneurship in times of crisis: Exploring the impact of COVID-19 on the market for entrepreneurial finance in the United Kingdom","type":"article-journal","volume":"38"},"uris":["http://www.mendeley.com/documents/?uuid=78c7f25e-1a23-4863-93f5-19c59b5b3193"]},{"id":"ITEM-3","itemData":{"DOI":"10.1177/0266242620939935","ISSN":"17412870","abstract":"Decolonial philosopher Sylvia Wynter theorises the human animal as formed by both bios and mythoi, or matter and meaning. This article adopts this ontological perspective to explore the effects of the COVID-19 crisis on UK self-employed women and women-owned businesses through an intersectional lens accounting for race, class and gender. We argue that unequal health outcomes from COVID-19 are not solely biological; rather, they are also the outcome of social inequalities. Drawing upon the Wynterian elaboration of Fanon’s work on sociogeny – the shaping of the embodied human experience by the norms of given society – to explain this phenomenon, we contend that the same inequalities emerging in health outcomes will be reflected in entrepreneurship and self-employment. Drawing on Labour Force Survey data for the past decade, we peer through the Wynterian prism of bios and mythoi to argue that marginalised entrepreneurs are likely to experience extreme precarity due to COVID-19 and so require targeted support.","author":[{"dropping-particle":"","family":"Martinez Dy","given":"Angela","non-dropping-particle":"","parse-names":false,"suffix":""},{"dropping-particle":"","family":"Jayawarna","given":"Dilani","non-dropping-particle":"","parse-names":false,"suffix":""}],"container-title":"International Small Business Journal: Researching Entrepreneurship","id":"ITEM-3","issue":"5","issued":{"date-parts":[["2020"]]},"page":"391-403","title":"Bios, mythoi and women entrepreneurs: A Wynterian analysis of the intersectional impacts of the COVID-19 pandemic on self-employed women and women-owned businesses","type":"article-journal","volume":"38"},"uris":["http://www.mendeley.com/documents/?uuid=ad42cb6e-cc0b-4704-9107-78f5979fb8e7","http://www.mendeley.com/documents/?uuid=d1d51712-461e-4973-b5bb-eda9de0f85ea"]},{"id":"ITEM-4","itemData":{"DOI":"10.1177/0266242620945102","ISSN":"17412870","abstract":"As COVID-19 spreads across the globe, a common public policy response has been to enforce the temporary closure of non-essential business activity. In some countries, governments have underwritten a proportion of the wage income for staff forced to furlough or broadened their welfare systems to accommodate newly laid off workers or small business owners. While these actions are helpful, they do not explicitly address the lack of sales trading activity on business income and cash balances. In commentary, we identify what types of businesses have been increasing their cash holdings in the lead up to COVID-19 as an indication of what types of small and medium-sized enterprises (SMEs) are most at risk if the lockdown extends for a protracted period of time. We find that only 39% of the of businesses were bolstering their cash balances leading up to COVID-19 which suggests that 61% of businesses may run out of cash, including 8.6% that had no retained earnings whatsoever with micro firms at particular risk. The importance of precautionary saving for SMEs is critical to enhance resilience when Black Swan events occur.","author":[{"dropping-particle":"","family":"Cowling","given":"Marc","non-dropping-particle":"","parse-names":false,"suffix":""},{"dropping-particle":"","family":"Brown","given":"Ross","non-dropping-particle":"","parse-names":false,"suffix":""},{"dropping-particle":"","family":"Rocha","given":"Augusto","non-dropping-particle":"","parse-names":false,"suffix":""}],"container-title":"International Small Business Journal: Researching Entrepreneurship","id":"ITEM-4","issue":"7","issued":{"date-parts":[["2020"]]},"page":"593-604","title":"Did you save some cash for a rainy COVID-19 day? The crisis and SMEs","type":"article-journal","volume":"38"},"uris":["http://www.mendeley.com/documents/?uuid=8c9e5f33-2070-431d-9945-92ec8dcaffee"]}],"mendeley":{"formattedCitation":"(Brown et al., 2020; Cowling et al., 2020; Martinez Dy and Jayawarna, 2020; Roper and Turner, 2020)","plainTextFormattedCitation":"(Brown et al., 2020; Cowling et al., 2020; Martinez Dy and Jayawarna, 2020; Roper and Turner, 2020)","previouslyFormattedCitation":"(Brown et al., 2020; Cowling et al., 2020; Martinez Dy and Jayawarna, 2020; Roper and Turner, 2020)"},"properties":{"noteIndex":0},"schema":"https://github.com/citation-style-language/schema/raw/master/csl-citation.json"}</w:instrText>
      </w:r>
      <w:r w:rsidR="005B1A6C" w:rsidRPr="001C2C36">
        <w:rPr>
          <w:rFonts w:cs="Times New Roman"/>
          <w:szCs w:val="24"/>
        </w:rPr>
        <w:fldChar w:fldCharType="separate"/>
      </w:r>
      <w:r w:rsidR="00C44456" w:rsidRPr="001C2C36">
        <w:rPr>
          <w:rFonts w:cs="Times New Roman"/>
          <w:noProof/>
          <w:szCs w:val="24"/>
        </w:rPr>
        <w:t>(Brown et al., 2020; Cowling et al., 2020; Martinez Dy and Jayawarna, 2020; Roper and Turner, 2020)</w:t>
      </w:r>
      <w:r w:rsidR="005B1A6C" w:rsidRPr="001C2C36">
        <w:rPr>
          <w:rFonts w:cs="Times New Roman"/>
          <w:szCs w:val="24"/>
        </w:rPr>
        <w:fldChar w:fldCharType="end"/>
      </w:r>
      <w:r w:rsidRPr="001C2C36">
        <w:rPr>
          <w:rFonts w:cs="Times New Roman"/>
          <w:szCs w:val="24"/>
        </w:rPr>
        <w:t xml:space="preserve">, business models </w:t>
      </w:r>
      <w:r w:rsidR="005B1A6C" w:rsidRPr="001C2C36">
        <w:rPr>
          <w:rFonts w:cs="Times New Roman"/>
          <w:szCs w:val="24"/>
        </w:rPr>
        <w:fldChar w:fldCharType="begin" w:fldLock="1"/>
      </w:r>
      <w:r w:rsidR="0078158A" w:rsidRPr="001C2C36">
        <w:rPr>
          <w:rFonts w:cs="Times New Roman"/>
          <w:szCs w:val="24"/>
        </w:rPr>
        <w:instrText>ADDIN CSL_CITATION {"citationItems":[{"id":"ITEM-1","itemData":{"DOI":"10.1177/02662426211055447","ISSN":"17412870","abstract":"This article investigates how start-ups have been affected by, and have responded to, the COVID-19 pandemic by analysing interview data from 32 Australian start-ups during Australia’s second wave of COVID-19. A framework and visualisation were developed, capturing unexplored heterogeneity within these start-ups, depending whether the emphasis was upon opportunities or adversity, and the type and extent of business model changes. Six start-up types were identified: stable beneficiaries, business-as-usual continuers, digital adjusters, adversity survivors, opportunity graspers and lemonade makers. The findings suggest that most start-ups responded to the crisis through business model changes because of crisis-induced opportunities and crisis-induced adversity The anaysis found that the interplay between firm size and crisis influences whether start-ups focus on business model adaptation or business model innovation or a combination of both We thus contribute to the literature on business models, crisis management and a newly emerging field focusing on the implications of the COVID-19 pandemic for start-ups.","author":[{"dropping-particle":"","family":"Guckenbiehl","given":"Peter","non-dropping-particle":"","parse-names":false,"suffix":""},{"dropping-particle":"","family":"Corral de Zubielqui","given":"Graciela","non-dropping-particle":"","parse-names":false,"suffix":""}],"container-title":"International Small Business Journal: Researching Entrepreneurship","id":"ITEM-1","issue":"2","issued":{"date-parts":[["2022"]]},"page":"150-177","title":"Start-ups’ business model changes during the COVID-19 pandemic: Counteracting adversities and pursuing opportunities","type":"article-journal","volume":"40"},"uris":["http://www.mendeley.com/documents/?uuid=7c907787-92a7-4edc-becb-913b273f0e0c"]}],"mendeley":{"formattedCitation":"(Guckenbiehl and Corral de Zubielqui, 2022)","plainTextFormattedCitation":"(Guckenbiehl and Corral de Zubielqui, 2022)","previouslyFormattedCitation":"(Guckenbiehl and Corral de Zubielqui, 2022)"},"properties":{"noteIndex":0},"schema":"https://github.com/citation-style-language/schema/raw/master/csl-citation.json"}</w:instrText>
      </w:r>
      <w:r w:rsidR="005B1A6C" w:rsidRPr="001C2C36">
        <w:rPr>
          <w:rFonts w:cs="Times New Roman"/>
          <w:szCs w:val="24"/>
        </w:rPr>
        <w:fldChar w:fldCharType="separate"/>
      </w:r>
      <w:r w:rsidRPr="001C2C36">
        <w:rPr>
          <w:rFonts w:cs="Times New Roman"/>
          <w:noProof/>
          <w:szCs w:val="24"/>
        </w:rPr>
        <w:t>(Guckenbiehl and Corral de Zubielqui, 2022)</w:t>
      </w:r>
      <w:r w:rsidR="005B1A6C" w:rsidRPr="001C2C36">
        <w:rPr>
          <w:rFonts w:cs="Times New Roman"/>
          <w:szCs w:val="24"/>
        </w:rPr>
        <w:fldChar w:fldCharType="end"/>
      </w:r>
      <w:r w:rsidRPr="001C2C36">
        <w:rPr>
          <w:rFonts w:cs="Times New Roman"/>
          <w:szCs w:val="24"/>
        </w:rPr>
        <w:t xml:space="preserve">, government support </w:t>
      </w:r>
      <w:r w:rsidR="005B1A6C" w:rsidRPr="001C2C36">
        <w:rPr>
          <w:rFonts w:cs="Times New Roman"/>
          <w:szCs w:val="24"/>
        </w:rPr>
        <w:fldChar w:fldCharType="begin" w:fldLock="1"/>
      </w:r>
      <w:r w:rsidR="0078158A" w:rsidRPr="001C2C36">
        <w:rPr>
          <w:rFonts w:cs="Times New Roman"/>
          <w:szCs w:val="24"/>
        </w:rPr>
        <w:instrText>ADDIN CSL_CITATION {"citationItems":[{"id":"ITEM-1","itemData":{"DOI":"10.1177/0266242620986763","ISSN":"17412870","abstract":"It is well documented that the self-employed experience higher levels of happiness than waged employees even when their incomes are lower. Given the UK government’s asymmetric treatment of waged workers and the self-employed, we use a unique Covid-19 period data set which covers the months leading up to the March lockdown and the months just after to assess three aspects of the Covid-19 crisis on the self-employed: hours of work reductions, the associated income reductions and the effects of both on subjective well-being. Our findings show the large and disproportionate reductions in hours and income for the self-employed directly contributed to a deterioration in their levels of subjective well-being compared to waged workers. It appears that their resilience was broken when faced with the reality of dealing with rare events, particularly when the UK welfare support response was asymmetric and favouring waged employees.","author":[{"dropping-particle":"","family":"Yue","given":"Wei","non-dropping-particle":"","parse-names":false,"suffix":""},{"dropping-particle":"","family":"Cowling","given":"Marc","non-dropping-particle":"","parse-names":false,"suffix":""}],"container-title":"International Small Business Journal: Researching Entrepreneurship","id":"ITEM-1","issue":"2","issued":{"date-parts":[["2021"]]},"page":"93-108","title":"The Covid-19 lockdown in the United Kingdom and subjective well-being: Have the self-employed suffered more due to hours and income reductions?","type":"article-journal","volume":"39"},"uris":["http://www.mendeley.com/documents/?uuid=72c80b3a-29c1-4cba-81fc-71657a96e42d"]},{"id":"ITEM-2","itemData":{"DOI":"10.1177/02662426211058050","ISSN":"17412870","abstract":"The UK has had a commitment to loan guarantee schemes since 1981 when it introduced the Small Firms Loan Guarantee (SFLG) scheme to address access to debt finance issues for smaller firms. Over the last 40 years, its support has been unwavering, and in the Covid-19 crisis, it once again turned to loan guarantees as a means of supporting smaller firms through the crisis-induced slump in trading activities. Of its three core Covid-19 guarantee schemes, the Bounce Back Loan (BBL) scheme was the most numerous with 1,531,095 loans issued amounting to a total of £46.5bn in lending. The BBL scheme provided a 100% capital guarantee on loans between £2,000 and £50,000, and firms were allowed to borrow up to 25% of their trading income, with a fixed interest rate of 2.5% of which the first years interest was paid by the government to the lending bank. Our findings suggest that the government losses may range between £7bn and £12bn depending on the underlying assumptions; however, we estimate Covid-19 guarantee schemes may have protected 118,639 businesses and 1,117,849 jobs. Looking to the future, we suggest that a new loan guarantee is justified that more resembles the former SFLG than the restrictive Enterprise Finance Guarantee (EFG) as more than one million small businesses will be heavily indebted and unable to borrow to invest in future growth opportunities. This would support the ‘levelling-up’ agenda and help prevent a post-Covid-19 low investment–low growth scenario.","author":[{"dropping-particle":"","family":"Cowling","given":"Marc","non-dropping-particle":"","parse-names":false,"suffix":""},{"dropping-particle":"","family":"Wilson","given":"Nick","non-dropping-particle":"","parse-names":false,"suffix":""},{"dropping-particle":"","family":"Nightingale","given":"Paul","non-dropping-particle":"","parse-names":false,"suffix":""},{"dropping-particle":"","family":"Kacer","given":"Marek","non-dropping-particle":"","parse-names":false,"suffix":""}],"container-title":"International Small Business Journal: Researching Entrepreneurship","id":"ITEM-2","issue":"5","issued":{"date-parts":[["2022"]]},"page":"650-666","title":"Predicting future default on the Covid-19 bounce back loan scheme: The £46.5 billion question","type":"article-journal","volume":"40"},"uris":["http://www.mendeley.com/documents/?uuid=a8b4bd6b-83fe-4122-86a4-1c8b2c9a0907","http://www.mendeley.com/documents/?uuid=865ca792-3d4f-4aa3-aed2-0c1459288f3c"]}],"mendeley":{"formattedCitation":"(Cowling et al., 2022; Yue and Cowling, 2021)","plainTextFormattedCitation":"(Cowling et al., 2022; Yue and Cowling, 2021)","previouslyFormattedCitation":"(Cowling et al., 2022; Yue and Cowling, 2021)"},"properties":{"noteIndex":0},"schema":"https://github.com/citation-style-language/schema/raw/master/csl-citation.json"}</w:instrText>
      </w:r>
      <w:r w:rsidR="005B1A6C" w:rsidRPr="001C2C36">
        <w:rPr>
          <w:rFonts w:cs="Times New Roman"/>
          <w:szCs w:val="24"/>
        </w:rPr>
        <w:fldChar w:fldCharType="separate"/>
      </w:r>
      <w:r w:rsidRPr="001C2C36">
        <w:rPr>
          <w:rFonts w:cs="Times New Roman"/>
          <w:noProof/>
          <w:szCs w:val="24"/>
        </w:rPr>
        <w:t>(Cowling et al., 2022; Yue and Cowling, 2021)</w:t>
      </w:r>
      <w:r w:rsidR="005B1A6C" w:rsidRPr="001C2C36">
        <w:rPr>
          <w:rFonts w:cs="Times New Roman"/>
          <w:szCs w:val="24"/>
        </w:rPr>
        <w:fldChar w:fldCharType="end"/>
      </w:r>
      <w:r w:rsidRPr="001C2C36">
        <w:rPr>
          <w:rFonts w:cs="Times New Roman"/>
          <w:szCs w:val="24"/>
        </w:rPr>
        <w:t xml:space="preserve"> and employment </w:t>
      </w:r>
      <w:r w:rsidR="005B1A6C" w:rsidRPr="001C2C36">
        <w:rPr>
          <w:rFonts w:cs="Times New Roman"/>
          <w:szCs w:val="24"/>
        </w:rPr>
        <w:fldChar w:fldCharType="begin" w:fldLock="1"/>
      </w:r>
      <w:r w:rsidR="005B1A6C" w:rsidRPr="001C2C36">
        <w:rPr>
          <w:rFonts w:cs="Times New Roman"/>
          <w:szCs w:val="24"/>
        </w:rPr>
        <w:instrText>ADDIN CSL_CITATION {"citationItems":[{"id":"ITEM-1","itemData":{"DOI":"10.1177/0266242621989326","ISSN":"17412870","abstract":"In this commentary, we trace the economic and spatial consequences of the Covid-19 pandemic in terms of potential business failure and the associated job losses across the 100 largest cities and towns in the United Kingdom (UK). The article draws on UK survey data of 1500 firms of different size classes examining levels of firm-level precautionary savings. On business failure risk, we find a clear and unequal impact on poorer northern and peripheral urban areas of the UK, indicative of weak levels of regional resilience, but a more random distribution in terms of job losses. Micro firms and the largest firms are the greatest drivers of aggregate job losses. We argue that spatially blind enterprise policies are insufficient to tackle the crisis and better targeted regional policies will be paramount in the future to help mitigate the scarring effects of the Covid-19 pandemic in terms of firm failures and the attendant job losses. We conclude that Covid-19 has made the stated intention of the current government’s ambition to ‘level up’ the forgotten and left-behind towns and cities of the UK an even more distant policy objective than prior to the crisis.","author":[{"dropping-particle":"","family":"Brown","given":"Ross","non-dropping-particle":"","parse-names":false,"suffix":""},{"dropping-particle":"","family":"Cowling","given":"Marc","non-dropping-particle":"","parse-names":false,"suffix":""}],"container-title":"International Small Business Journal: Researching Entrepreneurship","id":"ITEM-1","issue":"4","issued":{"date-parts":[["2021"]]},"page":"319-329","title":"The geographical impact of the Covid-19 crisis on precautionary savings, firm survival and jobs: Evidence from the United Kingdom’s 100 largest towns and cities","type":"article-journal","volume":"39"},"uris":["http://www.mendeley.com/documents/?uuid=bd47ce4e-4c17-4a4b-99fc-b1801cc1b257","http://www.mendeley.com/documents/?uuid=d24274f9-34a3-444a-89ad-7e1a3e886f0b"]},{"id":"ITEM-2","itemData":{"DOI":"10.1177/02662426211058050","ISSN":"17412870","abstract":"The UK has had a commitment to loan guarantee schemes since 1981 when it introduced the Small Firms Loan Guarantee (SFLG) scheme to address access to debt finance issues for smaller firms. Over the last 40 years, its support has been unwavering, and in the Covid-19 crisis, it once again turned to loan guarantees as a means of supporting smaller firms through the crisis-induced slump in trading activities. Of its three core Covid-19 guarantee schemes, the Bounce Back Loan (BBL) scheme was the most numerous with 1,531,095 loans issued amounting to a total of £46.5bn in lending. The BBL scheme provided a 100% capital guarantee on loans between £2,000 and £50,000, and firms were allowed to borrow up to 25% of their trading income, with a fixed interest rate of 2.5% of which the first years interest was paid by the government to the lending bank. Our findings suggest that the government losses may range between £7bn and £12bn depending on the underlying assumptions; however, we estimate Covid-19 guarantee schemes may have protected 118,639 businesses and 1,117,849 jobs. Looking to the future, we suggest that a new loan guarantee is justified that more resembles the former SFLG than the restrictive Enterprise Finance Guarantee (EFG) as more than one million small businesses will be heavily indebted and unable to borrow to invest in future growth opportunities. This would support the ‘levelling-up’ agenda and help prevent a post-Covid-19 low investment–low growth scenario.","author":[{"dropping-particle":"","family":"Cowling","given":"Marc","non-dropping-particle":"","parse-names":false,"suffix":""},{"dropping-particle":"","family":"Wilson","given":"Nick","non-dropping-particle":"","parse-names":false,"suffix":""},{"dropping-particle":"","family":"Nightingale","given":"Paul","non-dropping-particle":"","parse-names":false,"suffix":""},{"dropping-particle":"","family":"Kacer","given":"Marek","non-dropping-particle":"","parse-names":false,"suffix":""}],"container-title":"International Small Business Journal: Researching Entrepreneurship","id":"ITEM-2","issue":"5","issued":{"date-parts":[["2022"]]},"page":"650-666","title":"Predicting future default on the Covid-19 bounce back loan scheme: The £46.5 billion question","type":"article-journal","volume":"40"},"uris":["http://www.mendeley.com/documents/?uuid=a8b4bd6b-83fe-4122-86a4-1c8b2c9a0907","http://www.mendeley.com/documents/?uuid=865ca792-3d4f-4aa3-aed2-0c1459288f3c"]}],"mendeley":{"formattedCitation":"(Brown and Cowling, 2021; Cowling et al., 2022)","plainTextFormattedCitation":"(Brown and Cowling, 2021; Cowling et al., 2022)","previouslyFormattedCitation":"(Brown and Cowling, 2021; Cowling et al., 2022)"},"properties":{"noteIndex":0},"schema":"https://github.com/citation-style-language/schema/raw/master/csl-citation.json"}</w:instrText>
      </w:r>
      <w:r w:rsidR="005B1A6C" w:rsidRPr="001C2C36">
        <w:rPr>
          <w:rFonts w:cs="Times New Roman"/>
          <w:szCs w:val="24"/>
        </w:rPr>
        <w:fldChar w:fldCharType="separate"/>
      </w:r>
      <w:r w:rsidRPr="001C2C36">
        <w:rPr>
          <w:rFonts w:cs="Times New Roman"/>
          <w:noProof/>
          <w:szCs w:val="24"/>
        </w:rPr>
        <w:t>(Brown and Cowling, 2021; Cowling et al., 2022)</w:t>
      </w:r>
      <w:r w:rsidR="005B1A6C" w:rsidRPr="001C2C36">
        <w:rPr>
          <w:rFonts w:cs="Times New Roman"/>
          <w:szCs w:val="24"/>
        </w:rPr>
        <w:fldChar w:fldCharType="end"/>
      </w:r>
      <w:r w:rsidRPr="001C2C36">
        <w:rPr>
          <w:rFonts w:cs="Times New Roman"/>
          <w:szCs w:val="24"/>
        </w:rPr>
        <w:t>. We draw on theory and empirical results from past studies in these areas to develop our hypotheses linking DCs</w:t>
      </w:r>
      <w:r w:rsidR="004E5DAC" w:rsidRPr="001C2C36">
        <w:rPr>
          <w:rFonts w:cs="Times New Roman"/>
          <w:szCs w:val="24"/>
        </w:rPr>
        <w:t>,</w:t>
      </w:r>
      <w:r w:rsidRPr="001C2C36">
        <w:rPr>
          <w:rFonts w:cs="Times New Roman"/>
          <w:szCs w:val="24"/>
        </w:rPr>
        <w:t xml:space="preserve"> government support and employment. Our extensive micro-level data </w:t>
      </w:r>
      <w:r w:rsidR="00123937" w:rsidRPr="001C2C36">
        <w:rPr>
          <w:rFonts w:cs="Times New Roman"/>
          <w:szCs w:val="24"/>
        </w:rPr>
        <w:t>further</w:t>
      </w:r>
      <w:r w:rsidR="004E5DAC" w:rsidRPr="001C2C36">
        <w:rPr>
          <w:rFonts w:cs="Times New Roman"/>
          <w:szCs w:val="24"/>
        </w:rPr>
        <w:t xml:space="preserve"> </w:t>
      </w:r>
      <w:r w:rsidRPr="001C2C36">
        <w:rPr>
          <w:rFonts w:cs="Times New Roman"/>
          <w:szCs w:val="24"/>
        </w:rPr>
        <w:t xml:space="preserve">supplement and extend more aggregate-level studies on employment dynamics </w:t>
      </w:r>
      <w:r w:rsidR="005B1A6C" w:rsidRPr="001C2C36">
        <w:rPr>
          <w:rFonts w:cs="Times New Roman"/>
          <w:szCs w:val="24"/>
        </w:rPr>
        <w:fldChar w:fldCharType="begin" w:fldLock="1"/>
      </w:r>
      <w:r w:rsidR="005B1A6C" w:rsidRPr="001C2C36">
        <w:rPr>
          <w:rFonts w:cs="Times New Roman"/>
          <w:szCs w:val="24"/>
        </w:rPr>
        <w:instrText>ADDIN CSL_CITATION {"citationItems":[{"id":"ITEM-1","itemData":{"DOI":"10.1177/0266242621989326","ISSN":"17412870","abstract":"In this commentary, we trace the economic and spatial consequences of the Covid-19 pandemic in terms of potential business failure and the associated job losses across the 100 largest cities and towns in the United Kingdom (UK). The article draws on UK survey data of 1500 firms of different size classes examining levels of firm-level precautionary savings. On business failure risk, we find a clear and unequal impact on poorer northern and peripheral urban areas of the UK, indicative of weak levels of regional resilience, but a more random distribution in terms of job losses. Micro firms and the largest firms are the greatest drivers of aggregate job losses. We argue that spatially blind enterprise policies are insufficient to tackle the crisis and better targeted regional policies will be paramount in the future to help mitigate the scarring effects of the Covid-19 pandemic in terms of firm failures and the attendant job losses. We conclude that Covid-19 has made the stated intention of the current government’s ambition to ‘level up’ the forgotten and left-behind towns and cities of the UK an even more distant policy objective than prior to the crisis.","author":[{"dropping-particle":"","family":"Brown","given":"Ross","non-dropping-particle":"","parse-names":false,"suffix":""},{"dropping-particle":"","family":"Cowling","given":"Marc","non-dropping-particle":"","parse-names":false,"suffix":""}],"container-title":"International Small Business Journal: Researching Entrepreneurship","id":"ITEM-1","issue":"4","issued":{"date-parts":[["2021"]]},"page":"319-329","title":"The geographical impact of the Covid-19 crisis on precautionary savings, firm survival and jobs: Evidence from the United Kingdom’s 100 largest towns and cities","type":"article-journal","volume":"39"},"uris":["http://www.mendeley.com/documents/?uuid=d24274f9-34a3-444a-89ad-7e1a3e886f0b","http://www.mendeley.com/documents/?uuid=bd47ce4e-4c17-4a4b-99fc-b1801cc1b257"]},{"id":"ITEM-2","itemData":{"DOI":"10.1177/02662426211058050","ISSN":"17412870","abstract":"The UK has had a commitment to loan guarantee schemes since 1981 when it introduced the Small Firms Loan Guarantee (SFLG) scheme to address access to debt finance issues for smaller firms. Over the last 40 years, its support has been unwavering, and in the Covid-19 crisis, it once again turned to loan guarantees as a means of supporting smaller firms through the crisis-induced slump in trading activities. Of its three core Covid-19 guarantee schemes, the Bounce Back Loan (BBL) scheme was the most numerous with 1,531,095 loans issued amounting to a total of £46.5bn in lending. The BBL scheme provided a 100% capital guarantee on loans between £2,000 and £50,000, and firms were allowed to borrow up to 25% of their trading income, with a fixed interest rate of 2.5% of which the first years interest was paid by the government to the lending bank. Our findings suggest that the government losses may range between £7bn and £12bn depending on the underlying assumptions; however, we estimate Covid-19 guarantee schemes may have protected 118,639 businesses and 1,117,849 jobs. Looking to the future, we suggest that a new loan guarantee is justified that more resembles the former SFLG than the restrictive Enterprise Finance Guarantee (EFG) as more than one million small businesses will be heavily indebted and unable to borrow to invest in future growth opportunities. This would support the ‘levelling-up’ agenda and help prevent a post-Covid-19 low investment–low growth scenario.","author":[{"dropping-particle":"","family":"Cowling","given":"Marc","non-dropping-particle":"","parse-names":false,"suffix":""},{"dropping-particle":"","family":"Wilson","given":"Nick","non-dropping-particle":"","parse-names":false,"suffix":""},{"dropping-particle":"","family":"Nightingale","given":"Paul","non-dropping-particle":"","parse-names":false,"suffix":""},{"dropping-particle":"","family":"Kacer","given":"Marek","non-dropping-particle":"","parse-names":false,"suffix":""}],"container-title":"International Small Business Journal: Researching Entrepreneurship","id":"ITEM-2","issue":"5","issued":{"date-parts":[["2022"]]},"page":"650-666","title":"Predicting future default on the Covid-19 bounce back loan scheme: The £46.5 billion question","type":"article-journal","volume":"40"},"uris":["http://www.mendeley.com/documents/?uuid=a8b4bd6b-83fe-4122-86a4-1c8b2c9a0907","http://www.mendeley.com/documents/?uuid=865ca792-3d4f-4aa3-aed2-0c1459288f3c","http://www.mendeley.com/documents/?uuid=0b856f4b-350e-4163-a1a4-9fd4a08d4062"]}],"mendeley":{"formattedCitation":"(Brown and Cowling, 2021; Cowling et al., 2022)","plainTextFormattedCitation":"(Brown and Cowling, 2021; Cowling et al., 2022)","previouslyFormattedCitation":"(Brown and Cowling, 2021; Cowling et al., 2022)"},"properties":{"noteIndex":0},"schema":"https://github.com/citation-style-language/schema/raw/master/csl-citation.json"}</w:instrText>
      </w:r>
      <w:r w:rsidR="005B1A6C" w:rsidRPr="001C2C36">
        <w:rPr>
          <w:rFonts w:cs="Times New Roman"/>
          <w:szCs w:val="24"/>
        </w:rPr>
        <w:fldChar w:fldCharType="separate"/>
      </w:r>
      <w:r w:rsidRPr="001C2C36">
        <w:rPr>
          <w:rFonts w:cs="Times New Roman"/>
          <w:noProof/>
          <w:szCs w:val="24"/>
        </w:rPr>
        <w:t>(Brown and Cowling, 2021; Cowling et al., 2022)</w:t>
      </w:r>
      <w:r w:rsidR="005B1A6C" w:rsidRPr="001C2C36">
        <w:rPr>
          <w:rFonts w:cs="Times New Roman"/>
          <w:szCs w:val="24"/>
        </w:rPr>
        <w:fldChar w:fldCharType="end"/>
      </w:r>
      <w:r w:rsidR="000F5B7F" w:rsidRPr="001C2C36">
        <w:rPr>
          <w:rFonts w:cs="Times New Roman"/>
          <w:szCs w:val="24"/>
        </w:rPr>
        <w:t xml:space="preserve"> and</w:t>
      </w:r>
      <w:r w:rsidR="007B38FB" w:rsidRPr="001C2C36">
        <w:rPr>
          <w:rFonts w:cs="Times New Roman"/>
          <w:szCs w:val="24"/>
        </w:rPr>
        <w:t xml:space="preserve"> enable</w:t>
      </w:r>
      <w:r w:rsidRPr="001C2C36">
        <w:rPr>
          <w:rFonts w:cs="Times New Roman"/>
          <w:szCs w:val="24"/>
        </w:rPr>
        <w:t xml:space="preserve"> </w:t>
      </w:r>
      <w:r w:rsidR="000F5B7F" w:rsidRPr="001C2C36">
        <w:rPr>
          <w:rFonts w:cs="Times New Roman"/>
          <w:szCs w:val="24"/>
        </w:rPr>
        <w:t>captur</w:t>
      </w:r>
      <w:r w:rsidR="007B38FB" w:rsidRPr="001C2C36">
        <w:rPr>
          <w:rFonts w:cs="Times New Roman"/>
          <w:szCs w:val="24"/>
        </w:rPr>
        <w:t>ing</w:t>
      </w:r>
      <w:r w:rsidR="000F5B7F" w:rsidRPr="001C2C36">
        <w:rPr>
          <w:rFonts w:cs="Times New Roman"/>
          <w:szCs w:val="24"/>
        </w:rPr>
        <w:t xml:space="preserve"> a broader range of support mechanisms than past studies </w:t>
      </w:r>
      <w:r w:rsidR="000F5B7F" w:rsidRPr="001C2C36">
        <w:rPr>
          <w:rFonts w:cs="Times New Roman"/>
          <w:szCs w:val="24"/>
        </w:rPr>
        <w:fldChar w:fldCharType="begin" w:fldLock="1"/>
      </w:r>
      <w:r w:rsidR="000F5B7F" w:rsidRPr="001C2C36">
        <w:rPr>
          <w:rFonts w:cs="Times New Roman"/>
          <w:szCs w:val="24"/>
        </w:rPr>
        <w:instrText>ADDIN CSL_CITATION {"citationItems":[{"id":"ITEM-1","itemData":{"DOI":"10.1177/02662426211058050","ISSN":"17412870","abstract":"The UK has had a commitment to loan guarantee schemes since 1981 when it introduced the Small Firms Loan Guarantee (SFLG) scheme to address access to debt finance issues for smaller firms. Over the last 40 years, its support has been unwavering, and in the Covid-19 crisis, it once again turned to loan guarantees as a means of supporting smaller firms through the crisis-induced slump in trading activities. Of its three core Covid-19 guarantee schemes, the Bounce Back Loan (BBL) scheme was the most numerous with 1,531,095 loans issued amounting to a total of £46.5bn in lending. The BBL scheme provided a 100% capital guarantee on loans between £2,000 and £50,000, and firms were allowed to borrow up to 25% of their trading income, with a fixed interest rate of 2.5% of which the first years interest was paid by the government to the lending bank. Our findings suggest that the government losses may range between £7bn and £12bn depending on the underlying assumptions; however, we estimate Covid-19 guarantee schemes may have protected 118,639 businesses and 1,117,849 jobs. Looking to the future, we suggest that a new loan guarantee is justified that more resembles the former SFLG than the restrictive Enterprise Finance Guarantee (EFG) as more than one million small businesses will be heavily indebted and unable to borrow to invest in future growth opportunities. This would support the ‘levelling-up’ agenda and help prevent a post-Covid-19 low investment–low growth scenario.","author":[{"dropping-particle":"","family":"Cowling","given":"Marc","non-dropping-particle":"","parse-names":false,"suffix":""},{"dropping-particle":"","family":"Wilson","given":"Nick","non-dropping-particle":"","parse-names":false,"suffix":""},{"dropping-particle":"","family":"Nightingale","given":"Paul","non-dropping-particle":"","parse-names":false,"suffix":""},{"dropping-particle":"","family":"Kacer","given":"Marek","non-dropping-particle":"","parse-names":false,"suffix":""}],"container-title":"International Small Business Journal: Researching Entrepreneurship","id":"ITEM-1","issue":"5","issued":{"date-parts":[["2022"]]},"page":"650-666","title":"Predicting future default on the Covid-19 bounce back loan scheme: The £46.5 billion question","type":"article-journal","volume":"40"},"uris":["http://www.mendeley.com/documents/?uuid=a8b4bd6b-83fe-4122-86a4-1c8b2c9a0907","http://www.mendeley.com/documents/?uuid=865ca792-3d4f-4aa3-aed2-0c1459288f3c"]},{"id":"ITEM-2","itemData":{"DOI":"10.1177/0266242620986763","ISSN":"17412870","abstract":"It is well documented that the self-employed experience higher levels of happiness than waged employees even when their incomes are lower. Given the UK government’s asymmetric treatment of waged workers and the self-employed, we use a unique Covid-19 period data set which covers the months leading up to the March lockdown and the months just after to assess three aspects of the Covid-19 crisis on the self-employed: hours of work reductions, the associated income reductions and the effects of both on subjective well-being. Our findings show the large and disproportionate reductions in hours and income for the self-employed directly contributed to a deterioration in their levels of subjective well-being compared to waged workers. It appears that their resilience was broken when faced with the reality of dealing with rare events, particularly when the UK welfare support response was asymmetric and favouring waged employees.","author":[{"dropping-particle":"","family":"Yue","given":"Wei","non-dropping-particle":"","parse-names":false,"suffix":""},{"dropping-particle":"","family":"Cowling","given":"Marc","non-dropping-particle":"","parse-names":false,"suffix":""}],"container-title":"International Small Business Journal: Researching Entrepreneurship","id":"ITEM-2","issue":"2","issued":{"date-parts":[["2021"]]},"page":"93-108","title":"The Covid-19 lockdown in the United Kingdom and subjective well-being: Have the self-employed suffered more due to hours and income reductions?","type":"article-journal","volume":"39"},"uris":["http://www.mendeley.com/documents/?uuid=72c80b3a-29c1-4cba-81fc-71657a96e42d"]}],"mendeley":{"formattedCitation":"(Cowling et al., 2022; Yue and Cowling, 2021)","plainTextFormattedCitation":"(Cowling et al., 2022; Yue and Cowling, 2021)","previouslyFormattedCitation":"(Cowling et al., 2022; Yue and Cowling, 2021)"},"properties":{"noteIndex":0},"schema":"https://github.com/citation-style-language/schema/raw/master/csl-citation.json"}</w:instrText>
      </w:r>
      <w:r w:rsidR="000F5B7F" w:rsidRPr="001C2C36">
        <w:rPr>
          <w:rFonts w:cs="Times New Roman"/>
          <w:szCs w:val="24"/>
        </w:rPr>
        <w:fldChar w:fldCharType="separate"/>
      </w:r>
      <w:r w:rsidR="000F5B7F" w:rsidRPr="001C2C36">
        <w:rPr>
          <w:rFonts w:cs="Times New Roman"/>
          <w:noProof/>
          <w:szCs w:val="24"/>
        </w:rPr>
        <w:t>(Cowling et al., 2022; Yue and Cowling, 2021)</w:t>
      </w:r>
      <w:r w:rsidR="000F5B7F" w:rsidRPr="001C2C36">
        <w:rPr>
          <w:rFonts w:cs="Times New Roman"/>
          <w:szCs w:val="24"/>
        </w:rPr>
        <w:fldChar w:fldCharType="end"/>
      </w:r>
      <w:r w:rsidR="000F5B7F" w:rsidRPr="001C2C36">
        <w:rPr>
          <w:rFonts w:cs="Times New Roman"/>
          <w:szCs w:val="24"/>
        </w:rPr>
        <w:t xml:space="preserve">. </w:t>
      </w:r>
      <w:r w:rsidRPr="001C2C36">
        <w:rPr>
          <w:rFonts w:cs="Times New Roman"/>
          <w:szCs w:val="24"/>
        </w:rPr>
        <w:t xml:space="preserve">We also contribute to the DCs literature, building on the work of </w:t>
      </w:r>
      <w:proofErr w:type="spellStart"/>
      <w:r w:rsidRPr="001C2C36">
        <w:rPr>
          <w:rFonts w:cs="Times New Roman"/>
          <w:szCs w:val="24"/>
        </w:rPr>
        <w:t>Clampit</w:t>
      </w:r>
      <w:proofErr w:type="spellEnd"/>
      <w:r w:rsidRPr="001C2C36">
        <w:rPr>
          <w:rFonts w:cs="Times New Roman"/>
          <w:szCs w:val="24"/>
        </w:rPr>
        <w:t xml:space="preserve"> et al. </w:t>
      </w:r>
      <w:r w:rsidR="005B1A6C" w:rsidRPr="001C2C36">
        <w:rPr>
          <w:rFonts w:cs="Times New Roman"/>
          <w:szCs w:val="24"/>
        </w:rPr>
        <w:fldChar w:fldCharType="begin" w:fldLock="1"/>
      </w:r>
      <w:r w:rsidR="00626D6E" w:rsidRPr="001C2C36">
        <w:rPr>
          <w:rFonts w:cs="Times New Roman"/>
          <w:szCs w:val="24"/>
        </w:rPr>
        <w:instrText>ADDIN CSL_CITATION {"citationItems":[{"id":"ITEM-1","itemData":{"DOI":"10.1177/02662426211033270","ISSN":"17412870","abstract":"COVID-19 wreaked havoc on public health and the global economy. Small and medium-sized enterprises (SMEs) were hit especially hard. In this research note, we test the ability of dynamic capabilities (DCs) to predict SME performance during the pandemic. Based on our analysis of data from a survey conducted in the United States, we find that DCs meaningfully predicted both operational levels and revenue. Furthermore, while the empirical literature suggests that SME size is positively related to DC efficacy, we found that this effect was reversed during COVID-19, as the positive link between DCs and performance was stronger for smaller SMEs.","author":[{"dropping-particle":"","family":"Clampit","given":"Jack A.","non-dropping-particle":"","parse-names":false,"suffix":""},{"dropping-particle":"","family":"Lorenz","given":"Melanie P.","non-dropping-particle":"","parse-names":false,"suffix":""},{"dropping-particle":"","family":"Gamble","given":"John E.","non-dropping-particle":"","parse-names":false,"suffix":""},{"dropping-particle":"","family":"Lee","given":"Jim","non-dropping-particle":"","parse-names":false,"suffix":""}],"container-title":"International Small Business Journal: Researching Entrepreneurship","id":"ITEM-1","issue":"3","issued":{"date-parts":[["2021"]]},"page":"403 –419","title":"Performance stability among small and medium-sized enterprises during COVID-19: A test of the efficacy of dynamic capabilities","type":"article-journal","volume":"40"},"suppress-author":1,"uris":["http://www.mendeley.com/documents/?uuid=91c45b80-89c5-4e6b-aaea-066b44b12e58"]}],"mendeley":{"formattedCitation":"(2021)","plainTextFormattedCitation":"(2021)","previouslyFormattedCitation":"(2021)"},"properties":{"noteIndex":0},"schema":"https://github.com/citation-style-language/schema/raw/master/csl-citation.json"}</w:instrText>
      </w:r>
      <w:r w:rsidR="005B1A6C" w:rsidRPr="001C2C36">
        <w:rPr>
          <w:rFonts w:cs="Times New Roman"/>
          <w:szCs w:val="24"/>
        </w:rPr>
        <w:fldChar w:fldCharType="separate"/>
      </w:r>
      <w:r w:rsidR="00D64477" w:rsidRPr="001C2C36">
        <w:rPr>
          <w:rFonts w:cs="Times New Roman"/>
          <w:noProof/>
          <w:szCs w:val="24"/>
        </w:rPr>
        <w:t>(2021)</w:t>
      </w:r>
      <w:r w:rsidR="005B1A6C" w:rsidRPr="001C2C36">
        <w:rPr>
          <w:rFonts w:cs="Times New Roman"/>
          <w:szCs w:val="24"/>
        </w:rPr>
        <w:fldChar w:fldCharType="end"/>
      </w:r>
      <w:r w:rsidR="00F33076" w:rsidRPr="001C2C36">
        <w:rPr>
          <w:rFonts w:cs="Times New Roman"/>
          <w:szCs w:val="24"/>
        </w:rPr>
        <w:t>,</w:t>
      </w:r>
      <w:r w:rsidRPr="001C2C36">
        <w:rPr>
          <w:rFonts w:cs="Times New Roman"/>
          <w:szCs w:val="24"/>
        </w:rPr>
        <w:t xml:space="preserve"> by assessing whether their findings also apply to employment dynamics and whether this is moderated by government support</w:t>
      </w:r>
      <w:r w:rsidR="00C92E45" w:rsidRPr="001C2C36">
        <w:rPr>
          <w:rFonts w:cs="Times New Roman"/>
          <w:szCs w:val="24"/>
        </w:rPr>
        <w:t>.</w:t>
      </w:r>
    </w:p>
    <w:p w14:paraId="1FDB8C3A" w14:textId="0A4C2331" w:rsidR="00720D2E" w:rsidRPr="001C2C36" w:rsidRDefault="77E66FE7">
      <w:pPr>
        <w:rPr>
          <w:rFonts w:cs="Times New Roman"/>
        </w:rPr>
      </w:pPr>
      <w:r w:rsidRPr="62D3AE1C">
        <w:rPr>
          <w:rFonts w:cs="Times New Roman"/>
        </w:rPr>
        <w:t>Th</w:t>
      </w:r>
      <w:r w:rsidR="7F010540" w:rsidRPr="62D3AE1C">
        <w:rPr>
          <w:rFonts w:cs="Times New Roman"/>
        </w:rPr>
        <w:t>e remainder of the</w:t>
      </w:r>
      <w:r w:rsidRPr="62D3AE1C">
        <w:rPr>
          <w:rFonts w:cs="Times New Roman"/>
        </w:rPr>
        <w:t xml:space="preserve"> </w:t>
      </w:r>
      <w:r w:rsidR="30D3A2B9" w:rsidRPr="62D3AE1C">
        <w:rPr>
          <w:rFonts w:cs="Times New Roman"/>
        </w:rPr>
        <w:t>paper</w:t>
      </w:r>
      <w:r w:rsidRPr="62D3AE1C">
        <w:rPr>
          <w:rFonts w:cs="Times New Roman"/>
        </w:rPr>
        <w:t xml:space="preserve"> proceeds as follows.</w:t>
      </w:r>
      <w:r w:rsidR="545C117E" w:rsidRPr="62D3AE1C">
        <w:rPr>
          <w:rFonts w:cs="Times New Roman"/>
        </w:rPr>
        <w:t xml:space="preserve"> </w:t>
      </w:r>
      <w:r w:rsidR="101CD3FB" w:rsidRPr="62D3AE1C">
        <w:rPr>
          <w:rFonts w:cs="Times New Roman"/>
        </w:rPr>
        <w:t xml:space="preserve">We start </w:t>
      </w:r>
      <w:r w:rsidR="4D3BE7D4" w:rsidRPr="62D3AE1C">
        <w:rPr>
          <w:rFonts w:cs="Times New Roman"/>
        </w:rPr>
        <w:t>with a</w:t>
      </w:r>
      <w:r w:rsidR="7495CCD4" w:rsidRPr="62D3AE1C">
        <w:rPr>
          <w:rFonts w:cs="Times New Roman"/>
        </w:rPr>
        <w:t>n</w:t>
      </w:r>
      <w:r w:rsidR="4D3BE7D4" w:rsidRPr="62D3AE1C">
        <w:rPr>
          <w:rFonts w:cs="Times New Roman"/>
        </w:rPr>
        <w:t xml:space="preserve"> overview of </w:t>
      </w:r>
      <w:r w:rsidR="587EFEF0" w:rsidRPr="62D3AE1C">
        <w:rPr>
          <w:rFonts w:cs="Times New Roman"/>
        </w:rPr>
        <w:t>employment dynamics and government assistance during the Covid-19 pandemic</w:t>
      </w:r>
      <w:r w:rsidR="4D3BE7D4" w:rsidRPr="62D3AE1C">
        <w:rPr>
          <w:rFonts w:cs="Times New Roman"/>
        </w:rPr>
        <w:t xml:space="preserve"> in the UK</w:t>
      </w:r>
      <w:r w:rsidR="3202C6FA" w:rsidRPr="62D3AE1C">
        <w:rPr>
          <w:rFonts w:cs="Times New Roman"/>
        </w:rPr>
        <w:t>,</w:t>
      </w:r>
      <w:r w:rsidR="5D29A960" w:rsidRPr="62D3AE1C">
        <w:rPr>
          <w:rFonts w:cs="Times New Roman"/>
        </w:rPr>
        <w:t xml:space="preserve"> </w:t>
      </w:r>
      <w:r w:rsidR="3202C6FA" w:rsidRPr="62D3AE1C">
        <w:rPr>
          <w:rFonts w:cs="Times New Roman"/>
        </w:rPr>
        <w:t>which</w:t>
      </w:r>
      <w:r w:rsidR="5D29A960" w:rsidRPr="62D3AE1C">
        <w:rPr>
          <w:rFonts w:cs="Times New Roman"/>
        </w:rPr>
        <w:t xml:space="preserve"> helps</w:t>
      </w:r>
      <w:r w:rsidR="5A572014" w:rsidRPr="62D3AE1C">
        <w:rPr>
          <w:rFonts w:cs="Times New Roman"/>
        </w:rPr>
        <w:t xml:space="preserve"> </w:t>
      </w:r>
      <w:r w:rsidR="61CCE711" w:rsidRPr="62D3AE1C">
        <w:rPr>
          <w:rFonts w:cs="Times New Roman"/>
        </w:rPr>
        <w:t>with the positioning</w:t>
      </w:r>
      <w:r w:rsidR="5D29A960" w:rsidRPr="62D3AE1C">
        <w:rPr>
          <w:rFonts w:cs="Times New Roman"/>
        </w:rPr>
        <w:t xml:space="preserve"> and design </w:t>
      </w:r>
      <w:r w:rsidR="41C0012B" w:rsidRPr="62D3AE1C">
        <w:rPr>
          <w:rFonts w:cs="Times New Roman"/>
        </w:rPr>
        <w:t>of</w:t>
      </w:r>
      <w:r w:rsidR="740F6288" w:rsidRPr="62D3AE1C">
        <w:rPr>
          <w:rFonts w:cs="Times New Roman"/>
        </w:rPr>
        <w:t xml:space="preserve"> </w:t>
      </w:r>
      <w:r w:rsidR="5D29A960" w:rsidRPr="62D3AE1C">
        <w:rPr>
          <w:rFonts w:cs="Times New Roman"/>
        </w:rPr>
        <w:t>our study</w:t>
      </w:r>
      <w:r w:rsidR="587EFEF0" w:rsidRPr="62D3AE1C">
        <w:rPr>
          <w:rFonts w:cs="Times New Roman"/>
        </w:rPr>
        <w:t>.</w:t>
      </w:r>
      <w:r w:rsidR="5D29A960" w:rsidRPr="62D3AE1C">
        <w:rPr>
          <w:rFonts w:cs="Times New Roman"/>
        </w:rPr>
        <w:t xml:space="preserve"> </w:t>
      </w:r>
      <w:r w:rsidR="60E710C3" w:rsidRPr="62D3AE1C">
        <w:rPr>
          <w:rFonts w:cs="Times New Roman"/>
        </w:rPr>
        <w:t>W</w:t>
      </w:r>
      <w:r w:rsidR="545C117E" w:rsidRPr="62D3AE1C">
        <w:rPr>
          <w:rFonts w:cs="Times New Roman"/>
        </w:rPr>
        <w:t>e</w:t>
      </w:r>
      <w:r w:rsidR="60E710C3" w:rsidRPr="62D3AE1C">
        <w:rPr>
          <w:rFonts w:cs="Times New Roman"/>
        </w:rPr>
        <w:t xml:space="preserve"> then</w:t>
      </w:r>
      <w:r w:rsidR="545C117E" w:rsidRPr="62D3AE1C">
        <w:rPr>
          <w:rFonts w:cs="Times New Roman"/>
        </w:rPr>
        <w:t xml:space="preserve"> review </w:t>
      </w:r>
      <w:r w:rsidR="2F06FC68" w:rsidRPr="62D3AE1C">
        <w:rPr>
          <w:rFonts w:cs="Times New Roman"/>
        </w:rPr>
        <w:t xml:space="preserve">the </w:t>
      </w:r>
      <w:r w:rsidR="545C117E" w:rsidRPr="62D3AE1C">
        <w:rPr>
          <w:rFonts w:cs="Times New Roman"/>
        </w:rPr>
        <w:t xml:space="preserve">existing </w:t>
      </w:r>
      <w:r w:rsidR="2F06FC68" w:rsidRPr="62D3AE1C">
        <w:rPr>
          <w:rFonts w:cs="Times New Roman"/>
        </w:rPr>
        <w:t>literature to develop our</w:t>
      </w:r>
      <w:r w:rsidR="545C117E" w:rsidRPr="62D3AE1C">
        <w:rPr>
          <w:rFonts w:cs="Times New Roman"/>
        </w:rPr>
        <w:t xml:space="preserve"> hypotheses</w:t>
      </w:r>
      <w:r w:rsidR="2F06FC68" w:rsidRPr="62D3AE1C">
        <w:rPr>
          <w:rFonts w:cs="Times New Roman"/>
        </w:rPr>
        <w:t xml:space="preserve"> linking DCs, </w:t>
      </w:r>
      <w:r w:rsidR="253493B4" w:rsidRPr="62D3AE1C">
        <w:rPr>
          <w:rFonts w:cs="Times New Roman"/>
        </w:rPr>
        <w:t>government support, and employment dynamics</w:t>
      </w:r>
      <w:r w:rsidR="545C117E" w:rsidRPr="62D3AE1C">
        <w:rPr>
          <w:rFonts w:cs="Times New Roman"/>
        </w:rPr>
        <w:t xml:space="preserve">. </w:t>
      </w:r>
      <w:r w:rsidR="7F0686EE" w:rsidRPr="62D3AE1C">
        <w:rPr>
          <w:rFonts w:cs="Times New Roman"/>
        </w:rPr>
        <w:t xml:space="preserve">This is followed by the description of </w:t>
      </w:r>
      <w:r w:rsidR="545C117E" w:rsidRPr="62D3AE1C">
        <w:rPr>
          <w:rFonts w:cs="Times New Roman"/>
        </w:rPr>
        <w:t>our data and measurements</w:t>
      </w:r>
      <w:r w:rsidR="7F0686EE" w:rsidRPr="62D3AE1C">
        <w:rPr>
          <w:rFonts w:cs="Times New Roman"/>
        </w:rPr>
        <w:t xml:space="preserve"> and reporting of </w:t>
      </w:r>
      <w:r w:rsidR="545C117E" w:rsidRPr="62D3AE1C">
        <w:rPr>
          <w:rFonts w:cs="Times New Roman"/>
        </w:rPr>
        <w:t xml:space="preserve">results from ordinal regressions. </w:t>
      </w:r>
      <w:r w:rsidR="1DBB87C9" w:rsidRPr="62D3AE1C">
        <w:rPr>
          <w:rFonts w:cs="Times New Roman"/>
        </w:rPr>
        <w:t xml:space="preserve">The </w:t>
      </w:r>
      <w:r w:rsidR="6D5AE9ED" w:rsidRPr="62D3AE1C">
        <w:rPr>
          <w:rFonts w:cs="Times New Roman"/>
        </w:rPr>
        <w:t>paper</w:t>
      </w:r>
      <w:r w:rsidR="6655BD95" w:rsidRPr="62D3AE1C">
        <w:rPr>
          <w:rFonts w:cs="Times New Roman"/>
        </w:rPr>
        <w:t xml:space="preserve"> then </w:t>
      </w:r>
      <w:r w:rsidR="1DBB87C9" w:rsidRPr="62D3AE1C">
        <w:rPr>
          <w:rFonts w:cs="Times New Roman"/>
        </w:rPr>
        <w:t>discuss</w:t>
      </w:r>
      <w:r w:rsidR="6655BD95" w:rsidRPr="62D3AE1C">
        <w:rPr>
          <w:rFonts w:cs="Times New Roman"/>
        </w:rPr>
        <w:t>es</w:t>
      </w:r>
      <w:r w:rsidR="545C117E" w:rsidRPr="62D3AE1C">
        <w:rPr>
          <w:rFonts w:cs="Times New Roman"/>
        </w:rPr>
        <w:t xml:space="preserve"> the</w:t>
      </w:r>
      <w:r w:rsidR="1DBB87C9" w:rsidRPr="62D3AE1C">
        <w:rPr>
          <w:rFonts w:cs="Times New Roman"/>
        </w:rPr>
        <w:t xml:space="preserve"> theoretical and practical</w:t>
      </w:r>
      <w:r w:rsidR="545C117E" w:rsidRPr="62D3AE1C">
        <w:rPr>
          <w:rFonts w:cs="Times New Roman"/>
        </w:rPr>
        <w:t xml:space="preserve"> implications </w:t>
      </w:r>
      <w:r w:rsidR="1DBB87C9" w:rsidRPr="62D3AE1C">
        <w:rPr>
          <w:rFonts w:cs="Times New Roman"/>
        </w:rPr>
        <w:t>arising from the results</w:t>
      </w:r>
      <w:r w:rsidR="74CF1FCC" w:rsidRPr="672BB48E">
        <w:rPr>
          <w:rFonts w:cs="Times New Roman"/>
        </w:rPr>
        <w:t>, before presenting conclusions and limitations.</w:t>
      </w:r>
      <w:r w:rsidR="00906A2B">
        <w:rPr>
          <w:rFonts w:cs="Times New Roman"/>
        </w:rPr>
        <w:t xml:space="preserve"> </w:t>
      </w:r>
    </w:p>
    <w:p w14:paraId="6550AAC4" w14:textId="071AACE2" w:rsidR="00C751E1" w:rsidRPr="001C2C36" w:rsidRDefault="00B803CE" w:rsidP="00F55DF7">
      <w:pPr>
        <w:pStyle w:val="Heading1"/>
        <w:rPr>
          <w:rFonts w:cs="Times New Roman"/>
          <w:szCs w:val="24"/>
        </w:rPr>
      </w:pPr>
      <w:r w:rsidRPr="001C2C36">
        <w:rPr>
          <w:rFonts w:cs="Times New Roman"/>
          <w:szCs w:val="24"/>
        </w:rPr>
        <w:t>Background</w:t>
      </w:r>
    </w:p>
    <w:p w14:paraId="7ABD69DB" w14:textId="739AA5F5" w:rsidR="004F53C4" w:rsidRPr="001C2C36" w:rsidRDefault="10A8B3BE" w:rsidP="00E14539">
      <w:pPr>
        <w:rPr>
          <w:rFonts w:cs="Times New Roman"/>
        </w:rPr>
      </w:pPr>
      <w:r w:rsidRPr="001C2C36">
        <w:rPr>
          <w:rFonts w:cs="Times New Roman"/>
        </w:rPr>
        <w:t xml:space="preserve">The Covid-19 pandemic </w:t>
      </w:r>
      <w:r w:rsidR="0F8FF6A2" w:rsidRPr="001C2C36">
        <w:rPr>
          <w:rFonts w:cs="Times New Roman"/>
        </w:rPr>
        <w:t>placed</w:t>
      </w:r>
      <w:r w:rsidR="578FC8DB" w:rsidRPr="001C2C36">
        <w:rPr>
          <w:rFonts w:cs="Times New Roman"/>
        </w:rPr>
        <w:t xml:space="preserve"> </w:t>
      </w:r>
      <w:r w:rsidR="0F8FF6A2" w:rsidRPr="001C2C36">
        <w:rPr>
          <w:rFonts w:cs="Times New Roman"/>
        </w:rPr>
        <w:t xml:space="preserve">a </w:t>
      </w:r>
      <w:r w:rsidR="0A0FF164" w:rsidRPr="001C2C36">
        <w:rPr>
          <w:rFonts w:cs="Times New Roman"/>
        </w:rPr>
        <w:t xml:space="preserve">substantial </w:t>
      </w:r>
      <w:r w:rsidR="0F8FF6A2" w:rsidRPr="001C2C36">
        <w:rPr>
          <w:rFonts w:cs="Times New Roman"/>
        </w:rPr>
        <w:t>burden on businesse</w:t>
      </w:r>
      <w:r w:rsidR="5CDAF5AA" w:rsidRPr="001C2C36">
        <w:rPr>
          <w:rFonts w:cs="Times New Roman"/>
        </w:rPr>
        <w:t>s</w:t>
      </w:r>
      <w:r w:rsidR="0A0F660B" w:rsidRPr="001C2C36">
        <w:rPr>
          <w:rFonts w:cs="Times New Roman"/>
        </w:rPr>
        <w:t xml:space="preserve">, </w:t>
      </w:r>
      <w:proofErr w:type="gramStart"/>
      <w:r w:rsidR="0A0F660B" w:rsidRPr="001C2C36">
        <w:rPr>
          <w:rFonts w:cs="Times New Roman"/>
        </w:rPr>
        <w:t>in particular during</w:t>
      </w:r>
      <w:proofErr w:type="gramEnd"/>
      <w:r w:rsidR="3C9E07E5" w:rsidRPr="001C2C36">
        <w:rPr>
          <w:rFonts w:cs="Times New Roman"/>
        </w:rPr>
        <w:t xml:space="preserve"> the</w:t>
      </w:r>
      <w:r w:rsidR="0A0F660B" w:rsidRPr="001C2C36">
        <w:rPr>
          <w:rFonts w:cs="Times New Roman"/>
        </w:rPr>
        <w:t xml:space="preserve"> </w:t>
      </w:r>
      <w:r w:rsidR="4A66EC3A" w:rsidRPr="001C2C36">
        <w:rPr>
          <w:rFonts w:cs="Times New Roman"/>
        </w:rPr>
        <w:t>unprecedented first lockdown</w:t>
      </w:r>
      <w:r w:rsidR="1AA659A4" w:rsidRPr="001C2C36">
        <w:rPr>
          <w:rFonts w:cs="Times New Roman"/>
        </w:rPr>
        <w:t>s</w:t>
      </w:r>
      <w:r w:rsidR="0E3B67B7" w:rsidRPr="001C2C36">
        <w:rPr>
          <w:rFonts w:cs="Times New Roman"/>
        </w:rPr>
        <w:t xml:space="preserve">. In the UK, the </w:t>
      </w:r>
      <w:r w:rsidR="0010290A" w:rsidRPr="001C2C36">
        <w:rPr>
          <w:rFonts w:cs="Times New Roman"/>
        </w:rPr>
        <w:t>g</w:t>
      </w:r>
      <w:r w:rsidR="2C481A9B" w:rsidRPr="001C2C36">
        <w:rPr>
          <w:rFonts w:cs="Times New Roman"/>
        </w:rPr>
        <w:t>overnment announced the first national lockdown</w:t>
      </w:r>
      <w:r w:rsidR="47D683F8" w:rsidRPr="001C2C36">
        <w:rPr>
          <w:rFonts w:cs="Times New Roman"/>
        </w:rPr>
        <w:t xml:space="preserve"> on 23 March 20</w:t>
      </w:r>
      <w:r w:rsidR="16DE1E52" w:rsidRPr="001C2C36">
        <w:rPr>
          <w:rFonts w:cs="Times New Roman"/>
        </w:rPr>
        <w:t>20</w:t>
      </w:r>
      <w:r w:rsidR="0009286B" w:rsidRPr="001C2C36">
        <w:rPr>
          <w:rFonts w:cs="Times New Roman"/>
        </w:rPr>
        <w:t>,</w:t>
      </w:r>
      <w:r w:rsidR="16DE1E52" w:rsidRPr="001C2C36">
        <w:rPr>
          <w:rFonts w:cs="Times New Roman"/>
        </w:rPr>
        <w:t xml:space="preserve"> </w:t>
      </w:r>
      <w:r w:rsidR="0A8B02B5" w:rsidRPr="001C2C36">
        <w:rPr>
          <w:rFonts w:cs="Times New Roman"/>
        </w:rPr>
        <w:t>which</w:t>
      </w:r>
      <w:r w:rsidR="16DE1E52" w:rsidRPr="001C2C36">
        <w:rPr>
          <w:rFonts w:cs="Times New Roman"/>
        </w:rPr>
        <w:t xml:space="preserve"> </w:t>
      </w:r>
      <w:r w:rsidR="11BD4AD4" w:rsidRPr="001C2C36">
        <w:rPr>
          <w:rFonts w:cs="Times New Roman"/>
        </w:rPr>
        <w:t>is</w:t>
      </w:r>
      <w:r w:rsidR="2C481A9B" w:rsidRPr="001C2C36">
        <w:rPr>
          <w:rFonts w:cs="Times New Roman"/>
        </w:rPr>
        <w:t xml:space="preserve"> less than two months after the first two cases of Covid-19</w:t>
      </w:r>
      <w:r w:rsidR="11BD4AD4" w:rsidRPr="001C2C36">
        <w:rPr>
          <w:rFonts w:cs="Times New Roman"/>
        </w:rPr>
        <w:t xml:space="preserve"> were discovered in the UK</w:t>
      </w:r>
      <w:r w:rsidR="6644FDBB" w:rsidRPr="001C2C36">
        <w:rPr>
          <w:rFonts w:cs="Times New Roman"/>
        </w:rPr>
        <w:t>.</w:t>
      </w:r>
      <w:r w:rsidR="16DE1E52" w:rsidRPr="001C2C36">
        <w:rPr>
          <w:rFonts w:cs="Times New Roman"/>
        </w:rPr>
        <w:t xml:space="preserve"> </w:t>
      </w:r>
      <w:r w:rsidR="704FDE99" w:rsidRPr="001C2C36">
        <w:rPr>
          <w:rFonts w:cs="Times New Roman"/>
        </w:rPr>
        <w:t xml:space="preserve">The </w:t>
      </w:r>
      <w:r w:rsidR="00CF0953" w:rsidRPr="001C2C36">
        <w:rPr>
          <w:rFonts w:cs="Times New Roman"/>
        </w:rPr>
        <w:t>g</w:t>
      </w:r>
      <w:r w:rsidR="59F68237" w:rsidRPr="001C2C36">
        <w:rPr>
          <w:rFonts w:cs="Times New Roman"/>
        </w:rPr>
        <w:t xml:space="preserve">overnment ordered </w:t>
      </w:r>
      <w:r w:rsidR="606A4B13" w:rsidRPr="001C2C36">
        <w:rPr>
          <w:rFonts w:cs="Times New Roman"/>
        </w:rPr>
        <w:t xml:space="preserve">people to stay home and </w:t>
      </w:r>
      <w:r w:rsidR="14C76D8E" w:rsidRPr="001C2C36">
        <w:rPr>
          <w:rFonts w:cs="Times New Roman"/>
        </w:rPr>
        <w:t xml:space="preserve">all non-essential businesses to </w:t>
      </w:r>
      <w:r w:rsidR="1808F436" w:rsidRPr="001C2C36">
        <w:rPr>
          <w:rFonts w:cs="Times New Roman"/>
        </w:rPr>
        <w:t>close</w:t>
      </w:r>
      <w:r w:rsidR="27F03249" w:rsidRPr="001C2C36">
        <w:rPr>
          <w:rFonts w:cs="Times New Roman"/>
        </w:rPr>
        <w:t xml:space="preserve"> or switch to remote working</w:t>
      </w:r>
      <w:r w:rsidR="1808F436" w:rsidRPr="001C2C36">
        <w:rPr>
          <w:rFonts w:cs="Times New Roman"/>
        </w:rPr>
        <w:t>.</w:t>
      </w:r>
      <w:r w:rsidR="3EFAEC7A" w:rsidRPr="001C2C36">
        <w:rPr>
          <w:rFonts w:cs="Times New Roman"/>
        </w:rPr>
        <w:t xml:space="preserve"> </w:t>
      </w:r>
      <w:r w:rsidR="3F804A37" w:rsidRPr="001C2C36">
        <w:rPr>
          <w:rFonts w:cs="Times New Roman"/>
        </w:rPr>
        <w:t>For many</w:t>
      </w:r>
      <w:r w:rsidR="5D0A5288" w:rsidRPr="001C2C36">
        <w:rPr>
          <w:rFonts w:cs="Times New Roman"/>
        </w:rPr>
        <w:t>,</w:t>
      </w:r>
      <w:r w:rsidR="3F804A37" w:rsidRPr="001C2C36">
        <w:rPr>
          <w:rFonts w:cs="Times New Roman"/>
        </w:rPr>
        <w:t xml:space="preserve"> this</w:t>
      </w:r>
      <w:r w:rsidR="10A6CC72" w:rsidRPr="001C2C36">
        <w:rPr>
          <w:rFonts w:cs="Times New Roman"/>
        </w:rPr>
        <w:t xml:space="preserve"> overnight switch from onsite to remote working</w:t>
      </w:r>
      <w:r w:rsidR="71775175" w:rsidRPr="001C2C36">
        <w:rPr>
          <w:rFonts w:cs="Times New Roman"/>
        </w:rPr>
        <w:t xml:space="preserve"> during the first lockdown</w:t>
      </w:r>
      <w:r w:rsidR="10A6CC72" w:rsidRPr="001C2C36">
        <w:rPr>
          <w:rFonts w:cs="Times New Roman"/>
        </w:rPr>
        <w:t xml:space="preserve"> resulted </w:t>
      </w:r>
      <w:r w:rsidR="2C701D0B" w:rsidRPr="001C2C36">
        <w:rPr>
          <w:rFonts w:cs="Times New Roman"/>
        </w:rPr>
        <w:t>in</w:t>
      </w:r>
      <w:r w:rsidR="10A59905" w:rsidRPr="001C2C36">
        <w:rPr>
          <w:rFonts w:cs="Times New Roman"/>
        </w:rPr>
        <w:t xml:space="preserve"> increased</w:t>
      </w:r>
      <w:r w:rsidR="20FB764D" w:rsidRPr="001C2C36">
        <w:rPr>
          <w:rFonts w:cs="Times New Roman"/>
        </w:rPr>
        <w:t xml:space="preserve"> an</w:t>
      </w:r>
      <w:r w:rsidR="5D5AB36F" w:rsidRPr="001C2C36">
        <w:rPr>
          <w:rFonts w:cs="Times New Roman"/>
        </w:rPr>
        <w:t xml:space="preserve">xiety and depression </w:t>
      </w:r>
      <w:r w:rsidR="003E69EF" w:rsidRPr="001C2C36">
        <w:rPr>
          <w:rFonts w:cs="Times New Roman"/>
        </w:rPr>
        <w:fldChar w:fldCharType="begin" w:fldLock="1"/>
      </w:r>
      <w:r w:rsidR="008A32CF" w:rsidRPr="001C2C36">
        <w:rPr>
          <w:rFonts w:cs="Times New Roman"/>
        </w:rPr>
        <w:instrText>ADDIN CSL_CITATION {"citationItems":[{"id":"ITEM-1","itemData":{"DOI":"10.1111/bjc.12360","ISSN":"20448260","PMID":"35137427","abstract":"Background: The COVID-19 pandemic has had a significant impact on mental health. Specifically, the stringent lockdown restrictions have heightened anxiety and depression. Therefore, monitoring and supporting the mental health of the population during these unprecedented times is an immediate priority. Methods: In this systematic review and meta-analyses, articles that explored the prevalence of anxiety and depression during the first COVID-19 lockdown in the United Kingdom were included. We searched the databases Embase, Medline (PubMed), Web of Science, and PsycINFO for cross-sectional studies. We conducted meta-analyses of prevalence rates using a random-effects model, and the heterogeneity of studies was examined using the I2 index. Results: Fourteen studies involving 46,158 participants were included in the review. The studies use clinical cut-off scores on anxiety and depression measures to define cases. While the prevalence of anxiety was 31.00% (95% CI = 26.00 to 35.00), the prevalence of depression was 32.00% (95% CI = 29.00 to 35.00). The prevalence of anxiety pre-pandemic was 4.65%, indicating a 26.35% increase. Whereas the prevalence of depression pre-pandemic was 4.12%, indicating a 27.88% increase. Moreover, participants experienced a slightly greater prevalence of depression than anxiety by 1.00%. Conclusions: To conclude, the first COVID-19 lockdown in the United Kingdom increased the prevalence of anxiety and depression among the general population, compared to pre-pandemic data. Hence, it is vital that policymakers and mental health services maximize their efforts to monitor mental health and provide interventions to support those in need. Practitioner points: Clinical implications Awareness of the high prevalence of anxiety and depression during the first lockdown in the United Kingdom can inform policy development that substantial effort, time, and funding of mental health services are required to support those in need. Similarly, awareness of the prevalence of anxiety and depression in the United Kingdom can contribute to the development of nation-specific interventions and initiatives. Limitations The current review focuses on the UK general population which does not allow the findings to be generalized to the global population. The indirect comparison of the current prevalence rates with the corresponding pre-pandemic prevalence rates obtained from a different study sample increases individual differences, weakening the reliability…","author":[{"dropping-particle":"","family":"Dettmann","given":"Luca Marie","non-dropping-particle":"","parse-names":false,"suffix":""},{"dropping-particle":"","family":"Adams","given":"Sally","non-dropping-particle":"","parse-names":false,"suffix":""},{"dropping-particle":"","family":"Taylor","given":"Gemma","non-dropping-particle":"","parse-names":false,"suffix":""}],"container-title":"British Journal of Clinical Psychology","id":"ITEM-1","issue":"3","issued":{"date-parts":[["2022"]]},"page":"757-780","title":"Investigating the prevalence of anxiety and depression during the first COVID-19 lockdown in the United Kingdom: Systematic review and meta-analyses","type":"article-journal","volume":"61"},"uris":["http://www.mendeley.com/documents/?uuid=0f352c01-4ae5-4124-8b6e-eb7a13cc71c4","http://www.mendeley.com/documents/?uuid=3cc03100-ac0b-4441-ab60-b81556465306"]}],"mendeley":{"formattedCitation":"(Dettmann et al., 2022)","plainTextFormattedCitation":"(Dettmann et al., 2022)","previouslyFormattedCitation":"(Dettmann et al., 2022)"},"properties":{"noteIndex":0},"schema":"https://github.com/citation-style-language/schema/raw/master/csl-citation.json"}</w:instrText>
      </w:r>
      <w:r w:rsidR="003E69EF" w:rsidRPr="001C2C36">
        <w:rPr>
          <w:rFonts w:cs="Times New Roman"/>
        </w:rPr>
        <w:fldChar w:fldCharType="separate"/>
      </w:r>
      <w:r w:rsidR="68394BDE" w:rsidRPr="001C2C36">
        <w:rPr>
          <w:rFonts w:cs="Times New Roman"/>
          <w:noProof/>
        </w:rPr>
        <w:t>(Dettmann et al., 2022)</w:t>
      </w:r>
      <w:r w:rsidR="003E69EF" w:rsidRPr="001C2C36">
        <w:rPr>
          <w:rFonts w:cs="Times New Roman"/>
        </w:rPr>
        <w:fldChar w:fldCharType="end"/>
      </w:r>
      <w:r w:rsidR="68394BDE" w:rsidRPr="001C2C36">
        <w:rPr>
          <w:rFonts w:cs="Times New Roman"/>
        </w:rPr>
        <w:t>,</w:t>
      </w:r>
      <w:r w:rsidR="10A59905" w:rsidRPr="001C2C36">
        <w:rPr>
          <w:rFonts w:cs="Times New Roman"/>
        </w:rPr>
        <w:t xml:space="preserve"> uncertainty </w:t>
      </w:r>
      <w:r w:rsidR="00307E82" w:rsidRPr="001C2C36">
        <w:rPr>
          <w:rFonts w:cs="Times New Roman"/>
        </w:rPr>
        <w:fldChar w:fldCharType="begin" w:fldLock="1"/>
      </w:r>
      <w:r w:rsidR="008A32CF" w:rsidRPr="001C2C36">
        <w:rPr>
          <w:rFonts w:cs="Times New Roman"/>
        </w:rPr>
        <w:instrText>ADDIN CSL_CITATION {"citationItems":[{"id":"ITEM-1","itemData":{"DOI":"10.1111/bjep.12381","ISSN":"20448279","PMID":"32975830","abstract":"Background: On 20 March 2020, in response to COVID-19, UK schools were closed to most pupils. Teachers were required to put remote teaching and learning in place with only two days’ notice from the government. Aims: The current study explores teachers’ experiences of this abrupt change to their working practices, and during the 5–6 weeks that followed. Sample: Twenty-four teachers from English state schools were interviewed, representing mainstream primary and secondary schools and a range of years of experience and seniority. Methods: Participants were asked to tell stories of three key scenes during the first 5–6 weeks of lockdown: a low point, a high point, and a turning point. A reflexive thematic analysis of their narratives was conducted. Results and Conclusions: Six themes were identified: uncertainty, finding a way, worry for the vulnerable, importance of relationships, teacher identity, and reflections. Teachers’ narratives suggest that, after an initial period of uncertainty they settled into the situation and found a way forward, supported by strong relationships. However, they remain extremely worried about the most vulnerable pupils and want more joined-up thinking from the government on how to support them effectively, along with clarity from policymakers to enable planning ahead. Teachers reflected on how to use their learning during this period to improve pupils’ experiences of education post-COVID-19, and on how aspects of shared teacher identity have worked as stressors and coping mechanisms. These initial interviews form the baseline for a longitudinal interview study of teachers’ experiences of COVID-19 in England.","author":[{"dropping-particle":"","family":"Kim","given":"Lisa E.","non-dropping-particle":"","parse-names":false,"suffix":""},{"dropping-particle":"","family":"Asbury","given":"Kathryn","non-dropping-particle":"","parse-names":false,"suffix":""}],"container-title":"British Journal of Educational Psychology","id":"ITEM-1","issue":"4","issued":{"date-parts":[["2020"]]},"page":"1062-1083","title":"‘Like a rug had been pulled from under you’: The impact of COVID-19 on teachers in England during the first six weeks of the UK lockdown","type":"article-journal","volume":"90"},"uris":["http://www.mendeley.com/documents/?uuid=77b1deb2-ee8e-4af3-aa36-78f3e750512b","http://www.mendeley.com/documents/?uuid=309d9615-cd74-498e-b022-094fdd4d322b"]}],"mendeley":{"formattedCitation":"(Kim and Asbury, 2020)","plainTextFormattedCitation":"(Kim and Asbury, 2020)","previouslyFormattedCitation":"(Kim and Asbury, 2020)"},"properties":{"noteIndex":0},"schema":"https://github.com/citation-style-language/schema/raw/master/csl-citation.json"}</w:instrText>
      </w:r>
      <w:r w:rsidR="00307E82" w:rsidRPr="001C2C36">
        <w:rPr>
          <w:rFonts w:cs="Times New Roman"/>
        </w:rPr>
        <w:fldChar w:fldCharType="separate"/>
      </w:r>
      <w:r w:rsidR="10A59905" w:rsidRPr="001C2C36">
        <w:rPr>
          <w:rFonts w:cs="Times New Roman"/>
          <w:noProof/>
        </w:rPr>
        <w:t>(Kim and Asbury, 2020)</w:t>
      </w:r>
      <w:r w:rsidR="00307E82" w:rsidRPr="001C2C36">
        <w:rPr>
          <w:rFonts w:cs="Times New Roman"/>
        </w:rPr>
        <w:fldChar w:fldCharType="end"/>
      </w:r>
      <w:r w:rsidR="2C701D0B" w:rsidRPr="001C2C36">
        <w:rPr>
          <w:rFonts w:cs="Times New Roman"/>
        </w:rPr>
        <w:t xml:space="preserve"> </w:t>
      </w:r>
      <w:r w:rsidR="68394BDE" w:rsidRPr="001C2C36">
        <w:rPr>
          <w:rFonts w:cs="Times New Roman"/>
        </w:rPr>
        <w:t xml:space="preserve">and </w:t>
      </w:r>
      <w:r w:rsidR="5B71B517" w:rsidRPr="001C2C36">
        <w:rPr>
          <w:rFonts w:cs="Times New Roman"/>
        </w:rPr>
        <w:t>decreased</w:t>
      </w:r>
      <w:r w:rsidR="2C701D0B" w:rsidRPr="001C2C36">
        <w:rPr>
          <w:rFonts w:cs="Times New Roman"/>
        </w:rPr>
        <w:t xml:space="preserve"> productivity </w:t>
      </w:r>
      <w:r w:rsidR="00D66759" w:rsidRPr="001C2C36">
        <w:rPr>
          <w:rFonts w:cs="Times New Roman"/>
        </w:rPr>
        <w:fldChar w:fldCharType="begin" w:fldLock="1"/>
      </w:r>
      <w:r w:rsidR="008A32CF" w:rsidRPr="001C2C36">
        <w:rPr>
          <w:rFonts w:cs="Times New Roman"/>
        </w:rPr>
        <w:instrText>ADDIN CSL_CITATION {"citationItems":[{"id":"ITEM-1","itemData":{"DOI":"10.3390/admsci12010001","ISSN":"20763387","abstract":"In a cross-sectional study among 623 employees of a higher education institution, we examined the relations between perceived competence, autonomy, relatedness, intrinsic motivation, and productivity during the first lockdown in the spring of 2020. The results indicate that, relative to the period before the lockdown, the employees experienced an increase in autonomy and competence, but a decrease in relatedness, intrinsic motivation, and productivity. Structural equation modelling revealed that the decrease in productivity can be explained by a decrease in intrinsic motivation, which in turn can be explained by changes in relatedness, autonomy, and perceived competence. Thus, during the lockdown, both positive and negative motivational consequences of teleworking were observed. However, the ultimate consequence for employees’ productivity was negative. An important difference between this study and previous studies on the topic of teleworking, is that the present examined the motivational process under extreme circumstances in which employees had to switch overnight form onsite to remote working.","author":[{"dropping-particle":"","family":"Rietveld","given":"Jacqueline R.","non-dropping-particle":"","parse-names":false,"suffix":""},{"dropping-particle":"","family":"Hiemstra","given":"Djoerd","non-dropping-particle":"","parse-names":false,"suffix":""},{"dropping-particle":"","family":"Brouwer","given":"Aleid E.","non-dropping-particle":"","parse-names":false,"suffix":""},{"dropping-particle":"","family":"Waalkens","given":"Jan","non-dropping-particle":"","parse-names":false,"suffix":""}],"container-title":"Administrative Sciences","id":"ITEM-1","issue":"1","issued":{"date-parts":[["2022"]]},"page":"1-11","title":"Motivation and productivity of employees in higher education during the first lockdown","type":"article-journal","volume":"12"},"uris":["http://www.mendeley.com/documents/?uuid=5e7a8534-e015-4a07-8d23-df9525e88874","http://www.mendeley.com/documents/?uuid=3028485c-e575-4c4d-991e-10ae8f051413"]}],"mendeley":{"formattedCitation":"(Rietveld et al., 2022)","plainTextFormattedCitation":"(Rietveld et al., 2022)","previouslyFormattedCitation":"(Rietveld et al., 2022)"},"properties":{"noteIndex":0},"schema":"https://github.com/citation-style-language/schema/raw/master/csl-citation.json"}</w:instrText>
      </w:r>
      <w:r w:rsidR="00D66759" w:rsidRPr="001C2C36">
        <w:rPr>
          <w:rFonts w:cs="Times New Roman"/>
        </w:rPr>
        <w:fldChar w:fldCharType="separate"/>
      </w:r>
      <w:r w:rsidR="0ECCB818" w:rsidRPr="001C2C36">
        <w:rPr>
          <w:rFonts w:cs="Times New Roman"/>
          <w:noProof/>
        </w:rPr>
        <w:t>(Rietveld et al., 2022)</w:t>
      </w:r>
      <w:r w:rsidR="00D66759" w:rsidRPr="001C2C36">
        <w:rPr>
          <w:rFonts w:cs="Times New Roman"/>
        </w:rPr>
        <w:fldChar w:fldCharType="end"/>
      </w:r>
      <w:r w:rsidR="5D0A5288" w:rsidRPr="001C2C36">
        <w:rPr>
          <w:rFonts w:cs="Times New Roman"/>
        </w:rPr>
        <w:t xml:space="preserve">. </w:t>
      </w:r>
      <w:r w:rsidR="5C86EE07" w:rsidRPr="001C2C36">
        <w:rPr>
          <w:rFonts w:cs="Times New Roman"/>
        </w:rPr>
        <w:t xml:space="preserve">Those in </w:t>
      </w:r>
      <w:r w:rsidR="1659387B" w:rsidRPr="001C2C36">
        <w:rPr>
          <w:rFonts w:cs="Times New Roman"/>
        </w:rPr>
        <w:t xml:space="preserve">essential sectors allowed to operate were exposed to </w:t>
      </w:r>
      <w:r w:rsidR="53090D2A" w:rsidRPr="001C2C36">
        <w:rPr>
          <w:rFonts w:cs="Times New Roman"/>
        </w:rPr>
        <w:t>various restrictions</w:t>
      </w:r>
      <w:r w:rsidR="00A92D5F" w:rsidRPr="001C2C36">
        <w:rPr>
          <w:rStyle w:val="EndnoteReference"/>
          <w:rFonts w:cs="Times New Roman"/>
        </w:rPr>
        <w:endnoteReference w:id="2"/>
      </w:r>
      <w:r w:rsidR="00A92D5F" w:rsidRPr="001C2C36">
        <w:rPr>
          <w:rFonts w:cs="Times New Roman"/>
        </w:rPr>
        <w:t xml:space="preserve"> and a constantly changing marketplace, triggering unexpected outcomes across sectors </w:t>
      </w:r>
      <w:r w:rsidR="00A92D5F" w:rsidRPr="001C2C36">
        <w:rPr>
          <w:rFonts w:cs="Times New Roman"/>
        </w:rPr>
        <w:fldChar w:fldCharType="begin" w:fldLock="1"/>
      </w:r>
      <w:r w:rsidR="00A92D5F" w:rsidRPr="001C2C36">
        <w:rPr>
          <w:rFonts w:cs="Times New Roman"/>
        </w:rPr>
        <w:instrText>ADDIN CSL_CITATION {"citationItems":[{"id":"ITEM-1","itemData":{"DOI":"10.1016/j.gfs.2021.100495","ISSN":"22119124","abstract":"Using an approach normally used to estimate cumulative excess deaths, we measure the impact of the COVID-19 shock on sales of UK food retailers and restaurants. To control the spread of COVID-19, travel and social interactions were restricted, putting significant pressure on retailers, who had to adapt whilst complying with a fast-changing marketplace. Results show that in the period March–August 2020, COVID-19 restrictions accounted for a £4 billion increase in sales for food retailers, and £4 billion in non-store retailers; and a £20 billion loss in sales in non-food stores, and £25 billion loss in turnover for food and beverage serving services.","author":[{"dropping-particle":"","family":"Panzone","given":"Luca A.","non-dropping-particle":"","parse-names":false,"suffix":""},{"dropping-particle":"","family":"Larcom","given":"Shaun","non-dropping-particle":"","parse-names":false,"suffix":""},{"dropping-particle":"","family":"She","given":"Po Wen","non-dropping-particle":"","parse-names":false,"suffix":""}],"container-title":"Global Food Security","id":"ITEM-1","issued":{"date-parts":[["2021"]]},"publisher":"Elsevier B.V.","title":"Estimating the impact of the first COVID-19 lockdown on UK food retailers and the restaurant sector","type":"article-journal","volume":"28"},"uris":["http://www.mendeley.com/documents/?uuid=0b171746-53fb-4096-8de2-7115897a0ea5","http://www.mendeley.com/documents/?uuid=a91b1a50-df42-45a3-8e8c-da3692a6e64c"]}],"mendeley":{"formattedCitation":"(Panzone et al., 2021)","plainTextFormattedCitation":"(Panzone et al., 2021)","previouslyFormattedCitation":"(Panzone et al., 2021)"},"properties":{"noteIndex":0},"schema":"https://github.com/citation-style-language/schema/raw/master/csl-citation.json"}</w:instrText>
      </w:r>
      <w:r w:rsidR="00A92D5F" w:rsidRPr="001C2C36">
        <w:rPr>
          <w:rFonts w:cs="Times New Roman"/>
        </w:rPr>
        <w:fldChar w:fldCharType="separate"/>
      </w:r>
      <w:r w:rsidR="00A92D5F" w:rsidRPr="001C2C36">
        <w:rPr>
          <w:rFonts w:cs="Times New Roman"/>
          <w:noProof/>
        </w:rPr>
        <w:t>(Panzone et al., 2021)</w:t>
      </w:r>
      <w:r w:rsidR="00A92D5F" w:rsidRPr="001C2C36">
        <w:rPr>
          <w:rFonts w:cs="Times New Roman"/>
        </w:rPr>
        <w:fldChar w:fldCharType="end"/>
      </w:r>
      <w:r w:rsidR="00A92D5F" w:rsidRPr="001C2C36">
        <w:rPr>
          <w:rFonts w:cs="Times New Roman"/>
        </w:rPr>
        <w:t>. The restrictions were slowly relaxed starting in May</w:t>
      </w:r>
      <w:r w:rsidR="44ADEB7A" w:rsidRPr="001C2C36">
        <w:rPr>
          <w:rFonts w:cs="Times New Roman"/>
        </w:rPr>
        <w:t>, with most of them lifted in July</w:t>
      </w:r>
      <w:r w:rsidR="00A92D5F" w:rsidRPr="001C2C36">
        <w:rPr>
          <w:rFonts w:cs="Times New Roman"/>
        </w:rPr>
        <w:t>.</w:t>
      </w:r>
      <w:r w:rsidR="733CC8ED" w:rsidRPr="001C2C36">
        <w:rPr>
          <w:rFonts w:cs="Times New Roman"/>
        </w:rPr>
        <w:t xml:space="preserve"> </w:t>
      </w:r>
      <w:r w:rsidR="2421981D" w:rsidRPr="001C2C36">
        <w:rPr>
          <w:rFonts w:cs="Times New Roman"/>
        </w:rPr>
        <w:t>N</w:t>
      </w:r>
      <w:r w:rsidR="079F551F" w:rsidRPr="001C2C36">
        <w:rPr>
          <w:rFonts w:cs="Times New Roman"/>
        </w:rPr>
        <w:t>on-essential businesses were permitted to open</w:t>
      </w:r>
      <w:r w:rsidR="2421981D" w:rsidRPr="001C2C36">
        <w:rPr>
          <w:rFonts w:cs="Times New Roman"/>
        </w:rPr>
        <w:t>,</w:t>
      </w:r>
      <w:r w:rsidR="079F551F" w:rsidRPr="001C2C36">
        <w:rPr>
          <w:rFonts w:cs="Times New Roman"/>
        </w:rPr>
        <w:t xml:space="preserve"> and gatherings </w:t>
      </w:r>
      <w:r w:rsidR="2421981D" w:rsidRPr="001C2C36">
        <w:rPr>
          <w:rFonts w:cs="Times New Roman"/>
        </w:rPr>
        <w:t xml:space="preserve">of </w:t>
      </w:r>
      <w:r w:rsidR="079F551F" w:rsidRPr="001C2C36">
        <w:rPr>
          <w:rFonts w:cs="Times New Roman"/>
        </w:rPr>
        <w:t xml:space="preserve">up to 30 people were </w:t>
      </w:r>
      <w:r w:rsidR="2421981D" w:rsidRPr="001C2C36">
        <w:rPr>
          <w:rFonts w:cs="Times New Roman"/>
        </w:rPr>
        <w:t>again</w:t>
      </w:r>
      <w:r w:rsidR="73626F36" w:rsidRPr="001C2C36">
        <w:rPr>
          <w:rFonts w:cs="Times New Roman"/>
        </w:rPr>
        <w:t xml:space="preserve"> </w:t>
      </w:r>
      <w:r w:rsidR="2421981D" w:rsidRPr="001C2C36">
        <w:rPr>
          <w:rFonts w:cs="Times New Roman"/>
        </w:rPr>
        <w:t>allow</w:t>
      </w:r>
      <w:r w:rsidR="079F551F" w:rsidRPr="001C2C36">
        <w:rPr>
          <w:rFonts w:cs="Times New Roman"/>
        </w:rPr>
        <w:t xml:space="preserve">ed. </w:t>
      </w:r>
      <w:r w:rsidR="36337D15" w:rsidRPr="001C2C36">
        <w:rPr>
          <w:rFonts w:cs="Times New Roman"/>
        </w:rPr>
        <w:t>From mid</w:t>
      </w:r>
      <w:r w:rsidR="210EC075" w:rsidRPr="001C2C36">
        <w:rPr>
          <w:rFonts w:cs="Times New Roman"/>
        </w:rPr>
        <w:t>-</w:t>
      </w:r>
      <w:r w:rsidR="36337D15" w:rsidRPr="001C2C36">
        <w:rPr>
          <w:rFonts w:cs="Times New Roman"/>
        </w:rPr>
        <w:t>September</w:t>
      </w:r>
      <w:r w:rsidR="044ABD27" w:rsidRPr="001C2C36">
        <w:rPr>
          <w:rFonts w:cs="Times New Roman"/>
        </w:rPr>
        <w:t>,</w:t>
      </w:r>
      <w:r w:rsidR="36337D15" w:rsidRPr="001C2C36">
        <w:rPr>
          <w:rFonts w:cs="Times New Roman"/>
        </w:rPr>
        <w:t xml:space="preserve"> t</w:t>
      </w:r>
      <w:r w:rsidR="139D40C8" w:rsidRPr="001C2C36">
        <w:rPr>
          <w:rFonts w:cs="Times New Roman"/>
        </w:rPr>
        <w:t>he restrictions again started to be tightened with the imposition of further limitations on gatherin</w:t>
      </w:r>
      <w:r w:rsidR="044ABD27" w:rsidRPr="001C2C36">
        <w:rPr>
          <w:rFonts w:cs="Times New Roman"/>
        </w:rPr>
        <w:t>g</w:t>
      </w:r>
      <w:r w:rsidR="139D40C8" w:rsidRPr="001C2C36">
        <w:rPr>
          <w:rFonts w:cs="Times New Roman"/>
        </w:rPr>
        <w:t xml:space="preserve">s and </w:t>
      </w:r>
      <w:r w:rsidR="044ABD27" w:rsidRPr="001C2C36">
        <w:rPr>
          <w:rFonts w:cs="Times New Roman"/>
        </w:rPr>
        <w:t>opening times of restaurants and bars</w:t>
      </w:r>
      <w:r w:rsidR="51ADC743" w:rsidRPr="001C2C36">
        <w:rPr>
          <w:rFonts w:cs="Times New Roman"/>
        </w:rPr>
        <w:t>.</w:t>
      </w:r>
      <w:r w:rsidR="500FAC6A" w:rsidRPr="001C2C36">
        <w:rPr>
          <w:rFonts w:cs="Times New Roman"/>
        </w:rPr>
        <w:t xml:space="preserve"> </w:t>
      </w:r>
    </w:p>
    <w:p w14:paraId="106CF7BE" w14:textId="758AB31B" w:rsidR="00A92D5F" w:rsidRPr="001C2C36" w:rsidRDefault="00A92D5F" w:rsidP="008D1CC1">
      <w:pPr>
        <w:rPr>
          <w:rFonts w:cs="Times New Roman"/>
        </w:rPr>
      </w:pPr>
      <w:r w:rsidRPr="001C2C36">
        <w:rPr>
          <w:rFonts w:cs="Times New Roman"/>
        </w:rPr>
        <w:lastRenderedPageBreak/>
        <w:t xml:space="preserve">Although other Covid-19 phases followed similar patterns, with restrictions to some extent re-imposed through two further national lockdowns (November 2020 and January to March 2021), these were less unexpected for businesses, shorter, better managed and </w:t>
      </w:r>
      <w:r w:rsidR="003B7A1D" w:rsidRPr="001C2C36">
        <w:rPr>
          <w:rFonts w:cs="Times New Roman"/>
        </w:rPr>
        <w:t>generally</w:t>
      </w:r>
      <w:r w:rsidRPr="001C2C36">
        <w:rPr>
          <w:rFonts w:cs="Times New Roman"/>
        </w:rPr>
        <w:t xml:space="preserve"> less severe than during the first lockdown </w:t>
      </w:r>
      <w:r w:rsidRPr="001C2C36">
        <w:rPr>
          <w:rFonts w:cs="Times New Roman"/>
        </w:rPr>
        <w:fldChar w:fldCharType="begin" w:fldLock="1"/>
      </w:r>
      <w:r w:rsidR="008103B6" w:rsidRPr="001C2C36">
        <w:rPr>
          <w:rFonts w:cs="Times New Roman"/>
        </w:rPr>
        <w:instrText>ADDIN CSL_CITATION {"citationItems":[{"id":"ITEM-1","itemData":{"author":[{"dropping-particle":"","family":"Brown","given":"Jennifer","non-dropping-particle":"","parse-names":false,"suffix":""},{"dropping-particle":"","family":"Kirk-Wade","given":"Esme","non-dropping-particle":"","parse-names":false,"suffix":""}],"container-title":"UK Parliament","id":"ITEM-1","issued":{"date-parts":[["2021"]]},"number-of-pages":"1-44","title":"Coronavirus: A history of English lockdown laws - House of Commons Library","type":"report"},"uris":["http://www.mendeley.com/documents/?uuid=068ee020-9864-4b8d-9733-78d37dbb870f","http://www.mendeley.com/documents/?uuid=3f932971-b9ff-46ce-8595-31f401322b7d"]},{"id":"ITEM-2","itemData":{"ISSN":"0029-5582","URL":"https://researchbriefings.files.parliament.uk/documents/CBP-8875/CBP-8875.pdf","author":[{"dropping-particle":"","family":"Barber","given":"Sarah","non-dropping-particle":"","parse-names":false,"suffix":""},{"dropping-particle":"","family":"Brown","given":"Jennifer","non-dropping-particle":"","parse-names":false,"suffix":""},{"dropping-particle":"","family":"Ferguson","given":"Daniel","non-dropping-particle":"","parse-names":false,"suffix":""}],"id":"ITEM-2","issued":{"date-parts":[["2022"]]},"title":"Coronavirus: lockdown laws","type":"webpage"},"uris":["http://www.mendeley.com/documents/?uuid=9554369c-86a8-48ae-96ea-1a4628d90f1f"]}],"mendeley":{"formattedCitation":"(Barber et al., 2022; Brown and Kirk-Wade, 2021)","plainTextFormattedCitation":"(Barber et al., 2022; Brown and Kirk-Wade, 2021)","previouslyFormattedCitation":"(Barber et al., 2022; Brown and Kirk-Wade, 2021)"},"properties":{"noteIndex":0},"schema":"https://github.com/citation-style-language/schema/raw/master/csl-citation.json"}</w:instrText>
      </w:r>
      <w:r w:rsidRPr="001C2C36">
        <w:rPr>
          <w:rFonts w:cs="Times New Roman"/>
        </w:rPr>
        <w:fldChar w:fldCharType="separate"/>
      </w:r>
      <w:r w:rsidRPr="001C2C36">
        <w:rPr>
          <w:rFonts w:cs="Times New Roman"/>
          <w:noProof/>
        </w:rPr>
        <w:t>(Barber et al., 2022; Brown and Kirk-Wade, 2021)</w:t>
      </w:r>
      <w:r w:rsidRPr="001C2C36">
        <w:rPr>
          <w:rFonts w:cs="Times New Roman"/>
        </w:rPr>
        <w:fldChar w:fldCharType="end"/>
      </w:r>
      <w:r w:rsidRPr="001C2C36">
        <w:rPr>
          <w:rFonts w:cs="Times New Roman"/>
        </w:rPr>
        <w:t xml:space="preserve">. This is also evident when looking at the employment changes in Figure 1. Unemployment rose sharply, peaking at 5.2% in the second quarter of 2020, reaching some of the highest levels since the recovery after the great recession </w:t>
      </w:r>
      <w:r w:rsidRPr="001C2C36">
        <w:rPr>
          <w:rFonts w:cs="Times New Roman"/>
        </w:rPr>
        <w:fldChar w:fldCharType="begin" w:fldLock="1"/>
      </w:r>
      <w:r w:rsidRPr="001C2C36">
        <w:rPr>
          <w:rFonts w:cs="Times New Roman"/>
        </w:rPr>
        <w:instrText>ADDIN CSL_CITATION {"citationItems":[{"id":"ITEM-1","itemData":{"URL":"https://www.ons.gov.uk/employmentandlabourmarket/peoplenotinwork/unemployment/timeseries/mgsx/lms","accessed":{"date-parts":[["2022","9","2"]]},"author":[{"dropping-particle":"","family":"Office for National Statistics","given":"","non-dropping-particle":"","parse-names":false,"suffix":""}],"id":"ITEM-1","issued":{"date-parts":[["2022"]]},"title":"Unemployment rate (aged 16 and over, seasonally adjusted): %","type":"webpage"},"uris":["http://www.mendeley.com/documents/?uuid=7ce077b1-3f18-4729-a2f8-d2187204181f","http://www.mendeley.com/documents/?uuid=694ec28e-2b07-42d4-9597-a38dd8a181f7"]}],"mendeley":{"formattedCitation":"(Office for National Statistics, 2022b)","plainTextFormattedCitation":"(Office for National Statistics, 2022b)","previouslyFormattedCitation":"(Office for National Statistics, 2022b)"},"properties":{"noteIndex":0},"schema":"https://github.com/citation-style-language/schema/raw/master/csl-citation.json"}</w:instrText>
      </w:r>
      <w:r w:rsidRPr="001C2C36">
        <w:rPr>
          <w:rFonts w:cs="Times New Roman"/>
        </w:rPr>
        <w:fldChar w:fldCharType="separate"/>
      </w:r>
      <w:r w:rsidRPr="001C2C36">
        <w:rPr>
          <w:rFonts w:cs="Times New Roman"/>
          <w:noProof/>
        </w:rPr>
        <w:t>(Office for National Statistics, 2022b)</w:t>
      </w:r>
      <w:r w:rsidRPr="001C2C36">
        <w:rPr>
          <w:rFonts w:cs="Times New Roman"/>
        </w:rPr>
        <w:fldChar w:fldCharType="end"/>
      </w:r>
      <w:r w:rsidRPr="001C2C36">
        <w:rPr>
          <w:rFonts w:cs="Times New Roman"/>
        </w:rPr>
        <w:t xml:space="preserve">. As restrictions were progressively lifted, unemployment swiftly decreased to pre-pandemic levels, with employment figures for the first quarter of 2022 surpassing the fourth quarter of 2019, as illustrated in </w:t>
      </w:r>
      <w:r w:rsidR="009B40BC">
        <w:rPr>
          <w:rFonts w:cs="Times New Roman"/>
        </w:rPr>
        <w:t>Figure 1.</w:t>
      </w:r>
    </w:p>
    <w:p w14:paraId="34B16D2B" w14:textId="77777777" w:rsidR="008D1CC1" w:rsidRPr="001C2C36" w:rsidRDefault="008D1CC1" w:rsidP="008D1CC1">
      <w:pPr>
        <w:rPr>
          <w:rFonts w:cs="Times New Roman"/>
          <w:highlight w:val="yellow"/>
        </w:rPr>
      </w:pPr>
    </w:p>
    <w:p w14:paraId="7360D65E" w14:textId="71C46E07" w:rsidR="00A92D5F" w:rsidRPr="001C2C36" w:rsidRDefault="00A92D5F" w:rsidP="006643BE">
      <w:pPr>
        <w:pStyle w:val="Caption"/>
        <w:spacing w:before="0" w:after="0" w:line="360" w:lineRule="auto"/>
        <w:jc w:val="center"/>
        <w:rPr>
          <w:rFonts w:ascii="Times New Roman" w:hAnsi="Times New Roman"/>
          <w:szCs w:val="24"/>
        </w:rPr>
      </w:pPr>
      <w:r w:rsidRPr="001C2C36">
        <w:rPr>
          <w:rFonts w:ascii="Times New Roman" w:hAnsi="Times New Roman"/>
          <w:szCs w:val="24"/>
        </w:rPr>
        <w:t xml:space="preserve">Figure </w:t>
      </w:r>
      <w:r w:rsidRPr="001C2C36">
        <w:rPr>
          <w:rFonts w:ascii="Times New Roman" w:hAnsi="Times New Roman"/>
          <w:szCs w:val="24"/>
        </w:rPr>
        <w:fldChar w:fldCharType="begin"/>
      </w:r>
      <w:r w:rsidRPr="001C2C36">
        <w:rPr>
          <w:rFonts w:ascii="Times New Roman" w:hAnsi="Times New Roman"/>
          <w:szCs w:val="24"/>
        </w:rPr>
        <w:instrText>SEQ Figure \* ARABIC</w:instrText>
      </w:r>
      <w:r w:rsidRPr="001C2C36">
        <w:rPr>
          <w:rFonts w:ascii="Times New Roman" w:hAnsi="Times New Roman"/>
          <w:szCs w:val="24"/>
        </w:rPr>
        <w:fldChar w:fldCharType="separate"/>
      </w:r>
      <w:r w:rsidRPr="001C2C36">
        <w:rPr>
          <w:rFonts w:ascii="Times New Roman" w:hAnsi="Times New Roman"/>
          <w:noProof/>
          <w:szCs w:val="24"/>
        </w:rPr>
        <w:t>1</w:t>
      </w:r>
      <w:r w:rsidRPr="001C2C36">
        <w:rPr>
          <w:rFonts w:ascii="Times New Roman" w:hAnsi="Times New Roman"/>
          <w:szCs w:val="24"/>
        </w:rPr>
        <w:fldChar w:fldCharType="end"/>
      </w:r>
      <w:r w:rsidRPr="001C2C36">
        <w:rPr>
          <w:rFonts w:ascii="Times New Roman" w:hAnsi="Times New Roman"/>
          <w:szCs w:val="24"/>
        </w:rPr>
        <w:t xml:space="preserve"> Unemployment rate (aged 16 and over)</w:t>
      </w:r>
      <w:r w:rsidR="00727C8F" w:rsidRPr="001C2C36">
        <w:rPr>
          <w:rFonts w:ascii="Times New Roman" w:hAnsi="Times New Roman"/>
          <w:szCs w:val="24"/>
        </w:rPr>
        <w:t>.</w:t>
      </w:r>
    </w:p>
    <w:p w14:paraId="650CD77F" w14:textId="77777777" w:rsidR="00A92D5F" w:rsidRPr="001C2C36" w:rsidRDefault="00A92D5F" w:rsidP="21F03F9F">
      <w:pPr>
        <w:pStyle w:val="NormalWeb"/>
        <w:keepNext/>
        <w:shd w:val="clear" w:color="auto" w:fill="FFFFFF" w:themeFill="background1"/>
        <w:spacing w:before="0" w:beforeAutospacing="0" w:after="0" w:afterAutospacing="0"/>
        <w:jc w:val="center"/>
      </w:pPr>
      <w:r w:rsidRPr="001C2C36">
        <w:rPr>
          <w:noProof/>
        </w:rPr>
        <w:drawing>
          <wp:inline distT="0" distB="0" distL="0" distR="0" wp14:anchorId="0C4D43C5" wp14:editId="4EE5DD9E">
            <wp:extent cx="5819775" cy="2505075"/>
            <wp:effectExtent l="0" t="0" r="9525" b="9525"/>
            <wp:docPr id="2" name="Chart 2">
              <a:extLst xmlns:a="http://schemas.openxmlformats.org/drawingml/2006/main">
                <a:ext uri="{FF2B5EF4-FFF2-40B4-BE49-F238E27FC236}">
                  <a16:creationId xmlns:a16="http://schemas.microsoft.com/office/drawing/2014/main" id="{8E52FBD2-869A-866C-018D-EF8D5E9C71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08E0D0C" w14:textId="79D5AC4B" w:rsidR="00C82241" w:rsidRPr="001C2C36" w:rsidRDefault="00A92D5F" w:rsidP="00B91D83">
      <w:pPr>
        <w:pStyle w:val="NormalWeb"/>
        <w:keepNext/>
        <w:shd w:val="clear" w:color="auto" w:fill="FFFFFF" w:themeFill="background1"/>
        <w:spacing w:before="0" w:beforeAutospacing="0" w:after="0" w:afterAutospacing="0"/>
      </w:pPr>
      <w:r w:rsidRPr="001C2C36">
        <w:t>Writers’ illustration based on data from Office for National Statistics (2022).</w:t>
      </w:r>
    </w:p>
    <w:p w14:paraId="6291CD7B" w14:textId="77777777" w:rsidR="006643BE" w:rsidRPr="001C2C36" w:rsidRDefault="006643BE" w:rsidP="00B91D83">
      <w:pPr>
        <w:pStyle w:val="NormalWeb"/>
        <w:keepNext/>
        <w:shd w:val="clear" w:color="auto" w:fill="FFFFFF" w:themeFill="background1"/>
        <w:spacing w:before="0" w:beforeAutospacing="0" w:after="0" w:afterAutospacing="0"/>
      </w:pPr>
    </w:p>
    <w:p w14:paraId="3D1830EC" w14:textId="317D17CD" w:rsidR="00C93407" w:rsidRPr="001C2C36" w:rsidRDefault="005051FB" w:rsidP="00C93407">
      <w:pPr>
        <w:pStyle w:val="Heading1"/>
        <w:rPr>
          <w:rFonts w:cs="Times New Roman"/>
          <w:szCs w:val="24"/>
        </w:rPr>
      </w:pPr>
      <w:r w:rsidRPr="001C2C36">
        <w:rPr>
          <w:rFonts w:cs="Times New Roman"/>
          <w:szCs w:val="24"/>
        </w:rPr>
        <w:t>Hypotheses Development</w:t>
      </w:r>
    </w:p>
    <w:p w14:paraId="43C2C7C7" w14:textId="1ABA4DB5" w:rsidR="00A92D5F" w:rsidRPr="001C2C36" w:rsidRDefault="00A94DFC" w:rsidP="008E7323">
      <w:pPr>
        <w:rPr>
          <w:rFonts w:cs="Times New Roman"/>
        </w:rPr>
      </w:pPr>
      <w:r w:rsidRPr="001C2C36">
        <w:rPr>
          <w:rFonts w:cs="Times New Roman"/>
        </w:rPr>
        <w:t>The hypotheses for the study, developed in this section, focus on the interplay between the receipt of government support and firm</w:t>
      </w:r>
      <w:r w:rsidR="000C350D" w:rsidRPr="001C2C36">
        <w:rPr>
          <w:rFonts w:cs="Times New Roman"/>
        </w:rPr>
        <w:t>-</w:t>
      </w:r>
      <w:r w:rsidRPr="001C2C36">
        <w:rPr>
          <w:rFonts w:cs="Times New Roman"/>
        </w:rPr>
        <w:t xml:space="preserve">level dynamic capabilities </w:t>
      </w:r>
      <w:r w:rsidR="00707CE4" w:rsidRPr="001C2C36">
        <w:rPr>
          <w:rFonts w:cs="Times New Roman"/>
        </w:rPr>
        <w:t>during</w:t>
      </w:r>
      <w:r w:rsidRPr="001C2C36">
        <w:rPr>
          <w:rFonts w:cs="Times New Roman"/>
        </w:rPr>
        <w:t xml:space="preserve"> Covid-19.</w:t>
      </w:r>
      <w:r w:rsidR="009E458A" w:rsidRPr="001C2C36">
        <w:rPr>
          <w:rFonts w:cs="Times New Roman"/>
        </w:rPr>
        <w:t xml:space="preserve"> </w:t>
      </w:r>
      <w:r w:rsidR="005F790A" w:rsidRPr="001C2C36">
        <w:rPr>
          <w:rFonts w:cs="Times New Roman"/>
        </w:rPr>
        <w:t xml:space="preserve">We </w:t>
      </w:r>
      <w:r w:rsidR="00B70C45" w:rsidRPr="001C2C36">
        <w:rPr>
          <w:rFonts w:cs="Times New Roman"/>
        </w:rPr>
        <w:t xml:space="preserve">thus </w:t>
      </w:r>
      <w:r w:rsidR="00697599" w:rsidRPr="001C2C36">
        <w:rPr>
          <w:rFonts w:cs="Times New Roman"/>
        </w:rPr>
        <w:t>h</w:t>
      </w:r>
      <w:r w:rsidR="005051FB" w:rsidRPr="001C2C36">
        <w:rPr>
          <w:rFonts w:cs="Times New Roman"/>
        </w:rPr>
        <w:t>ypothes</w:t>
      </w:r>
      <w:r w:rsidR="00697599" w:rsidRPr="001C2C36">
        <w:rPr>
          <w:rFonts w:cs="Times New Roman"/>
        </w:rPr>
        <w:t>ise</w:t>
      </w:r>
      <w:r w:rsidR="005051FB" w:rsidRPr="001C2C36">
        <w:rPr>
          <w:rFonts w:cs="Times New Roman"/>
        </w:rPr>
        <w:t xml:space="preserve"> on </w:t>
      </w:r>
      <w:r w:rsidR="00C63C5D" w:rsidRPr="001C2C36">
        <w:rPr>
          <w:rFonts w:cs="Times New Roman"/>
        </w:rPr>
        <w:t>two</w:t>
      </w:r>
      <w:r w:rsidR="006F7CD2" w:rsidRPr="001C2C36">
        <w:rPr>
          <w:rFonts w:cs="Times New Roman"/>
        </w:rPr>
        <w:t xml:space="preserve"> </w:t>
      </w:r>
      <w:r w:rsidR="005051FB" w:rsidRPr="001C2C36">
        <w:rPr>
          <w:rFonts w:cs="Times New Roman"/>
        </w:rPr>
        <w:t>core research questions. The first focuses on whether DCs impact SME employment</w:t>
      </w:r>
      <w:r w:rsidR="5091583A" w:rsidRPr="001C2C36">
        <w:rPr>
          <w:rFonts w:cs="Times New Roman"/>
        </w:rPr>
        <w:t>.</w:t>
      </w:r>
      <w:r w:rsidR="005051FB" w:rsidRPr="001C2C36">
        <w:rPr>
          <w:rFonts w:cs="Times New Roman"/>
        </w:rPr>
        <w:t xml:space="preserve"> The second </w:t>
      </w:r>
      <w:r w:rsidR="00C03565" w:rsidRPr="001C2C36">
        <w:rPr>
          <w:rFonts w:cs="Times New Roman"/>
        </w:rPr>
        <w:t xml:space="preserve">is twofold and covers the impact of government support </w:t>
      </w:r>
      <w:r w:rsidR="00596BD0" w:rsidRPr="001C2C36">
        <w:rPr>
          <w:rFonts w:cs="Times New Roman"/>
        </w:rPr>
        <w:t xml:space="preserve">on </w:t>
      </w:r>
      <w:r w:rsidR="007371C4" w:rsidRPr="001C2C36">
        <w:rPr>
          <w:rFonts w:cs="Times New Roman"/>
        </w:rPr>
        <w:t xml:space="preserve">SME </w:t>
      </w:r>
      <w:r w:rsidR="00596BD0" w:rsidRPr="001C2C36">
        <w:rPr>
          <w:rFonts w:cs="Times New Roman"/>
        </w:rPr>
        <w:t xml:space="preserve">employment </w:t>
      </w:r>
      <w:r w:rsidR="00732D0B" w:rsidRPr="001C2C36">
        <w:rPr>
          <w:rFonts w:cs="Times New Roman"/>
        </w:rPr>
        <w:t xml:space="preserve">and its </w:t>
      </w:r>
      <w:r w:rsidR="005051FB" w:rsidRPr="001C2C36">
        <w:rPr>
          <w:rFonts w:cs="Times New Roman"/>
        </w:rPr>
        <w:t xml:space="preserve">role in moderating </w:t>
      </w:r>
      <w:r w:rsidR="007371C4" w:rsidRPr="001C2C36">
        <w:rPr>
          <w:rFonts w:cs="Times New Roman"/>
        </w:rPr>
        <w:t xml:space="preserve">the relationship between DCs and </w:t>
      </w:r>
      <w:r w:rsidR="00703F89" w:rsidRPr="001C2C36">
        <w:rPr>
          <w:rFonts w:cs="Times New Roman"/>
        </w:rPr>
        <w:t xml:space="preserve">SME </w:t>
      </w:r>
      <w:r w:rsidR="007371C4" w:rsidRPr="001C2C36">
        <w:rPr>
          <w:rFonts w:cs="Times New Roman"/>
        </w:rPr>
        <w:t>employment</w:t>
      </w:r>
      <w:r w:rsidR="005051FB" w:rsidRPr="001C2C36">
        <w:rPr>
          <w:rFonts w:cs="Times New Roman"/>
        </w:rPr>
        <w:t xml:space="preserve">. </w:t>
      </w:r>
      <w:r w:rsidR="00A92D5F" w:rsidRPr="001C2C36">
        <w:rPr>
          <w:rFonts w:cs="Times New Roman"/>
        </w:rPr>
        <w:t>Figure 2 presents the overall conceptual framework for the study, illustrating the relationship between the three hypotheses.</w:t>
      </w:r>
    </w:p>
    <w:p w14:paraId="3F1EA9B3" w14:textId="77777777" w:rsidR="00A92D5F" w:rsidRPr="001C2C36" w:rsidRDefault="00A92D5F" w:rsidP="006643BE">
      <w:pPr>
        <w:pStyle w:val="Caption"/>
        <w:keepNext/>
        <w:spacing w:after="0" w:line="360" w:lineRule="auto"/>
        <w:jc w:val="center"/>
        <w:rPr>
          <w:rFonts w:ascii="Times New Roman" w:hAnsi="Times New Roman"/>
          <w:szCs w:val="24"/>
        </w:rPr>
      </w:pPr>
      <w:r w:rsidRPr="001C2C36">
        <w:rPr>
          <w:rFonts w:ascii="Times New Roman" w:hAnsi="Times New Roman"/>
          <w:szCs w:val="24"/>
        </w:rPr>
        <w:lastRenderedPageBreak/>
        <w:t xml:space="preserve">Figure </w:t>
      </w:r>
      <w:r w:rsidRPr="001C2C36">
        <w:rPr>
          <w:rFonts w:ascii="Times New Roman" w:hAnsi="Times New Roman"/>
          <w:szCs w:val="24"/>
        </w:rPr>
        <w:fldChar w:fldCharType="begin"/>
      </w:r>
      <w:r w:rsidRPr="001C2C36">
        <w:rPr>
          <w:rFonts w:ascii="Times New Roman" w:hAnsi="Times New Roman"/>
          <w:szCs w:val="24"/>
        </w:rPr>
        <w:instrText>SEQ Figure \* ARABIC</w:instrText>
      </w:r>
      <w:r w:rsidRPr="001C2C36">
        <w:rPr>
          <w:rFonts w:ascii="Times New Roman" w:hAnsi="Times New Roman"/>
          <w:szCs w:val="24"/>
        </w:rPr>
        <w:fldChar w:fldCharType="separate"/>
      </w:r>
      <w:r w:rsidRPr="001C2C36">
        <w:rPr>
          <w:rFonts w:ascii="Times New Roman" w:hAnsi="Times New Roman"/>
          <w:noProof/>
          <w:szCs w:val="24"/>
        </w:rPr>
        <w:t>2</w:t>
      </w:r>
      <w:r w:rsidRPr="001C2C36">
        <w:rPr>
          <w:rFonts w:ascii="Times New Roman" w:hAnsi="Times New Roman"/>
          <w:szCs w:val="24"/>
        </w:rPr>
        <w:fldChar w:fldCharType="end"/>
      </w:r>
      <w:r w:rsidRPr="001C2C36">
        <w:rPr>
          <w:rFonts w:ascii="Times New Roman" w:hAnsi="Times New Roman"/>
          <w:szCs w:val="24"/>
        </w:rPr>
        <w:t xml:space="preserve"> Theoretical model.</w:t>
      </w:r>
    </w:p>
    <w:p w14:paraId="166113BE" w14:textId="77777777" w:rsidR="00A92D5F" w:rsidRPr="001C2C36" w:rsidRDefault="00A92D5F" w:rsidP="006643BE">
      <w:pPr>
        <w:spacing w:after="0"/>
        <w:jc w:val="center"/>
        <w:rPr>
          <w:rFonts w:cs="Times New Roman"/>
        </w:rPr>
      </w:pPr>
      <w:r w:rsidRPr="001C2C36">
        <w:rPr>
          <w:rFonts w:cs="Times New Roman"/>
          <w:noProof/>
        </w:rPr>
        <w:drawing>
          <wp:inline distT="0" distB="0" distL="0" distR="0" wp14:anchorId="1075DA02" wp14:editId="01A327E9">
            <wp:extent cx="5821200" cy="3164592"/>
            <wp:effectExtent l="19050" t="19050" r="27305" b="17145"/>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rotWithShape="1">
                    <a:blip r:embed="rId11" cstate="print">
                      <a:extLst>
                        <a:ext uri="{28A0092B-C50C-407E-A947-70E740481C1C}">
                          <a14:useLocalDpi xmlns:a14="http://schemas.microsoft.com/office/drawing/2010/main"/>
                        </a:ext>
                      </a:extLst>
                    </a:blip>
                    <a:srcRect t="-3745" b="-2048"/>
                    <a:stretch/>
                  </pic:blipFill>
                  <pic:spPr bwMode="auto">
                    <a:xfrm>
                      <a:off x="0" y="0"/>
                      <a:ext cx="5821200" cy="3164592"/>
                    </a:xfrm>
                    <a:prstGeom prst="rect">
                      <a:avLst/>
                    </a:prstGeom>
                    <a:ln w="9525" cap="flat" cmpd="sng" algn="ctr">
                      <a:solidFill>
                        <a:sysClr val="windowText" lastClr="000000">
                          <a:lumMod val="95000"/>
                          <a:lumOff val="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253F2017" w14:textId="77777777" w:rsidR="00A92D5F" w:rsidRPr="001C2C36" w:rsidRDefault="00A92D5F" w:rsidP="006643BE">
      <w:pPr>
        <w:spacing w:line="240" w:lineRule="auto"/>
        <w:rPr>
          <w:rFonts w:cs="Times New Roman"/>
          <w:szCs w:val="24"/>
        </w:rPr>
      </w:pPr>
      <w:r w:rsidRPr="001C2C36">
        <w:rPr>
          <w:rFonts w:cs="Times New Roman"/>
          <w:szCs w:val="24"/>
        </w:rPr>
        <w:t xml:space="preserve">Writers’ illustration. Arrows represent the changes in employment, which ↑ refers to employment growth and ↓ to reduction. Circles relate to the months starting with March 2020. </w:t>
      </w:r>
      <w:r w:rsidRPr="001C2C36">
        <w:rPr>
          <w:rFonts w:cs="Times New Roman"/>
          <w:noProof/>
          <w:szCs w:val="24"/>
        </w:rPr>
        <w:t xml:space="preserve">The shaded colours in the Covid-19 timeline refer to the severity of restrictions, with black indicating severe restrictions and white almost no restrictions. </w:t>
      </w:r>
      <w:r w:rsidRPr="001C2C36">
        <w:rPr>
          <w:rFonts w:cs="Times New Roman"/>
          <w:szCs w:val="24"/>
        </w:rPr>
        <w:t xml:space="preserve">The Covid-19 timeline is based on Barber et al. </w:t>
      </w:r>
      <w:r w:rsidRPr="001C2C36">
        <w:rPr>
          <w:rFonts w:cs="Times New Roman"/>
          <w:szCs w:val="24"/>
        </w:rPr>
        <w:fldChar w:fldCharType="begin" w:fldLock="1"/>
      </w:r>
      <w:r w:rsidRPr="001C2C36">
        <w:rPr>
          <w:rFonts w:cs="Times New Roman"/>
          <w:szCs w:val="24"/>
        </w:rPr>
        <w:instrText>ADDIN CSL_CITATION {"citationItems":[{"id":"ITEM-1","itemData":{"ISSN":"0029-5582","URL":"https://researchbriefings.files.parliament.uk/documents/CBP-8875/CBP-8875.pdf","author":[{"dropping-particle":"","family":"Barber","given":"Sarah","non-dropping-particle":"","parse-names":false,"suffix":""},{"dropping-particle":"","family":"Brown","given":"Jennifer","non-dropping-particle":"","parse-names":false,"suffix":""},{"dropping-particle":"","family":"Ferguson","given":"Daniel","non-dropping-particle":"","parse-names":false,"suffix":""}],"id":"ITEM-1","issued":{"date-parts":[["2022"]]},"title":"Coronavirus: lockdown laws","type":"webpage"},"suppress-author":1,"uris":["http://www.mendeley.com/documents/?uuid=9554369c-86a8-48ae-96ea-1a4628d90f1f"]}],"mendeley":{"formattedCitation":"(2022)","plainTextFormattedCitation":"(2022)","previouslyFormattedCitation":"(2022)"},"properties":{"noteIndex":0},"schema":"https://github.com/citation-style-language/schema/raw/master/csl-citation.json"}</w:instrText>
      </w:r>
      <w:r w:rsidRPr="001C2C36">
        <w:rPr>
          <w:rFonts w:cs="Times New Roman"/>
          <w:szCs w:val="24"/>
        </w:rPr>
        <w:fldChar w:fldCharType="separate"/>
      </w:r>
      <w:r w:rsidRPr="001C2C36">
        <w:rPr>
          <w:rFonts w:cs="Times New Roman"/>
          <w:noProof/>
          <w:szCs w:val="24"/>
        </w:rPr>
        <w:t>(2022)</w:t>
      </w:r>
      <w:r w:rsidRPr="001C2C36">
        <w:rPr>
          <w:rFonts w:cs="Times New Roman"/>
          <w:szCs w:val="24"/>
        </w:rPr>
        <w:fldChar w:fldCharType="end"/>
      </w:r>
      <w:r w:rsidRPr="001C2C36">
        <w:rPr>
          <w:rFonts w:cs="Times New Roman"/>
          <w:szCs w:val="24"/>
        </w:rPr>
        <w:t xml:space="preserve"> and Br</w:t>
      </w:r>
      <w:r w:rsidRPr="001C2C36">
        <w:rPr>
          <w:rFonts w:cs="Times New Roman"/>
          <w:noProof/>
          <w:szCs w:val="24"/>
        </w:rPr>
        <w:t xml:space="preserve">own and Kirk-Wade (2021). </w:t>
      </w:r>
    </w:p>
    <w:p w14:paraId="3F08F07D" w14:textId="01BED173" w:rsidR="00A92D5F" w:rsidRPr="001C2C36" w:rsidRDefault="00A92D5F" w:rsidP="005D3AE7">
      <w:pPr>
        <w:autoSpaceDE w:val="0"/>
        <w:autoSpaceDN w:val="0"/>
        <w:adjustRightInd w:val="0"/>
        <w:spacing w:before="240"/>
        <w:jc w:val="center"/>
        <w:rPr>
          <w:rFonts w:cs="Times New Roman"/>
          <w:i/>
          <w:iCs/>
          <w:szCs w:val="24"/>
        </w:rPr>
      </w:pPr>
    </w:p>
    <w:p w14:paraId="30008D32" w14:textId="06C46B99" w:rsidR="00997840" w:rsidRPr="001C2C36" w:rsidRDefault="005051FB" w:rsidP="008E7323">
      <w:pPr>
        <w:rPr>
          <w:rFonts w:cs="Times New Roman"/>
        </w:rPr>
      </w:pPr>
      <w:r w:rsidRPr="001C2C36">
        <w:rPr>
          <w:rFonts w:cs="Times New Roman"/>
        </w:rPr>
        <w:t>In developing the hypotheses, we consider two timeframes</w:t>
      </w:r>
      <w:r w:rsidR="003A06A0" w:rsidRPr="001C2C36">
        <w:rPr>
          <w:rFonts w:cs="Times New Roman"/>
        </w:rPr>
        <w:t>.</w:t>
      </w:r>
      <w:r w:rsidR="009671F0" w:rsidRPr="001C2C36">
        <w:rPr>
          <w:rFonts w:cs="Times New Roman"/>
        </w:rPr>
        <w:t xml:space="preserve"> </w:t>
      </w:r>
      <w:r w:rsidR="003A06A0" w:rsidRPr="001C2C36">
        <w:rPr>
          <w:rFonts w:cs="Times New Roman"/>
        </w:rPr>
        <w:t>The first</w:t>
      </w:r>
      <w:r w:rsidRPr="001C2C36">
        <w:rPr>
          <w:rFonts w:cs="Times New Roman"/>
        </w:rPr>
        <w:t xml:space="preserve"> reflect</w:t>
      </w:r>
      <w:r w:rsidR="00BC0077" w:rsidRPr="001C2C36">
        <w:rPr>
          <w:rFonts w:cs="Times New Roman"/>
        </w:rPr>
        <w:t>s</w:t>
      </w:r>
      <w:r w:rsidRPr="001C2C36">
        <w:rPr>
          <w:rFonts w:cs="Times New Roman"/>
        </w:rPr>
        <w:t xml:space="preserve"> the shock of the </w:t>
      </w:r>
      <w:r w:rsidR="00BC0077" w:rsidRPr="001C2C36">
        <w:rPr>
          <w:rFonts w:cs="Times New Roman"/>
        </w:rPr>
        <w:t xml:space="preserve">first lockdown </w:t>
      </w:r>
      <w:r w:rsidR="0058266C" w:rsidRPr="001C2C36">
        <w:rPr>
          <w:rFonts w:cs="Times New Roman"/>
        </w:rPr>
        <w:t>during</w:t>
      </w:r>
      <w:r w:rsidR="00BC0077" w:rsidRPr="001C2C36">
        <w:rPr>
          <w:rFonts w:cs="Times New Roman"/>
        </w:rPr>
        <w:t xml:space="preserve"> the Covid-19 pandemic</w:t>
      </w:r>
      <w:r w:rsidR="00A81A09" w:rsidRPr="001C2C36">
        <w:rPr>
          <w:rFonts w:cs="Times New Roman"/>
        </w:rPr>
        <w:t xml:space="preserve"> </w:t>
      </w:r>
      <w:r w:rsidR="00C12E18" w:rsidRPr="001C2C36">
        <w:rPr>
          <w:rFonts w:cs="Times New Roman"/>
        </w:rPr>
        <w:t xml:space="preserve">by capturing employment </w:t>
      </w:r>
      <w:r w:rsidR="00C05E97" w:rsidRPr="001C2C36">
        <w:rPr>
          <w:rFonts w:cs="Times New Roman"/>
        </w:rPr>
        <w:t xml:space="preserve">change </w:t>
      </w:r>
      <w:r w:rsidR="00C12E18" w:rsidRPr="001C2C36">
        <w:rPr>
          <w:rFonts w:cs="Times New Roman"/>
        </w:rPr>
        <w:t xml:space="preserve">over the 12 months </w:t>
      </w:r>
      <w:r w:rsidR="00386F3F" w:rsidRPr="001C2C36">
        <w:rPr>
          <w:rFonts w:cs="Times New Roman"/>
        </w:rPr>
        <w:t xml:space="preserve">prior to survey completion, </w:t>
      </w:r>
      <w:r w:rsidR="002A5236" w:rsidRPr="001C2C36">
        <w:rPr>
          <w:rFonts w:cs="Times New Roman"/>
        </w:rPr>
        <w:t xml:space="preserve">with </w:t>
      </w:r>
      <w:r w:rsidR="009F0BA7" w:rsidRPr="001C2C36">
        <w:rPr>
          <w:rFonts w:cs="Times New Roman"/>
        </w:rPr>
        <w:t>survey</w:t>
      </w:r>
      <w:r w:rsidR="002A5236" w:rsidRPr="001C2C36">
        <w:rPr>
          <w:rFonts w:cs="Times New Roman"/>
        </w:rPr>
        <w:t xml:space="preserve"> data </w:t>
      </w:r>
      <w:r w:rsidR="00386F3F" w:rsidRPr="001C2C36">
        <w:rPr>
          <w:rFonts w:cs="Times New Roman"/>
        </w:rPr>
        <w:t>collection taking place</w:t>
      </w:r>
      <w:r w:rsidR="002A5236" w:rsidRPr="001C2C36">
        <w:rPr>
          <w:rFonts w:cs="Times New Roman"/>
        </w:rPr>
        <w:t xml:space="preserve"> in</w:t>
      </w:r>
      <w:r w:rsidR="00C12E18" w:rsidRPr="001C2C36">
        <w:rPr>
          <w:rFonts w:cs="Times New Roman"/>
        </w:rPr>
        <w:t xml:space="preserve"> September </w:t>
      </w:r>
      <w:r w:rsidR="74B54163" w:rsidRPr="001C2C36">
        <w:rPr>
          <w:rFonts w:cs="Times New Roman"/>
        </w:rPr>
        <w:t>and</w:t>
      </w:r>
      <w:r w:rsidR="00C12E18" w:rsidRPr="001C2C36">
        <w:rPr>
          <w:rFonts w:cs="Times New Roman"/>
        </w:rPr>
        <w:t xml:space="preserve"> October</w:t>
      </w:r>
      <w:r w:rsidR="0084757B" w:rsidRPr="001C2C36">
        <w:rPr>
          <w:rFonts w:cs="Times New Roman"/>
        </w:rPr>
        <w:t xml:space="preserve"> 2020</w:t>
      </w:r>
      <w:r w:rsidR="00C12E18" w:rsidRPr="001C2C36">
        <w:rPr>
          <w:rFonts w:cs="Times New Roman"/>
        </w:rPr>
        <w:t xml:space="preserve">. </w:t>
      </w:r>
      <w:r w:rsidR="00A92D5F" w:rsidRPr="001C2C36">
        <w:rPr>
          <w:rFonts w:cs="Times New Roman"/>
        </w:rPr>
        <w:t xml:space="preserve">We chose this timeframe because it covers the period </w:t>
      </w:r>
      <w:r w:rsidR="23DC8358" w:rsidRPr="001C2C36">
        <w:rPr>
          <w:rFonts w:cs="Times New Roman"/>
        </w:rPr>
        <w:t>incorporating</w:t>
      </w:r>
      <w:r w:rsidR="00A92D5F" w:rsidRPr="001C2C36">
        <w:rPr>
          <w:rFonts w:cs="Times New Roman"/>
        </w:rPr>
        <w:t xml:space="preserve"> the first lockdown until just before the second lockdown and thus allows enough time for the initial impacts of the Covid-19 shock on employment to be felt by SMEs. It includes imposing and lifting one round of restrictions </w:t>
      </w:r>
      <w:r w:rsidR="00A92D5F" w:rsidRPr="001C2C36">
        <w:rPr>
          <w:rFonts w:cs="Times New Roman"/>
        </w:rPr>
        <w:fldChar w:fldCharType="begin" w:fldLock="1"/>
      </w:r>
      <w:r w:rsidR="00A92D5F" w:rsidRPr="001C2C36">
        <w:rPr>
          <w:rFonts w:cs="Times New Roman"/>
        </w:rPr>
        <w:instrText>ADDIN CSL_CITATION {"citationItems":[{"id":"ITEM-1","itemData":{"author":[{"dropping-particle":"","family":"Brown","given":"Jennifer","non-dropping-particle":"","parse-names":false,"suffix":""},{"dropping-particle":"","family":"Kirk-Wade","given":"Esme","non-dropping-particle":"","parse-names":false,"suffix":""}],"container-title":"UK Parliament","id":"ITEM-1","issued":{"date-parts":[["2021"]]},"number-of-pages":"1-44","title":"Coronavirus: A history of English lockdown laws - House of Commons Library","type":"report"},"uris":["http://www.mendeley.com/documents/?uuid=068ee020-9864-4b8d-9733-78d37dbb870f"]}],"mendeley":{"formattedCitation":"(Brown and Kirk-Wade, 2021)","plainTextFormattedCitation":"(Brown and Kirk-Wade, 2021)","previouslyFormattedCitation":"(Brown and Kirk-Wade, 2021)"},"properties":{"noteIndex":0},"schema":"https://github.com/citation-style-language/schema/raw/master/csl-citation.json"}</w:instrText>
      </w:r>
      <w:r w:rsidR="00A92D5F" w:rsidRPr="001C2C36">
        <w:rPr>
          <w:rFonts w:cs="Times New Roman"/>
        </w:rPr>
        <w:fldChar w:fldCharType="separate"/>
      </w:r>
      <w:r w:rsidR="00A92D5F" w:rsidRPr="001C2C36">
        <w:rPr>
          <w:rFonts w:cs="Times New Roman"/>
          <w:noProof/>
        </w:rPr>
        <w:t>(Brown and Kirk-Wade, 2021)</w:t>
      </w:r>
      <w:r w:rsidR="00A92D5F" w:rsidRPr="001C2C36">
        <w:rPr>
          <w:rFonts w:cs="Times New Roman"/>
        </w:rPr>
        <w:fldChar w:fldCharType="end"/>
      </w:r>
      <w:r w:rsidR="00A92D5F" w:rsidRPr="001C2C36">
        <w:rPr>
          <w:rFonts w:cs="Times New Roman"/>
        </w:rPr>
        <w:t xml:space="preserve"> and the introduction of most government support mechanisms </w:t>
      </w:r>
      <w:r w:rsidR="00A92D5F" w:rsidRPr="001C2C36">
        <w:rPr>
          <w:rFonts w:cs="Times New Roman"/>
        </w:rPr>
        <w:fldChar w:fldCharType="begin" w:fldLock="1"/>
      </w:r>
      <w:r w:rsidR="00A92D5F" w:rsidRPr="001C2C36">
        <w:rPr>
          <w:rFonts w:cs="Times New Roman"/>
        </w:rPr>
        <w:instrText>ADDIN CSL_CITATION {"citationItems":[{"id":"ITEM-1","itemData":{"ISSN":"0029-5582","URL":"https://researchbriefings.files.parliament.uk/documents/CBP-8875/CBP-8875.pdf","author":[{"dropping-particle":"","family":"Barber","given":"Sarah","non-dropping-particle":"","parse-names":false,"suffix":""},{"dropping-particle":"","family":"Brown","given":"Jennifer","non-dropping-particle":"","parse-names":false,"suffix":""},{"dropping-particle":"","family":"Ferguson","given":"Daniel","non-dropping-particle":"","parse-names":false,"suffix":""}],"id":"ITEM-1","issued":{"date-parts":[["2022"]]},"title":"Coronavirus: lockdown laws","type":"webpage"},"uris":["http://www.mendeley.com/documents/?uuid=9554369c-86a8-48ae-96ea-1a4628d90f1f"]}],"mendeley":{"formattedCitation":"(Barber et al., 2022)","plainTextFormattedCitation":"(Barber et al., 2022)","previouslyFormattedCitation":"(Barber et al., 2022)"},"properties":{"noteIndex":0},"schema":"https://github.com/citation-style-language/schema/raw/master/csl-citation.json"}</w:instrText>
      </w:r>
      <w:r w:rsidR="00A92D5F" w:rsidRPr="001C2C36">
        <w:rPr>
          <w:rFonts w:cs="Times New Roman"/>
        </w:rPr>
        <w:fldChar w:fldCharType="separate"/>
      </w:r>
      <w:r w:rsidR="00A92D5F" w:rsidRPr="001C2C36">
        <w:rPr>
          <w:rFonts w:cs="Times New Roman"/>
          <w:noProof/>
        </w:rPr>
        <w:t>(Barber et al., 2022)</w:t>
      </w:r>
      <w:r w:rsidR="00A92D5F" w:rsidRPr="001C2C36">
        <w:rPr>
          <w:rFonts w:cs="Times New Roman"/>
        </w:rPr>
        <w:fldChar w:fldCharType="end"/>
      </w:r>
      <w:r w:rsidR="00A92D5F" w:rsidRPr="001C2C36">
        <w:rPr>
          <w:rFonts w:cs="Times New Roman"/>
        </w:rPr>
        <w:t xml:space="preserve">, allowing for their initial impact also to be measured. During this timeframe, firms also began to adapt by moving online and introducing improved remote working practices and technologies </w:t>
      </w:r>
      <w:r w:rsidR="00A92D5F" w:rsidRPr="001C2C36">
        <w:rPr>
          <w:rFonts w:cs="Times New Roman"/>
        </w:rPr>
        <w:fldChar w:fldCharType="begin" w:fldLock="1"/>
      </w:r>
      <w:r w:rsidR="00A92D5F" w:rsidRPr="001C2C36">
        <w:rPr>
          <w:rFonts w:cs="Times New Roman"/>
        </w:rPr>
        <w:instrText>ADDIN CSL_CITATION {"citationItems":[{"id":"ITEM-1","itemData":{"DOI":"10.1371/journal.pone.0265131","ISBN":"1111111111","ISSN":"19326203","PMID":"35271671","abstract":"In these times of successive lockdown periods due to the health crisis induced by COVID-19, this paper investigates how the usages of collaborative and communication digital tools (groupware, workflow, instant messaging and web conference) are related to the evolution of teleworkers' subjective well-being (job satisfaction, job stress) and job productivity comparing during and before the first lockdown in spring 2020. Using a sample of 438 employees working for firms located in Luxembourg, this analysis enables, first, to highlight different profiles of teleworkers regarding the evolution of usages of these tools during the lockdown compared to before and the frequency of use during. Second, the analysis highlights that these profiles are linked to the evolution of job satisfaction, job stress and job productivity. Our main results show that (1) the profile that generates an increase in job productivity is the one with a combined mastered daily or weekly use of all of the four studied digital tools but at the expense of job satisfaction. On the contrary, (2) the use of the four digital tools both before and during the lockdown, associated with an increase in the frequency of use, appears to generate too much information flow to deal with and teleworkers may suffer from information overload that increases their stress and reduces their job satisfaction and job productivity. (3) The habit of using the four tools on a daily basis before the lockdown appears to protect teleworkers from most of the adverse effects, except for an increase in their job stress. Our results have theoretical and managerial implications for the future of the digitally transformed home office.","author":[{"dropping-particle":"","family":"Martin","given":"Ludivine","non-dropping-particle":"","parse-names":false,"suffix":""},{"dropping-particle":"","family":"Hauret","given":"Laetitia","non-dropping-particle":"","parse-names":false,"suffix":""},{"dropping-particle":"","family":"Fuhrer","given":"Chantal","non-dropping-particle":"","parse-names":false,"suffix":""}],"container-title":"PLoS ONE","id":"ITEM-1","issued":{"date-parts":[["2022"]]},"page":"1-23","title":"Digitally transformed home office impacts on job satisfaction, job stress and job productivity. COVID-19 findings","type":"article-journal","volume":"17"},"uris":["http://www.mendeley.com/documents/?uuid=83f633f8-8710-4cd8-8180-b116850a10b1"]}],"mendeley":{"formattedCitation":"(Martin et al., 2022)","plainTextFormattedCitation":"(Martin et al., 2022)","previouslyFormattedCitation":"(Martin et al., 2022)"},"properties":{"noteIndex":0},"schema":"https://github.com/citation-style-language/schema/raw/master/csl-citation.json"}</w:instrText>
      </w:r>
      <w:r w:rsidR="00A92D5F" w:rsidRPr="001C2C36">
        <w:rPr>
          <w:rFonts w:cs="Times New Roman"/>
        </w:rPr>
        <w:fldChar w:fldCharType="separate"/>
      </w:r>
      <w:r w:rsidR="00A92D5F" w:rsidRPr="001C2C36">
        <w:rPr>
          <w:rFonts w:cs="Times New Roman"/>
          <w:noProof/>
        </w:rPr>
        <w:t>(Martin et al., 2022)</w:t>
      </w:r>
      <w:r w:rsidR="00A92D5F" w:rsidRPr="001C2C36">
        <w:rPr>
          <w:rFonts w:cs="Times New Roman"/>
        </w:rPr>
        <w:fldChar w:fldCharType="end"/>
      </w:r>
      <w:r w:rsidR="00A92D5F" w:rsidRPr="001C2C36">
        <w:rPr>
          <w:rFonts w:cs="Times New Roman"/>
        </w:rPr>
        <w:t xml:space="preserve">. </w:t>
      </w:r>
      <w:r w:rsidR="00380D1A" w:rsidRPr="001C2C36">
        <w:rPr>
          <w:rFonts w:cs="Times New Roman"/>
        </w:rPr>
        <w:t>The</w:t>
      </w:r>
      <w:r w:rsidR="00AF4173" w:rsidRPr="001C2C36">
        <w:rPr>
          <w:rFonts w:cs="Times New Roman"/>
        </w:rPr>
        <w:t xml:space="preserve"> </w:t>
      </w:r>
      <w:r w:rsidR="0084757B" w:rsidRPr="001C2C36">
        <w:rPr>
          <w:rFonts w:cs="Times New Roman"/>
        </w:rPr>
        <w:t xml:space="preserve">second period captures the </w:t>
      </w:r>
      <w:r w:rsidR="00987EE0" w:rsidRPr="001C2C36">
        <w:rPr>
          <w:rFonts w:cs="Times New Roman"/>
        </w:rPr>
        <w:t xml:space="preserve">employment </w:t>
      </w:r>
      <w:r w:rsidR="00EB373D" w:rsidRPr="001C2C36">
        <w:rPr>
          <w:rFonts w:cs="Times New Roman"/>
        </w:rPr>
        <w:t xml:space="preserve">growth </w:t>
      </w:r>
      <w:r w:rsidR="00987EE0" w:rsidRPr="001C2C36">
        <w:rPr>
          <w:rFonts w:cs="Times New Roman"/>
        </w:rPr>
        <w:t>aspirations</w:t>
      </w:r>
      <w:r w:rsidR="00431810" w:rsidRPr="001C2C36">
        <w:rPr>
          <w:rFonts w:cs="Times New Roman"/>
        </w:rPr>
        <w:t xml:space="preserve"> </w:t>
      </w:r>
      <w:r w:rsidR="6BFC93B0" w:rsidRPr="001C2C36">
        <w:rPr>
          <w:rFonts w:cs="Times New Roman"/>
        </w:rPr>
        <w:t>over the</w:t>
      </w:r>
      <w:r w:rsidR="00994930" w:rsidRPr="001C2C36">
        <w:rPr>
          <w:rFonts w:cs="Times New Roman"/>
        </w:rPr>
        <w:t xml:space="preserve"> </w:t>
      </w:r>
      <w:r w:rsidR="6BFC93B0" w:rsidRPr="001C2C36">
        <w:rPr>
          <w:rFonts w:cs="Times New Roman"/>
        </w:rPr>
        <w:t>12 months</w:t>
      </w:r>
      <w:r w:rsidR="00994930" w:rsidRPr="001C2C36">
        <w:rPr>
          <w:rFonts w:cs="Times New Roman"/>
        </w:rPr>
        <w:t xml:space="preserve"> following survey completion</w:t>
      </w:r>
      <w:r w:rsidR="6BFC93B0" w:rsidRPr="001C2C36">
        <w:rPr>
          <w:rFonts w:cs="Times New Roman"/>
        </w:rPr>
        <w:t>.</w:t>
      </w:r>
      <w:r w:rsidR="5161EF8A" w:rsidRPr="001C2C36">
        <w:rPr>
          <w:rFonts w:cs="Times New Roman"/>
        </w:rPr>
        <w:t xml:space="preserve"> </w:t>
      </w:r>
      <w:r w:rsidR="005907D6" w:rsidRPr="001C2C36">
        <w:rPr>
          <w:rFonts w:cs="Times New Roman"/>
        </w:rPr>
        <w:t xml:space="preserve"> </w:t>
      </w:r>
    </w:p>
    <w:p w14:paraId="441C179F" w14:textId="37058205" w:rsidR="0042414F" w:rsidRPr="001C2C36" w:rsidRDefault="00B931E0" w:rsidP="0042414F">
      <w:pPr>
        <w:pStyle w:val="Heading2"/>
        <w:rPr>
          <w:rFonts w:ascii="Times New Roman" w:hAnsi="Times New Roman" w:cs="Times New Roman"/>
          <w:szCs w:val="24"/>
        </w:rPr>
      </w:pPr>
      <w:bookmarkStart w:id="0" w:name="_Hlk112850151"/>
      <w:r w:rsidRPr="001C2C36">
        <w:rPr>
          <w:rFonts w:ascii="Times New Roman" w:hAnsi="Times New Roman" w:cs="Times New Roman"/>
          <w:szCs w:val="24"/>
        </w:rPr>
        <w:t xml:space="preserve">Do </w:t>
      </w:r>
      <w:r w:rsidR="00E44427" w:rsidRPr="001C2C36">
        <w:rPr>
          <w:rFonts w:ascii="Times New Roman" w:hAnsi="Times New Roman" w:cs="Times New Roman"/>
          <w:szCs w:val="24"/>
        </w:rPr>
        <w:t>dynamic capabilities</w:t>
      </w:r>
      <w:r w:rsidRPr="001C2C36">
        <w:rPr>
          <w:rFonts w:ascii="Times New Roman" w:hAnsi="Times New Roman" w:cs="Times New Roman"/>
          <w:szCs w:val="24"/>
        </w:rPr>
        <w:t xml:space="preserve"> affect SME employment during Covid-19?</w:t>
      </w:r>
    </w:p>
    <w:bookmarkEnd w:id="0"/>
    <w:p w14:paraId="436A46BA" w14:textId="2E18F837" w:rsidR="008A7BF5" w:rsidRPr="001C2C36" w:rsidRDefault="00DA6C82" w:rsidP="00AE463A">
      <w:pPr>
        <w:rPr>
          <w:rFonts w:cs="Times New Roman"/>
          <w:szCs w:val="24"/>
        </w:rPr>
      </w:pPr>
      <w:r w:rsidRPr="001C2C36">
        <w:rPr>
          <w:rFonts w:cs="Times New Roman"/>
          <w:szCs w:val="24"/>
        </w:rPr>
        <w:t>To better explain</w:t>
      </w:r>
      <w:r w:rsidR="00CF745E" w:rsidRPr="001C2C36">
        <w:rPr>
          <w:rFonts w:cs="Times New Roman"/>
          <w:szCs w:val="24"/>
        </w:rPr>
        <w:t xml:space="preserve"> firm responses to</w:t>
      </w:r>
      <w:r w:rsidRPr="001C2C36">
        <w:rPr>
          <w:rFonts w:cs="Times New Roman"/>
          <w:szCs w:val="24"/>
        </w:rPr>
        <w:t xml:space="preserve"> t</w:t>
      </w:r>
      <w:r w:rsidR="002953B2" w:rsidRPr="001C2C36">
        <w:rPr>
          <w:rFonts w:cs="Times New Roman"/>
          <w:szCs w:val="24"/>
        </w:rPr>
        <w:t>he turbulence resulting from</w:t>
      </w:r>
      <w:r w:rsidR="00600366" w:rsidRPr="001C2C36">
        <w:rPr>
          <w:rFonts w:cs="Times New Roman"/>
          <w:szCs w:val="24"/>
        </w:rPr>
        <w:t xml:space="preserve"> unprecedented</w:t>
      </w:r>
      <w:r w:rsidR="002953B2" w:rsidRPr="001C2C36">
        <w:rPr>
          <w:rFonts w:cs="Times New Roman"/>
          <w:szCs w:val="24"/>
        </w:rPr>
        <w:t xml:space="preserve"> changes in demand and </w:t>
      </w:r>
      <w:r w:rsidR="005A5781" w:rsidRPr="001C2C36">
        <w:rPr>
          <w:rFonts w:cs="Times New Roman"/>
          <w:szCs w:val="24"/>
        </w:rPr>
        <w:t xml:space="preserve">the </w:t>
      </w:r>
      <w:r w:rsidR="002953B2" w:rsidRPr="001C2C36">
        <w:rPr>
          <w:rFonts w:cs="Times New Roman"/>
          <w:szCs w:val="24"/>
        </w:rPr>
        <w:t xml:space="preserve">need </w:t>
      </w:r>
      <w:r w:rsidRPr="001C2C36">
        <w:rPr>
          <w:rFonts w:cs="Times New Roman"/>
          <w:szCs w:val="24"/>
        </w:rPr>
        <w:t>for different services during</w:t>
      </w:r>
      <w:r w:rsidR="00DC366F" w:rsidRPr="001C2C36">
        <w:rPr>
          <w:rFonts w:cs="Times New Roman"/>
          <w:szCs w:val="24"/>
        </w:rPr>
        <w:t xml:space="preserve"> the</w:t>
      </w:r>
      <w:r w:rsidRPr="001C2C36">
        <w:rPr>
          <w:rFonts w:cs="Times New Roman"/>
          <w:szCs w:val="24"/>
        </w:rPr>
        <w:t xml:space="preserve"> Covid</w:t>
      </w:r>
      <w:r w:rsidR="00DC366F" w:rsidRPr="001C2C36">
        <w:rPr>
          <w:rFonts w:cs="Times New Roman"/>
          <w:szCs w:val="24"/>
        </w:rPr>
        <w:t xml:space="preserve">-19 </w:t>
      </w:r>
      <w:r w:rsidR="00A000CB" w:rsidRPr="001C2C36">
        <w:rPr>
          <w:rFonts w:cs="Times New Roman"/>
          <w:szCs w:val="24"/>
        </w:rPr>
        <w:t>pandemic</w:t>
      </w:r>
      <w:r w:rsidRPr="001C2C36">
        <w:rPr>
          <w:rFonts w:cs="Times New Roman"/>
          <w:szCs w:val="24"/>
        </w:rPr>
        <w:t xml:space="preserve">, we </w:t>
      </w:r>
      <w:r w:rsidR="00535406" w:rsidRPr="001C2C36">
        <w:rPr>
          <w:rFonts w:cs="Times New Roman"/>
          <w:szCs w:val="24"/>
        </w:rPr>
        <w:t>adopt</w:t>
      </w:r>
      <w:r w:rsidRPr="001C2C36">
        <w:rPr>
          <w:rFonts w:cs="Times New Roman"/>
          <w:szCs w:val="24"/>
        </w:rPr>
        <w:t xml:space="preserve"> the</w:t>
      </w:r>
      <w:r w:rsidR="003249E8" w:rsidRPr="001C2C36">
        <w:rPr>
          <w:rFonts w:cs="Times New Roman"/>
          <w:szCs w:val="24"/>
        </w:rPr>
        <w:t xml:space="preserve"> </w:t>
      </w:r>
      <w:r w:rsidR="003158F2" w:rsidRPr="001C2C36">
        <w:rPr>
          <w:rFonts w:cs="Times New Roman"/>
          <w:szCs w:val="24"/>
        </w:rPr>
        <w:t>dynamic capabilities</w:t>
      </w:r>
      <w:r w:rsidR="006A2FF2" w:rsidRPr="001C2C36">
        <w:rPr>
          <w:rFonts w:cs="Times New Roman"/>
          <w:szCs w:val="24"/>
        </w:rPr>
        <w:t xml:space="preserve"> theory</w:t>
      </w:r>
      <w:r w:rsidR="005A5781" w:rsidRPr="001C2C36">
        <w:rPr>
          <w:rFonts w:cs="Times New Roman"/>
          <w:szCs w:val="24"/>
        </w:rPr>
        <w:t>,</w:t>
      </w:r>
      <w:r w:rsidRPr="001C2C36">
        <w:rPr>
          <w:rFonts w:cs="Times New Roman"/>
          <w:szCs w:val="24"/>
        </w:rPr>
        <w:t xml:space="preserve"> </w:t>
      </w:r>
      <w:r w:rsidR="005A5781" w:rsidRPr="001C2C36">
        <w:rPr>
          <w:rFonts w:cs="Times New Roman"/>
          <w:szCs w:val="24"/>
        </w:rPr>
        <w:t>which</w:t>
      </w:r>
      <w:r w:rsidR="003249E8" w:rsidRPr="001C2C36">
        <w:rPr>
          <w:rFonts w:cs="Times New Roman"/>
          <w:szCs w:val="24"/>
        </w:rPr>
        <w:t xml:space="preserve"> </w:t>
      </w:r>
      <w:r w:rsidR="006A2FF2" w:rsidRPr="001C2C36">
        <w:rPr>
          <w:rFonts w:cs="Times New Roman"/>
          <w:szCs w:val="24"/>
        </w:rPr>
        <w:t>is</w:t>
      </w:r>
      <w:r w:rsidRPr="001C2C36">
        <w:rPr>
          <w:rFonts w:cs="Times New Roman"/>
          <w:szCs w:val="24"/>
        </w:rPr>
        <w:t xml:space="preserve"> often</w:t>
      </w:r>
      <w:r w:rsidR="006E0703" w:rsidRPr="001C2C36">
        <w:rPr>
          <w:rFonts w:cs="Times New Roman"/>
          <w:szCs w:val="24"/>
        </w:rPr>
        <w:t xml:space="preserve"> </w:t>
      </w:r>
      <w:r w:rsidR="00EA5A1F" w:rsidRPr="001C2C36">
        <w:rPr>
          <w:rFonts w:cs="Times New Roman"/>
          <w:szCs w:val="24"/>
        </w:rPr>
        <w:t>considered</w:t>
      </w:r>
      <w:r w:rsidR="006E0703" w:rsidRPr="001C2C36">
        <w:rPr>
          <w:rFonts w:cs="Times New Roman"/>
          <w:szCs w:val="24"/>
        </w:rPr>
        <w:t xml:space="preserve"> one of the most </w:t>
      </w:r>
      <w:r w:rsidRPr="001C2C36">
        <w:rPr>
          <w:rFonts w:cs="Times New Roman"/>
          <w:szCs w:val="24"/>
        </w:rPr>
        <w:t>significant</w:t>
      </w:r>
      <w:r w:rsidR="003249E8" w:rsidRPr="001C2C36">
        <w:rPr>
          <w:rFonts w:cs="Times New Roman"/>
          <w:szCs w:val="24"/>
        </w:rPr>
        <w:t xml:space="preserve"> </w:t>
      </w:r>
      <w:r w:rsidR="00734056" w:rsidRPr="001C2C36">
        <w:rPr>
          <w:rFonts w:cs="Times New Roman"/>
          <w:szCs w:val="24"/>
        </w:rPr>
        <w:t>developments</w:t>
      </w:r>
      <w:r w:rsidR="006A2FF2" w:rsidRPr="001C2C36">
        <w:rPr>
          <w:rFonts w:cs="Times New Roman"/>
          <w:szCs w:val="24"/>
        </w:rPr>
        <w:t xml:space="preserve"> in</w:t>
      </w:r>
      <w:r w:rsidR="0057506A" w:rsidRPr="001C2C36">
        <w:rPr>
          <w:rFonts w:cs="Times New Roman"/>
          <w:szCs w:val="24"/>
        </w:rPr>
        <w:t xml:space="preserve"> the </w:t>
      </w:r>
      <w:r w:rsidR="0057506A" w:rsidRPr="001C2C36">
        <w:rPr>
          <w:rFonts w:cs="Times New Roman"/>
          <w:szCs w:val="24"/>
        </w:rPr>
        <w:lastRenderedPageBreak/>
        <w:t>strategic</w:t>
      </w:r>
      <w:r w:rsidR="006A2FF2" w:rsidRPr="001C2C36">
        <w:rPr>
          <w:rFonts w:cs="Times New Roman"/>
          <w:szCs w:val="24"/>
        </w:rPr>
        <w:t xml:space="preserve"> management</w:t>
      </w:r>
      <w:r w:rsidR="0057506A" w:rsidRPr="001C2C36">
        <w:rPr>
          <w:rFonts w:cs="Times New Roman"/>
          <w:szCs w:val="24"/>
        </w:rPr>
        <w:t xml:space="preserve"> literature</w:t>
      </w:r>
      <w:r w:rsidR="006A2FF2" w:rsidRPr="001C2C36">
        <w:rPr>
          <w:rFonts w:cs="Times New Roman"/>
          <w:szCs w:val="24"/>
        </w:rPr>
        <w:t xml:space="preserve"> (</w:t>
      </w:r>
      <w:proofErr w:type="spellStart"/>
      <w:r w:rsidR="006A2FF2" w:rsidRPr="001C2C36">
        <w:rPr>
          <w:rFonts w:cs="Times New Roman"/>
          <w:szCs w:val="24"/>
        </w:rPr>
        <w:t>Helfat</w:t>
      </w:r>
      <w:proofErr w:type="spellEnd"/>
      <w:r w:rsidR="006A2FF2" w:rsidRPr="001C2C36">
        <w:rPr>
          <w:rFonts w:cs="Times New Roman"/>
          <w:szCs w:val="24"/>
        </w:rPr>
        <w:t xml:space="preserve"> and </w:t>
      </w:r>
      <w:proofErr w:type="spellStart"/>
      <w:r w:rsidR="006A2FF2" w:rsidRPr="001C2C36">
        <w:rPr>
          <w:rFonts w:cs="Times New Roman"/>
          <w:szCs w:val="24"/>
        </w:rPr>
        <w:t>Peteraf</w:t>
      </w:r>
      <w:proofErr w:type="spellEnd"/>
      <w:r w:rsidR="006A2FF2" w:rsidRPr="001C2C36">
        <w:rPr>
          <w:rFonts w:cs="Times New Roman"/>
          <w:szCs w:val="24"/>
        </w:rPr>
        <w:t xml:space="preserve">, 2009). </w:t>
      </w:r>
      <w:r w:rsidR="0015282E" w:rsidRPr="001C2C36">
        <w:rPr>
          <w:rFonts w:cs="Times New Roman"/>
          <w:szCs w:val="24"/>
        </w:rPr>
        <w:t xml:space="preserve">DCs extend the resource-based view that </w:t>
      </w:r>
      <w:r w:rsidR="00176EE0" w:rsidRPr="001C2C36">
        <w:rPr>
          <w:rFonts w:cs="Times New Roman"/>
          <w:szCs w:val="24"/>
        </w:rPr>
        <w:t xml:space="preserve">sees resources as key to </w:t>
      </w:r>
      <w:r w:rsidR="00CC78B0" w:rsidRPr="001C2C36">
        <w:rPr>
          <w:rFonts w:cs="Times New Roman"/>
          <w:szCs w:val="24"/>
        </w:rPr>
        <w:t xml:space="preserve">gaining and sustaining </w:t>
      </w:r>
      <w:r w:rsidR="00636E1C" w:rsidRPr="001C2C36">
        <w:rPr>
          <w:rFonts w:cs="Times New Roman"/>
          <w:szCs w:val="24"/>
        </w:rPr>
        <w:t>competitive advantage</w:t>
      </w:r>
      <w:r w:rsidR="00E21190" w:rsidRPr="001C2C36">
        <w:rPr>
          <w:rFonts w:cs="Times New Roman"/>
          <w:szCs w:val="24"/>
        </w:rPr>
        <w:t xml:space="preserve"> over time</w:t>
      </w:r>
      <w:r w:rsidR="00A000CB" w:rsidRPr="001C2C36">
        <w:rPr>
          <w:rFonts w:cs="Times New Roman"/>
          <w:szCs w:val="24"/>
        </w:rPr>
        <w:t xml:space="preserve"> by</w:t>
      </w:r>
      <w:r w:rsidR="0015282E" w:rsidRPr="001C2C36">
        <w:rPr>
          <w:rFonts w:cs="Times New Roman"/>
          <w:szCs w:val="24"/>
        </w:rPr>
        <w:t xml:space="preserve"> </w:t>
      </w:r>
      <w:r w:rsidR="008A0843" w:rsidRPr="001C2C36">
        <w:rPr>
          <w:rFonts w:cs="Times New Roman"/>
          <w:szCs w:val="24"/>
        </w:rPr>
        <w:t>incorporat</w:t>
      </w:r>
      <w:r w:rsidR="00A000CB" w:rsidRPr="001C2C36">
        <w:rPr>
          <w:rFonts w:cs="Times New Roman"/>
          <w:szCs w:val="24"/>
        </w:rPr>
        <w:t>ing</w:t>
      </w:r>
      <w:r w:rsidR="0015282E" w:rsidRPr="001C2C36">
        <w:rPr>
          <w:rFonts w:cs="Times New Roman"/>
          <w:szCs w:val="24"/>
        </w:rPr>
        <w:t xml:space="preserve"> dynamic settings</w:t>
      </w:r>
      <w:r w:rsidR="00FE6628" w:rsidRPr="001C2C36">
        <w:rPr>
          <w:rFonts w:cs="Times New Roman"/>
          <w:szCs w:val="24"/>
        </w:rPr>
        <w:t xml:space="preserve"> </w:t>
      </w:r>
      <w:r w:rsidR="00FE6628" w:rsidRPr="001C2C36">
        <w:rPr>
          <w:rFonts w:cs="Times New Roman"/>
          <w:szCs w:val="24"/>
        </w:rPr>
        <w:fldChar w:fldCharType="begin" w:fldLock="1"/>
      </w:r>
      <w:r w:rsidR="00E91CDC" w:rsidRPr="001C2C36">
        <w:rPr>
          <w:rFonts w:cs="Times New Roman"/>
          <w:szCs w:val="24"/>
        </w:rPr>
        <w:instrText>ADDIN CSL_CITATION {"citationItems":[{"id":"ITEM-1","itemData":{"DOI":"10.1093/icc/3.3.537-a","ISBN":"09606491","ISSN":"09606491","PMID":"64","abstract":"An expanded paradigm is needed to explain how competitive advantage is gained and held. Firms resorting to ‘resource-based strategy’ attempt to accumulate valuable technology assets and employ an aggressive intellectual property stance. However, winners in the global marketplace have been firms demonstrating timely responsiveness and rapid and flexible product innovation, along with the management capability to effectively coordinate and redeploy internal and external competences. This source of competitive advantage, ‘dynamic capabilities’, emphasizes two aspects. First, it refers to the shifting character of the environment; second, it emphasizes the key role of strategic management in appropriately adapting, integrating, and re-configuring internal and external organizational skills, resources, and functional competences toward changing environment.5 Only recently have researchers begun to focus on the specifics of developing firm-specific capabilities and the manner in which competences are renewed to respond to shifts in the business environment. The dynamic capabilities approach provides a coherent framework to integrate existing conceptual and empirical knowledge, and facilitate prescription. This paper argues that the competitive advan is tage of firms stems from dynamic capabilities rooted in high performance routines operating inside the firm, embedded in the firm's processes, and conditioned by its history. It offers dynamic capabilities as an emerging paradigm of the modern business firm that draws on multiple disciplines and advances, with the help of industry studies in the USA and elsewhere.","author":[{"dropping-particle":"","family":"Teece","given":"David J.","non-dropping-particle":"","parse-names":false,"suffix":""},{"dropping-particle":"","family":"Pisano","given":"Gary","non-dropping-particle":"","parse-names":false,"suffix":""}],"container-title":"Industrial and Corporate Change","id":"ITEM-1","issue":"3","issued":{"date-parts":[["1994","1","1"]]},"page":"537-556","publisher":"Oxford University Press","title":"The dynamic capabilities of firms: An introduction","type":"article-journal","volume":"3"},"uris":["http://www.mendeley.com/documents/?uuid=95afe063-ec46-3464-b6a1-472cbfb6799e","http://www.mendeley.com/documents/?uuid=1e28b983-444b-406b-8119-50badbff3dd5"]}],"mendeley":{"formattedCitation":"(Teece and Pisano, 1994)","plainTextFormattedCitation":"(Teece and Pisano, 1994)","previouslyFormattedCitation":"(Teece and Pisano, 1994)"},"properties":{"noteIndex":0},"schema":"https://github.com/citation-style-language/schema/raw/master/csl-citation.json"}</w:instrText>
      </w:r>
      <w:r w:rsidR="00FE6628" w:rsidRPr="001C2C36">
        <w:rPr>
          <w:rFonts w:cs="Times New Roman"/>
          <w:szCs w:val="24"/>
        </w:rPr>
        <w:fldChar w:fldCharType="separate"/>
      </w:r>
      <w:r w:rsidR="00FE6628" w:rsidRPr="001C2C36">
        <w:rPr>
          <w:rFonts w:cs="Times New Roman"/>
          <w:noProof/>
          <w:szCs w:val="24"/>
        </w:rPr>
        <w:t>(Teece and Pisano, 1994)</w:t>
      </w:r>
      <w:r w:rsidR="00FE6628" w:rsidRPr="001C2C36">
        <w:rPr>
          <w:rFonts w:cs="Times New Roman"/>
          <w:szCs w:val="24"/>
        </w:rPr>
        <w:fldChar w:fldCharType="end"/>
      </w:r>
      <w:r w:rsidR="008B604F" w:rsidRPr="001C2C36">
        <w:rPr>
          <w:rFonts w:cs="Times New Roman"/>
          <w:szCs w:val="24"/>
        </w:rPr>
        <w:t xml:space="preserve">. </w:t>
      </w:r>
      <w:r w:rsidR="00A06220" w:rsidRPr="001C2C36">
        <w:rPr>
          <w:rFonts w:cs="Times New Roman"/>
          <w:szCs w:val="24"/>
        </w:rPr>
        <w:t xml:space="preserve">The </w:t>
      </w:r>
      <w:r w:rsidR="00504D1F" w:rsidRPr="001C2C36">
        <w:rPr>
          <w:rFonts w:cs="Times New Roman"/>
          <w:szCs w:val="24"/>
        </w:rPr>
        <w:t>acceptance</w:t>
      </w:r>
      <w:r w:rsidR="00A06220" w:rsidRPr="001C2C36">
        <w:rPr>
          <w:rFonts w:cs="Times New Roman"/>
          <w:szCs w:val="24"/>
        </w:rPr>
        <w:t xml:space="preserve"> of DC theory resulted in </w:t>
      </w:r>
      <w:r w:rsidR="00855CE4" w:rsidRPr="001C2C36">
        <w:rPr>
          <w:rFonts w:cs="Times New Roman"/>
          <w:szCs w:val="24"/>
        </w:rPr>
        <w:t>numerous</w:t>
      </w:r>
      <w:r w:rsidR="00A06220" w:rsidRPr="001C2C36">
        <w:rPr>
          <w:rFonts w:cs="Times New Roman"/>
          <w:szCs w:val="24"/>
        </w:rPr>
        <w:t xml:space="preserve">, sometimes </w:t>
      </w:r>
      <w:r w:rsidR="00F363D1" w:rsidRPr="001C2C36">
        <w:rPr>
          <w:rFonts w:cs="Times New Roman"/>
          <w:szCs w:val="24"/>
        </w:rPr>
        <w:t>conflicting</w:t>
      </w:r>
      <w:r w:rsidR="00A06220" w:rsidRPr="001C2C36">
        <w:rPr>
          <w:rFonts w:cs="Times New Roman"/>
          <w:szCs w:val="24"/>
        </w:rPr>
        <w:t xml:space="preserve"> </w:t>
      </w:r>
      <w:r w:rsidR="004137E0" w:rsidRPr="001C2C36">
        <w:rPr>
          <w:rFonts w:cs="Times New Roman"/>
          <w:szCs w:val="24"/>
        </w:rPr>
        <w:t>extensions</w:t>
      </w:r>
      <w:r w:rsidR="00B43B0D" w:rsidRPr="001C2C36">
        <w:rPr>
          <w:rFonts w:cs="Times New Roman"/>
          <w:szCs w:val="24"/>
        </w:rPr>
        <w:t xml:space="preserve">, examined through </w:t>
      </w:r>
      <w:r w:rsidR="00454A50" w:rsidRPr="001C2C36">
        <w:rPr>
          <w:rFonts w:cs="Times New Roman"/>
          <w:szCs w:val="24"/>
        </w:rPr>
        <w:t>various</w:t>
      </w:r>
      <w:r w:rsidR="00B43B0D" w:rsidRPr="001C2C36">
        <w:rPr>
          <w:rFonts w:cs="Times New Roman"/>
          <w:szCs w:val="24"/>
        </w:rPr>
        <w:t xml:space="preserve"> methodologies</w:t>
      </w:r>
      <w:r w:rsidR="005B7280" w:rsidRPr="001C2C36">
        <w:rPr>
          <w:rFonts w:cs="Times New Roman"/>
          <w:szCs w:val="24"/>
        </w:rPr>
        <w:t xml:space="preserve">. </w:t>
      </w:r>
      <w:r w:rsidR="004137E0" w:rsidRPr="001C2C36">
        <w:rPr>
          <w:rFonts w:cs="Times New Roman"/>
          <w:szCs w:val="24"/>
        </w:rPr>
        <w:t>Some</w:t>
      </w:r>
      <w:r w:rsidR="007F1FEF" w:rsidRPr="001C2C36">
        <w:rPr>
          <w:rFonts w:cs="Times New Roman"/>
          <w:szCs w:val="24"/>
        </w:rPr>
        <w:t xml:space="preserve"> (</w:t>
      </w:r>
      <w:proofErr w:type="spellStart"/>
      <w:r w:rsidR="007F1FEF" w:rsidRPr="001C2C36">
        <w:rPr>
          <w:rFonts w:cs="Times New Roman"/>
          <w:szCs w:val="24"/>
        </w:rPr>
        <w:t>Arend</w:t>
      </w:r>
      <w:proofErr w:type="spellEnd"/>
      <w:r w:rsidR="007F1FEF" w:rsidRPr="001C2C36">
        <w:rPr>
          <w:rFonts w:cs="Times New Roman"/>
          <w:szCs w:val="24"/>
        </w:rPr>
        <w:t>, 2014</w:t>
      </w:r>
      <w:r w:rsidR="004E6D92" w:rsidRPr="001C2C36">
        <w:rPr>
          <w:rFonts w:cs="Times New Roman"/>
          <w:szCs w:val="24"/>
        </w:rPr>
        <w:t xml:space="preserve">; </w:t>
      </w:r>
      <w:proofErr w:type="spellStart"/>
      <w:r w:rsidR="004E6D92" w:rsidRPr="001C2C36">
        <w:rPr>
          <w:rFonts w:cs="Times New Roman"/>
          <w:szCs w:val="24"/>
        </w:rPr>
        <w:t>Shilke</w:t>
      </w:r>
      <w:proofErr w:type="spellEnd"/>
      <w:r w:rsidR="004E6D92" w:rsidRPr="001C2C36">
        <w:rPr>
          <w:rFonts w:cs="Times New Roman"/>
          <w:szCs w:val="24"/>
        </w:rPr>
        <w:t xml:space="preserve"> et al., 20</w:t>
      </w:r>
      <w:r w:rsidR="00346F13" w:rsidRPr="001C2C36">
        <w:rPr>
          <w:rFonts w:cs="Times New Roman"/>
          <w:szCs w:val="24"/>
        </w:rPr>
        <w:t>18</w:t>
      </w:r>
      <w:r w:rsidR="007F1FEF" w:rsidRPr="001C2C36">
        <w:rPr>
          <w:rFonts w:cs="Times New Roman"/>
          <w:szCs w:val="24"/>
        </w:rPr>
        <w:t>)</w:t>
      </w:r>
      <w:r w:rsidR="004137E0" w:rsidRPr="001C2C36">
        <w:rPr>
          <w:rFonts w:cs="Times New Roman"/>
          <w:szCs w:val="24"/>
        </w:rPr>
        <w:t xml:space="preserve"> argued that the variety of theories </w:t>
      </w:r>
      <w:r w:rsidR="007F1FEF" w:rsidRPr="001C2C36">
        <w:rPr>
          <w:rFonts w:cs="Times New Roman"/>
          <w:szCs w:val="24"/>
        </w:rPr>
        <w:t xml:space="preserve">places DCs at a disadvantage, whilst others </w:t>
      </w:r>
      <w:r w:rsidR="00BF2E88" w:rsidRPr="001C2C36">
        <w:rPr>
          <w:rFonts w:cs="Times New Roman"/>
          <w:szCs w:val="24"/>
        </w:rPr>
        <w:t>(</w:t>
      </w:r>
      <w:proofErr w:type="spellStart"/>
      <w:r w:rsidR="00BF2E88" w:rsidRPr="001C2C36">
        <w:rPr>
          <w:rFonts w:cs="Times New Roman"/>
          <w:szCs w:val="24"/>
        </w:rPr>
        <w:t>Helfat</w:t>
      </w:r>
      <w:proofErr w:type="spellEnd"/>
      <w:r w:rsidR="00BF2E88" w:rsidRPr="001C2C36">
        <w:rPr>
          <w:rFonts w:cs="Times New Roman"/>
          <w:szCs w:val="24"/>
        </w:rPr>
        <w:t xml:space="preserve"> and </w:t>
      </w:r>
      <w:proofErr w:type="spellStart"/>
      <w:r w:rsidR="00BF2E88" w:rsidRPr="001C2C36">
        <w:rPr>
          <w:rFonts w:cs="Times New Roman"/>
          <w:szCs w:val="24"/>
        </w:rPr>
        <w:t>Peteraf</w:t>
      </w:r>
      <w:proofErr w:type="spellEnd"/>
      <w:r w:rsidR="00BF2E88" w:rsidRPr="001C2C36">
        <w:rPr>
          <w:rFonts w:cs="Times New Roman"/>
          <w:szCs w:val="24"/>
        </w:rPr>
        <w:t xml:space="preserve">, 2009) </w:t>
      </w:r>
      <w:r w:rsidR="00A15913" w:rsidRPr="001C2C36">
        <w:rPr>
          <w:rFonts w:cs="Times New Roman"/>
          <w:szCs w:val="24"/>
        </w:rPr>
        <w:t>reasoned this to be</w:t>
      </w:r>
      <w:r w:rsidR="006147E9" w:rsidRPr="001C2C36">
        <w:rPr>
          <w:rFonts w:cs="Times New Roman"/>
          <w:szCs w:val="24"/>
        </w:rPr>
        <w:t xml:space="preserve"> </w:t>
      </w:r>
      <w:r w:rsidR="00FB7A67" w:rsidRPr="001C2C36">
        <w:rPr>
          <w:rFonts w:cs="Times New Roman"/>
          <w:szCs w:val="24"/>
        </w:rPr>
        <w:t>unavoidable and even welcomed</w:t>
      </w:r>
      <w:r w:rsidR="00637F27" w:rsidRPr="001C2C36">
        <w:rPr>
          <w:rFonts w:cs="Times New Roman"/>
          <w:szCs w:val="24"/>
        </w:rPr>
        <w:t>,</w:t>
      </w:r>
      <w:r w:rsidR="00A15913" w:rsidRPr="001C2C36">
        <w:rPr>
          <w:rFonts w:cs="Times New Roman"/>
          <w:szCs w:val="24"/>
        </w:rPr>
        <w:t xml:space="preserve"> given the complexity of </w:t>
      </w:r>
      <w:r w:rsidR="00712065" w:rsidRPr="001C2C36">
        <w:rPr>
          <w:rFonts w:cs="Times New Roman"/>
          <w:szCs w:val="24"/>
        </w:rPr>
        <w:t xml:space="preserve">organisations. </w:t>
      </w:r>
    </w:p>
    <w:p w14:paraId="77382E55" w14:textId="52D22448" w:rsidR="001403FC" w:rsidRPr="001C2C36" w:rsidRDefault="00855CE4" w:rsidP="00AE463A">
      <w:pPr>
        <w:rPr>
          <w:rFonts w:cs="Times New Roman"/>
        </w:rPr>
      </w:pPr>
      <w:r w:rsidRPr="001C2C36">
        <w:rPr>
          <w:rFonts w:cs="Times New Roman"/>
        </w:rPr>
        <w:t>Although m</w:t>
      </w:r>
      <w:r w:rsidR="007C3FF5" w:rsidRPr="001C2C36">
        <w:rPr>
          <w:rFonts w:cs="Times New Roman"/>
        </w:rPr>
        <w:t xml:space="preserve">any different conceptualisations of </w:t>
      </w:r>
      <w:r w:rsidR="00B16562" w:rsidRPr="001C2C36">
        <w:rPr>
          <w:rFonts w:cs="Times New Roman"/>
        </w:rPr>
        <w:t>organisational capabilities</w:t>
      </w:r>
      <w:r w:rsidR="00A45AB1" w:rsidRPr="001C2C36">
        <w:rPr>
          <w:rFonts w:cs="Times New Roman"/>
        </w:rPr>
        <w:t xml:space="preserve"> have been developed</w:t>
      </w:r>
      <w:r w:rsidR="0096136A" w:rsidRPr="001C2C36">
        <w:rPr>
          <w:rFonts w:cs="Times New Roman"/>
        </w:rPr>
        <w:t xml:space="preserve">, the broad consensus </w:t>
      </w:r>
      <w:r w:rsidR="2B5BBE5B" w:rsidRPr="001C2C36">
        <w:rPr>
          <w:rFonts w:cs="Times New Roman"/>
        </w:rPr>
        <w:t>is</w:t>
      </w:r>
      <w:r w:rsidR="0096136A" w:rsidRPr="001C2C36">
        <w:rPr>
          <w:rFonts w:cs="Times New Roman"/>
        </w:rPr>
        <w:t xml:space="preserve"> that </w:t>
      </w:r>
      <w:r w:rsidR="00140B63" w:rsidRPr="001C2C36">
        <w:rPr>
          <w:rFonts w:cs="Times New Roman"/>
        </w:rPr>
        <w:t>ordinary</w:t>
      </w:r>
      <w:r w:rsidR="000A07A5" w:rsidRPr="001C2C36">
        <w:rPr>
          <w:rFonts w:cs="Times New Roman"/>
        </w:rPr>
        <w:t xml:space="preserve"> (or zero-level) capabilities</w:t>
      </w:r>
      <w:r w:rsidR="0096136A" w:rsidRPr="001C2C36">
        <w:rPr>
          <w:rFonts w:cs="Times New Roman"/>
        </w:rPr>
        <w:t xml:space="preserve"> </w:t>
      </w:r>
      <w:r w:rsidR="00CB3D80" w:rsidRPr="001C2C36">
        <w:rPr>
          <w:rFonts w:cs="Times New Roman"/>
        </w:rPr>
        <w:t xml:space="preserve">contrast with dynamic capabilities. The former are </w:t>
      </w:r>
      <w:r w:rsidR="000A07A5" w:rsidRPr="001C2C36">
        <w:rPr>
          <w:rFonts w:cs="Times New Roman"/>
        </w:rPr>
        <w:t>directed towards maintaining outputs by using and coordinating tangible and intangible resources</w:t>
      </w:r>
      <w:r w:rsidR="00291839" w:rsidRPr="001C2C36">
        <w:rPr>
          <w:rFonts w:cs="Times New Roman"/>
        </w:rPr>
        <w:t>,</w:t>
      </w:r>
      <w:r w:rsidR="000A07A5" w:rsidRPr="001C2C36">
        <w:rPr>
          <w:rFonts w:cs="Times New Roman"/>
        </w:rPr>
        <w:t xml:space="preserve"> enabling an organisation to “make a living”</w:t>
      </w:r>
      <w:r w:rsidR="0042740C" w:rsidRPr="001C2C36">
        <w:rPr>
          <w:rFonts w:cs="Times New Roman"/>
        </w:rPr>
        <w:t xml:space="preserve"> </w:t>
      </w:r>
      <w:r w:rsidRPr="001C2C36">
        <w:rPr>
          <w:rFonts w:cs="Times New Roman"/>
        </w:rPr>
        <w:fldChar w:fldCharType="begin" w:fldLock="1"/>
      </w:r>
      <w:r w:rsidR="000E4D26" w:rsidRPr="001C2C36">
        <w:rPr>
          <w:rFonts w:cs="Times New Roman"/>
        </w:rPr>
        <w:instrText>ADDIN CSL_CITATION {"citationItems":[{"id":"ITEM-1","itemData":{"DOI":"https://doi.org/10.1002/1097-0266","author":[{"dropping-particle":"","family":"Winter","given":"Sidney G","non-dropping-particle":"","parse-names":false,"suffix":""}],"container-title":"Strategic Management Journal","id":"ITEM-1","issued":{"date-parts":[["2000"]]},"page":"981-996","title":"The Satisficing Principle in Capability Learning","type":"article-journal","volume":"21"},"uris":["http://www.mendeley.com/documents/?uuid=bc79bb94-6f32-4fb1-a668-22b3b51f74e7","http://www.mendeley.com/documents/?uuid=7d809ff0-2409-492b-9c92-dee1f406c0b8"]},{"id":"ITEM-2","itemData":{"DOI":"10.1002/smj.318","author":[{"dropping-particle":"","family":"Winter","given":"Sidney G","non-dropping-particle":"","parse-names":false,"suffix":""}],"container-title":"Strategic Management Journal","id":"ITEM-2","issue":"10","issued":{"date-parts":[["2003"]]},"page":"991-995","title":"Understanding Dynamic Capabilities","type":"article-journal","volume":"24"},"uris":["http://www.mendeley.com/documents/?uuid=094ce532-21e2-452e-aae5-f9dab76262c5"]}],"mendeley":{"formattedCitation":"(Winter, 2000, 2003)","plainTextFormattedCitation":"(Winter, 2000, 2003)","previouslyFormattedCitation":"(Winter, 2000, 2003)"},"properties":{"noteIndex":0},"schema":"https://github.com/citation-style-language/schema/raw/master/csl-citation.json"}</w:instrText>
      </w:r>
      <w:r w:rsidRPr="001C2C36">
        <w:rPr>
          <w:rFonts w:cs="Times New Roman"/>
        </w:rPr>
        <w:fldChar w:fldCharType="separate"/>
      </w:r>
      <w:r w:rsidR="2E48767B" w:rsidRPr="001C2C36">
        <w:rPr>
          <w:rFonts w:cs="Times New Roman"/>
          <w:noProof/>
        </w:rPr>
        <w:t>(Winter, 2000, 2003)</w:t>
      </w:r>
      <w:r w:rsidRPr="001C2C36">
        <w:rPr>
          <w:rFonts w:cs="Times New Roman"/>
        </w:rPr>
        <w:fldChar w:fldCharType="end"/>
      </w:r>
      <w:r w:rsidR="00CE2E73" w:rsidRPr="001C2C36">
        <w:rPr>
          <w:rFonts w:cs="Times New Roman"/>
        </w:rPr>
        <w:t>.</w:t>
      </w:r>
      <w:r w:rsidR="00265FDB" w:rsidRPr="001C2C36">
        <w:rPr>
          <w:rFonts w:cs="Times New Roman"/>
        </w:rPr>
        <w:t xml:space="preserve"> D</w:t>
      </w:r>
      <w:r w:rsidR="00770ED2" w:rsidRPr="001C2C36">
        <w:rPr>
          <w:rFonts w:cs="Times New Roman"/>
        </w:rPr>
        <w:t>y</w:t>
      </w:r>
      <w:r w:rsidR="00265FDB" w:rsidRPr="001C2C36">
        <w:rPr>
          <w:rFonts w:cs="Times New Roman"/>
        </w:rPr>
        <w:t xml:space="preserve">namic capabilities differ from </w:t>
      </w:r>
      <w:r w:rsidR="00933958" w:rsidRPr="001C2C36">
        <w:rPr>
          <w:rFonts w:cs="Times New Roman"/>
        </w:rPr>
        <w:t xml:space="preserve">ordinary </w:t>
      </w:r>
      <w:r w:rsidR="00770ED2" w:rsidRPr="001C2C36">
        <w:rPr>
          <w:rFonts w:cs="Times New Roman"/>
        </w:rPr>
        <w:t xml:space="preserve">capabilities in their </w:t>
      </w:r>
      <w:r w:rsidR="008E0CCE" w:rsidRPr="001C2C36">
        <w:rPr>
          <w:rFonts w:cs="Times New Roman"/>
        </w:rPr>
        <w:t>ability</w:t>
      </w:r>
      <w:r w:rsidR="00770ED2" w:rsidRPr="001C2C36">
        <w:rPr>
          <w:rFonts w:cs="Times New Roman"/>
        </w:rPr>
        <w:t xml:space="preserve"> </w:t>
      </w:r>
      <w:r w:rsidR="00265FDB" w:rsidRPr="001C2C36">
        <w:rPr>
          <w:rFonts w:cs="Times New Roman"/>
        </w:rPr>
        <w:t xml:space="preserve">to </w:t>
      </w:r>
      <w:r w:rsidR="00446725" w:rsidRPr="001C2C36">
        <w:rPr>
          <w:rFonts w:cs="Times New Roman"/>
        </w:rPr>
        <w:t>routinely</w:t>
      </w:r>
      <w:r w:rsidR="00265FDB" w:rsidRPr="001C2C36">
        <w:rPr>
          <w:rFonts w:cs="Times New Roman"/>
        </w:rPr>
        <w:t xml:space="preserve"> </w:t>
      </w:r>
      <w:r w:rsidR="008E0CCE" w:rsidRPr="001C2C36">
        <w:rPr>
          <w:rFonts w:cs="Times New Roman"/>
        </w:rPr>
        <w:t>alter</w:t>
      </w:r>
      <w:r w:rsidR="00265FDB" w:rsidRPr="001C2C36">
        <w:rPr>
          <w:rFonts w:cs="Times New Roman"/>
        </w:rPr>
        <w:t xml:space="preserve"> an organisation’s way of making a living by focusing on “the capacity of an organization to purposefully create, extend, or modify its resource base” </w:t>
      </w:r>
      <w:r w:rsidR="00265FDB" w:rsidRPr="001C2C36">
        <w:rPr>
          <w:rStyle w:val="EndnoteReference"/>
          <w:rFonts w:cs="Times New Roman"/>
        </w:rPr>
        <w:fldChar w:fldCharType="begin" w:fldLock="1"/>
      </w:r>
      <w:r w:rsidR="006D4E8C" w:rsidRPr="001C2C36">
        <w:rPr>
          <w:rFonts w:cs="Times New Roman"/>
        </w:rPr>
        <w:instrText>ADDIN CSL_CITATION {"citationItems":[{"id":"ITEM-1","itemData":{"ISBN":"1405182067","abstract":"Creating, adapting to, and exploiting change is inherently entrepreneurial. To survive and prosper under conditions of change, firms must develop the dynamic capabilities to create, extend, and modify the ways in which they operate. The capacity of an organization to create, extend, or modify its resource base is vital. Since the concept of dynamic capabilities was first introduced, much research has elaborated the initial idea. This important book by Constance Helfat and her team of leading scholars provides a timely focus on in-depth examples of corporate dynamic capabilities. Examining these in the different contexts of alliances, acquisitions, and management, the book gives students and researchers a succinct, up-to-date definition of dynamic capabilities and the strategic management theories around them.","author":[{"dropping-particle":"","family":"Helfat","given":"C E","non-dropping-particle":"","parse-names":false,"suffix":""},{"dropping-particle":"","family":"Finkelstein","given":"S","non-dropping-particle":"","parse-names":false,"suffix":""},{"dropping-particle":"","family":"Mitchell","given":"W","non-dropping-particle":"","parse-names":false,"suffix":""},{"dropping-particle":"","family":"Peteraf","given":"M","non-dropping-particle":"","parse-names":false,"suffix":""},{"dropping-particle":"","family":"Singh","given":"H","non-dropping-particle":"","parse-names":false,"suffix":""},{"dropping-particle":"","family":"Teece","given":"D J","non-dropping-particle":"","parse-names":false,"suffix":""},{"dropping-particle":"","family":"Winter","given":"Sidney G","non-dropping-particle":"","parse-names":false,"suffix":""}],"id":"ITEM-1","issued":{"date-parts":[["2007"]]},"number-of-pages":"147","publisher":"Blackwell Pub","publisher-place":"Malden","title":"Dynamic Capabilities: Understanding Strategic Change in Organizations","type":"book"},"locator":"4","uris":["http://www.mendeley.com/documents/?uuid=bd4b356c-40bf-3a3a-a95c-677b14673ff3","http://www.mendeley.com/documents/?uuid=f31d042e-6913-49b0-a808-5f773ee7b71a"]}],"mendeley":{"formattedCitation":"(Helfat et al., 2007: 4)","plainTextFormattedCitation":"(Helfat et al., 2007: 4)","previouslyFormattedCitation":"(Helfat et al., 2007: 4)"},"properties":{"noteIndex":0},"schema":"https://github.com/citation-style-language/schema/raw/master/csl-citation.json"}</w:instrText>
      </w:r>
      <w:r w:rsidR="00265FDB" w:rsidRPr="001C2C36">
        <w:rPr>
          <w:rStyle w:val="EndnoteReference"/>
          <w:rFonts w:cs="Times New Roman"/>
        </w:rPr>
        <w:fldChar w:fldCharType="separate"/>
      </w:r>
      <w:r w:rsidR="007A021D" w:rsidRPr="001C2C36">
        <w:rPr>
          <w:rFonts w:cs="Times New Roman"/>
          <w:noProof/>
          <w:lang w:val="en-US"/>
        </w:rPr>
        <w:t>(Helfat et al., 2007: 4)</w:t>
      </w:r>
      <w:r w:rsidR="00265FDB" w:rsidRPr="001C2C36">
        <w:rPr>
          <w:rStyle w:val="EndnoteReference"/>
          <w:rFonts w:cs="Times New Roman"/>
        </w:rPr>
        <w:fldChar w:fldCharType="end"/>
      </w:r>
      <w:r w:rsidR="007959D5" w:rsidRPr="001C2C36">
        <w:rPr>
          <w:rStyle w:val="EndnoteReference"/>
          <w:rFonts w:cs="Times New Roman"/>
        </w:rPr>
        <w:t xml:space="preserve">, </w:t>
      </w:r>
      <w:r w:rsidR="007959D5" w:rsidRPr="001C2C36">
        <w:rPr>
          <w:rFonts w:cs="Times New Roman"/>
        </w:rPr>
        <w:t xml:space="preserve">which </w:t>
      </w:r>
      <w:r w:rsidR="00C63871" w:rsidRPr="001C2C36">
        <w:rPr>
          <w:rFonts w:cs="Times New Roman"/>
        </w:rPr>
        <w:t>is</w:t>
      </w:r>
      <w:r w:rsidR="007959D5" w:rsidRPr="001C2C36">
        <w:rPr>
          <w:rFonts w:cs="Times New Roman"/>
        </w:rPr>
        <w:t xml:space="preserve"> </w:t>
      </w:r>
      <w:r w:rsidR="00E2195D" w:rsidRPr="001C2C36">
        <w:rPr>
          <w:rFonts w:cs="Times New Roman"/>
        </w:rPr>
        <w:t xml:space="preserve">found to be </w:t>
      </w:r>
      <w:r w:rsidR="007959D5" w:rsidRPr="001C2C36">
        <w:rPr>
          <w:rFonts w:cs="Times New Roman"/>
        </w:rPr>
        <w:t>es</w:t>
      </w:r>
      <w:r w:rsidR="00795D8F" w:rsidRPr="001C2C36">
        <w:rPr>
          <w:rFonts w:cs="Times New Roman"/>
        </w:rPr>
        <w:t>s</w:t>
      </w:r>
      <w:r w:rsidR="007959D5" w:rsidRPr="001C2C36">
        <w:rPr>
          <w:rFonts w:cs="Times New Roman"/>
        </w:rPr>
        <w:t>ential during</w:t>
      </w:r>
      <w:r w:rsidR="00C338DC" w:rsidRPr="001C2C36">
        <w:rPr>
          <w:rFonts w:cs="Times New Roman"/>
        </w:rPr>
        <w:t xml:space="preserve"> external shocks, such as</w:t>
      </w:r>
      <w:r w:rsidR="007959D5" w:rsidRPr="001C2C36">
        <w:rPr>
          <w:rFonts w:cs="Times New Roman"/>
        </w:rPr>
        <w:t xml:space="preserve"> Covid-19</w:t>
      </w:r>
      <w:r w:rsidR="0011274C" w:rsidRPr="001C2C36">
        <w:rPr>
          <w:rFonts w:cs="Times New Roman"/>
        </w:rPr>
        <w:t xml:space="preserve"> </w:t>
      </w:r>
      <w:r w:rsidR="0011274C" w:rsidRPr="001C2C36">
        <w:rPr>
          <w:rFonts w:cs="Times New Roman"/>
        </w:rPr>
        <w:fldChar w:fldCharType="begin" w:fldLock="1"/>
      </w:r>
      <w:r w:rsidR="00C3588F" w:rsidRPr="001C2C36">
        <w:rPr>
          <w:rFonts w:cs="Times New Roman"/>
        </w:rPr>
        <w:instrText>ADDIN CSL_CITATION {"citationItems":[{"id":"ITEM-1","itemData":{"DOI":"10.1177/02662426211033270","ISSN":"17412870","abstract":"COVID-19 wreaked havoc on public health and the global economy. Small and medium-sized enterprises (SMEs) were hit especially hard. In this research note, we test the ability of dynamic capabilities (DCs) to predict SME performance during the pandemic. Based on our analysis of data from a survey conducted in the United States, we find that DCs meaningfully predicted both operational levels and revenue. Furthermore, while the empirical literature suggests that SME size is positively related to DC efficacy, we found that this effect was reversed during COVID-19, as the positive link between DCs and performance was stronger for smaller SMEs.","author":[{"dropping-particle":"","family":"Clampit","given":"Jack A.","non-dropping-particle":"","parse-names":false,"suffix":""},{"dropping-particle":"","family":"Lorenz","given":"Melanie P.","non-dropping-particle":"","parse-names":false,"suffix":""},{"dropping-particle":"","family":"Gamble","given":"John E.","non-dropping-particle":"","parse-names":false,"suffix":""},{"dropping-particle":"","family":"Lee","given":"Jim","non-dropping-particle":"","parse-names":false,"suffix":""}],"container-title":"International Small Business Journal: Researching Entrepreneurship","id":"ITEM-1","issue":"3","issued":{"date-parts":[["2021"]]},"page":"403 –419","title":"Performance stability among small and medium-sized enterprises during COVID-19: A test of the efficacy of dynamic capabilities","type":"article-journal","volume":"40"},"uris":["http://www.mendeley.com/documents/?uuid=91c45b80-89c5-4e6b-aaea-066b44b12e58"]}],"mendeley":{"formattedCitation":"(Clampit et al., 2021)","plainTextFormattedCitation":"(Clampit et al., 2021)","previouslyFormattedCitation":"(Clampit et al., 2021)"},"properties":{"noteIndex":0},"schema":"https://github.com/citation-style-language/schema/raw/master/csl-citation.json"}</w:instrText>
      </w:r>
      <w:r w:rsidR="0011274C" w:rsidRPr="001C2C36">
        <w:rPr>
          <w:rFonts w:cs="Times New Roman"/>
        </w:rPr>
        <w:fldChar w:fldCharType="separate"/>
      </w:r>
      <w:r w:rsidR="0011274C" w:rsidRPr="001C2C36">
        <w:rPr>
          <w:rFonts w:cs="Times New Roman"/>
          <w:noProof/>
        </w:rPr>
        <w:t>(Clampit et al., 2021)</w:t>
      </w:r>
      <w:r w:rsidR="0011274C" w:rsidRPr="001C2C36">
        <w:rPr>
          <w:rFonts w:cs="Times New Roman"/>
        </w:rPr>
        <w:fldChar w:fldCharType="end"/>
      </w:r>
      <w:r w:rsidR="00265FDB" w:rsidRPr="001C2C36">
        <w:rPr>
          <w:rFonts w:cs="Times New Roman"/>
        </w:rPr>
        <w:t>.</w:t>
      </w:r>
      <w:r w:rsidR="00E668E2" w:rsidRPr="001C2C36">
        <w:rPr>
          <w:rFonts w:cs="Times New Roman"/>
        </w:rPr>
        <w:t xml:space="preserve"> </w:t>
      </w:r>
      <w:r w:rsidR="00FA2205" w:rsidRPr="001C2C36">
        <w:rPr>
          <w:rFonts w:cs="Times New Roman"/>
        </w:rPr>
        <w:t xml:space="preserve">The complexities of DCs are </w:t>
      </w:r>
      <w:r w:rsidR="00F043E0" w:rsidRPr="001C2C36">
        <w:rPr>
          <w:rFonts w:cs="Times New Roman"/>
        </w:rPr>
        <w:t xml:space="preserve">highlighted by </w:t>
      </w:r>
      <w:r w:rsidR="00330402" w:rsidRPr="001C2C36">
        <w:rPr>
          <w:rFonts w:cs="Times New Roman"/>
        </w:rPr>
        <w:t xml:space="preserve">Eisenhardt and Martin </w:t>
      </w:r>
      <w:r w:rsidR="0066613E" w:rsidRPr="001C2C36">
        <w:rPr>
          <w:rFonts w:cs="Times New Roman"/>
        </w:rPr>
        <w:fldChar w:fldCharType="begin" w:fldLock="1"/>
      </w:r>
      <w:r w:rsidR="00B81CC0" w:rsidRPr="001C2C36">
        <w:rPr>
          <w:rFonts w:cs="Times New Roman"/>
        </w:rPr>
        <w:instrText>ADDIN CSL_CITATION {"citationItems":[{"id":"ITEM-1","itemData":{"author":[{"dropping-particle":"","family":"Eisenhardt","given":"Kathleen M","non-dropping-particle":"","parse-names":false,"suffix":""},{"dropping-particle":"","family":"Martin","given":"Jeffrey A","non-dropping-particle":"","parse-names":false,"suffix":""}],"container-title":"Strategic Management Journal","id":"ITEM-1","issue":"10/11","issued":{"date-parts":[["2000"]]},"page":"1105-1121","title":"Dynamic Capabilities: What Are They?","type":"article-journal","volume":"21"},"suppress-author":1,"uris":["http://www.mendeley.com/documents/?uuid=41c08dff-c6d4-4b49-8916-57d32a65232e"]}],"mendeley":{"formattedCitation":"(2000)","plainTextFormattedCitation":"(2000)","previouslyFormattedCitation":"(2000)"},"properties":{"noteIndex":0},"schema":"https://github.com/citation-style-language/schema/raw/master/csl-citation.json"}</w:instrText>
      </w:r>
      <w:r w:rsidR="0066613E" w:rsidRPr="001C2C36">
        <w:rPr>
          <w:rFonts w:cs="Times New Roman"/>
        </w:rPr>
        <w:fldChar w:fldCharType="separate"/>
      </w:r>
      <w:r w:rsidR="00330402" w:rsidRPr="001C2C36">
        <w:rPr>
          <w:rFonts w:cs="Times New Roman"/>
          <w:noProof/>
        </w:rPr>
        <w:t>(2000)</w:t>
      </w:r>
      <w:r w:rsidR="0066613E" w:rsidRPr="001C2C36">
        <w:rPr>
          <w:rFonts w:cs="Times New Roman"/>
        </w:rPr>
        <w:fldChar w:fldCharType="end"/>
      </w:r>
      <w:r w:rsidR="009C10CC" w:rsidRPr="001C2C36">
        <w:rPr>
          <w:rFonts w:cs="Times New Roman"/>
        </w:rPr>
        <w:t>, who</w:t>
      </w:r>
      <w:r w:rsidR="00B538EC" w:rsidRPr="001C2C36">
        <w:rPr>
          <w:rFonts w:cs="Times New Roman"/>
        </w:rPr>
        <w:t xml:space="preserve"> </w:t>
      </w:r>
      <w:r w:rsidR="009C10CC" w:rsidRPr="001C2C36">
        <w:rPr>
          <w:rFonts w:cs="Times New Roman"/>
        </w:rPr>
        <w:t>point to equifinality</w:t>
      </w:r>
      <w:r w:rsidR="00415EDD" w:rsidRPr="001C2C36">
        <w:rPr>
          <w:rFonts w:cs="Times New Roman"/>
        </w:rPr>
        <w:t xml:space="preserve"> (</w:t>
      </w:r>
      <w:r w:rsidR="00A648D4" w:rsidRPr="001C2C36">
        <w:rPr>
          <w:rFonts w:cs="Times New Roman"/>
        </w:rPr>
        <w:t xml:space="preserve">have </w:t>
      </w:r>
      <w:r w:rsidR="00415EDD" w:rsidRPr="001C2C36">
        <w:rPr>
          <w:rFonts w:cs="Times New Roman"/>
        </w:rPr>
        <w:t>different starting points and follow unique paths)</w:t>
      </w:r>
      <w:r w:rsidR="009C10CC" w:rsidRPr="001C2C36">
        <w:rPr>
          <w:rFonts w:cs="Times New Roman"/>
        </w:rPr>
        <w:t>, substitutability</w:t>
      </w:r>
      <w:r w:rsidR="00257901" w:rsidRPr="001C2C36">
        <w:rPr>
          <w:rFonts w:cs="Times New Roman"/>
        </w:rPr>
        <w:t xml:space="preserve"> (differ in form and detail)</w:t>
      </w:r>
      <w:r w:rsidR="009C10CC" w:rsidRPr="001C2C36">
        <w:rPr>
          <w:rFonts w:cs="Times New Roman"/>
        </w:rPr>
        <w:t xml:space="preserve"> and fungibility</w:t>
      </w:r>
      <w:r w:rsidR="00257901" w:rsidRPr="001C2C36">
        <w:rPr>
          <w:rFonts w:cs="Times New Roman"/>
        </w:rPr>
        <w:t xml:space="preserve"> (effective across a range of industries)</w:t>
      </w:r>
      <w:r w:rsidR="00B538EC" w:rsidRPr="001C2C36">
        <w:rPr>
          <w:rFonts w:cs="Times New Roman"/>
        </w:rPr>
        <w:t xml:space="preserve"> in their efforts to define DCs</w:t>
      </w:r>
      <w:r w:rsidR="00BD416D" w:rsidRPr="001C2C36">
        <w:rPr>
          <w:rFonts w:cs="Times New Roman"/>
        </w:rPr>
        <w:t xml:space="preserve">. </w:t>
      </w:r>
      <w:r w:rsidR="00C87C3A" w:rsidRPr="001C2C36">
        <w:rPr>
          <w:rFonts w:cs="Times New Roman"/>
        </w:rPr>
        <w:t xml:space="preserve">This is further amplified </w:t>
      </w:r>
      <w:r w:rsidR="0013236E" w:rsidRPr="001C2C36">
        <w:rPr>
          <w:rFonts w:cs="Times New Roman"/>
        </w:rPr>
        <w:t xml:space="preserve">once we </w:t>
      </w:r>
      <w:r w:rsidR="00D70A55" w:rsidRPr="001C2C36">
        <w:rPr>
          <w:rFonts w:cs="Times New Roman"/>
        </w:rPr>
        <w:t>consider that</w:t>
      </w:r>
      <w:r w:rsidR="005745FF" w:rsidRPr="001C2C36">
        <w:rPr>
          <w:rFonts w:cs="Times New Roman"/>
        </w:rPr>
        <w:t xml:space="preserve"> </w:t>
      </w:r>
      <w:r w:rsidR="00387A5F" w:rsidRPr="001C2C36">
        <w:rPr>
          <w:rFonts w:cs="Times New Roman"/>
        </w:rPr>
        <w:t xml:space="preserve">the differentiating line could be blurry </w:t>
      </w:r>
      <w:r w:rsidR="005745FF" w:rsidRPr="001C2C36">
        <w:rPr>
          <w:rFonts w:cs="Times New Roman"/>
        </w:rPr>
        <w:t xml:space="preserve">even </w:t>
      </w:r>
      <w:r w:rsidR="00115F41" w:rsidRPr="001C2C36">
        <w:rPr>
          <w:rFonts w:cs="Times New Roman"/>
        </w:rPr>
        <w:t>among</w:t>
      </w:r>
      <w:r w:rsidR="00B93C82" w:rsidRPr="001C2C36">
        <w:rPr>
          <w:rFonts w:cs="Times New Roman"/>
        </w:rPr>
        <w:t xml:space="preserve"> these</w:t>
      </w:r>
      <w:r w:rsidR="00115F41" w:rsidRPr="001C2C36">
        <w:rPr>
          <w:rFonts w:cs="Times New Roman"/>
        </w:rPr>
        <w:t xml:space="preserve"> two</w:t>
      </w:r>
      <w:r w:rsidR="00B93C82" w:rsidRPr="001C2C36">
        <w:rPr>
          <w:rFonts w:cs="Times New Roman"/>
        </w:rPr>
        <w:t xml:space="preserve"> </w:t>
      </w:r>
      <w:r w:rsidR="00845181" w:rsidRPr="001C2C36">
        <w:rPr>
          <w:rFonts w:cs="Times New Roman"/>
        </w:rPr>
        <w:t xml:space="preserve">widely applied </w:t>
      </w:r>
      <w:r w:rsidR="00B93C82" w:rsidRPr="001C2C36">
        <w:rPr>
          <w:rFonts w:cs="Times New Roman"/>
        </w:rPr>
        <w:t>concepts</w:t>
      </w:r>
      <w:r w:rsidR="00C3588F" w:rsidRPr="001C2C36">
        <w:rPr>
          <w:rFonts w:cs="Times New Roman"/>
        </w:rPr>
        <w:t xml:space="preserve"> </w:t>
      </w:r>
      <w:r w:rsidRPr="001C2C36">
        <w:rPr>
          <w:rFonts w:cs="Times New Roman"/>
        </w:rPr>
        <w:fldChar w:fldCharType="begin" w:fldLock="1"/>
      </w:r>
      <w:r w:rsidR="00E619B0" w:rsidRPr="001C2C36">
        <w:rPr>
          <w:rFonts w:cs="Times New Roman"/>
        </w:rPr>
        <w:instrText>ADDIN CSL_CITATION {"citationItems":[{"id":"ITEM-1","itemData":{"DOI":"https://doi.org/10.1002/smj.955","author":[{"dropping-particle":"","family":"Helfat","given":"Constance E","non-dropping-particle":"","parse-names":false,"suffix":""},{"dropping-particle":"","family":"Winter","given":"Sidney G","non-dropping-particle":"","parse-names":false,"suffix":""}],"container-title":"Strategic Management Journal","id":"ITEM-1","issue":"11","issued":{"date-parts":[["2011"]]},"page":"1243-1250","title":"Untangling Dynamic and Operational Capabilities: Strategy for the (N)ever-Changing World","type":"article-journal","volume":"32"},"uris":["http://www.mendeley.com/documents/?uuid=197c834f-deb8-4292-ab47-de827bcde9e7","http://www.mendeley.com/documents/?uuid=5b5614aa-35b5-4a4f-8228-0a1affa2fa56"]}],"mendeley":{"formattedCitation":"(Helfat and Winter, 2011)","plainTextFormattedCitation":"(Helfat and Winter, 2011)","previouslyFormattedCitation":"(Helfat and Winter, 2011)"},"properties":{"noteIndex":0},"schema":"https://github.com/citation-style-language/schema/raw/master/csl-citation.json"}</w:instrText>
      </w:r>
      <w:r w:rsidRPr="001C2C36">
        <w:rPr>
          <w:rFonts w:cs="Times New Roman"/>
        </w:rPr>
        <w:fldChar w:fldCharType="separate"/>
      </w:r>
      <w:r w:rsidR="04DA9582" w:rsidRPr="001C2C36">
        <w:rPr>
          <w:rFonts w:cs="Times New Roman"/>
          <w:noProof/>
        </w:rPr>
        <w:t>(Helfat and Winter, 2011)</w:t>
      </w:r>
      <w:r w:rsidRPr="001C2C36">
        <w:rPr>
          <w:rFonts w:cs="Times New Roman"/>
        </w:rPr>
        <w:fldChar w:fldCharType="end"/>
      </w:r>
      <w:r w:rsidR="70A635A8" w:rsidRPr="001C2C36">
        <w:rPr>
          <w:rFonts w:cs="Times New Roman"/>
        </w:rPr>
        <w:t xml:space="preserve">. </w:t>
      </w:r>
    </w:p>
    <w:p w14:paraId="1F2B4F08" w14:textId="011BF99B" w:rsidR="00D07C6F" w:rsidRPr="001C2C36" w:rsidRDefault="004D3F50" w:rsidP="00654339">
      <w:pPr>
        <w:rPr>
          <w:rFonts w:cs="Times New Roman"/>
        </w:rPr>
      </w:pPr>
      <w:r w:rsidRPr="001C2C36">
        <w:rPr>
          <w:rFonts w:cs="Times New Roman"/>
        </w:rPr>
        <w:t xml:space="preserve">Once we </w:t>
      </w:r>
      <w:r w:rsidR="00654339" w:rsidRPr="001C2C36">
        <w:rPr>
          <w:rFonts w:cs="Times New Roman"/>
        </w:rPr>
        <w:t>delve</w:t>
      </w:r>
      <w:r w:rsidRPr="001C2C36">
        <w:rPr>
          <w:rFonts w:cs="Times New Roman"/>
        </w:rPr>
        <w:t xml:space="preserve"> deeper</w:t>
      </w:r>
      <w:r w:rsidR="00AE5542" w:rsidRPr="001C2C36">
        <w:rPr>
          <w:rFonts w:cs="Times New Roman"/>
        </w:rPr>
        <w:t xml:space="preserve"> into the DC theory</w:t>
      </w:r>
      <w:r w:rsidRPr="001C2C36">
        <w:rPr>
          <w:rFonts w:cs="Times New Roman"/>
        </w:rPr>
        <w:t xml:space="preserve">, the concepts </w:t>
      </w:r>
      <w:r w:rsidR="009F77C2" w:rsidRPr="001C2C36">
        <w:rPr>
          <w:rFonts w:cs="Times New Roman"/>
        </w:rPr>
        <w:t>become even</w:t>
      </w:r>
      <w:r w:rsidR="00AE5542" w:rsidRPr="001C2C36">
        <w:rPr>
          <w:rFonts w:cs="Times New Roman"/>
        </w:rPr>
        <w:t xml:space="preserve"> less </w:t>
      </w:r>
      <w:r w:rsidR="00CB32C5" w:rsidRPr="001C2C36">
        <w:rPr>
          <w:rFonts w:cs="Times New Roman"/>
        </w:rPr>
        <w:t>definite</w:t>
      </w:r>
      <w:r w:rsidR="00AE5542" w:rsidRPr="001C2C36">
        <w:rPr>
          <w:rFonts w:cs="Times New Roman"/>
        </w:rPr>
        <w:t xml:space="preserve">. </w:t>
      </w:r>
      <w:r w:rsidR="01B22C54" w:rsidRPr="001C2C36">
        <w:rPr>
          <w:rFonts w:cs="Times New Roman"/>
        </w:rPr>
        <w:t xml:space="preserve">This is </w:t>
      </w:r>
      <w:r w:rsidR="00AE5542" w:rsidRPr="001C2C36">
        <w:rPr>
          <w:rFonts w:cs="Times New Roman"/>
        </w:rPr>
        <w:t>evident</w:t>
      </w:r>
      <w:r w:rsidR="6ED0A242" w:rsidRPr="001C2C36">
        <w:rPr>
          <w:rFonts w:cs="Times New Roman"/>
        </w:rPr>
        <w:t xml:space="preserve"> once </w:t>
      </w:r>
      <w:r w:rsidR="6957EDA6" w:rsidRPr="001C2C36">
        <w:rPr>
          <w:rFonts w:cs="Times New Roman"/>
        </w:rPr>
        <w:t xml:space="preserve">we </w:t>
      </w:r>
      <w:r w:rsidR="00FE19D2" w:rsidRPr="001C2C36">
        <w:rPr>
          <w:rFonts w:cs="Times New Roman"/>
        </w:rPr>
        <w:t>attempt</w:t>
      </w:r>
      <w:r w:rsidR="16A49367" w:rsidRPr="001C2C36">
        <w:rPr>
          <w:rFonts w:cs="Times New Roman"/>
        </w:rPr>
        <w:t xml:space="preserve"> to</w:t>
      </w:r>
      <w:r w:rsidR="6EA7EF5F" w:rsidRPr="001C2C36">
        <w:rPr>
          <w:rFonts w:cs="Times New Roman"/>
        </w:rPr>
        <w:t xml:space="preserve"> </w:t>
      </w:r>
      <w:r w:rsidR="16A49367" w:rsidRPr="001C2C36">
        <w:rPr>
          <w:rFonts w:cs="Times New Roman"/>
        </w:rPr>
        <w:t>differentiate the change that</w:t>
      </w:r>
      <w:r w:rsidR="03D79BE6" w:rsidRPr="001C2C36">
        <w:rPr>
          <w:rFonts w:cs="Times New Roman"/>
        </w:rPr>
        <w:t xml:space="preserve"> is</w:t>
      </w:r>
      <w:r w:rsidR="16A49367" w:rsidRPr="001C2C36">
        <w:rPr>
          <w:rFonts w:cs="Times New Roman"/>
        </w:rPr>
        <w:t xml:space="preserve"> </w:t>
      </w:r>
      <w:r w:rsidR="210BE4DA" w:rsidRPr="001C2C36">
        <w:rPr>
          <w:rFonts w:cs="Times New Roman"/>
        </w:rPr>
        <w:t>c</w:t>
      </w:r>
      <w:r w:rsidR="6C1A4DF2" w:rsidRPr="001C2C36">
        <w:rPr>
          <w:rFonts w:cs="Times New Roman"/>
        </w:rPr>
        <w:t>au</w:t>
      </w:r>
      <w:r w:rsidR="210BE4DA" w:rsidRPr="001C2C36">
        <w:rPr>
          <w:rFonts w:cs="Times New Roman"/>
        </w:rPr>
        <w:t xml:space="preserve">sed by DCs </w:t>
      </w:r>
      <w:r w:rsidR="049403BA" w:rsidRPr="001C2C36">
        <w:rPr>
          <w:rFonts w:cs="Times New Roman"/>
        </w:rPr>
        <w:t xml:space="preserve">from that </w:t>
      </w:r>
      <w:r w:rsidR="58565F38" w:rsidRPr="001C2C36">
        <w:rPr>
          <w:rFonts w:cs="Times New Roman"/>
        </w:rPr>
        <w:t>caused by</w:t>
      </w:r>
      <w:r w:rsidR="16A49367" w:rsidRPr="001C2C36">
        <w:rPr>
          <w:rFonts w:cs="Times New Roman"/>
        </w:rPr>
        <w:t xml:space="preserve"> </w:t>
      </w:r>
      <w:r w:rsidR="3475799D" w:rsidRPr="001C2C36">
        <w:rPr>
          <w:rFonts w:cs="Times New Roman"/>
        </w:rPr>
        <w:t>non</w:t>
      </w:r>
      <w:r w:rsidR="2FF89036" w:rsidRPr="001C2C36">
        <w:rPr>
          <w:rFonts w:cs="Times New Roman"/>
        </w:rPr>
        <w:t>-</w:t>
      </w:r>
      <w:r w:rsidR="3475799D" w:rsidRPr="001C2C36">
        <w:rPr>
          <w:rFonts w:cs="Times New Roman"/>
        </w:rPr>
        <w:t>routine</w:t>
      </w:r>
      <w:r w:rsidR="16A49367" w:rsidRPr="001C2C36">
        <w:rPr>
          <w:rFonts w:cs="Times New Roman"/>
        </w:rPr>
        <w:t xml:space="preserve"> </w:t>
      </w:r>
      <w:r w:rsidR="55EF6D81" w:rsidRPr="001C2C36">
        <w:rPr>
          <w:rFonts w:cs="Times New Roman"/>
        </w:rPr>
        <w:t>“</w:t>
      </w:r>
      <w:r w:rsidR="6FC695D7" w:rsidRPr="001C2C36">
        <w:rPr>
          <w:rFonts w:cs="Times New Roman"/>
        </w:rPr>
        <w:t>ad hoc problem solving</w:t>
      </w:r>
      <w:r w:rsidR="55EF6D81" w:rsidRPr="001C2C36">
        <w:rPr>
          <w:rFonts w:cs="Times New Roman"/>
        </w:rPr>
        <w:t>”</w:t>
      </w:r>
      <w:r w:rsidR="675C2683" w:rsidRPr="001C2C36">
        <w:rPr>
          <w:rFonts w:cs="Times New Roman"/>
        </w:rPr>
        <w:t xml:space="preserve"> </w:t>
      </w:r>
      <w:r w:rsidR="01B22C54" w:rsidRPr="001C2C36">
        <w:rPr>
          <w:rFonts w:cs="Times New Roman"/>
        </w:rPr>
        <w:fldChar w:fldCharType="begin" w:fldLock="1"/>
      </w:r>
      <w:r w:rsidR="000E4D26" w:rsidRPr="001C2C36">
        <w:rPr>
          <w:rFonts w:cs="Times New Roman"/>
        </w:rPr>
        <w:instrText>ADDIN CSL_CITATION {"citationItems":[{"id":"ITEM-1","itemData":{"DOI":"10.1002/smj.318","author":[{"dropping-particle":"","family":"Winter","given":"Sidney G","non-dropping-particle":"","parse-names":false,"suffix":""}],"container-title":"Strategic Management Journal","id":"ITEM-1","issue":"10","issued":{"date-parts":[["2003"]]},"page":"991-995","title":"Understanding Dynamic Capabilities","type":"article-journal","volume":"24"},"uris":["http://www.mendeley.com/documents/?uuid=094ce532-21e2-452e-aae5-f9dab76262c5"]}],"mendeley":{"formattedCitation":"(Winter, 2003)","plainTextFormattedCitation":"(Winter, 2003)","previouslyFormattedCitation":"(Winter, 2003)"},"properties":{"noteIndex":0},"schema":"https://github.com/citation-style-language/schema/raw/master/csl-citation.json"}</w:instrText>
      </w:r>
      <w:r w:rsidR="01B22C54" w:rsidRPr="001C2C36">
        <w:rPr>
          <w:rFonts w:cs="Times New Roman"/>
        </w:rPr>
        <w:fldChar w:fldCharType="separate"/>
      </w:r>
      <w:r w:rsidR="008A32CF" w:rsidRPr="001C2C36">
        <w:rPr>
          <w:rFonts w:cs="Times New Roman"/>
          <w:noProof/>
        </w:rPr>
        <w:t>(Winter, 2003)</w:t>
      </w:r>
      <w:r w:rsidR="01B22C54" w:rsidRPr="001C2C36">
        <w:rPr>
          <w:rFonts w:cs="Times New Roman"/>
        </w:rPr>
        <w:fldChar w:fldCharType="end"/>
      </w:r>
      <w:r w:rsidR="2FF89036" w:rsidRPr="001C2C36">
        <w:rPr>
          <w:rFonts w:cs="Times New Roman"/>
        </w:rPr>
        <w:t>,</w:t>
      </w:r>
      <w:r w:rsidR="22316243" w:rsidRPr="001C2C36">
        <w:rPr>
          <w:rFonts w:cs="Times New Roman"/>
        </w:rPr>
        <w:t xml:space="preserve"> </w:t>
      </w:r>
      <w:r w:rsidR="2FF89036" w:rsidRPr="001C2C36">
        <w:rPr>
          <w:rFonts w:cs="Times New Roman"/>
        </w:rPr>
        <w:t>which</w:t>
      </w:r>
      <w:r w:rsidR="22316243" w:rsidRPr="001C2C36">
        <w:rPr>
          <w:rFonts w:cs="Times New Roman"/>
        </w:rPr>
        <w:t xml:space="preserve"> </w:t>
      </w:r>
      <w:r w:rsidR="3605309E" w:rsidRPr="001C2C36">
        <w:rPr>
          <w:rFonts w:cs="Times New Roman"/>
        </w:rPr>
        <w:t>fits</w:t>
      </w:r>
      <w:r w:rsidR="63053985" w:rsidRPr="001C2C36">
        <w:rPr>
          <w:rFonts w:cs="Times New Roman"/>
        </w:rPr>
        <w:t xml:space="preserve"> well in the </w:t>
      </w:r>
      <w:r w:rsidR="22316243" w:rsidRPr="001C2C36">
        <w:rPr>
          <w:rFonts w:cs="Times New Roman"/>
        </w:rPr>
        <w:t>Covid-19 context</w:t>
      </w:r>
      <w:r w:rsidR="55EF6D81" w:rsidRPr="001C2C36">
        <w:rPr>
          <w:rFonts w:cs="Times New Roman"/>
        </w:rPr>
        <w:t>.</w:t>
      </w:r>
      <w:r w:rsidR="6453A526" w:rsidRPr="001C2C36">
        <w:rPr>
          <w:rFonts w:cs="Times New Roman"/>
        </w:rPr>
        <w:t xml:space="preserve"> </w:t>
      </w:r>
      <w:r w:rsidR="63053985" w:rsidRPr="001C2C36">
        <w:rPr>
          <w:rFonts w:cs="Times New Roman"/>
        </w:rPr>
        <w:t xml:space="preserve">Unprepared </w:t>
      </w:r>
      <w:r w:rsidR="1ED02683" w:rsidRPr="001C2C36">
        <w:rPr>
          <w:rFonts w:cs="Times New Roman"/>
        </w:rPr>
        <w:t>SMEs</w:t>
      </w:r>
      <w:r w:rsidR="63053985" w:rsidRPr="001C2C36">
        <w:rPr>
          <w:rFonts w:cs="Times New Roman"/>
        </w:rPr>
        <w:t xml:space="preserve"> that previously </w:t>
      </w:r>
      <w:r w:rsidR="7FFD7D82" w:rsidRPr="001C2C36">
        <w:rPr>
          <w:rFonts w:cs="Times New Roman"/>
        </w:rPr>
        <w:t xml:space="preserve">were </w:t>
      </w:r>
      <w:r w:rsidR="1ED02683" w:rsidRPr="001C2C36">
        <w:rPr>
          <w:rFonts w:cs="Times New Roman"/>
        </w:rPr>
        <w:t>not routinely seeking change</w:t>
      </w:r>
      <w:r w:rsidR="7FFD7D82" w:rsidRPr="001C2C36">
        <w:rPr>
          <w:rFonts w:cs="Times New Roman"/>
        </w:rPr>
        <w:t xml:space="preserve"> start to innovate due to the necessity imposed by Covid-19.</w:t>
      </w:r>
      <w:r w:rsidR="7C00DD2C" w:rsidRPr="001C2C36">
        <w:rPr>
          <w:rFonts w:cs="Times New Roman"/>
        </w:rPr>
        <w:t xml:space="preserve"> It is</w:t>
      </w:r>
      <w:r w:rsidR="2FF89036" w:rsidRPr="001C2C36">
        <w:rPr>
          <w:rFonts w:cs="Times New Roman"/>
        </w:rPr>
        <w:t>,</w:t>
      </w:r>
      <w:r w:rsidR="7C00DD2C" w:rsidRPr="001C2C36">
        <w:rPr>
          <w:rFonts w:cs="Times New Roman"/>
        </w:rPr>
        <w:t xml:space="preserve"> however</w:t>
      </w:r>
      <w:r w:rsidR="2FF89036" w:rsidRPr="001C2C36">
        <w:rPr>
          <w:rFonts w:cs="Times New Roman"/>
        </w:rPr>
        <w:t>,</w:t>
      </w:r>
      <w:r w:rsidR="7C00DD2C" w:rsidRPr="001C2C36">
        <w:rPr>
          <w:rFonts w:cs="Times New Roman"/>
        </w:rPr>
        <w:t xml:space="preserve"> arguable </w:t>
      </w:r>
      <w:r w:rsidR="1461704F" w:rsidRPr="001C2C36">
        <w:rPr>
          <w:rFonts w:cs="Times New Roman"/>
        </w:rPr>
        <w:t>to what extent</w:t>
      </w:r>
      <w:r w:rsidR="1FDB98E0" w:rsidRPr="001C2C36">
        <w:rPr>
          <w:rFonts w:cs="Times New Roman"/>
        </w:rPr>
        <w:t xml:space="preserve"> these </w:t>
      </w:r>
      <w:r w:rsidR="60001EEF" w:rsidRPr="001C2C36">
        <w:rPr>
          <w:rFonts w:cs="Times New Roman"/>
        </w:rPr>
        <w:t xml:space="preserve">substantial </w:t>
      </w:r>
      <w:r w:rsidR="1FDB98E0" w:rsidRPr="001C2C36">
        <w:rPr>
          <w:rFonts w:cs="Times New Roman"/>
        </w:rPr>
        <w:t>changes</w:t>
      </w:r>
      <w:r w:rsidR="60001EEF" w:rsidRPr="001C2C36">
        <w:rPr>
          <w:rFonts w:cs="Times New Roman"/>
        </w:rPr>
        <w:t xml:space="preserve"> in operation could be considered </w:t>
      </w:r>
      <w:r w:rsidR="1FDB98E0" w:rsidRPr="001C2C36">
        <w:rPr>
          <w:rFonts w:cs="Times New Roman"/>
        </w:rPr>
        <w:t>purely ad hoc problem</w:t>
      </w:r>
      <w:r w:rsidR="5689276C" w:rsidRPr="001C2C36">
        <w:rPr>
          <w:rFonts w:cs="Times New Roman"/>
        </w:rPr>
        <w:t xml:space="preserve"> </w:t>
      </w:r>
      <w:r w:rsidR="1FDB98E0" w:rsidRPr="001C2C36">
        <w:rPr>
          <w:rFonts w:cs="Times New Roman"/>
        </w:rPr>
        <w:t>solving</w:t>
      </w:r>
      <w:r w:rsidR="5689276C" w:rsidRPr="001C2C36">
        <w:rPr>
          <w:rFonts w:cs="Times New Roman"/>
        </w:rPr>
        <w:t>. It is</w:t>
      </w:r>
      <w:r w:rsidR="6C970B14" w:rsidRPr="001C2C36">
        <w:rPr>
          <w:rFonts w:cs="Times New Roman"/>
        </w:rPr>
        <w:t xml:space="preserve"> </w:t>
      </w:r>
      <w:r w:rsidR="5689276C" w:rsidRPr="001C2C36">
        <w:rPr>
          <w:rFonts w:cs="Times New Roman"/>
        </w:rPr>
        <w:t xml:space="preserve">likely that these </w:t>
      </w:r>
      <w:r w:rsidR="6C970B14" w:rsidRPr="001C2C36">
        <w:rPr>
          <w:rFonts w:cs="Times New Roman"/>
        </w:rPr>
        <w:t>changes</w:t>
      </w:r>
      <w:r w:rsidR="007B4E90" w:rsidRPr="001C2C36">
        <w:rPr>
          <w:rFonts w:cs="Times New Roman"/>
        </w:rPr>
        <w:t>,</w:t>
      </w:r>
      <w:r w:rsidR="6C970B14" w:rsidRPr="001C2C36">
        <w:rPr>
          <w:rFonts w:cs="Times New Roman"/>
        </w:rPr>
        <w:t xml:space="preserve"> </w:t>
      </w:r>
      <w:r w:rsidR="007F3F0E" w:rsidRPr="001C2C36">
        <w:rPr>
          <w:rFonts w:cs="Times New Roman"/>
        </w:rPr>
        <w:t>to some extent</w:t>
      </w:r>
      <w:r w:rsidR="007B4E90" w:rsidRPr="001C2C36">
        <w:rPr>
          <w:rFonts w:cs="Times New Roman"/>
        </w:rPr>
        <w:t>,</w:t>
      </w:r>
      <w:r w:rsidR="007F3F0E" w:rsidRPr="001C2C36">
        <w:rPr>
          <w:rFonts w:cs="Times New Roman"/>
        </w:rPr>
        <w:t xml:space="preserve"> </w:t>
      </w:r>
      <w:r w:rsidR="5689276C" w:rsidRPr="001C2C36">
        <w:rPr>
          <w:rFonts w:cs="Times New Roman"/>
        </w:rPr>
        <w:t xml:space="preserve">resulted from </w:t>
      </w:r>
      <w:r w:rsidR="5C193E45" w:rsidRPr="001C2C36">
        <w:rPr>
          <w:rFonts w:cs="Times New Roman"/>
        </w:rPr>
        <w:t xml:space="preserve">the previous </w:t>
      </w:r>
      <w:r w:rsidR="00D96AB5" w:rsidRPr="001C2C36">
        <w:rPr>
          <w:rFonts w:cs="Times New Roman"/>
        </w:rPr>
        <w:t>experience</w:t>
      </w:r>
      <w:r w:rsidR="005B605C" w:rsidRPr="001C2C36">
        <w:rPr>
          <w:rFonts w:cs="Times New Roman"/>
        </w:rPr>
        <w:t xml:space="preserve"> </w:t>
      </w:r>
      <w:r w:rsidR="009B2776" w:rsidRPr="001C2C36">
        <w:rPr>
          <w:rFonts w:cs="Times New Roman"/>
        </w:rPr>
        <w:t>through</w:t>
      </w:r>
      <w:r w:rsidR="002C0A07" w:rsidRPr="001C2C36">
        <w:rPr>
          <w:rFonts w:cs="Times New Roman"/>
        </w:rPr>
        <w:t xml:space="preserve"> </w:t>
      </w:r>
      <w:r w:rsidR="005B605C" w:rsidRPr="001C2C36">
        <w:rPr>
          <w:rFonts w:cs="Times New Roman"/>
        </w:rPr>
        <w:t xml:space="preserve">which DCs ordinarily develop </w:t>
      </w:r>
      <w:r w:rsidR="00180498" w:rsidRPr="001C2C36">
        <w:rPr>
          <w:rFonts w:cs="Times New Roman"/>
        </w:rPr>
        <w:fldChar w:fldCharType="begin" w:fldLock="1"/>
      </w:r>
      <w:r w:rsidR="00B575A5" w:rsidRPr="001C2C36">
        <w:rPr>
          <w:rFonts w:cs="Times New Roman"/>
        </w:rPr>
        <w:instrText>ADDIN CSL_CITATION {"citationItems":[{"id":"ITEM-1","itemData":{"DOI":"10.1002/smj.2347","ISBN":"1097-0266","ISSN":"01432095","abstract":"Examining how compensation structure affects mobility and entrepreneurship decisions of employees, particularly those at the extreme ends of the performance distribution, we find that employees with high performance are less likely to leave firms with highly dispersed compensation. However, if these “high performers” do leave these employers, they are more likely to create or join new firms. Employees with lower performance are more likely to leave firms with high pay dispersion, but less likely to move to new ventures. Additionally, we show that mobility and entrepreneurship result in employees’ receiving higher compensation, regardless of their performance level.","author":[{"dropping-particle":"","family":"Bingham","given":"Christopher B.","non-dropping-particle":"","parse-names":false,"suffix":""},{"dropping-particle":"","family":"Heimeriks","given":"Koen H.","non-dropping-particle":"","parse-names":false,"suffix":""},{"dropping-particle":"","family":"Schijven","given":"Mario","non-dropping-particle":"","parse-names":false,"suffix":""},{"dropping-particle":"","family":"Gates","given":"Stephen","non-dropping-particle":"","parse-names":false,"suffix":""}],"container-title":"Strategic Management Journal","id":"ITEM-1","issue":"12","issued":{"date-parts":[["2015","12"]]},"page":"1802-1825","title":"Concurrent learning: How firms develop multiple dynamic capabilities in parallel","type":"article-journal","volume":"36"},"uris":["http://www.mendeley.com/documents/?uuid=27dbd94f-e881-4d86-ac1b-2d5d15958e95"]}],"mendeley":{"formattedCitation":"(Bingham et al., 2015)","plainTextFormattedCitation":"(Bingham et al., 2015)","previouslyFormattedCitation":"(Bingham et al., 2015)"},"properties":{"noteIndex":0},"schema":"https://github.com/citation-style-language/schema/raw/master/csl-citation.json"}</w:instrText>
      </w:r>
      <w:r w:rsidR="00180498" w:rsidRPr="001C2C36">
        <w:rPr>
          <w:rFonts w:cs="Times New Roman"/>
        </w:rPr>
        <w:fldChar w:fldCharType="separate"/>
      </w:r>
      <w:r w:rsidR="00180498" w:rsidRPr="001C2C36">
        <w:rPr>
          <w:rFonts w:cs="Times New Roman"/>
          <w:noProof/>
        </w:rPr>
        <w:t>(Bingham et al., 2015)</w:t>
      </w:r>
      <w:r w:rsidR="00180498" w:rsidRPr="001C2C36">
        <w:rPr>
          <w:rFonts w:cs="Times New Roman"/>
        </w:rPr>
        <w:fldChar w:fldCharType="end"/>
      </w:r>
      <w:r w:rsidR="005B605C" w:rsidRPr="001C2C36">
        <w:rPr>
          <w:rFonts w:cs="Times New Roman"/>
        </w:rPr>
        <w:t>,</w:t>
      </w:r>
      <w:r w:rsidR="2AD2C7C4" w:rsidRPr="001C2C36">
        <w:rPr>
          <w:rFonts w:cs="Times New Roman"/>
        </w:rPr>
        <w:t xml:space="preserve"> especially for those</w:t>
      </w:r>
      <w:r w:rsidR="6B56BBE2" w:rsidRPr="001C2C36">
        <w:rPr>
          <w:rFonts w:cs="Times New Roman"/>
        </w:rPr>
        <w:t xml:space="preserve"> SMEs</w:t>
      </w:r>
      <w:r w:rsidR="2AD2C7C4" w:rsidRPr="001C2C36">
        <w:rPr>
          <w:rFonts w:cs="Times New Roman"/>
        </w:rPr>
        <w:t xml:space="preserve"> that </w:t>
      </w:r>
      <w:r w:rsidR="5C4F3055" w:rsidRPr="001C2C36">
        <w:rPr>
          <w:rFonts w:cs="Times New Roman"/>
        </w:rPr>
        <w:t>swiftly start</w:t>
      </w:r>
      <w:r w:rsidR="2AD2C7C4" w:rsidRPr="001C2C36">
        <w:rPr>
          <w:rFonts w:cs="Times New Roman"/>
        </w:rPr>
        <w:t>ed</w:t>
      </w:r>
      <w:r w:rsidR="5C4F3055" w:rsidRPr="001C2C36">
        <w:rPr>
          <w:rFonts w:cs="Times New Roman"/>
        </w:rPr>
        <w:t xml:space="preserve"> to </w:t>
      </w:r>
      <w:r w:rsidR="3475799D" w:rsidRPr="001C2C36">
        <w:rPr>
          <w:rFonts w:cs="Times New Roman"/>
        </w:rPr>
        <w:t xml:space="preserve">change </w:t>
      </w:r>
      <w:r w:rsidR="2AD2C7C4" w:rsidRPr="001C2C36">
        <w:rPr>
          <w:rFonts w:cs="Times New Roman"/>
        </w:rPr>
        <w:t xml:space="preserve">during the first </w:t>
      </w:r>
      <w:r w:rsidR="6B56BBE2" w:rsidRPr="001C2C36">
        <w:rPr>
          <w:rFonts w:cs="Times New Roman"/>
        </w:rPr>
        <w:t xml:space="preserve">Covid-19 </w:t>
      </w:r>
      <w:r w:rsidR="2AD2C7C4" w:rsidRPr="001C2C36">
        <w:rPr>
          <w:rFonts w:cs="Times New Roman"/>
        </w:rPr>
        <w:t>lockdown</w:t>
      </w:r>
      <w:r w:rsidR="00602AC5" w:rsidRPr="001C2C36">
        <w:rPr>
          <w:rFonts w:cs="Times New Roman"/>
        </w:rPr>
        <w:t xml:space="preserve">. They </w:t>
      </w:r>
      <w:r w:rsidR="00446C5D" w:rsidRPr="001C2C36">
        <w:rPr>
          <w:rFonts w:cs="Times New Roman"/>
        </w:rPr>
        <w:t xml:space="preserve">were </w:t>
      </w:r>
      <w:r w:rsidR="00AD7E8F" w:rsidRPr="001C2C36">
        <w:rPr>
          <w:rFonts w:cs="Times New Roman"/>
        </w:rPr>
        <w:t xml:space="preserve">also </w:t>
      </w:r>
      <w:r w:rsidR="00AF3071" w:rsidRPr="001C2C36">
        <w:rPr>
          <w:rFonts w:cs="Times New Roman"/>
        </w:rPr>
        <w:t xml:space="preserve">often </w:t>
      </w:r>
      <w:r w:rsidR="00CD2F89" w:rsidRPr="001C2C36">
        <w:rPr>
          <w:rFonts w:cs="Times New Roman"/>
        </w:rPr>
        <w:t xml:space="preserve">required to </w:t>
      </w:r>
      <w:r w:rsidR="001F2B14" w:rsidRPr="001C2C36">
        <w:rPr>
          <w:rFonts w:cs="Times New Roman"/>
        </w:rPr>
        <w:t xml:space="preserve">engage </w:t>
      </w:r>
      <w:r w:rsidR="00000DB1" w:rsidRPr="001C2C36">
        <w:rPr>
          <w:rFonts w:cs="Times New Roman"/>
        </w:rPr>
        <w:t xml:space="preserve">with information technology, directing more towards </w:t>
      </w:r>
      <w:r w:rsidR="004D66AF" w:rsidRPr="001C2C36">
        <w:rPr>
          <w:rFonts w:cs="Times New Roman"/>
        </w:rPr>
        <w:t xml:space="preserve">improvisational capabilities introduced by </w:t>
      </w:r>
      <w:proofErr w:type="spellStart"/>
      <w:r w:rsidR="004D66AF" w:rsidRPr="001C2C36">
        <w:rPr>
          <w:rFonts w:cs="Times New Roman"/>
        </w:rPr>
        <w:t>Pavlou</w:t>
      </w:r>
      <w:proofErr w:type="spellEnd"/>
      <w:r w:rsidR="004D66AF" w:rsidRPr="001C2C36">
        <w:rPr>
          <w:rFonts w:cs="Times New Roman"/>
        </w:rPr>
        <w:t xml:space="preserve"> and </w:t>
      </w:r>
      <w:proofErr w:type="spellStart"/>
      <w:r w:rsidR="004D66AF" w:rsidRPr="001C2C36">
        <w:rPr>
          <w:rFonts w:cs="Times New Roman"/>
        </w:rPr>
        <w:t>Sawy</w:t>
      </w:r>
      <w:proofErr w:type="spellEnd"/>
      <w:r w:rsidR="004D66AF" w:rsidRPr="001C2C36">
        <w:rPr>
          <w:rFonts w:cs="Times New Roman"/>
        </w:rPr>
        <w:t xml:space="preserve"> </w:t>
      </w:r>
      <w:r w:rsidR="004D66AF" w:rsidRPr="001C2C36">
        <w:rPr>
          <w:rFonts w:cs="Times New Roman"/>
        </w:rPr>
        <w:fldChar w:fldCharType="begin" w:fldLock="1"/>
      </w:r>
      <w:r w:rsidR="00330BC7" w:rsidRPr="001C2C36">
        <w:rPr>
          <w:rFonts w:cs="Times New Roman"/>
        </w:rPr>
        <w:instrText>ADDIN CSL_CITATION {"citationItems":[{"id":"ITEM-1","itemData":{"DOI":"10.1287/isre.1100.0280","ISSN":"15265536","abstract":"Organizations are increasingly engaged in competitive dynamics that are enabled or induced by information technology (IT). A key competitive dynamics question for many organizations is how to build a competitive advantage in turbulence with digital IT systems. The literature has focused mostly on developing and exercising dynamic capabilities for planned reconfiguration of existing operational capabilities in fairly stable environments with patterned \"waves,\" but this may not always be possible, or even appropriate, in highly turbulent environments with unexpected \"storms.\" We introduce improvisational capabilities as an alternative means for managing highly turbulent environments; we define this as the ability to spontaneously reconfigure existing resources to build new operational capabilities to address urgent, unpredictable, and novel environmental situations. In contrast to the planned role of dynamic and operational capabilities and the ambidexterity that they jointly offer, improvisational capabilities are proposed to operate distinctly as a \"third hand\" that facilitates reconfiguration and change in highly turbulent environments. First, the paper develops the notion of improvisational capabilities and articulates the key differences between the two \"reconfiguration\"-improvisational and dynamic-capabilities. Second, the paper compares the relative effects of improvisational and dynamic capabilities in the context of new product development in different levels of environmental turbulence. Third, the paper shows how IT-leveraging capability in new product development is decomposed into its three digital IT systems: project and resource management systems, organizational memory systems (OMS), and cooperative work systems-and how each of these IT systems enhances improvisational capabilities, an effect that is accentuated in highly turbulent environments. The results show that although dynamic capabilities are the primary predictor of competitive advantage in moderately turbulent environments, improvisational capabilities fully dominate in highly turbulent environments. Besides discriminant validity, the distinction between improvisational and dynamic capabilities is evidenced by the differential effects of IT-leveraging capability on improvisational and dynamic capabilities. The results show that the more the IT-leveraging capability is catered toward managing resources (through project and resource management systems) and team collaboration (throug…","author":[{"dropping-particle":"","family":"Pavlou","given":"Paul A.","non-dropping-particle":"","parse-names":false,"suffix":""},{"dropping-particle":"","family":"Sawy","given":"Omar A.El","non-dropping-particle":"","parse-names":false,"suffix":""}],"container-title":"Information Systems Research","id":"ITEM-1","issue":"3","issued":{"date-parts":[["2010"]]},"page":"443-471","title":"The \"third hand\": IT-enabled competitive advantage in turbulence through improvisational capabilities","type":"article-journal","volume":"21"},"suppress-author":1,"uris":["http://www.mendeley.com/documents/?uuid=237c887a-a9c2-4bf2-8e07-f447ff121c55"]}],"mendeley":{"formattedCitation":"(2010)","plainTextFormattedCitation":"(2010)","previouslyFormattedCitation":"(2010)"},"properties":{"noteIndex":0},"schema":"https://github.com/citation-style-language/schema/raw/master/csl-citation.json"}</w:instrText>
      </w:r>
      <w:r w:rsidR="004D66AF" w:rsidRPr="001C2C36">
        <w:rPr>
          <w:rFonts w:cs="Times New Roman"/>
        </w:rPr>
        <w:fldChar w:fldCharType="separate"/>
      </w:r>
      <w:r w:rsidR="004D66AF" w:rsidRPr="001C2C36">
        <w:rPr>
          <w:rFonts w:cs="Times New Roman"/>
          <w:noProof/>
        </w:rPr>
        <w:t>(2010)</w:t>
      </w:r>
      <w:r w:rsidR="004D66AF" w:rsidRPr="001C2C36">
        <w:rPr>
          <w:rFonts w:cs="Times New Roman"/>
        </w:rPr>
        <w:fldChar w:fldCharType="end"/>
      </w:r>
      <w:r w:rsidR="3475799D" w:rsidRPr="001C2C36">
        <w:rPr>
          <w:rFonts w:cs="Times New Roman"/>
        </w:rPr>
        <w:t>.</w:t>
      </w:r>
      <w:r w:rsidR="00797D93" w:rsidRPr="001C2C36">
        <w:rPr>
          <w:rFonts w:cs="Times New Roman"/>
        </w:rPr>
        <w:t xml:space="preserve"> </w:t>
      </w:r>
      <w:r w:rsidR="6B56BBE2" w:rsidRPr="001C2C36">
        <w:rPr>
          <w:rFonts w:cs="Times New Roman"/>
        </w:rPr>
        <w:t>Even when</w:t>
      </w:r>
      <w:r w:rsidR="3F1E622F" w:rsidRPr="001C2C36">
        <w:rPr>
          <w:rFonts w:cs="Times New Roman"/>
        </w:rPr>
        <w:t xml:space="preserve"> introducing th</w:t>
      </w:r>
      <w:r w:rsidR="6B56BBE2" w:rsidRPr="001C2C36">
        <w:rPr>
          <w:rFonts w:cs="Times New Roman"/>
        </w:rPr>
        <w:t>e</w:t>
      </w:r>
      <w:r w:rsidR="3F1E622F" w:rsidRPr="001C2C36">
        <w:rPr>
          <w:rFonts w:cs="Times New Roman"/>
        </w:rPr>
        <w:t xml:space="preserve"> concept</w:t>
      </w:r>
      <w:r w:rsidR="6B56BBE2" w:rsidRPr="001C2C36">
        <w:rPr>
          <w:rFonts w:cs="Times New Roman"/>
        </w:rPr>
        <w:t xml:space="preserve"> of ad hoc problem solving, </w:t>
      </w:r>
      <w:r w:rsidR="3F1E622F" w:rsidRPr="001C2C36">
        <w:rPr>
          <w:rFonts w:cs="Times New Roman"/>
        </w:rPr>
        <w:t xml:space="preserve">Winter </w:t>
      </w:r>
      <w:r w:rsidR="01B22C54" w:rsidRPr="001C2C36">
        <w:rPr>
          <w:rFonts w:cs="Times New Roman"/>
        </w:rPr>
        <w:fldChar w:fldCharType="begin" w:fldLock="1"/>
      </w:r>
      <w:r w:rsidR="00A156B9" w:rsidRPr="001C2C36">
        <w:rPr>
          <w:rFonts w:cs="Times New Roman"/>
        </w:rPr>
        <w:instrText>ADDIN CSL_CITATION {"citationItems":[{"id":"ITEM-1","itemData":{"DOI":"10.1002/smj.318","author":[{"dropping-particle":"","family":"Winter","given":"Sidney G","non-dropping-particle":"","parse-names":false,"suffix":""}],"container-title":"Strategic Management Journal","id":"ITEM-1","issue":"10","issued":{"date-parts":[["2003"]]},"page":"991-995","title":"Understanding Dynamic Capabilities","type":"article-journal","volume":"24"},"locator":"993","suppress-author":1,"uris":["http://www.mendeley.com/documents/?uuid=094ce532-21e2-452e-aae5-f9dab76262c5"]}],"mendeley":{"formattedCitation":"(2003: 993)","plainTextFormattedCitation":"(2003: 993)","previouslyFormattedCitation":"(2003: 993)"},"properties":{"noteIndex":0},"schema":"https://github.com/citation-style-language/schema/raw/master/csl-citation.json"}</w:instrText>
      </w:r>
      <w:r w:rsidR="01B22C54" w:rsidRPr="001C2C36">
        <w:rPr>
          <w:rFonts w:cs="Times New Roman"/>
        </w:rPr>
        <w:fldChar w:fldCharType="separate"/>
      </w:r>
      <w:r w:rsidR="00BA3048" w:rsidRPr="001C2C36">
        <w:rPr>
          <w:rFonts w:cs="Times New Roman"/>
          <w:noProof/>
        </w:rPr>
        <w:t>(2003: 993)</w:t>
      </w:r>
      <w:r w:rsidR="01B22C54" w:rsidRPr="001C2C36">
        <w:rPr>
          <w:rFonts w:cs="Times New Roman"/>
        </w:rPr>
        <w:fldChar w:fldCharType="end"/>
      </w:r>
      <w:r w:rsidR="3F1E622F" w:rsidRPr="001C2C36">
        <w:rPr>
          <w:rFonts w:cs="Times New Roman"/>
        </w:rPr>
        <w:t xml:space="preserve"> acknowledge</w:t>
      </w:r>
      <w:r w:rsidR="6B56BBE2" w:rsidRPr="001C2C36">
        <w:rPr>
          <w:rFonts w:cs="Times New Roman"/>
        </w:rPr>
        <w:t>d</w:t>
      </w:r>
      <w:r w:rsidR="3F1E622F" w:rsidRPr="001C2C36">
        <w:rPr>
          <w:rFonts w:cs="Times New Roman"/>
        </w:rPr>
        <w:t xml:space="preserve"> that “some of the pattern may be learned and contribute positively to effectiveness</w:t>
      </w:r>
      <w:r w:rsidR="23D6754C" w:rsidRPr="001C2C36">
        <w:rPr>
          <w:rFonts w:cs="Times New Roman"/>
        </w:rPr>
        <w:t>… it is not necessary that the pure forms</w:t>
      </w:r>
      <w:r w:rsidR="155A6841" w:rsidRPr="001C2C36">
        <w:rPr>
          <w:rFonts w:cs="Times New Roman"/>
        </w:rPr>
        <w:t xml:space="preserve"> [of ad hoc problem solving]</w:t>
      </w:r>
      <w:r w:rsidR="23D6754C" w:rsidRPr="001C2C36">
        <w:rPr>
          <w:rFonts w:cs="Times New Roman"/>
        </w:rPr>
        <w:t xml:space="preserve"> exist in the world.</w:t>
      </w:r>
      <w:r w:rsidR="3F1E622F" w:rsidRPr="001C2C36">
        <w:rPr>
          <w:rFonts w:cs="Times New Roman"/>
        </w:rPr>
        <w:t>”</w:t>
      </w:r>
      <w:r w:rsidR="3DA240D2" w:rsidRPr="001C2C36">
        <w:rPr>
          <w:rFonts w:cs="Times New Roman"/>
        </w:rPr>
        <w:t xml:space="preserve"> </w:t>
      </w:r>
    </w:p>
    <w:p w14:paraId="53E7FCAB" w14:textId="1F0BA1B5" w:rsidR="00360F3E" w:rsidRPr="001C2C36" w:rsidRDefault="0A68F31E" w:rsidP="00AE463A">
      <w:pPr>
        <w:rPr>
          <w:rFonts w:cs="Times New Roman"/>
        </w:rPr>
      </w:pPr>
      <w:r w:rsidRPr="001C2C36">
        <w:rPr>
          <w:rFonts w:cs="Times New Roman"/>
        </w:rPr>
        <w:t>Thus, it seems</w:t>
      </w:r>
      <w:r w:rsidR="3E6CAFBE" w:rsidRPr="001C2C36">
        <w:rPr>
          <w:rFonts w:cs="Times New Roman"/>
        </w:rPr>
        <w:t xml:space="preserve"> naïve to </w:t>
      </w:r>
      <w:r w:rsidR="03D79BE6" w:rsidRPr="001C2C36">
        <w:rPr>
          <w:rFonts w:cs="Times New Roman"/>
        </w:rPr>
        <w:t xml:space="preserve">strictly </w:t>
      </w:r>
      <w:r w:rsidR="3E6CAFBE" w:rsidRPr="001C2C36">
        <w:rPr>
          <w:rFonts w:cs="Times New Roman"/>
        </w:rPr>
        <w:t xml:space="preserve">link the multifaceted phenomenon of SME change with </w:t>
      </w:r>
      <w:r w:rsidR="6C1A4DF2" w:rsidRPr="001C2C36">
        <w:rPr>
          <w:rFonts w:cs="Times New Roman"/>
        </w:rPr>
        <w:t xml:space="preserve">a </w:t>
      </w:r>
      <w:r w:rsidR="292639C5" w:rsidRPr="001C2C36">
        <w:rPr>
          <w:rFonts w:cs="Times New Roman"/>
        </w:rPr>
        <w:t>particular</w:t>
      </w:r>
      <w:r w:rsidR="6C1A4DF2" w:rsidRPr="001C2C36">
        <w:rPr>
          <w:rFonts w:cs="Times New Roman"/>
        </w:rPr>
        <w:t xml:space="preserve"> </w:t>
      </w:r>
      <w:r w:rsidR="39EBAAF7" w:rsidRPr="001C2C36">
        <w:rPr>
          <w:rFonts w:cs="Times New Roman"/>
        </w:rPr>
        <w:t>notion</w:t>
      </w:r>
      <w:r w:rsidR="6C1A4DF2" w:rsidRPr="001C2C36">
        <w:rPr>
          <w:rFonts w:cs="Times New Roman"/>
        </w:rPr>
        <w:t xml:space="preserve"> </w:t>
      </w:r>
      <w:r w:rsidR="7BB910EC" w:rsidRPr="001C2C36">
        <w:rPr>
          <w:rFonts w:cs="Times New Roman"/>
        </w:rPr>
        <w:t>from the</w:t>
      </w:r>
      <w:r w:rsidR="292639C5" w:rsidRPr="001C2C36">
        <w:rPr>
          <w:rFonts w:cs="Times New Roman"/>
        </w:rPr>
        <w:t xml:space="preserve"> </w:t>
      </w:r>
      <w:r w:rsidR="3E6CAFBE" w:rsidRPr="001C2C36">
        <w:rPr>
          <w:rFonts w:cs="Times New Roman"/>
        </w:rPr>
        <w:t>DC</w:t>
      </w:r>
      <w:r w:rsidR="7BB910EC" w:rsidRPr="001C2C36">
        <w:rPr>
          <w:rFonts w:cs="Times New Roman"/>
        </w:rPr>
        <w:t xml:space="preserve"> theory</w:t>
      </w:r>
      <w:r w:rsidR="58669558" w:rsidRPr="001C2C36">
        <w:rPr>
          <w:rFonts w:cs="Times New Roman"/>
        </w:rPr>
        <w:t>.</w:t>
      </w:r>
      <w:r w:rsidR="292639C5" w:rsidRPr="001C2C36">
        <w:rPr>
          <w:rFonts w:cs="Times New Roman"/>
        </w:rPr>
        <w:t xml:space="preserve"> In our quantification of DCs, we join numerous scholars </w:t>
      </w:r>
      <w:r w:rsidR="01B22C54" w:rsidRPr="001C2C36">
        <w:rPr>
          <w:rFonts w:cs="Times New Roman"/>
        </w:rPr>
        <w:fldChar w:fldCharType="begin" w:fldLock="1"/>
      </w:r>
      <w:r w:rsidR="000E4D26" w:rsidRPr="001C2C36">
        <w:rPr>
          <w:rFonts w:cs="Times New Roman"/>
        </w:rPr>
        <w:instrText>ADDIN CSL_CITATION {"citationItems":[{"id":"ITEM-1","itemData":{"DOI":"10.1007/s11187-012-9461-9","ISSN":"0921898X","abstract":"The entrepreneurship and dynamic capabilities literature adds to our understanding of how strategic change can drive firm performance. We draw on a recent survey of US SMEs to determine whether entrepreneurial ventures have dynamic capabilities, and, if so, whether differences in the characteristics of those ventures lead to differences in how dynamic capabilities benefit firm performance. We find that most entrepreneurial ventures report having such capabilities and that their differences in age and size lead to differences in how dynamic capabilities affect firm performance. We consider how these results redefine the overlap of the dynamic capabilities view literature with the entrepreneurship literature, because the redeployment of resources to create and adapt to opportunities that defines what are dynamic capabilities lies at the core of what is entrepreneurial activity. © 2012 Springer Science+Business Media New York.","author":[{"dropping-particle":"","family":"Arend","given":"Richard J.","non-dropping-particle":"","parse-names":false,"suffix":""}],"container-title":"Small Business Economics","id":"ITEM-1","issue":"1","issued":{"date-parts":[["2014"]]},"page":"33-57","title":"Entrepreneurship and dynamic capabilities: How firm age and size affect the 'capability enhancement-SME performance' relationship","type":"article-journal","volume":"42"},"uris":["http://www.mendeley.com/documents/?uuid=b9a0b75b-b9a2-4702-a74d-30d8280d8c0c","http://www.mendeley.com/documents/?uuid=eb3d150f-f2d6-49d8-bb6d-b9ad8cc1bf58"]},{"id":"ITEM-2","itemData":{"DOI":"10.1093/icc/dty054","ISSN":"14643650","abstract":"To date, no standard scale exists for measuring dynamic capabilities. This limits the comparability of empirical findings and impairs data-based theory development. This article presents the development of a 14-item scale based on Teece's (2007, Strategic Management Journal, 28, 1319-1350) well-established dynamic capability framework, assessing sensing, seizing, and transforming capacities. It describes the rigorous empirical scale development procedure comprising the steps of (i) item generation, (ii) scale purification (n = 269), and (iii) scale confirmation (n = 307). The scale shows high reliability and validity and is a solid predictor of business and innovation performance.","author":[{"dropping-particle":"","family":"Kump","given":"Barbara","non-dropping-particle":"","parse-names":false,"suffix":""},{"dropping-particle":"","family":"Engelmann","given":"Alexander","non-dropping-particle":"","parse-names":false,"suffix":""},{"dropping-particle":"","family":"Kessler","given":"Alexander","non-dropping-particle":"","parse-names":false,"suffix":""},{"dropping-particle":"","family":"Schweiger","given":"Christina","non-dropping-particle":"","parse-names":false,"suffix":""}],"container-title":"Industrial and Corporate Change","id":"ITEM-2","issue":"5","issued":{"date-parts":[["2019"]]},"page":"1149-1172","title":"Toward a dynamic capabilities scale: Measuring organizational sensing, seizing, and transforming capacities","type":"article-journal","volume":"28"},"uris":["http://www.mendeley.com/documents/?uuid=e3c807c2-c974-4693-a032-c898eaeece21","http://www.mendeley.com/documents/?uuid=e11a9600-fe62-44f1-9162-162c352af7b4"]},{"id":"ITEM-3","itemData":{"DOI":"10.1287/isre.1100.0280","ISSN":"15265536","abstract":"Organizations are increasingly engaged in competitive dynamics that are enabled or induced by information technology (IT). A key competitive dynamics question for many organizations is how to build a competitive advantage in turbulence with digital IT systems. The literature has focused mostly on developing and exercising dynamic capabilities for planned reconfiguration of existing operational capabilities in fairly stable environments with patterned \"waves,\" but this may not always be possible, or even appropriate, in highly turbulent environments with unexpected \"storms.\" We introduce improvisational capabilities as an alternative means for managing highly turbulent environments; we define this as the ability to spontaneously reconfigure existing resources to build new operational capabilities to address urgent, unpredictable, and novel environmental situations. In contrast to the planned role of dynamic and operational capabilities and the ambidexterity that they jointly offer, improvisational capabilities are proposed to operate distinctly as a \"third hand\" that facilitates reconfiguration and change in highly turbulent environments. First, the paper develops the notion of improvisational capabilities and articulates the key differences between the two \"reconfiguration\"-improvisational and dynamic-capabilities. Second, the paper compares the relative effects of improvisational and dynamic capabilities in the context of new product development in different levels of environmental turbulence. Third, the paper shows how IT-leveraging capability in new product development is decomposed into its three digital IT systems: project and resource management systems, organizational memory systems (OMS), and cooperative work systems-and how each of these IT systems enhances improvisational capabilities, an effect that is accentuated in highly turbulent environments. The results show that although dynamic capabilities are the primary predictor of competitive advantage in moderately turbulent environments, improvisational capabilities fully dominate in highly turbulent environments. Besides discriminant validity, the distinction between improvisational and dynamic capabilities is evidenced by the differential effects of IT-leveraging capability on improvisational and dynamic capabilities. The results show that the more the IT-leveraging capability is catered toward managing resources (through project and resource management systems) and team collaboration (throug…","author":[{"dropping-particle":"","family":"Pavlou","given":"Paul A.","non-dropping-particle":"","parse-names":false,"suffix":""},{"dropping-particle":"","family":"Sawy","given":"Omar A.El","non-dropping-particle":"","parse-names":false,"suffix":""}],"container-title":"Information Systems Research","id":"ITEM-3","issue":"3","issued":{"date-parts":[["2010"]]},"page":"443-471","title":"The \"third hand\": IT-enabled competitive advantage in turbulence through improvisational capabilities","type":"article-journal","volume":"21"},"uris":["http://www.mendeley.com/documents/?uuid=1d16317e-35d7-41b0-98bc-5a97cee0b21f","http://www.mendeley.com/documents/?uuid=19afe6fa-0fc1-433f-9a75-8d06d6b51b94","http://www.mendeley.com/documents/?uuid=f2376f32-bd17-47e5-9bcd-b5f972f5aa9b"]},{"id":"ITEM-4","itemData":{"DOI":"10.1177/02662426211033270","ISSN":"17412870","abstract":"COVID-19 wreaked havoc on public health and the global economy. Small and medium-sized enterprises (SMEs) were hit especially hard. In this research note, we test the ability of dynamic capabilities (DCs) to predict SME performance during the pandemic. Based on our analysis of data from a survey conducted in the United States, we find that DCs meaningfully predicted both operational levels and revenue. Furthermore, while the empirical literature suggests that SME size is positively related to DC efficacy, we found that this effect was reversed during COVID-19, as the positive link between DCs and performance was stronger for smaller SMEs.","author":[{"dropping-particle":"","family":"Clampit","given":"Jack A.","non-dropping-particle":"","parse-names":false,"suffix":""},{"dropping-particle":"","family":"Lorenz","given":"Melanie P.","non-dropping-particle":"","parse-names":false,"suffix":""},{"dropping-particle":"","family":"Gamble","given":"John E.","non-dropping-particle":"","parse-names":false,"suffix":""},{"dropping-particle":"","family":"Lee","given":"Jim","non-dropping-particle":"","parse-names":false,"suffix":""}],"container-title":"International Small Business Journal: Researching Entrepreneurship","id":"ITEM-4","issue":"3","issued":{"date-parts":[["2021"]]},"page":"403 –419","title":"Performance stability among small and medium-sized enterprises during COVID-19: A test of the efficacy of dynamic capabilities","type":"article-journal","volume":"40"},"uris":["http://www.mendeley.com/documents/?uuid=91c45b80-89c5-4e6b-aaea-066b44b12e58"]}],"mendeley":{"formattedCitation":"(Arend, 2014; Clampit et al., 2021; Kump et al., 2019; Pavlou and Sawy, 2010)","plainTextFormattedCitation":"(Arend, 2014; Clampit et al., 2021; Kump et al., 2019; Pavlou and Sawy, 2010)","previouslyFormattedCitation":"(Arend, 2014; Clampit et al., 2021; Kump et al., 2019; Pavlou and Sawy, 2010)"},"properties":{"noteIndex":0},"schema":"https://github.com/citation-style-language/schema/raw/master/csl-citation.json"}</w:instrText>
      </w:r>
      <w:r w:rsidR="01B22C54" w:rsidRPr="001C2C36">
        <w:rPr>
          <w:rFonts w:cs="Times New Roman"/>
        </w:rPr>
        <w:fldChar w:fldCharType="separate"/>
      </w:r>
      <w:r w:rsidR="292639C5" w:rsidRPr="001C2C36">
        <w:rPr>
          <w:rFonts w:cs="Times New Roman"/>
          <w:noProof/>
        </w:rPr>
        <w:t xml:space="preserve">(Arend, 2014; </w:t>
      </w:r>
      <w:r w:rsidR="292639C5" w:rsidRPr="001C2C36">
        <w:rPr>
          <w:rFonts w:cs="Times New Roman"/>
          <w:noProof/>
        </w:rPr>
        <w:lastRenderedPageBreak/>
        <w:t>Clampit et al., 2021; Kump et al., 2019; Pavlou and Sawy, 2010)</w:t>
      </w:r>
      <w:r w:rsidR="01B22C54" w:rsidRPr="001C2C36">
        <w:rPr>
          <w:rFonts w:cs="Times New Roman"/>
        </w:rPr>
        <w:fldChar w:fldCharType="end"/>
      </w:r>
      <w:r w:rsidR="292639C5" w:rsidRPr="001C2C36">
        <w:rPr>
          <w:rFonts w:cs="Times New Roman"/>
        </w:rPr>
        <w:t xml:space="preserve">, who combine various measures to estimate specific DCs that are relevant for a particular study and/or setting to capture discrete subchannels of interest. This enables us to </w:t>
      </w:r>
      <w:r w:rsidR="5489279F" w:rsidRPr="001C2C36">
        <w:rPr>
          <w:rFonts w:cs="Times New Roman"/>
        </w:rPr>
        <w:t xml:space="preserve">more directly </w:t>
      </w:r>
      <w:r w:rsidR="72AA4CBA" w:rsidRPr="001C2C36">
        <w:rPr>
          <w:rFonts w:cs="Times New Roman"/>
        </w:rPr>
        <w:t xml:space="preserve">measure </w:t>
      </w:r>
      <w:r w:rsidR="3359C862" w:rsidRPr="001C2C36">
        <w:rPr>
          <w:rFonts w:cs="Times New Roman"/>
        </w:rPr>
        <w:t xml:space="preserve">the </w:t>
      </w:r>
      <w:r w:rsidR="72AA4CBA" w:rsidRPr="001C2C36">
        <w:rPr>
          <w:rFonts w:cs="Times New Roman"/>
        </w:rPr>
        <w:t>effects on</w:t>
      </w:r>
      <w:r w:rsidR="292639C5" w:rsidRPr="001C2C36">
        <w:rPr>
          <w:rFonts w:cs="Times New Roman"/>
        </w:rPr>
        <w:t xml:space="preserve"> </w:t>
      </w:r>
      <w:r w:rsidR="0048649F" w:rsidRPr="001C2C36">
        <w:rPr>
          <w:rFonts w:cs="Times New Roman"/>
        </w:rPr>
        <w:t>SMEs</w:t>
      </w:r>
      <w:r w:rsidR="5489279F" w:rsidRPr="001C2C36">
        <w:rPr>
          <w:rFonts w:cs="Times New Roman"/>
        </w:rPr>
        <w:t xml:space="preserve"> that </w:t>
      </w:r>
      <w:r w:rsidR="0DD6B2AC" w:rsidRPr="001C2C36">
        <w:rPr>
          <w:rFonts w:cs="Times New Roman"/>
        </w:rPr>
        <w:t>exploited</w:t>
      </w:r>
      <w:r w:rsidR="5489279F" w:rsidRPr="001C2C36">
        <w:rPr>
          <w:rFonts w:cs="Times New Roman"/>
        </w:rPr>
        <w:t xml:space="preserve"> dynamic capabilities </w:t>
      </w:r>
      <w:r w:rsidR="00C7758F" w:rsidRPr="001C2C36">
        <w:rPr>
          <w:rFonts w:cs="Times New Roman"/>
        </w:rPr>
        <w:t>during</w:t>
      </w:r>
      <w:r w:rsidR="6784697C" w:rsidRPr="001C2C36">
        <w:rPr>
          <w:rFonts w:cs="Times New Roman"/>
        </w:rPr>
        <w:t xml:space="preserve"> </w:t>
      </w:r>
      <w:r w:rsidR="6BDE0BE0" w:rsidRPr="001C2C36">
        <w:rPr>
          <w:rFonts w:cs="Times New Roman"/>
        </w:rPr>
        <w:t xml:space="preserve">the </w:t>
      </w:r>
      <w:r w:rsidR="292639C5" w:rsidRPr="001C2C36">
        <w:rPr>
          <w:rFonts w:cs="Times New Roman"/>
        </w:rPr>
        <w:t>Covid-19</w:t>
      </w:r>
      <w:r w:rsidR="00C7758F" w:rsidRPr="001C2C36">
        <w:rPr>
          <w:rFonts w:cs="Times New Roman"/>
        </w:rPr>
        <w:t xml:space="preserve"> shock</w:t>
      </w:r>
      <w:r w:rsidR="00944DAA" w:rsidRPr="001C2C36">
        <w:rPr>
          <w:rFonts w:cs="Times New Roman"/>
        </w:rPr>
        <w:t xml:space="preserve"> without precise</w:t>
      </w:r>
      <w:r w:rsidR="00906289" w:rsidRPr="001C2C36">
        <w:rPr>
          <w:rFonts w:cs="Times New Roman"/>
        </w:rPr>
        <w:t xml:space="preserve">ly </w:t>
      </w:r>
      <w:r w:rsidR="00590110" w:rsidRPr="001C2C36">
        <w:rPr>
          <w:rFonts w:cs="Times New Roman"/>
        </w:rPr>
        <w:t>defining</w:t>
      </w:r>
      <w:r w:rsidR="00944DAA" w:rsidRPr="001C2C36">
        <w:rPr>
          <w:rFonts w:cs="Times New Roman"/>
        </w:rPr>
        <w:t xml:space="preserve"> </w:t>
      </w:r>
      <w:r w:rsidR="00BE3492" w:rsidRPr="001C2C36">
        <w:rPr>
          <w:rFonts w:cs="Times New Roman"/>
        </w:rPr>
        <w:t xml:space="preserve">their </w:t>
      </w:r>
      <w:r w:rsidR="00BC0901" w:rsidRPr="001C2C36">
        <w:rPr>
          <w:rFonts w:cs="Times New Roman"/>
        </w:rPr>
        <w:t xml:space="preserve">historical </w:t>
      </w:r>
      <w:r w:rsidR="00D34BB2" w:rsidRPr="001C2C36">
        <w:rPr>
          <w:rFonts w:cs="Times New Roman"/>
        </w:rPr>
        <w:t>routineness</w:t>
      </w:r>
      <w:r w:rsidR="00BE3492" w:rsidRPr="001C2C36">
        <w:rPr>
          <w:rFonts w:cs="Times New Roman"/>
        </w:rPr>
        <w:t>,</w:t>
      </w:r>
      <w:r w:rsidR="00944DAA" w:rsidRPr="001C2C36">
        <w:rPr>
          <w:rFonts w:cs="Times New Roman"/>
        </w:rPr>
        <w:t xml:space="preserve"> equifinality</w:t>
      </w:r>
      <w:r w:rsidR="00906289" w:rsidRPr="001C2C36">
        <w:rPr>
          <w:rFonts w:cs="Times New Roman"/>
        </w:rPr>
        <w:t xml:space="preserve">, </w:t>
      </w:r>
      <w:r w:rsidR="00944DAA" w:rsidRPr="001C2C36">
        <w:rPr>
          <w:rFonts w:cs="Times New Roman"/>
        </w:rPr>
        <w:t xml:space="preserve">substitutability </w:t>
      </w:r>
      <w:r w:rsidR="00D34BB2" w:rsidRPr="001C2C36">
        <w:rPr>
          <w:rFonts w:cs="Times New Roman"/>
        </w:rPr>
        <w:t>or</w:t>
      </w:r>
      <w:r w:rsidR="00906289" w:rsidRPr="001C2C36">
        <w:rPr>
          <w:rFonts w:cs="Times New Roman"/>
        </w:rPr>
        <w:t xml:space="preserve"> </w:t>
      </w:r>
      <w:r w:rsidR="00944DAA" w:rsidRPr="001C2C36">
        <w:rPr>
          <w:rFonts w:cs="Times New Roman"/>
        </w:rPr>
        <w:t>fungibility</w:t>
      </w:r>
      <w:r w:rsidR="292639C5" w:rsidRPr="001C2C36">
        <w:rPr>
          <w:rFonts w:cs="Times New Roman"/>
        </w:rPr>
        <w:t>.</w:t>
      </w:r>
    </w:p>
    <w:p w14:paraId="344DF02C" w14:textId="04D0B7D4" w:rsidR="005A71A0" w:rsidRPr="001C2C36" w:rsidRDefault="2D74C28D" w:rsidP="3CB34AB6">
      <w:pPr>
        <w:rPr>
          <w:rFonts w:cs="Times New Roman"/>
        </w:rPr>
      </w:pPr>
      <w:r w:rsidRPr="001C2C36">
        <w:rPr>
          <w:rFonts w:cs="Times New Roman"/>
        </w:rPr>
        <w:t>T</w:t>
      </w:r>
      <w:r w:rsidR="78CEAD4B" w:rsidRPr="001C2C36">
        <w:rPr>
          <w:rFonts w:cs="Times New Roman"/>
        </w:rPr>
        <w:t>here is</w:t>
      </w:r>
      <w:r w:rsidR="60E03874" w:rsidRPr="001C2C36">
        <w:rPr>
          <w:rFonts w:cs="Times New Roman"/>
        </w:rPr>
        <w:t xml:space="preserve"> also</w:t>
      </w:r>
      <w:r w:rsidR="78CEAD4B" w:rsidRPr="001C2C36">
        <w:rPr>
          <w:rFonts w:cs="Times New Roman"/>
        </w:rPr>
        <w:t xml:space="preserve"> </w:t>
      </w:r>
      <w:r w:rsidR="2CB65057" w:rsidRPr="001C2C36">
        <w:rPr>
          <w:rFonts w:cs="Times New Roman"/>
        </w:rPr>
        <w:t>a lack of</w:t>
      </w:r>
      <w:r w:rsidR="78CEAD4B" w:rsidRPr="001C2C36">
        <w:rPr>
          <w:rFonts w:cs="Times New Roman"/>
        </w:rPr>
        <w:t xml:space="preserve"> </w:t>
      </w:r>
      <w:r w:rsidR="78211D12" w:rsidRPr="001C2C36">
        <w:rPr>
          <w:rFonts w:cs="Times New Roman"/>
        </w:rPr>
        <w:t xml:space="preserve">empirical </w:t>
      </w:r>
      <w:r w:rsidR="78CEAD4B" w:rsidRPr="001C2C36">
        <w:rPr>
          <w:rFonts w:cs="Times New Roman"/>
        </w:rPr>
        <w:t xml:space="preserve">consensus on </w:t>
      </w:r>
      <w:r w:rsidR="19AC1539" w:rsidRPr="001C2C36">
        <w:rPr>
          <w:rFonts w:cs="Times New Roman"/>
        </w:rPr>
        <w:t>the mechanisms through which DCs operate</w:t>
      </w:r>
      <w:r w:rsidR="78CEAD4B" w:rsidRPr="001C2C36">
        <w:rPr>
          <w:rFonts w:cs="Times New Roman"/>
        </w:rPr>
        <w:t xml:space="preserve"> </w:t>
      </w:r>
      <w:r w:rsidR="005C58A8" w:rsidRPr="001C2C36">
        <w:rPr>
          <w:rFonts w:cs="Times New Roman"/>
        </w:rPr>
        <w:fldChar w:fldCharType="begin" w:fldLock="1"/>
      </w:r>
      <w:r w:rsidR="005C58A8" w:rsidRPr="001C2C36">
        <w:rPr>
          <w:rFonts w:cs="Times New Roman"/>
        </w:rPr>
        <w:instrText>ADDIN CSL_CITATION {"citationItems":[{"id":"ITEM-1","itemData":{"DOI":"10.1177/0149206309350776","ISSN":"01492063","abstract":"The dynamic capabilities view, by addressing the question of how firms can cope with changing environments, has gained increasing attention in the management literature in recent years, not only in the concept's original domain (strategic management) but also in many other areas within business administration. However, such remarkable growth has been associated with a proliferation of definitions of the focal construct as well as the emergence of a complex and disconnected body of research. In addition, the approach has also received some recurring criticisms. In this study, the author reviews the diverse research streams on dynamic capabilities, identifies main limitations and challenges, suggests a new conceptualization of dynamic capability as an aggregate multidimensional construct, and provides guidance about promising avenues for future research. © 2010 Southern Management Association.","author":[{"dropping-particle":"","family":"Barreto","given":"Ilídio","non-dropping-particle":"","parse-names":false,"suffix":""}],"container-title":"Journal of Management","id":"ITEM-1","issue":"1","issued":{"date-parts":[["2010"]]},"page":"256-280","title":"Dynamic Capabilities: A review of past research and an agenda for the future","type":"article-journal","volume":"36"},"uris":["http://www.mendeley.com/documents/?uuid=72b1a60e-0842-454f-aaf8-8517e5336e7b","http://www.mendeley.com/documents/?uuid=611b350c-c19b-43b5-8dc2-f41e6fcd856d"]}],"mendeley":{"formattedCitation":"(Barreto, 2010)","plainTextFormattedCitation":"(Barreto, 2010)","previouslyFormattedCitation":"(Barreto, 2010)"},"properties":{"noteIndex":0},"schema":"https://github.com/citation-style-language/schema/raw/master/csl-citation.json"}</w:instrText>
      </w:r>
      <w:r w:rsidR="005C58A8" w:rsidRPr="001C2C36">
        <w:rPr>
          <w:rFonts w:cs="Times New Roman"/>
        </w:rPr>
        <w:fldChar w:fldCharType="separate"/>
      </w:r>
      <w:r w:rsidR="19AC1539" w:rsidRPr="001C2C36">
        <w:rPr>
          <w:rFonts w:cs="Times New Roman"/>
          <w:noProof/>
        </w:rPr>
        <w:t>(Barreto, 2010)</w:t>
      </w:r>
      <w:r w:rsidR="005C58A8" w:rsidRPr="001C2C36">
        <w:rPr>
          <w:rFonts w:cs="Times New Roman"/>
        </w:rPr>
        <w:fldChar w:fldCharType="end"/>
      </w:r>
      <w:r w:rsidR="19AC1539" w:rsidRPr="001C2C36">
        <w:rPr>
          <w:rFonts w:cs="Times New Roman"/>
        </w:rPr>
        <w:t xml:space="preserve"> </w:t>
      </w:r>
      <w:r w:rsidR="6ECE30F8" w:rsidRPr="001C2C36">
        <w:rPr>
          <w:rFonts w:cs="Times New Roman"/>
        </w:rPr>
        <w:t>and</w:t>
      </w:r>
      <w:r w:rsidR="19AC1539" w:rsidRPr="001C2C36">
        <w:rPr>
          <w:rFonts w:cs="Times New Roman"/>
        </w:rPr>
        <w:t xml:space="preserve"> how they </w:t>
      </w:r>
      <w:r w:rsidRPr="001C2C36">
        <w:rPr>
          <w:rFonts w:cs="Times New Roman"/>
        </w:rPr>
        <w:t>should</w:t>
      </w:r>
      <w:r w:rsidR="19AC1539" w:rsidRPr="001C2C36">
        <w:rPr>
          <w:rFonts w:cs="Times New Roman"/>
        </w:rPr>
        <w:t xml:space="preserve"> affect </w:t>
      </w:r>
      <w:r w:rsidR="75C6F312" w:rsidRPr="001C2C36">
        <w:rPr>
          <w:rFonts w:cs="Times New Roman"/>
        </w:rPr>
        <w:t xml:space="preserve">the </w:t>
      </w:r>
      <w:r w:rsidR="19AC1539" w:rsidRPr="001C2C36">
        <w:rPr>
          <w:rFonts w:cs="Times New Roman"/>
        </w:rPr>
        <w:t>performance of firms</w:t>
      </w:r>
      <w:r w:rsidR="75C6F312" w:rsidRPr="001C2C36">
        <w:rPr>
          <w:rFonts w:cs="Times New Roman"/>
        </w:rPr>
        <w:t xml:space="preserve"> </w:t>
      </w:r>
      <w:r w:rsidR="005C58A8" w:rsidRPr="001C2C36">
        <w:rPr>
          <w:rFonts w:cs="Times New Roman"/>
        </w:rPr>
        <w:fldChar w:fldCharType="begin" w:fldLock="1"/>
      </w:r>
      <w:r w:rsidR="005C58A8" w:rsidRPr="001C2C36">
        <w:rPr>
          <w:rFonts w:cs="Times New Roman"/>
        </w:rPr>
        <w:instrText>ADDIN CSL_CITATION {"citationItems":[{"id":"ITEM-1","itemData":{"DOI":"10.1080/14778238.2019.1599308","ISSN":"14778246","abstract":"The premises of the resource-based theory, hypothesising that valuable and rare resources and capabilities, contribute to a firm’s competitive advantage and, consequently, superior performance, seem to be based more on intuition than empirical evidence. This study aims to empirically investigate the relationship between value, rareness, competitive advantage, and performance. Based on data from 107 Portuguese KIBS firms, the findings show that value neither is related to competitive advantage nor performance, while KIBS with rare combinations are likely to achieve higher levels of competitive advantage and performance. In addition to a direct positive influence on performance, competitive advantage was found to have a partial mediating role in the rareness–performance relationship, indicating an indirect effect of the rareness characteristic and a fundamental precedent role of competitive advantage to performance. This research contributes towards a better operationalisation of the theory, evidencing the importance of resource/capability characteristics fororganisational success.","author":[{"dropping-particle":"","family":"Baia","given":"Elisabeth","non-dropping-particle":"","parse-names":false,"suffix":""},{"dropping-particle":"","family":"Ferreira","given":"João J.","non-dropping-particle":"","parse-names":false,"suffix":""},{"dropping-particle":"","family":"Rodrigues","given":"Ricardo","non-dropping-particle":"","parse-names":false,"suffix":""}],"container-title":"Knowledge Management Research and Practice","id":"ITEM-1","issue":"3","issued":{"date-parts":[["2020"]]},"page":"249-262","publisher":"Taylor &amp; Francis","title":"Value and rareness of resources and capabilities as sources of competitive advantage and superior performance","type":"article-journal","volume":"18"},"uris":["http://www.mendeley.com/documents/?uuid=793acaaa-db67-40b4-8175-2fc16d4ee932","http://www.mendeley.com/documents/?uuid=c0460fc8-eaf4-4210-b2cb-1e2b99c45d5d"]},{"id":"ITEM-2","itemData":{"DOI":"10.1080/19416520.2016.1161966","ISSN":"19416067","abstract":"Abstract: The dynamic capability view (DCV) of the firm has become one of the leading frameworks aimed at identifying drivers of long-term firm survival and growth. Yet, despite considerable academic interest, there are many questions about what dynamic capabilities (DCs) are, how they relate to other organizational operations, and how they relate to firm performance. In this article, we provide a unique and comprehensive examination of the DCV literature that goes beyond past reviews by combining text-based analysis with surveys of, and interviews with, researchers in the field. With this approach, we are able to examine the evolution of the DCV in written literature and identify missing research themes. Based on this review, we argue that future research will benefit from integrating the DCV with configuration theory and the recent micro foundational thinking. We encapsulate this discussion via an architectural model of the DCV (entitled “House of Dynamic Capabilities”) that combines micro foundations underlying DCs at the varying levels of analysis (individual, business unit, and organizational) while also accounting for important enablers of DCs and firm strategic orientation. We also show how this logic requires a completely different set of methodological approaches to those currently in use.","author":[{"dropping-particle":"","family":"Wilden","given":"Ralf","non-dropping-particle":"","parse-names":false,"suffix":""},{"dropping-particle":"","family":"Devinney","given":"Timothy M.","non-dropping-particle":"","parse-names":false,"suffix":""},{"dropping-particle":"","family":"Dowling","given":"Grahame R.","non-dropping-particle":"","parse-names":false,"suffix":""}],"container-title":"Academy of Management Annals","id":"ITEM-2","issue":"1","issued":{"date-parts":[["2016"]]},"page":"997-1076","title":"The Architecture of Dynamic Capability Research Identifying the Building Blocks of a Configurational Approach","type":"article-journal","volume":"10"},"uris":["http://www.mendeley.com/documents/?uuid=7bcc2d88-f51a-4809-896c-5d81548d545b"]},{"id":"ITEM-3","itemData":{"DOI":"10.1111/j.1467-6486.2006.00616.x","ISSN":"00222380","abstract":"The emergent literature on dynamic capabilities and their role in value creation is riddled with inconsistencies, overlapping definitions, and outright contradictions. Yet, the theoretical and practical importance of developing and applying dynamic capabilities to sustain a firm's competitive advantage in complex and volatile external environments has catapulted this issue to the forefront of the research agendas of many scholars. In this paper, we offer a definition of dynamic capabilities, separating them from substantive capabilities as well as from their antecedents and consequences. We also present a set of propositions that outline (1) how substantive capabilities and dynamic capabilities are related to one another, (2) how this relationship is moderated by organizational knowledge and skills, (3) how organizational age affects the speed of utilization of dynamic capabilities and the learning mode used in organizational change, and (4) how organizational knowledge and market dynamism affect the likely value of dynamic capabilities. Our discussion and model help to delineate key differences in the dynamic capabilities that new ventures and established companies have, revealing a key source of strategic heterogeneity between these firms. © Blackwell Publishing Ltd 2006.","author":[{"dropping-particle":"","family":"Zahra","given":"Shaker A.","non-dropping-particle":"","parse-names":false,"suffix":""},{"dropping-particle":"","family":"Sapienza","given":"Harry J.","non-dropping-particle":"","parse-names":false,"suffix":""},{"dropping-particle":"","family":"Davidsson","given":"Per","non-dropping-particle":"","parse-names":false,"suffix":""}],"container-title":"Journal of Management Studies","id":"ITEM-3","issue":"4","issued":{"date-parts":[["2006"]]},"page":"917-955","title":"Entrepreneurship and dynamic capabilities: A review, model and research agenda","type":"article-journal","volume":"43"},"uris":["http://www.mendeley.com/documents/?uuid=6bd631f0-6c9b-4efe-9db6-f80822c48051"]}],"mendeley":{"formattedCitation":"(Baia et al., 2020; Wilden et al., 2016; Zahra et al., 2006)","plainTextFormattedCitation":"(Baia et al., 2020; Wilden et al., 2016; Zahra et al., 2006)","previouslyFormattedCitation":"(Baia et al., 2020; Wilden et al., 2016; Zahra et al., 2006)"},"properties":{"noteIndex":0},"schema":"https://github.com/citation-style-language/schema/raw/master/csl-citation.json"}</w:instrText>
      </w:r>
      <w:r w:rsidR="005C58A8" w:rsidRPr="001C2C36">
        <w:rPr>
          <w:rFonts w:cs="Times New Roman"/>
        </w:rPr>
        <w:fldChar w:fldCharType="separate"/>
      </w:r>
      <w:r w:rsidR="442B136E" w:rsidRPr="001C2C36">
        <w:rPr>
          <w:rFonts w:cs="Times New Roman"/>
          <w:noProof/>
        </w:rPr>
        <w:t>(Baia et al., 2020; Wilden et al., 2016; Zahra et al., 2006)</w:t>
      </w:r>
      <w:r w:rsidR="005C58A8" w:rsidRPr="001C2C36">
        <w:rPr>
          <w:rFonts w:cs="Times New Roman"/>
        </w:rPr>
        <w:fldChar w:fldCharType="end"/>
      </w:r>
      <w:r w:rsidR="4C4A19B5" w:rsidRPr="001C2C36">
        <w:rPr>
          <w:rFonts w:cs="Times New Roman"/>
        </w:rPr>
        <w:t>.</w:t>
      </w:r>
      <w:r w:rsidR="19AC1539" w:rsidRPr="001C2C36">
        <w:rPr>
          <w:rFonts w:cs="Times New Roman"/>
        </w:rPr>
        <w:t xml:space="preserve"> </w:t>
      </w:r>
      <w:r w:rsidR="422394BD" w:rsidRPr="001C2C36">
        <w:rPr>
          <w:rFonts w:cs="Times New Roman"/>
        </w:rPr>
        <w:t>Having said that, t</w:t>
      </w:r>
      <w:r w:rsidR="743AB007" w:rsidRPr="001C2C36">
        <w:rPr>
          <w:rFonts w:cs="Times New Roman"/>
        </w:rPr>
        <w:t xml:space="preserve">he initial </w:t>
      </w:r>
      <w:r w:rsidR="00957975" w:rsidRPr="001C2C36">
        <w:rPr>
          <w:rFonts w:cs="Times New Roman"/>
        </w:rPr>
        <w:t>r</w:t>
      </w:r>
      <w:r w:rsidR="6171F2C5" w:rsidRPr="001C2C36">
        <w:rPr>
          <w:rFonts w:cs="Times New Roman"/>
        </w:rPr>
        <w:t>a</w:t>
      </w:r>
      <w:r w:rsidR="00957975" w:rsidRPr="001C2C36">
        <w:rPr>
          <w:rFonts w:cs="Times New Roman"/>
        </w:rPr>
        <w:t>tional</w:t>
      </w:r>
      <w:r w:rsidR="6171F2C5" w:rsidRPr="001C2C36">
        <w:rPr>
          <w:rFonts w:cs="Times New Roman"/>
        </w:rPr>
        <w:t>e</w:t>
      </w:r>
      <w:r w:rsidR="743AB007" w:rsidRPr="001C2C36">
        <w:rPr>
          <w:rFonts w:cs="Times New Roman"/>
        </w:rPr>
        <w:t xml:space="preserve"> offered by Teece et al. </w:t>
      </w:r>
      <w:r w:rsidR="005C58A8" w:rsidRPr="001C2C36">
        <w:rPr>
          <w:rFonts w:cs="Times New Roman"/>
        </w:rPr>
        <w:fldChar w:fldCharType="begin" w:fldLock="1"/>
      </w:r>
      <w:r w:rsidR="005C58A8" w:rsidRPr="001C2C36">
        <w:rPr>
          <w:rFonts w:cs="Times New Roman"/>
        </w:rPr>
        <w:instrText>ADDIN CSL_CITATION {"citationItems":[{"id":"ITEM-1","itemData":{"ISBN":"978-0-7506-7088-3","ISSN":"01432095","PMID":"20859841","abstract":"HISTORY AND ADMISSION FINDINGS A 72-year-old woman presented with progressive dyspnea on exertion. There was no chest pain. A 4/6 systolic murmur was detected on auscultation. INVESTIGATIONS Echocardiography demonstrated a combined aortic valve defect with severe stenosis and moderate insufficiency, additionally a persistent foramen ovale. The coronary angiography revealed coronary heart disease with severe stenosis of the left anterior descending (LAD) and the right coronary artery (RCA). The stenosis of the aortic valve was severe (Pmax 91 mm Hg, Pmean 52 mm Hg). During catheterization of the right heart iatrogenic perforation of a pulmonary artery occurred, resulting in diffuse pulmonary bleeding. The patient suffered from progredient dyspnea and hemoptysis. DIAGNOSIS, TREATMENT AND COURSE Catheter-induced rupture of an artery of the right inferior pulmonary lobe was diagnosed. Because of bleeding into this lobe an immediate intubation with a double-lumen bronchial tube was necessary to ensure ventilation of the contralateral lung. Several attempts to occlude the arterial leak by ballon failed. Bleeding stopped after embolisation of the vessel by injection of thrombin. CONCLUSION Iatrogenic rupture of a pulmonary artery is a rare and life-threatening complication of the catheterization of the right heart and demands rapid therapy. The protection of the contralateral lung by intubation with a double-lumen tubes is of highest priority. Selective embolization of the affected vessel via thrombin can be a lifesaving alternative to lobectomy or conservative therapy.","author":[{"dropping-particle":"","family":"Teece","given":"David J.","non-dropping-particle":"","parse-names":false,"suffix":""},{"dropping-particle":"","family":"Pisano","given":"GARY","non-dropping-particle":"","parse-names":false,"suffix":""},{"dropping-particle":"","family":"Shuen","given":"Amy","non-dropping-particle":"","parse-names":false,"suffix":""}],"container-title":"Strategic Management Journal","id":"ITEM-1","issue":"7","issued":{"date-parts":[["1997","8","21"]]},"page":"509-533","title":"Dynamic capabilities and strategic management","type":"article-journal","volume":"18"},"suppress-author":1,"uris":["http://www.mendeley.com/documents/?uuid=dd66741e-1540-48d6-b6bf-89df2bab3f1f"]}],"mendeley":{"formattedCitation":"(1997)","plainTextFormattedCitation":"(1997)","previouslyFormattedCitation":"(1997)"},"properties":{"noteIndex":0},"schema":"https://github.com/citation-style-language/schema/raw/master/csl-citation.json"}</w:instrText>
      </w:r>
      <w:r w:rsidR="005C58A8" w:rsidRPr="001C2C36">
        <w:rPr>
          <w:rFonts w:cs="Times New Roman"/>
        </w:rPr>
        <w:fldChar w:fldCharType="separate"/>
      </w:r>
      <w:r w:rsidR="3E77192C" w:rsidRPr="001C2C36">
        <w:rPr>
          <w:rFonts w:cs="Times New Roman"/>
          <w:noProof/>
        </w:rPr>
        <w:t>(1997)</w:t>
      </w:r>
      <w:r w:rsidR="005C58A8" w:rsidRPr="001C2C36">
        <w:rPr>
          <w:rFonts w:cs="Times New Roman"/>
        </w:rPr>
        <w:fldChar w:fldCharType="end"/>
      </w:r>
      <w:r w:rsidR="45B8A204" w:rsidRPr="001C2C36">
        <w:rPr>
          <w:rFonts w:cs="Times New Roman"/>
        </w:rPr>
        <w:t xml:space="preserve"> and many subsequent studies </w:t>
      </w:r>
      <w:r w:rsidR="260DAC3D" w:rsidRPr="001C2C36">
        <w:rPr>
          <w:rFonts w:cs="Times New Roman"/>
        </w:rPr>
        <w:t>argued</w:t>
      </w:r>
      <w:r w:rsidR="45B8A204" w:rsidRPr="001C2C36">
        <w:rPr>
          <w:rFonts w:cs="Times New Roman"/>
        </w:rPr>
        <w:t xml:space="preserve"> that DCs </w:t>
      </w:r>
      <w:r w:rsidR="431AE41E" w:rsidRPr="001C2C36">
        <w:rPr>
          <w:rFonts w:cs="Times New Roman"/>
        </w:rPr>
        <w:t xml:space="preserve">are expected to </w:t>
      </w:r>
      <w:r w:rsidR="7C8DD6D0" w:rsidRPr="001C2C36">
        <w:rPr>
          <w:rFonts w:cs="Times New Roman"/>
        </w:rPr>
        <w:t>positively impact performance</w:t>
      </w:r>
      <w:r w:rsidR="39364CB8" w:rsidRPr="001C2C36">
        <w:rPr>
          <w:rFonts w:cs="Times New Roman"/>
        </w:rPr>
        <w:t xml:space="preserve">, </w:t>
      </w:r>
      <w:r w:rsidR="22825479" w:rsidRPr="001C2C36">
        <w:rPr>
          <w:rFonts w:cs="Times New Roman"/>
        </w:rPr>
        <w:t xml:space="preserve">especially when disruption is high, because of their ability to add value when settings are dynamic </w:t>
      </w:r>
      <w:r w:rsidR="005C58A8" w:rsidRPr="001C2C36">
        <w:rPr>
          <w:rFonts w:cs="Times New Roman"/>
        </w:rPr>
        <w:fldChar w:fldCharType="begin" w:fldLock="1"/>
      </w:r>
      <w:r w:rsidR="005C58A8" w:rsidRPr="001C2C36">
        <w:rPr>
          <w:rFonts w:cs="Times New Roman"/>
        </w:rPr>
        <w:instrText>ADDIN CSL_CITATION {"citationItems":[{"id":"ITEM-1","itemData":{"DOI":"10.1177/1476127008100133","ISBN":"1476-1270","ISSN":"14761270","PMID":"225009644","abstract":"The aim of dynamic capabilities research is ambitious: to understand how firms can sustain a competitive advantage by responding to and creating environmen- tal change (Teece, 2007). As one of the most central and difficult questions within the strategy domain, this might well be characterized as the Holy Grail of strategic management. The topical domain of dynamic capabilities, in conse- quence, is as broad and as complex as any in the field. It spans the domains of strategy process and content, and involves multiple levels of analysis, from man- agerial decision-processes, to organizational routines, to competitive inter- actions and environmental change. The complexity of the topic is matched, fittingly, by the complexity of the theoretical underpinnings. Undoubtedly, this has generated some confusion. It is therefore not surprising that the critique of Arend and Bromiley (A&amp;B) in the preceding essay reflects some of this confu- sion. Here, we address this by clarifying the dynamic capabilities concept, in relation to its development and the challenges faced. We first survey the development path of dynamic capabilities research, and discuss the different theoretical bases of this emerging area of scholarship. Then we clarify issues regarding the definition of dynamic capabilities and discuss the link between dynamic capabilities and firm performance. As part of our analy- sis, we address the two main conclusions of A&amp;B regarding dynamic capabil- ities research. The first is that we should abandon the dynamic capabilities approach if it does not ‘quickly develop a theoretical foundation’. The second is that regardless of the pace of theory development, we should replace these efforts with ‘work on strategic change tied to fuller theories of strategic organ- ization’. In what follows, we explain why these conclusions are premature and unwarranted. We also address other issues raised by A&amp;B, focusing on the main issues raised in the body of their commentary.","author":[{"dropping-particle":"","family":"Helfat","given":"Constance E.","non-dropping-particle":"","parse-names":false,"suffix":""},{"dropping-particle":"","family":"Peteraf","given":"Margaret A.","non-dropping-particle":"","parse-names":false,"suffix":""}],"container-title":"Strategic Organization","id":"ITEM-1","issue":"1","issued":{"date-parts":[["2009","2"]]},"page":"91-102","title":"Understanding dynamic capabilities: Progress along a developmental path","type":"article-journal","volume":"7"},"uris":["http://www.mendeley.com/documents/?uuid=ac4bea94-e94e-4c06-9796-4165a757e3ee","http://www.mendeley.com/documents/?uuid=a56e5ac2-6180-39c9-b57a-bf0a21a6e7d9"]},{"id":"ITEM-2","itemData":{"ISBN":"978-0-7506-7088-3","ISSN":"01432095","PMID":"20859841","abstract":"HISTORY AND ADMISSION FINDINGS A 72-year-old woman presented with progressive dyspnea on exertion. There was no chest pain. A 4/6 systolic murmur was detected on auscultation. INVESTIGATIONS Echocardiography demonstrated a combined aortic valve defect with severe stenosis and moderate insufficiency, additionally a persistent foramen ovale. The coronary angiography revealed coronary heart disease with severe stenosis of the left anterior descending (LAD) and the right coronary artery (RCA). The stenosis of the aortic valve was severe (Pmax 91 mm Hg, Pmean 52 mm Hg). During catheterization of the right heart iatrogenic perforation of a pulmonary artery occurred, resulting in diffuse pulmonary bleeding. The patient suffered from progredient dyspnea and hemoptysis. DIAGNOSIS, TREATMENT AND COURSE Catheter-induced rupture of an artery of the right inferior pulmonary lobe was diagnosed. Because of bleeding into this lobe an immediate intubation with a double-lumen bronchial tube was necessary to ensure ventilation of the contralateral lung. Several attempts to occlude the arterial leak by ballon failed. Bleeding stopped after embolisation of the vessel by injection of thrombin. CONCLUSION Iatrogenic rupture of a pulmonary artery is a rare and life-threatening complication of the catheterization of the right heart and demands rapid therapy. The protection of the contralateral lung by intubation with a double-lumen tubes is of highest priority. Selective embolization of the affected vessel via thrombin can be a lifesaving alternative to lobectomy or conservative therapy.","author":[{"dropping-particle":"","family":"Teece","given":"David J.","non-dropping-particle":"","parse-names":false,"suffix":""},{"dropping-particle":"","family":"Pisano","given":"GARY","non-dropping-particle":"","parse-names":false,"suffix":""},{"dropping-particle":"","family":"Shuen","given":"Amy","non-dropping-particle":"","parse-names":false,"suffix":""}],"container-title":"Strategic Management Journal","id":"ITEM-2","issue":"7","issued":{"date-parts":[["1997","8","21"]]},"page":"509-533","title":"Dynamic capabilities and strategic management","type":"article-journal","volume":"18"},"uris":["http://www.mendeley.com/documents/?uuid=dd66741e-1540-48d6-b6bf-89df2bab3f1f"]},{"id":"ITEM-3","itemData":{"DOI":"10.1002/smj.2099","ISBN":"1097-0266","ISSN":"01432095","abstract":"Examining how compensation structure affects mobility and entrepreneurship decisions of employees, particularly those at the extreme ends of the performance distribution, we find that employees with high performance are less likely to leave firms with highly dispersed compensation. However, if these “high performers” do leave these employers, they are more likely to create or join new firms. Employees with lower performance are more likely to leave firms with high pay dispersion, but less likely to move to new ventures. Additionally, we show that mobility and entrepreneurship result in employees’ receiving higher compensation, regardless of their performance level.","author":[{"dropping-particle":"","family":"Schilke","given":"Oliver","non-dropping-particle":"","parse-names":false,"suffix":""}],"container-title":"Strategic Management Journal","id":"ITEM-3","issue":"2","issued":{"date-parts":[["2014","2"]]},"page":"179-203","title":"On the contingent value of dynamic capabilities for competitive advantage: The nonlinear moderating effect of environmental dynamism","type":"article-journal","volume":"35"},"uris":["http://www.mendeley.com/documents/?uuid=57e130b1-ff46-4a96-9a03-4846c7135805","http://www.mendeley.com/documents/?uuid=855b8746-739e-4775-9018-c7e7a0d299d9","http://www.mendeley.com/documents/?uuid=2ade51ae-dae5-4ef5-977e-dcff90a8dbd7"]}],"mendeley":{"formattedCitation":"(Helfat and Peteraf, 2009; Schilke, 2014; Teece et al., 1997)","plainTextFormattedCitation":"(Helfat and Peteraf, 2009; Schilke, 2014; Teece et al., 1997)","previouslyFormattedCitation":"(Helfat and Peteraf, 2009; Schilke, 2014; Teece et al., 1997)"},"properties":{"noteIndex":0},"schema":"https://github.com/citation-style-language/schema/raw/master/csl-citation.json"}</w:instrText>
      </w:r>
      <w:r w:rsidR="005C58A8" w:rsidRPr="001C2C36">
        <w:rPr>
          <w:rFonts w:cs="Times New Roman"/>
        </w:rPr>
        <w:fldChar w:fldCharType="separate"/>
      </w:r>
      <w:r w:rsidR="32E1C7D7" w:rsidRPr="001C2C36">
        <w:rPr>
          <w:rFonts w:cs="Times New Roman"/>
          <w:noProof/>
        </w:rPr>
        <w:t>(Helfat and Peteraf, 2009; Schilke, 2014; Teece et al., 1997)</w:t>
      </w:r>
      <w:r w:rsidR="005C58A8" w:rsidRPr="001C2C36">
        <w:rPr>
          <w:rFonts w:cs="Times New Roman"/>
        </w:rPr>
        <w:fldChar w:fldCharType="end"/>
      </w:r>
      <w:r w:rsidR="22825479" w:rsidRPr="001C2C36">
        <w:rPr>
          <w:rFonts w:cs="Times New Roman"/>
        </w:rPr>
        <w:t xml:space="preserve">. </w:t>
      </w:r>
      <w:r w:rsidR="7C8DD6D0" w:rsidRPr="001C2C36">
        <w:rPr>
          <w:rFonts w:cs="Times New Roman"/>
        </w:rPr>
        <w:t>The</w:t>
      </w:r>
      <w:r w:rsidR="6127C378" w:rsidRPr="001C2C36">
        <w:rPr>
          <w:rFonts w:cs="Times New Roman"/>
        </w:rPr>
        <w:t xml:space="preserve"> explanation of</w:t>
      </w:r>
      <w:r w:rsidR="260DAC3D" w:rsidRPr="001C2C36">
        <w:rPr>
          <w:rFonts w:cs="Times New Roman"/>
        </w:rPr>
        <w:t xml:space="preserve"> mechanisms through which this is achieved </w:t>
      </w:r>
      <w:r w:rsidR="6127C378" w:rsidRPr="001C2C36">
        <w:rPr>
          <w:rFonts w:cs="Times New Roman"/>
        </w:rPr>
        <w:t>varied</w:t>
      </w:r>
      <w:r w:rsidR="260DAC3D" w:rsidRPr="001C2C36">
        <w:rPr>
          <w:rFonts w:cs="Times New Roman"/>
        </w:rPr>
        <w:t xml:space="preserve"> </w:t>
      </w:r>
      <w:r w:rsidR="6127C378" w:rsidRPr="001C2C36">
        <w:rPr>
          <w:rFonts w:cs="Times New Roman"/>
        </w:rPr>
        <w:t xml:space="preserve">but was often linked </w:t>
      </w:r>
      <w:r w:rsidR="71E4A5C1" w:rsidRPr="001C2C36">
        <w:rPr>
          <w:rFonts w:cs="Times New Roman"/>
        </w:rPr>
        <w:t>to</w:t>
      </w:r>
      <w:r w:rsidR="6127C378" w:rsidRPr="001C2C36">
        <w:rPr>
          <w:rFonts w:cs="Times New Roman"/>
        </w:rPr>
        <w:t xml:space="preserve"> </w:t>
      </w:r>
      <w:r w:rsidR="71E4A5C1" w:rsidRPr="001C2C36">
        <w:rPr>
          <w:rFonts w:cs="Times New Roman"/>
        </w:rPr>
        <w:t xml:space="preserve">the ability </w:t>
      </w:r>
      <w:r w:rsidR="7511DCE1" w:rsidRPr="001C2C36">
        <w:rPr>
          <w:rFonts w:cs="Times New Roman"/>
        </w:rPr>
        <w:t>to adjust</w:t>
      </w:r>
      <w:r w:rsidR="7C8DD6D0" w:rsidRPr="001C2C36">
        <w:rPr>
          <w:rFonts w:cs="Times New Roman"/>
        </w:rPr>
        <w:t xml:space="preserve"> how resources are </w:t>
      </w:r>
      <w:r w:rsidR="429EB178" w:rsidRPr="001C2C36">
        <w:rPr>
          <w:rFonts w:cs="Times New Roman"/>
        </w:rPr>
        <w:t>configured</w:t>
      </w:r>
      <w:r w:rsidR="7C8DD6D0" w:rsidRPr="001C2C36">
        <w:rPr>
          <w:rFonts w:cs="Times New Roman"/>
        </w:rPr>
        <w:t xml:space="preserve"> under changing environments in which firms operate </w:t>
      </w:r>
      <w:r w:rsidR="005C58A8" w:rsidRPr="001C2C36">
        <w:rPr>
          <w:rFonts w:cs="Times New Roman"/>
        </w:rPr>
        <w:fldChar w:fldCharType="begin" w:fldLock="1"/>
      </w:r>
      <w:r w:rsidR="005C58A8" w:rsidRPr="001C2C36">
        <w:rPr>
          <w:rFonts w:cs="Times New Roman"/>
        </w:rPr>
        <w:instrText>ADDIN CSL_CITATION {"citationItems":[{"id":"ITEM-1","itemData":{"DOI":"10.1016/j.emj.2006.05.009","ISSN":"02632373","abstract":"Increasingly the body of knowledge derived from strategy theory has been criticized because it is not actionable in practice, particularly under the conditions of a knowledge economy. Since strategic management is an applied discipline this is a serious criticism. However, we argue that the theory-practice question is too simple. Accordingly, this paper expands this question by outlining first the theoretical criteria under which strategy theory is not actionable, and then outlines an alternative perspective on strategy knowledge in action, based upon a practice epistemology. The paper is in three sections. The first section explains two contextual conditions which impact upon strategy theory within a knowledge economy, environmental velocity and knowledge intensity. The impact of these contextual conditions upon the application of four different streams of strategy theory is examined. The second section suggests that the theoretical validity of these contextual conditions breaks down when we consider the knowledge artifacts, such as strategy tools and frameworks, which arise from strategy research. The third section proposes a practice epistemology for analyzing strategy knowledge in action that stands in contrast to more traditional arguments about actionable knowledge. From a practice perspective, strategy knowledge is argues to be actionable as part of the everyday activities of strategizing. © 2006 Elsevier Ltd. All rights reserved.","author":[{"dropping-particle":"","family":"Jarzabkowski","given":"Paula","non-dropping-particle":"","parse-names":false,"suffix":""},{"dropping-particle":"","family":"Wilson","given":"David C.","non-dropping-particle":"","parse-names":false,"suffix":""}],"container-title":"European Management Journal","id":"ITEM-1","issue":"5","issued":{"date-parts":[["2006"]]},"page":"348-367","title":"Actionable Strategy Knowledge:. A Practice Perspective","type":"article-journal","volume":"24"},"uris":["http://www.mendeley.com/documents/?uuid=411bbc61-321e-4eb1-b791-f40b71eb1ea8","http://www.mendeley.com/documents/?uuid=b9f60a29-f6b3-4633-ba07-660fd91fa3ea"]},{"id":"ITEM-2","itemData":{"ISBN":"978-0-7506-7088-3","ISSN":"01432095","PMID":"20859841","abstract":"HISTORY AND ADMISSION FINDINGS A 72-year-old woman presented with progressive dyspnea on exertion. There was no chest pain. A 4/6 systolic murmur was detected on auscultation. INVESTIGATIONS Echocardiography demonstrated a combined aortic valve defect with severe stenosis and moderate insufficiency, additionally a persistent foramen ovale. The coronary angiography revealed coronary heart disease with severe stenosis of the left anterior descending (LAD) and the right coronary artery (RCA). The stenosis of the aortic valve was severe (Pmax 91 mm Hg, Pmean 52 mm Hg). During catheterization of the right heart iatrogenic perforation of a pulmonary artery occurred, resulting in diffuse pulmonary bleeding. The patient suffered from progredient dyspnea and hemoptysis. DIAGNOSIS, TREATMENT AND COURSE Catheter-induced rupture of an artery of the right inferior pulmonary lobe was diagnosed. Because of bleeding into this lobe an immediate intubation with a double-lumen bronchial tube was necessary to ensure ventilation of the contralateral lung. Several attempts to occlude the arterial leak by ballon failed. Bleeding stopped after embolisation of the vessel by injection of thrombin. CONCLUSION Iatrogenic rupture of a pulmonary artery is a rare and life-threatening complication of the catheterization of the right heart and demands rapid therapy. The protection of the contralateral lung by intubation with a double-lumen tubes is of highest priority. Selective embolization of the affected vessel via thrombin can be a lifesaving alternative to lobectomy or conservative therapy.","author":[{"dropping-particle":"","family":"Teece","given":"David J.","non-dropping-particle":"","parse-names":false,"suffix":""},{"dropping-particle":"","family":"Pisano","given":"GARY","non-dropping-particle":"","parse-names":false,"suffix":""},{"dropping-particle":"","family":"Shuen","given":"Amy","non-dropping-particle":"","parse-names":false,"suffix":""}],"container-title":"Strategic Management Journal","id":"ITEM-2","issue":"7","issued":{"date-parts":[["1997","8","21"]]},"page":"509-533","title":"Dynamic capabilities and strategic management","type":"article-journal","volume":"18"},"uris":["http://www.mendeley.com/documents/?uuid=dd66741e-1540-48d6-b6bf-89df2bab3f1f"]}],"mendeley":{"formattedCitation":"(Jarzabkowski and Wilson, 2006; Teece et al., 1997)","plainTextFormattedCitation":"(Jarzabkowski and Wilson, 2006; Teece et al., 1997)","previouslyFormattedCitation":"(Jarzabkowski and Wilson, 2006; Teece et al., 1997)"},"properties":{"noteIndex":0},"schema":"https://github.com/citation-style-language/schema/raw/master/csl-citation.json"}</w:instrText>
      </w:r>
      <w:r w:rsidR="005C58A8" w:rsidRPr="001C2C36">
        <w:rPr>
          <w:rFonts w:cs="Times New Roman"/>
        </w:rPr>
        <w:fldChar w:fldCharType="separate"/>
      </w:r>
      <w:r w:rsidR="32E1C7D7" w:rsidRPr="001C2C36">
        <w:rPr>
          <w:rFonts w:cs="Times New Roman"/>
          <w:noProof/>
        </w:rPr>
        <w:t>(Jarzabkowski and Wilson, 2006; Teece et al., 1997)</w:t>
      </w:r>
      <w:r w:rsidR="005C58A8" w:rsidRPr="001C2C36">
        <w:rPr>
          <w:rFonts w:cs="Times New Roman"/>
        </w:rPr>
        <w:fldChar w:fldCharType="end"/>
      </w:r>
      <w:r w:rsidR="7A43C361" w:rsidRPr="001C2C36">
        <w:rPr>
          <w:rFonts w:cs="Times New Roman"/>
        </w:rPr>
        <w:t>.</w:t>
      </w:r>
      <w:r w:rsidR="279AFC02" w:rsidRPr="001C2C36">
        <w:rPr>
          <w:rFonts w:cs="Times New Roman"/>
        </w:rPr>
        <w:t xml:space="preserve"> </w:t>
      </w:r>
      <w:r w:rsidR="414CB239" w:rsidRPr="001C2C36">
        <w:rPr>
          <w:rFonts w:cs="Times New Roman"/>
        </w:rPr>
        <w:t xml:space="preserve">The extent of the effect is likely to depend on the nature of </w:t>
      </w:r>
      <w:r w:rsidR="189B7DAD" w:rsidRPr="001C2C36">
        <w:rPr>
          <w:rFonts w:cs="Times New Roman"/>
        </w:rPr>
        <w:t xml:space="preserve">the </w:t>
      </w:r>
      <w:r w:rsidR="414CB239" w:rsidRPr="001C2C36">
        <w:rPr>
          <w:rFonts w:cs="Times New Roman"/>
        </w:rPr>
        <w:t xml:space="preserve">dynamic capability and whether the repeatable function of that particular dynamic capability is appropriate for that particular setting </w:t>
      </w:r>
      <w:r w:rsidR="005C58A8" w:rsidRPr="001C2C36">
        <w:rPr>
          <w:rFonts w:cs="Times New Roman"/>
        </w:rPr>
        <w:fldChar w:fldCharType="begin" w:fldLock="1"/>
      </w:r>
      <w:r w:rsidR="005C58A8" w:rsidRPr="001C2C36">
        <w:rPr>
          <w:rFonts w:cs="Times New Roman"/>
        </w:rPr>
        <w:instrText>ADDIN CSL_CITATION {"citationItems":[{"id":"ITEM-1","itemData":{"ISBN":"1405182067","abstract":"Creating, adapting to, and exploiting change is inherently entrepreneurial. To survive and prosper under conditions of change, firms must develop the dynamic capabilities to create, extend, and modify the ways in which they operate. The capacity of an organization to create, extend, or modify its resource base is vital. Since the concept of dynamic capabilities was first introduced, much research has elaborated the initial idea. This important book by Constance Helfat and her team of leading scholars provides a timely focus on in-depth examples of corporate dynamic capabilities. Examining these in the different contexts of alliances, acquisitions, and management, the book gives students and researchers a succinct, up-to-date definition of dynamic capabilities and the strategic management theories around them.","author":[{"dropping-particle":"","family":"Helfat","given":"C E","non-dropping-particle":"","parse-names":false,"suffix":""},{"dropping-particle":"","family":"Finkelstein","given":"S","non-dropping-particle":"","parse-names":false,"suffix":""},{"dropping-particle":"","family":"Mitchell","given":"W","non-dropping-particle":"","parse-names":false,"suffix":""},{"dropping-particle":"","family":"Peteraf","given":"M","non-dropping-particle":"","parse-names":false,"suffix":""},{"dropping-particle":"","family":"Singh","given":"H","non-dropping-particle":"","parse-names":false,"suffix":""},{"dropping-particle":"","family":"Teece","given":"D J","non-dropping-particle":"","parse-names":false,"suffix":""},{"dropping-particle":"","family":"Winter","given":"Sidney G","non-dropping-particle":"","parse-names":false,"suffix":""}],"id":"ITEM-1","issued":{"date-parts":[["2007"]]},"number-of-pages":"147","publisher":"Blackwell Pub","publisher-place":"Malden","title":"Dynamic Capabilities: Understanding Strategic Change in Organizations","type":"book"},"uris":["http://www.mendeley.com/documents/?uuid=bd4b356c-40bf-3a3a-a95c-677b14673ff3","http://www.mendeley.com/documents/?uuid=078e8063-28fc-430b-afd3-7df0d27e9ee8"]}],"mendeley":{"formattedCitation":"(Helfat et al., 2007)","plainTextFormattedCitation":"(Helfat et al., 2007)","previouslyFormattedCitation":"(Helfat et al., 2007)"},"properties":{"noteIndex":0},"schema":"https://github.com/citation-style-language/schema/raw/master/csl-citation.json"}</w:instrText>
      </w:r>
      <w:r w:rsidR="005C58A8" w:rsidRPr="001C2C36">
        <w:rPr>
          <w:rFonts w:cs="Times New Roman"/>
        </w:rPr>
        <w:fldChar w:fldCharType="separate"/>
      </w:r>
      <w:r w:rsidR="414CB239" w:rsidRPr="001C2C36">
        <w:rPr>
          <w:rFonts w:cs="Times New Roman"/>
          <w:noProof/>
        </w:rPr>
        <w:t>(Helfat et al., 2007)</w:t>
      </w:r>
      <w:r w:rsidR="005C58A8" w:rsidRPr="001C2C36">
        <w:rPr>
          <w:rFonts w:cs="Times New Roman"/>
        </w:rPr>
        <w:fldChar w:fldCharType="end"/>
      </w:r>
      <w:r w:rsidR="414CB239" w:rsidRPr="001C2C36">
        <w:rPr>
          <w:rFonts w:cs="Times New Roman"/>
        </w:rPr>
        <w:t>.</w:t>
      </w:r>
    </w:p>
    <w:p w14:paraId="1440D47B" w14:textId="1FB0CAEE" w:rsidR="00053B1A" w:rsidRPr="001C2C36" w:rsidRDefault="0012793F" w:rsidP="00AC3C42">
      <w:pPr>
        <w:autoSpaceDE w:val="0"/>
        <w:autoSpaceDN w:val="0"/>
        <w:adjustRightInd w:val="0"/>
        <w:spacing w:before="240" w:after="0"/>
        <w:rPr>
          <w:rFonts w:cs="Times New Roman"/>
          <w:szCs w:val="24"/>
        </w:rPr>
      </w:pPr>
      <w:r w:rsidRPr="001C2C36">
        <w:rPr>
          <w:rFonts w:cs="Times New Roman"/>
          <w:szCs w:val="24"/>
        </w:rPr>
        <w:t>For instance</w:t>
      </w:r>
      <w:r w:rsidR="00D344B0" w:rsidRPr="001C2C36">
        <w:rPr>
          <w:rFonts w:cs="Times New Roman"/>
          <w:szCs w:val="24"/>
        </w:rPr>
        <w:t>,</w:t>
      </w:r>
      <w:r w:rsidRPr="001C2C36">
        <w:rPr>
          <w:rFonts w:cs="Times New Roman"/>
          <w:szCs w:val="24"/>
        </w:rPr>
        <w:t xml:space="preserve"> SMEs that </w:t>
      </w:r>
      <w:r w:rsidR="00B97C39" w:rsidRPr="001C2C36">
        <w:rPr>
          <w:rFonts w:cs="Times New Roman"/>
          <w:szCs w:val="24"/>
        </w:rPr>
        <w:t xml:space="preserve">have </w:t>
      </w:r>
      <w:r w:rsidR="00B42E05" w:rsidRPr="001C2C36">
        <w:rPr>
          <w:rFonts w:cs="Times New Roman"/>
          <w:szCs w:val="24"/>
        </w:rPr>
        <w:t xml:space="preserve">an existing dynamic capability </w:t>
      </w:r>
      <w:r w:rsidR="00B97C39" w:rsidRPr="001C2C36">
        <w:rPr>
          <w:rFonts w:cs="Times New Roman"/>
          <w:szCs w:val="24"/>
        </w:rPr>
        <w:t>o</w:t>
      </w:r>
      <w:r w:rsidR="00806CA8" w:rsidRPr="001C2C36">
        <w:rPr>
          <w:rFonts w:cs="Times New Roman"/>
          <w:szCs w:val="24"/>
        </w:rPr>
        <w:t>f</w:t>
      </w:r>
      <w:r w:rsidR="00B97C39" w:rsidRPr="001C2C36">
        <w:rPr>
          <w:rFonts w:cs="Times New Roman"/>
          <w:szCs w:val="24"/>
        </w:rPr>
        <w:t xml:space="preserve"> </w:t>
      </w:r>
      <w:r w:rsidR="00A7413E" w:rsidRPr="001C2C36">
        <w:rPr>
          <w:rFonts w:cs="Times New Roman"/>
          <w:szCs w:val="24"/>
        </w:rPr>
        <w:t>adopting</w:t>
      </w:r>
      <w:r w:rsidR="00B97C39" w:rsidRPr="001C2C36">
        <w:rPr>
          <w:rFonts w:cs="Times New Roman"/>
          <w:szCs w:val="24"/>
        </w:rPr>
        <w:t xml:space="preserve"> various business models could </w:t>
      </w:r>
      <w:r w:rsidR="00B42E05" w:rsidRPr="001C2C36">
        <w:rPr>
          <w:rFonts w:cs="Times New Roman"/>
          <w:szCs w:val="24"/>
        </w:rPr>
        <w:t xml:space="preserve">utilise it in the context of Covid-19 by </w:t>
      </w:r>
      <w:r w:rsidR="00EF5F81" w:rsidRPr="001C2C36">
        <w:rPr>
          <w:rFonts w:cs="Times New Roman"/>
          <w:szCs w:val="24"/>
        </w:rPr>
        <w:t>promptly</w:t>
      </w:r>
      <w:r w:rsidR="00AA1B0A" w:rsidRPr="001C2C36">
        <w:rPr>
          <w:rFonts w:cs="Times New Roman"/>
          <w:szCs w:val="24"/>
        </w:rPr>
        <w:t xml:space="preserve"> </w:t>
      </w:r>
      <w:r w:rsidR="00142B76" w:rsidRPr="001C2C36">
        <w:rPr>
          <w:rFonts w:cs="Times New Roman"/>
          <w:szCs w:val="24"/>
        </w:rPr>
        <w:t>ad</w:t>
      </w:r>
      <w:r w:rsidR="00A7413E" w:rsidRPr="001C2C36">
        <w:rPr>
          <w:rFonts w:cs="Times New Roman"/>
          <w:szCs w:val="24"/>
        </w:rPr>
        <w:t>a</w:t>
      </w:r>
      <w:r w:rsidR="00142B76" w:rsidRPr="001C2C36">
        <w:rPr>
          <w:rFonts w:cs="Times New Roman"/>
          <w:szCs w:val="24"/>
        </w:rPr>
        <w:t>pting</w:t>
      </w:r>
      <w:r w:rsidR="00AA1B0A" w:rsidRPr="001C2C36">
        <w:rPr>
          <w:rFonts w:cs="Times New Roman"/>
          <w:szCs w:val="24"/>
        </w:rPr>
        <w:t xml:space="preserve"> their </w:t>
      </w:r>
      <w:r w:rsidR="00EF5F81" w:rsidRPr="001C2C36">
        <w:rPr>
          <w:rFonts w:cs="Times New Roman"/>
          <w:szCs w:val="24"/>
        </w:rPr>
        <w:t>business models</w:t>
      </w:r>
      <w:r w:rsidR="00AE3347" w:rsidRPr="001C2C36">
        <w:rPr>
          <w:rFonts w:cs="Times New Roman"/>
          <w:szCs w:val="24"/>
        </w:rPr>
        <w:t xml:space="preserve"> to overcome the constrain</w:t>
      </w:r>
      <w:r w:rsidR="0028462C" w:rsidRPr="001C2C36">
        <w:rPr>
          <w:rFonts w:cs="Times New Roman"/>
          <w:szCs w:val="24"/>
        </w:rPr>
        <w:t>t</w:t>
      </w:r>
      <w:r w:rsidR="00AE3347" w:rsidRPr="001C2C36">
        <w:rPr>
          <w:rFonts w:cs="Times New Roman"/>
          <w:szCs w:val="24"/>
        </w:rPr>
        <w:t xml:space="preserve">s imposed by </w:t>
      </w:r>
      <w:r w:rsidR="009A48DB" w:rsidRPr="001C2C36">
        <w:rPr>
          <w:rFonts w:cs="Times New Roman"/>
          <w:szCs w:val="24"/>
        </w:rPr>
        <w:t>the pandemic</w:t>
      </w:r>
      <w:r w:rsidR="00AA1B0A" w:rsidRPr="001C2C36">
        <w:rPr>
          <w:rFonts w:cs="Times New Roman"/>
          <w:szCs w:val="24"/>
        </w:rPr>
        <w:t>.</w:t>
      </w:r>
      <w:r w:rsidR="00AC3C42" w:rsidRPr="001C2C36">
        <w:rPr>
          <w:rFonts w:cs="Times New Roman"/>
          <w:szCs w:val="24"/>
        </w:rPr>
        <w:t xml:space="preserve"> There are many avenues through which this can be </w:t>
      </w:r>
      <w:r w:rsidR="00BD2DF7" w:rsidRPr="001C2C36">
        <w:rPr>
          <w:rFonts w:cs="Times New Roman"/>
          <w:szCs w:val="24"/>
        </w:rPr>
        <w:t>a</w:t>
      </w:r>
      <w:r w:rsidR="00AC3C42" w:rsidRPr="001C2C36">
        <w:rPr>
          <w:rFonts w:cs="Times New Roman"/>
          <w:szCs w:val="24"/>
        </w:rPr>
        <w:t xml:space="preserve">chieved, </w:t>
      </w:r>
      <w:r w:rsidR="00BD2DF7" w:rsidRPr="001C2C36">
        <w:rPr>
          <w:rFonts w:cs="Times New Roman"/>
          <w:szCs w:val="24"/>
        </w:rPr>
        <w:t>such as</w:t>
      </w:r>
      <w:r w:rsidR="00AC3C42" w:rsidRPr="001C2C36">
        <w:rPr>
          <w:rFonts w:cs="Times New Roman"/>
          <w:szCs w:val="24"/>
        </w:rPr>
        <w:t xml:space="preserve"> </w:t>
      </w:r>
      <w:r w:rsidR="00AA1B0A" w:rsidRPr="001C2C36">
        <w:rPr>
          <w:rFonts w:cs="Times New Roman"/>
          <w:szCs w:val="24"/>
        </w:rPr>
        <w:t xml:space="preserve">through building resilience </w:t>
      </w:r>
      <w:r w:rsidR="00AA1B0A" w:rsidRPr="001C2C36">
        <w:rPr>
          <w:rFonts w:cs="Times New Roman"/>
          <w:szCs w:val="24"/>
        </w:rPr>
        <w:fldChar w:fldCharType="begin" w:fldLock="1"/>
      </w:r>
      <w:r w:rsidR="00AA1B0A" w:rsidRPr="001C2C36">
        <w:rPr>
          <w:rFonts w:cs="Times New Roman"/>
          <w:szCs w:val="24"/>
        </w:rPr>
        <w:instrText>ADDIN CSL_CITATION {"citationItems":[{"id":"ITEM-1","itemData":{"DOI":"10.1016/j.jbusres.2021.12.006","ISSN":"01482963","abstract":"The restructuring of global value/supply chains gained increasing attention as the unprecedented COVID-19 echoed around the world. Yet, the COVID-19 related theory-driven, large scale quantitative, and empirical studies are relatively scarce. This study advances the extant literature by empirically investigating how do firms in the global food value chains (GFVCs) re-imagine their businesses structure in response to the COVID-19—becoming more resilient and competitive to the current pandemic and similar future events. We leverage a unique data of 231 senior managers of the Australian GFVCs and examine their firms’ response strategies. Drawing upon key insights from the dynamic capability view, we find that GFVCs’ competitiveness is achieved when exposure to COVID-19 shocks elicits dynamic capabilities—readiness, response, recovery—and these capabilities work jointly and sequentially to cultivate resilience. A key finding of this study is that firms with domestic plus global value chain partners are more resilient than those having only global business partners. This finding implies that excessive reliance on offshoring sometimes becomes lethal, especially amid unexpected and prolonged global shocks and, therefore, companies should strike a balance between domestic and global business partners to remain competitive. These findings offer important contributions to theory, practice, and UN sustainable development goals.","author":[{"dropping-particle":"","family":"Ali","given":"Imran","non-dropping-particle":"","parse-names":false,"suffix":""},{"dropping-particle":"","family":"Arslan","given":"Ahmad","non-dropping-particle":"","parse-names":false,"suffix":""},{"dropping-particle":"","family":"Chowdhury","given":"Maruf","non-dropping-particle":"","parse-names":false,"suffix":""},{"dropping-particle":"","family":"Khan","given":"Zaheer","non-dropping-particle":"","parse-names":false,"suffix":""},{"dropping-particle":"","family":"Tarba","given":"Shlomo Y.","non-dropping-particle":"","parse-names":false,"suffix":""}],"container-title":"Journal of Business Research","id":"ITEM-1","issued":{"date-parts":[["2022"]]},"page":"1-12","title":"Reimagining global food value chains through effective resilience to COVID-19 shocks and similar future events: A dynamic capability perspective","type":"article-journal","volume":"141"},"uris":["http://www.mendeley.com/documents/?uuid=6bd1da5c-f858-44a4-b862-b1609b6f595b","http://www.mendeley.com/documents/?uuid=b0ae3f3c-08b5-43a6-bd1a-375706a7d269"]}],"mendeley":{"formattedCitation":"(Ali et al., 2022)","plainTextFormattedCitation":"(Ali et al., 2022)","previouslyFormattedCitation":"(Ali et al., 2022)"},"properties":{"noteIndex":0},"schema":"https://github.com/citation-style-language/schema/raw/master/csl-citation.json"}</w:instrText>
      </w:r>
      <w:r w:rsidR="00AA1B0A" w:rsidRPr="001C2C36">
        <w:rPr>
          <w:rFonts w:cs="Times New Roman"/>
          <w:szCs w:val="24"/>
        </w:rPr>
        <w:fldChar w:fldCharType="separate"/>
      </w:r>
      <w:r w:rsidR="00AA1B0A" w:rsidRPr="001C2C36">
        <w:rPr>
          <w:rFonts w:cs="Times New Roman"/>
          <w:noProof/>
          <w:szCs w:val="24"/>
        </w:rPr>
        <w:t>(Ali et al., 2022)</w:t>
      </w:r>
      <w:r w:rsidR="00AA1B0A" w:rsidRPr="001C2C36">
        <w:rPr>
          <w:rFonts w:cs="Times New Roman"/>
          <w:szCs w:val="24"/>
        </w:rPr>
        <w:fldChar w:fldCharType="end"/>
      </w:r>
      <w:r w:rsidR="00AA1B0A" w:rsidRPr="001C2C36">
        <w:rPr>
          <w:rFonts w:cs="Times New Roman"/>
          <w:szCs w:val="24"/>
        </w:rPr>
        <w:t xml:space="preserve"> or business model innovation </w:t>
      </w:r>
      <w:r w:rsidR="00AA1B0A" w:rsidRPr="001C2C36">
        <w:rPr>
          <w:rFonts w:cs="Times New Roman"/>
          <w:szCs w:val="24"/>
        </w:rPr>
        <w:fldChar w:fldCharType="begin" w:fldLock="1"/>
      </w:r>
      <w:r w:rsidR="00AA1B0A" w:rsidRPr="001C2C36">
        <w:rPr>
          <w:rFonts w:cs="Times New Roman"/>
          <w:szCs w:val="24"/>
        </w:rPr>
        <w:instrText>ADDIN CSL_CITATION {"citationItems":[{"id":"ITEM-1","itemData":{"DOI":"10.1016/j.ijhm.2020.102723","ISSN":"02784319","abstract":"The hospitality industry worldwide is among the hardest-hit industries from the COVID-19 lockdowns. Initial theoretical and practical observations in the hospitality industry indicate that business model innovation (BMI) might be a solution to recover from and successfully cope with the COVID-19 crisis. Interestingly, some firms in the hospitality industry already started to successfully adapt their business models. This study explores the why and how of these successful recovery attempts through BMI by conducting a multiple case study of six hospitality firms in Austria. We rely on interview data from managers together with one of their main stammgasts for each case, which we triangulate with secondary data for the analysis. Findings show that BMI is applied during and after the crisis to create new revenue streams and secure a higher level of liquidity, with an important role of stammgasts.","author":[{"dropping-particle":"","family":"Breier","given":"Matthias","non-dropping-particle":"","parse-names":false,"suffix":""},{"dropping-particle":"","family":"Kallmuenzer","given":"Andreas","non-dropping-particle":"","parse-names":false,"suffix":""},{"dropping-particle":"","family":"Clauss","given":"Thomas","non-dropping-particle":"","parse-names":false,"suffix":""},{"dropping-particle":"","family":"Gast","given":"Johanna","non-dropping-particle":"","parse-names":false,"suffix":""},{"dropping-particle":"","family":"Kraus","given":"Sascha","non-dropping-particle":"","parse-names":false,"suffix":""},{"dropping-particle":"","family":"Tiberius","given":"Victor","non-dropping-particle":"","parse-names":false,"suffix":""}],"container-title":"International Journal of Hospitality Management","id":"ITEM-1","issued":{"date-parts":[["2021"]]},"page":"102723","title":"The role of business model innovation in the hospitality industry during the COVID-19 crisis","type":"article-journal","volume":"92"},"uris":["http://www.mendeley.com/documents/?uuid=3c61b173-0b1a-4f50-b225-2f0c4c9cbe2c","http://www.mendeley.com/documents/?uuid=74b21e4e-ba4a-43f7-b4b2-1d8404dc4b96"]}],"mendeley":{"formattedCitation":"(Breier et al., 2021)","plainTextFormattedCitation":"(Breier et al., 2021)","previouslyFormattedCitation":"(Breier et al., 2021)"},"properties":{"noteIndex":0},"schema":"https://github.com/citation-style-language/schema/raw/master/csl-citation.json"}</w:instrText>
      </w:r>
      <w:r w:rsidR="00AA1B0A" w:rsidRPr="001C2C36">
        <w:rPr>
          <w:rFonts w:cs="Times New Roman"/>
          <w:szCs w:val="24"/>
        </w:rPr>
        <w:fldChar w:fldCharType="separate"/>
      </w:r>
      <w:r w:rsidR="00AA1B0A" w:rsidRPr="001C2C36">
        <w:rPr>
          <w:rFonts w:cs="Times New Roman"/>
          <w:noProof/>
          <w:szCs w:val="24"/>
        </w:rPr>
        <w:t>(Breier et al., 2021)</w:t>
      </w:r>
      <w:r w:rsidR="00AA1B0A" w:rsidRPr="001C2C36">
        <w:rPr>
          <w:rFonts w:cs="Times New Roman"/>
          <w:szCs w:val="24"/>
        </w:rPr>
        <w:fldChar w:fldCharType="end"/>
      </w:r>
      <w:r w:rsidR="00AB08C7" w:rsidRPr="001C2C36">
        <w:rPr>
          <w:rFonts w:cs="Times New Roman"/>
          <w:szCs w:val="24"/>
        </w:rPr>
        <w:t>,</w:t>
      </w:r>
      <w:r w:rsidR="00AA1B0A" w:rsidRPr="001C2C36">
        <w:rPr>
          <w:rFonts w:cs="Times New Roman"/>
          <w:szCs w:val="24"/>
        </w:rPr>
        <w:t xml:space="preserve"> by engaging in business model experimentation </w:t>
      </w:r>
      <w:r w:rsidR="00AA1B0A" w:rsidRPr="001C2C36">
        <w:rPr>
          <w:rFonts w:cs="Times New Roman"/>
          <w:szCs w:val="24"/>
        </w:rPr>
        <w:fldChar w:fldCharType="begin" w:fldLock="1"/>
      </w:r>
      <w:r w:rsidR="00AA1B0A" w:rsidRPr="001C2C36">
        <w:rPr>
          <w:rFonts w:cs="Times New Roman"/>
          <w:szCs w:val="24"/>
        </w:rPr>
        <w:instrText>ADDIN CSL_CITATION {"citationItems":[{"id":"ITEM-1","itemData":{"DOI":"10.1016/j.jbvi.2020.e00197","ISSN":"23526734","abstract":"Research summary: Times of crisis require entrepreneurial responses to mitigate adverse effects and address new opportunities. This study focuses on how packaged food and drink entrepreneurs in Finland took action to create and capture new value during the Covid-19 crisis. Examining 844 social media posts of 66 ventures between March and May 2020 and interviewing 17 of these ventures, we found ventures to experiment with new business model variations, which not only expanded their set of solutions directly, but resulted in action-based learning leading to longer-term changes and increased capabilities for subsequent value creation. Furthermore, collaborative experiments and prosocial support increased the solution space through developing the capabilities of the ecosystem. Managerial summary: The global lockdown measures in response to the coronavirus pandemic have disrupted supply, production, sales and consumption. Facing these constraints, entrepreneurs can respond quickly and experiment to create new liquidity and opportunities. Our analysis of packaged food and beverage entrepreneurs in Finland during the crisis shows how entrepreneurs leverage existing resources and acquire new ones to create new offerings, operations and partnerships. These initial actions serve as experiments to learn from in creating and revising business models, promoting a virtuous cycle of further action and expanding potential future solutions accessible to entrepreneurs. Importantly, opportunities available to the venture expand through both venture specific learning and through supporting other actors in the ecosystem.","author":[{"dropping-particle":"","family":"Björklund","given":"Tua A.","non-dropping-particle":"","parse-names":false,"suffix":""},{"dropping-particle":"","family":"Mikkonen","given":"Maria","non-dropping-particle":"","parse-names":false,"suffix":""},{"dropping-particle":"","family":"Mattila","given":"Pauliina","non-dropping-particle":"","parse-names":false,"suffix":""},{"dropping-particle":"","family":"Marel","given":"Floris","non-dropping-particle":"van der","parse-names":false,"suffix":""}],"container-title":"Journal of Business Venturing Insights","id":"ITEM-1","issued":{"date-parts":[["2020"]]},"page":"e00197","title":"Expanding entrepreneurial solution spaces in times of crisis: Business model experimentation amongst packaged food and beverage ventures","type":"article-journal","volume":"14"},"uris":["http://www.mendeley.com/documents/?uuid=4a0da304-e43b-4957-b7a0-6e58a5a034db","http://www.mendeley.com/documents/?uuid=f7e2772c-4a90-4d40-bf65-015e27f49584"]}],"mendeley":{"formattedCitation":"(Björklund et al., 2020)","plainTextFormattedCitation":"(Björklund et al., 2020)","previouslyFormattedCitation":"(Björklund et al., 2020)"},"properties":{"noteIndex":0},"schema":"https://github.com/citation-style-language/schema/raw/master/csl-citation.json"}</w:instrText>
      </w:r>
      <w:r w:rsidR="00AA1B0A" w:rsidRPr="001C2C36">
        <w:rPr>
          <w:rFonts w:cs="Times New Roman"/>
          <w:szCs w:val="24"/>
        </w:rPr>
        <w:fldChar w:fldCharType="separate"/>
      </w:r>
      <w:r w:rsidR="00AA1B0A" w:rsidRPr="001C2C36">
        <w:rPr>
          <w:rFonts w:cs="Times New Roman"/>
          <w:noProof/>
          <w:szCs w:val="24"/>
        </w:rPr>
        <w:t>(Björklund et al., 2020)</w:t>
      </w:r>
      <w:r w:rsidR="00AA1B0A" w:rsidRPr="001C2C36">
        <w:rPr>
          <w:rFonts w:cs="Times New Roman"/>
          <w:szCs w:val="24"/>
        </w:rPr>
        <w:fldChar w:fldCharType="end"/>
      </w:r>
      <w:r w:rsidR="00AA1B0A" w:rsidRPr="001C2C36">
        <w:rPr>
          <w:rFonts w:cs="Times New Roman"/>
          <w:szCs w:val="24"/>
        </w:rPr>
        <w:t xml:space="preserve"> and, in this way, benefiting from the crises </w:t>
      </w:r>
      <w:r w:rsidR="00AA1B0A" w:rsidRPr="001C2C36">
        <w:rPr>
          <w:rFonts w:cs="Times New Roman"/>
          <w:szCs w:val="24"/>
        </w:rPr>
        <w:fldChar w:fldCharType="begin" w:fldLock="1"/>
      </w:r>
      <w:r w:rsidR="00AA1B0A" w:rsidRPr="001C2C36">
        <w:rPr>
          <w:rFonts w:cs="Times New Roman"/>
          <w:szCs w:val="24"/>
        </w:rPr>
        <w:instrText>ADDIN CSL_CITATION {"citationItems":[{"id":"ITEM-1","itemData":{"DOI":"10.1016/j.ijinfomgt.2020.102173","ISSN":"02684012","abstract":"No amount of crystal ball gazing may help us fathom the full impact of the Covid-19 (C-19) crisis on business organizations in a distinct manner. Given the lack of precedence, any such analyses seem to demand routine revisions as we progress further up the “number of infected” curve. Most countries of the world have imposed restrictions on social congregations or even people working in close proximity to each other. Industries that produce and deliver information products and services therefore, have continued to function while those that manufacture physical products especially labor-intensive firms were forced to minimize operations or temporarily shut down. However, in most countries, physical products which were essential in nature were reluctantly permitted to be manufactured given the need for them in people's everyday life. In this viewpoint, I draw upon three dimensions – information intensity of product/service, information intensity of process/value chain; along with a third dimension – essential nature of the product/service to help understand the immediate implications of C-19. I also present some anecdotal evidences of attempts to alter business models in these circumstances in order to address the challenges that certain product characteristics impose but at the same capitalize on the business opportunities presented by the essentiality of the products.","author":[{"dropping-particle":"","family":"Seetharaman","given":"Priya","non-dropping-particle":"","parse-names":false,"suffix":""}],"container-title":"International Journal of Information Management","id":"ITEM-1","issued":{"date-parts":[["2020","10"]]},"page":"102173","title":"Business models shifts: Impact of Covid-19","type":"article-journal","volume":"54"},"uris":["http://www.mendeley.com/documents/?uuid=ca6362d0-c36f-45a1-9549-a97294552b69","http://www.mendeley.com/documents/?uuid=0fb58fe0-1d95-45c0-9bbc-ce8707f6d7a7"]}],"mendeley":{"formattedCitation":"(Seetharaman, 2020)","plainTextFormattedCitation":"(Seetharaman, 2020)","previouslyFormattedCitation":"(Seetharaman, 2020)"},"properties":{"noteIndex":0},"schema":"https://github.com/citation-style-language/schema/raw/master/csl-citation.json"}</w:instrText>
      </w:r>
      <w:r w:rsidR="00AA1B0A" w:rsidRPr="001C2C36">
        <w:rPr>
          <w:rFonts w:cs="Times New Roman"/>
          <w:szCs w:val="24"/>
        </w:rPr>
        <w:fldChar w:fldCharType="separate"/>
      </w:r>
      <w:r w:rsidR="00AA1B0A" w:rsidRPr="001C2C36">
        <w:rPr>
          <w:rFonts w:cs="Times New Roman"/>
          <w:noProof/>
          <w:szCs w:val="24"/>
        </w:rPr>
        <w:t>(Seetharaman, 2020)</w:t>
      </w:r>
      <w:r w:rsidR="00AA1B0A" w:rsidRPr="001C2C36">
        <w:rPr>
          <w:rFonts w:cs="Times New Roman"/>
          <w:szCs w:val="24"/>
        </w:rPr>
        <w:fldChar w:fldCharType="end"/>
      </w:r>
      <w:r w:rsidR="00AA1B0A" w:rsidRPr="001C2C36">
        <w:rPr>
          <w:rFonts w:cs="Times New Roman"/>
          <w:szCs w:val="24"/>
        </w:rPr>
        <w:t xml:space="preserve">. We already have many examples where Covid-19 enabled entrepreneurs to gain advantages from changes to the business environment  </w:t>
      </w:r>
      <w:r w:rsidR="00AA1B0A" w:rsidRPr="001C2C36">
        <w:rPr>
          <w:rFonts w:cs="Times New Roman"/>
          <w:szCs w:val="24"/>
        </w:rPr>
        <w:fldChar w:fldCharType="begin" w:fldLock="1"/>
      </w:r>
      <w:r w:rsidR="00AA1B0A" w:rsidRPr="001C2C36">
        <w:rPr>
          <w:rFonts w:cs="Times New Roman"/>
          <w:szCs w:val="24"/>
        </w:rPr>
        <w:instrText>ADDIN CSL_CITATION {"citationItems":[{"id":"ITEM-1","itemData":{"DOI":"10.1177/23409444211008902","ISSN":"23409444","abstract":"For decades, entrepreneurship and strategy research has been dominated by agent-centric and inward-looking theoretical perspectives. The ongoing COVID-19 pandemic demonstrates the limits of this stance, as its influence on business has been both enormous and palpable. For the most part, the effects of the pandemic are no doubt negative. Business research—and presumably business practice—typically address such influence in terms of failure, resilience, and crisis management among existing businesses. Contrasting this prevalent discourse, we focus instead on positive influence of the pandemic for some emerging and new ventures. We analyze the many possible positive effects on entrepreneurship practice and highlight also positive effects on entrepreneurship research. We illustrate both positives by applying the External Enabler framework. JEL CLASSIFICATION: L26, M13, O3, R11","author":[{"dropping-particle":"","family":"Davidsson","given":"Per","non-dropping-particle":"","parse-names":false,"suffix":""},{"dropping-particle":"","family":"Recker","given":"Jan","non-dropping-particle":"","parse-names":false,"suffix":""},{"dropping-particle":"","family":"Briel","given":"Frederik","non-dropping-particle":"von","parse-names":false,"suffix":""}],"container-title":"BRQ Business Research Quarterly","id":"ITEM-1","issue":"3","issued":{"date-parts":[["2021"]]},"page":"214-223","title":"COVID-19 as External Enabler of entrepreneurship practice and research","type":"article-journal","volume":"24"},"uris":["http://www.mendeley.com/documents/?uuid=f8e88eeb-ce0f-40dc-bc2e-fba4101e3a82","http://www.mendeley.com/documents/?uuid=329134f2-d98f-4694-9756-362fe8975c84"]},{"id":"ITEM-2","itemData":{"DOI":"10.1016/j.jbvi.2021.e00273","ISSN":"23526734","abstract":"We investigate COVID-19 as a disabling and an enabling mechanism for small and mid-size enterprises (SMEs), particularly how SMEs’ crisis strategies might help them through the crisis. SMEs can follow a retrenchment strategy, a persevering strategy, or an innovation strategy, and they can do so narrowly or broadly. Using a representative sample of Danish SMEs, we test how crisis strategies are associated with turnover expectations. We find distinct differences in how effective crisis strategies are linked to turnover expectations, depending on how the crisis affected the SMEs in the first place (i.e., the SMEs were crisis victims, crisis immunes, or crisis exploiters).","author":[{"dropping-particle":"","family":"Klyver","given":"Kim","non-dropping-particle":"","parse-names":false,"suffix":""},{"dropping-particle":"","family":"Nielsen","given":"Suna Løwe","non-dropping-particle":"","parse-names":false,"suffix":""}],"container-title":"Journal of Business Venturing Insights","id":"ITEM-2","issued":{"date-parts":[["2021"]]},"page":"e00273","title":"Which crisis strategies are (expectedly) effective among SMEs during COVID-19?","type":"article-journal","volume":"16"},"uris":["http://www.mendeley.com/documents/?uuid=e5ef02c7-a07c-463d-b40f-72700ae4e6c7","http://www.mendeley.com/documents/?uuid=dc33886a-b4c1-47f2-954e-b96a3e22774e"]},{"id":"ITEM-3","itemData":{"DOI":"10.1177/02662426211055447","ISSN":"17412870","abstract":"This article investigates how start-ups have been affected by, and have responded to, the COVID-19 pandemic by analysing interview data from 32 Australian start-ups during Australia’s second wave of COVID-19. A framework and visualisation were developed, capturing unexplored heterogeneity within these start-ups, depending whether the emphasis was upon opportunities or adversity, and the type and extent of business model changes. Six start-up types were identified: stable beneficiaries, business-as-usual continuers, digital adjusters, adversity survivors, opportunity graspers and lemonade makers. The findings suggest that most start-ups responded to the crisis through business model changes because of crisis-induced opportunities and crisis-induced adversity The anaysis found that the interplay between firm size and crisis influences whether start-ups focus on business model adaptation or business model innovation or a combination of both We thus contribute to the literature on business models, crisis management and a newly emerging field focusing on the implications of the COVID-19 pandemic for start-ups.","author":[{"dropping-particle":"","family":"Guckenbiehl","given":"Peter","non-dropping-particle":"","parse-names":false,"suffix":""},{"dropping-particle":"","family":"Corral de Zubielqui","given":"Graciela","non-dropping-particle":"","parse-names":false,"suffix":""}],"container-title":"International Small Business Journal: Researching Entrepreneurship","id":"ITEM-3","issue":"2","issued":{"date-parts":[["2022"]]},"page":"150-177","title":"Start-ups’ business model changes during the COVID-19 pandemic: Counteracting adversities and pursuing opportunities","type":"article-journal","volume":"40"},"uris":["http://www.mendeley.com/documents/?uuid=7c907787-92a7-4edc-becb-913b273f0e0c"]}],"mendeley":{"formattedCitation":"(Davidsson et al., 2021; Guckenbiehl and Corral de Zubielqui, 2022; Klyver and Nielsen, 2021)","plainTextFormattedCitation":"(Davidsson et al., 2021; Guckenbiehl and Corral de Zubielqui, 2022; Klyver and Nielsen, 2021)","previouslyFormattedCitation":"(Davidsson et al., 2021; Guckenbiehl and Corral de Zubielqui, 2022; Klyver and Nielsen, 2021)"},"properties":{"noteIndex":0},"schema":"https://github.com/citation-style-language/schema/raw/master/csl-citation.json"}</w:instrText>
      </w:r>
      <w:r w:rsidR="00AA1B0A" w:rsidRPr="001C2C36">
        <w:rPr>
          <w:rFonts w:cs="Times New Roman"/>
          <w:szCs w:val="24"/>
        </w:rPr>
        <w:fldChar w:fldCharType="separate"/>
      </w:r>
      <w:r w:rsidR="00AA1B0A" w:rsidRPr="001C2C36">
        <w:rPr>
          <w:rFonts w:cs="Times New Roman"/>
          <w:noProof/>
          <w:szCs w:val="24"/>
        </w:rPr>
        <w:t>(Davidsson et al., 2021; Guckenbiehl and Corral de Zubielqui, 2022; Klyver and Nielsen, 2021)</w:t>
      </w:r>
      <w:r w:rsidR="00AA1B0A" w:rsidRPr="001C2C36">
        <w:rPr>
          <w:rFonts w:cs="Times New Roman"/>
          <w:szCs w:val="24"/>
        </w:rPr>
        <w:fldChar w:fldCharType="end"/>
      </w:r>
      <w:r w:rsidR="00AA1B0A" w:rsidRPr="001C2C36">
        <w:rPr>
          <w:rFonts w:cs="Times New Roman"/>
          <w:szCs w:val="24"/>
        </w:rPr>
        <w:t xml:space="preserve">, and for them, Covid-19 triggered growth </w:t>
      </w:r>
      <w:r w:rsidR="00AA1B0A" w:rsidRPr="001C2C36">
        <w:rPr>
          <w:rFonts w:cs="Times New Roman"/>
          <w:szCs w:val="24"/>
        </w:rPr>
        <w:fldChar w:fldCharType="begin" w:fldLock="1"/>
      </w:r>
      <w:r w:rsidR="00AA1B0A" w:rsidRPr="001C2C36">
        <w:rPr>
          <w:rFonts w:cs="Times New Roman"/>
          <w:szCs w:val="24"/>
        </w:rPr>
        <w:instrText>ADDIN CSL_CITATION {"citationItems":[{"id":"ITEM-1","itemData":{"DOI":"10.1016/j.jbusres.2020.06.008","ISSN":"01482963","PMID":"32536736","abstract":"The COVID-19 outbreak is a sharp reminder that pandemics, like other rarely occurring catastrophes, have happened in the past and will continue to happen in the future. Even if we cannot prevent dangerous viruses from emerging, we should prepare to dampen their effects on society. The current outbreak has had severe economic consequences across the globe, and it does not look like any country will be unaffected. This not only has consequences for the economy; all of society is affected, which has led to dramatic changes in how businesses act and consumers behave. This special issue is a global effort to address some of the pandemic-related issues affecting society. In total, there are 13 papers that cover different industry sectors (e.g., tourism, retail, higher education), changes in consumer behavior and businesses, ethical issues, and aspects related to employees and leadership.","author":[{"dropping-particle":"","family":"Donthu","given":"Naveen","non-dropping-particle":"","parse-names":false,"suffix":""},{"dropping-particle":"","family":"Gustafsson","given":"Anders","non-dropping-particle":"","parse-names":false,"suffix":""}],"container-title":"Journal of Business Research","id":"ITEM-1","issue":"284-289","issued":{"date-parts":[["2020"]]},"page":"284-289","title":"Effects of COVID-19 on business and research","type":"article-journal","volume":"117"},"uris":["http://www.mendeley.com/documents/?uuid=cdbd504a-af59-4433-99fc-5f782904cb23","http://www.mendeley.com/documents/?uuid=2d69bb49-872f-4ed8-8fd4-56f10723dca7"]}],"mendeley":{"formattedCitation":"(Donthu and Gustafsson, 2020)","plainTextFormattedCitation":"(Donthu and Gustafsson, 2020)","previouslyFormattedCitation":"(Donthu and Gustafsson, 2020)"},"properties":{"noteIndex":0},"schema":"https://github.com/citation-style-language/schema/raw/master/csl-citation.json"}</w:instrText>
      </w:r>
      <w:r w:rsidR="00AA1B0A" w:rsidRPr="001C2C36">
        <w:rPr>
          <w:rFonts w:cs="Times New Roman"/>
          <w:szCs w:val="24"/>
        </w:rPr>
        <w:fldChar w:fldCharType="separate"/>
      </w:r>
      <w:r w:rsidR="00AA1B0A" w:rsidRPr="001C2C36">
        <w:rPr>
          <w:rFonts w:cs="Times New Roman"/>
          <w:noProof/>
          <w:szCs w:val="24"/>
        </w:rPr>
        <w:t>(Donthu and Gustafsson, 2020)</w:t>
      </w:r>
      <w:r w:rsidR="00AA1B0A" w:rsidRPr="001C2C36">
        <w:rPr>
          <w:rFonts w:cs="Times New Roman"/>
          <w:szCs w:val="24"/>
        </w:rPr>
        <w:fldChar w:fldCharType="end"/>
      </w:r>
      <w:r w:rsidR="00AA1B0A" w:rsidRPr="001C2C36">
        <w:rPr>
          <w:rFonts w:cs="Times New Roman"/>
          <w:szCs w:val="24"/>
        </w:rPr>
        <w:t xml:space="preserve">, especially by creating opportunities in online food retail </w:t>
      </w:r>
      <w:r w:rsidR="00AA1B0A" w:rsidRPr="001C2C36">
        <w:rPr>
          <w:rFonts w:cs="Times New Roman"/>
          <w:szCs w:val="24"/>
        </w:rPr>
        <w:fldChar w:fldCharType="begin" w:fldLock="1"/>
      </w:r>
      <w:r w:rsidR="00AA1B0A" w:rsidRPr="001C2C36">
        <w:rPr>
          <w:rFonts w:cs="Times New Roman"/>
          <w:szCs w:val="24"/>
        </w:rPr>
        <w:instrText>ADDIN CSL_CITATION {"citationItems":[{"id":"ITEM-1","itemData":{"DOI":"10.1111/tesg.12453","ISSN":"14679663","abstract":"The COVID-19 pandemic has led to a sharp increase in online trade. This article examines the impact of the pandemic on online grocery retail in Germany. Here we follow and refine the multi-level perspective by Geels, and examine to what extent and why the online grocery retail expanded during the pandemic. A particular focus is on the spatial expansion into rural areas. The study shows a general upswing in the grocery trade and disproportionately high growth in online grocery trade and identifies driving and limiting factors. While COVID-19 has opened a window of opportunity, our results indicate little transition of grocery to e-grocery. This finding can be explained by the sudden and temporary constellation at the level of the socio-technical regime during the pandemic. As a result, we argue for a rethinking the temporality of windows of opportunities and the related vulnerability of the innovations which need them.","author":[{"dropping-particle":"","family":"Dannenberg","given":"Peter","non-dropping-particle":"","parse-names":false,"suffix":""},{"dropping-particle":"","family":"Fuchs","given":"Martina","non-dropping-particle":"","parse-names":false,"suffix":""},{"dropping-particle":"","family":"Riedler","given":"Tim","non-dropping-particle":"","parse-names":false,"suffix":""},{"dropping-particle":"","family":"Wiedemann","given":"Cathrin","non-dropping-particle":"","parse-names":false,"suffix":""}],"container-title":"Tijdschrift voor Economische en Sociale Geografie","id":"ITEM-1","issue":"3","issued":{"date-parts":[["2020"]]},"page":"543-560","title":"Digital Transition by COVID-19 Pandemic? The German Food Online Retail","type":"article-journal","volume":"111"},"uris":["http://www.mendeley.com/documents/?uuid=86d09b6e-182c-4722-a34b-17691f48d23b","http://www.mendeley.com/documents/?uuid=8e04dd6d-01ae-4f8b-ad80-135a2186d4df"]}],"mendeley":{"formattedCitation":"(Dannenberg et al., 2020)","plainTextFormattedCitation":"(Dannenberg et al., 2020)","previouslyFormattedCitation":"(Dannenberg et al., 2020)"},"properties":{"noteIndex":0},"schema":"https://github.com/citation-style-language/schema/raw/master/csl-citation.json"}</w:instrText>
      </w:r>
      <w:r w:rsidR="00AA1B0A" w:rsidRPr="001C2C36">
        <w:rPr>
          <w:rFonts w:cs="Times New Roman"/>
          <w:szCs w:val="24"/>
        </w:rPr>
        <w:fldChar w:fldCharType="separate"/>
      </w:r>
      <w:r w:rsidR="00AA1B0A" w:rsidRPr="001C2C36">
        <w:rPr>
          <w:rFonts w:cs="Times New Roman"/>
          <w:noProof/>
          <w:szCs w:val="24"/>
        </w:rPr>
        <w:t>(Dannenberg et al., 2020)</w:t>
      </w:r>
      <w:r w:rsidR="00AA1B0A" w:rsidRPr="001C2C36">
        <w:rPr>
          <w:rFonts w:cs="Times New Roman"/>
          <w:szCs w:val="24"/>
        </w:rPr>
        <w:fldChar w:fldCharType="end"/>
      </w:r>
      <w:r w:rsidR="00AA1B0A" w:rsidRPr="001C2C36">
        <w:rPr>
          <w:rFonts w:cs="Times New Roman"/>
          <w:szCs w:val="24"/>
        </w:rPr>
        <w:t xml:space="preserve">, agri-food </w:t>
      </w:r>
      <w:r w:rsidR="00AA1B0A" w:rsidRPr="001C2C36">
        <w:rPr>
          <w:rFonts w:cs="Times New Roman"/>
          <w:szCs w:val="24"/>
        </w:rPr>
        <w:fldChar w:fldCharType="begin" w:fldLock="1"/>
      </w:r>
      <w:r w:rsidR="00AA1B0A" w:rsidRPr="001C2C36">
        <w:rPr>
          <w:rFonts w:cs="Times New Roman"/>
          <w:szCs w:val="24"/>
        </w:rPr>
        <w:instrText>ADDIN CSL_CITATION {"citationItems":[{"id":"ITEM-1","itemData":{"DOI":"10.1016/j.scitotenv.2020.141362","ISSN":"00489697","PMID":"32823223","abstract":"COVID-19 pandemic is on a trajectory to cause catastrophic global upheaval with the potential to alter geopolitical and socio-economic norms. Many countries are frantically responding with staggering financial stimulus recovery initiatives. This opinion-paper reviews challenges, opportunities, and potential solutions for the post-COVID-19 era that focuses on intensive sustaining of agri-food supply chain in tandem with meeting the high demand for new green deal innovation. For example, the development of wet peatland innovation, known as Paludiculture, can intensively sustain and blend agri-food and green innovations that will help support COVID-19 pandemic transitioning. The future looks bright for the creation of new sustainability multi-actor innovation hubs that will support, connect, and enable businesses to recover and pivot beyond the COVID-19 pandemic. The nexus between first ‘Green Deal’ initiative supporting 64 selected European Startups and SMEs (European Innovation Council) and 43 Irish Disruptive Technology projects are addressed in the context of cross-cutting developments and relevance to COVID-19. Candidate areas for future consideration will focus on climate action, digitization, manufacturing, and sustainable food production, security, and waste mitigation. Recommendations are also provided to facilitate community transitioning, training, enterprise, and employment to low carbon economy.","author":[{"dropping-particle":"","family":"Rowan","given":"Neil J.","non-dropping-particle":"","parse-names":false,"suffix":""},{"dropping-particle":"","family":"Galanakis","given":"Charis M.","non-dropping-particle":"","parse-names":false,"suffix":""}],"container-title":"Science of The Total Environment","id":"ITEM-1","issued":{"date-parts":[["2020","12"]]},"page":"141362","title":"Unlocking challenges and opportunities presented by COVID-19 pandemic for cross-cutting disruption in agri-food and green deal innovations: Quo Vadis?","type":"article-journal","volume":"748"},"uris":["http://www.mendeley.com/documents/?uuid=e56999a6-54c7-4b08-a91b-bd1923dc3929","http://www.mendeley.com/documents/?uuid=54a65284-a882-46d4-bd52-ca4fad05d9e5"]}],"mendeley":{"formattedCitation":"(Rowan and Galanakis, 2020)","plainTextFormattedCitation":"(Rowan and Galanakis, 2020)","previouslyFormattedCitation":"(Rowan and Galanakis, 2020)"},"properties":{"noteIndex":0},"schema":"https://github.com/citation-style-language/schema/raw/master/csl-citation.json"}</w:instrText>
      </w:r>
      <w:r w:rsidR="00AA1B0A" w:rsidRPr="001C2C36">
        <w:rPr>
          <w:rFonts w:cs="Times New Roman"/>
          <w:szCs w:val="24"/>
        </w:rPr>
        <w:fldChar w:fldCharType="separate"/>
      </w:r>
      <w:r w:rsidR="00AA1B0A" w:rsidRPr="001C2C36">
        <w:rPr>
          <w:rFonts w:cs="Times New Roman"/>
          <w:noProof/>
          <w:szCs w:val="24"/>
        </w:rPr>
        <w:t>(Rowan and Galanakis, 2020)</w:t>
      </w:r>
      <w:r w:rsidR="00AA1B0A" w:rsidRPr="001C2C36">
        <w:rPr>
          <w:rFonts w:cs="Times New Roman"/>
          <w:szCs w:val="24"/>
        </w:rPr>
        <w:fldChar w:fldCharType="end"/>
      </w:r>
      <w:r w:rsidR="00AA1B0A" w:rsidRPr="001C2C36">
        <w:rPr>
          <w:rFonts w:cs="Times New Roman"/>
          <w:szCs w:val="24"/>
        </w:rPr>
        <w:t xml:space="preserve"> and education </w:t>
      </w:r>
      <w:r w:rsidR="00AA1B0A" w:rsidRPr="001C2C36">
        <w:rPr>
          <w:rFonts w:cs="Times New Roman"/>
          <w:szCs w:val="24"/>
        </w:rPr>
        <w:fldChar w:fldCharType="begin" w:fldLock="1"/>
      </w:r>
      <w:r w:rsidR="00AA1B0A" w:rsidRPr="001C2C36">
        <w:rPr>
          <w:rFonts w:cs="Times New Roman"/>
          <w:szCs w:val="24"/>
        </w:rPr>
        <w:instrText>ADDIN CSL_CITATION {"citationItems":[{"id":"ITEM-1","itemData":{"DOI":"10.1177/0047239520934018","ISSN":"0047-2395","abstract":"Educational institutions (schools, colleges, and universities) in India are currently based only on traditional methods of learning, that is, they follow the traditional set up of face-to-face lectures in a classroom. Although many academic units have also started blended learning, still a lot of them are stuck with old procedures. The sudden outbreak of a deadly disease called Covid-19 caused by a Corona Virus (SARS-CoV-2) shook the entire world. The World Health Organization declared it as a pandemic. This situation challenged the education system across the world and forced educators to shift to an online mode of teaching overnight. Many academic institutions that were earlier reluctant to change their traditional pedagogical approach had no option but to shift entirely to online teaching–learning. The article includes the importance of online learning and Strengths, Weaknesses, Opportunities, &amp; Challenges (SWOC) analysis of e-learning modes in the time of crisis. This article also put some light on the growth of EdTech Start-ups during the time of pandemic and natural disasters and includes suggestions for academic institutions of how to deal with challenges associated with online learning.","author":[{"dropping-particle":"","family":"Dhawan","given":"Shivangi","non-dropping-particle":"","parse-names":false,"suffix":""}],"container-title":"Journal of Educational Technology Systems","id":"ITEM-1","issue":"1","issued":{"date-parts":[["2020"]]},"page":"5-22","title":"Online Learning: A Panacea in the Time of COVID-19 Crisis","type":"article-journal","volume":"49"},"uris":["http://www.mendeley.com/documents/?uuid=3e464946-86ad-4685-b7f6-202769949d9e","http://www.mendeley.com/documents/?uuid=85e41db5-1465-4cab-b841-0b4b012b01ea"]}],"mendeley":{"formattedCitation":"(Dhawan, 2020)","plainTextFormattedCitation":"(Dhawan, 2020)","previouslyFormattedCitation":"(Dhawan, 2020)"},"properties":{"noteIndex":0},"schema":"https://github.com/citation-style-language/schema/raw/master/csl-citation.json"}</w:instrText>
      </w:r>
      <w:r w:rsidR="00AA1B0A" w:rsidRPr="001C2C36">
        <w:rPr>
          <w:rFonts w:cs="Times New Roman"/>
          <w:szCs w:val="24"/>
        </w:rPr>
        <w:fldChar w:fldCharType="separate"/>
      </w:r>
      <w:r w:rsidR="00AA1B0A" w:rsidRPr="001C2C36">
        <w:rPr>
          <w:rFonts w:cs="Times New Roman"/>
          <w:noProof/>
          <w:szCs w:val="24"/>
        </w:rPr>
        <w:t>(Dhawan, 2020)</w:t>
      </w:r>
      <w:r w:rsidR="00AA1B0A" w:rsidRPr="001C2C36">
        <w:rPr>
          <w:rFonts w:cs="Times New Roman"/>
          <w:szCs w:val="24"/>
        </w:rPr>
        <w:fldChar w:fldCharType="end"/>
      </w:r>
      <w:r w:rsidR="00AA1B0A" w:rsidRPr="001C2C36">
        <w:rPr>
          <w:rFonts w:cs="Times New Roman"/>
          <w:szCs w:val="24"/>
        </w:rPr>
        <w:t xml:space="preserve">. </w:t>
      </w:r>
    </w:p>
    <w:p w14:paraId="5CC96B02" w14:textId="0AD4BB72" w:rsidR="00893399" w:rsidRPr="001C2C36" w:rsidRDefault="478A33EE" w:rsidP="00BE7905">
      <w:pPr>
        <w:autoSpaceDE w:val="0"/>
        <w:autoSpaceDN w:val="0"/>
        <w:adjustRightInd w:val="0"/>
        <w:spacing w:before="240" w:after="0"/>
        <w:rPr>
          <w:rFonts w:cs="Times New Roman"/>
        </w:rPr>
      </w:pPr>
      <w:r w:rsidRPr="001C2C36">
        <w:rPr>
          <w:rFonts w:cs="Times New Roman"/>
        </w:rPr>
        <w:t>Simi</w:t>
      </w:r>
      <w:r w:rsidR="7A29AED4" w:rsidRPr="001C2C36">
        <w:rPr>
          <w:rFonts w:cs="Times New Roman"/>
        </w:rPr>
        <w:t>la</w:t>
      </w:r>
      <w:r w:rsidRPr="001C2C36">
        <w:rPr>
          <w:rFonts w:cs="Times New Roman"/>
        </w:rPr>
        <w:t xml:space="preserve">rly, the limited </w:t>
      </w:r>
      <w:r w:rsidR="7A29AED4" w:rsidRPr="001C2C36">
        <w:rPr>
          <w:rFonts w:cs="Times New Roman"/>
        </w:rPr>
        <w:t xml:space="preserve">number of </w:t>
      </w:r>
      <w:r w:rsidRPr="001C2C36">
        <w:rPr>
          <w:rFonts w:cs="Times New Roman"/>
        </w:rPr>
        <w:t xml:space="preserve">empirical studies </w:t>
      </w:r>
      <w:r w:rsidR="7A29AED4" w:rsidRPr="001C2C36">
        <w:rPr>
          <w:rFonts w:cs="Times New Roman"/>
        </w:rPr>
        <w:t>examining</w:t>
      </w:r>
      <w:r w:rsidRPr="001C2C36">
        <w:rPr>
          <w:rFonts w:cs="Times New Roman"/>
        </w:rPr>
        <w:t xml:space="preserve"> how DCs affect SMEs during Covid-19 direct towards positive impact on performance. </w:t>
      </w:r>
      <w:proofErr w:type="spellStart"/>
      <w:r w:rsidRPr="001C2C36">
        <w:rPr>
          <w:rFonts w:cs="Times New Roman"/>
        </w:rPr>
        <w:t>Clampit</w:t>
      </w:r>
      <w:proofErr w:type="spellEnd"/>
      <w:r w:rsidRPr="001C2C36">
        <w:rPr>
          <w:rFonts w:cs="Times New Roman"/>
        </w:rPr>
        <w:t xml:space="preserve"> et al. </w:t>
      </w:r>
      <w:r w:rsidR="00BE7905" w:rsidRPr="001C2C36">
        <w:rPr>
          <w:rFonts w:cs="Times New Roman"/>
        </w:rPr>
        <w:fldChar w:fldCharType="begin" w:fldLock="1"/>
      </w:r>
      <w:r w:rsidR="00BE7905" w:rsidRPr="001C2C36">
        <w:rPr>
          <w:rFonts w:cs="Times New Roman"/>
        </w:rPr>
        <w:instrText>ADDIN CSL_CITATION {"citationItems":[{"id":"ITEM-1","itemData":{"DOI":"10.1177/02662426211033270","ISSN":"17412870","abstract":"COVID-19 wreaked havoc on public health and the global economy. Small and medium-sized enterprises (SMEs) were hit especially hard. In this research note, we test the ability of dynamic capabilities (DCs) to predict SME performance during the pandemic. Based on our analysis of data from a survey conducted in the United States, we find that DCs meaningfully predicted both operational levels and revenue. Furthermore, while the empirical literature suggests that SME size is positively related to DC efficacy, we found that this effect was reversed during COVID-19, as the positive link between DCs and performance was stronger for smaller SMEs.","author":[{"dropping-particle":"","family":"Clampit","given":"Jack A.","non-dropping-particle":"","parse-names":false,"suffix":""},{"dropping-particle":"","family":"Lorenz","given":"Melanie P.","non-dropping-particle":"","parse-names":false,"suffix":""},{"dropping-particle":"","family":"Gamble","given":"John E.","non-dropping-particle":"","parse-names":false,"suffix":""},{"dropping-particle":"","family":"Lee","given":"Jim","non-dropping-particle":"","parse-names":false,"suffix":""}],"container-title":"International Small Business Journal: Researching Entrepreneurship","id":"ITEM-1","issue":"3","issued":{"date-parts":[["2021"]]},"page":"403 –419","title":"Performance stability among small and medium-sized enterprises during COVID-19: A test of the efficacy of dynamic capabilities","type":"article-journal","volume":"40"},"suppress-author":1,"uris":["http://www.mendeley.com/documents/?uuid=91c45b80-89c5-4e6b-aaea-066b44b12e58"]}],"mendeley":{"formattedCitation":"(2021)","plainTextFormattedCitation":"(2021)","previouslyFormattedCitation":"(2021)"},"properties":{"noteIndex":0},"schema":"https://github.com/citation-style-language/schema/raw/master/csl-citation.json"}</w:instrText>
      </w:r>
      <w:r w:rsidR="00BE7905" w:rsidRPr="001C2C36">
        <w:rPr>
          <w:rFonts w:cs="Times New Roman"/>
        </w:rPr>
        <w:fldChar w:fldCharType="separate"/>
      </w:r>
      <w:r w:rsidRPr="001C2C36">
        <w:rPr>
          <w:rFonts w:cs="Times New Roman"/>
          <w:noProof/>
        </w:rPr>
        <w:t>(2021)</w:t>
      </w:r>
      <w:r w:rsidR="00BE7905" w:rsidRPr="001C2C36">
        <w:rPr>
          <w:rFonts w:cs="Times New Roman"/>
        </w:rPr>
        <w:fldChar w:fldCharType="end"/>
      </w:r>
      <w:r w:rsidRPr="001C2C36">
        <w:rPr>
          <w:rFonts w:cs="Times New Roman"/>
        </w:rPr>
        <w:t xml:space="preserve"> theorised that during the Covid-19 pandemic, the ability to make prompt decisions on how to operate is vital, and the need to do so is much stronger because of the increased risks of closure. They tested this with data from 338 US SMEs and found that DCs used during lockdowns had a positive association with operational levels and turnover. Similar findings were reported by </w:t>
      </w:r>
      <w:proofErr w:type="spellStart"/>
      <w:r w:rsidRPr="001C2C36">
        <w:rPr>
          <w:rFonts w:cs="Times New Roman"/>
        </w:rPr>
        <w:t>Dejardin</w:t>
      </w:r>
      <w:proofErr w:type="spellEnd"/>
      <w:r w:rsidRPr="001C2C36">
        <w:rPr>
          <w:rFonts w:cs="Times New Roman"/>
        </w:rPr>
        <w:t xml:space="preserve"> et al. </w:t>
      </w:r>
      <w:r w:rsidR="00BE7905" w:rsidRPr="001C2C36">
        <w:rPr>
          <w:rFonts w:cs="Times New Roman"/>
        </w:rPr>
        <w:fldChar w:fldCharType="begin" w:fldLock="1"/>
      </w:r>
      <w:r w:rsidR="00BE7905" w:rsidRPr="001C2C36">
        <w:rPr>
          <w:rFonts w:cs="Times New Roman"/>
        </w:rPr>
        <w:instrText>ADDIN CSL_CITATION {"citationItems":[{"id":"ITEM-1","itemData":{"DOI":"10.1007/s11846-022-00569-x","ISBN":"1184602200569","ISSN":"1863-6683","abstract":"This paper addresses the debate on the ability/inability of SMEs to balance social, environmental and economic objectives by integrating insights from the dynamic capabilities literature. Using unique survey data from 297 Dutch SMEs, we propose that integrative dynamic capabilities simultaneously drive all three pillars of sustainability in SMEs.","author":[{"dropping-particle":"","family":"Dejardin","given":"Marcus","non-dropping-particle":"","parse-names":false,"suffix":""},{"dropping-particle":"","family":"Raposo","given":"Mario L.","non-dropping-particle":"","parse-names":false,"suffix":""},{"dropping-particle":"","family":"Ferreira","given":"João J.","non-dropping-particle":"","parse-names":false,"suffix":""},{"dropping-particle":"","family":"Fernandes","given":"Cristina I.","non-dropping-particle":"","parse-names":false,"suffix":""},{"dropping-particle":"","family":"Veiga","given":"Pedro M.","non-dropping-particle":"","parse-names":false,"suffix":""},{"dropping-particle":"","family":"Farinha","given":"Luís","non-dropping-particle":"","parse-names":false,"suffix":""}],"container-title":"Review of Managerial Science","id":"ITEM-1","issue":"1","issued":{"date-parts":[["2022","7","18"]]},"page":"11482","publisher":"Springer Berlin Heidelberg","title":"The impact of dynamic capabilities on SME performance during COVID-19","type":"article-journal","volume":"2018"},"suppress-author":1,"uris":["http://www.mendeley.com/documents/?uuid=a6794bab-f252-46a3-8e62-ecbd672b19b3","http://www.mendeley.com/documents/?uuid=1449dbde-85ad-478b-8a5c-6d9844d29b28"]}],"mendeley":{"formattedCitation":"(2022)","plainTextFormattedCitation":"(2022)","previouslyFormattedCitation":"(2022)"},"properties":{"noteIndex":0},"schema":"https://github.com/citation-style-language/schema/raw/master/csl-citation.json"}</w:instrText>
      </w:r>
      <w:r w:rsidR="00BE7905" w:rsidRPr="001C2C36">
        <w:rPr>
          <w:rFonts w:cs="Times New Roman"/>
        </w:rPr>
        <w:fldChar w:fldCharType="separate"/>
      </w:r>
      <w:r w:rsidRPr="001C2C36">
        <w:rPr>
          <w:rFonts w:cs="Times New Roman"/>
          <w:noProof/>
        </w:rPr>
        <w:t>(2022)</w:t>
      </w:r>
      <w:r w:rsidR="00BE7905" w:rsidRPr="001C2C36">
        <w:rPr>
          <w:rFonts w:cs="Times New Roman"/>
        </w:rPr>
        <w:fldChar w:fldCharType="end"/>
      </w:r>
      <w:r w:rsidRPr="001C2C36">
        <w:rPr>
          <w:rFonts w:cs="Times New Roman"/>
        </w:rPr>
        <w:t xml:space="preserve">, who examined data </w:t>
      </w:r>
      <w:r w:rsidRPr="001C2C36">
        <w:rPr>
          <w:rFonts w:cs="Times New Roman"/>
        </w:rPr>
        <w:lastRenderedPageBreak/>
        <w:t xml:space="preserve">from 209 Portuguese SMEs. </w:t>
      </w:r>
      <w:r w:rsidR="094441FE" w:rsidRPr="001C2C36">
        <w:rPr>
          <w:rFonts w:cs="Times New Roman"/>
        </w:rPr>
        <w:t>We</w:t>
      </w:r>
      <w:r w:rsidR="48E727FF" w:rsidRPr="001C2C36">
        <w:rPr>
          <w:rFonts w:cs="Times New Roman"/>
        </w:rPr>
        <w:t xml:space="preserve"> </w:t>
      </w:r>
      <w:r w:rsidR="5F1DC446" w:rsidRPr="001C2C36">
        <w:rPr>
          <w:rFonts w:cs="Times New Roman"/>
        </w:rPr>
        <w:t xml:space="preserve">extend these studies to employment growth and further </w:t>
      </w:r>
      <w:r w:rsidR="65E8C4E8" w:rsidRPr="001C2C36">
        <w:rPr>
          <w:rFonts w:cs="Times New Roman"/>
        </w:rPr>
        <w:t>suggest</w:t>
      </w:r>
      <w:r w:rsidR="5F1DC446" w:rsidRPr="001C2C36">
        <w:rPr>
          <w:rFonts w:cs="Times New Roman"/>
        </w:rPr>
        <w:t xml:space="preserve"> that SMEs with greater operation levels and turnover </w:t>
      </w:r>
      <w:r w:rsidR="00BE7905" w:rsidRPr="001C2C36">
        <w:rPr>
          <w:rFonts w:cs="Times New Roman"/>
        </w:rPr>
        <w:fldChar w:fldCharType="begin" w:fldLock="1"/>
      </w:r>
      <w:r w:rsidR="00BE7905" w:rsidRPr="001C2C36">
        <w:rPr>
          <w:rFonts w:cs="Times New Roman"/>
        </w:rPr>
        <w:instrText>ADDIN CSL_CITATION {"citationItems":[{"id":"ITEM-1","itemData":{"DOI":"10.1007/s11846-022-00569-x","ISBN":"1184602200569","ISSN":"1863-6683","abstract":"This paper addresses the debate on the ability/inability of SMEs to balance social, environmental and economic objectives by integrating insights from the dynamic capabilities literature. Using unique survey data from 297 Dutch SMEs, we propose that integrative dynamic capabilities simultaneously drive all three pillars of sustainability in SMEs.","author":[{"dropping-particle":"","family":"Dejardin","given":"Marcus","non-dropping-particle":"","parse-names":false,"suffix":""},{"dropping-particle":"","family":"Raposo","given":"Mario L.","non-dropping-particle":"","parse-names":false,"suffix":""},{"dropping-particle":"","family":"Ferreira","given":"João J.","non-dropping-particle":"","parse-names":false,"suffix":""},{"dropping-particle":"","family":"Fernandes","given":"Cristina I.","non-dropping-particle":"","parse-names":false,"suffix":""},{"dropping-particle":"","family":"Veiga","given":"Pedro M.","non-dropping-particle":"","parse-names":false,"suffix":""},{"dropping-particle":"","family":"Farinha","given":"Luís","non-dropping-particle":"","parse-names":false,"suffix":""}],"container-title":"Review of Managerial Science","id":"ITEM-1","issue":"1","issued":{"date-parts":[["2022","7","18"]]},"page":"11482","publisher":"Springer Berlin Heidelberg","title":"The impact of dynamic capabilities on SME performance during COVID-19","type":"article-journal","volume":"2018"},"uris":["http://www.mendeley.com/documents/?uuid=a6794bab-f252-46a3-8e62-ecbd672b19b3","http://www.mendeley.com/documents/?uuid=1449dbde-85ad-478b-8a5c-6d9844d29b28","http://www.mendeley.com/documents/?uuid=e4d87ab1-9a9b-4209-9b1c-bd8bf2d5b79d"]},{"id":"ITEM-2","itemData":{"DOI":"10.1177/02662426211033270","ISSN":"17412870","abstract":"COVID-19 wreaked havoc on public health and the global economy. Small and medium-sized enterprises (SMEs) were hit especially hard. In this research note, we test the ability of dynamic capabilities (DCs) to predict SME performance during the pandemic. Based on our analysis of data from a survey conducted in the United States, we find that DCs meaningfully predicted both operational levels and revenue. Furthermore, while the empirical literature suggests that SME size is positively related to DC efficacy, we found that this effect was reversed during COVID-19, as the positive link between DCs and performance was stronger for smaller SMEs.","author":[{"dropping-particle":"","family":"Clampit","given":"Jack A.","non-dropping-particle":"","parse-names":false,"suffix":""},{"dropping-particle":"","family":"Lorenz","given":"Melanie P.","non-dropping-particle":"","parse-names":false,"suffix":""},{"dropping-particle":"","family":"Gamble","given":"John E.","non-dropping-particle":"","parse-names":false,"suffix":""},{"dropping-particle":"","family":"Lee","given":"Jim","non-dropping-particle":"","parse-names":false,"suffix":""}],"container-title":"International Small Business Journal: Researching Entrepreneurship","id":"ITEM-2","issue":"3","issued":{"date-parts":[["2021"]]},"page":"403 –419","title":"Performance stability among small and medium-sized enterprises during COVID-19: A test of the efficacy of dynamic capabilities","type":"article-journal","volume":"40"},"uris":["http://www.mendeley.com/documents/?uuid=91c45b80-89c5-4e6b-aaea-066b44b12e58"]}],"mendeley":{"formattedCitation":"(Clampit et al., 2021; Dejardin et al., 2022)","plainTextFormattedCitation":"(Clampit et al., 2021; Dejardin et al., 2022)","previouslyFormattedCitation":"(Clampit et al., 2021; Dejardin et al., 2022)"},"properties":{"noteIndex":0},"schema":"https://github.com/citation-style-language/schema/raw/master/csl-citation.json"}</w:instrText>
      </w:r>
      <w:r w:rsidR="00BE7905" w:rsidRPr="001C2C36">
        <w:rPr>
          <w:rFonts w:cs="Times New Roman"/>
        </w:rPr>
        <w:fldChar w:fldCharType="separate"/>
      </w:r>
      <w:r w:rsidR="5F1DC446" w:rsidRPr="001C2C36">
        <w:rPr>
          <w:rFonts w:cs="Times New Roman"/>
          <w:noProof/>
        </w:rPr>
        <w:t>(Clampit et al., 2021; Dejardin et al., 2022)</w:t>
      </w:r>
      <w:r w:rsidR="00BE7905" w:rsidRPr="001C2C36">
        <w:rPr>
          <w:rFonts w:cs="Times New Roman"/>
        </w:rPr>
        <w:fldChar w:fldCharType="end"/>
      </w:r>
      <w:r w:rsidR="5F1DC446" w:rsidRPr="001C2C36">
        <w:rPr>
          <w:rFonts w:cs="Times New Roman"/>
        </w:rPr>
        <w:t xml:space="preserve"> resulting from DCs utilised during the first lockdown had more confidence that they could adapt and grow despite the impact of the pandemic. </w:t>
      </w:r>
      <w:r w:rsidR="7C24C3B5" w:rsidRPr="001C2C36">
        <w:rPr>
          <w:rFonts w:cs="Times New Roman"/>
        </w:rPr>
        <w:t>I</w:t>
      </w:r>
      <w:r w:rsidR="7C653E76" w:rsidRPr="001C2C36">
        <w:rPr>
          <w:rFonts w:cs="Times New Roman"/>
        </w:rPr>
        <w:t>t is</w:t>
      </w:r>
      <w:r w:rsidR="7C24C3B5" w:rsidRPr="001C2C36">
        <w:rPr>
          <w:rFonts w:cs="Times New Roman"/>
        </w:rPr>
        <w:t>, however,</w:t>
      </w:r>
      <w:r w:rsidR="7C653E76" w:rsidRPr="001C2C36">
        <w:rPr>
          <w:rFonts w:cs="Times New Roman"/>
        </w:rPr>
        <w:t xml:space="preserve"> worth noting that </w:t>
      </w:r>
      <w:r w:rsidRPr="001C2C36">
        <w:rPr>
          <w:rFonts w:cs="Times New Roman"/>
        </w:rPr>
        <w:t xml:space="preserve">organisational growth is a multifaceted phenomenon, and employment growth is </w:t>
      </w:r>
      <w:r w:rsidR="186B22F1" w:rsidRPr="001C2C36">
        <w:rPr>
          <w:rFonts w:cs="Times New Roman"/>
        </w:rPr>
        <w:t>determined by largely distinct factors that are different from other indicators (Janssen, 2009). I</w:t>
      </w:r>
      <w:r w:rsidR="2A79BD56" w:rsidRPr="001C2C36">
        <w:rPr>
          <w:rFonts w:cs="Times New Roman"/>
        </w:rPr>
        <w:t>n some cases, these were found to exist very independently</w:t>
      </w:r>
      <w:r w:rsidRPr="001C2C36">
        <w:rPr>
          <w:rFonts w:cs="Times New Roman"/>
        </w:rPr>
        <w:t xml:space="preserve">. For instance, although innovation was positively associated with </w:t>
      </w:r>
      <w:r w:rsidR="75FB68AB" w:rsidRPr="001C2C36">
        <w:rPr>
          <w:rFonts w:cs="Times New Roman"/>
        </w:rPr>
        <w:t>employment growth</w:t>
      </w:r>
      <w:r w:rsidRPr="001C2C36">
        <w:rPr>
          <w:rFonts w:cs="Times New Roman"/>
        </w:rPr>
        <w:t xml:space="preserve">, </w:t>
      </w:r>
      <w:r w:rsidR="3216F0E1" w:rsidRPr="001C2C36">
        <w:rPr>
          <w:rFonts w:cs="Times New Roman"/>
        </w:rPr>
        <w:t>primari</w:t>
      </w:r>
      <w:r w:rsidRPr="001C2C36">
        <w:rPr>
          <w:rFonts w:cs="Times New Roman"/>
        </w:rPr>
        <w:t xml:space="preserve">ly </w:t>
      </w:r>
      <w:r w:rsidR="1B420278" w:rsidRPr="001C2C36">
        <w:rPr>
          <w:rFonts w:cs="Times New Roman"/>
        </w:rPr>
        <w:t>negative</w:t>
      </w:r>
      <w:r w:rsidRPr="001C2C36">
        <w:rPr>
          <w:rFonts w:cs="Times New Roman"/>
        </w:rPr>
        <w:t xml:space="preserve"> </w:t>
      </w:r>
      <w:r w:rsidR="6B3DFFD0" w:rsidRPr="001C2C36">
        <w:rPr>
          <w:rFonts w:cs="Times New Roman"/>
        </w:rPr>
        <w:t>associations</w:t>
      </w:r>
      <w:r w:rsidRPr="001C2C36">
        <w:rPr>
          <w:rFonts w:cs="Times New Roman"/>
        </w:rPr>
        <w:t xml:space="preserve"> were found </w:t>
      </w:r>
      <w:r w:rsidR="7B44D12E" w:rsidRPr="001C2C36">
        <w:rPr>
          <w:rFonts w:cs="Times New Roman"/>
        </w:rPr>
        <w:t xml:space="preserve">between </w:t>
      </w:r>
      <w:r w:rsidR="12D9F3D8" w:rsidRPr="001C2C36">
        <w:rPr>
          <w:rFonts w:cs="Times New Roman"/>
        </w:rPr>
        <w:t>innovation and</w:t>
      </w:r>
      <w:r w:rsidRPr="001C2C36">
        <w:rPr>
          <w:rFonts w:cs="Times New Roman"/>
        </w:rPr>
        <w:t xml:space="preserve"> the growth in turnover, productivity and profit margin</w:t>
      </w:r>
      <w:r w:rsidR="5C144C7E" w:rsidRPr="001C2C36">
        <w:rPr>
          <w:rFonts w:cs="Times New Roman"/>
        </w:rPr>
        <w:t>s</w:t>
      </w:r>
      <w:r w:rsidRPr="001C2C36">
        <w:rPr>
          <w:rFonts w:cs="Times New Roman"/>
        </w:rPr>
        <w:t xml:space="preserve"> </w:t>
      </w:r>
      <w:r w:rsidR="00BE7905" w:rsidRPr="001C2C36">
        <w:rPr>
          <w:rFonts w:cs="Times New Roman"/>
        </w:rPr>
        <w:fldChar w:fldCharType="begin" w:fldLock="1"/>
      </w:r>
      <w:r w:rsidR="00BE7905" w:rsidRPr="001C2C36">
        <w:rPr>
          <w:rFonts w:cs="Times New Roman"/>
        </w:rPr>
        <w:instrText>ADDIN CSL_CITATION {"citationItems":[{"id":"ITEM-1","itemData":{"DOI":"10.1177/0266242604047410","ISSN":"0266-2426","abstract":"This article uses Ordinary Least Squares (OLS) estimation techniques of a large-scale survey to examine the effect of firms? innovation activities on their growth performance. The survey, covering 1347 respondents, is the largest and most definitive assessment of enterprise in Scotland and Northern England. In this article we employ four measures of growth: growth in employment; growth in turnover; growth in productivity; change in the profit margin. These measures of growth are analysed separately for manufacturing and service firms. The models are re-estimated with the current sales and profit levels adjusted for the number of employees. The most emphatic findings highlight a positive relationship between novel product innovation and employment growth and, for manufacturing firms, at least in the short term, a negative relationship between product innovation (both incremental and novel) and growth in sales or productivity. By contrast, growing sales and productivity appear positively associated with incremental process introductions in service firms.","author":[{"dropping-particle":"","family":"Freel","given":"Mark S","non-dropping-particle":"","parse-names":false,"suffix":""},{"dropping-particle":"","family":"Robson","given":"Paul J A","non-dropping-particle":"","parse-names":false,"suffix":""}],"container-title":"International Small Business Journal","id":"ITEM-1","issue":"6","issued":{"date-parts":[["2004","12","1"]]},"note":"doi: 10.1177/0266242604047410","page":"561-575","publisher":"SAGE Publications Ltd","title":"Small Firm Innovation, Growth and Performance: Evidence from Scotland and Northern England","type":"article-journal","volume":"22"},"uris":["http://www.mendeley.com/documents/?uuid=ffad74c3-7098-4006-9e20-ca5d0c7350d8"]}],"mendeley":{"formattedCitation":"(Freel and Robson, 2004)","plainTextFormattedCitation":"(Freel and Robson, 2004)","previouslyFormattedCitation":"(Freel and Robson, 2004)"},"properties":{"noteIndex":0},"schema":"https://github.com/citation-style-language/schema/raw/master/csl-citation.json"}</w:instrText>
      </w:r>
      <w:r w:rsidR="00BE7905" w:rsidRPr="001C2C36">
        <w:rPr>
          <w:rFonts w:cs="Times New Roman"/>
        </w:rPr>
        <w:fldChar w:fldCharType="separate"/>
      </w:r>
      <w:r w:rsidRPr="001C2C36">
        <w:rPr>
          <w:rFonts w:cs="Times New Roman"/>
          <w:noProof/>
        </w:rPr>
        <w:t>(Freel and Robson, 2004)</w:t>
      </w:r>
      <w:r w:rsidR="00BE7905" w:rsidRPr="001C2C36">
        <w:rPr>
          <w:rFonts w:cs="Times New Roman"/>
        </w:rPr>
        <w:fldChar w:fldCharType="end"/>
      </w:r>
      <w:r w:rsidRPr="001C2C36">
        <w:rPr>
          <w:rFonts w:cs="Times New Roman"/>
        </w:rPr>
        <w:t>.</w:t>
      </w:r>
      <w:r w:rsidR="308E402A" w:rsidRPr="001C2C36">
        <w:rPr>
          <w:rFonts w:cs="Times New Roman"/>
        </w:rPr>
        <w:t xml:space="preserve"> </w:t>
      </w:r>
    </w:p>
    <w:p w14:paraId="5AE5B7D9" w14:textId="44194ACD" w:rsidR="00F50E4B" w:rsidRPr="001C2C36" w:rsidRDefault="00390F50" w:rsidP="00FF4018">
      <w:pPr>
        <w:autoSpaceDE w:val="0"/>
        <w:autoSpaceDN w:val="0"/>
        <w:adjustRightInd w:val="0"/>
        <w:spacing w:before="240" w:after="0"/>
        <w:rPr>
          <w:rFonts w:cs="Times New Roman"/>
        </w:rPr>
      </w:pPr>
      <w:r w:rsidRPr="001C2C36">
        <w:rPr>
          <w:rFonts w:cs="Times New Roman"/>
        </w:rPr>
        <w:t>Another factor to consider is the potential uneven pace of adaptation to the</w:t>
      </w:r>
      <w:r w:rsidR="003F0841" w:rsidRPr="001C2C36">
        <w:rPr>
          <w:rFonts w:cs="Times New Roman"/>
        </w:rPr>
        <w:t xml:space="preserve"> Covid-19</w:t>
      </w:r>
      <w:r w:rsidRPr="001C2C36">
        <w:rPr>
          <w:rFonts w:cs="Times New Roman"/>
        </w:rPr>
        <w:t xml:space="preserve"> pandemic</w:t>
      </w:r>
      <w:r w:rsidR="00254477" w:rsidRPr="001C2C36">
        <w:rPr>
          <w:rFonts w:cs="Times New Roman"/>
        </w:rPr>
        <w:t>,</w:t>
      </w:r>
      <w:r w:rsidRPr="001C2C36">
        <w:rPr>
          <w:rFonts w:cs="Times New Roman"/>
        </w:rPr>
        <w:t xml:space="preserve"> with some </w:t>
      </w:r>
      <w:r w:rsidR="00B66B01" w:rsidRPr="001C2C36">
        <w:rPr>
          <w:rFonts w:cs="Times New Roman"/>
        </w:rPr>
        <w:t>SMEs</w:t>
      </w:r>
      <w:r w:rsidRPr="001C2C36">
        <w:rPr>
          <w:rFonts w:cs="Times New Roman"/>
        </w:rPr>
        <w:t xml:space="preserve"> adopting a wait</w:t>
      </w:r>
      <w:r w:rsidR="005D18E2" w:rsidRPr="001C2C36">
        <w:rPr>
          <w:rFonts w:cs="Times New Roman"/>
        </w:rPr>
        <w:t>-</w:t>
      </w:r>
      <w:r w:rsidRPr="001C2C36">
        <w:rPr>
          <w:rFonts w:cs="Times New Roman"/>
        </w:rPr>
        <w:t>and</w:t>
      </w:r>
      <w:r w:rsidR="005D18E2" w:rsidRPr="001C2C36">
        <w:rPr>
          <w:rFonts w:cs="Times New Roman"/>
        </w:rPr>
        <w:t>-</w:t>
      </w:r>
      <w:r w:rsidRPr="001C2C36">
        <w:rPr>
          <w:rFonts w:cs="Times New Roman"/>
        </w:rPr>
        <w:t>se</w:t>
      </w:r>
      <w:r w:rsidR="005D18E2" w:rsidRPr="001C2C36">
        <w:rPr>
          <w:rFonts w:cs="Times New Roman"/>
        </w:rPr>
        <w:t>e</w:t>
      </w:r>
      <w:r w:rsidRPr="001C2C36">
        <w:rPr>
          <w:rFonts w:cs="Times New Roman"/>
        </w:rPr>
        <w:t xml:space="preserve"> approach.</w:t>
      </w:r>
      <w:r w:rsidR="00A60FCE" w:rsidRPr="001C2C36">
        <w:rPr>
          <w:rFonts w:cs="Times New Roman"/>
        </w:rPr>
        <w:t xml:space="preserve"> SMEs </w:t>
      </w:r>
      <w:r w:rsidR="00D21E2B" w:rsidRPr="001C2C36">
        <w:rPr>
          <w:rFonts w:cs="Times New Roman"/>
        </w:rPr>
        <w:t xml:space="preserve">may be </w:t>
      </w:r>
      <w:r w:rsidR="00A60FCE" w:rsidRPr="001C2C36">
        <w:rPr>
          <w:rFonts w:cs="Times New Roman"/>
        </w:rPr>
        <w:t xml:space="preserve">unsure what to do and </w:t>
      </w:r>
      <w:r w:rsidR="00533C29" w:rsidRPr="001C2C36">
        <w:rPr>
          <w:rFonts w:cs="Times New Roman"/>
        </w:rPr>
        <w:t xml:space="preserve">thus </w:t>
      </w:r>
      <w:r w:rsidR="00A60FCE" w:rsidRPr="001C2C36">
        <w:rPr>
          <w:rFonts w:cs="Times New Roman"/>
        </w:rPr>
        <w:t>decide to wait before taking any action</w:t>
      </w:r>
      <w:r w:rsidR="004F7365" w:rsidRPr="001C2C36">
        <w:rPr>
          <w:rFonts w:cs="Times New Roman"/>
        </w:rPr>
        <w:t xml:space="preserve">, </w:t>
      </w:r>
      <w:r w:rsidR="00CD5040" w:rsidRPr="001C2C36">
        <w:rPr>
          <w:rFonts w:cs="Times New Roman"/>
        </w:rPr>
        <w:t>altering</w:t>
      </w:r>
      <w:r w:rsidR="004F7365" w:rsidRPr="001C2C36">
        <w:rPr>
          <w:rFonts w:cs="Times New Roman"/>
        </w:rPr>
        <w:t xml:space="preserve"> t</w:t>
      </w:r>
      <w:r w:rsidR="002E6CD1" w:rsidRPr="001C2C36">
        <w:rPr>
          <w:rFonts w:cs="Times New Roman"/>
        </w:rPr>
        <w:t>he timeframe and extent of the DCs</w:t>
      </w:r>
      <w:r w:rsidR="00E87A29" w:rsidRPr="001C2C36">
        <w:rPr>
          <w:rFonts w:cs="Times New Roman"/>
        </w:rPr>
        <w:t>'</w:t>
      </w:r>
      <w:r w:rsidR="002E6CD1" w:rsidRPr="001C2C36">
        <w:rPr>
          <w:rFonts w:cs="Times New Roman"/>
        </w:rPr>
        <w:t xml:space="preserve"> effect on </w:t>
      </w:r>
      <w:r w:rsidR="00AB5B17" w:rsidRPr="001C2C36">
        <w:rPr>
          <w:rFonts w:cs="Times New Roman"/>
        </w:rPr>
        <w:t>performance</w:t>
      </w:r>
      <w:r w:rsidR="002E6CD1" w:rsidRPr="001C2C36">
        <w:rPr>
          <w:rFonts w:cs="Times New Roman"/>
        </w:rPr>
        <w:t xml:space="preserve"> (</w:t>
      </w:r>
      <w:proofErr w:type="spellStart"/>
      <w:r w:rsidR="002E6CD1" w:rsidRPr="001C2C36">
        <w:rPr>
          <w:rFonts w:cs="Times New Roman"/>
        </w:rPr>
        <w:t>Pavlou</w:t>
      </w:r>
      <w:proofErr w:type="spellEnd"/>
      <w:r w:rsidR="002E6CD1" w:rsidRPr="001C2C36">
        <w:rPr>
          <w:rFonts w:cs="Times New Roman"/>
        </w:rPr>
        <w:t xml:space="preserve"> and </w:t>
      </w:r>
      <w:proofErr w:type="spellStart"/>
      <w:r w:rsidR="002E6CD1" w:rsidRPr="001C2C36">
        <w:rPr>
          <w:rFonts w:cs="Times New Roman"/>
        </w:rPr>
        <w:t>Sawy</w:t>
      </w:r>
      <w:proofErr w:type="spellEnd"/>
      <w:r w:rsidR="002E6CD1" w:rsidRPr="001C2C36">
        <w:rPr>
          <w:rFonts w:cs="Times New Roman"/>
        </w:rPr>
        <w:t>, 2010; Wilhelm et al., 2015)</w:t>
      </w:r>
      <w:r w:rsidR="00AB5B17" w:rsidRPr="001C2C36">
        <w:rPr>
          <w:rFonts w:cs="Times New Roman"/>
        </w:rPr>
        <w:t xml:space="preserve"> and possibly employment growth</w:t>
      </w:r>
      <w:r w:rsidR="002E6CD1" w:rsidRPr="001C2C36">
        <w:rPr>
          <w:rFonts w:cs="Times New Roman"/>
        </w:rPr>
        <w:t xml:space="preserve">. </w:t>
      </w:r>
      <w:r w:rsidR="00CF51AE" w:rsidRPr="001C2C36">
        <w:rPr>
          <w:rFonts w:cs="Times New Roman"/>
        </w:rPr>
        <w:t>Business model innovation</w:t>
      </w:r>
      <w:r w:rsidR="00C111D7" w:rsidRPr="001C2C36">
        <w:rPr>
          <w:rFonts w:cs="Times New Roman"/>
        </w:rPr>
        <w:t xml:space="preserve"> </w:t>
      </w:r>
      <w:r w:rsidR="00657F5B" w:rsidRPr="001C2C36">
        <w:rPr>
          <w:rFonts w:cs="Times New Roman"/>
        </w:rPr>
        <w:t xml:space="preserve">in </w:t>
      </w:r>
      <w:r w:rsidR="00A71FA1" w:rsidRPr="001C2C36">
        <w:rPr>
          <w:rFonts w:cs="Times New Roman"/>
        </w:rPr>
        <w:t xml:space="preserve">a </w:t>
      </w:r>
      <w:r w:rsidR="00657F5B" w:rsidRPr="001C2C36">
        <w:rPr>
          <w:rFonts w:cs="Times New Roman"/>
        </w:rPr>
        <w:t xml:space="preserve">digital context, </w:t>
      </w:r>
      <w:r w:rsidR="00AA3147" w:rsidRPr="001C2C36">
        <w:rPr>
          <w:rFonts w:cs="Times New Roman"/>
        </w:rPr>
        <w:t>which</w:t>
      </w:r>
      <w:r w:rsidR="00740BF0" w:rsidRPr="001C2C36">
        <w:rPr>
          <w:rFonts w:cs="Times New Roman"/>
        </w:rPr>
        <w:t xml:space="preserve"> is</w:t>
      </w:r>
      <w:r w:rsidR="00657F5B" w:rsidRPr="001C2C36">
        <w:rPr>
          <w:rFonts w:cs="Times New Roman"/>
        </w:rPr>
        <w:t xml:space="preserve"> likely to be prominent during Covid</w:t>
      </w:r>
      <w:r w:rsidR="00B16A30" w:rsidRPr="001C2C36">
        <w:rPr>
          <w:rFonts w:cs="Times New Roman"/>
        </w:rPr>
        <w:t xml:space="preserve">-19, </w:t>
      </w:r>
      <w:r w:rsidR="00FF63AF" w:rsidRPr="001C2C36">
        <w:rPr>
          <w:rFonts w:cs="Times New Roman"/>
        </w:rPr>
        <w:t xml:space="preserve">has been </w:t>
      </w:r>
      <w:r w:rsidR="00AF552A" w:rsidRPr="001C2C36">
        <w:rPr>
          <w:rFonts w:cs="Times New Roman"/>
        </w:rPr>
        <w:t>found to centre</w:t>
      </w:r>
      <w:r w:rsidR="00057E5D" w:rsidRPr="001C2C36">
        <w:rPr>
          <w:rFonts w:cs="Times New Roman"/>
        </w:rPr>
        <w:t xml:space="preserve"> around </w:t>
      </w:r>
      <w:r w:rsidR="00CC78F2" w:rsidRPr="001C2C36">
        <w:rPr>
          <w:rFonts w:cs="Times New Roman"/>
        </w:rPr>
        <w:t xml:space="preserve">experimentation </w:t>
      </w:r>
      <w:r w:rsidR="00DF0F6D" w:rsidRPr="001C2C36">
        <w:rPr>
          <w:rFonts w:cs="Times New Roman"/>
        </w:rPr>
        <w:fldChar w:fldCharType="begin" w:fldLock="1"/>
      </w:r>
      <w:r w:rsidR="00B23721" w:rsidRPr="001C2C36">
        <w:rPr>
          <w:rFonts w:cs="Times New Roman"/>
        </w:rPr>
        <w:instrText>ADDIN CSL_CITATION {"citationItems":[{"id":"ITEM-1","itemData":{"DOI":"10.1016/j.lrp.2009.07.005","ISSN":"00246301","author":[{"dropping-particle":"","family":"McGrath","given":"Rita Gunther","non-dropping-particle":"","parse-names":false,"suffix":""}],"container-title":"Long Range Planning","id":"ITEM-1","issue":"2-3","issued":{"date-parts":[["2010","4"]]},"page":"247-261","title":"Business Models: A Discovery Driven Approach","type":"article-journal","volume":"43"},"uris":["http://www.mendeley.com/documents/?uuid=66fe139a-6c48-49e0-87eb-1658f38e7b8e"]}],"mendeley":{"formattedCitation":"(McGrath, 2010)","plainTextFormattedCitation":"(McGrath, 2010)","previouslyFormattedCitation":"(McGrath, 2010)"},"properties":{"noteIndex":0},"schema":"https://github.com/citation-style-language/schema/raw/master/csl-citation.json"}</w:instrText>
      </w:r>
      <w:r w:rsidR="00DF0F6D" w:rsidRPr="001C2C36">
        <w:rPr>
          <w:rFonts w:cs="Times New Roman"/>
        </w:rPr>
        <w:fldChar w:fldCharType="separate"/>
      </w:r>
      <w:r w:rsidR="00DF0F6D" w:rsidRPr="001C2C36">
        <w:rPr>
          <w:rFonts w:cs="Times New Roman"/>
          <w:noProof/>
        </w:rPr>
        <w:t>(McGrath, 2010)</w:t>
      </w:r>
      <w:r w:rsidR="00DF0F6D" w:rsidRPr="001C2C36">
        <w:rPr>
          <w:rFonts w:cs="Times New Roman"/>
        </w:rPr>
        <w:fldChar w:fldCharType="end"/>
      </w:r>
      <w:r w:rsidR="00CC78F2" w:rsidRPr="001C2C36">
        <w:rPr>
          <w:rFonts w:cs="Times New Roman"/>
        </w:rPr>
        <w:t xml:space="preserve">, adaptation and learning </w:t>
      </w:r>
      <w:r w:rsidR="00B23721" w:rsidRPr="001C2C36">
        <w:rPr>
          <w:rFonts w:cs="Times New Roman"/>
        </w:rPr>
        <w:fldChar w:fldCharType="begin" w:fldLock="1"/>
      </w:r>
      <w:r w:rsidR="00290A06" w:rsidRPr="001C2C36">
        <w:rPr>
          <w:rFonts w:cs="Times New Roman"/>
        </w:rPr>
        <w:instrText>ADDIN CSL_CITATION {"citationItems":[{"id":"ITEM-1","itemData":{"DOI":"10.1016/j.lrp.2010.02.003","ISSN":"00246301","author":[{"dropping-particle":"","family":"Sosna","given":"Marc","non-dropping-particle":"","parse-names":false,"suffix":""},{"dropping-particle":"","family":"Trevinyo-Rodríguez","given":"Rosa Nelly","non-dropping-particle":"","parse-names":false,"suffix":""},{"dropping-particle":"","family":"Velamuri","given":"S. Ramakrishna","non-dropping-particle":"","parse-names":false,"suffix":""}],"container-title":"Long Range Planning","id":"ITEM-1","issue":"2-3","issued":{"date-parts":[["2010","4"]]},"page":"383-407","title":"Business Model Innovation through Trial-and-Error Learning","type":"article-journal","volume":"43"},"uris":["http://www.mendeley.com/documents/?uuid=563e687e-180b-46cf-99b6-f0783532667f"]}],"mendeley":{"formattedCitation":"(Sosna et al., 2010)","plainTextFormattedCitation":"(Sosna et al., 2010)","previouslyFormattedCitation":"(Sosna et al., 2010)"},"properties":{"noteIndex":0},"schema":"https://github.com/citation-style-language/schema/raw/master/csl-citation.json"}</w:instrText>
      </w:r>
      <w:r w:rsidR="00B23721" w:rsidRPr="001C2C36">
        <w:rPr>
          <w:rFonts w:cs="Times New Roman"/>
        </w:rPr>
        <w:fldChar w:fldCharType="separate"/>
      </w:r>
      <w:r w:rsidR="00B23721" w:rsidRPr="001C2C36">
        <w:rPr>
          <w:rFonts w:cs="Times New Roman"/>
          <w:noProof/>
        </w:rPr>
        <w:t>(Sosna et al., 2010)</w:t>
      </w:r>
      <w:r w:rsidR="00B23721" w:rsidRPr="001C2C36">
        <w:rPr>
          <w:rFonts w:cs="Times New Roman"/>
        </w:rPr>
        <w:fldChar w:fldCharType="end"/>
      </w:r>
      <w:r w:rsidR="000F15A9" w:rsidRPr="001C2C36">
        <w:rPr>
          <w:rFonts w:cs="Times New Roman"/>
        </w:rPr>
        <w:t>.</w:t>
      </w:r>
      <w:r w:rsidR="00664D1C" w:rsidRPr="001C2C36">
        <w:rPr>
          <w:rFonts w:cs="Times New Roman"/>
        </w:rPr>
        <w:t xml:space="preserve"> </w:t>
      </w:r>
      <w:r w:rsidR="00184E3D" w:rsidRPr="001C2C36">
        <w:rPr>
          <w:rFonts w:cs="Times New Roman"/>
        </w:rPr>
        <w:t xml:space="preserve">Andersen et al. </w:t>
      </w:r>
      <w:r w:rsidR="00184E3D" w:rsidRPr="001C2C36">
        <w:rPr>
          <w:rFonts w:cs="Times New Roman"/>
        </w:rPr>
        <w:fldChar w:fldCharType="begin" w:fldLock="1"/>
      </w:r>
      <w:r w:rsidR="00DF0F6D" w:rsidRPr="001C2C36">
        <w:rPr>
          <w:rFonts w:cs="Times New Roman"/>
        </w:rPr>
        <w:instrText>ADDIN CSL_CITATION {"citationItems":[{"id":"ITEM-1","itemData":{"DOI":"10.1111/caim.12474","ISSN":"0963-1690","abstract":"In today's business environment, digitalization plays a key role in establishing competitive advantage and developing new business models. However, little is known about business model innovation (BMI) processes and practices of small and medium-sized enterprise (SMEs) in their digital venturing. Thus, the aim of this paper is to address this research gap by investigating the process activities of SMEs in effectively building new business models through digitalization. Through a case study of 18 SMEs, document studies and 36 interviews, we explore the BMI processes during the case companies' digital transformation. The research results identify four critical BMI process activities: (1) assessing the environment in search of new opportunities, (2) conveying a sense of urgency, (3) exploring and testing new opportunities through experimentation and (4) handling decision-making with a combination of intuition and data. Finally, our study reveals managerial implications related to data-driven decision-making during BMI, constituting four managerial dilemmas: (1) prognosis and scenario-driven search myopia, (2) timing and sustainability, (3) radical shift from traditional experimentation to data-based methods and (4) using intuition versus data-driven decision-making.","author":[{"dropping-particle":"","family":"Andersen","given":"Troels Christian Korsgaard","non-dropping-particle":"","parse-names":false,"suffix":""},{"dropping-particle":"","family":"Aagaard","given":"Annabeth","non-dropping-particle":"","parse-names":false,"suffix":""},{"dropping-particle":"","family":"Magnusson","given":"Mats","non-dropping-particle":"","parse-names":false,"suffix":""}],"container-title":"Creativity and Innovation Management","id":"ITEM-1","issue":"1","issued":{"date-parts":[["2022","3","13"]]},"page":"19-34","title":"Exploring business model innovation in SMEs in a digital context: Organizing search behaviours, experimentation and decision‐making","type":"article-journal","volume":"31"},"suppress-author":1,"uris":["http://www.mendeley.com/documents/?uuid=5a5e17dd-c241-4f3c-84b2-229c23ba765d"]}],"mendeley":{"formattedCitation":"(2022)","plainTextFormattedCitation":"(2022)","previouslyFormattedCitation":"(2022)"},"properties":{"noteIndex":0},"schema":"https://github.com/citation-style-language/schema/raw/master/csl-citation.json"}</w:instrText>
      </w:r>
      <w:r w:rsidR="00184E3D" w:rsidRPr="001C2C36">
        <w:rPr>
          <w:rFonts w:cs="Times New Roman"/>
        </w:rPr>
        <w:fldChar w:fldCharType="separate"/>
      </w:r>
      <w:r w:rsidR="00184E3D" w:rsidRPr="001C2C36">
        <w:rPr>
          <w:rFonts w:cs="Times New Roman"/>
          <w:noProof/>
        </w:rPr>
        <w:t>(2022)</w:t>
      </w:r>
      <w:r w:rsidR="00184E3D" w:rsidRPr="001C2C36">
        <w:rPr>
          <w:rFonts w:cs="Times New Roman"/>
        </w:rPr>
        <w:fldChar w:fldCharType="end"/>
      </w:r>
      <w:r w:rsidR="00DC39B2" w:rsidRPr="001C2C36">
        <w:rPr>
          <w:rFonts w:cs="Times New Roman"/>
        </w:rPr>
        <w:t xml:space="preserve"> </w:t>
      </w:r>
      <w:r w:rsidR="000F15A9" w:rsidRPr="001C2C36">
        <w:rPr>
          <w:rFonts w:cs="Times New Roman"/>
        </w:rPr>
        <w:t>extend</w:t>
      </w:r>
      <w:r w:rsidR="007C5250" w:rsidRPr="001C2C36">
        <w:rPr>
          <w:rFonts w:cs="Times New Roman"/>
        </w:rPr>
        <w:t xml:space="preserve"> </w:t>
      </w:r>
      <w:r w:rsidR="000F15A9" w:rsidRPr="001C2C36">
        <w:rPr>
          <w:rFonts w:cs="Times New Roman"/>
        </w:rPr>
        <w:t xml:space="preserve">these ideas to the </w:t>
      </w:r>
      <w:r w:rsidR="003545FE" w:rsidRPr="001C2C36">
        <w:rPr>
          <w:rFonts w:cs="Times New Roman"/>
        </w:rPr>
        <w:t>perspective</w:t>
      </w:r>
      <w:r w:rsidR="007C5250" w:rsidRPr="001C2C36">
        <w:rPr>
          <w:rFonts w:cs="Times New Roman"/>
        </w:rPr>
        <w:t xml:space="preserve"> of SMEs</w:t>
      </w:r>
      <w:r w:rsidR="009C2221" w:rsidRPr="001C2C36">
        <w:rPr>
          <w:rFonts w:cs="Times New Roman"/>
        </w:rPr>
        <w:t>. They establish</w:t>
      </w:r>
      <w:r w:rsidR="00672EDE" w:rsidRPr="001C2C36">
        <w:rPr>
          <w:rFonts w:cs="Times New Roman"/>
        </w:rPr>
        <w:t>ed</w:t>
      </w:r>
      <w:r w:rsidR="004A24FE" w:rsidRPr="001C2C36">
        <w:rPr>
          <w:rFonts w:cs="Times New Roman"/>
        </w:rPr>
        <w:t xml:space="preserve"> </w:t>
      </w:r>
      <w:r w:rsidR="00F134CD" w:rsidRPr="001C2C36">
        <w:rPr>
          <w:rFonts w:cs="Times New Roman"/>
        </w:rPr>
        <w:t xml:space="preserve">four key activities </w:t>
      </w:r>
      <w:r w:rsidR="00C111D7" w:rsidRPr="001C2C36">
        <w:rPr>
          <w:rFonts w:cs="Times New Roman"/>
        </w:rPr>
        <w:t>“(1) scanning the business environment, (2) conveying a sense of urgency, (3) experimenting with digital innovation and (4) shifting decision-making from intuition to data</w:t>
      </w:r>
      <w:r w:rsidR="00B93A7A">
        <w:rPr>
          <w:rFonts w:cs="Times New Roman"/>
        </w:rPr>
        <w:t>.</w:t>
      </w:r>
      <w:r w:rsidR="00F134CD" w:rsidRPr="001C2C36">
        <w:rPr>
          <w:rFonts w:cs="Times New Roman"/>
        </w:rPr>
        <w:t>”</w:t>
      </w:r>
      <w:r w:rsidR="007D0C4F" w:rsidRPr="001C2C36">
        <w:rPr>
          <w:rFonts w:cs="Times New Roman"/>
        </w:rPr>
        <w:t xml:space="preserve"> </w:t>
      </w:r>
      <w:r w:rsidR="00042D9B" w:rsidRPr="001C2C36">
        <w:rPr>
          <w:rFonts w:cs="Times New Roman"/>
        </w:rPr>
        <w:fldChar w:fldCharType="begin" w:fldLock="1"/>
      </w:r>
      <w:r w:rsidR="00184E3D" w:rsidRPr="001C2C36">
        <w:rPr>
          <w:rFonts w:cs="Times New Roman"/>
        </w:rPr>
        <w:instrText>ADDIN CSL_CITATION {"citationItems":[{"id":"ITEM-1","itemData":{"DOI":"10.1111/caim.12474","ISSN":"0963-1690","abstract":"In today's business environment, digitalization plays a key role in establishing competitive advantage and developing new business models. However, little is known about business model innovation (BMI) processes and practices of small and medium-sized enterprise (SMEs) in their digital venturing. Thus, the aim of this paper is to address this research gap by investigating the process activities of SMEs in effectively building new business models through digitalization. Through a case study of 18 SMEs, document studies and 36 interviews, we explore the BMI processes during the case companies' digital transformation. The research results identify four critical BMI process activities: (1) assessing the environment in search of new opportunities, (2) conveying a sense of urgency, (3) exploring and testing new opportunities through experimentation and (4) handling decision-making with a combination of intuition and data. Finally, our study reveals managerial implications related to data-driven decision-making during BMI, constituting four managerial dilemmas: (1) prognosis and scenario-driven search myopia, (2) timing and sustainability, (3) radical shift from traditional experimentation to data-based methods and (4) using intuition versus data-driven decision-making.","author":[{"dropping-particle":"","family":"Andersen","given":"Troels Christian Korsgaard","non-dropping-particle":"","parse-names":false,"suffix":""},{"dropping-particle":"","family":"Aagaard","given":"Annabeth","non-dropping-particle":"","parse-names":false,"suffix":""},{"dropping-particle":"","family":"Magnusson","given":"Mats","non-dropping-particle":"","parse-names":false,"suffix":""}],"container-title":"Creativity and Innovation Management","id":"ITEM-1","issue":"1","issued":{"date-parts":[["2022","3","13"]]},"page":"19-34","title":"Exploring business model innovation in SMEs in a digital context: Organizing search behaviours, experimentation and decision‐making","type":"article-journal","volume":"31"},"locator":"30-31","uris":["http://www.mendeley.com/documents/?uuid=5a5e17dd-c241-4f3c-84b2-229c23ba765d"]}],"mendeley":{"formattedCitation":"(Andersen et al., 2022: 30–31)","plainTextFormattedCitation":"(Andersen et al., 2022: 30–31)","previouslyFormattedCitation":"(Andersen et al., 2022: 30–31)"},"properties":{"noteIndex":0},"schema":"https://github.com/citation-style-language/schema/raw/master/csl-citation.json"}</w:instrText>
      </w:r>
      <w:r w:rsidR="00042D9B" w:rsidRPr="001C2C36">
        <w:rPr>
          <w:rFonts w:cs="Times New Roman"/>
        </w:rPr>
        <w:fldChar w:fldCharType="separate"/>
      </w:r>
      <w:r w:rsidR="00740BF0" w:rsidRPr="001C2C36">
        <w:rPr>
          <w:rFonts w:cs="Times New Roman"/>
          <w:noProof/>
        </w:rPr>
        <w:t>(Andersen et al., 2022: 30–31)</w:t>
      </w:r>
      <w:r w:rsidR="00042D9B" w:rsidRPr="001C2C36">
        <w:rPr>
          <w:rFonts w:cs="Times New Roman"/>
        </w:rPr>
        <w:fldChar w:fldCharType="end"/>
      </w:r>
      <w:r w:rsidR="00E80CAF" w:rsidRPr="001C2C36">
        <w:rPr>
          <w:rFonts w:cs="Times New Roman"/>
        </w:rPr>
        <w:t xml:space="preserve"> </w:t>
      </w:r>
      <w:r w:rsidR="00F50E4B" w:rsidRPr="001C2C36">
        <w:rPr>
          <w:rFonts w:cs="Times New Roman"/>
        </w:rPr>
        <w:t xml:space="preserve">Arguably, </w:t>
      </w:r>
      <w:r w:rsidR="001837FD" w:rsidRPr="001C2C36">
        <w:rPr>
          <w:rFonts w:cs="Times New Roman"/>
        </w:rPr>
        <w:t>SMEs</w:t>
      </w:r>
      <w:r w:rsidR="00F50E4B" w:rsidRPr="001C2C36">
        <w:rPr>
          <w:rFonts w:cs="Times New Roman"/>
        </w:rPr>
        <w:t xml:space="preserve"> with higher levels of DCs </w:t>
      </w:r>
      <w:r w:rsidR="006E1964" w:rsidRPr="001C2C36">
        <w:rPr>
          <w:rFonts w:cs="Times New Roman"/>
        </w:rPr>
        <w:t xml:space="preserve">would focus </w:t>
      </w:r>
      <w:r w:rsidR="00A36FEB" w:rsidRPr="001C2C36">
        <w:rPr>
          <w:rFonts w:cs="Times New Roman"/>
        </w:rPr>
        <w:t>on longer</w:t>
      </w:r>
      <w:r w:rsidR="00BD0135" w:rsidRPr="001C2C36">
        <w:rPr>
          <w:rFonts w:cs="Times New Roman"/>
        </w:rPr>
        <w:t>-</w:t>
      </w:r>
      <w:r w:rsidR="00A36FEB" w:rsidRPr="001C2C36">
        <w:rPr>
          <w:rFonts w:cs="Times New Roman"/>
        </w:rPr>
        <w:t>term</w:t>
      </w:r>
      <w:r w:rsidR="00F42C2E" w:rsidRPr="001C2C36">
        <w:rPr>
          <w:rFonts w:cs="Times New Roman"/>
        </w:rPr>
        <w:t xml:space="preserve"> performance </w:t>
      </w:r>
      <w:r w:rsidR="00F42C2E" w:rsidRPr="001C2C36">
        <w:rPr>
          <w:rFonts w:cs="Times New Roman"/>
        </w:rPr>
        <w:fldChar w:fldCharType="begin" w:fldLock="1"/>
      </w:r>
      <w:r w:rsidR="006B6276" w:rsidRPr="001C2C36">
        <w:rPr>
          <w:rFonts w:cs="Times New Roman"/>
        </w:rPr>
        <w:instrText>ADDIN CSL_CITATION {"citationItems":[{"id":"ITEM-1","itemData":{"DOI":"10.1002/smj","ISBN":"1097-0266","ISSN":"01432095","PMID":"31767271","abstract":"This paper draws on the social and behavioral sciences in an endeavor to specify the nature and microfoundations of the capabilities necessary to sustain superior enterprise performance in an open economy with rapid innovation and globally dispersed sources of invention, innova- tion, and manufacturing capability. Dynamic capabilities enable business enterprises to create, deploy, and protect the intangible assets that support superior long- run business performance. The microfoundations of dynamic capabilities—the distinct skills, processes, procedures, orga- nizational structures, decision rules, and disciplines—which undergird enterprise-level sensing, seizing, and reconfiguring capacities are difficult to develop and deploy. Enterprises with strong dynamic capabilities are intensely entrepreneurial. They not only adapt to business ecosystems, but also shape them through innovation and through collaboration with other enterprises, enti- ties, and institutions. The framework advanced can help scholars understand the foundations of long-run enterprise success while helping managers delineate relevant strategic considerations and the priorities they must adopt to enhance enterprise performance and escape the zero profit tendency associated with operating in markets open to global competition. Copyright © 2007 John Wiley &amp; Sons, Ltd.","author":[{"dropping-particle":"","family":"Teece","given":"David J.","non-dropping-particle":"","parse-names":false,"suffix":""}],"container-title":"Strategic Management Journal","id":"ITEM-1","issue":"13","issued":{"date-parts":[["2007","12"]]},"page":"1319-1350","title":"Explicating dynamic capabilities: The nature and microfoundations of (sustainable) enterprise performance","type":"article-journal","volume":"28"},"uris":["http://www.mendeley.com/documents/?uuid=1848669f-f6df-46a9-949b-3f8506308e38"]}],"mendeley":{"formattedCitation":"(Teece, 2007)","plainTextFormattedCitation":"(Teece, 2007)","previouslyFormattedCitation":"(Teece, 2007)"},"properties":{"noteIndex":0},"schema":"https://github.com/citation-style-language/schema/raw/master/csl-citation.json"}</w:instrText>
      </w:r>
      <w:r w:rsidR="00F42C2E" w:rsidRPr="001C2C36">
        <w:rPr>
          <w:rFonts w:cs="Times New Roman"/>
        </w:rPr>
        <w:fldChar w:fldCharType="separate"/>
      </w:r>
      <w:r w:rsidR="00F42C2E" w:rsidRPr="001C2C36">
        <w:rPr>
          <w:rFonts w:cs="Times New Roman"/>
          <w:noProof/>
        </w:rPr>
        <w:t>(Teece, 2007)</w:t>
      </w:r>
      <w:r w:rsidR="00F42C2E" w:rsidRPr="001C2C36">
        <w:rPr>
          <w:rFonts w:cs="Times New Roman"/>
        </w:rPr>
        <w:fldChar w:fldCharType="end"/>
      </w:r>
      <w:r w:rsidR="00F42C2E" w:rsidRPr="001C2C36">
        <w:rPr>
          <w:rFonts w:cs="Times New Roman"/>
        </w:rPr>
        <w:t>, including</w:t>
      </w:r>
      <w:r w:rsidR="00A36FEB" w:rsidRPr="001C2C36">
        <w:rPr>
          <w:rFonts w:cs="Times New Roman"/>
        </w:rPr>
        <w:t xml:space="preserve"> employment growth. They would prioritise urgency</w:t>
      </w:r>
      <w:r w:rsidR="008A5F79" w:rsidRPr="001C2C36">
        <w:rPr>
          <w:rFonts w:cs="Times New Roman"/>
        </w:rPr>
        <w:t xml:space="preserve"> in favour of a wait-and-see approach</w:t>
      </w:r>
      <w:r w:rsidR="00A36FEB" w:rsidRPr="001C2C36">
        <w:rPr>
          <w:rFonts w:cs="Times New Roman"/>
        </w:rPr>
        <w:t xml:space="preserve"> but not </w:t>
      </w:r>
      <w:r w:rsidR="006A1681" w:rsidRPr="001C2C36">
        <w:rPr>
          <w:rFonts w:cs="Times New Roman"/>
        </w:rPr>
        <w:t>nec</w:t>
      </w:r>
      <w:r w:rsidR="009A450E" w:rsidRPr="001C2C36">
        <w:rPr>
          <w:rFonts w:cs="Times New Roman"/>
        </w:rPr>
        <w:t>essa</w:t>
      </w:r>
      <w:r w:rsidR="006A1681" w:rsidRPr="001C2C36">
        <w:rPr>
          <w:rFonts w:cs="Times New Roman"/>
        </w:rPr>
        <w:t xml:space="preserve">rily at the expense of </w:t>
      </w:r>
      <w:r w:rsidR="00BB72AF" w:rsidRPr="001C2C36">
        <w:rPr>
          <w:rFonts w:cs="Times New Roman"/>
        </w:rPr>
        <w:t>scanning the business environment</w:t>
      </w:r>
      <w:r w:rsidR="00A36139" w:rsidRPr="001C2C36">
        <w:rPr>
          <w:rFonts w:cs="Times New Roman"/>
        </w:rPr>
        <w:t>, experimentation and learning from the data</w:t>
      </w:r>
      <w:r w:rsidR="006B6276" w:rsidRPr="001C2C36">
        <w:rPr>
          <w:rFonts w:cs="Times New Roman"/>
        </w:rPr>
        <w:t xml:space="preserve"> </w:t>
      </w:r>
      <w:r w:rsidR="006B6276" w:rsidRPr="001C2C36">
        <w:rPr>
          <w:rFonts w:cs="Times New Roman"/>
        </w:rPr>
        <w:fldChar w:fldCharType="begin" w:fldLock="1"/>
      </w:r>
      <w:r w:rsidR="001A3161" w:rsidRPr="001C2C36">
        <w:rPr>
          <w:rFonts w:cs="Times New Roman"/>
        </w:rPr>
        <w:instrText>ADDIN CSL_CITATION {"citationItems":[{"id":"ITEM-1","itemData":{"DOI":"10.1111/caim.12474","ISSN":"0963-1690","abstract":"In today's business environment, digitalization plays a key role in establishing competitive advantage and developing new business models. However, little is known about business model innovation (BMI) processes and practices of small and medium-sized enterprise (SMEs) in their digital venturing. Thus, the aim of this paper is to address this research gap by investigating the process activities of SMEs in effectively building new business models through digitalization. Through a case study of 18 SMEs, document studies and 36 interviews, we explore the BMI processes during the case companies' digital transformation. The research results identify four critical BMI process activities: (1) assessing the environment in search of new opportunities, (2) conveying a sense of urgency, (3) exploring and testing new opportunities through experimentation and (4) handling decision-making with a combination of intuition and data. Finally, our study reveals managerial implications related to data-driven decision-making during BMI, constituting four managerial dilemmas: (1) prognosis and scenario-driven search myopia, (2) timing and sustainability, (3) radical shift from traditional experimentation to data-based methods and (4) using intuition versus data-driven decision-making.","author":[{"dropping-particle":"","family":"Andersen","given":"Troels Christian Korsgaard","non-dropping-particle":"","parse-names":false,"suffix":""},{"dropping-particle":"","family":"Aagaard","given":"Annabeth","non-dropping-particle":"","parse-names":false,"suffix":""},{"dropping-particle":"","family":"Magnusson","given":"Mats","non-dropping-particle":"","parse-names":false,"suffix":""}],"container-title":"Creativity and Innovation Management","id":"ITEM-1","issue":"1","issued":{"date-parts":[["2022","3","13"]]},"page":"19-34","title":"Exploring business model innovation in SMEs in a digital context: Organizing search behaviours, experimentation and decision‐making","type":"article-journal","volume":"31"},"uris":["http://www.mendeley.com/documents/?uuid=5a5e17dd-c241-4f3c-84b2-229c23ba765d"]}],"mendeley":{"formattedCitation":"(Andersen et al., 2022)","plainTextFormattedCitation":"(Andersen et al., 2022)","previouslyFormattedCitation":"(Andersen et al., 2022)"},"properties":{"noteIndex":0},"schema":"https://github.com/citation-style-language/schema/raw/master/csl-citation.json"}</w:instrText>
      </w:r>
      <w:r w:rsidR="006B6276" w:rsidRPr="001C2C36">
        <w:rPr>
          <w:rFonts w:cs="Times New Roman"/>
        </w:rPr>
        <w:fldChar w:fldCharType="separate"/>
      </w:r>
      <w:r w:rsidR="006B6276" w:rsidRPr="001C2C36">
        <w:rPr>
          <w:rFonts w:cs="Times New Roman"/>
          <w:noProof/>
        </w:rPr>
        <w:t>(Andersen et al., 2022)</w:t>
      </w:r>
      <w:r w:rsidR="006B6276" w:rsidRPr="001C2C36">
        <w:rPr>
          <w:rFonts w:cs="Times New Roman"/>
        </w:rPr>
        <w:fldChar w:fldCharType="end"/>
      </w:r>
      <w:r w:rsidR="008426E7" w:rsidRPr="001C2C36">
        <w:rPr>
          <w:rFonts w:cs="Times New Roman"/>
        </w:rPr>
        <w:t xml:space="preserve">, </w:t>
      </w:r>
      <w:r w:rsidR="00B82217" w:rsidRPr="001C2C36">
        <w:rPr>
          <w:rFonts w:cs="Times New Roman"/>
        </w:rPr>
        <w:t>indicating</w:t>
      </w:r>
      <w:r w:rsidR="008426E7" w:rsidRPr="001C2C36">
        <w:rPr>
          <w:rFonts w:cs="Times New Roman"/>
        </w:rPr>
        <w:t xml:space="preserve"> less </w:t>
      </w:r>
      <w:r w:rsidR="00B82217" w:rsidRPr="001C2C36">
        <w:rPr>
          <w:rFonts w:cs="Times New Roman"/>
        </w:rPr>
        <w:t>uniform</w:t>
      </w:r>
      <w:r w:rsidR="008426E7" w:rsidRPr="001C2C36">
        <w:rPr>
          <w:rFonts w:cs="Times New Roman"/>
        </w:rPr>
        <w:t xml:space="preserve"> </w:t>
      </w:r>
      <w:r w:rsidR="000411A4" w:rsidRPr="001C2C36">
        <w:rPr>
          <w:rFonts w:cs="Times New Roman"/>
        </w:rPr>
        <w:t>short-term employment effects</w:t>
      </w:r>
      <w:r w:rsidR="004A0C16" w:rsidRPr="001C2C36">
        <w:rPr>
          <w:rFonts w:cs="Times New Roman"/>
        </w:rPr>
        <w:t xml:space="preserve"> of DCs on employment</w:t>
      </w:r>
      <w:r w:rsidR="00A36139" w:rsidRPr="001C2C36">
        <w:rPr>
          <w:rFonts w:cs="Times New Roman"/>
        </w:rPr>
        <w:t xml:space="preserve">. </w:t>
      </w:r>
    </w:p>
    <w:p w14:paraId="7F72189F" w14:textId="41CD2504" w:rsidR="006B67D3" w:rsidRPr="001C2C36" w:rsidRDefault="00546726" w:rsidP="00B355F2">
      <w:pPr>
        <w:autoSpaceDE w:val="0"/>
        <w:autoSpaceDN w:val="0"/>
        <w:adjustRightInd w:val="0"/>
        <w:spacing w:before="240" w:after="0"/>
        <w:rPr>
          <w:rFonts w:cs="Times New Roman"/>
        </w:rPr>
      </w:pPr>
      <w:r w:rsidRPr="001C2C36">
        <w:rPr>
          <w:rFonts w:cs="Times New Roman"/>
        </w:rPr>
        <w:t xml:space="preserve">Furthermore, the pace of adaptation may </w:t>
      </w:r>
      <w:r w:rsidR="007B3A2A" w:rsidRPr="001C2C36">
        <w:rPr>
          <w:rFonts w:cs="Times New Roman"/>
        </w:rPr>
        <w:t xml:space="preserve">also </w:t>
      </w:r>
      <w:r w:rsidRPr="001C2C36">
        <w:rPr>
          <w:rFonts w:cs="Times New Roman"/>
        </w:rPr>
        <w:t xml:space="preserve">be </w:t>
      </w:r>
      <w:r w:rsidR="007B3A2A" w:rsidRPr="001C2C36">
        <w:rPr>
          <w:rFonts w:cs="Times New Roman"/>
        </w:rPr>
        <w:t>a</w:t>
      </w:r>
      <w:r w:rsidRPr="001C2C36">
        <w:rPr>
          <w:rFonts w:cs="Times New Roman"/>
        </w:rPr>
        <w:t xml:space="preserve"> product of varying restrictions, further contributing to </w:t>
      </w:r>
      <w:r w:rsidR="00C3589F" w:rsidRPr="001C2C36">
        <w:rPr>
          <w:rFonts w:cs="Times New Roman"/>
        </w:rPr>
        <w:t>the prospect of</w:t>
      </w:r>
      <w:r w:rsidRPr="001C2C36">
        <w:rPr>
          <w:rFonts w:cs="Times New Roman"/>
        </w:rPr>
        <w:t xml:space="preserve"> </w:t>
      </w:r>
      <w:r w:rsidR="00C3589F" w:rsidRPr="001C2C36">
        <w:rPr>
          <w:rFonts w:cs="Times New Roman"/>
        </w:rPr>
        <w:t xml:space="preserve">a </w:t>
      </w:r>
      <w:r w:rsidRPr="001C2C36">
        <w:rPr>
          <w:rFonts w:cs="Times New Roman"/>
        </w:rPr>
        <w:t>somewhat uneven or delayed effect of DCs on employment change.</w:t>
      </w:r>
      <w:r w:rsidR="00FE569C" w:rsidRPr="001C2C36">
        <w:rPr>
          <w:rFonts w:cs="Times New Roman"/>
        </w:rPr>
        <w:t xml:space="preserve"> </w:t>
      </w:r>
      <w:r w:rsidR="00A61A4B" w:rsidRPr="001C2C36">
        <w:rPr>
          <w:rFonts w:cs="Times New Roman"/>
        </w:rPr>
        <w:t>SMEs had little input in the</w:t>
      </w:r>
      <w:r w:rsidR="0081666C" w:rsidRPr="001C2C36">
        <w:rPr>
          <w:rFonts w:cs="Times New Roman"/>
        </w:rPr>
        <w:t xml:space="preserve"> design of</w:t>
      </w:r>
      <w:r w:rsidR="00A61A4B" w:rsidRPr="001C2C36">
        <w:rPr>
          <w:rFonts w:cs="Times New Roman"/>
        </w:rPr>
        <w:t xml:space="preserve"> </w:t>
      </w:r>
      <w:r w:rsidR="000B020A" w:rsidRPr="001C2C36">
        <w:rPr>
          <w:rFonts w:cs="Times New Roman"/>
        </w:rPr>
        <w:t xml:space="preserve">lockdowns, including </w:t>
      </w:r>
      <w:r w:rsidR="00671900" w:rsidRPr="001C2C36">
        <w:rPr>
          <w:rFonts w:cs="Times New Roman"/>
        </w:rPr>
        <w:t xml:space="preserve">the </w:t>
      </w:r>
      <w:r w:rsidR="000B020A" w:rsidRPr="001C2C36">
        <w:rPr>
          <w:rFonts w:cs="Times New Roman"/>
        </w:rPr>
        <w:t>severity and extent of restrictions and subsequent lifting and re-imposition</w:t>
      </w:r>
      <w:r w:rsidR="00F74EAC" w:rsidRPr="001C2C36">
        <w:rPr>
          <w:rFonts w:cs="Times New Roman"/>
        </w:rPr>
        <w:t xml:space="preserve"> </w:t>
      </w:r>
      <w:r w:rsidR="00D64363" w:rsidRPr="001C2C36">
        <w:rPr>
          <w:rFonts w:cs="Times New Roman"/>
        </w:rPr>
        <w:t xml:space="preserve">of </w:t>
      </w:r>
      <w:r w:rsidR="00F74EAC" w:rsidRPr="001C2C36">
        <w:rPr>
          <w:rFonts w:cs="Times New Roman"/>
        </w:rPr>
        <w:t>them</w:t>
      </w:r>
      <w:r w:rsidR="00057B12" w:rsidRPr="001C2C36">
        <w:rPr>
          <w:rFonts w:cs="Times New Roman"/>
        </w:rPr>
        <w:t xml:space="preserve"> </w:t>
      </w:r>
      <w:r w:rsidR="00A61A4B" w:rsidRPr="001C2C36">
        <w:rPr>
          <w:rFonts w:cs="Times New Roman"/>
        </w:rPr>
        <w:fldChar w:fldCharType="begin" w:fldLock="1"/>
      </w:r>
      <w:r w:rsidR="00A61A4B" w:rsidRPr="001C2C36">
        <w:rPr>
          <w:rFonts w:cs="Times New Roman"/>
        </w:rPr>
        <w:instrText>ADDIN CSL_CITATION {"citationItems":[{"id":"ITEM-1","itemData":{"author":[{"dropping-particle":"","family":"Brown","given":"Jennifer","non-dropping-particle":"","parse-names":false,"suffix":""},{"dropping-particle":"","family":"Kirk-Wade","given":"Esme","non-dropping-particle":"","parse-names":false,"suffix":""}],"container-title":"UK Parliament","id":"ITEM-1","issued":{"date-parts":[["2021"]]},"number-of-pages":"1-44","title":"Coronavirus: A history of English lockdown laws - House of Commons Library","type":"report"},"uris":["http://www.mendeley.com/documents/?uuid=068ee020-9864-4b8d-9733-78d37dbb870f"]}],"mendeley":{"formattedCitation":"(Brown and Kirk-Wade, 2021)","plainTextFormattedCitation":"(Brown and Kirk-Wade, 2021)","previouslyFormattedCitation":"(Brown and Kirk-Wade, 2021)"},"properties":{"noteIndex":0},"schema":"https://github.com/citation-style-language/schema/raw/master/csl-citation.json"}</w:instrText>
      </w:r>
      <w:r w:rsidR="00A61A4B" w:rsidRPr="001C2C36">
        <w:rPr>
          <w:rFonts w:cs="Times New Roman"/>
        </w:rPr>
        <w:fldChar w:fldCharType="separate"/>
      </w:r>
      <w:r w:rsidR="00A61A4B" w:rsidRPr="001C2C36">
        <w:rPr>
          <w:rFonts w:cs="Times New Roman"/>
          <w:noProof/>
        </w:rPr>
        <w:t>(Brown and Kirk-Wade, 2021)</w:t>
      </w:r>
      <w:r w:rsidR="00A61A4B" w:rsidRPr="001C2C36">
        <w:rPr>
          <w:rFonts w:cs="Times New Roman"/>
        </w:rPr>
        <w:fldChar w:fldCharType="end"/>
      </w:r>
      <w:r w:rsidR="00E54C6A" w:rsidRPr="001C2C36">
        <w:rPr>
          <w:rFonts w:cs="Times New Roman"/>
        </w:rPr>
        <w:t>,</w:t>
      </w:r>
      <w:r w:rsidR="00ED1AB9" w:rsidRPr="001C2C36">
        <w:rPr>
          <w:rFonts w:cs="Times New Roman"/>
        </w:rPr>
        <w:t xml:space="preserve"> </w:t>
      </w:r>
      <w:r w:rsidR="00E54C6A" w:rsidRPr="001C2C36">
        <w:rPr>
          <w:rFonts w:cs="Times New Roman"/>
        </w:rPr>
        <w:t>which</w:t>
      </w:r>
      <w:r w:rsidR="00ED1AB9" w:rsidRPr="001C2C36">
        <w:rPr>
          <w:rFonts w:cs="Times New Roman"/>
        </w:rPr>
        <w:t xml:space="preserve"> could potentially impact</w:t>
      </w:r>
      <w:r w:rsidR="00BF44BD" w:rsidRPr="001C2C36">
        <w:rPr>
          <w:rFonts w:cs="Times New Roman"/>
        </w:rPr>
        <w:t xml:space="preserve"> the </w:t>
      </w:r>
      <w:r w:rsidR="009F555F" w:rsidRPr="001C2C36">
        <w:rPr>
          <w:rFonts w:cs="Times New Roman"/>
        </w:rPr>
        <w:t xml:space="preserve">speed of </w:t>
      </w:r>
      <w:r w:rsidR="00BF44BD" w:rsidRPr="001C2C36">
        <w:rPr>
          <w:rFonts w:cs="Times New Roman"/>
        </w:rPr>
        <w:t>adaptation to the pandemic.</w:t>
      </w:r>
      <w:r w:rsidR="00992227" w:rsidRPr="001C2C36">
        <w:rPr>
          <w:rFonts w:cs="Times New Roman"/>
        </w:rPr>
        <w:t xml:space="preserve"> </w:t>
      </w:r>
      <w:r w:rsidR="00716967" w:rsidRPr="001C2C36">
        <w:rPr>
          <w:rFonts w:cs="Times New Roman"/>
        </w:rPr>
        <w:t xml:space="preserve">For instance, SMEs that </w:t>
      </w:r>
      <w:r w:rsidR="005C0F43" w:rsidRPr="001C2C36">
        <w:rPr>
          <w:rFonts w:cs="Times New Roman"/>
        </w:rPr>
        <w:t xml:space="preserve">were not allowed to operate </w:t>
      </w:r>
      <w:r w:rsidR="00703ED5" w:rsidRPr="001C2C36">
        <w:rPr>
          <w:rFonts w:cs="Times New Roman"/>
        </w:rPr>
        <w:t xml:space="preserve">in </w:t>
      </w:r>
      <w:r w:rsidR="005C0F43" w:rsidRPr="001C2C36">
        <w:rPr>
          <w:rFonts w:cs="Times New Roman"/>
        </w:rPr>
        <w:t>their high</w:t>
      </w:r>
      <w:r w:rsidR="00212ED1" w:rsidRPr="001C2C36">
        <w:rPr>
          <w:rFonts w:cs="Times New Roman"/>
        </w:rPr>
        <w:t xml:space="preserve"> </w:t>
      </w:r>
      <w:r w:rsidR="005C0F43" w:rsidRPr="001C2C36">
        <w:rPr>
          <w:rFonts w:cs="Times New Roman"/>
        </w:rPr>
        <w:t xml:space="preserve">street </w:t>
      </w:r>
      <w:r w:rsidR="00703ED5" w:rsidRPr="001C2C36">
        <w:rPr>
          <w:rFonts w:cs="Times New Roman"/>
        </w:rPr>
        <w:t>premises</w:t>
      </w:r>
      <w:r w:rsidR="00345C36" w:rsidRPr="001C2C36">
        <w:rPr>
          <w:rFonts w:cs="Times New Roman"/>
        </w:rPr>
        <w:t xml:space="preserve"> would be more encouraged to utilise their DCs to shift to an </w:t>
      </w:r>
      <w:r w:rsidR="006222AF">
        <w:rPr>
          <w:rFonts w:cs="Times New Roman"/>
        </w:rPr>
        <w:t>a</w:t>
      </w:r>
      <w:r w:rsidR="00C73FC3">
        <w:rPr>
          <w:rFonts w:cs="Times New Roman"/>
        </w:rPr>
        <w:t>lternative</w:t>
      </w:r>
      <w:r w:rsidR="00345C36" w:rsidRPr="001C2C36">
        <w:rPr>
          <w:rFonts w:cs="Times New Roman"/>
        </w:rPr>
        <w:t xml:space="preserve"> marketplace</w:t>
      </w:r>
      <w:r w:rsidR="00262737" w:rsidRPr="001C2C36">
        <w:rPr>
          <w:rFonts w:cs="Times New Roman"/>
        </w:rPr>
        <w:t xml:space="preserve">, </w:t>
      </w:r>
      <w:r w:rsidR="00345C36" w:rsidRPr="001C2C36">
        <w:rPr>
          <w:rFonts w:cs="Times New Roman"/>
        </w:rPr>
        <w:t xml:space="preserve">with </w:t>
      </w:r>
      <w:r w:rsidR="00A12D51" w:rsidRPr="001C2C36">
        <w:rPr>
          <w:rFonts w:cs="Times New Roman"/>
        </w:rPr>
        <w:t>findings</w:t>
      </w:r>
      <w:r w:rsidR="00345C36" w:rsidRPr="001C2C36">
        <w:rPr>
          <w:rFonts w:cs="Times New Roman"/>
        </w:rPr>
        <w:t xml:space="preserve"> pointing to </w:t>
      </w:r>
      <w:r w:rsidR="0033617C" w:rsidRPr="001C2C36">
        <w:rPr>
          <w:rFonts w:cs="Times New Roman"/>
        </w:rPr>
        <w:t xml:space="preserve">even previously reluctant </w:t>
      </w:r>
      <w:r w:rsidR="00431E67" w:rsidRPr="001C2C36">
        <w:rPr>
          <w:rFonts w:cs="Times New Roman"/>
        </w:rPr>
        <w:t xml:space="preserve">to innovate </w:t>
      </w:r>
      <w:r w:rsidR="005002FA" w:rsidRPr="001C2C36">
        <w:rPr>
          <w:rFonts w:cs="Times New Roman"/>
        </w:rPr>
        <w:t xml:space="preserve">but highly affected by restrictions </w:t>
      </w:r>
      <w:r w:rsidR="00201536" w:rsidRPr="001C2C36">
        <w:rPr>
          <w:rFonts w:cs="Times New Roman"/>
        </w:rPr>
        <w:t>ethnic minority restaurant owners</w:t>
      </w:r>
      <w:r w:rsidR="00375C09" w:rsidRPr="001C2C36">
        <w:rPr>
          <w:rFonts w:cs="Times New Roman"/>
        </w:rPr>
        <w:t xml:space="preserve"> promptly</w:t>
      </w:r>
      <w:r w:rsidR="007D5E65" w:rsidRPr="001C2C36">
        <w:rPr>
          <w:rFonts w:cs="Times New Roman"/>
        </w:rPr>
        <w:t xml:space="preserve"> embracing innovation</w:t>
      </w:r>
      <w:r w:rsidR="00B355F2" w:rsidRPr="001C2C36">
        <w:rPr>
          <w:rFonts w:cs="Times New Roman"/>
        </w:rPr>
        <w:t xml:space="preserve"> </w:t>
      </w:r>
      <w:r w:rsidR="0047680E" w:rsidRPr="001C2C36">
        <w:rPr>
          <w:rFonts w:cs="Times New Roman"/>
        </w:rPr>
        <w:fldChar w:fldCharType="begin" w:fldLock="1"/>
      </w:r>
      <w:r w:rsidR="007211F8" w:rsidRPr="001C2C36">
        <w:rPr>
          <w:rFonts w:cs="Times New Roman"/>
        </w:rPr>
        <w:instrText>ADDIN CSL_CITATION {"citationItems":[{"id":"ITEM-1","itemData":{"DOI":"10.1177/14657503211051219","ISSN":"1465-7503","abstract":"This article explores how Bangladeshi immigrants who run and own restaurants in the West Midlands of England (UK) participated in forms of innovation in response to the challenges created by COVID-19. Contributing to debates on innovation and diversification in the ethnic minority entrepreneurship literature, we explore through qualitative interview data how restaurant owners innovatively engaged with particular resources to secure their survival and longer-term futures in localised economies. This form of innovation is significant as it occurs among a population of entrepreneurs who have traditionally been portrayed as reluctant to innovate and embrace change. Our study therefore explores how a long-held culturally rooted reluctance to innovate intersects with a contemporary need to innovate for a demographic responding to the crisis. We theorise the form of innovation we identify as situated between a forced bricolage and a neoclassical approach to innovation.","author":[{"dropping-particle":"","family":"Korede","given":"Tayo","non-dropping-particle":"","parse-names":false,"suffix":""},{"dropping-particle":"","family":"Mamun","given":"Abdullah","non-dropping-particle":"Al","parse-names":false,"suffix":""},{"dropping-particle":"","family":"Lassalle","given":"Paul","non-dropping-particle":"","parse-names":false,"suffix":""},{"dropping-particle":"","family":"Giazitzoglu","given":"Andreas","non-dropping-particle":"","parse-names":false,"suffix":""}],"container-title":"The International Journal of Entrepreneurship and Innovation","id":"ITEM-1","issue":"1","issued":{"date-parts":[["2023","2"]]},"page":"19-31","title":"Exploring innovation in challenging contexts: The experiences of ethnic minority restaurant owners during COVID-19","type":"article-journal","volume":"24"},"uris":["http://www.mendeley.com/documents/?uuid=a001db4f-cbf5-454a-9d67-6a158a3603e2"]}],"mendeley":{"formattedCitation":"(Korede et al., 2023)","plainTextFormattedCitation":"(Korede et al., 2023)","previouslyFormattedCitation":"(Korede et al., 2023)"},"properties":{"noteIndex":0},"schema":"https://github.com/citation-style-language/schema/raw/master/csl-citation.json"}</w:instrText>
      </w:r>
      <w:r w:rsidR="0047680E" w:rsidRPr="001C2C36">
        <w:rPr>
          <w:rFonts w:cs="Times New Roman"/>
        </w:rPr>
        <w:fldChar w:fldCharType="separate"/>
      </w:r>
      <w:r w:rsidR="0047680E" w:rsidRPr="001C2C36">
        <w:rPr>
          <w:rFonts w:cs="Times New Roman"/>
          <w:noProof/>
        </w:rPr>
        <w:t>(Korede et al., 2023)</w:t>
      </w:r>
      <w:r w:rsidR="0047680E" w:rsidRPr="001C2C36">
        <w:rPr>
          <w:rFonts w:cs="Times New Roman"/>
        </w:rPr>
        <w:fldChar w:fldCharType="end"/>
      </w:r>
      <w:r w:rsidR="00716967" w:rsidRPr="001C2C36">
        <w:rPr>
          <w:rFonts w:cs="Times New Roman"/>
        </w:rPr>
        <w:t>,</w:t>
      </w:r>
      <w:r w:rsidR="00B10AA5" w:rsidRPr="001C2C36">
        <w:rPr>
          <w:rFonts w:cs="Times New Roman"/>
        </w:rPr>
        <w:t xml:space="preserve"> and thus</w:t>
      </w:r>
      <w:r w:rsidR="00716967" w:rsidRPr="001C2C36">
        <w:rPr>
          <w:rFonts w:cs="Times New Roman"/>
        </w:rPr>
        <w:t xml:space="preserve"> </w:t>
      </w:r>
      <w:r w:rsidR="00E64470" w:rsidRPr="001C2C36">
        <w:rPr>
          <w:rFonts w:cs="Times New Roman"/>
        </w:rPr>
        <w:t xml:space="preserve">these SMEs </w:t>
      </w:r>
      <w:r w:rsidR="001D5E6F" w:rsidRPr="001C2C36">
        <w:rPr>
          <w:rFonts w:cs="Times New Roman"/>
        </w:rPr>
        <w:t>could potentially</w:t>
      </w:r>
      <w:r w:rsidR="00716967" w:rsidRPr="001C2C36">
        <w:rPr>
          <w:rFonts w:cs="Times New Roman"/>
        </w:rPr>
        <w:t xml:space="preserve"> have </w:t>
      </w:r>
      <w:r w:rsidR="008501D7" w:rsidRPr="001C2C36">
        <w:rPr>
          <w:rFonts w:cs="Times New Roman"/>
        </w:rPr>
        <w:t>more time</w:t>
      </w:r>
      <w:r w:rsidR="00716967" w:rsidRPr="001C2C36">
        <w:rPr>
          <w:rFonts w:cs="Times New Roman"/>
        </w:rPr>
        <w:t xml:space="preserve"> to </w:t>
      </w:r>
      <w:r w:rsidR="002A70CE" w:rsidRPr="001C2C36">
        <w:rPr>
          <w:rFonts w:cs="Times New Roman"/>
        </w:rPr>
        <w:t>learn</w:t>
      </w:r>
      <w:r w:rsidR="00F148B5" w:rsidRPr="001C2C36">
        <w:rPr>
          <w:rFonts w:cs="Times New Roman"/>
        </w:rPr>
        <w:t>, experiment</w:t>
      </w:r>
      <w:r w:rsidR="002A70CE" w:rsidRPr="001C2C36">
        <w:rPr>
          <w:rFonts w:cs="Times New Roman"/>
        </w:rPr>
        <w:t xml:space="preserve"> and </w:t>
      </w:r>
      <w:r w:rsidR="00716967" w:rsidRPr="001C2C36">
        <w:rPr>
          <w:rFonts w:cs="Times New Roman"/>
        </w:rPr>
        <w:t>adjust their employment</w:t>
      </w:r>
      <w:r w:rsidR="0019578C" w:rsidRPr="001C2C36">
        <w:rPr>
          <w:rFonts w:cs="Times New Roman"/>
        </w:rPr>
        <w:t>.</w:t>
      </w:r>
      <w:r w:rsidR="00E5684A" w:rsidRPr="001C2C36">
        <w:rPr>
          <w:rFonts w:cs="Times New Roman"/>
        </w:rPr>
        <w:t xml:space="preserve"> </w:t>
      </w:r>
      <w:r w:rsidR="0019578C" w:rsidRPr="001C2C36">
        <w:rPr>
          <w:rFonts w:cs="Times New Roman"/>
        </w:rPr>
        <w:t>W</w:t>
      </w:r>
      <w:r w:rsidR="00716967" w:rsidRPr="001C2C36">
        <w:rPr>
          <w:rFonts w:cs="Times New Roman"/>
        </w:rPr>
        <w:t xml:space="preserve">hilst </w:t>
      </w:r>
      <w:r w:rsidR="0019578C" w:rsidRPr="001C2C36">
        <w:rPr>
          <w:rFonts w:cs="Times New Roman"/>
        </w:rPr>
        <w:t>SMEs</w:t>
      </w:r>
      <w:r w:rsidR="00716967" w:rsidRPr="001C2C36">
        <w:rPr>
          <w:rFonts w:cs="Times New Roman"/>
        </w:rPr>
        <w:t xml:space="preserve"> that </w:t>
      </w:r>
      <w:r w:rsidR="00CA7D90" w:rsidRPr="001C2C36">
        <w:rPr>
          <w:rFonts w:cs="Times New Roman"/>
        </w:rPr>
        <w:t xml:space="preserve">were </w:t>
      </w:r>
      <w:r w:rsidR="002A7C49" w:rsidRPr="001C2C36">
        <w:rPr>
          <w:rFonts w:cs="Times New Roman"/>
        </w:rPr>
        <w:t>less affected by restrictions</w:t>
      </w:r>
      <w:r w:rsidR="00932CAA" w:rsidRPr="001C2C36">
        <w:rPr>
          <w:rFonts w:cs="Times New Roman"/>
        </w:rPr>
        <w:t>, for instance</w:t>
      </w:r>
      <w:r w:rsidR="00B86FC3" w:rsidRPr="001C2C36">
        <w:rPr>
          <w:rFonts w:cs="Times New Roman"/>
        </w:rPr>
        <w:t>,</w:t>
      </w:r>
      <w:r w:rsidR="00932CAA" w:rsidRPr="001C2C36">
        <w:rPr>
          <w:rFonts w:cs="Times New Roman"/>
        </w:rPr>
        <w:t xml:space="preserve"> </w:t>
      </w:r>
      <w:r w:rsidR="004643D7" w:rsidRPr="001C2C36">
        <w:rPr>
          <w:rFonts w:cs="Times New Roman"/>
        </w:rPr>
        <w:t xml:space="preserve">those </w:t>
      </w:r>
      <w:r w:rsidR="00B86FC3" w:rsidRPr="001C2C36">
        <w:rPr>
          <w:rFonts w:cs="Times New Roman"/>
        </w:rPr>
        <w:t>classified</w:t>
      </w:r>
      <w:r w:rsidR="002937FB" w:rsidRPr="001C2C36">
        <w:rPr>
          <w:rFonts w:cs="Times New Roman"/>
        </w:rPr>
        <w:t xml:space="preserve"> </w:t>
      </w:r>
      <w:r w:rsidR="00B86FC3" w:rsidRPr="001C2C36">
        <w:rPr>
          <w:rFonts w:cs="Times New Roman"/>
        </w:rPr>
        <w:t xml:space="preserve">as </w:t>
      </w:r>
      <w:r w:rsidR="00CA7D90" w:rsidRPr="001C2C36">
        <w:rPr>
          <w:rFonts w:cs="Times New Roman"/>
        </w:rPr>
        <w:t>essential</w:t>
      </w:r>
      <w:r w:rsidR="00932CAA" w:rsidRPr="001C2C36">
        <w:rPr>
          <w:rFonts w:cs="Times New Roman"/>
        </w:rPr>
        <w:t xml:space="preserve"> busines</w:t>
      </w:r>
      <w:r w:rsidR="00562E02" w:rsidRPr="001C2C36">
        <w:rPr>
          <w:rFonts w:cs="Times New Roman"/>
        </w:rPr>
        <w:t>se</w:t>
      </w:r>
      <w:r w:rsidR="00932CAA" w:rsidRPr="001C2C36">
        <w:rPr>
          <w:rFonts w:cs="Times New Roman"/>
        </w:rPr>
        <w:t>s</w:t>
      </w:r>
      <w:r w:rsidR="00CA7D90" w:rsidRPr="001C2C36">
        <w:rPr>
          <w:rFonts w:cs="Times New Roman"/>
        </w:rPr>
        <w:t xml:space="preserve"> </w:t>
      </w:r>
      <w:r w:rsidR="007211F8" w:rsidRPr="001C2C36">
        <w:rPr>
          <w:rFonts w:cs="Times New Roman"/>
        </w:rPr>
        <w:fldChar w:fldCharType="begin" w:fldLock="1"/>
      </w:r>
      <w:r w:rsidR="00BC3B83">
        <w:rPr>
          <w:rFonts w:cs="Times New Roman"/>
        </w:rPr>
        <w:instrText>ADDIN CSL_CITATION {"citationItems":[{"id":"ITEM-1","itemData":{"DOI":"10.1007/s11187-021-00479-4","ISSN":"0921-898X","abstract":"Abstract: COVID-19 led to a massive shutdown of businesses in the second quarter of 2020. Estimates from the Current Population Survey, for example, indicate that the number of active business owners dropped by 22% from February to April 2020. We provide the first analysis of losses in sales among the universe of businesses in California using administrative data from the California Department of Tax and Fee Administration. Losses in taxable sales average 17% in the second quarter of 2020 relative to the second quarter of 2019 even though year-over-year sales typically grow by 3-4%. We find that sales losses were largest in businesses affected by mandatory lockdowns such as accommodations, which lost 91%, whereas online sales grew by 180%. Placing business types into different categories based on whether they were considered essential or nonessential (and thus subject to early lockdowns) and whether they have a moderate or high level of person-to-person contact, we find interesting correlations between sales losses and COVID-19 cases per capita across counties in California. The results suggest that local implementation and enforcement of lockdown restrictions as safety measures for public health and voluntary behavioral responses as reactions to the perceived local COVID-19 spread both played a role. Plain English Summary: Business sales dropped by 17% on average due to the pandemic during the second quarter of 2020 in California. Accommodations lost 91% of sales, whereas online sales grew by 180%. Sales fell more steeply in counties with more COVID-19 cases. We examine how much businesses lost in sales using administrative sales tax data. The average losses of 17% in the second quarter of 2020 relative to the second quarter of 2019 occurred even though year-over-year sales typically grow by 3-4%. We find that sales losses were largest in businesses affected by mandatory lockdowns such as accommodations, drinking places, and arts, entertainment, and recreation. Distinguishing between essential and nonessential businesses, which were subject to early lockdowns, and by the level of person-to-person contact, we find that local implementation and enforcement of lockdown restrictions for public health safety and voluntary responses to the perceived local COVID-19 spread both played a role. The results suggest that small businesses may need more support from governments and consumers to mitigate the strong shift to online vendors, and that the pandemic must …","author":[{"dropping-particle":"","family":"Fairlie","given":"Robert","non-dropping-particle":"","parse-names":false,"suffix":""},{"dropping-particle":"","family":"Fossen","given":"Frank M.","non-dropping-particle":"","parse-names":false,"suffix":""}],"container-title":"Small Business Economics","id":"ITEM-1","issue":"4","issued":{"date-parts":[["2022"]]},"page":"1853-1864","title":"The early impacts of the COVID-19 pandemic on business sales","type":"article-journal","volume":"58"},"uris":["http://www.mendeley.com/documents/?uuid=7fc8e661-0b98-4e11-925f-54cce858f952"]}],"mendeley":{"formattedCitation":"(Fairlie and Fossen, 2022)","plainTextFormattedCitation":"(Fairlie and Fossen, 2022)","previouslyFormattedCitation":"(Fairlie and Fossen, 2022)"},"properties":{"noteIndex":0},"schema":"https://github.com/citation-style-language/schema/raw/master/csl-citation.json"}</w:instrText>
      </w:r>
      <w:r w:rsidR="007211F8" w:rsidRPr="001C2C36">
        <w:rPr>
          <w:rFonts w:cs="Times New Roman"/>
        </w:rPr>
        <w:fldChar w:fldCharType="separate"/>
      </w:r>
      <w:r w:rsidR="007211F8" w:rsidRPr="001C2C36">
        <w:rPr>
          <w:rFonts w:cs="Times New Roman"/>
          <w:noProof/>
        </w:rPr>
        <w:t>(Fairlie and Fossen, 2022)</w:t>
      </w:r>
      <w:r w:rsidR="007211F8" w:rsidRPr="001C2C36">
        <w:rPr>
          <w:rFonts w:cs="Times New Roman"/>
        </w:rPr>
        <w:fldChar w:fldCharType="end"/>
      </w:r>
      <w:r w:rsidR="008335BC" w:rsidRPr="001C2C36">
        <w:rPr>
          <w:rFonts w:cs="Times New Roman"/>
        </w:rPr>
        <w:t xml:space="preserve"> </w:t>
      </w:r>
      <w:r w:rsidR="00102572" w:rsidRPr="001C2C36">
        <w:rPr>
          <w:rFonts w:cs="Times New Roman"/>
        </w:rPr>
        <w:t>may implement</w:t>
      </w:r>
      <w:r w:rsidR="009F34F7" w:rsidRPr="001C2C36">
        <w:rPr>
          <w:rFonts w:cs="Times New Roman"/>
        </w:rPr>
        <w:t xml:space="preserve"> changes</w:t>
      </w:r>
      <w:r w:rsidR="00716967" w:rsidRPr="001C2C36">
        <w:rPr>
          <w:rFonts w:cs="Times New Roman"/>
        </w:rPr>
        <w:t xml:space="preserve"> </w:t>
      </w:r>
      <w:r w:rsidR="0084012E" w:rsidRPr="001C2C36">
        <w:rPr>
          <w:rFonts w:cs="Times New Roman"/>
        </w:rPr>
        <w:t xml:space="preserve">later in </w:t>
      </w:r>
      <w:r w:rsidR="0084012E" w:rsidRPr="001C2C36">
        <w:rPr>
          <w:rFonts w:cs="Times New Roman"/>
        </w:rPr>
        <w:lastRenderedPageBreak/>
        <w:t>the pandemic</w:t>
      </w:r>
      <w:r w:rsidR="00221A7B" w:rsidRPr="001C2C36">
        <w:rPr>
          <w:rFonts w:cs="Times New Roman"/>
        </w:rPr>
        <w:t>. Although they</w:t>
      </w:r>
      <w:r w:rsidR="009E6CC6" w:rsidRPr="001C2C36">
        <w:rPr>
          <w:rFonts w:cs="Times New Roman"/>
        </w:rPr>
        <w:t xml:space="preserve"> would benefit from more time</w:t>
      </w:r>
      <w:r w:rsidR="00221A7B" w:rsidRPr="001C2C36">
        <w:rPr>
          <w:rFonts w:cs="Times New Roman"/>
        </w:rPr>
        <w:t xml:space="preserve"> for</w:t>
      </w:r>
      <w:r w:rsidR="009E6CC6" w:rsidRPr="001C2C36">
        <w:rPr>
          <w:rFonts w:cs="Times New Roman"/>
        </w:rPr>
        <w:t xml:space="preserve"> scanning the business environment and data collection, </w:t>
      </w:r>
      <w:r w:rsidR="00362B9F" w:rsidRPr="001C2C36">
        <w:rPr>
          <w:rFonts w:cs="Times New Roman"/>
        </w:rPr>
        <w:t>they</w:t>
      </w:r>
      <w:r w:rsidR="007B40D0" w:rsidRPr="001C2C36">
        <w:rPr>
          <w:rFonts w:cs="Times New Roman"/>
        </w:rPr>
        <w:t xml:space="preserve"> would have less time to learn</w:t>
      </w:r>
      <w:r w:rsidR="004B3331" w:rsidRPr="001C2C36">
        <w:rPr>
          <w:rFonts w:cs="Times New Roman"/>
        </w:rPr>
        <w:t xml:space="preserve"> from their own experience</w:t>
      </w:r>
      <w:r w:rsidR="00982F87" w:rsidRPr="001C2C36">
        <w:rPr>
          <w:rFonts w:cs="Times New Roman"/>
        </w:rPr>
        <w:t xml:space="preserve"> and a</w:t>
      </w:r>
      <w:r w:rsidR="00814D8C" w:rsidRPr="001C2C36">
        <w:rPr>
          <w:rFonts w:cs="Times New Roman"/>
        </w:rPr>
        <w:t>d</w:t>
      </w:r>
      <w:r w:rsidR="00982F87" w:rsidRPr="001C2C36">
        <w:rPr>
          <w:rFonts w:cs="Times New Roman"/>
        </w:rPr>
        <w:t>just resources, including employment</w:t>
      </w:r>
      <w:r w:rsidR="0001418A" w:rsidRPr="001C2C36">
        <w:rPr>
          <w:rFonts w:cs="Times New Roman"/>
        </w:rPr>
        <w:t xml:space="preserve">. </w:t>
      </w:r>
    </w:p>
    <w:p w14:paraId="1A627E6F" w14:textId="0086E16B" w:rsidR="008F4CCD" w:rsidRPr="001C2C36" w:rsidRDefault="00A668D4" w:rsidP="00C9574D">
      <w:pPr>
        <w:autoSpaceDE w:val="0"/>
        <w:autoSpaceDN w:val="0"/>
        <w:adjustRightInd w:val="0"/>
        <w:spacing w:before="240" w:after="0"/>
        <w:rPr>
          <w:rFonts w:cs="Times New Roman"/>
        </w:rPr>
      </w:pPr>
      <w:r w:rsidRPr="001C2C36">
        <w:rPr>
          <w:rFonts w:cs="Times New Roman"/>
        </w:rPr>
        <w:t xml:space="preserve">To </w:t>
      </w:r>
      <w:r w:rsidR="00A92D5F" w:rsidRPr="001C2C36">
        <w:rPr>
          <w:rFonts w:cs="Times New Roman"/>
        </w:rPr>
        <w:t>mitigate this</w:t>
      </w:r>
      <w:r w:rsidR="003D7C67" w:rsidRPr="001C2C36">
        <w:rPr>
          <w:rFonts w:cs="Times New Roman"/>
        </w:rPr>
        <w:t xml:space="preserve"> </w:t>
      </w:r>
      <w:r w:rsidR="00217AA2" w:rsidRPr="001C2C36">
        <w:rPr>
          <w:rFonts w:cs="Times New Roman"/>
        </w:rPr>
        <w:t>concern</w:t>
      </w:r>
      <w:r w:rsidR="0051383F" w:rsidRPr="001C2C36">
        <w:rPr>
          <w:rFonts w:cs="Times New Roman"/>
        </w:rPr>
        <w:t xml:space="preserve"> of</w:t>
      </w:r>
      <w:r w:rsidR="003D7C67" w:rsidRPr="001C2C36">
        <w:rPr>
          <w:rFonts w:cs="Times New Roman"/>
        </w:rPr>
        <w:t xml:space="preserve"> </w:t>
      </w:r>
      <w:r w:rsidR="008E0BDA" w:rsidRPr="001C2C36">
        <w:rPr>
          <w:rFonts w:cs="Times New Roman"/>
        </w:rPr>
        <w:t xml:space="preserve">non-uniform </w:t>
      </w:r>
      <w:r w:rsidR="00732967" w:rsidRPr="001C2C36">
        <w:rPr>
          <w:rFonts w:cs="Times New Roman"/>
        </w:rPr>
        <w:t>short-term</w:t>
      </w:r>
      <w:r w:rsidR="008E0BDA" w:rsidRPr="001C2C36">
        <w:rPr>
          <w:rFonts w:cs="Times New Roman"/>
        </w:rPr>
        <w:t xml:space="preserve"> effects</w:t>
      </w:r>
      <w:r w:rsidR="00466BEE">
        <w:rPr>
          <w:rFonts w:cs="Times New Roman"/>
        </w:rPr>
        <w:t xml:space="preserve"> resulting from the </w:t>
      </w:r>
      <w:r w:rsidR="00466BEE" w:rsidRPr="001C2C36">
        <w:rPr>
          <w:rFonts w:cs="Times New Roman"/>
        </w:rPr>
        <w:t>uneven pace of adaptation</w:t>
      </w:r>
      <w:r w:rsidR="00A92D5F" w:rsidRPr="001C2C36">
        <w:rPr>
          <w:rFonts w:cs="Times New Roman"/>
        </w:rPr>
        <w:t xml:space="preserve">, we join numerous scholars </w:t>
      </w:r>
      <w:r w:rsidR="00A92D5F" w:rsidRPr="001C2C36">
        <w:rPr>
          <w:rFonts w:cs="Times New Roman"/>
        </w:rPr>
        <w:fldChar w:fldCharType="begin" w:fldLock="1"/>
      </w:r>
      <w:r w:rsidR="00A92D5F" w:rsidRPr="001C2C36">
        <w:rPr>
          <w:rFonts w:cs="Times New Roman"/>
        </w:rPr>
        <w:instrText>ADDIN CSL_CITATION {"citationItems":[{"id":"ITEM-1","itemData":{"DOI":"10.1111/j.1540-6520.2012.00508.x","ISSN":"10422587","abstract":"This article investigates differences in growth intentions of men and women entrepreneurs. Using data from the U.S. Panel Study of Entrepreneurial Dynamics I and II, we test hypotheses informed by life course theory regarding the influence of career stage and family status on high growth intentions of men and women entrepreneurs. Results show that young men are especially likely to express high growth intentions, while mothers expressed high growth intentions more frequently than did other women. © 2012 Baylor University.","author":[{"dropping-particle":"","family":"Davis","given":"Amy E.","non-dropping-particle":"","parse-names":false,"suffix":""},{"dropping-particle":"","family":"Shaver","given":"Kelly G.","non-dropping-particle":"","parse-names":false,"suffix":""}],"container-title":"Entrepreneurship: Theory and Practice","id":"ITEM-1","issue":"3","issued":{"date-parts":[["2012"]]},"page":"495-512","title":"Understanding Gendered Variations in Business Growth Intentions Across the Life Course","type":"article-journal","volume":"36"},"uris":["http://www.mendeley.com/documents/?uuid=3357da9b-83fb-45a0-a56a-9b11f298ca92","http://www.mendeley.com/documents/?uuid=7617308e-6c61-419d-be56-72564460ae1e"]},{"id":"ITEM-2","itemData":{"DOI":"10.1007/s11187-020-00405-0","ISSN":"15730913","abstract":"Entrepreneurs start and grow their ventures in a widely varying set of institutional contexts. One differentiator is a country’s regulatory efficiency which encompasses the freedom to start and to run a business without excessive government interventions around registering, hiring, and firing employees, and price controls on currency. The efficiency of regulations varies substantially among countries and imposes additional costs and risks on entrepreneurs’ activities. We integrate insights from institutional theory and recent literature on gender and entrepreneurship to better understand how a country’s regulatory efficiency affects male and female entrepreneurs’ employment growth ambitions. We explore three aspects of regulatory efficiency: business freedom (e.g., to start, operate, and close a venture), labor freedom (e.g., laws around minimum wage, layoffs, severance), and monetary freedom (e.g., price stability) using data from over 47,000 entrepreneurs in 68 countries. We find that entrepreneurs’ growth ambitions are higher in countries with more efficient regulations, particularly those countries characterized by fewer labor law restrictions and greater monetary freedoms. These findings are further exacerbated by gender by such that, relative to their female counterparts, male entrepreneurs have significantly greater venture growth ambitions. Our paper contributes to the discussion on how formal institutions influence women and men entrepreneurs in distinct ways.","author":[{"dropping-particle":"","family":"Darnihamedani","given":"Pourya","non-dropping-particle":"","parse-names":false,"suffix":""},{"dropping-particle":"","family":"Terjesen","given":"Siri","non-dropping-particle":"","parse-names":false,"suffix":""}],"container-title":"Small Business Economics","id":"ITEM-2","issue":"1","issued":{"date-parts":[["2022"]]},"page":"185-204","title":"Male and female entrepreneurs’ employment growth ambitions: the contingent role of regulatory efficiency","type":"article-journal","volume":"58"},"uris":["http://www.mendeley.com/documents/?uuid=c0510708-5484-4b32-b4fb-dcece376aac1","http://www.mendeley.com/documents/?uuid=d0c7f209-8f08-421b-a55e-7d546f73a44a"]},{"id":"ITEM-3","itemData":{"DOI":"10.1177/0266242613516987","ISSN":"17412870","abstract":"This article explores the growth aspirations of owners and managers of young firms in a post-conflict economy by focusing on social capital. It treats social capital as a multidimensional, multilevel phenomenon, studying the effects of discussion network characteristics, trust in institutions, generalised trust in people and local ethnic pluralism. We argue that in a post-conflict country, ethnic pluralism is indicative of local norms of tolerance towards experimentation and risk taking which support growth aspirations. It also distinguishes between the aspirations of hired managers and owners-managers. The empirical counterpart and hypotheses testing rely on survey evidence drawn from young businesses in Bosnia and Herzegovina.","author":[{"dropping-particle":"","family":"Efendic","given":"Adnan","non-dropping-particle":"","parse-names":false,"suffix":""},{"dropping-particle":"","family":"Mickiewicz","given":"Tomasz","non-dropping-particle":"","parse-names":false,"suffix":""},{"dropping-particle":"","family":"Rebmann","given":"Anna","non-dropping-particle":"","parse-names":false,"suffix":""}],"container-title":"International Small Business Journal: Researching Entrepreneurship","id":"ITEM-3","issue":"5","issued":{"date-parts":[["2015"]]},"page":"537-561","title":"Growth aspirations and social capital: Young firms in a post-conflict environment","type":"article-journal","volume":"33"},"uris":["http://www.mendeley.com/documents/?uuid=2148aec0-e97b-4994-9316-3cf6eadbe503","http://www.mendeley.com/documents/?uuid=5b6baa6b-d672-482f-8c92-62a14a538b1b"]}],"mendeley":{"formattedCitation":"(Darnihamedani and Terjesen, 2022; Davis and Shaver, 2012; Efendic et al., 2015)","plainTextFormattedCitation":"(Darnihamedani and Terjesen, 2022; Davis and Shaver, 2012; Efendic et al., 2015)","previouslyFormattedCitation":"(Darnihamedani and Terjesen, 2022; Davis and Shaver, 2012; Efendic et al., 2015)"},"properties":{"noteIndex":0},"schema":"https://github.com/citation-style-language/schema/raw/master/csl-citation.json"}</w:instrText>
      </w:r>
      <w:r w:rsidR="00A92D5F" w:rsidRPr="001C2C36">
        <w:rPr>
          <w:rFonts w:cs="Times New Roman"/>
        </w:rPr>
        <w:fldChar w:fldCharType="separate"/>
      </w:r>
      <w:r w:rsidR="00A92D5F" w:rsidRPr="001C2C36">
        <w:rPr>
          <w:rFonts w:cs="Times New Roman"/>
          <w:noProof/>
        </w:rPr>
        <w:t>(Darnihamedani and Terjesen, 2022; Davis and Shaver, 2012; Efendic et al., 2015)</w:t>
      </w:r>
      <w:r w:rsidR="00A92D5F" w:rsidRPr="001C2C36">
        <w:rPr>
          <w:rFonts w:cs="Times New Roman"/>
        </w:rPr>
        <w:fldChar w:fldCharType="end"/>
      </w:r>
      <w:r w:rsidR="00A92D5F" w:rsidRPr="001C2C36">
        <w:rPr>
          <w:rFonts w:cs="Times New Roman"/>
        </w:rPr>
        <w:t xml:space="preserve"> and shift our focus to employment growth aspirations over the subsequent 12 months from the end of the first lockdown</w:t>
      </w:r>
      <w:r w:rsidR="000D5E6A" w:rsidRPr="000D5E6A">
        <w:rPr>
          <w:rFonts w:cs="Times New Roman"/>
        </w:rPr>
        <w:t xml:space="preserve"> </w:t>
      </w:r>
      <w:r w:rsidR="000D5E6A" w:rsidRPr="001C2C36">
        <w:rPr>
          <w:rFonts w:cs="Times New Roman"/>
        </w:rPr>
        <w:t>in our efforts to capture DC effects</w:t>
      </w:r>
      <w:r w:rsidR="00A92D5F" w:rsidRPr="001C2C36">
        <w:rPr>
          <w:rFonts w:cs="Times New Roman"/>
        </w:rPr>
        <w:t xml:space="preserve">. </w:t>
      </w:r>
      <w:r w:rsidR="00C77F50" w:rsidRPr="001C2C36">
        <w:rPr>
          <w:rFonts w:cs="Times New Roman"/>
        </w:rPr>
        <w:t xml:space="preserve">Growth aspirations </w:t>
      </w:r>
      <w:r w:rsidR="00505B19" w:rsidRPr="001C2C36">
        <w:rPr>
          <w:rFonts w:cs="Times New Roman"/>
        </w:rPr>
        <w:t>have long been</w:t>
      </w:r>
      <w:r w:rsidR="00C77F50" w:rsidRPr="001C2C36">
        <w:rPr>
          <w:rFonts w:cs="Times New Roman"/>
        </w:rPr>
        <w:t xml:space="preserve"> known to predict actual future growth </w:t>
      </w:r>
      <w:r w:rsidR="00C77F50" w:rsidRPr="001C2C36">
        <w:rPr>
          <w:rFonts w:cs="Times New Roman"/>
        </w:rPr>
        <w:fldChar w:fldCharType="begin" w:fldLock="1"/>
      </w:r>
      <w:r w:rsidR="00AF5228" w:rsidRPr="001C2C36">
        <w:rPr>
          <w:rFonts w:cs="Times New Roman"/>
        </w:rPr>
        <w:instrText>ADDIN CSL_CITATION {"citationItems":[{"id":"ITEM-1","itemData":{"DOI":"10.1046/j.1467-6486.2003.00406.x","ISBN":"9780857933607","ISSN":"0022-2380","author":[{"dropping-particle":"","family":"Wiklund","given":"Johan","non-dropping-particle":"","parse-names":false,"suffix":""},{"dropping-particle":"","family":"Shepherd","given":"Dean","non-dropping-particle":"","parse-names":false,"suffix":""}],"container-title":"Journal of Management Studies","id":"ITEM-1","issue":"8","issued":{"date-parts":[["2003","12"]]},"page":"1919-1941","publisher":"Edward Elgar Publishing","title":"Aspiring for, and Achieving Growth: The Moderating Role of Resources and Opportunities*","type":"article-journal","volume":"40"},"uris":["http://www.mendeley.com/documents/?uuid=946e0f0c-ffbd-476e-a4e8-9aa27f4c68b5"]}],"mendeley":{"formattedCitation":"(Wiklund and Shepherd, 2003)","plainTextFormattedCitation":"(Wiklund and Shepherd, 2003)","previouslyFormattedCitation":"(Wiklund and Shepherd, 2003)"},"properties":{"noteIndex":0},"schema":"https://github.com/citation-style-language/schema/raw/master/csl-citation.json"}</w:instrText>
      </w:r>
      <w:r w:rsidR="00C77F50" w:rsidRPr="001C2C36">
        <w:rPr>
          <w:rFonts w:cs="Times New Roman"/>
        </w:rPr>
        <w:fldChar w:fldCharType="separate"/>
      </w:r>
      <w:r w:rsidR="00C77F50" w:rsidRPr="001C2C36">
        <w:rPr>
          <w:rFonts w:cs="Times New Roman"/>
          <w:noProof/>
        </w:rPr>
        <w:t>(Wiklund and Shepherd, 2003)</w:t>
      </w:r>
      <w:r w:rsidR="00C77F50" w:rsidRPr="001C2C36">
        <w:rPr>
          <w:rFonts w:cs="Times New Roman"/>
        </w:rPr>
        <w:fldChar w:fldCharType="end"/>
      </w:r>
      <w:r w:rsidR="00C77F50" w:rsidRPr="001C2C36">
        <w:rPr>
          <w:rFonts w:cs="Times New Roman"/>
        </w:rPr>
        <w:t xml:space="preserve">. </w:t>
      </w:r>
      <w:r w:rsidR="005B7C31" w:rsidRPr="001C2C36">
        <w:rPr>
          <w:rFonts w:cs="Times New Roman"/>
        </w:rPr>
        <w:t>Therefore</w:t>
      </w:r>
      <w:r w:rsidR="00DD124F" w:rsidRPr="001C2C36">
        <w:rPr>
          <w:rFonts w:cs="Times New Roman"/>
        </w:rPr>
        <w:t xml:space="preserve">, </w:t>
      </w:r>
      <w:r w:rsidR="00B63065">
        <w:rPr>
          <w:rFonts w:cs="Times New Roman"/>
        </w:rPr>
        <w:t xml:space="preserve">our first </w:t>
      </w:r>
      <w:r w:rsidR="00B63065" w:rsidRPr="001C2C36">
        <w:rPr>
          <w:rFonts w:cs="Times New Roman"/>
        </w:rPr>
        <w:t>hypothesis</w:t>
      </w:r>
      <w:r w:rsidR="00B63065">
        <w:rPr>
          <w:rFonts w:cs="Times New Roman"/>
        </w:rPr>
        <w:t xml:space="preserve"> t</w:t>
      </w:r>
      <w:r w:rsidR="008E60DA" w:rsidRPr="001C2C36">
        <w:rPr>
          <w:rFonts w:cs="Times New Roman"/>
        </w:rPr>
        <w:t>est</w:t>
      </w:r>
      <w:r w:rsidR="00A92D5F" w:rsidRPr="001C2C36">
        <w:rPr>
          <w:rFonts w:cs="Times New Roman"/>
        </w:rPr>
        <w:t xml:space="preserve"> whether companies with higher levels of DCs had more confidence that they could adapt and grow </w:t>
      </w:r>
      <w:r w:rsidR="00086D1A" w:rsidRPr="001C2C36">
        <w:rPr>
          <w:rFonts w:cs="Times New Roman"/>
        </w:rPr>
        <w:t>in the face</w:t>
      </w:r>
      <w:r w:rsidR="00A92D5F" w:rsidRPr="001C2C36">
        <w:rPr>
          <w:rFonts w:cs="Times New Roman"/>
        </w:rPr>
        <w:t xml:space="preserve"> of the</w:t>
      </w:r>
      <w:r w:rsidR="00086D1A" w:rsidRPr="001C2C36">
        <w:rPr>
          <w:rFonts w:cs="Times New Roman"/>
        </w:rPr>
        <w:t xml:space="preserve"> Covid-19</w:t>
      </w:r>
      <w:r w:rsidR="00A92D5F" w:rsidRPr="001C2C36">
        <w:rPr>
          <w:rFonts w:cs="Times New Roman"/>
        </w:rPr>
        <w:t xml:space="preserve"> pandemic</w:t>
      </w:r>
      <w:r w:rsidR="00DD124F" w:rsidRPr="001C2C36">
        <w:rPr>
          <w:rFonts w:cs="Times New Roman"/>
        </w:rPr>
        <w:t>:</w:t>
      </w:r>
    </w:p>
    <w:p w14:paraId="451F8F9E" w14:textId="169E2FCF" w:rsidR="006C6AAE" w:rsidRPr="001C2C36" w:rsidRDefault="001A0494" w:rsidP="5EAC67F9">
      <w:pPr>
        <w:autoSpaceDE w:val="0"/>
        <w:autoSpaceDN w:val="0"/>
        <w:adjustRightInd w:val="0"/>
        <w:spacing w:before="240"/>
        <w:rPr>
          <w:rFonts w:cs="Times New Roman"/>
          <w:i/>
        </w:rPr>
      </w:pPr>
      <w:r w:rsidRPr="001C2C36">
        <w:rPr>
          <w:rFonts w:cs="Times New Roman"/>
          <w:i/>
          <w:iCs/>
        </w:rPr>
        <w:t>Hypothesis 1</w:t>
      </w:r>
      <w:r w:rsidR="002B03FA" w:rsidRPr="001C2C36">
        <w:rPr>
          <w:rFonts w:cs="Times New Roman"/>
          <w:i/>
          <w:iCs/>
        </w:rPr>
        <w:t>.</w:t>
      </w:r>
      <w:r w:rsidR="00770BF7" w:rsidRPr="001C2C36">
        <w:rPr>
          <w:rFonts w:cs="Times New Roman"/>
          <w:i/>
          <w:iCs/>
        </w:rPr>
        <w:t xml:space="preserve"> </w:t>
      </w:r>
      <w:r w:rsidR="000479B0" w:rsidRPr="001C2C36">
        <w:rPr>
          <w:rFonts w:cs="Times New Roman"/>
          <w:i/>
          <w:iCs/>
        </w:rPr>
        <w:t xml:space="preserve">Dynamic capabilities </w:t>
      </w:r>
      <w:r w:rsidR="000479B0" w:rsidRPr="001C2C36">
        <w:rPr>
          <w:rFonts w:cs="Times New Roman"/>
          <w:i/>
        </w:rPr>
        <w:t xml:space="preserve">positively </w:t>
      </w:r>
      <w:r w:rsidR="00105568" w:rsidRPr="001C2C36">
        <w:rPr>
          <w:rFonts w:cs="Times New Roman"/>
          <w:i/>
        </w:rPr>
        <w:t>contribute</w:t>
      </w:r>
      <w:r w:rsidR="000479B0" w:rsidRPr="001C2C36">
        <w:rPr>
          <w:rFonts w:cs="Times New Roman"/>
          <w:i/>
        </w:rPr>
        <w:t xml:space="preserve"> to </w:t>
      </w:r>
      <w:r w:rsidR="00C66301" w:rsidRPr="001C2C36">
        <w:rPr>
          <w:rFonts w:cs="Times New Roman"/>
          <w:i/>
          <w:iCs/>
          <w:szCs w:val="24"/>
        </w:rPr>
        <w:t xml:space="preserve">SME </w:t>
      </w:r>
      <w:r w:rsidR="000479B0" w:rsidRPr="001C2C36">
        <w:rPr>
          <w:rFonts w:cs="Times New Roman"/>
          <w:i/>
        </w:rPr>
        <w:t xml:space="preserve">employment </w:t>
      </w:r>
      <w:r w:rsidR="00A74EED" w:rsidRPr="001C2C36">
        <w:rPr>
          <w:rFonts w:cs="Times New Roman"/>
          <w:i/>
          <w:iCs/>
          <w:szCs w:val="24"/>
        </w:rPr>
        <w:t>after the first lockdown of the Covid-19 pandemic</w:t>
      </w:r>
      <w:r w:rsidR="000479B0" w:rsidRPr="001C2C36">
        <w:rPr>
          <w:rFonts w:cs="Times New Roman"/>
          <w:i/>
        </w:rPr>
        <w:t>.</w:t>
      </w:r>
    </w:p>
    <w:p w14:paraId="71A15775" w14:textId="1529874A" w:rsidR="00ED6AC3" w:rsidRPr="001C2C36" w:rsidRDefault="007D3C4A" w:rsidP="00ED6AC3">
      <w:pPr>
        <w:pStyle w:val="Heading2"/>
        <w:rPr>
          <w:rFonts w:ascii="Times New Roman" w:hAnsi="Times New Roman" w:cs="Times New Roman"/>
          <w:szCs w:val="24"/>
        </w:rPr>
      </w:pPr>
      <w:r w:rsidRPr="007D3C4A">
        <w:rPr>
          <w:rFonts w:ascii="Times New Roman" w:hAnsi="Times New Roman" w:cs="Times New Roman"/>
          <w:szCs w:val="24"/>
        </w:rPr>
        <w:t>D</w:t>
      </w:r>
      <w:r>
        <w:rPr>
          <w:rFonts w:ascii="Times New Roman" w:hAnsi="Times New Roman" w:cs="Times New Roman"/>
          <w:szCs w:val="24"/>
        </w:rPr>
        <w:t>oes</w:t>
      </w:r>
      <w:r w:rsidRPr="007D3C4A">
        <w:rPr>
          <w:rFonts w:ascii="Times New Roman" w:hAnsi="Times New Roman" w:cs="Times New Roman"/>
          <w:szCs w:val="24"/>
        </w:rPr>
        <w:t xml:space="preserve"> </w:t>
      </w:r>
      <w:r>
        <w:rPr>
          <w:rFonts w:ascii="Times New Roman" w:hAnsi="Times New Roman" w:cs="Times New Roman"/>
          <w:szCs w:val="24"/>
        </w:rPr>
        <w:t>g</w:t>
      </w:r>
      <w:r w:rsidRPr="007D3C4A">
        <w:rPr>
          <w:rFonts w:ascii="Times New Roman" w:hAnsi="Times New Roman" w:cs="Times New Roman"/>
          <w:szCs w:val="24"/>
        </w:rPr>
        <w:t>overnment support affect SME employment during Covid-19?</w:t>
      </w:r>
      <w:r>
        <w:rPr>
          <w:rFonts w:ascii="Times New Roman" w:hAnsi="Times New Roman" w:cs="Times New Roman"/>
          <w:szCs w:val="24"/>
        </w:rPr>
        <w:t xml:space="preserve"> </w:t>
      </w:r>
    </w:p>
    <w:p w14:paraId="0DC7540E" w14:textId="77777777" w:rsidR="00C36FA7" w:rsidRPr="001C2C36" w:rsidRDefault="0E4E0051" w:rsidP="20696941">
      <w:pPr>
        <w:rPr>
          <w:rFonts w:cs="Times New Roman"/>
        </w:rPr>
      </w:pPr>
      <w:r w:rsidRPr="001C2C36">
        <w:rPr>
          <w:rFonts w:eastAsia="Calibri" w:cs="Times New Roman"/>
        </w:rPr>
        <w:t>To answer our second research question, which centres on government support, we begin by discussing the main Covid-19 support instruments and considering their shorter-term effects on employment.</w:t>
      </w:r>
      <w:r w:rsidRPr="001C2C36">
        <w:rPr>
          <w:rFonts w:cs="Times New Roman"/>
        </w:rPr>
        <w:t xml:space="preserve"> A large proportion of the Covid-19 assistance was through grants that are direct payments from the central government and do not need to be repaid. They were primarily designed to compensate businesses forced to close or significantly adjust operations due to restrictions.</w:t>
      </w:r>
      <w:r w:rsidR="3D6C7F54" w:rsidRPr="001C2C36">
        <w:rPr>
          <w:rFonts w:cs="Times New Roman"/>
        </w:rPr>
        <w:t xml:space="preserve"> </w:t>
      </w:r>
    </w:p>
    <w:p w14:paraId="53EE5125" w14:textId="3ED98158" w:rsidR="00E13C03" w:rsidRPr="001C2C36" w:rsidRDefault="00B523CA" w:rsidP="000268AE">
      <w:pPr>
        <w:rPr>
          <w:rFonts w:eastAsia="Calibri" w:cs="Times New Roman"/>
        </w:rPr>
      </w:pPr>
      <w:r w:rsidRPr="001C2C36">
        <w:rPr>
          <w:rFonts w:cs="Times New Roman"/>
          <w:szCs w:val="24"/>
        </w:rPr>
        <w:t>In terms of targeting</w:t>
      </w:r>
      <w:r w:rsidR="00C9134F" w:rsidRPr="001C2C36">
        <w:rPr>
          <w:rFonts w:cs="Times New Roman"/>
          <w:szCs w:val="24"/>
        </w:rPr>
        <w:t xml:space="preserve"> of</w:t>
      </w:r>
      <w:r w:rsidRPr="001C2C36">
        <w:rPr>
          <w:rFonts w:cs="Times New Roman"/>
          <w:szCs w:val="24"/>
        </w:rPr>
        <w:t xml:space="preserve"> </w:t>
      </w:r>
      <w:r w:rsidR="00C9134F" w:rsidRPr="001C2C36">
        <w:rPr>
          <w:rFonts w:cs="Times New Roman"/>
          <w:szCs w:val="24"/>
        </w:rPr>
        <w:t>the Covid-19 assistance</w:t>
      </w:r>
      <w:r w:rsidRPr="001C2C36">
        <w:rPr>
          <w:rFonts w:cs="Times New Roman"/>
          <w:szCs w:val="24"/>
        </w:rPr>
        <w:t>, t</w:t>
      </w:r>
      <w:r w:rsidR="003769E9" w:rsidRPr="001C2C36">
        <w:rPr>
          <w:rFonts w:cs="Times New Roman"/>
          <w:szCs w:val="24"/>
        </w:rPr>
        <w:t xml:space="preserve">he UK government specifically </w:t>
      </w:r>
      <w:r w:rsidRPr="001C2C36">
        <w:rPr>
          <w:rFonts w:cs="Times New Roman"/>
          <w:szCs w:val="24"/>
        </w:rPr>
        <w:t xml:space="preserve">focused </w:t>
      </w:r>
      <w:r w:rsidR="003769E9" w:rsidRPr="001C2C36">
        <w:rPr>
          <w:rFonts w:cs="Times New Roman"/>
          <w:szCs w:val="24"/>
        </w:rPr>
        <w:t xml:space="preserve">its efforts on supporting, protecting and creating jobs. For instance, during the summer Economic Update on 8 July 2020, the </w:t>
      </w:r>
      <w:r w:rsidR="00800A7E" w:rsidRPr="001C2C36">
        <w:rPr>
          <w:rFonts w:cs="Times New Roman"/>
          <w:szCs w:val="24"/>
        </w:rPr>
        <w:t xml:space="preserve">then </w:t>
      </w:r>
      <w:r w:rsidR="003769E9" w:rsidRPr="001C2C36">
        <w:rPr>
          <w:rFonts w:cs="Times New Roman"/>
          <w:szCs w:val="24"/>
        </w:rPr>
        <w:t>Chancellor of the Exchequer</w:t>
      </w:r>
      <w:r w:rsidR="00800A7E" w:rsidRPr="001C2C36">
        <w:rPr>
          <w:rFonts w:cs="Times New Roman"/>
          <w:szCs w:val="24"/>
        </w:rPr>
        <w:t>, Rishi Sunak,</w:t>
      </w:r>
      <w:r w:rsidR="003769E9" w:rsidRPr="001C2C36">
        <w:rPr>
          <w:rFonts w:cs="Times New Roman"/>
          <w:szCs w:val="24"/>
        </w:rPr>
        <w:t xml:space="preserve"> announced the “Plan for Jobs”, introducing various support programmes to mitigate the impact of the pandemic </w:t>
      </w:r>
      <w:r w:rsidR="003769E9" w:rsidRPr="001C2C36">
        <w:rPr>
          <w:rFonts w:cs="Times New Roman"/>
          <w:szCs w:val="24"/>
        </w:rPr>
        <w:fldChar w:fldCharType="begin" w:fldLock="1"/>
      </w:r>
      <w:r w:rsidR="003769E9" w:rsidRPr="001C2C36">
        <w:rPr>
          <w:rFonts w:cs="Times New Roman"/>
          <w:szCs w:val="24"/>
        </w:rPr>
        <w:instrText>ADDIN CSL_CITATION {"citationItems":[{"id":"ITEM-1","itemData":{"URL":"https://www.gov.uk/government/publications/a-plan-for-jobs-documents/a-plan-for-jobs-2020","accessed":{"date-parts":[["2022","9","2"]]},"author":[{"dropping-particle":"","family":"HM Treasury","given":"","non-dropping-particle":"","parse-names":false,"suffix":""}],"id":"ITEM-1","issued":{"date-parts":[["2020"]]},"title":"A Plan for Jobs 2020","type":"webpage"},"uris":["http://www.mendeley.com/documents/?uuid=5caf26f4-4a6f-4626-8201-47dc4b2c0731","http://www.mendeley.com/documents/?uuid=9e9bc298-1ad1-4f07-a903-91a0193bcc41"]}],"mendeley":{"formattedCitation":"(HM Treasury, 2020a)","plainTextFormattedCitation":"(HM Treasury, 2020a)","previouslyFormattedCitation":"(HM Treasury, 2020a)"},"properties":{"noteIndex":0},"schema":"https://github.com/citation-style-language/schema/raw/master/csl-citation.json"}</w:instrText>
      </w:r>
      <w:r w:rsidR="003769E9" w:rsidRPr="001C2C36">
        <w:rPr>
          <w:rFonts w:cs="Times New Roman"/>
          <w:szCs w:val="24"/>
        </w:rPr>
        <w:fldChar w:fldCharType="separate"/>
      </w:r>
      <w:r w:rsidR="003769E9" w:rsidRPr="001C2C36">
        <w:rPr>
          <w:rFonts w:cs="Times New Roman"/>
          <w:noProof/>
          <w:szCs w:val="24"/>
        </w:rPr>
        <w:t>(HM Treasury, 2020a)</w:t>
      </w:r>
      <w:r w:rsidR="003769E9" w:rsidRPr="001C2C36">
        <w:rPr>
          <w:rFonts w:cs="Times New Roman"/>
          <w:szCs w:val="24"/>
        </w:rPr>
        <w:fldChar w:fldCharType="end"/>
      </w:r>
      <w:r w:rsidR="00140CDB" w:rsidRPr="001C2C36">
        <w:rPr>
          <w:rFonts w:cs="Times New Roman"/>
          <w:szCs w:val="24"/>
        </w:rPr>
        <w:t xml:space="preserve"> </w:t>
      </w:r>
      <w:r w:rsidR="000268AE" w:rsidRPr="001C2C36">
        <w:rPr>
          <w:rFonts w:cs="Times New Roman"/>
          <w:szCs w:val="24"/>
        </w:rPr>
        <w:t xml:space="preserve">and </w:t>
      </w:r>
      <w:r w:rsidR="007B092C" w:rsidRPr="001C2C36">
        <w:rPr>
          <w:rFonts w:eastAsia="Calibri" w:cs="Times New Roman"/>
        </w:rPr>
        <w:t xml:space="preserve">justified the introduction of </w:t>
      </w:r>
      <w:r w:rsidR="00527A69" w:rsidRPr="001C2C36">
        <w:rPr>
          <w:rFonts w:eastAsia="Calibri" w:cs="Times New Roman"/>
        </w:rPr>
        <w:t xml:space="preserve">the </w:t>
      </w:r>
      <w:r w:rsidR="00E13C03" w:rsidRPr="001C2C36">
        <w:rPr>
          <w:rFonts w:cs="Times New Roman"/>
          <w:i/>
          <w:iCs/>
          <w:szCs w:val="24"/>
        </w:rPr>
        <w:t>Coronavirus Job Retention Scheme</w:t>
      </w:r>
      <w:r w:rsidR="00340C7B" w:rsidRPr="001C2C36">
        <w:rPr>
          <w:rFonts w:cs="Times New Roman"/>
          <w:i/>
          <w:iCs/>
          <w:szCs w:val="24"/>
        </w:rPr>
        <w:t xml:space="preserve"> (CJRS)</w:t>
      </w:r>
      <w:r w:rsidR="00E13C03" w:rsidRPr="001C2C36">
        <w:rPr>
          <w:rFonts w:cs="Times New Roman"/>
        </w:rPr>
        <w:t xml:space="preserve">, with </w:t>
      </w:r>
      <w:r w:rsidR="00E13C03" w:rsidRPr="001C2C36">
        <w:rPr>
          <w:rFonts w:eastAsia="Calibri" w:cs="Times New Roman"/>
        </w:rPr>
        <w:t xml:space="preserve">“I have a responsibility to make sure we protect, as far as possible, people’s jobs and incomes” </w:t>
      </w:r>
      <w:r w:rsidR="00E13C03" w:rsidRPr="001C2C36">
        <w:rPr>
          <w:rFonts w:eastAsia="Calibri" w:cs="Times New Roman"/>
        </w:rPr>
        <w:fldChar w:fldCharType="begin" w:fldLock="1"/>
      </w:r>
      <w:r w:rsidR="00233D7D">
        <w:rPr>
          <w:rFonts w:eastAsia="Calibri" w:cs="Times New Roman"/>
        </w:rPr>
        <w:instrText>ADDIN CSL_CITATION {"citationItems":[{"id":"ITEM-1","itemData":{"URL":"https://www.gov.uk/government/speeches/the-chancellor-rishi-sunak-provides-an-updated-statement-on-coronavirus#:~:text=I have a responsibility to,new Coronavirus Job Retention Scheme.","accessed":{"date-parts":[["2023","2","16"]]},"author":[{"dropping-particle":"","family":"HM Treasury","given":"","non-dropping-particle":"","parse-names":false,"suffix":""}],"id":"ITEM-1","issued":{"date-parts":[["2020"]]},"title":"The Chancellor Rishi Sunak provides an updated statement on coronavirus.","type":"webpage"},"uris":["http://www.mendeley.com/documents/?uuid=ae6b367d-4624-4648-9f46-d41697cdfed4","http://www.mendeley.com/documents/?uuid=853760c4-864a-42f9-86b7-4ade9ee55b84"]}],"mendeley":{"formattedCitation":"(HM Treasury, 2020b)","plainTextFormattedCitation":"(HM Treasury, 2020b)","previouslyFormattedCitation":"(HM Treasury, 2020b)"},"properties":{"noteIndex":0},"schema":"https://github.com/citation-style-language/schema/raw/master/csl-citation.json"}</w:instrText>
      </w:r>
      <w:r w:rsidR="00E13C03" w:rsidRPr="001C2C36">
        <w:rPr>
          <w:rFonts w:eastAsia="Calibri" w:cs="Times New Roman"/>
        </w:rPr>
        <w:fldChar w:fldCharType="separate"/>
      </w:r>
      <w:r w:rsidR="00E13C03" w:rsidRPr="001C2C36">
        <w:rPr>
          <w:rFonts w:eastAsia="Calibri" w:cs="Times New Roman"/>
          <w:noProof/>
        </w:rPr>
        <w:t>(HM Treasury, 2020b)</w:t>
      </w:r>
      <w:r w:rsidR="00E13C03" w:rsidRPr="001C2C36">
        <w:rPr>
          <w:rFonts w:eastAsia="Calibri" w:cs="Times New Roman"/>
        </w:rPr>
        <w:fldChar w:fldCharType="end"/>
      </w:r>
      <w:r w:rsidR="00E13C03" w:rsidRPr="001C2C36">
        <w:rPr>
          <w:rFonts w:eastAsia="Calibri" w:cs="Times New Roman"/>
        </w:rPr>
        <w:t xml:space="preserve">. </w:t>
      </w:r>
      <w:r w:rsidR="00321A34" w:rsidRPr="001C2C36">
        <w:rPr>
          <w:rFonts w:cs="Times New Roman"/>
          <w:i/>
          <w:iCs/>
          <w:szCs w:val="24"/>
        </w:rPr>
        <w:t>CJRS</w:t>
      </w:r>
      <w:r w:rsidR="00321A34" w:rsidRPr="001C2C36" w:rsidDel="00321A34">
        <w:rPr>
          <w:rFonts w:cs="Times New Roman"/>
          <w:szCs w:val="24"/>
        </w:rPr>
        <w:t xml:space="preserve"> </w:t>
      </w:r>
      <w:r w:rsidR="00340C7B" w:rsidRPr="001C2C36">
        <w:rPr>
          <w:rFonts w:cs="Times New Roman"/>
          <w:szCs w:val="24"/>
        </w:rPr>
        <w:t>is the</w:t>
      </w:r>
      <w:r w:rsidR="003769E9" w:rsidRPr="001C2C36">
        <w:rPr>
          <w:rFonts w:cs="Times New Roman"/>
          <w:szCs w:val="24"/>
        </w:rPr>
        <w:t xml:space="preserve"> </w:t>
      </w:r>
      <w:r w:rsidR="008A696A" w:rsidRPr="001C2C36">
        <w:rPr>
          <w:rFonts w:cs="Times New Roman"/>
          <w:szCs w:val="24"/>
        </w:rPr>
        <w:t>costliest</w:t>
      </w:r>
      <w:r w:rsidR="00DA3810" w:rsidRPr="001C2C36">
        <w:rPr>
          <w:rFonts w:cs="Times New Roman"/>
          <w:szCs w:val="24"/>
        </w:rPr>
        <w:t xml:space="preserve"> instrument, effective</w:t>
      </w:r>
      <w:r w:rsidR="00340C7B" w:rsidRPr="001C2C36">
        <w:rPr>
          <w:rFonts w:cs="Times New Roman"/>
          <w:szCs w:val="24"/>
        </w:rPr>
        <w:t xml:space="preserve"> </w:t>
      </w:r>
      <w:r w:rsidR="003769E9" w:rsidRPr="001C2C36">
        <w:rPr>
          <w:rFonts w:cs="Times New Roman"/>
          <w:szCs w:val="24"/>
        </w:rPr>
        <w:t xml:space="preserve">between March 2020 and September 2021. The scheme helped employers pay their workers’ wages if they were unable to work during the Covid-19 pandemic. Employers were able to claim grants, covering up to 80% of the employees’ usual wages up to a total of £2,500 each month. 21% of employing businesses participated in the scheme, with 1.16 million jobs on furlough and an estimated cost of £70 billion at the end of the scheme </w:t>
      </w:r>
      <w:r w:rsidR="003769E9" w:rsidRPr="001C2C36">
        <w:rPr>
          <w:rFonts w:cs="Times New Roman"/>
          <w:szCs w:val="24"/>
        </w:rPr>
        <w:fldChar w:fldCharType="begin" w:fldLock="1"/>
      </w:r>
      <w:r w:rsidR="003769E9" w:rsidRPr="001C2C36">
        <w:rPr>
          <w:rFonts w:cs="Times New Roman"/>
          <w:szCs w:val="24"/>
        </w:rPr>
        <w:instrText>ADDIN CSL_CITATION {"citationItems":[{"id":"ITEM-1","itemData":{"URL":"https://commonslibrary.parliament.uk/research-briefings/cbp-9152/#:~:text=11.7 million employee jobs were,was 4%25 of eligible jobs.","accessed":{"date-parts":[["2022","9","2"]]},"author":[{"dropping-particle":"","family":"Powell","given":"Andy","non-dropping-particle":"","parse-names":false,"suffix":""},{"dropping-particle":"","family":"Francis-Devine","given":"Brigid","non-dropping-particle":"","parse-names":false,"suffix":""},{"dropping-particle":"","family":"Clark","given":"Harriet","non-dropping-particle":"","parse-names":false,"suffix":""}],"id":"ITEM-1","issued":{"date-parts":[["2021"]]},"title":"Coronavirus Job Retention Scheme: statistics","type":"webpage"},"uris":["http://www.mendeley.com/documents/?uuid=bc228534-c93f-4135-b2ec-17928446ce65","http://www.mendeley.com/documents/?uuid=0c3069fa-cd2c-48de-a558-b370ad5f18a6"]}],"mendeley":{"formattedCitation":"(Powell et al., 2021)","plainTextFormattedCitation":"(Powell et al., 2021)","previouslyFormattedCitation":"(Powell et al., 2021)"},"properties":{"noteIndex":0},"schema":"https://github.com/citation-style-language/schema/raw/master/csl-citation.json"}</w:instrText>
      </w:r>
      <w:r w:rsidR="003769E9" w:rsidRPr="001C2C36">
        <w:rPr>
          <w:rFonts w:cs="Times New Roman"/>
          <w:szCs w:val="24"/>
        </w:rPr>
        <w:fldChar w:fldCharType="separate"/>
      </w:r>
      <w:r w:rsidR="003769E9" w:rsidRPr="001C2C36">
        <w:rPr>
          <w:rFonts w:cs="Times New Roman"/>
          <w:noProof/>
          <w:szCs w:val="24"/>
        </w:rPr>
        <w:t>(Powell et al., 2021)</w:t>
      </w:r>
      <w:r w:rsidR="003769E9" w:rsidRPr="001C2C36">
        <w:rPr>
          <w:rFonts w:cs="Times New Roman"/>
          <w:szCs w:val="24"/>
        </w:rPr>
        <w:fldChar w:fldCharType="end"/>
      </w:r>
      <w:r w:rsidR="003769E9" w:rsidRPr="001C2C36">
        <w:rPr>
          <w:rFonts w:cs="Times New Roman"/>
          <w:szCs w:val="24"/>
        </w:rPr>
        <w:t xml:space="preserve">. Broadly similar but less extensive </w:t>
      </w:r>
      <w:r w:rsidR="003769E9" w:rsidRPr="001C2C36">
        <w:rPr>
          <w:rFonts w:cs="Times New Roman"/>
          <w:szCs w:val="24"/>
        </w:rPr>
        <w:fldChar w:fldCharType="begin" w:fldLock="1"/>
      </w:r>
      <w:r w:rsidR="003769E9" w:rsidRPr="001C2C36">
        <w:rPr>
          <w:rFonts w:cs="Times New Roman"/>
          <w:szCs w:val="24"/>
        </w:rPr>
        <w:instrText>ADDIN CSL_CITATION {"citationItems":[{"id":"ITEM-1","itemData":{"DOI":"10.1177/0266242620986763","ISSN":"17412870","abstract":"It is well documented that the self-employed experience higher levels of happiness than waged employees even when their incomes are lower. Given the UK government’s asymmetric treatment of waged workers and the self-employed, we use a unique Covid-19 period data set which covers the months leading up to the March lockdown and the months just after to assess three aspects of the Covid-19 crisis on the self-employed: hours of work reductions, the associated income reductions and the effects of both on subjective well-being. Our findings show the large and disproportionate reductions in hours and income for the self-employed directly contributed to a deterioration in their levels of subjective well-being compared to waged workers. It appears that their resilience was broken when faced with the reality of dealing with rare events, particularly when the UK welfare support response was asymmetric and favouring waged employees.","author":[{"dropping-particle":"","family":"Yue","given":"Wei","non-dropping-particle":"","parse-names":false,"suffix":""},{"dropping-particle":"","family":"Cowling","given":"Marc","non-dropping-particle":"","parse-names":false,"suffix":""}],"container-title":"International Small Business Journal: Researching Entrepreneurship","id":"ITEM-1","issue":"2","issued":{"date-parts":[["2021"]]},"page":"93-108","title":"The Covid-19 lockdown in the United Kingdom and subjective well-being: Have the self-employed suffered more due to hours and income reductions?","type":"article-journal","volume":"39"},"uris":["http://www.mendeley.com/documents/?uuid=72c80b3a-29c1-4cba-81fc-71657a96e42d"]}],"mendeley":{"formattedCitation":"(Yue and Cowling, 2021)","plainTextFormattedCitation":"(Yue and Cowling, 2021)","previouslyFormattedCitation":"(Yue and Cowling, 2021)"},"properties":{"noteIndex":0},"schema":"https://github.com/citation-style-language/schema/raw/master/csl-citation.json"}</w:instrText>
      </w:r>
      <w:r w:rsidR="003769E9" w:rsidRPr="001C2C36">
        <w:rPr>
          <w:rFonts w:cs="Times New Roman"/>
          <w:szCs w:val="24"/>
        </w:rPr>
        <w:fldChar w:fldCharType="separate"/>
      </w:r>
      <w:r w:rsidR="003769E9" w:rsidRPr="001C2C36">
        <w:rPr>
          <w:rFonts w:cs="Times New Roman"/>
          <w:noProof/>
          <w:szCs w:val="24"/>
        </w:rPr>
        <w:t>(Yue and Cowling, 2021)</w:t>
      </w:r>
      <w:r w:rsidR="003769E9" w:rsidRPr="001C2C36">
        <w:rPr>
          <w:rFonts w:cs="Times New Roman"/>
          <w:szCs w:val="24"/>
        </w:rPr>
        <w:fldChar w:fldCharType="end"/>
      </w:r>
      <w:r w:rsidR="003769E9" w:rsidRPr="001C2C36">
        <w:rPr>
          <w:rFonts w:cs="Times New Roman"/>
          <w:szCs w:val="24"/>
        </w:rPr>
        <w:t xml:space="preserve"> support was provided for </w:t>
      </w:r>
      <w:r w:rsidR="005D7E7B" w:rsidRPr="001C2C36">
        <w:rPr>
          <w:rFonts w:cs="Times New Roman"/>
          <w:szCs w:val="24"/>
        </w:rPr>
        <w:t xml:space="preserve">the </w:t>
      </w:r>
      <w:r w:rsidR="003769E9" w:rsidRPr="001C2C36">
        <w:rPr>
          <w:rFonts w:cs="Times New Roman"/>
          <w:szCs w:val="24"/>
        </w:rPr>
        <w:t xml:space="preserve">self-employed via </w:t>
      </w:r>
      <w:r w:rsidR="00477699" w:rsidRPr="001C2C36">
        <w:rPr>
          <w:rFonts w:cs="Times New Roman"/>
          <w:szCs w:val="24"/>
        </w:rPr>
        <w:t xml:space="preserve">the </w:t>
      </w:r>
      <w:r w:rsidR="003769E9" w:rsidRPr="001C2C36">
        <w:rPr>
          <w:rFonts w:cs="Times New Roman"/>
          <w:i/>
          <w:iCs/>
          <w:szCs w:val="24"/>
        </w:rPr>
        <w:t xml:space="preserve">Self-Employment Income Support Scheme </w:t>
      </w:r>
      <w:r w:rsidR="003769E9" w:rsidRPr="001C2C36">
        <w:rPr>
          <w:rFonts w:cs="Times New Roman"/>
          <w:i/>
          <w:iCs/>
          <w:szCs w:val="24"/>
        </w:rPr>
        <w:lastRenderedPageBreak/>
        <w:t>(SEISS)</w:t>
      </w:r>
      <w:r w:rsidR="003769E9" w:rsidRPr="001C2C36">
        <w:rPr>
          <w:rFonts w:cs="Times New Roman"/>
          <w:szCs w:val="24"/>
        </w:rPr>
        <w:t xml:space="preserve"> with estimated costs of £28</w:t>
      </w:r>
      <w:r w:rsidR="00A92D5F" w:rsidRPr="001C2C36">
        <w:rPr>
          <w:rFonts w:cs="Times New Roman"/>
          <w:szCs w:val="24"/>
        </w:rPr>
        <w:t xml:space="preserve"> billion, supporting 2.9 million individuals</w:t>
      </w:r>
      <w:r w:rsidR="00676116" w:rsidRPr="001C2C36">
        <w:rPr>
          <w:rFonts w:cs="Times New Roman"/>
          <w:szCs w:val="24"/>
        </w:rPr>
        <w:t xml:space="preserve"> </w:t>
      </w:r>
      <w:r w:rsidR="00605D7D" w:rsidRPr="001C2C36">
        <w:rPr>
          <w:rFonts w:cs="Times New Roman"/>
          <w:szCs w:val="24"/>
        </w:rPr>
        <w:fldChar w:fldCharType="begin" w:fldLock="1"/>
      </w:r>
      <w:r w:rsidR="00B50EA6" w:rsidRPr="001C2C36">
        <w:rPr>
          <w:rFonts w:cs="Times New Roman"/>
          <w:szCs w:val="24"/>
        </w:rPr>
        <w:instrText>ADDIN CSL_CITATION {"citationItems":[{"id":"ITEM-1","itemData":{"URL":"https://www.nao.org.uk/overviews/covid-19-cost-tracker/","accessed":{"date-parts":[["2022","9","2"]]},"author":[{"dropping-particle":"","family":"National Audit Office","given":"","non-dropping-particle":"","parse-names":false,"suffix":""}],"id":"ITEM-1","issued":{"date-parts":[["2022"]]},"title":"COVID-19 cost tracker","type":"webpage"},"uris":["http://www.mendeley.com/documents/?uuid=c7c101bb-57e0-4b7e-b3fc-f64a55861372"]}],"mendeley":{"formattedCitation":"(National Audit Office, 2022)","plainTextFormattedCitation":"(National Audit Office, 2022)","previouslyFormattedCitation":"(National Audit Office, 2022)"},"properties":{"noteIndex":0},"schema":"https://github.com/citation-style-language/schema/raw/master/csl-citation.json"}</w:instrText>
      </w:r>
      <w:r w:rsidR="00605D7D" w:rsidRPr="001C2C36">
        <w:rPr>
          <w:rFonts w:cs="Times New Roman"/>
          <w:szCs w:val="24"/>
        </w:rPr>
        <w:fldChar w:fldCharType="separate"/>
      </w:r>
      <w:r w:rsidR="00605D7D" w:rsidRPr="001C2C36">
        <w:rPr>
          <w:rFonts w:cs="Times New Roman"/>
          <w:noProof/>
          <w:szCs w:val="24"/>
        </w:rPr>
        <w:t>(National Audit Office, 2022)</w:t>
      </w:r>
      <w:r w:rsidR="00605D7D" w:rsidRPr="001C2C36">
        <w:rPr>
          <w:rFonts w:cs="Times New Roman"/>
          <w:szCs w:val="24"/>
        </w:rPr>
        <w:fldChar w:fldCharType="end"/>
      </w:r>
      <w:r w:rsidR="00605D7D" w:rsidRPr="001C2C36">
        <w:rPr>
          <w:rFonts w:cs="Times New Roman"/>
          <w:szCs w:val="24"/>
        </w:rPr>
        <w:t>.</w:t>
      </w:r>
    </w:p>
    <w:p w14:paraId="101E8D6F" w14:textId="7FE2423D" w:rsidR="003769E9" w:rsidRPr="001C2C36" w:rsidRDefault="4249B711" w:rsidP="20696941">
      <w:pPr>
        <w:rPr>
          <w:rFonts w:cs="Times New Roman"/>
        </w:rPr>
      </w:pPr>
      <w:r w:rsidRPr="001C2C36">
        <w:rPr>
          <w:rFonts w:eastAsia="Calibri" w:cs="Times New Roman"/>
        </w:rPr>
        <w:t>Other Covid-19 support instruments</w:t>
      </w:r>
      <w:r w:rsidR="3F61153C" w:rsidRPr="001C2C36">
        <w:rPr>
          <w:rFonts w:eastAsia="Calibri" w:cs="Times New Roman"/>
        </w:rPr>
        <w:t xml:space="preserve"> </w:t>
      </w:r>
      <w:r w:rsidR="2F01B597" w:rsidRPr="001C2C36">
        <w:rPr>
          <w:rFonts w:eastAsia="Calibri" w:cs="Times New Roman"/>
        </w:rPr>
        <w:t xml:space="preserve">were </w:t>
      </w:r>
      <w:r w:rsidR="3F61153C" w:rsidRPr="001C2C36">
        <w:rPr>
          <w:rFonts w:eastAsia="Calibri" w:cs="Times New Roman"/>
        </w:rPr>
        <w:t>less direct</w:t>
      </w:r>
      <w:r w:rsidR="2F01B597" w:rsidRPr="001C2C36">
        <w:rPr>
          <w:rFonts w:eastAsia="Calibri" w:cs="Times New Roman"/>
        </w:rPr>
        <w:t>ly</w:t>
      </w:r>
      <w:r w:rsidR="3F61153C" w:rsidRPr="001C2C36">
        <w:rPr>
          <w:rFonts w:eastAsia="Calibri" w:cs="Times New Roman"/>
        </w:rPr>
        <w:t xml:space="preserve"> relat</w:t>
      </w:r>
      <w:r w:rsidR="2F01B597" w:rsidRPr="001C2C36">
        <w:rPr>
          <w:rFonts w:eastAsia="Calibri" w:cs="Times New Roman"/>
        </w:rPr>
        <w:t>ed</w:t>
      </w:r>
      <w:r w:rsidR="3F61153C" w:rsidRPr="001C2C36">
        <w:rPr>
          <w:rFonts w:eastAsia="Calibri" w:cs="Times New Roman"/>
        </w:rPr>
        <w:t xml:space="preserve"> to employment. </w:t>
      </w:r>
      <w:r w:rsidR="589BEB7E" w:rsidRPr="001C2C36">
        <w:rPr>
          <w:rFonts w:cs="Times New Roman"/>
        </w:rPr>
        <w:t xml:space="preserve">The most prominent tax cut </w:t>
      </w:r>
      <w:r w:rsidR="2F01B597" w:rsidRPr="001C2C36">
        <w:rPr>
          <w:rFonts w:cs="Times New Roman"/>
        </w:rPr>
        <w:t>was</w:t>
      </w:r>
      <w:r w:rsidR="589BEB7E" w:rsidRPr="001C2C36">
        <w:rPr>
          <w:rFonts w:cs="Times New Roman"/>
        </w:rPr>
        <w:t xml:space="preserve"> </w:t>
      </w:r>
      <w:r w:rsidR="589BEB7E" w:rsidRPr="001C2C36">
        <w:rPr>
          <w:rFonts w:cs="Times New Roman"/>
          <w:i/>
          <w:iCs/>
        </w:rPr>
        <w:t>Business Rates Holiday (BRH),</w:t>
      </w:r>
      <w:r w:rsidR="589BEB7E" w:rsidRPr="001C2C36">
        <w:rPr>
          <w:rFonts w:cs="Times New Roman"/>
        </w:rPr>
        <w:t xml:space="preserve"> with an estimated cost of £17 billion. Relief from commercial property taxation w</w:t>
      </w:r>
      <w:r w:rsidR="2F3AEDF3" w:rsidRPr="001C2C36">
        <w:rPr>
          <w:rFonts w:cs="Times New Roman"/>
        </w:rPr>
        <w:t>as</w:t>
      </w:r>
      <w:r w:rsidR="589BEB7E" w:rsidRPr="001C2C36">
        <w:rPr>
          <w:rFonts w:cs="Times New Roman"/>
        </w:rPr>
        <w:t xml:space="preserve"> introduced for the majority of businesses. Those that operate in retail, hospitality and leisure businesses, and nurseries, had their business rates waived for the 2020/21 tax year. The support was later extended until 30 June 2021 when rates were reintroduced at a two-thirds discount. Amongst other support measures, the government also offered </w:t>
      </w:r>
      <w:r w:rsidR="589BEB7E" w:rsidRPr="001C2C36">
        <w:rPr>
          <w:rFonts w:cs="Times New Roman"/>
          <w:i/>
          <w:iCs/>
        </w:rPr>
        <w:t>VAT deferral (VATD)</w:t>
      </w:r>
      <w:r w:rsidR="589BEB7E" w:rsidRPr="001C2C36">
        <w:rPr>
          <w:rFonts w:cs="Times New Roman"/>
        </w:rPr>
        <w:t xml:space="preserve"> and </w:t>
      </w:r>
      <w:r w:rsidR="589BEB7E" w:rsidRPr="001C2C36">
        <w:rPr>
          <w:rFonts w:cs="Times New Roman"/>
          <w:i/>
          <w:iCs/>
        </w:rPr>
        <w:t>HMRC’s Time to Pay (</w:t>
      </w:r>
      <w:proofErr w:type="spellStart"/>
      <w:r w:rsidR="589BEB7E" w:rsidRPr="001C2C36">
        <w:rPr>
          <w:rFonts w:cs="Times New Roman"/>
          <w:i/>
          <w:iCs/>
        </w:rPr>
        <w:t>TtP</w:t>
      </w:r>
      <w:proofErr w:type="spellEnd"/>
      <w:r w:rsidR="589BEB7E" w:rsidRPr="001C2C36">
        <w:rPr>
          <w:rFonts w:cs="Times New Roman"/>
          <w:i/>
          <w:iCs/>
        </w:rPr>
        <w:t>)</w:t>
      </w:r>
      <w:r w:rsidR="589BEB7E" w:rsidRPr="001C2C36">
        <w:rPr>
          <w:rFonts w:cs="Times New Roman"/>
        </w:rPr>
        <w:t xml:space="preserve">. The latter deferral applied from 20 March to 30 June 2020 and was offered automatically, so businesses were not required to make an application. A total of £33.5 billion was deferred over the period. Whilst the existing scheme HMRC Time to Pay was extended by scrapping the usual 3.5% annual interest on deferred payments and offering more extended periods to settle the tax bills. </w:t>
      </w:r>
    </w:p>
    <w:p w14:paraId="26BB7F8F" w14:textId="4EC69893" w:rsidR="00E81BA8" w:rsidRPr="001C2C36" w:rsidRDefault="007A5599" w:rsidP="00C94CB4">
      <w:pPr>
        <w:spacing w:before="240"/>
        <w:rPr>
          <w:rFonts w:eastAsia="Calibri" w:cs="Times New Roman"/>
        </w:rPr>
      </w:pPr>
      <w:r w:rsidRPr="001C2C36">
        <w:rPr>
          <w:rFonts w:cs="Times New Roman"/>
          <w:szCs w:val="24"/>
        </w:rPr>
        <w:t xml:space="preserve">Although </w:t>
      </w:r>
      <w:r w:rsidR="006E5DA8" w:rsidRPr="001C2C36">
        <w:rPr>
          <w:rFonts w:cs="Times New Roman"/>
          <w:szCs w:val="24"/>
        </w:rPr>
        <w:t xml:space="preserve">other </w:t>
      </w:r>
      <w:r w:rsidR="54FEF5A0" w:rsidRPr="001C2C36">
        <w:rPr>
          <w:rFonts w:eastAsia="Calibri" w:cs="Times New Roman"/>
        </w:rPr>
        <w:t>Covid-19 support instruments</w:t>
      </w:r>
      <w:r w:rsidR="33C96469" w:rsidRPr="001C2C36">
        <w:rPr>
          <w:rFonts w:eastAsia="Calibri" w:cs="Times New Roman"/>
        </w:rPr>
        <w:t xml:space="preserve">, such as </w:t>
      </w:r>
      <w:r w:rsidR="33C96469" w:rsidRPr="001C2C36">
        <w:rPr>
          <w:rFonts w:eastAsia="Calibri" w:cs="Times New Roman"/>
          <w:i/>
          <w:iCs/>
        </w:rPr>
        <w:t>BRH</w:t>
      </w:r>
      <w:r w:rsidRPr="001C2C36">
        <w:rPr>
          <w:rFonts w:eastAsia="Calibri" w:cs="Times New Roman"/>
        </w:rPr>
        <w:t xml:space="preserve">, </w:t>
      </w:r>
      <w:r w:rsidR="70CE7EC0" w:rsidRPr="001C2C36">
        <w:rPr>
          <w:rFonts w:eastAsia="Calibri" w:cs="Times New Roman"/>
        </w:rPr>
        <w:t xml:space="preserve">are less </w:t>
      </w:r>
      <w:r w:rsidR="008A696A" w:rsidRPr="001C2C36">
        <w:rPr>
          <w:rFonts w:eastAsia="Calibri" w:cs="Times New Roman"/>
        </w:rPr>
        <w:t>directly related to employment</w:t>
      </w:r>
      <w:r w:rsidRPr="001C2C36">
        <w:rPr>
          <w:rFonts w:eastAsia="Calibri" w:cs="Times New Roman"/>
        </w:rPr>
        <w:t>, they</w:t>
      </w:r>
      <w:r w:rsidR="00700CAC" w:rsidRPr="001C2C36">
        <w:rPr>
          <w:rFonts w:eastAsia="Calibri" w:cs="Times New Roman"/>
        </w:rPr>
        <w:t xml:space="preserve"> should also trigger positive effects</w:t>
      </w:r>
      <w:r w:rsidR="002346D2" w:rsidRPr="001C2C36">
        <w:rPr>
          <w:rFonts w:eastAsia="Calibri" w:cs="Times New Roman"/>
        </w:rPr>
        <w:t xml:space="preserve">, </w:t>
      </w:r>
      <w:r w:rsidR="00D413D1" w:rsidRPr="001C2C36">
        <w:rPr>
          <w:rFonts w:eastAsia="Calibri" w:cs="Times New Roman"/>
        </w:rPr>
        <w:t xml:space="preserve">similarly to other tax incentives </w:t>
      </w:r>
      <w:r w:rsidR="00D413D1" w:rsidRPr="001C2C36">
        <w:rPr>
          <w:rFonts w:eastAsia="Calibri" w:cs="Times New Roman"/>
        </w:rPr>
        <w:fldChar w:fldCharType="begin" w:fldLock="1"/>
      </w:r>
      <w:r w:rsidR="004526BE" w:rsidRPr="001C2C36">
        <w:rPr>
          <w:rFonts w:eastAsia="Calibri" w:cs="Times New Roman"/>
        </w:rPr>
        <w:instrText>ADDIN CSL_CITATION {"citationItems":[{"id":"ITEM-1","itemData":{"DOI":"10.1007/s11187-017-9982-3","ISSN":"15730913","abstract":"This paper investigates the effect of location-based tax incentives on local economy through attracting entrepreneurial activities in the context of China. We exploit the differentials in the entry of new private firms across counties on the border of China’s Western Regional Development Strategy (WRDS). This strategy introduces an 18% reduction in corporate income tax rates for firms in the western areas in China after 2000 if they belong to the sectors encouraged by the central government. Comparing contiguous border county pairs in a triple difference-in-difference framework, we find that the increase in the number of new entrants eligible for tax reduction is larger in the treatment counties than in the control ones. We also find that new entrants increase in treated counties not at the cost of significant loss in nearby untreated counties. Our further analysis shows that whether a treatment county is more favored by new firms due to tax incentives depends on its local industrial base and market environment.","author":[{"dropping-particle":"","family":"Liu","given":"Zhikuo","non-dropping-particle":"","parse-names":false,"suffix":""},{"dropping-particle":"","family":"Wu","given":"Huihang","non-dropping-particle":"","parse-names":false,"suffix":""},{"dropping-particle":"","family":"Wu","given":"Jianfeng","non-dropping-particle":"","parse-names":false,"suffix":""}],"container-title":"Small Business Economics","id":"ITEM-1","issue":"3","issued":{"date-parts":[["2019"]]},"page":"729-742","publisher":"Small Business Economics","title":"Location-based tax incentives and entrepreneurial activities: evidence from Western Regional Development Strategy in China","type":"article-journal","volume":"52"},"uris":["http://www.mendeley.com/documents/?uuid=f6f2b38e-4669-47b9-a60a-4d1b28b14157"]},{"id":"ITEM-2","itemData":{"DOI":"10.1007/s11187-018-0074-9","ISSN":"15730913","abstract":"This paper studies the effect of R&amp;D tax incentives on the research activity of manufacturing firms based in France, Italy, Spain and the UK, over the period 2007–2009. Using a matching procedure, we show that, in all the examined countries but Spain, R&amp;D tax incentives induced a statistically significant increase in the intensity of R&amp;D expenses over sales. However, this effect is driven only by the behaviour of small firms. By assessing the benefit-cost ratio of R&amp;D tax policies, we find evidence of substantial additional effects in Italy and the UK.","author":[{"dropping-particle":"","family":"Sterlacchini","given":"Alessandro","non-dropping-particle":"","parse-names":false,"suffix":""},{"dropping-particle":"","family":"Venturini","given":"Francesco","non-dropping-particle":"","parse-names":false,"suffix":""}],"container-title":"Small Business Economics","id":"ITEM-2","issue":"3","issued":{"date-parts":[["2019"]]},"page":"687-708","publisher":"Small Business Economics","title":"R&amp;D tax incentives in EU countries: does the impact vary with firm size?","type":"article-journal","volume":"53"},"uris":["http://www.mendeley.com/documents/?uuid=bbfe34a0-0455-44a5-906b-7fc266681ab5"]},{"id":"ITEM-3","itemData":{"DOI":"10.1007/s11187-020-00413-0","ISSN":"15730913","abstract":"We examine the impact of corporate taxation on entrepreneurship, using a quasi-natural experiment, which substantially reduced the corporate tax rate for start-ups located in inland municipalities in Portugal. Using a difference-in-differences approach and IV regression, we find that the tax reform increased firm entry and new firm job creation. The entrepreneurs who took advantage of this tax reform are relatively older, and are better-educated individuals. Their start-ups are relatively larger, more productive, and are more likely to survive the first 3 years. These findings suggest that corporate taxation is an imperative constraint for entrepreneurship, particularly for high-quality entrepreneurs. These better-educated individuals find it easier to overcome the hurdles of tax legislation and to make use of the opportunities created by a specific tax reform.","author":[{"dropping-particle":"","family":"Venâncio","given":"Ana","non-dropping-particle":"","parse-names":false,"suffix":""},{"dropping-particle":"","family":"Barros","given":"Victor","non-dropping-particle":"","parse-names":false,"suffix":""},{"dropping-particle":"","family":"Raposo","given":"Clara","non-dropping-particle":"","parse-names":false,"suffix":""}],"container-title":"Small Business Economics","id":"ITEM-3","issue":"1","issued":{"date-parts":[["2022"]]},"page":"353-382","publisher":"Small Business Economics","title":"Corporate taxes and high-quality entrepreneurship","type":"article-journal","volume":"58"},"uris":["http://www.mendeley.com/documents/?uuid=df4fff97-ef69-44ba-b312-8bf10f295219"]}],"mendeley":{"formattedCitation":"(Liu et al., 2019; Sterlacchini and Venturini, 2019; Venâncio et al., 2022)","plainTextFormattedCitation":"(Liu et al., 2019; Sterlacchini and Venturini, 2019; Venâncio et al., 2022)","previouslyFormattedCitation":"(Liu et al., 2019; Sterlacchini and Venturini, 2019; Venâncio et al., 2022)"},"properties":{"noteIndex":0},"schema":"https://github.com/citation-style-language/schema/raw/master/csl-citation.json"}</w:instrText>
      </w:r>
      <w:r w:rsidR="00D413D1" w:rsidRPr="001C2C36">
        <w:rPr>
          <w:rFonts w:eastAsia="Calibri" w:cs="Times New Roman"/>
        </w:rPr>
        <w:fldChar w:fldCharType="separate"/>
      </w:r>
      <w:r w:rsidR="00D413D1" w:rsidRPr="001C2C36">
        <w:rPr>
          <w:rFonts w:eastAsia="Calibri" w:cs="Times New Roman"/>
          <w:noProof/>
        </w:rPr>
        <w:t>(Liu et al., 2019; Sterlacchini and Venturini, 2019; Venâncio et al., 2022)</w:t>
      </w:r>
      <w:r w:rsidR="00D413D1" w:rsidRPr="001C2C36">
        <w:rPr>
          <w:rFonts w:eastAsia="Calibri" w:cs="Times New Roman"/>
        </w:rPr>
        <w:fldChar w:fldCharType="end"/>
      </w:r>
      <w:r w:rsidR="00700CAC" w:rsidRPr="001C2C36">
        <w:rPr>
          <w:rFonts w:eastAsia="Calibri" w:cs="Times New Roman"/>
        </w:rPr>
        <w:t xml:space="preserve">. </w:t>
      </w:r>
      <w:r w:rsidR="00C94CB4" w:rsidRPr="001C2C36">
        <w:rPr>
          <w:rFonts w:eastAsia="Calibri" w:cs="Times New Roman"/>
        </w:rPr>
        <w:t xml:space="preserve">We typically assume that public resources spent </w:t>
      </w:r>
      <w:r w:rsidR="00521D2E" w:rsidRPr="001C2C36">
        <w:rPr>
          <w:rFonts w:eastAsia="Calibri" w:cs="Times New Roman"/>
        </w:rPr>
        <w:t>on</w:t>
      </w:r>
      <w:r w:rsidR="00C94CB4" w:rsidRPr="001C2C36">
        <w:rPr>
          <w:rFonts w:eastAsia="Calibri" w:cs="Times New Roman"/>
        </w:rPr>
        <w:t xml:space="preserve"> support instruments will return to the economy through </w:t>
      </w:r>
      <w:r w:rsidR="00C94CB4" w:rsidRPr="001C2C36">
        <w:rPr>
          <w:rFonts w:cs="Times New Roman"/>
          <w:color w:val="000000"/>
        </w:rPr>
        <w:t>overall regional economic development by increasing competitiveness and creating employment</w:t>
      </w:r>
      <w:r w:rsidR="00E40893" w:rsidRPr="001C2C36">
        <w:rPr>
          <w:rFonts w:eastAsia="Calibri" w:cs="Times New Roman"/>
        </w:rPr>
        <w:t xml:space="preserve"> </w:t>
      </w:r>
      <w:r w:rsidR="00E40893" w:rsidRPr="001C2C36">
        <w:rPr>
          <w:rFonts w:cs="Times New Roman"/>
          <w:color w:val="000000"/>
        </w:rPr>
        <w:fldChar w:fldCharType="begin" w:fldLock="1"/>
      </w:r>
      <w:r w:rsidR="00F068A2" w:rsidRPr="001C2C36">
        <w:rPr>
          <w:rFonts w:cs="Times New Roman"/>
          <w:color w:val="000000"/>
        </w:rPr>
        <w:instrText>ADDIN CSL_CITATION {"citationItems":[{"id":"ITEM-1","itemData":{"DOI":"10.1016/j.worlddev.2017.04.012","ISSN":"18735991","abstract":"Many people in Low- and Middle-Income Countries (LMICs) work for Small and Medium-sized Enterprises (SMEs). Oftentimes, these SMEs have limited access to finance. Interventions to promote financial access for SMEs are therefore an integral part of the development strategy of many governments and donors. To provide an overview of the effectiveness of these interventions, we conduct a systematic review and multivariate meta-analysis. This yields three results. Firstly, few evaluations of SME finance programs apply the same rigorous experimental methods that are more commonly used in studies of microfinance. Secondly, most evaluations of SME finance programs consider neither spillover effects to other enterprises nor effects on the employee level. Thirdly, we find a positive significant effect of SME finance on capital investment, firm performance, and employment within the supported firm, whereas the summary effect on profitability and wages is insignificant. In sum, it remains unclear to what extent SME finance contributes to economic development and poverty reduction. We discuss the main policy implications of these findings as well as the limitations and suggestions for future research on SME finance.","author":[{"dropping-particle":"","family":"Kersten","given":"Renate","non-dropping-particle":"","parse-names":false,"suffix":""},{"dropping-particle":"","family":"Harms","given":"Job","non-dropping-particle":"","parse-names":false,"suffix":""},{"dropping-particle":"","family":"Liket","given":"Kellie","non-dropping-particle":"","parse-names":false,"suffix":""},{"dropping-particle":"","family":"Maas","given":"Karen","non-dropping-particle":"","parse-names":false,"suffix":""}],"container-title":"World Development","id":"ITEM-1","issue":"2016","issued":{"date-parts":[["2017"]]},"page":"330-348","publisher":"Elsevier Ltd","title":"Small Firms, large Impact? A systematic review of the SME Finance Literature","type":"article-journal","volume":"97"},"uris":["http://www.mendeley.com/documents/?uuid=ea7a9990-c7a2-4b02-a367-9da077d39695"]},{"id":"ITEM-2","itemData":{"DOI":"10.1177/02662426221124733","ISSN":"17412870","abstract":"In 2012, the UK government made the decision to offer loans to new entrepreneurs who were excluded from the credit market through the start-up loan (SUL) scheme. By 2021, loans totalling £759 million have been issued to 85,809 new start-ups. A disproportionate share of these SULs was issued to previously unemployed people to support their transition into self-employment. This paper questions whether those who started with the fewest resources achieved better or worse outcomes than those who started from a more beneficial position. Our findings show that previously unemployed start-ups had smaller loans and that they had a higher default hazard on their loans than entrants from waged employment, but more educated and older unemployed entrants survived longer. More generally, SULs to unemployed start-ups were cost-effective for the government in a loan portfolio sense, but once the benefits of supported entry into self-employment were fully accounted for, the overall contribution was very positive. This highlights the potential more comprehensive societal benefits of removing capital constraints by supporting the transition from unemployment to self-employment. Furthermore, we propose testing the effect of replacement start-up subsidies by soft loans in those countries, offering only direct grants, to increase the efficiency of public financial resources.","author":[{"dropping-particle":"","family":"Cowling","given":"Marc","non-dropping-particle":"","parse-names":false,"suffix":""},{"dropping-particle":"","family":"Dvouletý","given":"Ondřej","non-dropping-particle":"","parse-names":false,"suffix":""}],"container-title":"International Small Business Journal: Researching Entrepreneurship","id":"ITEM-2","issued":{"date-parts":[["2022"]]},"title":"UK government-backed start-up loans: Tackling disadvantage and credit rationing of new entrepreneurs","type":"article-journal"},"uris":["http://www.mendeley.com/documents/?uuid=3f91eeda-5f53-42bb-9484-8f02a1bb7d03"]}],"mendeley":{"formattedCitation":"(Cowling and Dvouletý, 2022; Kersten et al., 2017)","plainTextFormattedCitation":"(Cowling and Dvouletý, 2022; Kersten et al., 2017)","previouslyFormattedCitation":"(Cowling and Dvouletý, 2022; Kersten et al., 2017)"},"properties":{"noteIndex":0},"schema":"https://github.com/citation-style-language/schema/raw/master/csl-citation.json"}</w:instrText>
      </w:r>
      <w:r w:rsidR="00E40893" w:rsidRPr="001C2C36">
        <w:rPr>
          <w:rFonts w:cs="Times New Roman"/>
          <w:color w:val="000000"/>
        </w:rPr>
        <w:fldChar w:fldCharType="separate"/>
      </w:r>
      <w:r w:rsidR="00E40893" w:rsidRPr="001C2C36">
        <w:rPr>
          <w:rFonts w:cs="Times New Roman"/>
          <w:noProof/>
          <w:color w:val="000000"/>
        </w:rPr>
        <w:t>(Cowling and Dvouletý, 2022; Kersten et al., 2017)</w:t>
      </w:r>
      <w:r w:rsidR="00E40893" w:rsidRPr="001C2C36">
        <w:rPr>
          <w:rFonts w:cs="Times New Roman"/>
          <w:color w:val="000000"/>
        </w:rPr>
        <w:fldChar w:fldCharType="end"/>
      </w:r>
      <w:r w:rsidR="00E40893" w:rsidRPr="001C2C36">
        <w:rPr>
          <w:rFonts w:cs="Times New Roman"/>
          <w:color w:val="000000"/>
        </w:rPr>
        <w:t xml:space="preserve">. </w:t>
      </w:r>
      <w:r w:rsidR="00521D2E" w:rsidRPr="001C2C36">
        <w:rPr>
          <w:rFonts w:eastAsia="Calibri" w:cs="Times New Roman"/>
        </w:rPr>
        <w:t>The support</w:t>
      </w:r>
      <w:r w:rsidR="007E18E4" w:rsidRPr="001C2C36">
        <w:rPr>
          <w:rFonts w:eastAsia="Calibri" w:cs="Times New Roman"/>
        </w:rPr>
        <w:t xml:space="preserve"> should relieve businesses of cashflow problems</w:t>
      </w:r>
      <w:r w:rsidR="00A56D78" w:rsidRPr="001C2C36">
        <w:rPr>
          <w:rFonts w:eastAsia="Calibri" w:cs="Times New Roman"/>
        </w:rPr>
        <w:t>,</w:t>
      </w:r>
      <w:r w:rsidR="007E18E4" w:rsidRPr="001C2C36">
        <w:rPr>
          <w:rFonts w:eastAsia="Calibri" w:cs="Times New Roman"/>
        </w:rPr>
        <w:t xml:space="preserve"> amplified by the shock in demand or operations and, in this way, enable them to sustain employment during an external shock </w:t>
      </w:r>
      <w:r w:rsidR="007E18E4" w:rsidRPr="001C2C36">
        <w:rPr>
          <w:rFonts w:eastAsia="Calibri" w:cs="Times New Roman"/>
        </w:rPr>
        <w:fldChar w:fldCharType="begin" w:fldLock="1"/>
      </w:r>
      <w:r w:rsidR="007E18E4" w:rsidRPr="001C2C36">
        <w:rPr>
          <w:rFonts w:eastAsia="Calibri" w:cs="Times New Roman"/>
        </w:rPr>
        <w:instrText>ADDIN CSL_CITATION {"citationItems":[{"id":"ITEM-1","itemData":{"DOI":"10.1080/09669582.2011.630080","ISSN":"09669582","abstract":"This paper explores the resilience of vulnerable tourism sectors to disasters in a period of global change and interdependence. The coral reef tourism industry is highly vulnerable to natural disasters and economic and political shocks. The paper also explains why enterprise resilience is central to sustainable tourism management, for economic, sociocultural and environmental reasons. It extends the concepts of ecological and social resilience to that of enterprise resilience. Using scenarios and interviews with key enterprise staff, the study contrasts the levels of resilience of formal and informal reef tourism enterprises, and the factors associated with the enterprise resilience in Phuket, Thailand, following the 2004 tsunami and the 2008 political crisis. Informal enterprises reported better financial condition in a crisis scenario and higher levels of social capital in the form of government, family and community support than formal enterprises. Formal and informal enterprises both enjoy high lifestyle benefits from reef tourism, which supports resilience. Most formal enterprises had part foreign ownership/management (61%); no informal enterprise had any foreign ownership or management. Management policies supporting reef tourism should consider local nuances and the importance of lifestyle benefits for both formal and informal enterprises, and take steps to enable enterprise flexibility and cost-cutting during crises. © 2012 Copyright Taylor and Francis Group, LLC.","author":[{"dropping-particle":"","family":"Biggs","given":"Duan","non-dropping-particle":"","parse-names":false,"suffix":""},{"dropping-particle":"","family":"Hall","given":"C. Michael","non-dropping-particle":"","parse-names":false,"suffix":""},{"dropping-particle":"","family":"Stoeckl","given":"Natalie","non-dropping-particle":"","parse-names":false,"suffix":""}],"container-title":"Journal of Sustainable Tourism","id":"ITEM-1","issue":"5","issued":{"date-parts":[["2012"]]},"page":"645-665","title":"The resilience of formal and informal tourism enterprises to disasters: Reef tourism in Phuket, Thailand","type":"article-journal","volume":"20"},"uris":["http://www.mendeley.com/documents/?uuid=95b8cb1c-454e-47d7-94bc-3feadbae22fd","http://www.mendeley.com/documents/?uuid=15b0d19f-d245-43ce-8a75-5d353b6532b5"]},{"id":"ITEM-2","itemData":{"DOI":"10.1080/17477891.2012.761593","ISSN":"17477891","abstract":"This study, carried out among 251 small-scale firm owners by means of a cross-sectional survey, attempted to identify the factors affecting business recovery from disaster in a flood-prone area of Bangladesh. We selected the participants by using a convenience sampling technique, taking into consideration the characteristics of the firms, and the various enabling-and disaster-impact factors needed to identify those factors significant to business recovery from natural disaster. Results demonstrated that more than three-quarters (87.3%) of owners recovered their firms after disaster. Multivariate logistic regression analyses revealed that a total of six variables had a significant impact on business recovery: two variables pertaining to the firms characteristics, namely, retail firms (OR = 0.147, P &lt; 0.05) and the number of employees &gt;4 (OR = 0.094, P &lt; 0.01); two variables pertaining to enabling factors, namely, receiving loans (OR = 0.232, P &lt; 0.01) and the perception of recovery (OR = 16.178, P &lt; 0.01); and two variables pertaining to disaster-impact factors, namely, an income loss amounting to &gt;BDT 2000 (OR = 7.395, P &lt; 0.05) and permanent or temporary relocation of the market (OR = 9.252, P &lt; 0.001). Results further demonstrated that almost equally half of the owners recovered their firms immediately or within 7 days after disaster (50.9%); the remaining 49.1% took longer. Multivariate analyses, on the other hand, significantly identified three characteristics, namely, 6-10 years of business operation (OR = 0.267, P &lt; 0.01), 2-4 employees (OR = 0.1.822, P &lt; 0.01), and a monthly income of BDT 5001-7500 (OR = 4.167, P &lt; 0.01); two enabling factors, namely, institutional education (OR = 0.400, P &lt; 0.05) and awareness of disaster assistance (OR = 0.607, P &lt; 0.05); and two disaster-impact factors, namely, loss of human resources (OR = 6.293, P &lt; 0.05) and interrupted supply of raw materials (OR = 4.741, P &lt; 0.05). We concluded the study with discussions of a few policy implications. © 2013 Taylor &amp; Francis.","author":[{"dropping-particle":"","family":"Khan","given":"Mohammad Aftab Uddin","non-dropping-particle":"","parse-names":false,"suffix":""},{"dropping-particle":"","family":"Sayem","given":"Mohammad Amir","non-dropping-particle":"","parse-names":false,"suffix":""}],"container-title":"Environmental Hazards","id":"ITEM-2","issue":"3-4","issued":{"date-parts":[["2013"]]},"page":"218-239","title":"Understanding recovery of small enterprises from natural disaster","type":"article-journal","volume":"12"},"uris":["http://www.mendeley.com/documents/?uuid=920f173d-6efa-4c45-9e00-9cd639ddc780","http://www.mendeley.com/documents/?uuid=8f99d60d-b3b0-4e1e-b1ef-6b18ec7944af"]}],"mendeley":{"formattedCitation":"(Biggs et al., 2012; Khan and Sayem, 2013)","plainTextFormattedCitation":"(Biggs et al., 2012; Khan and Sayem, 2013)","previouslyFormattedCitation":"(Biggs et al., 2012; Khan and Sayem, 2013)"},"properties":{"noteIndex":0},"schema":"https://github.com/citation-style-language/schema/raw/master/csl-citation.json"}</w:instrText>
      </w:r>
      <w:r w:rsidR="007E18E4" w:rsidRPr="001C2C36">
        <w:rPr>
          <w:rFonts w:eastAsia="Calibri" w:cs="Times New Roman"/>
        </w:rPr>
        <w:fldChar w:fldCharType="separate"/>
      </w:r>
      <w:r w:rsidR="007E18E4" w:rsidRPr="001C2C36">
        <w:rPr>
          <w:rFonts w:eastAsia="Calibri" w:cs="Times New Roman"/>
          <w:noProof/>
        </w:rPr>
        <w:t>(Biggs et al., 2012; Khan and Sayem, 2013)</w:t>
      </w:r>
      <w:r w:rsidR="007E18E4" w:rsidRPr="001C2C36">
        <w:rPr>
          <w:rFonts w:eastAsia="Calibri" w:cs="Times New Roman"/>
        </w:rPr>
        <w:fldChar w:fldCharType="end"/>
      </w:r>
      <w:r w:rsidR="007E18E4" w:rsidRPr="001C2C36">
        <w:rPr>
          <w:rFonts w:eastAsia="Calibri" w:cs="Times New Roman"/>
        </w:rPr>
        <w:t>, such as the Covid-19 pandemic.</w:t>
      </w:r>
      <w:r w:rsidR="00C8155C" w:rsidRPr="001C2C36">
        <w:rPr>
          <w:rFonts w:eastAsia="Calibri" w:cs="Times New Roman"/>
        </w:rPr>
        <w:t xml:space="preserve"> Furthermore, the support </w:t>
      </w:r>
      <w:r w:rsidR="00606F2A" w:rsidRPr="001C2C36">
        <w:rPr>
          <w:rFonts w:eastAsia="Calibri" w:cs="Times New Roman"/>
        </w:rPr>
        <w:t xml:space="preserve">also has </w:t>
      </w:r>
      <w:r w:rsidR="00E870E6" w:rsidRPr="001C2C36">
        <w:rPr>
          <w:rFonts w:eastAsia="Calibri" w:cs="Times New Roman"/>
        </w:rPr>
        <w:t>the</w:t>
      </w:r>
      <w:r w:rsidR="00A12652" w:rsidRPr="001C2C36">
        <w:rPr>
          <w:rFonts w:eastAsia="Calibri" w:cs="Times New Roman"/>
        </w:rPr>
        <w:t xml:space="preserve"> potential to</w:t>
      </w:r>
      <w:r w:rsidR="00C8155C" w:rsidRPr="001C2C36">
        <w:rPr>
          <w:rFonts w:eastAsia="Calibri" w:cs="Times New Roman"/>
        </w:rPr>
        <w:t xml:space="preserve"> enabl</w:t>
      </w:r>
      <w:r w:rsidR="00E870E6" w:rsidRPr="001C2C36">
        <w:rPr>
          <w:rFonts w:eastAsia="Calibri" w:cs="Times New Roman"/>
        </w:rPr>
        <w:t>e</w:t>
      </w:r>
      <w:r w:rsidR="0026732D" w:rsidRPr="001C2C36">
        <w:rPr>
          <w:rFonts w:eastAsia="Calibri" w:cs="Times New Roman"/>
        </w:rPr>
        <w:t xml:space="preserve"> SMEs to focus on taking advantage of opportunities for growth that arise during the pandemic</w:t>
      </w:r>
      <w:r w:rsidR="00854167" w:rsidRPr="001C2C36">
        <w:rPr>
          <w:rFonts w:eastAsia="Calibri" w:cs="Times New Roman"/>
        </w:rPr>
        <w:t>, of which we have numerous examples</w:t>
      </w:r>
      <w:r w:rsidR="001E0FBE" w:rsidRPr="001C2C36">
        <w:rPr>
          <w:rFonts w:eastAsia="Calibri" w:cs="Times New Roman"/>
        </w:rPr>
        <w:t xml:space="preserve"> </w:t>
      </w:r>
      <w:r w:rsidR="001E0FBE" w:rsidRPr="001C2C36">
        <w:rPr>
          <w:rFonts w:cs="Times New Roman"/>
        </w:rPr>
        <w:fldChar w:fldCharType="begin" w:fldLock="1"/>
      </w:r>
      <w:r w:rsidR="007B4FB7" w:rsidRPr="001C2C36">
        <w:rPr>
          <w:rFonts w:cs="Times New Roman"/>
        </w:rPr>
        <w:instrText>ADDIN CSL_CITATION {"citationItems":[{"id":"ITEM-1","itemData":{"DOI":"10.1016/j.jbusres.2021.09.062","ISSN":"01482963","abstract":"The ongoing COVID-19 pandemic has affected countless businesses, leading to serious disruptions for many industries. Drawing on the resilience literature, this study offers an understanding of the impact of the COVID-19 pandemic on the creative industries and their response to the challenges they have encountered. This study reviews 59 papers following the systematic literature review approach and reveals several positive implications of the COVID-19 pandemic within the creative industries (e.g., IT and software) as well as the negative (the music industry, festivals, cultural events). Identifying six themes related to the impact of the COVID-19 pandemic on the creative industries, we develop a response matrix based on the discussion of firms’ digital capabilities and their ability to adapt to the COVID-19 crisis. We outline future research directions using a Theory-Context-Characteristics-Methodology (TCCM) framework.","author":[{"dropping-particle":"","family":"Khlystova","given":"Olena","non-dropping-particle":"","parse-names":false,"suffix":""},{"dropping-particle":"","family":"Kalyuzhnova","given":"Yelena","non-dropping-particle":"","parse-names":false,"suffix":""},{"dropping-particle":"","family":"Belitski","given":"Maksim","non-dropping-particle":"","parse-names":false,"suffix":""}],"container-title":"Journal of Business Research","id":"ITEM-1","issued":{"date-parts":[["2022"]]},"page":"1192-1210","title":"The impact of the COVID-19 pandemic on the creative industries: A literature review and future research agenda","type":"article-journal","volume":"139"},"uris":["http://www.mendeley.com/documents/?uuid=fc6ed43d-48fa-4d1d-ad1d-9aa10aaa9a41","http://www.mendeley.com/documents/?uuid=7cc656cc-9ff9-4f53-adff-188c3ab1da95"]},{"id":"ITEM-2","itemData":{"DOI":"10.1111/tesg.12453","ISSN":"14679663","abstract":"The COVID-19 pandemic has led to a sharp increase in online trade. This article examines the impact of the pandemic on online grocery retail in Germany. Here we follow and refine the multi-level perspective by Geels, and examine to what extent and why the online grocery retail expanded during the pandemic. A particular focus is on the spatial expansion into rural areas. The study shows a general upswing in the grocery trade and disproportionately high growth in online grocery trade and identifies driving and limiting factors. While COVID-19 has opened a window of opportunity, our results indicate little transition of grocery to e-grocery. This finding can be explained by the sudden and temporary constellation at the level of the socio-technical regime during the pandemic. As a result, we argue for a rethinking the temporality of windows of opportunities and the related vulnerability of the innovations which need them.","author":[{"dropping-particle":"","family":"Dannenberg","given":"Peter","non-dropping-particle":"","parse-names":false,"suffix":""},{"dropping-particle":"","family":"Fuchs","given":"Martina","non-dropping-particle":"","parse-names":false,"suffix":""},{"dropping-particle":"","family":"Riedler","given":"Tim","non-dropping-particle":"","parse-names":false,"suffix":""},{"dropping-particle":"","family":"Wiedemann","given":"Cathrin","non-dropping-particle":"","parse-names":false,"suffix":""}],"container-title":"Tijdschrift voor Economische en Sociale Geografie","id":"ITEM-2","issue":"3","issued":{"date-parts":[["2020"]]},"page":"543-560","title":"Digital Transition by COVID-19 Pandemic? The German Food Online Retail","type":"article-journal","volume":"111"},"uris":["http://www.mendeley.com/documents/?uuid=86d09b6e-182c-4722-a34b-17691f48d23b"]},{"id":"ITEM-3","itemData":{"DOI":"10.1177/0047239520934018","ISSN":"0047-2395","abstract":"Educational institutions (schools, colleges, and universities) in India are currently based only on traditional methods of learning, that is, they follow the traditional set up of face-to-face lectures in a classroom. Although many academic units have also started blended learning, still a lot of them are stuck with old procedures. The sudden outbreak of a deadly disease called Covid-19 caused by a Corona Virus (SARS-CoV-2) shook the entire world. The World Health Organization declared it as a pandemic. This situation challenged the education system across the world and forced educators to shift to an online mode of teaching overnight. Many academic institutions that were earlier reluctant to change their traditional pedagogical approach had no option but to shift entirely to online teaching–learning. The article includes the importance of online learning and Strengths, Weaknesses, Opportunities, &amp; Challenges (SWOC) analysis of e-learning modes in the time of crisis. This article also put some light on the growth of EdTech Start-ups during the time of pandemic and natural disasters and includes suggestions for academic institutions of how to deal with challenges associated with online learning.","author":[{"dropping-particle":"","family":"Dhawan","given":"Shivangi","non-dropping-particle":"","parse-names":false,"suffix":""}],"container-title":"Journal of Educational Technology Systems","id":"ITEM-3","issue":"1","issued":{"date-parts":[["2020"]]},"page":"5-22","title":"Online Learning: A Panacea in the Time of COVID-19 Crisis","type":"article-journal","volume":"49"},"uris":["http://www.mendeley.com/documents/?uuid=3e464946-86ad-4685-b7f6-202769949d9e"]},{"id":"ITEM-4","itemData":{"DOI":"10.1016/j.scitotenv.2020.141362","ISSN":"00489697","PMID":"32823223","abstract":"COVID-19 pandemic is on a trajectory to cause catastrophic global upheaval with the potential to alter geopolitical and socio-economic norms. Many countries are frantically responding with staggering financial stimulus recovery initiatives. This opinion-paper reviews challenges, opportunities, and potential solutions for the post-COVID-19 era that focuses on intensive sustaining of agri-food supply chain in tandem with meeting the high demand for new green deal innovation. For example, the development of wet peatland innovation, known as Paludiculture, can intensively sustain and blend agri-food and green innovations that will help support COVID-19 pandemic transitioning. The future looks bright for the creation of new sustainability multi-actor innovation hubs that will support, connect, and enable businesses to recover and pivot beyond the COVID-19 pandemic. The nexus between first ‘Green Deal’ initiative supporting 64 selected European Startups and SMEs (European Innovation Council) and 43 Irish Disruptive Technology projects are addressed in the context of cross-cutting developments and relevance to COVID-19. Candidate areas for future consideration will focus on climate action, digitization, manufacturing, and sustainable food production, security, and waste mitigation. Recommendations are also provided to facilitate community transitioning, training, enterprise, and employment to low carbon economy.","author":[{"dropping-particle":"","family":"Rowan","given":"Neil J.","non-dropping-particle":"","parse-names":false,"suffix":""},{"dropping-particle":"","family":"Galanakis","given":"Charis M.","non-dropping-particle":"","parse-names":false,"suffix":""}],"container-title":"Science of The Total Environment","id":"ITEM-4","issued":{"date-parts":[["2020","12"]]},"page":"141362","title":"Unlocking challenges and opportunities presented by COVID-19 pandemic for cross-cutting disruption in agri-food and green deal innovations: Quo Vadis?","type":"article-journal","volume":"748"},"uris":["http://www.mendeley.com/documents/?uuid=e56999a6-54c7-4b08-a91b-bd1923dc3929"]}],"mendeley":{"formattedCitation":"(Dannenberg et al., 2020; Dhawan, 2020; Khlystova et al., 2022; Rowan and Galanakis, 2020)","plainTextFormattedCitation":"(Dannenberg et al., 2020; Dhawan, 2020; Khlystova et al., 2022; Rowan and Galanakis, 2020)","previouslyFormattedCitation":"(Dannenberg et al., 2020; Dhawan, 2020; Khlystova et al., 2022; Rowan and Galanakis, 2020)"},"properties":{"noteIndex":0},"schema":"https://github.com/citation-style-language/schema/raw/master/csl-citation.json"}</w:instrText>
      </w:r>
      <w:r w:rsidR="001E0FBE" w:rsidRPr="001C2C36">
        <w:rPr>
          <w:rFonts w:cs="Times New Roman"/>
        </w:rPr>
        <w:fldChar w:fldCharType="separate"/>
      </w:r>
      <w:r w:rsidR="001E0FBE" w:rsidRPr="001C2C36">
        <w:rPr>
          <w:rFonts w:cs="Times New Roman"/>
          <w:noProof/>
        </w:rPr>
        <w:t>(Dannenberg et al., 2020; Dhawan, 2020; Khlystova et al., 2022; Rowan and Galanakis, 2020)</w:t>
      </w:r>
      <w:r w:rsidR="001E0FBE" w:rsidRPr="001C2C36">
        <w:rPr>
          <w:rFonts w:cs="Times New Roman"/>
        </w:rPr>
        <w:fldChar w:fldCharType="end"/>
      </w:r>
      <w:r w:rsidR="0026732D" w:rsidRPr="001C2C36">
        <w:rPr>
          <w:rFonts w:eastAsia="Calibri" w:cs="Times New Roman"/>
        </w:rPr>
        <w:t xml:space="preserve">. </w:t>
      </w:r>
    </w:p>
    <w:p w14:paraId="0D45CAB2" w14:textId="2A6D8DF1" w:rsidR="007471E4" w:rsidRPr="001C2C36" w:rsidRDefault="007471E4" w:rsidP="007471E4">
      <w:pPr>
        <w:spacing w:before="240"/>
        <w:rPr>
          <w:rFonts w:cs="Times New Roman"/>
        </w:rPr>
      </w:pPr>
      <w:r w:rsidRPr="001C2C36">
        <w:rPr>
          <w:rFonts w:cs="Times New Roman"/>
        </w:rPr>
        <w:t xml:space="preserve">This reasoning is broadly supported by the existing empirical findings on the effectiveness of government assistance during Covid-19 </w:t>
      </w:r>
      <w:r w:rsidR="00E36F42" w:rsidRPr="001C2C36">
        <w:rPr>
          <w:rFonts w:cs="Times New Roman"/>
        </w:rPr>
        <w:t>that</w:t>
      </w:r>
      <w:r w:rsidR="00895C28" w:rsidRPr="001C2C36">
        <w:rPr>
          <w:rFonts w:cs="Times New Roman"/>
        </w:rPr>
        <w:t xml:space="preserve"> </w:t>
      </w:r>
      <w:r w:rsidRPr="001C2C36">
        <w:rPr>
          <w:rFonts w:cs="Times New Roman"/>
        </w:rPr>
        <w:t xml:space="preserve">consistently point to a largely positive impact on employment </w:t>
      </w:r>
      <w:r w:rsidR="006B594D" w:rsidRPr="001C2C36">
        <w:rPr>
          <w:rFonts w:cs="Times New Roman"/>
        </w:rPr>
        <w:t>during</w:t>
      </w:r>
      <w:r w:rsidRPr="001C2C36">
        <w:rPr>
          <w:rFonts w:cs="Times New Roman"/>
        </w:rPr>
        <w:t xml:space="preserve"> the initial stages of the pandemic. </w:t>
      </w:r>
      <w:proofErr w:type="spellStart"/>
      <w:r w:rsidRPr="001C2C36">
        <w:rPr>
          <w:rFonts w:cs="Times New Roman"/>
        </w:rPr>
        <w:t>Gourinchas</w:t>
      </w:r>
      <w:proofErr w:type="spellEnd"/>
      <w:r w:rsidRPr="001C2C36">
        <w:rPr>
          <w:rFonts w:cs="Times New Roman"/>
        </w:rPr>
        <w:t xml:space="preserve"> et al. </w:t>
      </w:r>
      <w:r w:rsidRPr="001C2C36">
        <w:rPr>
          <w:rFonts w:cs="Times New Roman"/>
        </w:rPr>
        <w:fldChar w:fldCharType="begin" w:fldLock="1"/>
      </w:r>
      <w:r w:rsidRPr="001C2C36">
        <w:rPr>
          <w:rFonts w:cs="Times New Roman"/>
        </w:rPr>
        <w:instrText>ADDIN CSL_CITATION {"citationItems":[{"id":"ITEM-1","itemData":{"DOI":"10.3386/w27877","abstract":"We develop a flexible framework for tracking business failures during economic downturns. Our framework combines firm-level data with a model of cost-minimization where firms react to a rich set of shocks and fail if illiquid. After verifying that our methodology approximates past official failure rates, we apply it to the COVID-19 crisis in 11 countries. Absent government support, SME failures would have increased by 6.15 percentage points, representing 3.15 percent of employment. We find little threat to financial stability. Commonly implemented COVID-19 policies saved firms but were costly because funds were directed to firms that could survive without support.","author":[{"dropping-particle":"","family":"Gourinchas","given":"Pierre-Olivier","non-dropping-particle":"","parse-names":false,"suffix":""},{"dropping-particle":"","family":"Kalemli-Özcan","given":"Ṣebnem","non-dropping-particle":"","parse-names":false,"suffix":""},{"dropping-particle":"","family":"Penciakova","given":"Veronika","non-dropping-particle":"","parse-names":false,"suffix":""},{"dropping-particle":"","family":"Sander","given":"Nick","non-dropping-particle":"","parse-names":false,"suffix":""}],"container-title":"National Bureau of Economic Research Working Paper Series No. 27877","id":"ITEM-1","issued":{"date-parts":[["2020"]]},"note":"Author contact info:\nPierre-Olivier Gourinchas\nDepartment of Economics\nUniversity of California, Berkeley\n530 Evans Hall #3880\nBerkeley, CA 94720-3880\nTel: 510/643-0720\nFax: 510/642-6615\nE-Mail: pog@econ.berkeley.edu\n\nṢebnem Kalemli-Özcan\nDepartment of Economics\nUniversity of Maryland\nTydings Hall 4118D\nCollege Park, MD 20742-7211\nTel: 301/405-3266\nE-Mail: kalemli@econ.umd.edu\n\nVeronika Penciakova\nResearch Department\nFederal Reserve Bank of Atlanta\n1000 Peachtree St. NE\nAtlanta, GA 30309-4470\nE-Mail: veronika.penciakova@atl.frb.org\n\nNicholas Sander\nBank of Canada\n234 Wellington St. W\nOttawa, Ontario K1A 0G9\nCanada\nE-Mail: ncksander@gmail.com","title":"Estimating SME Failures in Real Time: An Application to the COVID-19 Crisis","type":"article-journal"},"suppress-author":1,"uris":["http://www.mendeley.com/documents/?uuid=8f0ec531-d0a5-4232-a450-7d07994c25b9"]}],"mendeley":{"formattedCitation":"(2020)","plainTextFormattedCitation":"(2020)","previouslyFormattedCitation":"(2020)"},"properties":{"noteIndex":0},"schema":"https://github.com/citation-style-language/schema/raw/master/csl-citation.json"}</w:instrText>
      </w:r>
      <w:r w:rsidRPr="001C2C36">
        <w:rPr>
          <w:rFonts w:cs="Times New Roman"/>
        </w:rPr>
        <w:fldChar w:fldCharType="separate"/>
      </w:r>
      <w:r w:rsidRPr="001C2C36">
        <w:rPr>
          <w:rFonts w:cs="Times New Roman"/>
          <w:noProof/>
        </w:rPr>
        <w:t>(2020)</w:t>
      </w:r>
      <w:r w:rsidRPr="001C2C36">
        <w:rPr>
          <w:rFonts w:cs="Times New Roman"/>
        </w:rPr>
        <w:fldChar w:fldCharType="end"/>
      </w:r>
      <w:r w:rsidRPr="001C2C36">
        <w:rPr>
          <w:rFonts w:cs="Times New Roman"/>
        </w:rPr>
        <w:t xml:space="preserve"> found that there would be a substantial increase in the failure rate of SMEs during Covid-19 if there </w:t>
      </w:r>
      <w:r w:rsidR="00A92D5F" w:rsidRPr="001C2C36">
        <w:rPr>
          <w:rFonts w:cs="Times New Roman"/>
        </w:rPr>
        <w:t>w</w:t>
      </w:r>
      <w:r w:rsidR="00C64FDA" w:rsidRPr="001C2C36">
        <w:rPr>
          <w:rFonts w:cs="Times New Roman"/>
        </w:rPr>
        <w:t>ere</w:t>
      </w:r>
      <w:r w:rsidRPr="001C2C36">
        <w:rPr>
          <w:rFonts w:cs="Times New Roman"/>
        </w:rPr>
        <w:t xml:space="preserve"> no government assistance. For the UK, Cowling et al. </w:t>
      </w:r>
      <w:r w:rsidRPr="001C2C36">
        <w:rPr>
          <w:rFonts w:cs="Times New Roman"/>
        </w:rPr>
        <w:fldChar w:fldCharType="begin" w:fldLock="1"/>
      </w:r>
      <w:r w:rsidRPr="001C2C36">
        <w:rPr>
          <w:rFonts w:cs="Times New Roman"/>
        </w:rPr>
        <w:instrText>ADDIN CSL_CITATION {"citationItems":[{"id":"ITEM-1","itemData":{"DOI":"10.1177/02662426211058050","ISSN":"17412870","abstract":"The UK has had a commitment to loan guarantee schemes since 1981 when it introduced the Small Firms Loan Guarantee (SFLG) scheme to address access to debt finance issues for smaller firms. Over the last 40 years, its support has been unwavering, and in the Covid-19 crisis, it once again turned to loan guarantees as a means of supporting smaller firms through the crisis-induced slump in trading activities. Of its three core Covid-19 guarantee schemes, the Bounce Back Loan (BBL) scheme was the most numerous with 1,531,095 loans issued amounting to a total of £46.5bn in lending. The BBL scheme provided a 100% capital guarantee on loans between £2,000 and £50,000, and firms were allowed to borrow up to 25% of their trading income, with a fixed interest rate of 2.5% of which the first years interest was paid by the government to the lending bank. Our findings suggest that the government losses may range between £7bn and £12bn depending on the underlying assumptions; however, we estimate Covid-19 guarantee schemes may have protected 118,639 businesses and 1,117,849 jobs. Looking to the future, we suggest that a new loan guarantee is justified that more resembles the former SFLG than the restrictive Enterprise Finance Guarantee (EFG) as more than one million small businesses will be heavily indebted and unable to borrow to invest in future growth opportunities. This would support the ‘levelling-up’ agenda and help prevent a post-Covid-19 low investment–low growth scenario.","author":[{"dropping-particle":"","family":"Cowling","given":"Marc","non-dropping-particle":"","parse-names":false,"suffix":""},{"dropping-particle":"","family":"Wilson","given":"Nick","non-dropping-particle":"","parse-names":false,"suffix":""},{"dropping-particle":"","family":"Nightingale","given":"Paul","non-dropping-particle":"","parse-names":false,"suffix":""},{"dropping-particle":"","family":"Kacer","given":"Marek","non-dropping-particle":"","parse-names":false,"suffix":""}],"container-title":"International Small Business Journal: Researching Entrepreneurship","id":"ITEM-1","issue":"5","issued":{"date-parts":[["2022"]]},"page":"650-666","title":"Predicting future default on the Covid-19 bounce back loan scheme: The £46.5 billion question","type":"article-journal","volume":"40"},"suppress-author":1,"uris":["http://www.mendeley.com/documents/?uuid=a8b4bd6b-83fe-4122-86a4-1c8b2c9a0907","http://www.mendeley.com/documents/?uuid=865ca792-3d4f-4aa3-aed2-0c1459288f3c"]}],"mendeley":{"formattedCitation":"(2022)","plainTextFormattedCitation":"(2022)","previouslyFormattedCitation":"(2022)"},"properties":{"noteIndex":0},"schema":"https://github.com/citation-style-language/schema/raw/master/csl-citation.json"}</w:instrText>
      </w:r>
      <w:r w:rsidRPr="001C2C36">
        <w:rPr>
          <w:rFonts w:cs="Times New Roman"/>
        </w:rPr>
        <w:fldChar w:fldCharType="separate"/>
      </w:r>
      <w:r w:rsidRPr="001C2C36">
        <w:rPr>
          <w:rFonts w:cs="Times New Roman"/>
          <w:noProof/>
        </w:rPr>
        <w:t>(2022)</w:t>
      </w:r>
      <w:r w:rsidRPr="001C2C36">
        <w:rPr>
          <w:rFonts w:cs="Times New Roman"/>
        </w:rPr>
        <w:fldChar w:fldCharType="end"/>
      </w:r>
      <w:r w:rsidRPr="001C2C36">
        <w:rPr>
          <w:rFonts w:cs="Times New Roman"/>
        </w:rPr>
        <w:t xml:space="preserve"> measured the effects of the Bounce Back Loan, which was introduced by the UK government to guarantee loans up to £50,000. They estimated losses</w:t>
      </w:r>
      <w:r w:rsidR="00A92D5F" w:rsidRPr="001C2C36">
        <w:rPr>
          <w:rFonts w:cs="Times New Roman"/>
        </w:rPr>
        <w:t xml:space="preserve"> </w:t>
      </w:r>
      <w:r w:rsidR="00435996" w:rsidRPr="001C2C36">
        <w:rPr>
          <w:rFonts w:cs="Times New Roman"/>
        </w:rPr>
        <w:t>of</w:t>
      </w:r>
      <w:r w:rsidR="00A92D5F" w:rsidRPr="001C2C36">
        <w:rPr>
          <w:rFonts w:cs="Times New Roman"/>
        </w:rPr>
        <w:t xml:space="preserve"> £7</w:t>
      </w:r>
      <w:r w:rsidRPr="001C2C36">
        <w:rPr>
          <w:rFonts w:cs="Times New Roman"/>
        </w:rPr>
        <w:t xml:space="preserve"> to £</w:t>
      </w:r>
      <w:r w:rsidR="00A92D5F" w:rsidRPr="001C2C36">
        <w:rPr>
          <w:rFonts w:cs="Times New Roman"/>
        </w:rPr>
        <w:t>12</w:t>
      </w:r>
      <w:r w:rsidR="00A17405" w:rsidRPr="001C2C36">
        <w:rPr>
          <w:rFonts w:cs="Times New Roman"/>
        </w:rPr>
        <w:t xml:space="preserve"> billion</w:t>
      </w:r>
      <w:r w:rsidRPr="001C2C36">
        <w:rPr>
          <w:rFonts w:cs="Times New Roman"/>
        </w:rPr>
        <w:t xml:space="preserve">, but they argued that the schemes protected 118,639 businesses and 1,117,849 jobs. In the US, the largest assistance programme during Covid-19 was the </w:t>
      </w:r>
      <w:proofErr w:type="spellStart"/>
      <w:r w:rsidRPr="001C2C36">
        <w:rPr>
          <w:rFonts w:cs="Times New Roman"/>
        </w:rPr>
        <w:t>Paycheck</w:t>
      </w:r>
      <w:proofErr w:type="spellEnd"/>
      <w:r w:rsidRPr="001C2C36">
        <w:rPr>
          <w:rFonts w:cs="Times New Roman"/>
        </w:rPr>
        <w:t xml:space="preserve"> </w:t>
      </w:r>
      <w:r w:rsidRPr="001C2C36">
        <w:rPr>
          <w:rFonts w:cs="Times New Roman"/>
        </w:rPr>
        <w:lastRenderedPageBreak/>
        <w:t xml:space="preserve">Protection Program (PPP), providing loans for SMEs through private sector lenders. Although the design of the scheme was criticised for its inherently different objectives: employment protection for the government and profits for banks </w:t>
      </w:r>
      <w:r w:rsidRPr="001C2C36">
        <w:rPr>
          <w:rFonts w:cs="Times New Roman"/>
        </w:rPr>
        <w:fldChar w:fldCharType="begin" w:fldLock="1"/>
      </w:r>
      <w:r w:rsidRPr="001C2C36">
        <w:rPr>
          <w:rFonts w:cs="Times New Roman"/>
        </w:rPr>
        <w:instrText>ADDIN CSL_CITATION {"citationItems":[{"id":"ITEM-1","itemData":{"DOI":"10.2139/ssrn.3704518","abstract":"We assess the role of banks in the Paycheck Protection Program (PPP), a large and un- precedented small business support program enacted as a response to the Covid–19 crisis in the US. The PPP administered over $525 billion in loans and grants to small businesses through the banking system. First, we provide empirical evidence of heterogeneity in the allocation of PPP funds. Firms that are larger and less affected by the Covid–19 crisis re- ceived loans earlier, even in a within–bank analysis. Second, we develop a model of PPP allocation through banks that is consistent with the data. We show that research designs based on bank or regional shocks in PPP disbursement, common in the empirical liter- ature, cannot directly identify the overall effect of the program. Bank targeting implies that these designs can, at best, recover the effect of the PPP on a set of firms that is en- dogenous, changes over time, and is systematically different from the overall set of firms that receive PPP loans. We propose and implement a model–based estimation method of the overall effect of the program and find that the PPP saved 7.5 million jobs.","author":[{"dropping-particle":"","family":"Joaquim","given":"Gustavo","non-dropping-particle":"","parse-names":false,"suffix":""},{"dropping-particle":"","family":"Netto","given":"Felipe","non-dropping-particle":"","parse-names":false,"suffix":""}],"container-title":"SSRN Electronic Journal","id":"ITEM-1","issue":"21","issued":{"date-parts":[["2020"]]},"title":"Bank Incentives and the Impact of the Paycheck Protection Program","type":"article-journal"},"uris":["http://www.mendeley.com/documents/?uuid=cc8c4764-0fd3-403e-bd41-5bc62a4caa30","http://www.mendeley.com/documents/?uuid=8816672f-b8ba-4725-a1fe-e9ddc3301797"]}],"mendeley":{"formattedCitation":"(Joaquim and Netto, 2020)","plainTextFormattedCitation":"(Joaquim and Netto, 2020)","previouslyFormattedCitation":"(Joaquim and Netto, 2020)"},"properties":{"noteIndex":0},"schema":"https://github.com/citation-style-language/schema/raw/master/csl-citation.json"}</w:instrText>
      </w:r>
      <w:r w:rsidRPr="001C2C36">
        <w:rPr>
          <w:rFonts w:cs="Times New Roman"/>
        </w:rPr>
        <w:fldChar w:fldCharType="separate"/>
      </w:r>
      <w:r w:rsidRPr="001C2C36">
        <w:rPr>
          <w:rFonts w:cs="Times New Roman"/>
          <w:noProof/>
        </w:rPr>
        <w:t>(Joaquim and Netto, 2020)</w:t>
      </w:r>
      <w:r w:rsidRPr="001C2C36">
        <w:rPr>
          <w:rFonts w:cs="Times New Roman"/>
        </w:rPr>
        <w:fldChar w:fldCharType="end"/>
      </w:r>
      <w:r w:rsidRPr="001C2C36">
        <w:rPr>
          <w:rFonts w:cs="Times New Roman"/>
        </w:rPr>
        <w:t xml:space="preserve">, the empirical findings suggest that PPPs saved many jobs among micro firms </w:t>
      </w:r>
      <w:r w:rsidRPr="001C2C36">
        <w:rPr>
          <w:rFonts w:cs="Times New Roman"/>
        </w:rPr>
        <w:fldChar w:fldCharType="begin" w:fldLock="1"/>
      </w:r>
      <w:r w:rsidRPr="001C2C36">
        <w:rPr>
          <w:rFonts w:cs="Times New Roman"/>
        </w:rPr>
        <w:instrText>ADDIN CSL_CITATION {"citationItems":[{"id":"ITEM-1","itemData":{"DOI":"http://dx.doi.org/10.17016/FEDS.2021.003","abstract":"Delay in the provision of Paycheck Protection Program (PPP) loans due to insufficient initial funding under the CARES Act substantially and persistently reduced employment. Delayed loans increased job losses in May and persistently reduced recalls throughout the summer. The magnitude and heterogeneity of effects suggest significant barriers to obtaining external financing, particularly among small firms. Effects are inequitably distributed: larger among the self-employed, less well paid, less well educated and--importantly for the design of future programs--in very small firms. Our estimates imply the PPP saved millions of jobs but larger initial funding could have saved millions more, particularly if it had been directed toward the smallest firms. About half of the jobs lost to insufficient PPP funding are lost in firms with fewer than 10 employees, despite such firms accounting for less than 20 percent of employment.","author":[{"dropping-particle":"","family":"Doniger","given":"Cynthia L","non-dropping-particle":"","parse-names":false,"suffix":""},{"dropping-particle":"","family":"Kay","given":"Benjamin","non-dropping-particle":"","parse-names":false,"suffix":""}],"container-title":"Finance and Economics Discussion Series No. 2021-3","id":"ITEM-1","issued":{"date-parts":[["2021"]]},"title":"Ten Days Late and Billions of Dollars Short: The Employment Effects of Delays in Paycheck Protection Program Financing","type":"article-journal"},"uris":["http://www.mendeley.com/documents/?uuid=35036250-37fe-41a8-bfce-33122da9543b"]}],"mendeley":{"formattedCitation":"(Doniger and Kay, 2021)","plainTextFormattedCitation":"(Doniger and Kay, 2021)","previouslyFormattedCitation":"(Doniger and Kay, 2021)"},"properties":{"noteIndex":0},"schema":"https://github.com/citation-style-language/schema/raw/master/csl-citation.json"}</w:instrText>
      </w:r>
      <w:r w:rsidRPr="001C2C36">
        <w:rPr>
          <w:rFonts w:cs="Times New Roman"/>
        </w:rPr>
        <w:fldChar w:fldCharType="separate"/>
      </w:r>
      <w:r w:rsidRPr="001C2C36">
        <w:rPr>
          <w:rFonts w:cs="Times New Roman"/>
          <w:noProof/>
        </w:rPr>
        <w:t>(Doniger and Kay, 2021)</w:t>
      </w:r>
      <w:r w:rsidRPr="001C2C36">
        <w:rPr>
          <w:rFonts w:cs="Times New Roman"/>
        </w:rPr>
        <w:fldChar w:fldCharType="end"/>
      </w:r>
      <w:r w:rsidRPr="001C2C36">
        <w:rPr>
          <w:rFonts w:cs="Times New Roman"/>
        </w:rPr>
        <w:t xml:space="preserve"> and increased their prospects of survival </w:t>
      </w:r>
      <w:r w:rsidR="00A92D5F" w:rsidRPr="001C2C36">
        <w:rPr>
          <w:rFonts w:cs="Times New Roman"/>
        </w:rPr>
        <w:fldChar w:fldCharType="begin" w:fldLock="1"/>
      </w:r>
      <w:r w:rsidR="002F3566">
        <w:rPr>
          <w:rFonts w:cs="Times New Roman"/>
        </w:rPr>
        <w:instrText>ADDIN CSL_CITATION {"citationItems":[{"id":"ITEM-1","itemData":{"DOI":"10.3386/w27623","abstract":"What happens when public resources are allocated by private actors, whose objectives may be imperfectly aligned with public goals? We study this question in the context of the Paycheck Protection Program (PPP), which relied on private banks to rapidly disburse aid to small businesses. We present a model suggesting that such delegation is optimal if delay is very costly, the variance of the impact of funds across firms is small, and the correlation between public and private objectives is high. We then use firm-level data to measure heterogeneity in the impact of PPP and to assess whether banks targeted loans to high-impact firms. Using an instrumental variables approach, we find that PPP loans increased business’s expected survival rates by 9 to 22 percentage points and modestly boosted employment. While banks did target loans to their pre-existing customers, treatment effect heterogeneity is sufficiently modest and the correlation between bank and public objectives seems sufficiently strong that delegation could still have been optimal given the high costs of delay.","author":[{"dropping-particle":"","family":"Bartik","given":"Alexander W;","non-dropping-particle":"","parse-names":false,"suffix":""},{"dropping-particle":"","family":"Cullen","given":"Zoe B","non-dropping-particle":"","parse-names":false,"suffix":""},{"dropping-particle":"","family":"Glaeser","given":"Edward L","non-dropping-particle":"","parse-names":false,"suffix":""},{"dropping-particle":"","family":"Luca","given":"Michael","non-dropping-particle":"","parse-names":false,"suffix":""},{"dropping-particle":"","family":"Stanton","given":"Christopher T","non-dropping-particle":"","parse-names":false,"suffix":""},{"dropping-particle":"","family":"Sunderam","given":"Adi","non-dropping-particle":"","parse-names":false,"suffix":""}],"container-title":"National Bureau of Economic Research Working Paper Series No. 27623","id":"ITEM-1","issued":{"date-parts":[["2020"]]},"note":"Author contact info:\nAlexander W. Bartik\nUniversity of Illinois at Urbana-Champaign\n1407 W. Gregory Road\n214 David Kinley Hall\nUrbana, IL 61821\nTel: 2173006027\nE-Mail: abartik@illinois.edu\n\nZoe B. Cullen\nRock Center 210\nHarvard Business School\n60 N. Harvard\nBoston, MA 02163\nTel: 617/495-1867\nE-Mail: zcullen@hbs.edu\n\nEdward L. Glaeser\nDepartment of Economics\n315A Littauer Center\nHarvard University\nCambridge, MA 02138\nTel: 617/495-0575\nFax: 617/495-7730\nE-Mail: eglaeser@harvard.edu\n\nMichael Luca\nHarvard Business School\nSoldiers Field\nBoston, MA 02163\nTel: 617/495-8382\nE-Mail: mluca@hbs.edu\n\nChristopher T. Stanton\n210 Rock Center\nHarvard University\nHarvard Business School\nBoston, MA 02163\nTel: 617/495-3795\nE-Mail: christopher.t.stanton@gmail.com\n\nAdi Sunderam\nHarvard Business School\nBaker Library 359\nSoldiers Field\nBoston, MA 02163\nTel: 617/495-6644\nE-Mail: asunderam@hbs.edu","title":"The Targeting and Impact of Paycheck Protection Program Loans to Small Businesses","type":"article-journal","volume":"No. 27623"},"uris":["http://www.mendeley.com/documents/?uuid=8fdc4963-fc6c-4953-bd3a-e3267e3d3b2b"]}],"mendeley":{"formattedCitation":"(Alexander W; Bartik et al., 2020)","manualFormatting":"(Bartik et al., 2020)","plainTextFormattedCitation":"(Alexander W; Bartik et al., 2020)","previouslyFormattedCitation":"(Alexander W; Bartik et al., 2020)"},"properties":{"noteIndex":0},"schema":"https://github.com/citation-style-language/schema/raw/master/csl-citation.json"}</w:instrText>
      </w:r>
      <w:r w:rsidR="00A92D5F" w:rsidRPr="001C2C36">
        <w:rPr>
          <w:rFonts w:cs="Times New Roman"/>
        </w:rPr>
        <w:fldChar w:fldCharType="separate"/>
      </w:r>
      <w:r w:rsidR="00B81CC0" w:rsidRPr="001C2C36">
        <w:rPr>
          <w:rFonts w:cs="Times New Roman"/>
          <w:noProof/>
        </w:rPr>
        <w:t>(Bartik et al., 2020)</w:t>
      </w:r>
      <w:r w:rsidR="00A92D5F" w:rsidRPr="001C2C36">
        <w:rPr>
          <w:rFonts w:cs="Times New Roman"/>
        </w:rPr>
        <w:fldChar w:fldCharType="end"/>
      </w:r>
      <w:r w:rsidR="00A92D5F" w:rsidRPr="001C2C36">
        <w:rPr>
          <w:rFonts w:cs="Times New Roman"/>
        </w:rPr>
        <w:t xml:space="preserve">. </w:t>
      </w:r>
    </w:p>
    <w:p w14:paraId="33F0C86C" w14:textId="60BB2D7B" w:rsidR="00CD723C" w:rsidRPr="001C2C36" w:rsidRDefault="267B5E04" w:rsidP="00642277">
      <w:pPr>
        <w:rPr>
          <w:rFonts w:cs="Times New Roman"/>
          <w:szCs w:val="24"/>
        </w:rPr>
      </w:pPr>
      <w:r w:rsidRPr="001C2C36">
        <w:rPr>
          <w:rFonts w:cs="Times New Roman"/>
        </w:rPr>
        <w:t>This encourages us to reason</w:t>
      </w:r>
      <w:r w:rsidR="009E37ED" w:rsidRPr="001C2C36">
        <w:rPr>
          <w:rFonts w:cs="Times New Roman"/>
        </w:rPr>
        <w:t xml:space="preserve"> with the second hypothesis</w:t>
      </w:r>
      <w:r w:rsidRPr="001C2C36">
        <w:rPr>
          <w:rFonts w:cs="Times New Roman"/>
        </w:rPr>
        <w:t xml:space="preserve"> that government assistance is likely to positively contribute </w:t>
      </w:r>
      <w:r w:rsidR="001F2E5E" w:rsidRPr="001C2C36">
        <w:rPr>
          <w:rFonts w:cs="Times New Roman"/>
        </w:rPr>
        <w:t xml:space="preserve">to employment </w:t>
      </w:r>
      <w:r w:rsidRPr="001C2C36">
        <w:rPr>
          <w:rFonts w:cs="Times New Roman"/>
        </w:rPr>
        <w:t>in the initial stages of the Covid-19 pandemic</w:t>
      </w:r>
      <w:r w:rsidR="00ED6108" w:rsidRPr="001C2C36">
        <w:rPr>
          <w:rFonts w:cs="Times New Roman"/>
        </w:rPr>
        <w:t xml:space="preserve"> directly through furlough schemes (</w:t>
      </w:r>
      <w:r w:rsidR="00ED6108" w:rsidRPr="001C2C36">
        <w:rPr>
          <w:rFonts w:cs="Times New Roman"/>
          <w:i/>
          <w:iCs/>
          <w:szCs w:val="24"/>
        </w:rPr>
        <w:t xml:space="preserve">CJRS </w:t>
      </w:r>
      <w:r w:rsidR="00ED6108" w:rsidRPr="001C2C36">
        <w:rPr>
          <w:rFonts w:cs="Times New Roman"/>
        </w:rPr>
        <w:t>and</w:t>
      </w:r>
      <w:r w:rsidR="00ED6108" w:rsidRPr="001C2C36">
        <w:rPr>
          <w:rFonts w:cs="Times New Roman"/>
          <w:i/>
          <w:iCs/>
          <w:szCs w:val="24"/>
        </w:rPr>
        <w:t xml:space="preserve"> SEISS</w:t>
      </w:r>
      <w:r w:rsidR="00ED6108" w:rsidRPr="001C2C36">
        <w:rPr>
          <w:rFonts w:cs="Times New Roman"/>
        </w:rPr>
        <w:t xml:space="preserve">) and also </w:t>
      </w:r>
      <w:r w:rsidR="001F2E5E" w:rsidRPr="001C2C36">
        <w:rPr>
          <w:rFonts w:cs="Times New Roman"/>
        </w:rPr>
        <w:t xml:space="preserve">through less </w:t>
      </w:r>
      <w:r w:rsidR="00ED6108" w:rsidRPr="001C2C36">
        <w:rPr>
          <w:rFonts w:cs="Times New Roman"/>
        </w:rPr>
        <w:t>direct</w:t>
      </w:r>
      <w:r w:rsidR="00642277" w:rsidRPr="001C2C36">
        <w:rPr>
          <w:rFonts w:cs="Times New Roman"/>
        </w:rPr>
        <w:t xml:space="preserve"> support (</w:t>
      </w:r>
      <w:r w:rsidR="00642277" w:rsidRPr="001C2C36">
        <w:rPr>
          <w:rFonts w:cs="Times New Roman"/>
          <w:i/>
          <w:iCs/>
        </w:rPr>
        <w:t xml:space="preserve">VATD, </w:t>
      </w:r>
      <w:proofErr w:type="spellStart"/>
      <w:r w:rsidR="00642277" w:rsidRPr="001C2C36">
        <w:rPr>
          <w:rFonts w:cs="Times New Roman"/>
          <w:i/>
          <w:iCs/>
        </w:rPr>
        <w:t>TtP</w:t>
      </w:r>
      <w:proofErr w:type="spellEnd"/>
      <w:r w:rsidR="00642277" w:rsidRPr="001C2C36">
        <w:rPr>
          <w:rFonts w:cs="Times New Roman"/>
        </w:rPr>
        <w:t xml:space="preserve"> and </w:t>
      </w:r>
      <w:r w:rsidR="00642277" w:rsidRPr="001C2C36">
        <w:rPr>
          <w:rFonts w:cs="Times New Roman"/>
          <w:i/>
          <w:iCs/>
        </w:rPr>
        <w:t>BRH</w:t>
      </w:r>
      <w:r w:rsidR="00642277" w:rsidRPr="001C2C36">
        <w:rPr>
          <w:rFonts w:cs="Times New Roman"/>
        </w:rPr>
        <w:t>)</w:t>
      </w:r>
      <w:r w:rsidRPr="001C2C36">
        <w:rPr>
          <w:rFonts w:cs="Times New Roman"/>
        </w:rPr>
        <w:t xml:space="preserve"> by promptly closing the resource gaps that are </w:t>
      </w:r>
      <w:r w:rsidR="3D5CA2AF" w:rsidRPr="001C2C36">
        <w:rPr>
          <w:rFonts w:cs="Times New Roman"/>
        </w:rPr>
        <w:t>particularly pron</w:t>
      </w:r>
      <w:r w:rsidR="1070FB72" w:rsidRPr="001C2C36">
        <w:rPr>
          <w:rFonts w:cs="Times New Roman"/>
        </w:rPr>
        <w:t>o</w:t>
      </w:r>
      <w:r w:rsidR="3D5CA2AF" w:rsidRPr="001C2C36">
        <w:rPr>
          <w:rFonts w:cs="Times New Roman"/>
        </w:rPr>
        <w:t>unced</w:t>
      </w:r>
      <w:r w:rsidRPr="001C2C36">
        <w:rPr>
          <w:rFonts w:cs="Times New Roman"/>
        </w:rPr>
        <w:t xml:space="preserve"> among </w:t>
      </w:r>
      <w:r w:rsidR="0092706C" w:rsidRPr="001C2C36">
        <w:rPr>
          <w:rFonts w:cs="Times New Roman"/>
        </w:rPr>
        <w:t>small businesses</w:t>
      </w:r>
      <w:r w:rsidRPr="001C2C36">
        <w:rPr>
          <w:rFonts w:cs="Times New Roman"/>
        </w:rPr>
        <w:t xml:space="preserve"> </w:t>
      </w:r>
      <w:r w:rsidR="0043136D" w:rsidRPr="001C2C36">
        <w:rPr>
          <w:rFonts w:cs="Times New Roman"/>
        </w:rPr>
        <w:fldChar w:fldCharType="begin" w:fldLock="1"/>
      </w:r>
      <w:r w:rsidR="00600F6C" w:rsidRPr="001C2C36">
        <w:rPr>
          <w:rFonts w:cs="Times New Roman"/>
        </w:rPr>
        <w:instrText>ADDIN CSL_CITATION {"citationItems":[{"id":"ITEM-1","itemData":{"DOI":"10.1016/j.jbusres.2020.05.025","ISSN":"01482963","abstract":"Small and medium-sized enterprises (SMEs) are the backbone of every economy. So, when an external crisis jeopardizes markets, such as the recent COVID-19 outbreak, SMEs are hit with great force. Their so-called liability of smallness, a lack of resources that would shield them from outside shocks, worsens the situation. This manuscript conducts a literature study on 69 manuscripts that studied SMEs in previous crises and proposes ways to overcome economic downturns in the areas of finance, strategy and the institutional environment. The paper finds a “strategy/funding chicken-and-egg-problem” and proposes an effectual world view when dealing with situations of great uncertainty.","author":[{"dropping-particle":"","family":"Eggers","given":"Fabian","non-dropping-particle":"","parse-names":false,"suffix":""}],"container-title":"Journal of Business Research","id":"ITEM-1","issued":{"date-parts":[["2020"]]},"page":"199-208","title":"Masters of disasters? Challenges and opportunities for SMEs in times of crisis","type":"article-journal","volume":"116"},"uris":["http://www.mendeley.com/documents/?uuid=a505391c-ee3b-4910-bd86-d721882303cb","http://www.mendeley.com/documents/?uuid=21a82353-6f42-4d18-b114-0088fe92fb88"]},{"id":"ITEM-2","itemData":{"DOI":"10.1111/1467-8551.12576","ISSN":"14678551","abstract":"The scale of the UK government's response to the Covid-19 crisis after the first lockdown in March 2020 was unprecedented. For the business sector, two financing schemes were particularly relevant: the Coronavirus Business Interruption Loan Scheme (CBILS) and the Bounce Back Loan Scheme (BBLS). Both were designed to support the capitalization of businesses through this difficult trading period. In this paper, we use data covering the first two quarters of the Covid-19 crisis to explore the dynamics of small and medium-sized enterprise (SME) financing and in particular the role of government support schemes. Our findings show that 92.1% of all debt funds provided in this period were backed by the UK government, which compares to less than 5% under normal circumstances. We find that the demand, supply and government share of SME lending increased from Covid-19 quarter 1 (April–June 2020) to quarter 2 (July–September 2020), that micro and small businesses had the highest demand for loans, and that better-performing firms were more likely to receive loans. Further, in a world where more loan requests than ever were granted, the government share of this pool of loans had a different risk profile than the small pool of non-government-backed loans.","author":[{"dropping-particle":"","family":"Calabrese","given":"Raffaella","non-dropping-particle":"","parse-names":false,"suffix":""},{"dropping-particle":"","family":"Cowling","given":"Marc","non-dropping-particle":"","parse-names":false,"suffix":""},{"dropping-particle":"","family":"Liu","given":"Weixi","non-dropping-particle":"","parse-names":false,"suffix":""}],"container-title":"British Journal of Management","id":"ITEM-2","issue":"2","issued":{"date-parts":[["2022"]]},"page":"657-677","title":"Understanding the Dynamics of UK Covid-19 SME Financing","type":"article-journal","volume":"33"},"uris":["http://www.mendeley.com/documents/?uuid=bb6a7275-c2ca-4611-a400-9cae8392d93b","http://www.mendeley.com/documents/?uuid=d9dba954-b535-490c-a14b-6c0267314475"]},{"id":"ITEM-3","itemData":{"DOI":"10.1177/0266242620945102","ISSN":"17412870","abstract":"As COVID-19 spreads across the globe, a common public policy response has been to enforce the temporary closure of non-essential business activity. In some countries, governments have underwritten a proportion of the wage income for staff forced to furlough or broadened their welfare systems to accommodate newly laid off workers or small business owners. While these actions are helpful, they do not explicitly address the lack of sales trading activity on business income and cash balances. In commentary, we identify what types of businesses have been increasing their cash holdings in the lead up to COVID-19 as an indication of what types of small and medium-sized enterprises (SMEs) are most at risk if the lockdown extends for a protracted period of time. We find that only 39% of the of businesses were bolstering their cash balances leading up to COVID-19 which suggests that 61% of businesses may run out of cash, including 8.6% that had no retained earnings whatsoever with micro firms at particular risk. The importance of precautionary saving for SMEs is critical to enhance resilience when Black Swan events occur.","author":[{"dropping-particle":"","family":"Cowling","given":"Marc","non-dropping-particle":"","parse-names":false,"suffix":""},{"dropping-particle":"","family":"Brown","given":"Ross","non-dropping-particle":"","parse-names":false,"suffix":""},{"dropping-particle":"","family":"Rocha","given":"Augusto","non-dropping-particle":"","parse-names":false,"suffix":""}],"container-title":"International Small Business Journal: Researching Entrepreneurship","id":"ITEM-3","issue":"7","issued":{"date-parts":[["2020"]]},"page":"593-604","title":"Did you save some cash for a rainy COVID-19 day? The crisis and SMEs","type":"article-journal","volume":"38"},"uris":["http://www.mendeley.com/documents/?uuid=8c9e5f33-2070-431d-9945-92ec8dcaffee"]},{"id":"ITEM-4","itemData":{"DOI":"10.1177/02662426221124733","ISSN":"17412870","abstract":"In 2012, the UK government made the decision to offer loans to new entrepreneurs who were excluded from the credit market through the start-up loan (SUL) scheme. By 2021, loans totalling £759 million have been issued to 85,809 new start-ups. A disproportionate share of these SULs was issued to previously unemployed people to support their transition into self-employment. This paper questions whether those who started with the fewest resources achieved better or worse outcomes than those who started from a more beneficial position. Our findings show that previously unemployed start-ups had smaller loans and that they had a higher default hazard on their loans than entrants from waged employment, but more educated and older unemployed entrants survived longer. More generally, SULs to unemployed start-ups were cost-effective for the government in a loan portfolio sense, but once the benefits of supported entry into self-employment were fully accounted for, the overall contribution was very positive. This highlights the potential more comprehensive societal benefits of removing capital constraints by supporting the transition from unemployment to self-employment. Furthermore, we propose testing the effect of replacement start-up subsidies by soft loans in those countries, offering only direct grants, to increase the efficiency of public financial resources.","author":[{"dropping-particle":"","family":"Cowling","given":"Marc","non-dropping-particle":"","parse-names":false,"suffix":""},{"dropping-particle":"","family":"Dvouletý","given":"Ondřej","non-dropping-particle":"","parse-names":false,"suffix":""}],"container-title":"International Small Business Journal: Researching Entrepreneurship","id":"ITEM-4","issued":{"date-parts":[["2022"]]},"title":"UK government-backed start-up loans: Tackling disadvantage and credit rationing of new entrepreneurs","type":"article-journal"},"uris":["http://www.mendeley.com/documents/?uuid=3f91eeda-5f53-42bb-9484-8f02a1bb7d03"]}],"mendeley":{"formattedCitation":"(Calabrese et al., 2022; Cowling et al., 2020; Cowling and Dvouletý, 2022; Eggers, 2020)","plainTextFormattedCitation":"(Calabrese et al., 2022; Cowling et al., 2020; Cowling and Dvouletý, 2022; Eggers, 2020)","previouslyFormattedCitation":"(Calabrese et al., 2022; Cowling et al., 2020; Cowling and Dvouletý, 2022; Eggers, 2020)"},"properties":{"noteIndex":0},"schema":"https://github.com/citation-style-language/schema/raw/master/csl-citation.json"}</w:instrText>
      </w:r>
      <w:r w:rsidR="0043136D" w:rsidRPr="001C2C36">
        <w:rPr>
          <w:rFonts w:cs="Times New Roman"/>
        </w:rPr>
        <w:fldChar w:fldCharType="separate"/>
      </w:r>
      <w:r w:rsidR="004526BE" w:rsidRPr="001C2C36">
        <w:rPr>
          <w:rFonts w:cs="Times New Roman"/>
          <w:noProof/>
        </w:rPr>
        <w:t>(Calabrese et al., 2022; Cowling et al., 2020; Cowling and Dvouletý, 2022; Eggers, 2020)</w:t>
      </w:r>
      <w:r w:rsidR="0043136D" w:rsidRPr="001C2C36">
        <w:rPr>
          <w:rFonts w:cs="Times New Roman"/>
        </w:rPr>
        <w:fldChar w:fldCharType="end"/>
      </w:r>
      <w:r w:rsidR="004967E0" w:rsidRPr="001C2C36">
        <w:rPr>
          <w:rFonts w:cs="Times New Roman"/>
          <w:szCs w:val="24"/>
        </w:rPr>
        <w:t>:</w:t>
      </w:r>
    </w:p>
    <w:p w14:paraId="092BDA99" w14:textId="7B6B6668" w:rsidR="00194BB0" w:rsidRPr="001C2C36" w:rsidRDefault="002B03FA" w:rsidP="009B4048">
      <w:pPr>
        <w:autoSpaceDE w:val="0"/>
        <w:autoSpaceDN w:val="0"/>
        <w:adjustRightInd w:val="0"/>
        <w:spacing w:before="240"/>
        <w:rPr>
          <w:rFonts w:cs="Times New Roman"/>
          <w:i/>
        </w:rPr>
      </w:pPr>
      <w:r w:rsidRPr="001C2C36">
        <w:rPr>
          <w:rFonts w:cs="Times New Roman"/>
          <w:i/>
          <w:iCs/>
        </w:rPr>
        <w:t xml:space="preserve">Hypothesis </w:t>
      </w:r>
      <w:r w:rsidR="0069208C" w:rsidRPr="001C2C36">
        <w:rPr>
          <w:rFonts w:cs="Times New Roman"/>
          <w:i/>
          <w:iCs/>
        </w:rPr>
        <w:t>2</w:t>
      </w:r>
      <w:r w:rsidRPr="001C2C36">
        <w:rPr>
          <w:rFonts w:cs="Times New Roman"/>
          <w:i/>
          <w:iCs/>
        </w:rPr>
        <w:t>.</w:t>
      </w:r>
      <w:r w:rsidR="0069208C" w:rsidRPr="001C2C36">
        <w:rPr>
          <w:rFonts w:cs="Times New Roman"/>
          <w:i/>
          <w:iCs/>
        </w:rPr>
        <w:t xml:space="preserve"> </w:t>
      </w:r>
      <w:r w:rsidR="00194BB0" w:rsidRPr="001C2C36">
        <w:rPr>
          <w:rFonts w:cs="Times New Roman"/>
          <w:i/>
        </w:rPr>
        <w:t xml:space="preserve">Government support positively contributes to </w:t>
      </w:r>
      <w:r w:rsidR="00C66301" w:rsidRPr="001C2C36">
        <w:rPr>
          <w:rFonts w:cs="Times New Roman"/>
          <w:i/>
        </w:rPr>
        <w:t xml:space="preserve">SME </w:t>
      </w:r>
      <w:r w:rsidR="00194BB0" w:rsidRPr="001C2C36">
        <w:rPr>
          <w:rFonts w:cs="Times New Roman"/>
          <w:i/>
        </w:rPr>
        <w:t xml:space="preserve">employment during </w:t>
      </w:r>
      <w:r w:rsidR="00AD4B60" w:rsidRPr="001C2C36">
        <w:rPr>
          <w:rFonts w:cs="Times New Roman"/>
          <w:i/>
          <w:iCs/>
          <w:szCs w:val="24"/>
        </w:rPr>
        <w:t>the first lockdown of the Covid-19 pandemic</w:t>
      </w:r>
      <w:r w:rsidR="00AD4B60" w:rsidRPr="001C2C36">
        <w:rPr>
          <w:rFonts w:cs="Times New Roman"/>
          <w:i/>
        </w:rPr>
        <w:t>.</w:t>
      </w:r>
    </w:p>
    <w:p w14:paraId="6239897B" w14:textId="38C4BB07" w:rsidR="006C6AAE" w:rsidRPr="001C2C36" w:rsidRDefault="00D01DFD" w:rsidP="0071680D">
      <w:pPr>
        <w:pStyle w:val="Heading2"/>
        <w:rPr>
          <w:rFonts w:ascii="Times New Roman" w:hAnsi="Times New Roman" w:cs="Times New Roman"/>
        </w:rPr>
      </w:pPr>
      <w:r w:rsidRPr="001C2C36">
        <w:rPr>
          <w:rFonts w:ascii="Times New Roman" w:hAnsi="Times New Roman" w:cs="Times New Roman"/>
        </w:rPr>
        <w:t xml:space="preserve">Does </w:t>
      </w:r>
      <w:r w:rsidR="00140D74" w:rsidRPr="001C2C36">
        <w:rPr>
          <w:rFonts w:ascii="Times New Roman" w:hAnsi="Times New Roman" w:cs="Times New Roman"/>
        </w:rPr>
        <w:t xml:space="preserve">the </w:t>
      </w:r>
      <w:r w:rsidRPr="001C2C36">
        <w:rPr>
          <w:rFonts w:ascii="Times New Roman" w:hAnsi="Times New Roman" w:cs="Times New Roman"/>
        </w:rPr>
        <w:t>Covid-19 government support moderate the effects of DCs on employment?</w:t>
      </w:r>
    </w:p>
    <w:p w14:paraId="169B35FA" w14:textId="25907913" w:rsidR="0023356D" w:rsidRPr="001C2C36" w:rsidRDefault="000C32A4" w:rsidP="004275AF">
      <w:pPr>
        <w:rPr>
          <w:rFonts w:cs="Times New Roman"/>
          <w:szCs w:val="24"/>
        </w:rPr>
      </w:pPr>
      <w:r w:rsidRPr="001C2C36">
        <w:rPr>
          <w:rFonts w:cs="Times New Roman"/>
        </w:rPr>
        <w:t>The longer</w:t>
      </w:r>
      <w:r w:rsidR="00E15BD5" w:rsidRPr="001C2C36">
        <w:rPr>
          <w:rFonts w:cs="Times New Roman"/>
        </w:rPr>
        <w:t>-</w:t>
      </w:r>
      <w:r w:rsidRPr="001C2C36">
        <w:rPr>
          <w:rFonts w:cs="Times New Roman"/>
        </w:rPr>
        <w:t xml:space="preserve">term </w:t>
      </w:r>
      <w:r w:rsidR="00A644C6" w:rsidRPr="001C2C36">
        <w:rPr>
          <w:rFonts w:cs="Times New Roman"/>
        </w:rPr>
        <w:t>implications of Covid-19</w:t>
      </w:r>
      <w:r w:rsidRPr="001C2C36">
        <w:rPr>
          <w:rFonts w:cs="Times New Roman"/>
        </w:rPr>
        <w:t xml:space="preserve"> government support</w:t>
      </w:r>
      <w:r w:rsidR="00A644C6" w:rsidRPr="001C2C36">
        <w:rPr>
          <w:rFonts w:cs="Times New Roman"/>
        </w:rPr>
        <w:t xml:space="preserve"> on employment</w:t>
      </w:r>
      <w:r w:rsidRPr="001C2C36">
        <w:rPr>
          <w:rFonts w:cs="Times New Roman"/>
        </w:rPr>
        <w:t xml:space="preserve"> </w:t>
      </w:r>
      <w:r w:rsidR="00E15BD5" w:rsidRPr="001C2C36">
        <w:rPr>
          <w:rFonts w:cs="Times New Roman"/>
        </w:rPr>
        <w:t xml:space="preserve">are </w:t>
      </w:r>
      <w:r w:rsidR="00D77A56" w:rsidRPr="001C2C36">
        <w:rPr>
          <w:rFonts w:cs="Times New Roman"/>
        </w:rPr>
        <w:t>less straightforward</w:t>
      </w:r>
      <w:r w:rsidR="00A94C56" w:rsidRPr="001C2C36">
        <w:rPr>
          <w:rFonts w:cs="Times New Roman"/>
        </w:rPr>
        <w:t>.</w:t>
      </w:r>
      <w:r w:rsidR="00156593" w:rsidRPr="001C2C36">
        <w:rPr>
          <w:rFonts w:cs="Times New Roman"/>
        </w:rPr>
        <w:t xml:space="preserve"> </w:t>
      </w:r>
      <w:r w:rsidR="000C489E" w:rsidRPr="001C2C36">
        <w:rPr>
          <w:rFonts w:cs="Times New Roman"/>
        </w:rPr>
        <w:t xml:space="preserve">Firstly, the </w:t>
      </w:r>
      <w:r w:rsidR="00376F74" w:rsidRPr="001C2C36">
        <w:rPr>
          <w:rFonts w:cs="Times New Roman"/>
        </w:rPr>
        <w:t>benefit</w:t>
      </w:r>
      <w:r w:rsidR="000C489E" w:rsidRPr="001C2C36">
        <w:rPr>
          <w:rFonts w:cs="Times New Roman"/>
        </w:rPr>
        <w:t xml:space="preserve"> </w:t>
      </w:r>
      <w:r w:rsidR="008D753B" w:rsidRPr="001C2C36">
        <w:rPr>
          <w:rFonts w:cs="Times New Roman"/>
        </w:rPr>
        <w:t>from</w:t>
      </w:r>
      <w:r w:rsidR="000C489E" w:rsidRPr="001C2C36">
        <w:rPr>
          <w:rFonts w:cs="Times New Roman"/>
        </w:rPr>
        <w:t xml:space="preserve"> the support </w:t>
      </w:r>
      <w:r w:rsidR="00D17B76" w:rsidRPr="001C2C36">
        <w:rPr>
          <w:rFonts w:cs="Times New Roman"/>
        </w:rPr>
        <w:t xml:space="preserve">could depend on the </w:t>
      </w:r>
      <w:r w:rsidR="00C5423A" w:rsidRPr="001C2C36">
        <w:rPr>
          <w:rFonts w:cs="Times New Roman"/>
        </w:rPr>
        <w:t xml:space="preserve">existing DCs amongst </w:t>
      </w:r>
      <w:r w:rsidR="00D17B76" w:rsidRPr="001C2C36">
        <w:rPr>
          <w:rFonts w:cs="Times New Roman"/>
        </w:rPr>
        <w:t xml:space="preserve">SMEs. </w:t>
      </w:r>
      <w:r w:rsidR="004C33E5" w:rsidRPr="001C2C36">
        <w:rPr>
          <w:rFonts w:cs="Times New Roman"/>
        </w:rPr>
        <w:t>G</w:t>
      </w:r>
      <w:r w:rsidR="00E376A1" w:rsidRPr="001C2C36">
        <w:rPr>
          <w:rFonts w:cs="Times New Roman"/>
        </w:rPr>
        <w:t xml:space="preserve">overnment support may be less effective for SMEs </w:t>
      </w:r>
      <w:r w:rsidR="00A63B2B" w:rsidRPr="001C2C36">
        <w:rPr>
          <w:rFonts w:cs="Times New Roman"/>
          <w:szCs w:val="24"/>
        </w:rPr>
        <w:t xml:space="preserve">that </w:t>
      </w:r>
      <w:r w:rsidR="002F7E74" w:rsidRPr="001C2C36">
        <w:rPr>
          <w:rFonts w:cs="Times New Roman"/>
          <w:szCs w:val="24"/>
        </w:rPr>
        <w:t xml:space="preserve">already </w:t>
      </w:r>
      <w:r w:rsidR="00A63B2B" w:rsidRPr="001C2C36">
        <w:rPr>
          <w:rFonts w:cs="Times New Roman"/>
          <w:szCs w:val="24"/>
        </w:rPr>
        <w:t xml:space="preserve">have </w:t>
      </w:r>
      <w:r w:rsidR="003F6A44" w:rsidRPr="001C2C36">
        <w:rPr>
          <w:rFonts w:cs="Times New Roman"/>
          <w:szCs w:val="24"/>
        </w:rPr>
        <w:t xml:space="preserve">relevant </w:t>
      </w:r>
      <w:r w:rsidR="006531F5" w:rsidRPr="001C2C36">
        <w:rPr>
          <w:rFonts w:cs="Times New Roman"/>
          <w:szCs w:val="24"/>
        </w:rPr>
        <w:t>DC</w:t>
      </w:r>
      <w:r w:rsidR="00E8532C" w:rsidRPr="001C2C36">
        <w:rPr>
          <w:rFonts w:cs="Times New Roman"/>
          <w:szCs w:val="24"/>
        </w:rPr>
        <w:t>s</w:t>
      </w:r>
      <w:r w:rsidR="00F5557F" w:rsidRPr="001C2C36">
        <w:rPr>
          <w:rFonts w:cs="Times New Roman"/>
          <w:szCs w:val="24"/>
        </w:rPr>
        <w:t xml:space="preserve"> that are</w:t>
      </w:r>
      <w:r w:rsidR="003F6A44" w:rsidRPr="001C2C36">
        <w:rPr>
          <w:rFonts w:cs="Times New Roman"/>
          <w:szCs w:val="24"/>
        </w:rPr>
        <w:t xml:space="preserve"> </w:t>
      </w:r>
      <w:r w:rsidR="00207159" w:rsidRPr="001C2C36">
        <w:rPr>
          <w:rFonts w:cs="Times New Roman"/>
          <w:szCs w:val="24"/>
        </w:rPr>
        <w:t>related to</w:t>
      </w:r>
      <w:r w:rsidR="00E24A74" w:rsidRPr="001C2C36">
        <w:rPr>
          <w:rFonts w:cs="Times New Roman"/>
          <w:szCs w:val="24"/>
        </w:rPr>
        <w:t xml:space="preserve"> </w:t>
      </w:r>
      <w:r w:rsidR="003F6A44" w:rsidRPr="001C2C36">
        <w:rPr>
          <w:rFonts w:cs="Times New Roman"/>
          <w:szCs w:val="24"/>
        </w:rPr>
        <w:t xml:space="preserve">resilience </w:t>
      </w:r>
      <w:r w:rsidR="003F6A44" w:rsidRPr="001C2C36">
        <w:rPr>
          <w:rFonts w:cs="Times New Roman"/>
          <w:szCs w:val="24"/>
        </w:rPr>
        <w:fldChar w:fldCharType="begin" w:fldLock="1"/>
      </w:r>
      <w:r w:rsidR="003F6A44" w:rsidRPr="001C2C36">
        <w:rPr>
          <w:rFonts w:cs="Times New Roman"/>
          <w:szCs w:val="24"/>
        </w:rPr>
        <w:instrText>ADDIN CSL_CITATION {"citationItems":[{"id":"ITEM-1","itemData":{"DOI":"10.1016/j.jbusres.2021.12.006","ISSN":"01482963","abstract":"The restructuring of global value/supply chains gained increasing attention as the unprecedented COVID-19 echoed around the world. Yet, the COVID-19 related theory-driven, large scale quantitative, and empirical studies are relatively scarce. This study advances the extant literature by empirically investigating how do firms in the global food value chains (GFVCs) re-imagine their businesses structure in response to the COVID-19—becoming more resilient and competitive to the current pandemic and similar future events. We leverage a unique data of 231 senior managers of the Australian GFVCs and examine their firms’ response strategies. Drawing upon key insights from the dynamic capability view, we find that GFVCs’ competitiveness is achieved when exposure to COVID-19 shocks elicits dynamic capabilities—readiness, response, recovery—and these capabilities work jointly and sequentially to cultivate resilience. A key finding of this study is that firms with domestic plus global value chain partners are more resilient than those having only global business partners. This finding implies that excessive reliance on offshoring sometimes becomes lethal, especially amid unexpected and prolonged global shocks and, therefore, companies should strike a balance between domestic and global business partners to remain competitive. These findings offer important contributions to theory, practice, and UN sustainable development goals.","author":[{"dropping-particle":"","family":"Ali","given":"Imran","non-dropping-particle":"","parse-names":false,"suffix":""},{"dropping-particle":"","family":"Arslan","given":"Ahmad","non-dropping-particle":"","parse-names":false,"suffix":""},{"dropping-particle":"","family":"Chowdhury","given":"Maruf","non-dropping-particle":"","parse-names":false,"suffix":""},{"dropping-particle":"","family":"Khan","given":"Zaheer","non-dropping-particle":"","parse-names":false,"suffix":""},{"dropping-particle":"","family":"Tarba","given":"Shlomo Y.","non-dropping-particle":"","parse-names":false,"suffix":""}],"container-title":"Journal of Business Research","id":"ITEM-1","issued":{"date-parts":[["2022"]]},"page":"1-12","title":"Reimagining global food value chains through effective resilience to COVID-19 shocks and similar future events: A dynamic capability perspective","type":"article-journal","volume":"141"},"uris":["http://www.mendeley.com/documents/?uuid=6bd1da5c-f858-44a4-b862-b1609b6f595b","http://www.mendeley.com/documents/?uuid=b0ae3f3c-08b5-43a6-bd1a-375706a7d269"]}],"mendeley":{"formattedCitation":"(Ali et al., 2022)","plainTextFormattedCitation":"(Ali et al., 2022)","previouslyFormattedCitation":"(Ali et al., 2022)"},"properties":{"noteIndex":0},"schema":"https://github.com/citation-style-language/schema/raw/master/csl-citation.json"}</w:instrText>
      </w:r>
      <w:r w:rsidR="003F6A44" w:rsidRPr="001C2C36">
        <w:rPr>
          <w:rFonts w:cs="Times New Roman"/>
          <w:szCs w:val="24"/>
        </w:rPr>
        <w:fldChar w:fldCharType="separate"/>
      </w:r>
      <w:r w:rsidR="003F6A44" w:rsidRPr="001C2C36">
        <w:rPr>
          <w:rFonts w:cs="Times New Roman"/>
          <w:noProof/>
          <w:szCs w:val="24"/>
        </w:rPr>
        <w:t>(Ali et al., 2022)</w:t>
      </w:r>
      <w:r w:rsidR="003F6A44" w:rsidRPr="001C2C36">
        <w:rPr>
          <w:rFonts w:cs="Times New Roman"/>
          <w:szCs w:val="24"/>
        </w:rPr>
        <w:fldChar w:fldCharType="end"/>
      </w:r>
      <w:r w:rsidR="005B12C6" w:rsidRPr="001C2C36">
        <w:rPr>
          <w:rFonts w:cs="Times New Roman"/>
          <w:szCs w:val="24"/>
        </w:rPr>
        <w:t xml:space="preserve">, </w:t>
      </w:r>
      <w:r w:rsidR="00157005" w:rsidRPr="001C2C36">
        <w:rPr>
          <w:rFonts w:cs="Times New Roman"/>
          <w:szCs w:val="24"/>
        </w:rPr>
        <w:t xml:space="preserve">developed through </w:t>
      </w:r>
      <w:r w:rsidR="003F6A44" w:rsidRPr="001C2C36">
        <w:rPr>
          <w:rFonts w:cs="Times New Roman"/>
          <w:szCs w:val="24"/>
        </w:rPr>
        <w:t xml:space="preserve">business model innovation </w:t>
      </w:r>
      <w:r w:rsidR="003F6A44" w:rsidRPr="001C2C36">
        <w:rPr>
          <w:rFonts w:cs="Times New Roman"/>
          <w:szCs w:val="24"/>
        </w:rPr>
        <w:fldChar w:fldCharType="begin" w:fldLock="1"/>
      </w:r>
      <w:r w:rsidR="003F6A44" w:rsidRPr="001C2C36">
        <w:rPr>
          <w:rFonts w:cs="Times New Roman"/>
          <w:szCs w:val="24"/>
        </w:rPr>
        <w:instrText>ADDIN CSL_CITATION {"citationItems":[{"id":"ITEM-1","itemData":{"DOI":"10.1016/j.ijhm.2020.102723","ISSN":"02784319","abstract":"The hospitality industry worldwide is among the hardest-hit industries from the COVID-19 lockdowns. Initial theoretical and practical observations in the hospitality industry indicate that business model innovation (BMI) might be a solution to recover from and successfully cope with the COVID-19 crisis. Interestingly, some firms in the hospitality industry already started to successfully adapt their business models. This study explores the why and how of these successful recovery attempts through BMI by conducting a multiple case study of six hospitality firms in Austria. We rely on interview data from managers together with one of their main stammgasts for each case, which we triangulate with secondary data for the analysis. Findings show that BMI is applied during and after the crisis to create new revenue streams and secure a higher level of liquidity, with an important role of stammgasts.","author":[{"dropping-particle":"","family":"Breier","given":"Matthias","non-dropping-particle":"","parse-names":false,"suffix":""},{"dropping-particle":"","family":"Kallmuenzer","given":"Andreas","non-dropping-particle":"","parse-names":false,"suffix":""},{"dropping-particle":"","family":"Clauss","given":"Thomas","non-dropping-particle":"","parse-names":false,"suffix":""},{"dropping-particle":"","family":"Gast","given":"Johanna","non-dropping-particle":"","parse-names":false,"suffix":""},{"dropping-particle":"","family":"Kraus","given":"Sascha","non-dropping-particle":"","parse-names":false,"suffix":""},{"dropping-particle":"","family":"Tiberius","given":"Victor","non-dropping-particle":"","parse-names":false,"suffix":""}],"container-title":"International Journal of Hospitality Management","id":"ITEM-1","issued":{"date-parts":[["2021"]]},"page":"102723","title":"The role of business model innovation in the hospitality industry during the COVID-19 crisis","type":"article-journal","volume":"92"},"uris":["http://www.mendeley.com/documents/?uuid=3c61b173-0b1a-4f50-b225-2f0c4c9cbe2c","http://www.mendeley.com/documents/?uuid=74b21e4e-ba4a-43f7-b4b2-1d8404dc4b96"]}],"mendeley":{"formattedCitation":"(Breier et al., 2021)","plainTextFormattedCitation":"(Breier et al., 2021)","previouslyFormattedCitation":"(Breier et al., 2021)"},"properties":{"noteIndex":0},"schema":"https://github.com/citation-style-language/schema/raw/master/csl-citation.json"}</w:instrText>
      </w:r>
      <w:r w:rsidR="003F6A44" w:rsidRPr="001C2C36">
        <w:rPr>
          <w:rFonts w:cs="Times New Roman"/>
          <w:szCs w:val="24"/>
        </w:rPr>
        <w:fldChar w:fldCharType="separate"/>
      </w:r>
      <w:r w:rsidR="003F6A44" w:rsidRPr="001C2C36">
        <w:rPr>
          <w:rFonts w:cs="Times New Roman"/>
          <w:noProof/>
          <w:szCs w:val="24"/>
        </w:rPr>
        <w:t>(Breier et al., 2021)</w:t>
      </w:r>
      <w:r w:rsidR="003F6A44" w:rsidRPr="001C2C36">
        <w:rPr>
          <w:rFonts w:cs="Times New Roman"/>
          <w:szCs w:val="24"/>
        </w:rPr>
        <w:fldChar w:fldCharType="end"/>
      </w:r>
      <w:r w:rsidR="00E24A74" w:rsidRPr="001C2C36">
        <w:rPr>
          <w:rFonts w:cs="Times New Roman"/>
          <w:szCs w:val="24"/>
        </w:rPr>
        <w:t xml:space="preserve">, or </w:t>
      </w:r>
      <w:r w:rsidR="003F6A44" w:rsidRPr="001C2C36">
        <w:rPr>
          <w:rFonts w:cs="Times New Roman"/>
          <w:szCs w:val="24"/>
        </w:rPr>
        <w:t xml:space="preserve">experimentation </w:t>
      </w:r>
      <w:r w:rsidR="003F6A44" w:rsidRPr="001C2C36">
        <w:rPr>
          <w:rFonts w:cs="Times New Roman"/>
          <w:szCs w:val="24"/>
        </w:rPr>
        <w:fldChar w:fldCharType="begin" w:fldLock="1"/>
      </w:r>
      <w:r w:rsidR="003F6A44" w:rsidRPr="001C2C36">
        <w:rPr>
          <w:rFonts w:cs="Times New Roman"/>
          <w:szCs w:val="24"/>
        </w:rPr>
        <w:instrText>ADDIN CSL_CITATION {"citationItems":[{"id":"ITEM-1","itemData":{"DOI":"10.1016/j.jbvi.2020.e00197","ISSN":"23526734","abstract":"Research summary: Times of crisis require entrepreneurial responses to mitigate adverse effects and address new opportunities. This study focuses on how packaged food and drink entrepreneurs in Finland took action to create and capture new value during the Covid-19 crisis. Examining 844 social media posts of 66 ventures between March and May 2020 and interviewing 17 of these ventures, we found ventures to experiment with new business model variations, which not only expanded their set of solutions directly, but resulted in action-based learning leading to longer-term changes and increased capabilities for subsequent value creation. Furthermore, collaborative experiments and prosocial support increased the solution space through developing the capabilities of the ecosystem. Managerial summary: The global lockdown measures in response to the coronavirus pandemic have disrupted supply, production, sales and consumption. Facing these constraints, entrepreneurs can respond quickly and experiment to create new liquidity and opportunities. Our analysis of packaged food and beverage entrepreneurs in Finland during the crisis shows how entrepreneurs leverage existing resources and acquire new ones to create new offerings, operations and partnerships. These initial actions serve as experiments to learn from in creating and revising business models, promoting a virtuous cycle of further action and expanding potential future solutions accessible to entrepreneurs. Importantly, opportunities available to the venture expand through both venture specific learning and through supporting other actors in the ecosystem.","author":[{"dropping-particle":"","family":"Björklund","given":"Tua A.","non-dropping-particle":"","parse-names":false,"suffix":""},{"dropping-particle":"","family":"Mikkonen","given":"Maria","non-dropping-particle":"","parse-names":false,"suffix":""},{"dropping-particle":"","family":"Mattila","given":"Pauliina","non-dropping-particle":"","parse-names":false,"suffix":""},{"dropping-particle":"","family":"Marel","given":"Floris","non-dropping-particle":"van der","parse-names":false,"suffix":""}],"container-title":"Journal of Business Venturing Insights","id":"ITEM-1","issued":{"date-parts":[["2020"]]},"page":"e00197","title":"Expanding entrepreneurial solution spaces in times of crisis: Business model experimentation amongst packaged food and beverage ventures","type":"article-journal","volume":"14"},"uris":["http://www.mendeley.com/documents/?uuid=4a0da304-e43b-4957-b7a0-6e58a5a034db","http://www.mendeley.com/documents/?uuid=f7e2772c-4a90-4d40-bf65-015e27f49584"]}],"mendeley":{"formattedCitation":"(Björklund et al., 2020)","plainTextFormattedCitation":"(Björklund et al., 2020)","previouslyFormattedCitation":"(Björklund et al., 2020)"},"properties":{"noteIndex":0},"schema":"https://github.com/citation-style-language/schema/raw/master/csl-citation.json"}</w:instrText>
      </w:r>
      <w:r w:rsidR="003F6A44" w:rsidRPr="001C2C36">
        <w:rPr>
          <w:rFonts w:cs="Times New Roman"/>
          <w:szCs w:val="24"/>
        </w:rPr>
        <w:fldChar w:fldCharType="separate"/>
      </w:r>
      <w:r w:rsidR="003F6A44" w:rsidRPr="001C2C36">
        <w:rPr>
          <w:rFonts w:cs="Times New Roman"/>
          <w:noProof/>
          <w:szCs w:val="24"/>
        </w:rPr>
        <w:t>(Björklund et al., 2020)</w:t>
      </w:r>
      <w:r w:rsidR="003F6A44" w:rsidRPr="001C2C36">
        <w:rPr>
          <w:rFonts w:cs="Times New Roman"/>
          <w:szCs w:val="24"/>
        </w:rPr>
        <w:fldChar w:fldCharType="end"/>
      </w:r>
      <w:r w:rsidR="005524A2" w:rsidRPr="001C2C36">
        <w:rPr>
          <w:rFonts w:cs="Times New Roman"/>
          <w:szCs w:val="24"/>
        </w:rPr>
        <w:t>,</w:t>
      </w:r>
      <w:r w:rsidR="00157005" w:rsidRPr="001C2C36">
        <w:rPr>
          <w:rFonts w:cs="Times New Roman"/>
          <w:szCs w:val="24"/>
        </w:rPr>
        <w:t xml:space="preserve"> for example</w:t>
      </w:r>
      <w:r w:rsidR="00C61011" w:rsidRPr="001C2C36">
        <w:rPr>
          <w:rFonts w:cs="Times New Roman"/>
          <w:szCs w:val="24"/>
        </w:rPr>
        <w:t>. They</w:t>
      </w:r>
      <w:r w:rsidR="00E24A74" w:rsidRPr="001C2C36">
        <w:rPr>
          <w:rFonts w:cs="Times New Roman"/>
          <w:szCs w:val="24"/>
        </w:rPr>
        <w:t xml:space="preserve"> </w:t>
      </w:r>
      <w:r w:rsidR="00A63B2B" w:rsidRPr="001C2C36">
        <w:rPr>
          <w:rFonts w:cs="Times New Roman"/>
          <w:szCs w:val="24"/>
        </w:rPr>
        <w:t>could</w:t>
      </w:r>
      <w:r w:rsidR="008E03BF" w:rsidRPr="001C2C36">
        <w:rPr>
          <w:rFonts w:cs="Times New Roman"/>
          <w:szCs w:val="24"/>
        </w:rPr>
        <w:t xml:space="preserve"> </w:t>
      </w:r>
      <w:r w:rsidR="00AC3938" w:rsidRPr="001C2C36">
        <w:rPr>
          <w:rFonts w:cs="Times New Roman"/>
          <w:szCs w:val="24"/>
        </w:rPr>
        <w:t xml:space="preserve">potentially </w:t>
      </w:r>
      <w:r w:rsidR="00DF1801" w:rsidRPr="001C2C36">
        <w:rPr>
          <w:rFonts w:cs="Times New Roman"/>
          <w:szCs w:val="24"/>
        </w:rPr>
        <w:t xml:space="preserve">swiftly </w:t>
      </w:r>
      <w:r w:rsidR="00AC3938" w:rsidRPr="001C2C36">
        <w:rPr>
          <w:rFonts w:cs="Times New Roman"/>
          <w:szCs w:val="24"/>
        </w:rPr>
        <w:t>utilise</w:t>
      </w:r>
      <w:r w:rsidR="00C51DD5" w:rsidRPr="001C2C36">
        <w:rPr>
          <w:rFonts w:cs="Times New Roman"/>
          <w:szCs w:val="24"/>
        </w:rPr>
        <w:t xml:space="preserve"> these DCs</w:t>
      </w:r>
      <w:r w:rsidR="00AC3938" w:rsidRPr="001C2C36">
        <w:rPr>
          <w:rFonts w:cs="Times New Roman"/>
          <w:szCs w:val="24"/>
        </w:rPr>
        <w:t xml:space="preserve"> </w:t>
      </w:r>
      <w:r w:rsidR="00A63B2B" w:rsidRPr="001C2C36">
        <w:rPr>
          <w:rFonts w:cs="Times New Roman"/>
          <w:szCs w:val="24"/>
        </w:rPr>
        <w:t xml:space="preserve">in the context of Covid-19 </w:t>
      </w:r>
      <w:r w:rsidR="00C35337" w:rsidRPr="001C2C36">
        <w:rPr>
          <w:rFonts w:cs="Times New Roman"/>
          <w:szCs w:val="24"/>
        </w:rPr>
        <w:t xml:space="preserve">and achieve </w:t>
      </w:r>
      <w:r w:rsidR="00D9002E" w:rsidRPr="001C2C36">
        <w:rPr>
          <w:rFonts w:cs="Times New Roman"/>
          <w:szCs w:val="24"/>
        </w:rPr>
        <w:t xml:space="preserve">a </w:t>
      </w:r>
      <w:r w:rsidR="00C35337" w:rsidRPr="001C2C36">
        <w:rPr>
          <w:rFonts w:cs="Times New Roman"/>
          <w:szCs w:val="24"/>
        </w:rPr>
        <w:t>competitive advantage without input from the government</w:t>
      </w:r>
      <w:r w:rsidR="00A63B2B" w:rsidRPr="001C2C36">
        <w:rPr>
          <w:rFonts w:cs="Times New Roman"/>
          <w:szCs w:val="24"/>
        </w:rPr>
        <w:t>.</w:t>
      </w:r>
      <w:r w:rsidR="00C35337" w:rsidRPr="001C2C36">
        <w:rPr>
          <w:rFonts w:cs="Times New Roman"/>
          <w:szCs w:val="24"/>
        </w:rPr>
        <w:t xml:space="preserve"> </w:t>
      </w:r>
      <w:r w:rsidR="009A3744" w:rsidRPr="001C2C36">
        <w:rPr>
          <w:rFonts w:cs="Times New Roman"/>
          <w:szCs w:val="24"/>
        </w:rPr>
        <w:t>This is</w:t>
      </w:r>
      <w:r w:rsidR="00D9002E" w:rsidRPr="001C2C36">
        <w:rPr>
          <w:rFonts w:cs="Times New Roman"/>
          <w:szCs w:val="24"/>
        </w:rPr>
        <w:t>,</w:t>
      </w:r>
      <w:r w:rsidR="009A3744" w:rsidRPr="001C2C36">
        <w:rPr>
          <w:rFonts w:cs="Times New Roman"/>
          <w:szCs w:val="24"/>
        </w:rPr>
        <w:t xml:space="preserve"> to some extent</w:t>
      </w:r>
      <w:r w:rsidR="00D9002E" w:rsidRPr="001C2C36">
        <w:rPr>
          <w:rFonts w:cs="Times New Roman"/>
          <w:szCs w:val="24"/>
        </w:rPr>
        <w:t>,</w:t>
      </w:r>
      <w:r w:rsidR="009A3744" w:rsidRPr="001C2C36">
        <w:rPr>
          <w:rFonts w:cs="Times New Roman"/>
          <w:szCs w:val="24"/>
        </w:rPr>
        <w:t xml:space="preserve"> evident by looking at </w:t>
      </w:r>
      <w:r w:rsidR="00C35337" w:rsidRPr="001C2C36">
        <w:rPr>
          <w:rFonts w:cs="Times New Roman"/>
          <w:i/>
        </w:rPr>
        <w:t>BRH</w:t>
      </w:r>
      <w:r w:rsidR="00AA584D" w:rsidRPr="001C2C36">
        <w:rPr>
          <w:rFonts w:cs="Times New Roman"/>
          <w:i/>
        </w:rPr>
        <w:t xml:space="preserve">. </w:t>
      </w:r>
      <w:r w:rsidR="00A92D5F" w:rsidRPr="001C2C36">
        <w:rPr>
          <w:rFonts w:cs="Times New Roman"/>
        </w:rPr>
        <w:t>Some</w:t>
      </w:r>
      <w:r w:rsidR="00A92D5F" w:rsidRPr="001C2C36">
        <w:rPr>
          <w:rFonts w:cs="Times New Roman"/>
          <w:szCs w:val="24"/>
        </w:rPr>
        <w:t xml:space="preserve"> </w:t>
      </w:r>
      <w:r w:rsidR="00A92D5F" w:rsidRPr="001C2C36">
        <w:rPr>
          <w:rFonts w:cs="Times New Roman"/>
          <w:i/>
          <w:iCs/>
          <w:szCs w:val="24"/>
        </w:rPr>
        <w:t>BRH</w:t>
      </w:r>
      <w:r w:rsidR="00A92D5F" w:rsidRPr="001C2C36">
        <w:rPr>
          <w:rFonts w:cs="Times New Roman"/>
          <w:szCs w:val="24"/>
        </w:rPr>
        <w:t xml:space="preserve"> recipients performed exceptionally well during the Covid-19 pandemic, with several voluntarily paying back the relief with estimates of over £2 billion returned to the Exchequer </w:t>
      </w:r>
      <w:r w:rsidR="00A92D5F" w:rsidRPr="001C2C36">
        <w:rPr>
          <w:rFonts w:cs="Times New Roman"/>
          <w:szCs w:val="24"/>
        </w:rPr>
        <w:fldChar w:fldCharType="begin" w:fldLock="1"/>
      </w:r>
      <w:r w:rsidR="008103B6" w:rsidRPr="001C2C36">
        <w:rPr>
          <w:rFonts w:cs="Times New Roman"/>
          <w:szCs w:val="24"/>
        </w:rPr>
        <w:instrText>ADDIN CSL_CITATION {"citationItems":[{"id":"ITEM-1","itemData":{"URL":"https://obr.uk/efo/economic-and-fiscal-outlook-march-2021/","accessed":{"date-parts":[["2022","5","3"]]},"author":[{"dropping-particle":"","family":"Office for Budget Responsibility","given":"","non-dropping-particle":"","parse-names":false,"suffix":""}],"id":"ITEM-1","issued":{"date-parts":[["2021"]]},"title":"Economic and Fiscal Outlook—March 2021","type":"webpage"},"locator":"202","uris":["http://www.mendeley.com/documents/?uuid=c4133cf3-28db-4c60-aca7-817767a6152b"]}],"mendeley":{"formattedCitation":"(Office for Budget Responsibility, 2021: 202)","plainTextFormattedCitation":"(Office for Budget Responsibility, 2021: 202)","previouslyFormattedCitation":"(Office for Budget Responsibility, 2021: 202)"},"properties":{"noteIndex":0},"schema":"https://github.com/citation-style-language/schema/raw/master/csl-citation.json"}</w:instrText>
      </w:r>
      <w:r w:rsidR="00A92D5F" w:rsidRPr="001C2C36">
        <w:rPr>
          <w:rFonts w:cs="Times New Roman"/>
          <w:szCs w:val="24"/>
        </w:rPr>
        <w:fldChar w:fldCharType="separate"/>
      </w:r>
      <w:r w:rsidR="00A92D5F" w:rsidRPr="001C2C36">
        <w:rPr>
          <w:rFonts w:cs="Times New Roman"/>
          <w:noProof/>
          <w:szCs w:val="24"/>
        </w:rPr>
        <w:t>(Office for Budget Responsibility, 2021: 202)</w:t>
      </w:r>
      <w:r w:rsidR="00A92D5F" w:rsidRPr="001C2C36">
        <w:rPr>
          <w:rFonts w:cs="Times New Roman"/>
          <w:szCs w:val="24"/>
        </w:rPr>
        <w:fldChar w:fldCharType="end"/>
      </w:r>
      <w:r w:rsidR="00A92D5F" w:rsidRPr="001C2C36">
        <w:rPr>
          <w:rFonts w:cs="Times New Roman"/>
          <w:szCs w:val="24"/>
        </w:rPr>
        <w:t xml:space="preserve">. </w:t>
      </w:r>
    </w:p>
    <w:p w14:paraId="3AAAA61F" w14:textId="027CCA9A" w:rsidR="00FC794E" w:rsidRPr="001C2C36" w:rsidRDefault="00A92D5F" w:rsidP="00203C2A">
      <w:pPr>
        <w:rPr>
          <w:rFonts w:cs="Times New Roman"/>
        </w:rPr>
      </w:pPr>
      <w:r w:rsidRPr="001C2C36">
        <w:rPr>
          <w:rFonts w:cs="Times New Roman"/>
          <w:szCs w:val="24"/>
        </w:rPr>
        <w:t>On the other hand, the availability of expansive multibillion pound support packages, with an estimated value of £147 billion,</w:t>
      </w:r>
      <w:r w:rsidRPr="001C2C36">
        <w:rPr>
          <w:rStyle w:val="EndnoteReference"/>
          <w:rFonts w:cs="Times New Roman"/>
          <w:szCs w:val="24"/>
        </w:rPr>
        <w:endnoteReference w:id="3"/>
      </w:r>
      <w:r w:rsidRPr="001C2C36">
        <w:rPr>
          <w:rFonts w:cs="Times New Roman"/>
          <w:szCs w:val="24"/>
        </w:rPr>
        <w:t xml:space="preserve"> and early announcements of further support schemes to aid with the recovery from the Covid-19 pandemic may also divert businesses from </w:t>
      </w:r>
      <w:r w:rsidRPr="001C2C36">
        <w:rPr>
          <w:rFonts w:cs="Times New Roman"/>
        </w:rPr>
        <w:t>drawing on their relevant DCs and further developing relevant experience through adapting to the new market conditions. Initial evidence</w:t>
      </w:r>
      <w:r w:rsidR="00665DAA" w:rsidRPr="001C2C36">
        <w:rPr>
          <w:rFonts w:cs="Times New Roman"/>
        </w:rPr>
        <w:t xml:space="preserve"> from PPPs indicates that b</w:t>
      </w:r>
      <w:r w:rsidR="004965AB" w:rsidRPr="001C2C36">
        <w:rPr>
          <w:rFonts w:cs="Times New Roman"/>
        </w:rPr>
        <w:t xml:space="preserve">usinesses </w:t>
      </w:r>
      <w:r w:rsidR="00CA7608" w:rsidRPr="001C2C36">
        <w:rPr>
          <w:rFonts w:cs="Times New Roman"/>
        </w:rPr>
        <w:t xml:space="preserve">often used </w:t>
      </w:r>
      <w:r w:rsidR="00665DAA" w:rsidRPr="001C2C36">
        <w:rPr>
          <w:rFonts w:cs="Times New Roman"/>
        </w:rPr>
        <w:t xml:space="preserve">Covid-19 loans </w:t>
      </w:r>
      <w:r w:rsidR="00DA131D" w:rsidRPr="001C2C36">
        <w:rPr>
          <w:rFonts w:cs="Times New Roman"/>
        </w:rPr>
        <w:t>to make non-payroll fixed payments and build up savings buffers</w:t>
      </w:r>
      <w:r w:rsidR="000F35DF" w:rsidRPr="001C2C36">
        <w:rPr>
          <w:rFonts w:cs="Times New Roman"/>
        </w:rPr>
        <w:t xml:space="preserve"> </w:t>
      </w:r>
      <w:r w:rsidR="00CA7608" w:rsidRPr="001C2C36">
        <w:rPr>
          <w:rFonts w:cs="Times New Roman"/>
        </w:rPr>
        <w:fldChar w:fldCharType="begin" w:fldLock="1"/>
      </w:r>
      <w:r w:rsidR="0014071E" w:rsidRPr="001C2C36">
        <w:rPr>
          <w:rFonts w:cs="Times New Roman"/>
        </w:rPr>
        <w:instrText>ADDIN CSL_CITATION {"citationItems":[{"id":"ITEM-1","itemData":{"DOI":"10.1016/j.jfineco.2022.05.006","ISSN":"0304-405X","author":[{"dropping-particle":"","family":"Granja","given":"João","non-dropping-particle":"","parse-names":false,"suffix":""},{"dropping-particle":"","family":"Makridis","given":"Christos","non-dropping-particle":"","parse-names":false,"suffix":""},{"dropping-particle":"","family":"Yannelis","given":"Constantine","non-dropping-particle":"","parse-names":false,"suffix":""},{"dropping-particle":"","family":"Zwick","given":"Eric","non-dropping-particle":"","parse-names":false,"suffix":""}],"container-title":"Journal of Financial Economics","id":"ITEM-1","issue":"3","issued":{"date-parts":[["2022"]]},"page":"725-761","publisher":"Elsevier B.V.","title":"Did the paycheck protection program hit the target ?","type":"article-journal","volume":"145"},"uris":["http://www.mendeley.com/documents/?uuid=fa2d5481-f00b-408a-854a-27a6e2dbae98"]}],"mendeley":{"formattedCitation":"(Granja et al., 2022)","plainTextFormattedCitation":"(Granja et al., 2022)","previouslyFormattedCitation":"(Granja et al., 2022)"},"properties":{"noteIndex":0},"schema":"https://github.com/citation-style-language/schema/raw/master/csl-citation.json"}</w:instrText>
      </w:r>
      <w:r w:rsidR="00CA7608" w:rsidRPr="001C2C36">
        <w:rPr>
          <w:rFonts w:cs="Times New Roman"/>
        </w:rPr>
        <w:fldChar w:fldCharType="separate"/>
      </w:r>
      <w:r w:rsidR="00CA7608" w:rsidRPr="001C2C36">
        <w:rPr>
          <w:rFonts w:cs="Times New Roman"/>
          <w:noProof/>
        </w:rPr>
        <w:t>(Granja et al., 2022)</w:t>
      </w:r>
      <w:r w:rsidR="00CA7608" w:rsidRPr="001C2C36">
        <w:rPr>
          <w:rFonts w:cs="Times New Roman"/>
        </w:rPr>
        <w:fldChar w:fldCharType="end"/>
      </w:r>
      <w:r w:rsidR="007D58B4" w:rsidRPr="001C2C36">
        <w:rPr>
          <w:rFonts w:cs="Times New Roman"/>
        </w:rPr>
        <w:t>,</w:t>
      </w:r>
      <w:r w:rsidR="00665DAA" w:rsidRPr="001C2C36">
        <w:rPr>
          <w:rFonts w:cs="Times New Roman"/>
        </w:rPr>
        <w:t xml:space="preserve"> but </w:t>
      </w:r>
      <w:r w:rsidR="00395A24" w:rsidRPr="001C2C36">
        <w:rPr>
          <w:rFonts w:cs="Times New Roman"/>
        </w:rPr>
        <w:t xml:space="preserve">DCs are known to be developed </w:t>
      </w:r>
      <w:r w:rsidR="009A50F0" w:rsidRPr="001C2C36">
        <w:rPr>
          <w:rFonts w:cs="Times New Roman"/>
        </w:rPr>
        <w:t>by</w:t>
      </w:r>
      <w:r w:rsidR="001A65C8" w:rsidRPr="001C2C36">
        <w:rPr>
          <w:rFonts w:cs="Times New Roman"/>
        </w:rPr>
        <w:t xml:space="preserve"> learning </w:t>
      </w:r>
      <w:r w:rsidR="00395A24" w:rsidRPr="001C2C36">
        <w:rPr>
          <w:rFonts w:cs="Times New Roman"/>
        </w:rPr>
        <w:t xml:space="preserve">through experience </w:t>
      </w:r>
      <w:r w:rsidR="00395A24" w:rsidRPr="001C2C36">
        <w:rPr>
          <w:rFonts w:cs="Times New Roman"/>
        </w:rPr>
        <w:fldChar w:fldCharType="begin" w:fldLock="1"/>
      </w:r>
      <w:r w:rsidR="00395A24" w:rsidRPr="001C2C36">
        <w:rPr>
          <w:rFonts w:cs="Times New Roman"/>
        </w:rPr>
        <w:instrText>ADDIN CSL_CITATION {"citationItems":[{"id":"ITEM-1","itemData":{"DOI":"10.1002/smj.2347","ISBN":"1097-0266","ISSN":"01432095","abstract":"Examining how compensation structure affects mobility and entrepreneurship decisions of employees, particularly those at the extreme ends of the performance distribution, we find that employees with high performance are less likely to leave firms with highly dispersed compensation. However, if these “high performers” do leave these employers, they are more likely to create or join new firms. Employees with lower performance are more likely to leave firms with high pay dispersion, but less likely to move to new ventures. Additionally, we show that mobility and entrepreneurship result in employees’ receiving higher compensation, regardless of their performance level.","author":[{"dropping-particle":"","family":"Bingham","given":"Christopher B.","non-dropping-particle":"","parse-names":false,"suffix":""},{"dropping-particle":"","family":"Heimeriks","given":"Koen H.","non-dropping-particle":"","parse-names":false,"suffix":""},{"dropping-particle":"","family":"Schijven","given":"Mario","non-dropping-particle":"","parse-names":false,"suffix":""},{"dropping-particle":"","family":"Gates","given":"Stephen","non-dropping-particle":"","parse-names":false,"suffix":""}],"container-title":"Strategic Management Journal","id":"ITEM-1","issue":"12","issued":{"date-parts":[["2015","12"]]},"page":"1802-1825","title":"Concurrent learning: How firms develop multiple dynamic capabilities in parallel","type":"article-journal","volume":"36"},"uris":["http://www.mendeley.com/documents/?uuid=27dbd94f-e881-4d86-ac1b-2d5d15958e95"]}],"mendeley":{"formattedCitation":"(Bingham et al., 2015)","plainTextFormattedCitation":"(Bingham et al., 2015)","previouslyFormattedCitation":"(Bingham et al., 2015)"},"properties":{"noteIndex":0},"schema":"https://github.com/citation-style-language/schema/raw/master/csl-citation.json"}</w:instrText>
      </w:r>
      <w:r w:rsidR="00395A24" w:rsidRPr="001C2C36">
        <w:rPr>
          <w:rFonts w:cs="Times New Roman"/>
        </w:rPr>
        <w:fldChar w:fldCharType="separate"/>
      </w:r>
      <w:r w:rsidR="00395A24" w:rsidRPr="001C2C36">
        <w:rPr>
          <w:rFonts w:cs="Times New Roman"/>
          <w:noProof/>
        </w:rPr>
        <w:t>(Bingham et al., 2015)</w:t>
      </w:r>
      <w:r w:rsidR="00395A24" w:rsidRPr="001C2C36">
        <w:rPr>
          <w:rFonts w:cs="Times New Roman"/>
        </w:rPr>
        <w:fldChar w:fldCharType="end"/>
      </w:r>
      <w:r w:rsidR="00395A24" w:rsidRPr="001C2C36">
        <w:rPr>
          <w:rFonts w:cs="Times New Roman"/>
        </w:rPr>
        <w:t xml:space="preserve">. </w:t>
      </w:r>
      <w:r w:rsidR="00F14F50" w:rsidRPr="001C2C36">
        <w:rPr>
          <w:rFonts w:cs="Times New Roman"/>
        </w:rPr>
        <w:t xml:space="preserve">The increased reliance on temporary cash influx from the government </w:t>
      </w:r>
      <w:r w:rsidR="00D53E07" w:rsidRPr="001C2C36">
        <w:rPr>
          <w:rFonts w:cs="Times New Roman"/>
        </w:rPr>
        <w:t xml:space="preserve">could potentially negatively impact </w:t>
      </w:r>
      <w:r w:rsidR="00E10FED" w:rsidRPr="001C2C36">
        <w:rPr>
          <w:rFonts w:cs="Times New Roman"/>
        </w:rPr>
        <w:t xml:space="preserve">SMEs </w:t>
      </w:r>
      <w:r w:rsidR="00A85714" w:rsidRPr="001C2C36">
        <w:rPr>
          <w:rFonts w:cs="Times New Roman"/>
        </w:rPr>
        <w:t>by</w:t>
      </w:r>
      <w:r w:rsidR="00730162" w:rsidRPr="001C2C36">
        <w:rPr>
          <w:rFonts w:cs="Times New Roman"/>
        </w:rPr>
        <w:t xml:space="preserve"> losing the </w:t>
      </w:r>
      <w:r w:rsidR="009F7ECB" w:rsidRPr="001C2C36">
        <w:rPr>
          <w:rFonts w:cs="Times New Roman"/>
        </w:rPr>
        <w:t xml:space="preserve">long term </w:t>
      </w:r>
      <w:r w:rsidR="00730162" w:rsidRPr="001C2C36">
        <w:rPr>
          <w:rFonts w:cs="Times New Roman"/>
        </w:rPr>
        <w:t>competitive advantage</w:t>
      </w:r>
      <w:r w:rsidR="009D7350" w:rsidRPr="001C2C36">
        <w:rPr>
          <w:rFonts w:cs="Times New Roman"/>
        </w:rPr>
        <w:t xml:space="preserve"> to firms that </w:t>
      </w:r>
      <w:r w:rsidR="00F05372" w:rsidRPr="001C2C36">
        <w:rPr>
          <w:rFonts w:cs="Times New Roman"/>
        </w:rPr>
        <w:t>fu</w:t>
      </w:r>
      <w:r w:rsidR="00785541" w:rsidRPr="001C2C36">
        <w:rPr>
          <w:rFonts w:cs="Times New Roman"/>
        </w:rPr>
        <w:t>rther developed</w:t>
      </w:r>
      <w:r w:rsidR="009D7350" w:rsidRPr="001C2C36">
        <w:rPr>
          <w:rFonts w:cs="Times New Roman"/>
        </w:rPr>
        <w:t xml:space="preserve"> their DC</w:t>
      </w:r>
      <w:r w:rsidR="00785541" w:rsidRPr="001C2C36">
        <w:rPr>
          <w:rFonts w:cs="Times New Roman"/>
        </w:rPr>
        <w:t xml:space="preserve"> base through experience </w:t>
      </w:r>
      <w:r w:rsidR="00785541" w:rsidRPr="001C2C36">
        <w:rPr>
          <w:rFonts w:cs="Times New Roman"/>
        </w:rPr>
        <w:lastRenderedPageBreak/>
        <w:t xml:space="preserve">during the </w:t>
      </w:r>
      <w:r w:rsidR="009D7350" w:rsidRPr="001C2C36">
        <w:rPr>
          <w:rFonts w:cs="Times New Roman"/>
        </w:rPr>
        <w:t>Covid-19 pandemic</w:t>
      </w:r>
      <w:r w:rsidR="008279AF" w:rsidRPr="001C2C36">
        <w:rPr>
          <w:rFonts w:cs="Times New Roman"/>
        </w:rPr>
        <w:t xml:space="preserve">, of which </w:t>
      </w:r>
      <w:r w:rsidR="00551043" w:rsidRPr="001C2C36">
        <w:rPr>
          <w:rFonts w:cs="Times New Roman"/>
        </w:rPr>
        <w:t>we already have numerous examples</w:t>
      </w:r>
      <w:r w:rsidR="001F1A3B" w:rsidRPr="001C2C36">
        <w:rPr>
          <w:rFonts w:cs="Times New Roman"/>
          <w:szCs w:val="24"/>
        </w:rPr>
        <w:t xml:space="preserve"> </w:t>
      </w:r>
      <w:r w:rsidR="001F1A3B" w:rsidRPr="001C2C36">
        <w:rPr>
          <w:rFonts w:cs="Times New Roman"/>
          <w:szCs w:val="24"/>
        </w:rPr>
        <w:fldChar w:fldCharType="begin" w:fldLock="1"/>
      </w:r>
      <w:r w:rsidR="001F1A3B" w:rsidRPr="001C2C36">
        <w:rPr>
          <w:rFonts w:cs="Times New Roman"/>
          <w:szCs w:val="24"/>
        </w:rPr>
        <w:instrText>ADDIN CSL_CITATION {"citationItems":[{"id":"ITEM-1","itemData":{"DOI":"10.1177/23409444211008902","ISSN":"23409444","abstract":"For decades, entrepreneurship and strategy research has been dominated by agent-centric and inward-looking theoretical perspectives. The ongoing COVID-19 pandemic demonstrates the limits of this stance, as its influence on business has been both enormous and palpable. For the most part, the effects of the pandemic are no doubt negative. Business research—and presumably business practice—typically address such influence in terms of failure, resilience, and crisis management among existing businesses. Contrasting this prevalent discourse, we focus instead on positive influence of the pandemic for some emerging and new ventures. We analyze the many possible positive effects on entrepreneurship practice and highlight also positive effects on entrepreneurship research. We illustrate both positives by applying the External Enabler framework. JEL CLASSIFICATION: L26, M13, O3, R11","author":[{"dropping-particle":"","family":"Davidsson","given":"Per","non-dropping-particle":"","parse-names":false,"suffix":""},{"dropping-particle":"","family":"Recker","given":"Jan","non-dropping-particle":"","parse-names":false,"suffix":""},{"dropping-particle":"","family":"Briel","given":"Frederik","non-dropping-particle":"von","parse-names":false,"suffix":""}],"container-title":"BRQ Business Research Quarterly","id":"ITEM-1","issue":"3","issued":{"date-parts":[["2021"]]},"page":"214-223","title":"COVID-19 as External Enabler of entrepreneurship practice and research","type":"article-journal","volume":"24"},"uris":["http://www.mendeley.com/documents/?uuid=f8e88eeb-ce0f-40dc-bc2e-fba4101e3a82","http://www.mendeley.com/documents/?uuid=329134f2-d98f-4694-9756-362fe8975c84"]},{"id":"ITEM-2","itemData":{"DOI":"10.1016/j.jbvi.2021.e00273","ISSN":"23526734","abstract":"We investigate COVID-19 as a disabling and an enabling mechanism for small and mid-size enterprises (SMEs), particularly how SMEs’ crisis strategies might help them through the crisis. SMEs can follow a retrenchment strategy, a persevering strategy, or an innovation strategy, and they can do so narrowly or broadly. Using a representative sample of Danish SMEs, we test how crisis strategies are associated with turnover expectations. We find distinct differences in how effective crisis strategies are linked to turnover expectations, depending on how the crisis affected the SMEs in the first place (i.e., the SMEs were crisis victims, crisis immunes, or crisis exploiters).","author":[{"dropping-particle":"","family":"Klyver","given":"Kim","non-dropping-particle":"","parse-names":false,"suffix":""},{"dropping-particle":"","family":"Nielsen","given":"Suna Løwe","non-dropping-particle":"","parse-names":false,"suffix":""}],"container-title":"Journal of Business Venturing Insights","id":"ITEM-2","issued":{"date-parts":[["2021"]]},"page":"e00273","title":"Which crisis strategies are (expectedly) effective among SMEs during COVID-19?","type":"article-journal","volume":"16"},"uris":["http://www.mendeley.com/documents/?uuid=e5ef02c7-a07c-463d-b40f-72700ae4e6c7","http://www.mendeley.com/documents/?uuid=dc33886a-b4c1-47f2-954e-b96a3e22774e"]},{"id":"ITEM-3","itemData":{"DOI":"10.1177/02662426211055447","ISSN":"17412870","abstract":"This article investigates how start-ups have been affected by, and have responded to, the COVID-19 pandemic by analysing interview data from 32 Australian start-ups during Australia’s second wave of COVID-19. A framework and visualisation were developed, capturing unexplored heterogeneity within these start-ups, depending whether the emphasis was upon opportunities or adversity, and the type and extent of business model changes. Six start-up types were identified: stable beneficiaries, business-as-usual continuers, digital adjusters, adversity survivors, opportunity graspers and lemonade makers. The findings suggest that most start-ups responded to the crisis through business model changes because of crisis-induced opportunities and crisis-induced adversity The anaysis found that the interplay between firm size and crisis influences whether start-ups focus on business model adaptation or business model innovation or a combination of both We thus contribute to the literature on business models, crisis management and a newly emerging field focusing on the implications of the COVID-19 pandemic for start-ups.","author":[{"dropping-particle":"","family":"Guckenbiehl","given":"Peter","non-dropping-particle":"","parse-names":false,"suffix":""},{"dropping-particle":"","family":"Corral de Zubielqui","given":"Graciela","non-dropping-particle":"","parse-names":false,"suffix":""}],"container-title":"International Small Business Journal: Researching Entrepreneurship","id":"ITEM-3","issue":"2","issued":{"date-parts":[["2022"]]},"page":"150-177","title":"Start-ups’ business model changes during the COVID-19 pandemic: Counteracting adversities and pursuing opportunities","type":"article-journal","volume":"40"},"uris":["http://www.mendeley.com/documents/?uuid=7c907787-92a7-4edc-becb-913b273f0e0c"]}],"mendeley":{"formattedCitation":"(Davidsson et al., 2021; Guckenbiehl and Corral de Zubielqui, 2022; Klyver and Nielsen, 2021)","plainTextFormattedCitation":"(Davidsson et al., 2021; Guckenbiehl and Corral de Zubielqui, 2022; Klyver and Nielsen, 2021)","previouslyFormattedCitation":"(Davidsson et al., 2021; Guckenbiehl and Corral de Zubielqui, 2022; Klyver and Nielsen, 2021)"},"properties":{"noteIndex":0},"schema":"https://github.com/citation-style-language/schema/raw/master/csl-citation.json"}</w:instrText>
      </w:r>
      <w:r w:rsidR="001F1A3B" w:rsidRPr="001C2C36">
        <w:rPr>
          <w:rFonts w:cs="Times New Roman"/>
          <w:szCs w:val="24"/>
        </w:rPr>
        <w:fldChar w:fldCharType="separate"/>
      </w:r>
      <w:r w:rsidR="001F1A3B" w:rsidRPr="001C2C36">
        <w:rPr>
          <w:rFonts w:cs="Times New Roman"/>
          <w:noProof/>
          <w:szCs w:val="24"/>
        </w:rPr>
        <w:t>(Davidsson et al., 2021; Guckenbiehl and Corral de Zubielqui, 2022; Klyver and Nielsen, 2021)</w:t>
      </w:r>
      <w:r w:rsidR="001F1A3B" w:rsidRPr="001C2C36">
        <w:rPr>
          <w:rFonts w:cs="Times New Roman"/>
          <w:szCs w:val="24"/>
        </w:rPr>
        <w:fldChar w:fldCharType="end"/>
      </w:r>
      <w:r w:rsidR="002A4145" w:rsidRPr="001C2C36">
        <w:rPr>
          <w:rFonts w:cs="Times New Roman"/>
          <w:szCs w:val="24"/>
        </w:rPr>
        <w:t>. Furthermore, s</w:t>
      </w:r>
      <w:r w:rsidR="00691200" w:rsidRPr="001C2C36">
        <w:rPr>
          <w:rFonts w:cs="Times New Roman"/>
        </w:rPr>
        <w:t>ome</w:t>
      </w:r>
      <w:r w:rsidR="008B4927" w:rsidRPr="001C2C36">
        <w:rPr>
          <w:rFonts w:cs="Times New Roman"/>
        </w:rPr>
        <w:t xml:space="preserve"> instruments adopted </w:t>
      </w:r>
      <w:r w:rsidR="00691200" w:rsidRPr="001C2C36">
        <w:rPr>
          <w:rFonts w:cs="Times New Roman"/>
        </w:rPr>
        <w:t xml:space="preserve">during the Covid-19 pandemic </w:t>
      </w:r>
      <w:r w:rsidR="00380CDA" w:rsidRPr="001C2C36">
        <w:rPr>
          <w:rFonts w:cs="Times New Roman"/>
        </w:rPr>
        <w:t xml:space="preserve">were already shown </w:t>
      </w:r>
      <w:r w:rsidR="00A0122D" w:rsidRPr="001C2C36">
        <w:rPr>
          <w:rFonts w:cs="Times New Roman"/>
        </w:rPr>
        <w:t>not to</w:t>
      </w:r>
      <w:r w:rsidR="00BA203F" w:rsidRPr="001C2C36">
        <w:rPr>
          <w:rFonts w:cs="Times New Roman"/>
        </w:rPr>
        <w:t xml:space="preserve"> have positive</w:t>
      </w:r>
      <w:r w:rsidR="003222BE" w:rsidRPr="001C2C36">
        <w:rPr>
          <w:rFonts w:cs="Times New Roman"/>
        </w:rPr>
        <w:t xml:space="preserve"> </w:t>
      </w:r>
      <w:proofErr w:type="gramStart"/>
      <w:r w:rsidR="003222BE" w:rsidRPr="001C2C36">
        <w:rPr>
          <w:rFonts w:cs="Times New Roman"/>
        </w:rPr>
        <w:t>long</w:t>
      </w:r>
      <w:r w:rsidR="00FA5F90" w:rsidRPr="001C2C36">
        <w:rPr>
          <w:rFonts w:cs="Times New Roman"/>
        </w:rPr>
        <w:t>er</w:t>
      </w:r>
      <w:r w:rsidR="003222BE" w:rsidRPr="001C2C36">
        <w:rPr>
          <w:rFonts w:cs="Times New Roman"/>
        </w:rPr>
        <w:t xml:space="preserve"> term</w:t>
      </w:r>
      <w:proofErr w:type="gramEnd"/>
      <w:r w:rsidR="00BA203F" w:rsidRPr="001C2C36">
        <w:rPr>
          <w:rFonts w:cs="Times New Roman"/>
        </w:rPr>
        <w:t xml:space="preserve"> outcomes. For instance, Small Business Rate Relief</w:t>
      </w:r>
      <w:r w:rsidR="009A4FA3" w:rsidRPr="001C2C36">
        <w:rPr>
          <w:rFonts w:cs="Times New Roman"/>
        </w:rPr>
        <w:t>,</w:t>
      </w:r>
      <w:r w:rsidR="00BA203F" w:rsidRPr="001C2C36">
        <w:rPr>
          <w:rFonts w:cs="Times New Roman"/>
        </w:rPr>
        <w:t xml:space="preserve"> </w:t>
      </w:r>
      <w:r w:rsidR="007656FE" w:rsidRPr="001C2C36">
        <w:rPr>
          <w:rFonts w:cs="Times New Roman"/>
        </w:rPr>
        <w:t>which</w:t>
      </w:r>
      <w:r w:rsidR="00EA6F4F" w:rsidRPr="001C2C36">
        <w:rPr>
          <w:rFonts w:cs="Times New Roman"/>
        </w:rPr>
        <w:t xml:space="preserve"> share</w:t>
      </w:r>
      <w:r w:rsidR="00DD140F" w:rsidRPr="001C2C36">
        <w:rPr>
          <w:rFonts w:cs="Times New Roman"/>
        </w:rPr>
        <w:t>s</w:t>
      </w:r>
      <w:r w:rsidR="00EA6F4F" w:rsidRPr="001C2C36">
        <w:rPr>
          <w:rFonts w:cs="Times New Roman"/>
        </w:rPr>
        <w:t xml:space="preserve"> </w:t>
      </w:r>
      <w:r w:rsidR="009A2672" w:rsidRPr="001C2C36">
        <w:rPr>
          <w:rFonts w:cs="Times New Roman"/>
        </w:rPr>
        <w:t>underlying mechanisms</w:t>
      </w:r>
      <w:r w:rsidR="00203C2A" w:rsidRPr="001C2C36">
        <w:rPr>
          <w:rFonts w:cs="Times New Roman"/>
        </w:rPr>
        <w:t xml:space="preserve"> with </w:t>
      </w:r>
      <w:r w:rsidR="00203C2A" w:rsidRPr="001C2C36">
        <w:rPr>
          <w:rFonts w:cs="Times New Roman"/>
          <w:i/>
          <w:iCs/>
        </w:rPr>
        <w:t>BRH</w:t>
      </w:r>
      <w:r w:rsidR="00203C2A" w:rsidRPr="001C2C36">
        <w:rPr>
          <w:rFonts w:cs="Times New Roman"/>
        </w:rPr>
        <w:t xml:space="preserve"> and </w:t>
      </w:r>
      <w:r w:rsidR="006421B4" w:rsidRPr="001C2C36">
        <w:rPr>
          <w:rFonts w:cs="Times New Roman"/>
        </w:rPr>
        <w:t>related loans</w:t>
      </w:r>
      <w:r w:rsidR="00D05A51" w:rsidRPr="001C2C36">
        <w:rPr>
          <w:rFonts w:cs="Times New Roman"/>
        </w:rPr>
        <w:t xml:space="preserve"> targeted at small businesses</w:t>
      </w:r>
      <w:r w:rsidR="006421B4" w:rsidRPr="001C2C36">
        <w:rPr>
          <w:rFonts w:cs="Times New Roman"/>
        </w:rPr>
        <w:t xml:space="preserve"> </w:t>
      </w:r>
      <w:r w:rsidR="006259AB" w:rsidRPr="001C2C36">
        <w:rPr>
          <w:rFonts w:cs="Times New Roman"/>
        </w:rPr>
        <w:t>that were applied during Covid-19</w:t>
      </w:r>
      <w:r w:rsidR="009A2672" w:rsidRPr="001C2C36">
        <w:rPr>
          <w:rFonts w:cs="Times New Roman"/>
        </w:rPr>
        <w:t xml:space="preserve"> </w:t>
      </w:r>
      <w:r w:rsidR="00FF74AF" w:rsidRPr="001C2C36">
        <w:rPr>
          <w:rFonts w:cs="Times New Roman"/>
        </w:rPr>
        <w:fldChar w:fldCharType="begin" w:fldLock="1"/>
      </w:r>
      <w:r w:rsidR="007E0935" w:rsidRPr="001C2C36">
        <w:rPr>
          <w:rFonts w:cs="Times New Roman"/>
        </w:rPr>
        <w:instrText>ADDIN CSL_CITATION {"citationItems":[{"id":"ITEM-1","itemData":{"author":[{"dropping-particle":"","family":"Matikonis","given":"Karolis","non-dropping-particle":"","parse-names":false,"suffix":""}],"container-title":"British Tax Review","id":"ITEM-1","issue":"2","issued":{"date-parts":[["2020"]]},"page":"143-150","title":"Unintended recipients of rising UK non-domestic property tax reliefs","type":"article-journal","volume":"2020"},"uris":["http://www.mendeley.com/documents/?uuid=69a5aac1-9e18-4fdd-aa20-f0fceb52e602"]}],"mendeley":{"formattedCitation":"(Matikonis, 2020)","plainTextFormattedCitation":"(Matikonis, 2020)","previouslyFormattedCitation":"(Matikonis, 2020)"},"properties":{"noteIndex":0},"schema":"https://github.com/citation-style-language/schema/raw/master/csl-citation.json"}</w:instrText>
      </w:r>
      <w:r w:rsidR="00FF74AF" w:rsidRPr="001C2C36">
        <w:rPr>
          <w:rFonts w:cs="Times New Roman"/>
        </w:rPr>
        <w:fldChar w:fldCharType="separate"/>
      </w:r>
      <w:r w:rsidR="00FF74AF" w:rsidRPr="001C2C36">
        <w:rPr>
          <w:rFonts w:cs="Times New Roman"/>
          <w:noProof/>
        </w:rPr>
        <w:t>(Matikonis, 2020)</w:t>
      </w:r>
      <w:r w:rsidR="00FF74AF" w:rsidRPr="001C2C36">
        <w:rPr>
          <w:rFonts w:cs="Times New Roman"/>
        </w:rPr>
        <w:fldChar w:fldCharType="end"/>
      </w:r>
      <w:r w:rsidR="002E1E99" w:rsidRPr="001C2C36">
        <w:rPr>
          <w:rFonts w:cs="Times New Roman"/>
        </w:rPr>
        <w:t>,</w:t>
      </w:r>
      <w:r w:rsidR="00203C2A" w:rsidRPr="001C2C36">
        <w:rPr>
          <w:rFonts w:cs="Times New Roman"/>
        </w:rPr>
        <w:t xml:space="preserve"> </w:t>
      </w:r>
      <w:r w:rsidR="00F05372" w:rsidRPr="001C2C36">
        <w:rPr>
          <w:rFonts w:cs="Times New Roman"/>
          <w:szCs w:val="24"/>
        </w:rPr>
        <w:t xml:space="preserve">was already </w:t>
      </w:r>
      <w:r w:rsidR="002E1E99" w:rsidRPr="001C2C36">
        <w:rPr>
          <w:rFonts w:cs="Times New Roman"/>
          <w:szCs w:val="24"/>
        </w:rPr>
        <w:t>shown</w:t>
      </w:r>
      <w:r w:rsidR="00F05372" w:rsidRPr="001C2C36">
        <w:rPr>
          <w:rFonts w:cs="Times New Roman"/>
          <w:szCs w:val="24"/>
        </w:rPr>
        <w:t xml:space="preserve"> </w:t>
      </w:r>
      <w:r w:rsidR="00FA5F90" w:rsidRPr="001C2C36">
        <w:rPr>
          <w:rFonts w:cs="Times New Roman"/>
          <w:szCs w:val="24"/>
        </w:rPr>
        <w:t>not to</w:t>
      </w:r>
      <w:r w:rsidR="006C75D1" w:rsidRPr="001C2C36">
        <w:rPr>
          <w:rFonts w:cs="Times New Roman"/>
          <w:szCs w:val="24"/>
        </w:rPr>
        <w:t xml:space="preserve"> </w:t>
      </w:r>
      <w:r w:rsidR="00F05372" w:rsidRPr="001C2C36">
        <w:rPr>
          <w:rFonts w:cs="Times New Roman"/>
          <w:szCs w:val="24"/>
        </w:rPr>
        <w:t xml:space="preserve">stimulate </w:t>
      </w:r>
      <w:r w:rsidR="007F03E1" w:rsidRPr="001C2C36">
        <w:rPr>
          <w:rFonts w:cs="Times New Roman"/>
          <w:szCs w:val="24"/>
        </w:rPr>
        <w:t>longer-term employment</w:t>
      </w:r>
      <w:r w:rsidR="004E20A8" w:rsidRPr="001C2C36">
        <w:rPr>
          <w:rFonts w:cs="Times New Roman"/>
          <w:szCs w:val="24"/>
        </w:rPr>
        <w:t xml:space="preserve"> </w:t>
      </w:r>
      <w:r w:rsidR="00F05372" w:rsidRPr="001C2C36">
        <w:rPr>
          <w:rFonts w:cs="Times New Roman"/>
          <w:szCs w:val="24"/>
        </w:rPr>
        <w:fldChar w:fldCharType="begin" w:fldLock="1"/>
      </w:r>
      <w:r w:rsidR="00F05372" w:rsidRPr="001C2C36">
        <w:rPr>
          <w:rFonts w:cs="Times New Roman"/>
          <w:szCs w:val="24"/>
        </w:rPr>
        <w:instrText>ADDIN CSL_CITATION {"citationItems":[{"id":"ITEM-1","itemData":{"DOI":"https://doi.org/10.1007/s11187-019-00219-9 Small","author":[{"dropping-particle":"","family":"Gobey","given":"Matthew","non-dropping-particle":"","parse-names":false,"suffix":""},{"dropping-particle":"","family":"Matikonis","given":"Karolis","non-dropping-particle":"","parse-names":false,"suffix":""}],"container-title":"Small Business Economics","id":"ITEM-1","issued":{"date-parts":[["2021"]]},"page":"277-292","publisher":"Small Business Economics","title":"Small business property tax reductions and job growth","type":"article-journal","volume":"56"},"uris":["http://www.mendeley.com/documents/?uuid=1cf96f07-a10f-45c4-b808-716f74c74dd6"]}],"mendeley":{"formattedCitation":"(Gobey and Matikonis, 2021)","plainTextFormattedCitation":"(Gobey and Matikonis, 2021)","previouslyFormattedCitation":"(Gobey and Matikonis, 2021)"},"properties":{"noteIndex":0},"schema":"https://github.com/citation-style-language/schema/raw/master/csl-citation.json"}</w:instrText>
      </w:r>
      <w:r w:rsidR="00F05372" w:rsidRPr="001C2C36">
        <w:rPr>
          <w:rFonts w:cs="Times New Roman"/>
          <w:szCs w:val="24"/>
        </w:rPr>
        <w:fldChar w:fldCharType="separate"/>
      </w:r>
      <w:r w:rsidR="00F05372" w:rsidRPr="001C2C36">
        <w:rPr>
          <w:rFonts w:cs="Times New Roman"/>
          <w:noProof/>
          <w:szCs w:val="24"/>
        </w:rPr>
        <w:t>(Gobey and Matikonis, 2021)</w:t>
      </w:r>
      <w:r w:rsidR="00F05372" w:rsidRPr="001C2C36">
        <w:rPr>
          <w:rFonts w:cs="Times New Roman"/>
          <w:szCs w:val="24"/>
        </w:rPr>
        <w:fldChar w:fldCharType="end"/>
      </w:r>
      <w:r w:rsidR="00F05372" w:rsidRPr="001C2C36">
        <w:rPr>
          <w:rFonts w:cs="Times New Roman"/>
          <w:szCs w:val="24"/>
        </w:rPr>
        <w:t>.</w:t>
      </w:r>
    </w:p>
    <w:p w14:paraId="2233A682" w14:textId="7B05E687" w:rsidR="001253C0" w:rsidRPr="001C2C36" w:rsidRDefault="004E665D" w:rsidP="00CE2B7C">
      <w:pPr>
        <w:spacing w:before="240"/>
        <w:rPr>
          <w:rFonts w:cs="Times New Roman"/>
        </w:rPr>
      </w:pPr>
      <w:r w:rsidRPr="001C2C36">
        <w:rPr>
          <w:rFonts w:cs="Times New Roman"/>
        </w:rPr>
        <w:t xml:space="preserve">One stream of the literature </w:t>
      </w:r>
      <w:r w:rsidR="00746796" w:rsidRPr="001C2C36">
        <w:rPr>
          <w:rFonts w:cs="Times New Roman"/>
        </w:rPr>
        <w:t xml:space="preserve">goes even further and </w:t>
      </w:r>
      <w:r w:rsidR="00ED5DAC" w:rsidRPr="001C2C36">
        <w:rPr>
          <w:rFonts w:cs="Times New Roman"/>
        </w:rPr>
        <w:t>suggest</w:t>
      </w:r>
      <w:r w:rsidR="00010655" w:rsidRPr="001C2C36">
        <w:rPr>
          <w:rFonts w:cs="Times New Roman"/>
        </w:rPr>
        <w:t>s</w:t>
      </w:r>
      <w:r w:rsidR="00ED5DAC" w:rsidRPr="001C2C36">
        <w:rPr>
          <w:rFonts w:cs="Times New Roman"/>
        </w:rPr>
        <w:t xml:space="preserve"> that enabling distressed firms to stay afloat </w:t>
      </w:r>
      <w:bookmarkStart w:id="1" w:name="_Hlk113007234"/>
      <w:r w:rsidR="007B7B76" w:rsidRPr="001C2C36">
        <w:rPr>
          <w:rFonts w:cs="Times New Roman"/>
          <w:szCs w:val="24"/>
        </w:rPr>
        <w:t>ha</w:t>
      </w:r>
      <w:r w:rsidR="00010655" w:rsidRPr="001C2C36">
        <w:rPr>
          <w:rFonts w:cs="Times New Roman"/>
          <w:szCs w:val="24"/>
        </w:rPr>
        <w:t>s</w:t>
      </w:r>
      <w:r w:rsidR="00991386" w:rsidRPr="001C2C36">
        <w:rPr>
          <w:rFonts w:cs="Times New Roman"/>
          <w:szCs w:val="24"/>
        </w:rPr>
        <w:t xml:space="preserve"> </w:t>
      </w:r>
      <w:r w:rsidR="007B7B76" w:rsidRPr="001C2C36">
        <w:rPr>
          <w:rFonts w:cs="Times New Roman"/>
          <w:szCs w:val="24"/>
        </w:rPr>
        <w:t xml:space="preserve">negative, longer-term </w:t>
      </w:r>
      <w:r w:rsidR="00991386" w:rsidRPr="001C2C36">
        <w:rPr>
          <w:rFonts w:cs="Times New Roman"/>
          <w:szCs w:val="24"/>
        </w:rPr>
        <w:t xml:space="preserve">consequences. </w:t>
      </w:r>
      <w:r w:rsidR="00ED5DAC" w:rsidRPr="001C2C36">
        <w:rPr>
          <w:rFonts w:cs="Times New Roman"/>
          <w:szCs w:val="24"/>
        </w:rPr>
        <w:t xml:space="preserve">For instance, </w:t>
      </w:r>
      <w:r w:rsidR="00991386" w:rsidRPr="001C2C36">
        <w:rPr>
          <w:rFonts w:cs="Times New Roman"/>
          <w:szCs w:val="24"/>
        </w:rPr>
        <w:t>McGowan et al. (2018)</w:t>
      </w:r>
      <w:r w:rsidR="00ED5DAC" w:rsidRPr="001C2C36">
        <w:rPr>
          <w:rFonts w:cs="Times New Roman"/>
          <w:szCs w:val="24"/>
        </w:rPr>
        <w:t xml:space="preserve"> </w:t>
      </w:r>
      <w:r w:rsidR="00010655" w:rsidRPr="001C2C36">
        <w:rPr>
          <w:rFonts w:cs="Times New Roman"/>
          <w:szCs w:val="24"/>
        </w:rPr>
        <w:t xml:space="preserve">found a rising proportion of firms that are non-viable but kept alive </w:t>
      </w:r>
      <w:r w:rsidR="007F5DCC" w:rsidRPr="001C2C36">
        <w:rPr>
          <w:rFonts w:cs="Times New Roman"/>
          <w:szCs w:val="24"/>
        </w:rPr>
        <w:t>because of the instruments made available during</w:t>
      </w:r>
      <w:r w:rsidR="00ED5DAC" w:rsidRPr="001C2C36">
        <w:rPr>
          <w:rFonts w:cs="Times New Roman"/>
          <w:szCs w:val="24"/>
        </w:rPr>
        <w:t xml:space="preserve"> the financial crisis</w:t>
      </w:r>
      <w:r w:rsidR="007F5DCC" w:rsidRPr="001C2C36">
        <w:rPr>
          <w:rFonts w:cs="Times New Roman"/>
          <w:szCs w:val="24"/>
        </w:rPr>
        <w:t xml:space="preserve">, including </w:t>
      </w:r>
      <w:r w:rsidR="00DE1D58" w:rsidRPr="001C2C36">
        <w:rPr>
          <w:rFonts w:cs="Times New Roman"/>
          <w:szCs w:val="24"/>
        </w:rPr>
        <w:t>SME support policy initiatives</w:t>
      </w:r>
      <w:r w:rsidR="00991386" w:rsidRPr="001C2C36">
        <w:rPr>
          <w:rFonts w:cs="Times New Roman"/>
          <w:szCs w:val="24"/>
        </w:rPr>
        <w:t>.</w:t>
      </w:r>
      <w:r w:rsidR="009345FE" w:rsidRPr="001C2C36">
        <w:rPr>
          <w:rFonts w:cs="Times New Roman"/>
          <w:szCs w:val="24"/>
        </w:rPr>
        <w:t xml:space="preserve"> </w:t>
      </w:r>
      <w:r w:rsidR="00991386" w:rsidRPr="001C2C36">
        <w:rPr>
          <w:rFonts w:cs="Times New Roman"/>
          <w:szCs w:val="24"/>
        </w:rPr>
        <w:t xml:space="preserve">A large </w:t>
      </w:r>
      <w:r w:rsidR="00D100E8" w:rsidRPr="001C2C36">
        <w:rPr>
          <w:rFonts w:cs="Times New Roman"/>
          <w:szCs w:val="24"/>
        </w:rPr>
        <w:t xml:space="preserve">proportion </w:t>
      </w:r>
      <w:r w:rsidR="00991386" w:rsidRPr="001C2C36">
        <w:rPr>
          <w:rFonts w:cs="Times New Roman"/>
          <w:szCs w:val="24"/>
        </w:rPr>
        <w:t>of these firms</w:t>
      </w:r>
      <w:r w:rsidR="00CC03C1" w:rsidRPr="001C2C36">
        <w:rPr>
          <w:rFonts w:cs="Times New Roman"/>
          <w:szCs w:val="24"/>
        </w:rPr>
        <w:t xml:space="preserve"> </w:t>
      </w:r>
      <w:r w:rsidR="00991386" w:rsidRPr="001C2C36">
        <w:rPr>
          <w:rFonts w:cs="Times New Roman"/>
          <w:szCs w:val="24"/>
        </w:rPr>
        <w:t xml:space="preserve">were found to </w:t>
      </w:r>
      <w:r w:rsidR="00CC03C1" w:rsidRPr="001C2C36">
        <w:rPr>
          <w:rFonts w:cs="Times New Roman"/>
          <w:szCs w:val="24"/>
        </w:rPr>
        <w:t>negatively impact</w:t>
      </w:r>
      <w:r w:rsidR="00AE4D10" w:rsidRPr="001C2C36">
        <w:rPr>
          <w:rFonts w:cs="Times New Roman"/>
          <w:szCs w:val="24"/>
        </w:rPr>
        <w:t xml:space="preserve"> </w:t>
      </w:r>
      <w:r w:rsidR="000C5551" w:rsidRPr="001C2C36">
        <w:rPr>
          <w:rFonts w:cs="Times New Roman"/>
          <w:szCs w:val="24"/>
        </w:rPr>
        <w:t xml:space="preserve">other firms operating in </w:t>
      </w:r>
      <w:r w:rsidR="00F35C04" w:rsidRPr="001C2C36">
        <w:rPr>
          <w:rFonts w:cs="Times New Roman"/>
          <w:szCs w:val="24"/>
        </w:rPr>
        <w:t xml:space="preserve">the same </w:t>
      </w:r>
      <w:r w:rsidR="000C5551" w:rsidRPr="001C2C36">
        <w:rPr>
          <w:rFonts w:cs="Times New Roman"/>
          <w:szCs w:val="24"/>
        </w:rPr>
        <w:t>industr</w:t>
      </w:r>
      <w:r w:rsidR="005B17E3" w:rsidRPr="001C2C36">
        <w:rPr>
          <w:rFonts w:cs="Times New Roman"/>
          <w:szCs w:val="24"/>
        </w:rPr>
        <w:t>y-country pairs</w:t>
      </w:r>
      <w:r w:rsidR="00B720B8" w:rsidRPr="001C2C36">
        <w:rPr>
          <w:rFonts w:cs="Times New Roman"/>
          <w:szCs w:val="24"/>
        </w:rPr>
        <w:t xml:space="preserve"> </w:t>
      </w:r>
      <w:r w:rsidR="00B720B8" w:rsidRPr="001C2C36">
        <w:rPr>
          <w:rFonts w:cs="Times New Roman"/>
          <w:szCs w:val="24"/>
        </w:rPr>
        <w:fldChar w:fldCharType="begin" w:fldLock="1"/>
      </w:r>
      <w:r w:rsidR="008A75B8" w:rsidRPr="001C2C36">
        <w:rPr>
          <w:rFonts w:cs="Times New Roman"/>
          <w:szCs w:val="24"/>
        </w:rPr>
        <w:instrText>ADDIN CSL_CITATION {"citationItems":[{"id":"ITEM-1","itemData":{"DOI":"10.1093/epolic/eiy012","ISBN":"9781607410874","ISSN":"0266-4658","abstract":"This paper explores the extent to which ‘zombie’ firms – defined as old firms that have persistent problems meeting their interest payments – are stifling labour productivity performance. The results show that the prevalence of and resources sunk in zombie firms have risen since the mid-2000s and that the increasing survival of these low productivity firms at the margins of exit congests markets and constrains the growth of more productive firms. Controlling for cyclical effects, cross-country analysis shows that within-industries over the period 2003–13, a higher share of industry capital sunk in zombie firms is associated with lower investment and employment growth of the typical non-zombie firm and less productivity-enhancing capital reallocation. Besides limiting the expansion possibilities of healthy incumbent firms, market congestion generated by zombie firms can also create barriers to entry and constrain the post-entry growth of young firms. Finally, we link the rise of zombie firms to the decline in OECD potential output growth through two key channels: business investment and multi-factor productivity growth.","author":[{"dropping-particle":"","family":"McGowan","given":"MügeA dalet","non-dropping-particle":"","parse-names":false,"suffix":""},{"dropping-particle":"","family":"Andrews","given":"Dan","non-dropping-particle":"","parse-names":false,"suffix":""},{"dropping-particle":"","family":"Millot","given":"Valentine","non-dropping-particle":"","parse-names":false,"suffix":""}],"container-title":"Economic Policy","id":"ITEM-1","issue":"96","issued":{"date-parts":[["2018"]]},"page":"685-736","title":"The walking dead? Zombie firms and productivity performance in OECD countries","type":"article-journal","volume":"33"},"uris":["http://www.mendeley.com/documents/?uuid=f324030f-870b-445c-acb9-d8d4ded10924","http://www.mendeley.com/documents/?uuid=8bbd7a16-c6c0-4905-a6ad-179b100a173c"]},{"id":"ITEM-2","itemData":{"DOI":"10.2139/ssrn.3760126","abstract":"We show that cheap credit to impaired firms has a disinflationary effect. By helping distressed firms to stay afloat, “zombie credit” can create excess production capacity, and in turn, put downward pressure on markups and prices. We test this mechanism exploiting granular inflation and firm-level data from twelve European countries. In the cross-section of industries and countries, we find that a rise of zombie credit is associated with a decrease in firm defaults and entries, firm markups and product prices; lower productivity; and, an increase in aggregate sales as well as material and labor cost. These results hold at the firm-level, where we document spillover effects to healthy firms in markets with high zombie credit. Our partial equilibrium estimates suggest that without a rise in zombie credit post 2012, annual inflation in Europe during 2012-2016 would have been 0.45 percentage points higher.","author":[{"dropping-particle":"V.","family":"Acharya","given":"Viral","non-dropping-particle":"","parse-names":false,"suffix":""},{"dropping-particle":"","family":"Crosignani","given":"Matteo","non-dropping-particle":"","parse-names":false,"suffix":""},{"dropping-particle":"","family":"Eisert","given":"Tim","non-dropping-particle":"","parse-names":false,"suffix":""},{"dropping-particle":"","family":"Eufinger","given":"Christian","non-dropping-particle":"","parse-names":false,"suffix":""}],"container-title":"NBER Working Paper No. w27158","id":"ITEM-2","issued":{"date-parts":[["2020"]]},"title":"Zombie Credit and (Dis-)Inflation: Evidence from Europe","type":"report"},"uris":["http://www.mendeley.com/documents/?uuid=4f0c03c2-8dfa-4dd1-a69c-c65d7553031e"]}],"mendeley":{"formattedCitation":"(Acharya et al., 2020; McGowan et al., 2018)","plainTextFormattedCitation":"(Acharya et al., 2020; McGowan et al., 2018)","previouslyFormattedCitation":"(Acharya et al., 2020; McGowan et al., 2018)"},"properties":{"noteIndex":0},"schema":"https://github.com/citation-style-language/schema/raw/master/csl-citation.json"}</w:instrText>
      </w:r>
      <w:r w:rsidR="00B720B8" w:rsidRPr="001C2C36">
        <w:rPr>
          <w:rFonts w:cs="Times New Roman"/>
          <w:szCs w:val="24"/>
        </w:rPr>
        <w:fldChar w:fldCharType="separate"/>
      </w:r>
      <w:r w:rsidR="000E4D26" w:rsidRPr="001C2C36">
        <w:rPr>
          <w:rFonts w:cs="Times New Roman"/>
          <w:noProof/>
          <w:szCs w:val="24"/>
        </w:rPr>
        <w:t>(Acharya et al., 2020; McGowan et al., 2018)</w:t>
      </w:r>
      <w:r w:rsidR="00B720B8" w:rsidRPr="001C2C36">
        <w:rPr>
          <w:rFonts w:cs="Times New Roman"/>
          <w:szCs w:val="24"/>
        </w:rPr>
        <w:fldChar w:fldCharType="end"/>
      </w:r>
      <w:r w:rsidR="00B720B8" w:rsidRPr="001C2C36">
        <w:rPr>
          <w:rFonts w:cs="Times New Roman"/>
          <w:szCs w:val="24"/>
        </w:rPr>
        <w:t>.</w:t>
      </w:r>
      <w:r w:rsidR="003754B1" w:rsidRPr="001C2C36">
        <w:rPr>
          <w:rFonts w:cs="Times New Roman"/>
          <w:szCs w:val="24"/>
        </w:rPr>
        <w:t xml:space="preserve"> They tend to </w:t>
      </w:r>
      <w:r w:rsidR="00C910B5" w:rsidRPr="001C2C36">
        <w:rPr>
          <w:rFonts w:cs="Times New Roman"/>
          <w:szCs w:val="24"/>
        </w:rPr>
        <w:t>be associate</w:t>
      </w:r>
      <w:r w:rsidR="00FA6C28" w:rsidRPr="001C2C36">
        <w:rPr>
          <w:rFonts w:cs="Times New Roman"/>
          <w:szCs w:val="24"/>
        </w:rPr>
        <w:t>d</w:t>
      </w:r>
      <w:r w:rsidR="00C910B5" w:rsidRPr="001C2C36">
        <w:rPr>
          <w:rFonts w:cs="Times New Roman"/>
          <w:szCs w:val="24"/>
        </w:rPr>
        <w:t xml:space="preserve"> with</w:t>
      </w:r>
      <w:r w:rsidR="003754B1" w:rsidRPr="001C2C36">
        <w:rPr>
          <w:rFonts w:cs="Times New Roman"/>
          <w:szCs w:val="24"/>
        </w:rPr>
        <w:t xml:space="preserve"> </w:t>
      </w:r>
      <w:r w:rsidR="008C6308" w:rsidRPr="001C2C36">
        <w:rPr>
          <w:rFonts w:cs="Times New Roman"/>
          <w:szCs w:val="24"/>
        </w:rPr>
        <w:t>lower churn</w:t>
      </w:r>
      <w:r w:rsidR="00E64ECF" w:rsidRPr="001C2C36">
        <w:rPr>
          <w:rFonts w:cs="Times New Roman"/>
          <w:szCs w:val="24"/>
        </w:rPr>
        <w:t>,</w:t>
      </w:r>
      <w:r w:rsidR="008C6308" w:rsidRPr="001C2C36">
        <w:rPr>
          <w:rFonts w:cs="Times New Roman"/>
          <w:szCs w:val="24"/>
        </w:rPr>
        <w:t xml:space="preserve"> higher markups and</w:t>
      </w:r>
      <w:r w:rsidR="00FA6C28" w:rsidRPr="001C2C36">
        <w:rPr>
          <w:rFonts w:cs="Times New Roman"/>
          <w:szCs w:val="24"/>
        </w:rPr>
        <w:t>,</w:t>
      </w:r>
      <w:r w:rsidR="008C6308" w:rsidRPr="001C2C36">
        <w:rPr>
          <w:rFonts w:cs="Times New Roman"/>
          <w:szCs w:val="24"/>
        </w:rPr>
        <w:t xml:space="preserve"> most importantly</w:t>
      </w:r>
      <w:r w:rsidR="00FA6C28" w:rsidRPr="001C2C36">
        <w:rPr>
          <w:rFonts w:cs="Times New Roman"/>
          <w:szCs w:val="24"/>
        </w:rPr>
        <w:t>,</w:t>
      </w:r>
      <w:r w:rsidR="008C6308" w:rsidRPr="001C2C36">
        <w:rPr>
          <w:rFonts w:cs="Times New Roman"/>
          <w:szCs w:val="24"/>
        </w:rPr>
        <w:t xml:space="preserve"> </w:t>
      </w:r>
      <w:r w:rsidR="003754B1" w:rsidRPr="001C2C36">
        <w:rPr>
          <w:rFonts w:cs="Times New Roman"/>
          <w:szCs w:val="24"/>
        </w:rPr>
        <w:t xml:space="preserve">the misallocation of labour and capital </w:t>
      </w:r>
      <w:r w:rsidR="00CF0579" w:rsidRPr="001C2C36">
        <w:rPr>
          <w:rFonts w:cs="Times New Roman"/>
          <w:szCs w:val="24"/>
        </w:rPr>
        <w:t>that results in lower</w:t>
      </w:r>
      <w:r w:rsidR="00507DE5" w:rsidRPr="001C2C36">
        <w:rPr>
          <w:rFonts w:cs="Times New Roman"/>
          <w:szCs w:val="24"/>
        </w:rPr>
        <w:t xml:space="preserve"> </w:t>
      </w:r>
      <w:r w:rsidR="00CF0579" w:rsidRPr="001C2C36">
        <w:rPr>
          <w:rFonts w:cs="Times New Roman"/>
          <w:szCs w:val="24"/>
        </w:rPr>
        <w:t>productivity, investment and value</w:t>
      </w:r>
      <w:r w:rsidR="00F71706" w:rsidRPr="001C2C36">
        <w:rPr>
          <w:rFonts w:cs="Times New Roman"/>
          <w:szCs w:val="24"/>
        </w:rPr>
        <w:t>-</w:t>
      </w:r>
      <w:r w:rsidR="00CF0579" w:rsidRPr="001C2C36">
        <w:rPr>
          <w:rFonts w:cs="Times New Roman"/>
          <w:szCs w:val="24"/>
        </w:rPr>
        <w:t xml:space="preserve">added </w:t>
      </w:r>
      <w:r w:rsidR="00CF0579" w:rsidRPr="001C2C36">
        <w:rPr>
          <w:rFonts w:cs="Times New Roman"/>
          <w:szCs w:val="24"/>
        </w:rPr>
        <w:fldChar w:fldCharType="begin" w:fldLock="1"/>
      </w:r>
      <w:r w:rsidR="00AA05EA" w:rsidRPr="001C2C36">
        <w:rPr>
          <w:rFonts w:cs="Times New Roman"/>
          <w:szCs w:val="24"/>
        </w:rPr>
        <w:instrText>ADDIN CSL_CITATION {"citationItems":[{"id":"ITEM-1","itemData":{"DOI":"10.2139/ssrn.3760126","abstract":"We show that cheap credit to impaired firms has a disinflationary effect. By helping distressed firms to stay afloat, “zombie credit” can create excess production capacity, and in turn, put downward pressure on markups and prices. We test this mechanism exploiting granular inflation and firm-level data from twelve European countries. In the cross-section of industries and countries, we find that a rise of zombie credit is associated with a decrease in firm defaults and entries, firm markups and product prices; lower productivity; and, an increase in aggregate sales as well as material and labor cost. These results hold at the firm-level, where we document spillover effects to healthy firms in markets with high zombie credit. Our partial equilibrium estimates suggest that without a rise in zombie credit post 2012, annual inflation in Europe during 2012-2016 would have been 0.45 percentage points higher.","author":[{"dropping-particle":"V.","family":"Acharya","given":"Viral","non-dropping-particle":"","parse-names":false,"suffix":""},{"dropping-particle":"","family":"Crosignani","given":"Matteo","non-dropping-particle":"","parse-names":false,"suffix":""},{"dropping-particle":"","family":"Eisert","given":"Tim","non-dropping-particle":"","parse-names":false,"suffix":""},{"dropping-particle":"","family":"Eufinger","given":"Christian","non-dropping-particle":"","parse-names":false,"suffix":""}],"container-title":"NBER Working Paper No. w27158","id":"ITEM-1","issued":{"date-parts":[["2020"]]},"title":"Zombie Credit and (Dis-)Inflation: Evidence from Europe","type":"report"},"uris":["http://www.mendeley.com/documents/?uuid=4f0c03c2-8dfa-4dd1-a69c-c65d7553031e"]}],"mendeley":{"formattedCitation":"(Acharya et al., 2020)","plainTextFormattedCitation":"(Acharya et al., 2020)","previouslyFormattedCitation":"(Acharya et al., 2020)"},"properties":{"noteIndex":0},"schema":"https://github.com/citation-style-language/schema/raw/master/csl-citation.json"}</w:instrText>
      </w:r>
      <w:r w:rsidR="00CF0579" w:rsidRPr="001C2C36">
        <w:rPr>
          <w:rFonts w:cs="Times New Roman"/>
          <w:szCs w:val="24"/>
        </w:rPr>
        <w:fldChar w:fldCharType="separate"/>
      </w:r>
      <w:r w:rsidR="00CF0579" w:rsidRPr="001C2C36">
        <w:rPr>
          <w:rFonts w:cs="Times New Roman"/>
          <w:noProof/>
          <w:szCs w:val="24"/>
        </w:rPr>
        <w:t>(Acharya et al., 2020)</w:t>
      </w:r>
      <w:r w:rsidR="00CF0579" w:rsidRPr="001C2C36">
        <w:rPr>
          <w:rFonts w:cs="Times New Roman"/>
          <w:szCs w:val="24"/>
        </w:rPr>
        <w:fldChar w:fldCharType="end"/>
      </w:r>
      <w:r w:rsidR="00CF0579" w:rsidRPr="001C2C36">
        <w:rPr>
          <w:rFonts w:cs="Times New Roman"/>
          <w:szCs w:val="24"/>
        </w:rPr>
        <w:t xml:space="preserve">. </w:t>
      </w:r>
    </w:p>
    <w:p w14:paraId="5E59FD92" w14:textId="4FF1E70C" w:rsidR="00CF728C" w:rsidRPr="001C2C36" w:rsidRDefault="0098650E" w:rsidP="00CF728C">
      <w:pPr>
        <w:rPr>
          <w:rFonts w:cs="Times New Roman"/>
        </w:rPr>
      </w:pPr>
      <w:r w:rsidRPr="001C2C36">
        <w:rPr>
          <w:rFonts w:cs="Times New Roman"/>
        </w:rPr>
        <w:t xml:space="preserve">Building on </w:t>
      </w:r>
      <w:r w:rsidR="0095186E" w:rsidRPr="001C2C36">
        <w:rPr>
          <w:rFonts w:cs="Times New Roman"/>
        </w:rPr>
        <w:t xml:space="preserve">Acharya’s et al. </w:t>
      </w:r>
      <w:r w:rsidR="0095186E" w:rsidRPr="001C2C36">
        <w:rPr>
          <w:rFonts w:cs="Times New Roman"/>
        </w:rPr>
        <w:fldChar w:fldCharType="begin" w:fldLock="1"/>
      </w:r>
      <w:r w:rsidR="00347099" w:rsidRPr="001C2C36">
        <w:rPr>
          <w:rFonts w:cs="Times New Roman"/>
        </w:rPr>
        <w:instrText>ADDIN CSL_CITATION {"citationItems":[{"id":"ITEM-1","itemData":{"DOI":"10.2139/ssrn.3760126","abstract":"We show that cheap credit to impaired firms has a disinflationary effect. By helping distressed firms to stay afloat, “zombie credit” can create excess production capacity, and in turn, put downward pressure on markups and prices. We test this mechanism exploiting granular inflation and firm-level data from twelve European countries. In the cross-section of industries and countries, we find that a rise of zombie credit is associated with a decrease in firm defaults and entries, firm markups and product prices; lower productivity; and, an increase in aggregate sales as well as material and labor cost. These results hold at the firm-level, where we document spillover effects to healthy firms in markets with high zombie credit. Our partial equilibrium estimates suggest that without a rise in zombie credit post 2012, annual inflation in Europe during 2012-2016 would have been 0.45 percentage points higher.","author":[{"dropping-particle":"V.","family":"Acharya","given":"Viral","non-dropping-particle":"","parse-names":false,"suffix":""},{"dropping-particle":"","family":"Crosignani","given":"Matteo","non-dropping-particle":"","parse-names":false,"suffix":""},{"dropping-particle":"","family":"Eisert","given":"Tim","non-dropping-particle":"","parse-names":false,"suffix":""},{"dropping-particle":"","family":"Eufinger","given":"Christian","non-dropping-particle":"","parse-names":false,"suffix":""}],"container-title":"NBER Working Paper No. w27158","id":"ITEM-1","issued":{"date-parts":[["2020"]]},"title":"Zombie Credit and (Dis-)Inflation: Evidence from Europe","type":"report"},"suppress-author":1,"uris":["http://www.mendeley.com/documents/?uuid=4f0c03c2-8dfa-4dd1-a69c-c65d7553031e"]}],"mendeley":{"formattedCitation":"(2020)","plainTextFormattedCitation":"(2020)","previouslyFormattedCitation":"(2020)"},"properties":{"noteIndex":0},"schema":"https://github.com/citation-style-language/schema/raw/master/csl-citation.json"}</w:instrText>
      </w:r>
      <w:r w:rsidR="0095186E" w:rsidRPr="001C2C36">
        <w:rPr>
          <w:rFonts w:cs="Times New Roman"/>
        </w:rPr>
        <w:fldChar w:fldCharType="separate"/>
      </w:r>
      <w:r w:rsidR="00347099" w:rsidRPr="001C2C36">
        <w:rPr>
          <w:rFonts w:cs="Times New Roman"/>
          <w:noProof/>
        </w:rPr>
        <w:t>(2020)</w:t>
      </w:r>
      <w:r w:rsidR="0095186E" w:rsidRPr="001C2C36">
        <w:rPr>
          <w:rFonts w:cs="Times New Roman"/>
        </w:rPr>
        <w:fldChar w:fldCharType="end"/>
      </w:r>
      <w:r w:rsidR="0095186E" w:rsidRPr="001C2C36">
        <w:rPr>
          <w:rFonts w:cs="Times New Roman"/>
        </w:rPr>
        <w:t xml:space="preserve"> mechanisms</w:t>
      </w:r>
      <w:r w:rsidR="00871789" w:rsidRPr="001C2C36">
        <w:rPr>
          <w:rFonts w:cs="Times New Roman"/>
        </w:rPr>
        <w:t xml:space="preserve"> that explain this phenomenon</w:t>
      </w:r>
      <w:r w:rsidR="009C707D" w:rsidRPr="001C2C36">
        <w:rPr>
          <w:rFonts w:cs="Times New Roman"/>
        </w:rPr>
        <w:t xml:space="preserve"> through </w:t>
      </w:r>
      <w:r w:rsidR="00FA6C28" w:rsidRPr="001C2C36">
        <w:rPr>
          <w:rFonts w:cs="Times New Roman"/>
        </w:rPr>
        <w:t xml:space="preserve">a </w:t>
      </w:r>
      <w:r w:rsidR="009C707D" w:rsidRPr="001C2C36">
        <w:rPr>
          <w:rFonts w:cs="Times New Roman"/>
        </w:rPr>
        <w:t>lack of adjustment in the aggregate production capacity after a negative demand shock</w:t>
      </w:r>
      <w:r w:rsidR="00871789" w:rsidRPr="001C2C36">
        <w:rPr>
          <w:rFonts w:cs="Times New Roman"/>
        </w:rPr>
        <w:t xml:space="preserve">, we could also attribute </w:t>
      </w:r>
      <w:r w:rsidR="006D388F" w:rsidRPr="001C2C36">
        <w:rPr>
          <w:rFonts w:cs="Times New Roman"/>
        </w:rPr>
        <w:t xml:space="preserve">this to the lack of </w:t>
      </w:r>
      <w:r w:rsidR="0095186E" w:rsidRPr="001C2C36">
        <w:rPr>
          <w:rFonts w:cs="Times New Roman"/>
        </w:rPr>
        <w:t xml:space="preserve">dynamic capabilities. </w:t>
      </w:r>
      <w:r w:rsidR="001508CC" w:rsidRPr="001C2C36">
        <w:rPr>
          <w:rFonts w:cs="Times New Roman"/>
        </w:rPr>
        <w:t>SMEs</w:t>
      </w:r>
      <w:r w:rsidR="0095186E" w:rsidRPr="001C2C36">
        <w:rPr>
          <w:rFonts w:cs="Times New Roman"/>
        </w:rPr>
        <w:t xml:space="preserve"> lacking in </w:t>
      </w:r>
      <w:r w:rsidR="00630FDE" w:rsidRPr="001C2C36">
        <w:rPr>
          <w:rFonts w:cs="Times New Roman"/>
        </w:rPr>
        <w:t xml:space="preserve">“the capacity … to purposefully create, extend, or modify its resource base” </w:t>
      </w:r>
      <w:r w:rsidR="00630FDE" w:rsidRPr="001C2C36">
        <w:rPr>
          <w:rStyle w:val="EndnoteReference"/>
          <w:rFonts w:cs="Times New Roman"/>
        </w:rPr>
        <w:fldChar w:fldCharType="begin" w:fldLock="1"/>
      </w:r>
      <w:r w:rsidR="00630FDE" w:rsidRPr="001C2C36">
        <w:rPr>
          <w:rFonts w:cs="Times New Roman"/>
        </w:rPr>
        <w:instrText>ADDIN CSL_CITATION {"citationItems":[{"id":"ITEM-1","itemData":{"ISBN":"1405182067","abstract":"Creating, adapting to, and exploiting change is inherently entrepreneurial. To survive and prosper under conditions of change, firms must develop the dynamic capabilities to create, extend, and modify the ways in which they operate. The capacity of an organization to create, extend, or modify its resource base is vital. Since the concept of dynamic capabilities was first introduced, much research has elaborated the initial idea. This important book by Constance Helfat and her team of leading scholars provides a timely focus on in-depth examples of corporate dynamic capabilities. Examining these in the different contexts of alliances, acquisitions, and management, the book gives students and researchers a succinct, up-to-date definition of dynamic capabilities and the strategic management theories around them.","author":[{"dropping-particle":"","family":"Helfat","given":"C E","non-dropping-particle":"","parse-names":false,"suffix":""},{"dropping-particle":"","family":"Finkelstein","given":"S","non-dropping-particle":"","parse-names":false,"suffix":""},{"dropping-particle":"","family":"Mitchell","given":"W","non-dropping-particle":"","parse-names":false,"suffix":""},{"dropping-particle":"","family":"Peteraf","given":"M","non-dropping-particle":"","parse-names":false,"suffix":""},{"dropping-particle":"","family":"Singh","given":"H","non-dropping-particle":"","parse-names":false,"suffix":""},{"dropping-particle":"","family":"Teece","given":"D J","non-dropping-particle":"","parse-names":false,"suffix":""},{"dropping-particle":"","family":"Winter","given":"Sidney G","non-dropping-particle":"","parse-names":false,"suffix":""}],"id":"ITEM-1","issued":{"date-parts":[["2007"]]},"number-of-pages":"147","publisher":"Blackwell Pub","publisher-place":"Malden","title":"Dynamic Capabilities: Understanding Strategic Change in Organizations","type":"book"},"locator":"4","uris":["http://www.mendeley.com/documents/?uuid=bd4b356c-40bf-3a3a-a95c-677b14673ff3","http://www.mendeley.com/documents/?uuid=f31d042e-6913-49b0-a808-5f773ee7b71a"]}],"mendeley":{"formattedCitation":"(Helfat et al., 2007: 4)","plainTextFormattedCitation":"(Helfat et al., 2007: 4)","previouslyFormattedCitation":"(Helfat et al., 2007: 4)"},"properties":{"noteIndex":0},"schema":"https://github.com/citation-style-language/schema/raw/master/csl-citation.json"}</w:instrText>
      </w:r>
      <w:r w:rsidR="00630FDE" w:rsidRPr="001C2C36">
        <w:rPr>
          <w:rStyle w:val="EndnoteReference"/>
          <w:rFonts w:cs="Times New Roman"/>
        </w:rPr>
        <w:fldChar w:fldCharType="separate"/>
      </w:r>
      <w:r w:rsidR="00630FDE" w:rsidRPr="001C2C36">
        <w:rPr>
          <w:rFonts w:cs="Times New Roman"/>
          <w:noProof/>
          <w:lang w:val="en-US"/>
        </w:rPr>
        <w:t>(Helfat et al., 2007: 4)</w:t>
      </w:r>
      <w:r w:rsidR="00630FDE" w:rsidRPr="001C2C36">
        <w:rPr>
          <w:rStyle w:val="EndnoteReference"/>
          <w:rFonts w:cs="Times New Roman"/>
        </w:rPr>
        <w:fldChar w:fldCharType="end"/>
      </w:r>
      <w:r w:rsidR="00630FDE" w:rsidRPr="001C2C36">
        <w:rPr>
          <w:rFonts w:cs="Times New Roman"/>
        </w:rPr>
        <w:t xml:space="preserve"> </w:t>
      </w:r>
      <w:r w:rsidR="006D388F" w:rsidRPr="001C2C36">
        <w:rPr>
          <w:rFonts w:cs="Times New Roman"/>
        </w:rPr>
        <w:t>tak</w:t>
      </w:r>
      <w:r w:rsidR="00630FDE" w:rsidRPr="001C2C36">
        <w:rPr>
          <w:rFonts w:cs="Times New Roman"/>
        </w:rPr>
        <w:t>e</w:t>
      </w:r>
      <w:r w:rsidR="006D388F" w:rsidRPr="001C2C36">
        <w:rPr>
          <w:rFonts w:cs="Times New Roman"/>
        </w:rPr>
        <w:t xml:space="preserve"> </w:t>
      </w:r>
      <w:r w:rsidR="001851BD" w:rsidRPr="001C2C36">
        <w:rPr>
          <w:rFonts w:cs="Times New Roman"/>
        </w:rPr>
        <w:t>a</w:t>
      </w:r>
      <w:r w:rsidR="006D388F" w:rsidRPr="001C2C36">
        <w:rPr>
          <w:rFonts w:cs="Times New Roman"/>
        </w:rPr>
        <w:t xml:space="preserve"> share of </w:t>
      </w:r>
      <w:r w:rsidR="005C2D16" w:rsidRPr="001C2C36">
        <w:rPr>
          <w:rFonts w:cs="Times New Roman"/>
        </w:rPr>
        <w:t>those that have DCs</w:t>
      </w:r>
      <w:r w:rsidR="00C667E1" w:rsidRPr="001C2C36">
        <w:rPr>
          <w:rFonts w:cs="Times New Roman"/>
        </w:rPr>
        <w:t xml:space="preserve">, contributing to the </w:t>
      </w:r>
      <w:r w:rsidR="006E2E52" w:rsidRPr="001C2C36">
        <w:rPr>
          <w:rFonts w:cs="Times New Roman"/>
        </w:rPr>
        <w:t xml:space="preserve">lack </w:t>
      </w:r>
      <w:r w:rsidR="008713E5" w:rsidRPr="001C2C36">
        <w:rPr>
          <w:rFonts w:cs="Times New Roman"/>
        </w:rPr>
        <w:t>of</w:t>
      </w:r>
      <w:r w:rsidR="006E2E52" w:rsidRPr="001C2C36">
        <w:rPr>
          <w:rFonts w:cs="Times New Roman"/>
        </w:rPr>
        <w:t xml:space="preserve"> overall </w:t>
      </w:r>
      <w:r w:rsidR="00550843" w:rsidRPr="001C2C36">
        <w:rPr>
          <w:rFonts w:cs="Times New Roman"/>
        </w:rPr>
        <w:t xml:space="preserve">effectiveness of DCs and subsequent lower </w:t>
      </w:r>
      <w:r w:rsidR="006E2E52" w:rsidRPr="001C2C36">
        <w:rPr>
          <w:rFonts w:cs="Times New Roman"/>
        </w:rPr>
        <w:t>employment growth</w:t>
      </w:r>
      <w:r w:rsidR="0095186E" w:rsidRPr="001C2C36">
        <w:rPr>
          <w:rFonts w:cs="Times New Roman"/>
        </w:rPr>
        <w:t>.</w:t>
      </w:r>
      <w:r w:rsidR="006E2E52" w:rsidRPr="001C2C36">
        <w:rPr>
          <w:rFonts w:cs="Times New Roman"/>
        </w:rPr>
        <w:t xml:space="preserve"> </w:t>
      </w:r>
      <w:r w:rsidR="00D2115C" w:rsidRPr="001C2C36">
        <w:rPr>
          <w:rFonts w:cs="Times New Roman"/>
        </w:rPr>
        <w:t>Other businesses operating in industries exposed to a large number of these</w:t>
      </w:r>
      <w:r w:rsidR="006E2E52" w:rsidRPr="001C2C36">
        <w:rPr>
          <w:rFonts w:cs="Times New Roman"/>
        </w:rPr>
        <w:t xml:space="preserve"> non-viable</w:t>
      </w:r>
      <w:r w:rsidR="00D2115C" w:rsidRPr="001C2C36">
        <w:rPr>
          <w:rFonts w:cs="Times New Roman"/>
        </w:rPr>
        <w:t xml:space="preserve"> firms were also found to experience lower employment growth </w:t>
      </w:r>
      <w:r w:rsidR="00A92D5F" w:rsidRPr="001C2C36">
        <w:rPr>
          <w:rFonts w:cs="Times New Roman"/>
        </w:rPr>
        <w:fldChar w:fldCharType="begin" w:fldLock="1"/>
      </w:r>
      <w:r w:rsidR="00197CD6" w:rsidRPr="001C2C36">
        <w:rPr>
          <w:rFonts w:cs="Times New Roman"/>
        </w:rPr>
        <w:instrText>ADDIN CSL_CITATION {"citationItems":[{"id":"ITEM-1","itemData":{"DOI":"10.1257/aer.98.5.1943","ISSN":"0002-8282","abstract":"Large Japanese banks often engaged in sham loan restructurings that kept credit flowing to otherwise insolvent borrowers (which we call zombies). We examine the implications of suppressing the normal competitive process whereby the zombies would shed workers and lose market share. The congestion created by the zombies reduces the profits for healthy firms, which discourages their entry and investment. We confirm that zombie-dominated industries exhibit more depressed job creation and destruction, and lower productivity. We present firm-level regressions showing that the increase in zombies depressed the investment and employment growth of non-zombies and widened the productivity gap between zombies and non-zombies. (JEL G21, G32, L25)","author":[{"dropping-particle":"","family":"Caballero","given":"Ricardo J","non-dropping-particle":"","parse-names":false,"suffix":""},{"dropping-particle":"","family":"Hoshi","given":"Takeo","non-dropping-particle":"","parse-names":false,"suffix":""},{"dropping-particle":"","family":"Kashyap","given":"Anil K","non-dropping-particle":"","parse-names":false,"suffix":""}],"container-title":"American Economic Review","id":"ITEM-1","issue":"5","issued":{"date-parts":[["2008","11","1"]]},"page":"1943-1977","title":"Zombie Lending and Depressed Restructuring in Japan","type":"article-journal","volume":"98"},"uris":["http://www.mendeley.com/documents/?uuid=f8e1b4f4-d9c6-47e4-953d-02d9b6ca0026","http://www.mendeley.com/documents/?uuid=c905c379-4bc0-48ca-be6b-a9ff5661b023"]},{"id":"ITEM-2","itemData":{"DOI":"10.1093/epolic/eiy012","ISBN":"9781607410874","ISSN":"0266-4658","abstract":"This paper explores the extent to which ‘zombie’ firms – defined as old firms that have persistent problems meeting their interest payments – are stifling labour productivity performance. The results show that the prevalence of and resources sunk in zombie firms have risen since the mid-2000s and that the increasing survival of these low productivity firms at the margins of exit congests markets and constrains the growth of more productive firms. Controlling for cyclical effects, cross-country analysis shows that within-industries over the period 2003–13, a higher share of industry capital sunk in zombie firms is associated with lower investment and employment growth of the typical non-zombie firm and less productivity-enhancing capital reallocation. Besides limiting the expansion possibilities of healthy incumbent firms, market congestion generated by zombie firms can also create barriers to entry and constrain the post-entry growth of young firms. Finally, we link the rise of zombie firms to the decline in OECD potential output growth through two key channels: business investment and multi-factor productivity growth.","author":[{"dropping-particle":"","family":"McGowan","given":"MügeA dalet","non-dropping-particle":"","parse-names":false,"suffix":""},{"dropping-particle":"","family":"Andrews","given":"Dan","non-dropping-particle":"","parse-names":false,"suffix":""},{"dropping-particle":"","family":"Millot","given":"Valentine","non-dropping-particle":"","parse-names":false,"suffix":""}],"container-title":"Economic Policy","id":"ITEM-2","issue":"96","issued":{"date-parts":[["2018"]]},"page":"685-736","title":"The walking dead? Zombie firms and productivity performance in OECD countries","type":"article-journal","volume":"33"},"uris":["http://www.mendeley.com/documents/?uuid=8bbd7a16-c6c0-4905-a6ad-179b100a173c","http://www.mendeley.com/documents/?uuid=f324030f-870b-445c-acb9-d8d4ded10924"]},{"id":"ITEM-3","itemData":{"DOI":"10.2139/ssrn.3760126","abstract":"We show that cheap credit to impaired firms has a disinflationary effect. By helping distressed firms to stay afloat, “zombie credit” can create excess production capacity, and in turn, put downward pressure on markups and prices. We test this mechanism exploiting granular inflation and firm-level data from twelve European countries. In the cross-section of industries and countries, we find that a rise of zombie credit is associated with a decrease in firm defaults and entries, firm markups and product prices; lower productivity; and, an increase in aggregate sales as well as material and labor cost. These results hold at the firm-level, where we document spillover effects to healthy firms in markets with high zombie credit. Our partial equilibrium estimates suggest that without a rise in zombie credit post 2012, annual inflation in Europe during 2012-2016 would have been 0.45 percentage points higher.","author":[{"dropping-particle":"V.","family":"Acharya","given":"Viral","non-dropping-particle":"","parse-names":false,"suffix":""},{"dropping-particle":"","family":"Crosignani","given":"Matteo","non-dropping-particle":"","parse-names":false,"suffix":""},{"dropping-particle":"","family":"Eisert","given":"Tim","non-dropping-particle":"","parse-names":false,"suffix":""},{"dropping-particle":"","family":"Eufinger","given":"Christian","non-dropping-particle":"","parse-names":false,"suffix":""}],"container-title":"NBER Working Paper No. w27158","id":"ITEM-3","issued":{"date-parts":[["2020"]]},"title":"Zombie Credit and (Dis-)Inflation: Evidence from Europe","type":"report"},"uris":["http://www.mendeley.com/documents/?uuid=4f0c03c2-8dfa-4dd1-a69c-c65d7553031e"]},{"id":"ITEM-4","itemData":{"DOI":"10.1146/annurev-financial-111620-114424","ISSN":"1941-1367","abstract":"This article surveys the theory on zombie lending incentives and the consequences of zombie lending for the real economy. It also offers a historical perspective by reviewing the growing empirical evidence on zombie lending along three dimensions: ( a) the role of undercapitalized banks, ( b) effects on zombie firms, and ( c) spillovers and distortions for non-zombie firms. We then provide an overview of how zombie lending can be attenuated. Finally, we use a sample of US publicly listed firms to compare various measures proposed in the literature to classify firms as “zombies.” We identify definitions of zombie firms that are adequate to investigate economic inefficiency in the form of real sector competitive distortions of zombie lending. We find that only definitions based on interest rate subsidies are able to detect these spillovers and thereby provide evidence in support of credit misallocation.","author":[{"dropping-particle":"V.","family":"Acharya","given":"Viral","non-dropping-particle":"","parse-names":false,"suffix":""},{"dropping-particle":"","family":"Crosignani","given":"Matteo","non-dropping-particle":"","parse-names":false,"suffix":""},{"dropping-particle":"","family":"Eisert","given":"Tim","non-dropping-particle":"","parse-names":false,"suffix":""},{"dropping-particle":"","family":"Steffen","given":"Sascha","non-dropping-particle":"","parse-names":false,"suffix":""}],"container-title":"Annual Review of Financial Economics","id":"ITEM-4","issue":"1","issued":{"date-parts":[["2022","11","1"]]},"page":"21-38","title":"Zombie Lending: Theoretical, International, and Historical Perspectives","type":"article-journal","volume":"14"},"uris":["http://www.mendeley.com/documents/?uuid=69dd94d4-d3e0-426e-b639-253d8aa1d120"]}],"mendeley":{"formattedCitation":"(Acharya et al., 2020, 2022; Caballero et al., 2008; McGowan et al., 2018)","plainTextFormattedCitation":"(Acharya et al., 2020, 2022; Caballero et al., 2008; McGowan et al., 2018)","previouslyFormattedCitation":"(Acharya et al., 2020, 2022; Caballero et al., 2008; McGowan et al., 2018)"},"properties":{"noteIndex":0},"schema":"https://github.com/citation-style-language/schema/raw/master/csl-citation.json"}</w:instrText>
      </w:r>
      <w:r w:rsidR="00A92D5F" w:rsidRPr="001C2C36">
        <w:rPr>
          <w:rFonts w:cs="Times New Roman"/>
        </w:rPr>
        <w:fldChar w:fldCharType="separate"/>
      </w:r>
      <w:r w:rsidR="0024068B" w:rsidRPr="001C2C36">
        <w:rPr>
          <w:rFonts w:cs="Times New Roman"/>
          <w:noProof/>
        </w:rPr>
        <w:t>(Acharya et al., 2020, 2022; Caballero et al., 2008; McGowan et al., 2018)</w:t>
      </w:r>
      <w:r w:rsidR="00A92D5F" w:rsidRPr="001C2C36">
        <w:rPr>
          <w:rFonts w:cs="Times New Roman"/>
        </w:rPr>
        <w:fldChar w:fldCharType="end"/>
      </w:r>
      <w:r w:rsidR="00A92D5F" w:rsidRPr="001C2C36">
        <w:rPr>
          <w:rFonts w:cs="Times New Roman"/>
        </w:rPr>
        <w:t>, among other indicators.</w:t>
      </w:r>
    </w:p>
    <w:p w14:paraId="01AE15F3" w14:textId="042C8BDE" w:rsidR="001F5DC2" w:rsidRPr="001C2C36" w:rsidRDefault="00467C44" w:rsidP="00CF728C">
      <w:pPr>
        <w:rPr>
          <w:rFonts w:cs="Times New Roman"/>
          <w:szCs w:val="24"/>
        </w:rPr>
      </w:pPr>
      <w:r w:rsidRPr="001C2C36">
        <w:rPr>
          <w:rFonts w:cs="Times New Roman"/>
          <w:szCs w:val="24"/>
        </w:rPr>
        <w:t>This could be amplified by the</w:t>
      </w:r>
      <w:r w:rsidR="001F5DC2" w:rsidRPr="001C2C36">
        <w:rPr>
          <w:rFonts w:cs="Times New Roman"/>
        </w:rPr>
        <w:t xml:space="preserve"> </w:t>
      </w:r>
      <w:r w:rsidR="00606187" w:rsidRPr="001C2C36">
        <w:rPr>
          <w:rFonts w:cs="Times New Roman"/>
        </w:rPr>
        <w:t>hastily</w:t>
      </w:r>
      <w:r w:rsidR="001F5DC2" w:rsidRPr="001C2C36">
        <w:rPr>
          <w:rFonts w:cs="Times New Roman"/>
        </w:rPr>
        <w:t xml:space="preserve"> introduced support instruments </w:t>
      </w:r>
      <w:r w:rsidR="00606187" w:rsidRPr="001C2C36">
        <w:rPr>
          <w:rFonts w:cs="Times New Roman"/>
        </w:rPr>
        <w:t xml:space="preserve">without </w:t>
      </w:r>
      <w:r w:rsidR="00052F14" w:rsidRPr="001C2C36">
        <w:rPr>
          <w:rFonts w:cs="Times New Roman"/>
        </w:rPr>
        <w:t xml:space="preserve">considering their </w:t>
      </w:r>
      <w:proofErr w:type="gramStart"/>
      <w:r w:rsidR="00052F14" w:rsidRPr="001C2C36">
        <w:rPr>
          <w:rFonts w:cs="Times New Roman"/>
        </w:rPr>
        <w:t>longer term</w:t>
      </w:r>
      <w:proofErr w:type="gramEnd"/>
      <w:r w:rsidR="00052F14" w:rsidRPr="001C2C36">
        <w:rPr>
          <w:rFonts w:cs="Times New Roman"/>
        </w:rPr>
        <w:t xml:space="preserve"> unintended consequences</w:t>
      </w:r>
      <w:r w:rsidR="001F5DC2" w:rsidRPr="001C2C36">
        <w:rPr>
          <w:rFonts w:cs="Times New Roman"/>
        </w:rPr>
        <w:t xml:space="preserve">. For instance, </w:t>
      </w:r>
      <w:r w:rsidR="001F5DC2" w:rsidRPr="001C2C36">
        <w:rPr>
          <w:rFonts w:cs="Times New Roman"/>
          <w:i/>
        </w:rPr>
        <w:t xml:space="preserve">BRH </w:t>
      </w:r>
      <w:r w:rsidR="001F5DC2" w:rsidRPr="001C2C36">
        <w:rPr>
          <w:rFonts w:cs="Times New Roman"/>
        </w:rPr>
        <w:t xml:space="preserve">and related loans available for </w:t>
      </w:r>
      <w:r w:rsidR="00A92D5F" w:rsidRPr="001C2C36">
        <w:rPr>
          <w:rFonts w:cs="Times New Roman"/>
        </w:rPr>
        <w:t>busines</w:t>
      </w:r>
      <w:r w:rsidR="00EB1742" w:rsidRPr="001C2C36">
        <w:rPr>
          <w:rFonts w:cs="Times New Roman"/>
        </w:rPr>
        <w:t>se</w:t>
      </w:r>
      <w:r w:rsidR="00A92D5F" w:rsidRPr="001C2C36">
        <w:rPr>
          <w:rFonts w:cs="Times New Roman"/>
        </w:rPr>
        <w:t>s</w:t>
      </w:r>
      <w:r w:rsidR="001F5DC2" w:rsidRPr="001C2C36">
        <w:rPr>
          <w:rFonts w:cs="Times New Roman"/>
        </w:rPr>
        <w:t xml:space="preserve"> occupying less expensive premises </w:t>
      </w:r>
      <w:r w:rsidR="00052F14" w:rsidRPr="001C2C36">
        <w:rPr>
          <w:rFonts w:cs="Times New Roman"/>
        </w:rPr>
        <w:t>could</w:t>
      </w:r>
      <w:r w:rsidR="00A215C2" w:rsidRPr="001C2C36">
        <w:rPr>
          <w:rFonts w:cs="Times New Roman"/>
        </w:rPr>
        <w:t xml:space="preserve"> be</w:t>
      </w:r>
      <w:r w:rsidR="001F5DC2" w:rsidRPr="001C2C36">
        <w:rPr>
          <w:rFonts w:cs="Times New Roman"/>
        </w:rPr>
        <w:t xml:space="preserve"> </w:t>
      </w:r>
      <w:r w:rsidR="00052F14" w:rsidRPr="001C2C36">
        <w:rPr>
          <w:rFonts w:cs="Times New Roman"/>
        </w:rPr>
        <w:t>distortionary.</w:t>
      </w:r>
      <w:r w:rsidR="001F5DC2" w:rsidRPr="001C2C36">
        <w:rPr>
          <w:rFonts w:cs="Times New Roman"/>
          <w:szCs w:val="24"/>
        </w:rPr>
        <w:t xml:space="preserve"> The latter loans are argued </w:t>
      </w:r>
      <w:r w:rsidR="001F5DC2" w:rsidRPr="001C2C36">
        <w:rPr>
          <w:rFonts w:cs="Times New Roman"/>
          <w:szCs w:val="24"/>
        </w:rPr>
        <w:fldChar w:fldCharType="begin" w:fldLock="1"/>
      </w:r>
      <w:r w:rsidR="007E0935" w:rsidRPr="001C2C36">
        <w:rPr>
          <w:rFonts w:cs="Times New Roman"/>
          <w:szCs w:val="24"/>
        </w:rPr>
        <w:instrText>ADDIN CSL_CITATION {"citationItems":[{"id":"ITEM-1","itemData":{"author":[{"dropping-particle":"","family":"Matikonis","given":"Karolis","non-dropping-particle":"","parse-names":false,"suffix":""}],"container-title":"British Tax Review","id":"ITEM-1","issue":"2","issued":{"date-parts":[["2020"]]},"page":"143-150","title":"Unintended recipients of rising UK non-domestic property tax reliefs","type":"article-journal","volume":"2020"},"uris":["http://www.mendeley.com/documents/?uuid=69a5aac1-9e18-4fdd-aa20-f0fceb52e602"]}],"mendeley":{"formattedCitation":"(Matikonis, 2020)","plainTextFormattedCitation":"(Matikonis, 2020)","previouslyFormattedCitation":"(Matikonis, 2020)"},"properties":{"noteIndex":0},"schema":"https://github.com/citation-style-language/schema/raw/master/csl-citation.json"}</w:instrText>
      </w:r>
      <w:r w:rsidR="001F5DC2" w:rsidRPr="001C2C36">
        <w:rPr>
          <w:rFonts w:cs="Times New Roman"/>
          <w:szCs w:val="24"/>
        </w:rPr>
        <w:fldChar w:fldCharType="separate"/>
      </w:r>
      <w:r w:rsidR="001F5DC2" w:rsidRPr="001C2C36">
        <w:rPr>
          <w:rFonts w:cs="Times New Roman"/>
          <w:noProof/>
          <w:szCs w:val="24"/>
        </w:rPr>
        <w:t>(Matikonis, 2020)</w:t>
      </w:r>
      <w:r w:rsidR="001F5DC2" w:rsidRPr="001C2C36">
        <w:rPr>
          <w:rFonts w:cs="Times New Roman"/>
          <w:szCs w:val="24"/>
        </w:rPr>
        <w:fldChar w:fldCharType="end"/>
      </w:r>
      <w:r w:rsidR="001F5DC2" w:rsidRPr="001C2C36">
        <w:rPr>
          <w:rFonts w:cs="Times New Roman"/>
          <w:szCs w:val="24"/>
        </w:rPr>
        <w:t xml:space="preserve"> to be mistargeted, because their availability criterion is solely based on the size and value of </w:t>
      </w:r>
      <w:r w:rsidR="00A33B42" w:rsidRPr="001C2C36">
        <w:rPr>
          <w:rFonts w:cs="Times New Roman"/>
          <w:szCs w:val="24"/>
        </w:rPr>
        <w:t xml:space="preserve">the </w:t>
      </w:r>
      <w:r w:rsidR="001F5DC2" w:rsidRPr="001C2C36">
        <w:rPr>
          <w:rFonts w:cs="Times New Roman"/>
          <w:szCs w:val="24"/>
        </w:rPr>
        <w:t xml:space="preserve">premises they occupy. The former is directed to larger businesses because the smaller businesses were already eligible for the discount through Small Business Rates Relief </w:t>
      </w:r>
      <w:r w:rsidR="001F5DC2" w:rsidRPr="001C2C36">
        <w:rPr>
          <w:rFonts w:cs="Times New Roman"/>
          <w:szCs w:val="24"/>
        </w:rPr>
        <w:fldChar w:fldCharType="begin" w:fldLock="1"/>
      </w:r>
      <w:r w:rsidR="001F5DC2" w:rsidRPr="001C2C36">
        <w:rPr>
          <w:rFonts w:cs="Times New Roman"/>
          <w:szCs w:val="24"/>
        </w:rPr>
        <w:instrText>ADDIN CSL_CITATION {"citationItems":[{"id":"ITEM-1","itemData":{"author":[{"dropping-particle":"","family":"Matikonis","given":"Karolis","non-dropping-particle":"","parse-names":false,"suffix":""}],"container-title":"British Tax Review","id":"ITEM-1","issue":"2","issued":{"date-parts":[["2022"]]},"page":"115-125","title":"Fundamental Review of Business Rates : Proposed and anticipated changes , including online sales tax","type":"article-journal","volume":"2022"},"uris":["http://www.mendeley.com/documents/?uuid=9003e4b2-a269-408f-bc8e-368ab8f15099"]}],"mendeley":{"formattedCitation":"(Matikonis, 2022)","plainTextFormattedCitation":"(Matikonis, 2022)","previouslyFormattedCitation":"(Matikonis, 2022)"},"properties":{"noteIndex":0},"schema":"https://github.com/citation-style-language/schema/raw/master/csl-citation.json"}</w:instrText>
      </w:r>
      <w:r w:rsidR="001F5DC2" w:rsidRPr="001C2C36">
        <w:rPr>
          <w:rFonts w:cs="Times New Roman"/>
          <w:szCs w:val="24"/>
        </w:rPr>
        <w:fldChar w:fldCharType="separate"/>
      </w:r>
      <w:r w:rsidR="001F5DC2" w:rsidRPr="001C2C36">
        <w:rPr>
          <w:rFonts w:cs="Times New Roman"/>
          <w:noProof/>
          <w:szCs w:val="24"/>
        </w:rPr>
        <w:t>(Matikonis, 2022)</w:t>
      </w:r>
      <w:r w:rsidR="001F5DC2" w:rsidRPr="001C2C36">
        <w:rPr>
          <w:rFonts w:cs="Times New Roman"/>
          <w:szCs w:val="24"/>
        </w:rPr>
        <w:fldChar w:fldCharType="end"/>
      </w:r>
      <w:r w:rsidR="00475305" w:rsidRPr="001C2C36">
        <w:rPr>
          <w:rFonts w:cs="Times New Roman"/>
          <w:szCs w:val="24"/>
        </w:rPr>
        <w:t>.</w:t>
      </w:r>
      <w:r w:rsidR="001F5DC2" w:rsidRPr="001C2C36">
        <w:rPr>
          <w:rFonts w:cs="Times New Roman"/>
          <w:szCs w:val="24"/>
        </w:rPr>
        <w:t xml:space="preserve"> </w:t>
      </w:r>
      <w:r w:rsidR="001F5DC2" w:rsidRPr="001C2C36">
        <w:rPr>
          <w:rFonts w:cs="Times New Roman"/>
        </w:rPr>
        <w:t xml:space="preserve">The poorly targeted support could </w:t>
      </w:r>
      <w:r w:rsidR="002965A3" w:rsidRPr="001C2C36">
        <w:rPr>
          <w:rFonts w:cs="Times New Roman"/>
        </w:rPr>
        <w:t xml:space="preserve">also </w:t>
      </w:r>
      <w:r w:rsidR="001F5DC2" w:rsidRPr="001C2C36">
        <w:rPr>
          <w:rFonts w:cs="Times New Roman"/>
        </w:rPr>
        <w:t>result in harmful longer-term consequences by randomly equipping some competing firms, irrespectively of their DCs, with extra resources and</w:t>
      </w:r>
      <w:r w:rsidR="008224DC" w:rsidRPr="001C2C36">
        <w:rPr>
          <w:rFonts w:cs="Times New Roman"/>
        </w:rPr>
        <w:t>,</w:t>
      </w:r>
      <w:r w:rsidR="001F5DC2" w:rsidRPr="001C2C36">
        <w:rPr>
          <w:rFonts w:cs="Times New Roman"/>
        </w:rPr>
        <w:t xml:space="preserve"> in this way</w:t>
      </w:r>
      <w:r w:rsidR="008224DC" w:rsidRPr="001C2C36">
        <w:rPr>
          <w:rFonts w:cs="Times New Roman"/>
        </w:rPr>
        <w:t>,</w:t>
      </w:r>
      <w:r w:rsidR="001F5DC2" w:rsidRPr="001C2C36">
        <w:rPr>
          <w:rFonts w:cs="Times New Roman"/>
        </w:rPr>
        <w:t xml:space="preserve"> providing a competitive edge over their competitors that potentially already have established DCs.</w:t>
      </w:r>
    </w:p>
    <w:p w14:paraId="6F8F0764" w14:textId="5B807D44" w:rsidR="002C5654" w:rsidRPr="001C2C36" w:rsidRDefault="0058044F" w:rsidP="005C76B6">
      <w:pPr>
        <w:rPr>
          <w:rFonts w:cs="Times New Roman"/>
        </w:rPr>
      </w:pPr>
      <w:r w:rsidRPr="001C2C36">
        <w:rPr>
          <w:rFonts w:cs="Times New Roman"/>
        </w:rPr>
        <w:lastRenderedPageBreak/>
        <w:t>T</w:t>
      </w:r>
      <w:r w:rsidR="00DF411E" w:rsidRPr="001C2C36">
        <w:rPr>
          <w:rFonts w:cs="Times New Roman"/>
        </w:rPr>
        <w:t>he</w:t>
      </w:r>
      <w:r w:rsidR="009D32EC" w:rsidRPr="001C2C36">
        <w:rPr>
          <w:rFonts w:cs="Times New Roman"/>
        </w:rPr>
        <w:t xml:space="preserve">re are </w:t>
      </w:r>
      <w:r w:rsidR="00F275D5" w:rsidRPr="001C2C36">
        <w:rPr>
          <w:rFonts w:cs="Times New Roman"/>
        </w:rPr>
        <w:t xml:space="preserve">many </w:t>
      </w:r>
      <w:r w:rsidR="00DF411E" w:rsidRPr="001C2C36">
        <w:rPr>
          <w:rFonts w:cs="Times New Roman"/>
        </w:rPr>
        <w:t xml:space="preserve">avenues through which DCs </w:t>
      </w:r>
      <w:r w:rsidR="009D32EC" w:rsidRPr="001C2C36">
        <w:rPr>
          <w:rFonts w:cs="Times New Roman"/>
        </w:rPr>
        <w:t xml:space="preserve">could become inferior or less effective because of </w:t>
      </w:r>
      <w:r w:rsidR="000B26E9" w:rsidRPr="001C2C36">
        <w:rPr>
          <w:rFonts w:cs="Times New Roman"/>
        </w:rPr>
        <w:t>g</w:t>
      </w:r>
      <w:r w:rsidR="009D32EC" w:rsidRPr="001C2C36">
        <w:rPr>
          <w:rFonts w:cs="Times New Roman"/>
        </w:rPr>
        <w:t xml:space="preserve">overnment support, especially in </w:t>
      </w:r>
      <w:r w:rsidR="00806820" w:rsidRPr="001C2C36">
        <w:rPr>
          <w:rFonts w:cs="Times New Roman"/>
        </w:rPr>
        <w:t xml:space="preserve">the </w:t>
      </w:r>
      <w:r w:rsidR="009D32EC" w:rsidRPr="001C2C36">
        <w:rPr>
          <w:rFonts w:cs="Times New Roman"/>
        </w:rPr>
        <w:t>longer term.</w:t>
      </w:r>
      <w:r w:rsidR="00806820" w:rsidRPr="001C2C36">
        <w:rPr>
          <w:rFonts w:cs="Times New Roman"/>
        </w:rPr>
        <w:t xml:space="preserve"> For instance, t</w:t>
      </w:r>
      <w:r w:rsidR="00AA2407" w:rsidRPr="001C2C36">
        <w:rPr>
          <w:rFonts w:cs="Times New Roman"/>
        </w:rPr>
        <w:t xml:space="preserve">he </w:t>
      </w:r>
      <w:r w:rsidR="00FB1121" w:rsidRPr="001C2C36">
        <w:rPr>
          <w:rFonts w:cs="Times New Roman"/>
        </w:rPr>
        <w:t>g</w:t>
      </w:r>
      <w:r w:rsidR="00AA2407" w:rsidRPr="001C2C36">
        <w:rPr>
          <w:rFonts w:cs="Times New Roman"/>
        </w:rPr>
        <w:t>overnment could unintentionally encourage a shift towards</w:t>
      </w:r>
      <w:r w:rsidR="00124A92" w:rsidRPr="001C2C36">
        <w:rPr>
          <w:rFonts w:cs="Times New Roman"/>
        </w:rPr>
        <w:t xml:space="preserve"> exchanging </w:t>
      </w:r>
      <w:proofErr w:type="gramStart"/>
      <w:r w:rsidR="0020085D" w:rsidRPr="001C2C36">
        <w:rPr>
          <w:rFonts w:cs="Times New Roman"/>
        </w:rPr>
        <w:t>productivity</w:t>
      </w:r>
      <w:r w:rsidR="00693F48" w:rsidRPr="001C2C36">
        <w:rPr>
          <w:rFonts w:cs="Times New Roman"/>
        </w:rPr>
        <w:t>-</w:t>
      </w:r>
      <w:r w:rsidR="0020085D" w:rsidRPr="001C2C36">
        <w:rPr>
          <w:rFonts w:cs="Times New Roman"/>
        </w:rPr>
        <w:t>enhancing</w:t>
      </w:r>
      <w:proofErr w:type="gramEnd"/>
      <w:r w:rsidR="0020085D" w:rsidRPr="001C2C36">
        <w:rPr>
          <w:rFonts w:cs="Times New Roman"/>
        </w:rPr>
        <w:t xml:space="preserve"> DCs </w:t>
      </w:r>
      <w:r w:rsidR="00693F48" w:rsidRPr="001C2C36">
        <w:rPr>
          <w:rFonts w:cs="Times New Roman"/>
        </w:rPr>
        <w:t xml:space="preserve">with </w:t>
      </w:r>
      <w:r w:rsidR="00AA2407" w:rsidRPr="001C2C36">
        <w:rPr>
          <w:rFonts w:cs="Times New Roman"/>
        </w:rPr>
        <w:t xml:space="preserve">political management capabilities through the increasingly dynamic political environment with changing support mechanisms. To stay competitive in this environment, firms are required to establish dynamic political management capabilities, as explained by Oliver and </w:t>
      </w:r>
      <w:proofErr w:type="spellStart"/>
      <w:r w:rsidR="00AA2407" w:rsidRPr="001C2C36">
        <w:rPr>
          <w:rFonts w:cs="Times New Roman"/>
        </w:rPr>
        <w:t>Holzinger</w:t>
      </w:r>
      <w:proofErr w:type="spellEnd"/>
      <w:r w:rsidR="00AA2407" w:rsidRPr="001C2C36">
        <w:rPr>
          <w:rFonts w:cs="Times New Roman"/>
        </w:rPr>
        <w:t xml:space="preserve"> </w:t>
      </w:r>
      <w:r w:rsidR="00AA2407" w:rsidRPr="001C2C36">
        <w:rPr>
          <w:rFonts w:cs="Times New Roman"/>
        </w:rPr>
        <w:fldChar w:fldCharType="begin" w:fldLock="1"/>
      </w:r>
      <w:r w:rsidR="00AA2407" w:rsidRPr="001C2C36">
        <w:rPr>
          <w:rFonts w:cs="Times New Roman"/>
        </w:rPr>
        <w:instrText>ADDIN CSL_CITATION {"citationItems":[{"id":"ITEM-1","itemData":{"DOI":"10.5465/AMR.2008.31193538","ISSN":"03637425","abstract":"We present a dynamic capabilities framework to explain the effective strategic management of the political environment. We argue that the effectiveness of political strategies will be a function of firms' dynamic political management capabilities and propose four firm-level strategies - proactive, defensive, anticipatory, and reactive - for managing the political environment effectively. We develop propositions to explain how particular dynamic capabilities are associated with the effectiveness of alternative political strategies and conclude with suggestions for future research into effective strategic political management. Copyright of the Academy of Management, all rights reserved.","author":[{"dropping-particle":"","family":"Oliver","given":"Christine","non-dropping-particle":"","parse-names":false,"suffix":""},{"dropping-particle":"","family":"Holzinger","given":"Ingo","non-dropping-particle":"","parse-names":false,"suffix":""}],"container-title":"Academy of Management Review","id":"ITEM-1","issue":"2","issued":{"date-parts":[["2008"]]},"page":"496-520","title":"The effectiveness of strategic political management: A dynamic capabilities framework","type":"article-journal","volume":"33"},"suppress-author":1,"uris":["http://www.mendeley.com/documents/?uuid=a3022fd9-a3d1-47d0-945a-306a296b5f3c","http://www.mendeley.com/documents/?uuid=59933bc2-e447-4ae0-82aa-cb5ab70b8fae"]}],"mendeley":{"formattedCitation":"(2008)","plainTextFormattedCitation":"(2008)","previouslyFormattedCitation":"(2008)"},"properties":{"noteIndex":0},"schema":"https://github.com/citation-style-language/schema/raw/master/csl-citation.json"}</w:instrText>
      </w:r>
      <w:r w:rsidR="00AA2407" w:rsidRPr="001C2C36">
        <w:rPr>
          <w:rFonts w:cs="Times New Roman"/>
        </w:rPr>
        <w:fldChar w:fldCharType="separate"/>
      </w:r>
      <w:r w:rsidR="00AA2407" w:rsidRPr="001C2C36">
        <w:rPr>
          <w:rFonts w:cs="Times New Roman"/>
          <w:noProof/>
        </w:rPr>
        <w:t>(2008)</w:t>
      </w:r>
      <w:r w:rsidR="00AA2407" w:rsidRPr="001C2C36">
        <w:rPr>
          <w:rFonts w:cs="Times New Roman"/>
        </w:rPr>
        <w:fldChar w:fldCharType="end"/>
      </w:r>
      <w:r w:rsidR="00AA2407" w:rsidRPr="001C2C36">
        <w:rPr>
          <w:rFonts w:cs="Times New Roman"/>
        </w:rPr>
        <w:t xml:space="preserve">, to successfully acquire optimal and frequently changing assistance and exploit government policies. The impact of the lack of this capability among small firms is highlighted by </w:t>
      </w:r>
      <w:proofErr w:type="spellStart"/>
      <w:r w:rsidR="00AA2407" w:rsidRPr="001C2C36">
        <w:rPr>
          <w:rFonts w:cs="Times New Roman"/>
        </w:rPr>
        <w:t>Balyuk</w:t>
      </w:r>
      <w:proofErr w:type="spellEnd"/>
      <w:r w:rsidR="00AA2407" w:rsidRPr="001C2C36">
        <w:rPr>
          <w:rFonts w:cs="Times New Roman"/>
        </w:rPr>
        <w:t xml:space="preserve"> et al. </w:t>
      </w:r>
      <w:r w:rsidR="00AA2407" w:rsidRPr="001C2C36">
        <w:rPr>
          <w:rFonts w:cs="Times New Roman"/>
        </w:rPr>
        <w:fldChar w:fldCharType="begin" w:fldLock="1"/>
      </w:r>
      <w:r w:rsidR="00AA2407" w:rsidRPr="001C2C36">
        <w:rPr>
          <w:rFonts w:cs="Times New Roman"/>
        </w:rPr>
        <w:instrText>ADDIN CSL_CITATION {"citationItems":[{"id":"ITEM-1","itemData":{"abstract":"We study the delivery of subsidized financing to small firms through the Paycheck Protection Program (PPP). Smaller firms are less likely to gain early PPP access, an effect attenuated in small banks and firms with prior lending relationships. Their more even treatment offers a new rationale, beyond traditional soft information arguments, for why small businesses pair with small banks. We also detect a \"funding hesitancy\" in PPP uptake by small businesses, partly reflecting their wariness of the extensive, subjective government powers to investigate PPP recipients. We discuss the implications of the results for research and policies on small business financing.","author":[{"dropping-particle":"","family":"Balyuk","given":"Tetyana","non-dropping-particle":"","parse-names":false,"suffix":""},{"dropping-particle":"","family":"Prabhala","given":"Nagpurnanand","non-dropping-particle":"","parse-names":false,"suffix":""},{"dropping-particle":"","family":"Puri","given":"Manju","non-dropping-particle":"","parse-names":false,"suffix":""},{"dropping-particle":"","family":"Bandi","given":"Federico","non-dropping-particle":"","parse-names":false,"suffix":""},{"dropping-particle":"","family":"Babina","given":"Tania","non-dropping-particle":"","parse-names":false,"suffix":""},{"dropping-particle":"","family":"Chordia","given":"Tarun","non-dropping-particle":"","parse-names":false,"suffix":""},{"dropping-particle":"","family":"Dahiya","given":"Sandeep","non-dropping-particle":"","parse-names":false,"suffix":""},{"dropping-particle":"","family":"Darmouni","given":"Olivier","non-dropping-particle":"","parse-names":false,"suffix":""},{"dropping-particle":"","family":"Das","given":"Sanjiv","non-dropping-particle":"","parse-names":false,"suffix":""},{"dropping-particle":"","family":"Faulkender","given":"Mike","non-dropping-particle":"","parse-names":false,"suffix":""},{"dropping-particle":"","family":"Franks","given":"Julian","non-dropping-particle":"","parse-names":false,"suffix":""},{"dropping-particle":"","family":"Fuchs","given":"James","non-dropping-particle":"","parse-names":false,"suffix":""},{"dropping-particle":"","family":"Giglio","given":"Stefano","non-dropping-particle":"","parse-names":false,"suffix":""},{"dropping-particle":"","family":"Granja","given":"Joao","non-dropping-particle":"","parse-names":false,"suffix":""},{"dropping-particle":"","family":"Green","given":"Clifton","non-dropping-particle":"","parse-names":false,"suffix":""},{"dropping-particle":"","family":"He","given":"Zhiguo","non-dropping-particle":"","parse-names":false,"suffix":""},{"dropping-particle":"","family":"Howell","given":"Sabrina","non-dropping-particle":"","parse-names":false,"suffix":""},{"dropping-particle":"","family":"Jegadeesh","given":"Narasimhan","non-dropping-particle":"","parse-names":false,"suffix":""},{"dropping-particle":"","family":"Kedia","given":"Simi","non-dropping-particle":"","parse-names":false,"suffix":""},{"dropping-particle":"","family":"Khanna","given":"Naveen","non-dropping-particle":"","parse-names":false,"suffix":""},{"dropping-particle":"","family":"Kim","given":"Dasol","non-dropping-particle":"","parse-names":false,"suffix":""},{"dropping-particle":"","family":"Maturana","given":"Gonzalo","non-dropping-particle":"","parse-names":false,"suffix":""},{"dropping-particle":"","family":"Nguyen","given":"Thuy Linh","non-dropping-particle":"","parse-names":false,"suffix":""},{"dropping-particle":"","family":"Phillips","given":"Gordon","non-dropping-particle":"","parse-names":false,"suffix":""},{"dropping-particle":"","family":"Rebucci","given":"Alessandro","non-dropping-particle":"","parse-names":false,"suffix":""},{"dropping-particle":"","family":"Servaes","given":"Henri","non-dropping-particle":"","parse-names":false,"suffix":""},{"dropping-particle":"","family":"Shivakumar","given":"Lakshmanan","non-dropping-particle":"","parse-names":false,"suffix":""},{"dropping-particle":"","family":"Slutzky","given":"Pablo","non-dropping-particle":"","parse-names":false,"suffix":""},{"dropping-particle":"","family":"Steffen","given":"Sascha","non-dropping-particle":"","parse-names":false,"suffix":""},{"dropping-particle":"","family":"Unal","given":"Haluk","non-dropping-particle":"","parse-names":false,"suffix":""},{"dropping-particle":"","family":"Vick-Ery","given":"James","non-dropping-particle":"","parse-names":false,"suffix":""},{"dropping-particle":"","family":"Yang","given":"Liyan","non-dropping-particle":"","parse-names":false,"suffix":""}],"container-title":"NBER Working Paper No. w28114","id":"ITEM-1","issued":{"date-parts":[["2021"]]},"title":"Small Bank Financing and Funding Hesitancy in a Crisis: Evidence from the Paycheck Protection Program","type":"article-journal"},"suppress-author":1,"uris":["http://www.mendeley.com/documents/?uuid=a46f5a57-fe0e-47e6-97c9-38511cf5916a","http://www.mendeley.com/documents/?uuid=d3cc1ad9-955b-4fe9-aa0d-3573b5ffe14e"]}],"mendeley":{"formattedCitation":"(2021)","plainTextFormattedCitation":"(2021)","previouslyFormattedCitation":"(2021)"},"properties":{"noteIndex":0},"schema":"https://github.com/citation-style-language/schema/raw/master/csl-citation.json"}</w:instrText>
      </w:r>
      <w:r w:rsidR="00AA2407" w:rsidRPr="001C2C36">
        <w:rPr>
          <w:rFonts w:cs="Times New Roman"/>
        </w:rPr>
        <w:fldChar w:fldCharType="separate"/>
      </w:r>
      <w:r w:rsidR="00AA2407" w:rsidRPr="001C2C36">
        <w:rPr>
          <w:rFonts w:cs="Times New Roman"/>
          <w:noProof/>
        </w:rPr>
        <w:t>(2021)</w:t>
      </w:r>
      <w:r w:rsidR="00AA2407" w:rsidRPr="001C2C36">
        <w:rPr>
          <w:rFonts w:cs="Times New Roman"/>
        </w:rPr>
        <w:fldChar w:fldCharType="end"/>
      </w:r>
      <w:r w:rsidR="00AA2407" w:rsidRPr="001C2C36">
        <w:rPr>
          <w:rFonts w:cs="Times New Roman"/>
        </w:rPr>
        <w:t xml:space="preserve">, who find that small firms were less likely to get PPP loans in the early stage of the program, but this was not the case for the firms that took loans previously. </w:t>
      </w:r>
      <w:r w:rsidR="00D05CDC" w:rsidRPr="001C2C36">
        <w:rPr>
          <w:rFonts w:cs="Times New Roman"/>
        </w:rPr>
        <w:t>The effective</w:t>
      </w:r>
      <w:r w:rsidR="00550B78" w:rsidRPr="001C2C36">
        <w:rPr>
          <w:rFonts w:cs="Times New Roman"/>
        </w:rPr>
        <w:t>ness of</w:t>
      </w:r>
      <w:r w:rsidR="00D05CDC" w:rsidRPr="001C2C36">
        <w:rPr>
          <w:rFonts w:cs="Times New Roman"/>
        </w:rPr>
        <w:t xml:space="preserve"> </w:t>
      </w:r>
      <w:r w:rsidR="008C729B" w:rsidRPr="001C2C36">
        <w:rPr>
          <w:rFonts w:cs="Times New Roman"/>
        </w:rPr>
        <w:t>political management capabilities</w:t>
      </w:r>
      <w:r w:rsidR="00550B78" w:rsidRPr="001C2C36">
        <w:rPr>
          <w:rFonts w:cs="Times New Roman"/>
        </w:rPr>
        <w:t xml:space="preserve"> </w:t>
      </w:r>
      <w:r w:rsidR="00D05CDC" w:rsidRPr="001C2C36">
        <w:rPr>
          <w:rFonts w:cs="Times New Roman"/>
        </w:rPr>
        <w:t xml:space="preserve">could </w:t>
      </w:r>
      <w:r w:rsidR="00420EB9" w:rsidRPr="001C2C36">
        <w:rPr>
          <w:rFonts w:cs="Times New Roman"/>
        </w:rPr>
        <w:t>gradually decrease</w:t>
      </w:r>
      <w:r w:rsidR="00E05FBE" w:rsidRPr="001C2C36">
        <w:rPr>
          <w:rFonts w:cs="Times New Roman"/>
        </w:rPr>
        <w:t xml:space="preserve">, as they are more likely to be targeted at only immediate generic subsidies or tax reductions that are not likely to be extended after Covid-19. </w:t>
      </w:r>
    </w:p>
    <w:p w14:paraId="451F7F42" w14:textId="3A9B91A0" w:rsidR="00FA256E" w:rsidRPr="001C2C36" w:rsidRDefault="005E37D7" w:rsidP="008D12CD">
      <w:pPr>
        <w:spacing w:before="240"/>
        <w:rPr>
          <w:rFonts w:cs="Times New Roman"/>
        </w:rPr>
      </w:pPr>
      <w:r w:rsidRPr="001C2C36">
        <w:rPr>
          <w:rFonts w:cs="Times New Roman"/>
        </w:rPr>
        <w:t>These</w:t>
      </w:r>
      <w:r w:rsidR="00624786" w:rsidRPr="001C2C36">
        <w:rPr>
          <w:rFonts w:cs="Times New Roman"/>
        </w:rPr>
        <w:t xml:space="preserve"> non-viable firms are likely to be covered by the </w:t>
      </w:r>
      <w:r w:rsidR="00991386" w:rsidRPr="001C2C36">
        <w:rPr>
          <w:rFonts w:cs="Times New Roman"/>
        </w:rPr>
        <w:t xml:space="preserve">Covid-19 </w:t>
      </w:r>
      <w:r w:rsidR="00624786" w:rsidRPr="001C2C36">
        <w:rPr>
          <w:rFonts w:cs="Times New Roman"/>
        </w:rPr>
        <w:t xml:space="preserve">assistance programme, owing to the uniform support </w:t>
      </w:r>
      <w:r w:rsidR="00894917" w:rsidRPr="001C2C36">
        <w:rPr>
          <w:rFonts w:cs="Times New Roman"/>
        </w:rPr>
        <w:t xml:space="preserve">with broad eligibility </w:t>
      </w:r>
      <w:r w:rsidR="003066F0" w:rsidRPr="001C2C36">
        <w:rPr>
          <w:rFonts w:cs="Times New Roman"/>
        </w:rPr>
        <w:t xml:space="preserve">criteria enabling </w:t>
      </w:r>
      <w:r w:rsidR="003E0261" w:rsidRPr="001C2C36">
        <w:rPr>
          <w:rFonts w:cs="Times New Roman"/>
        </w:rPr>
        <w:t xml:space="preserve">most companies to claim Covid-19 </w:t>
      </w:r>
      <w:r w:rsidR="00CB04E9" w:rsidRPr="001C2C36">
        <w:rPr>
          <w:rFonts w:cs="Times New Roman"/>
        </w:rPr>
        <w:t>support</w:t>
      </w:r>
      <w:r w:rsidR="00A92D5F" w:rsidRPr="001C2C36">
        <w:rPr>
          <w:rFonts w:cs="Times New Roman"/>
        </w:rPr>
        <w:t>.</w:t>
      </w:r>
      <w:r w:rsidR="003E0261" w:rsidRPr="001C2C36">
        <w:rPr>
          <w:rFonts w:cs="Times New Roman"/>
        </w:rPr>
        <w:t xml:space="preserve"> </w:t>
      </w:r>
      <w:r w:rsidR="005977A8" w:rsidRPr="001C2C36">
        <w:rPr>
          <w:rFonts w:cs="Times New Roman"/>
        </w:rPr>
        <w:t>T</w:t>
      </w:r>
      <w:r w:rsidR="00153BBF" w:rsidRPr="001C2C36">
        <w:rPr>
          <w:rFonts w:cs="Times New Roman"/>
        </w:rPr>
        <w:t xml:space="preserve">he findings </w:t>
      </w:r>
      <w:r w:rsidR="00410347" w:rsidRPr="001C2C36">
        <w:rPr>
          <w:rFonts w:cs="Times New Roman"/>
        </w:rPr>
        <w:t>indicate</w:t>
      </w:r>
      <w:r w:rsidR="00153BBF" w:rsidRPr="001C2C36">
        <w:rPr>
          <w:rFonts w:cs="Times New Roman"/>
        </w:rPr>
        <w:t xml:space="preserve"> that</w:t>
      </w:r>
      <w:r w:rsidR="00991386" w:rsidRPr="001C2C36">
        <w:rPr>
          <w:rFonts w:cs="Times New Roman"/>
        </w:rPr>
        <w:t xml:space="preserve"> </w:t>
      </w:r>
      <w:r w:rsidR="00FC468C" w:rsidRPr="001C2C36">
        <w:rPr>
          <w:rFonts w:cs="Times New Roman"/>
        </w:rPr>
        <w:t>before</w:t>
      </w:r>
      <w:r w:rsidR="00991386" w:rsidRPr="001C2C36">
        <w:rPr>
          <w:rFonts w:cs="Times New Roman"/>
        </w:rPr>
        <w:t xml:space="preserve"> the Covid-19 pandemic</w:t>
      </w:r>
      <w:r w:rsidR="00CF3780" w:rsidRPr="001C2C36">
        <w:rPr>
          <w:rFonts w:cs="Times New Roman"/>
        </w:rPr>
        <w:t>,</w:t>
      </w:r>
      <w:r w:rsidR="00991386" w:rsidRPr="001C2C36">
        <w:rPr>
          <w:rFonts w:cs="Times New Roman"/>
        </w:rPr>
        <w:t xml:space="preserve"> </w:t>
      </w:r>
      <w:r w:rsidR="00153BBF" w:rsidRPr="001C2C36">
        <w:rPr>
          <w:rFonts w:cs="Times New Roman"/>
        </w:rPr>
        <w:t xml:space="preserve">supported firms </w:t>
      </w:r>
      <w:r w:rsidR="00991386" w:rsidRPr="001C2C36">
        <w:rPr>
          <w:rFonts w:cs="Times New Roman"/>
        </w:rPr>
        <w:t xml:space="preserve">were more likely to exhibit low productivity </w:t>
      </w:r>
      <w:r w:rsidR="00501998" w:rsidRPr="001C2C36">
        <w:rPr>
          <w:rFonts w:cs="Times New Roman"/>
        </w:rPr>
        <w:fldChar w:fldCharType="begin" w:fldLock="1"/>
      </w:r>
      <w:r w:rsidR="00491C3A" w:rsidRPr="001C2C36">
        <w:rPr>
          <w:rFonts w:cs="Times New Roman"/>
        </w:rPr>
        <w:instrText>ADDIN CSL_CITATION {"citationItems":[{"id":"ITEM-1","itemData":{"DOI":"10.1016/j.econlet.2021.109869","ISSN":"01651765","abstract":"This study, based on an original survey of Japanese firms, analyzes the productivity of firms that used relief policy measures during the COVID-19 pandemic. The productivity of firms using these relief measures was lower than that of non-user firms prior to the pandemic, suggesting that inefficient firms have been affected seriously. The result cautions against the excessive and prolonged relief policies.","author":[{"dropping-particle":"","family":"Morikawa","given":"Masayuki","non-dropping-particle":"","parse-names":false,"suffix":""}],"container-title":"Economics Letters","id":"ITEM-1","issued":{"date-parts":[["2021","6"]]},"page":"109869","title":"Productivity of firms using relief policies during the COVID-19 crisis","type":"article-journal","volume":"203"},"uris":["http://www.mendeley.com/documents/?uuid=6dc9f5ff-7752-44cb-b9ac-845e51982086","http://www.mendeley.com/documents/?uuid=9327d07f-b337-49bf-87cb-829c444518a5"]}],"mendeley":{"formattedCitation":"(Morikawa, 2021)","plainTextFormattedCitation":"(Morikawa, 2021)","previouslyFormattedCitation":"(Morikawa, 2021)"},"properties":{"noteIndex":0},"schema":"https://github.com/citation-style-language/schema/raw/master/csl-citation.json"}</w:instrText>
      </w:r>
      <w:r w:rsidR="00501998" w:rsidRPr="001C2C36">
        <w:rPr>
          <w:rFonts w:cs="Times New Roman"/>
        </w:rPr>
        <w:fldChar w:fldCharType="separate"/>
      </w:r>
      <w:r w:rsidR="00501998" w:rsidRPr="001C2C36">
        <w:rPr>
          <w:rFonts w:cs="Times New Roman"/>
          <w:noProof/>
        </w:rPr>
        <w:t>(Morikawa, 2021)</w:t>
      </w:r>
      <w:r w:rsidR="00501998" w:rsidRPr="001C2C36">
        <w:rPr>
          <w:rFonts w:cs="Times New Roman"/>
        </w:rPr>
        <w:fldChar w:fldCharType="end"/>
      </w:r>
      <w:r w:rsidR="00991386" w:rsidRPr="001C2C36">
        <w:rPr>
          <w:rFonts w:cs="Times New Roman"/>
        </w:rPr>
        <w:t xml:space="preserve"> and have lower credit scores </w:t>
      </w:r>
      <w:r w:rsidR="00501998" w:rsidRPr="001C2C36">
        <w:rPr>
          <w:rFonts w:cs="Times New Roman"/>
        </w:rPr>
        <w:fldChar w:fldCharType="begin" w:fldLock="1"/>
      </w:r>
      <w:r w:rsidR="0040613D" w:rsidRPr="001C2C36">
        <w:rPr>
          <w:rFonts w:cs="Times New Roman"/>
        </w:rPr>
        <w:instrText>ADDIN CSL_CITATION {"citationItems":[{"id":"ITEM-1","itemData":{"DOI":"10.1016/j.jbankfin.2022.106421","ISSN":"03784266","abstract":"We design and conduct a firm-level survey on the use of COVID-19-related government programs, in collaboration with Tokyo Shoko Research, LTD (TSR). Combining the survey results with the financial statements of the respondent firms, we investigate the factors behind the allocation of various government programs. We find that firms that had low credit scores in 2019, before the COVID-19 pandemic, were more likely to apply for and receive the subsidies and concessional loans offered by the Japanese government in 2020, controlling for the sales growth after the onset of the pandemic. Firms with low credit scores are not necessarily zombies, which are defined to be the firms that are non-viable but kept alive by assistance from creditors and/or the government. Our result suggests that the government assistance may have subsidized some poorly performing firms that were not yet zombies before the pandemic.","author":[{"dropping-particle":"","family":"Hoshi","given":"Takeo","non-dropping-particle":"","parse-names":false,"suffix":""},{"dropping-particle":"","family":"Kawaguchi","given":"Daiji","non-dropping-particle":"","parse-names":false,"suffix":""},{"dropping-particle":"","family":"Ueda","given":"Kenichi","non-dropping-particle":"","parse-names":false,"suffix":""}],"container-title":"Journal of Banking &amp; Finance","id":"ITEM-1","issued":{"date-parts":[["2023","2"]]},"page":"106421","title":"Zombies, again? The COVID-19 business support programs in Japan","type":"article-journal","volume":"147"},"uris":["http://www.mendeley.com/documents/?uuid=a50545f7-af4a-4f95-b52a-6e6a8ef6fd68","http://www.mendeley.com/documents/?uuid=a5f7d697-710b-474a-a174-d5fc47cf12e1"]}],"mendeley":{"formattedCitation":"(Hoshi et al., 2023)","plainTextFormattedCitation":"(Hoshi et al., 2023)","previouslyFormattedCitation":"(Hoshi et al., 2023)"},"properties":{"noteIndex":0},"schema":"https://github.com/citation-style-language/schema/raw/master/csl-citation.json"}</w:instrText>
      </w:r>
      <w:r w:rsidR="00501998" w:rsidRPr="001C2C36">
        <w:rPr>
          <w:rFonts w:cs="Times New Roman"/>
        </w:rPr>
        <w:fldChar w:fldCharType="separate"/>
      </w:r>
      <w:r w:rsidR="00994957" w:rsidRPr="001C2C36">
        <w:rPr>
          <w:rFonts w:cs="Times New Roman"/>
          <w:noProof/>
        </w:rPr>
        <w:t>(Hoshi et al., 2023)</w:t>
      </w:r>
      <w:r w:rsidR="00501998" w:rsidRPr="001C2C36">
        <w:rPr>
          <w:rFonts w:cs="Times New Roman"/>
        </w:rPr>
        <w:fldChar w:fldCharType="end"/>
      </w:r>
      <w:r w:rsidR="00BF0568" w:rsidRPr="001C2C36">
        <w:rPr>
          <w:rFonts w:cs="Times New Roman"/>
        </w:rPr>
        <w:t xml:space="preserve">, pointing </w:t>
      </w:r>
      <w:r w:rsidR="001E2BF5" w:rsidRPr="001C2C36">
        <w:rPr>
          <w:rFonts w:cs="Times New Roman"/>
        </w:rPr>
        <w:t>towards SMEs with inferior or less effective DCs</w:t>
      </w:r>
      <w:r w:rsidR="00991386" w:rsidRPr="001C2C36">
        <w:rPr>
          <w:rFonts w:cs="Times New Roman"/>
        </w:rPr>
        <w:t>.</w:t>
      </w:r>
      <w:r w:rsidR="001E2BF5" w:rsidRPr="001C2C36">
        <w:rPr>
          <w:rFonts w:cs="Times New Roman"/>
        </w:rPr>
        <w:t xml:space="preserve"> </w:t>
      </w:r>
      <w:r w:rsidR="00E6715D" w:rsidRPr="001C2C36">
        <w:rPr>
          <w:rFonts w:cs="Times New Roman"/>
        </w:rPr>
        <w:t>A</w:t>
      </w:r>
      <w:r w:rsidR="008C32E5" w:rsidRPr="001C2C36">
        <w:rPr>
          <w:rFonts w:cs="Times New Roman"/>
        </w:rPr>
        <w:t>lthough</w:t>
      </w:r>
      <w:r w:rsidR="00F923D3" w:rsidRPr="001C2C36">
        <w:rPr>
          <w:rFonts w:cs="Times New Roman"/>
        </w:rPr>
        <w:t xml:space="preserve"> during the Covid-19 pandemic, it is effective to swiftly supply cashflow-constrained but healthy firms</w:t>
      </w:r>
      <w:r w:rsidR="008D12CD" w:rsidRPr="001C2C36">
        <w:rPr>
          <w:rFonts w:cs="Times New Roman"/>
        </w:rPr>
        <w:t xml:space="preserve">, </w:t>
      </w:r>
      <w:r w:rsidR="00D560B2" w:rsidRPr="001C2C36">
        <w:rPr>
          <w:rFonts w:cs="Times New Roman"/>
        </w:rPr>
        <w:t>the generous support initiatives also could have sustained and created new</w:t>
      </w:r>
      <w:r w:rsidR="004D1030" w:rsidRPr="001C2C36">
        <w:rPr>
          <w:rFonts w:cs="Times New Roman"/>
        </w:rPr>
        <w:t>,</w:t>
      </w:r>
      <w:r w:rsidR="00D560B2" w:rsidRPr="001C2C36">
        <w:rPr>
          <w:rFonts w:cs="Times New Roman"/>
        </w:rPr>
        <w:t xml:space="preserve"> less </w:t>
      </w:r>
      <w:r w:rsidR="007A65AC" w:rsidRPr="001C2C36">
        <w:rPr>
          <w:rFonts w:cs="Times New Roman"/>
        </w:rPr>
        <w:t xml:space="preserve">viable firms </w:t>
      </w:r>
      <w:r w:rsidR="009465F3" w:rsidRPr="001C2C36">
        <w:rPr>
          <w:rFonts w:cs="Times New Roman"/>
        </w:rPr>
        <w:t>that could potentially</w:t>
      </w:r>
      <w:r w:rsidR="000E0FD7" w:rsidRPr="001C2C36">
        <w:rPr>
          <w:rFonts w:cs="Times New Roman"/>
        </w:rPr>
        <w:t xml:space="preserve">, as Hoshi et al. </w:t>
      </w:r>
      <w:r w:rsidR="000E0FD7" w:rsidRPr="001C2C36">
        <w:rPr>
          <w:rFonts w:cs="Times New Roman"/>
        </w:rPr>
        <w:fldChar w:fldCharType="begin" w:fldLock="1"/>
      </w:r>
      <w:r w:rsidR="00FD2B87" w:rsidRPr="001C2C36">
        <w:rPr>
          <w:rFonts w:cs="Times New Roman"/>
        </w:rPr>
        <w:instrText>ADDIN CSL_CITATION {"citationItems":[{"id":"ITEM-1","itemData":{"DOI":"10.1016/j.jbankfin.2022.106421","ISSN":"03784266","abstract":"We design and conduct a firm-level survey on the use of COVID-19-related government programs, in collaboration with Tokyo Shoko Research, LTD (TSR). Combining the survey results with the financial statements of the respondent firms, we investigate the factors behind the allocation of various government programs. We find that firms that had low credit scores in 2019, before the COVID-19 pandemic, were more likely to apply for and receive the subsidies and concessional loans offered by the Japanese government in 2020, controlling for the sales growth after the onset of the pandemic. Firms with low credit scores are not necessarily zombies, which are defined to be the firms that are non-viable but kept alive by assistance from creditors and/or the government. Our result suggests that the government assistance may have subsidized some poorly performing firms that were not yet zombies before the pandemic.","author":[{"dropping-particle":"","family":"Hoshi","given":"Takeo","non-dropping-particle":"","parse-names":false,"suffix":""},{"dropping-particle":"","family":"Kawaguchi","given":"Daiji","non-dropping-particle":"","parse-names":false,"suffix":""},{"dropping-particle":"","family":"Ueda","given":"Kenichi","non-dropping-particle":"","parse-names":false,"suffix":""}],"container-title":"Journal of Banking &amp; Finance","id":"ITEM-1","issued":{"date-parts":[["2023","2"]]},"page":"106421","title":"Zombies, again? The COVID-19 business support programs in Japan","type":"article-journal","volume":"147"},"locator":"15","suppress-author":1,"uris":["http://www.mendeley.com/documents/?uuid=a50545f7-af4a-4f95-b52a-6e6a8ef6fd68","http://www.mendeley.com/documents/?uuid=a5f7d697-710b-474a-a174-d5fc47cf12e1"]}],"mendeley":{"formattedCitation":"(2023: 15)","plainTextFormattedCitation":"(2023: 15)","previouslyFormattedCitation":"(2023: 15)"},"properties":{"noteIndex":0},"schema":"https://github.com/citation-style-language/schema/raw/master/csl-citation.json"}</w:instrText>
      </w:r>
      <w:r w:rsidR="000E0FD7" w:rsidRPr="001C2C36">
        <w:rPr>
          <w:rFonts w:cs="Times New Roman"/>
        </w:rPr>
        <w:fldChar w:fldCharType="separate"/>
      </w:r>
      <w:r w:rsidR="000E0FD7" w:rsidRPr="001C2C36">
        <w:rPr>
          <w:rFonts w:cs="Times New Roman"/>
          <w:noProof/>
        </w:rPr>
        <w:t>(2023: 15)</w:t>
      </w:r>
      <w:r w:rsidR="000E0FD7" w:rsidRPr="001C2C36">
        <w:rPr>
          <w:rFonts w:cs="Times New Roman"/>
        </w:rPr>
        <w:fldChar w:fldCharType="end"/>
      </w:r>
      <w:r w:rsidR="000E0FD7" w:rsidRPr="001C2C36">
        <w:rPr>
          <w:rFonts w:cs="Times New Roman"/>
        </w:rPr>
        <w:t xml:space="preserve"> argues,</w:t>
      </w:r>
      <w:r w:rsidR="009465F3" w:rsidRPr="001C2C36">
        <w:rPr>
          <w:rFonts w:cs="Times New Roman"/>
        </w:rPr>
        <w:t xml:space="preserve"> </w:t>
      </w:r>
      <w:r w:rsidR="00990EAA" w:rsidRPr="001C2C36">
        <w:rPr>
          <w:rFonts w:cs="Times New Roman"/>
        </w:rPr>
        <w:t>“transform the temporary shock due to COVID-19 into a permanent shock by distorting the liquidity supply toward inefficient firms</w:t>
      </w:r>
      <w:r w:rsidR="008E3EE3" w:rsidRPr="001C2C36">
        <w:rPr>
          <w:rFonts w:cs="Times New Roman"/>
        </w:rPr>
        <w:t>.</w:t>
      </w:r>
      <w:r w:rsidR="00990EAA" w:rsidRPr="001C2C36">
        <w:rPr>
          <w:rFonts w:cs="Times New Roman"/>
        </w:rPr>
        <w:t>”</w:t>
      </w:r>
      <w:r w:rsidR="00D55BF7" w:rsidRPr="001C2C36">
        <w:rPr>
          <w:rFonts w:cs="Times New Roman"/>
        </w:rPr>
        <w:t xml:space="preserve"> </w:t>
      </w:r>
      <w:r w:rsidR="00B9046C" w:rsidRPr="001C2C36">
        <w:rPr>
          <w:rFonts w:cs="Times New Roman"/>
        </w:rPr>
        <w:t xml:space="preserve">This suggests that the </w:t>
      </w:r>
      <w:r w:rsidR="006D1DDB" w:rsidRPr="001C2C36">
        <w:rPr>
          <w:rFonts w:cs="Times New Roman"/>
        </w:rPr>
        <w:t>g</w:t>
      </w:r>
      <w:r w:rsidR="00A92D5F" w:rsidRPr="001C2C36">
        <w:rPr>
          <w:rFonts w:cs="Times New Roman"/>
        </w:rPr>
        <w:t>overnment</w:t>
      </w:r>
      <w:r w:rsidR="00B9046C" w:rsidRPr="001C2C36">
        <w:rPr>
          <w:rFonts w:cs="Times New Roman"/>
        </w:rPr>
        <w:t xml:space="preserve"> could be s</w:t>
      </w:r>
      <w:r w:rsidR="00EF2AD1" w:rsidRPr="001C2C36">
        <w:rPr>
          <w:rFonts w:cs="Times New Roman"/>
        </w:rPr>
        <w:t xml:space="preserve">pending </w:t>
      </w:r>
      <w:r w:rsidR="00B9046C" w:rsidRPr="001C2C36">
        <w:rPr>
          <w:rFonts w:cs="Times New Roman"/>
        </w:rPr>
        <w:t>considerabl</w:t>
      </w:r>
      <w:r w:rsidR="00EF2AD1" w:rsidRPr="001C2C36">
        <w:rPr>
          <w:rFonts w:cs="Times New Roman"/>
        </w:rPr>
        <w:t>e resources to enabl</w:t>
      </w:r>
      <w:r w:rsidR="00B9046C" w:rsidRPr="001C2C36">
        <w:rPr>
          <w:rFonts w:cs="Times New Roman"/>
        </w:rPr>
        <w:t>e</w:t>
      </w:r>
      <w:r w:rsidR="00EF2AD1" w:rsidRPr="001C2C36">
        <w:rPr>
          <w:rFonts w:cs="Times New Roman"/>
        </w:rPr>
        <w:t xml:space="preserve"> </w:t>
      </w:r>
      <w:r w:rsidR="00B9046C" w:rsidRPr="001C2C36">
        <w:rPr>
          <w:rFonts w:cs="Times New Roman"/>
        </w:rPr>
        <w:t>possibly non-viable firms</w:t>
      </w:r>
      <w:r w:rsidR="00C5127A" w:rsidRPr="001C2C36">
        <w:rPr>
          <w:rFonts w:cs="Times New Roman"/>
        </w:rPr>
        <w:t xml:space="preserve"> </w:t>
      </w:r>
      <w:r w:rsidR="00B4667A" w:rsidRPr="001C2C36">
        <w:rPr>
          <w:rFonts w:cs="Times New Roman"/>
        </w:rPr>
        <w:t xml:space="preserve">with no intention or confidence to grow </w:t>
      </w:r>
      <w:r w:rsidR="00426F63" w:rsidRPr="001C2C36">
        <w:rPr>
          <w:rFonts w:cs="Times New Roman"/>
        </w:rPr>
        <w:t xml:space="preserve">to </w:t>
      </w:r>
      <w:r w:rsidR="00C5127A" w:rsidRPr="001C2C36">
        <w:rPr>
          <w:rFonts w:cs="Times New Roman"/>
        </w:rPr>
        <w:t>stay alive</w:t>
      </w:r>
      <w:r w:rsidR="00426F63" w:rsidRPr="001C2C36">
        <w:rPr>
          <w:rFonts w:cs="Times New Roman"/>
        </w:rPr>
        <w:t xml:space="preserve">, </w:t>
      </w:r>
      <w:r w:rsidR="005E4CCA" w:rsidRPr="001C2C36">
        <w:rPr>
          <w:rFonts w:cs="Times New Roman"/>
        </w:rPr>
        <w:t xml:space="preserve">negatively affecting other firms operating in the </w:t>
      </w:r>
      <w:r w:rsidR="001B3A30" w:rsidRPr="001C2C36">
        <w:rPr>
          <w:rFonts w:cs="Times New Roman"/>
        </w:rPr>
        <w:t xml:space="preserve">same </w:t>
      </w:r>
      <w:r w:rsidR="005E4CCA" w:rsidRPr="001C2C36">
        <w:rPr>
          <w:rFonts w:cs="Times New Roman"/>
        </w:rPr>
        <w:t>industr</w:t>
      </w:r>
      <w:r w:rsidR="001B3A30" w:rsidRPr="001C2C36">
        <w:rPr>
          <w:rFonts w:cs="Times New Roman"/>
        </w:rPr>
        <w:t>ies</w:t>
      </w:r>
      <w:r w:rsidR="004D1030" w:rsidRPr="001C2C36">
        <w:rPr>
          <w:rFonts w:cs="Times New Roman"/>
        </w:rPr>
        <w:t xml:space="preserve"> th</w:t>
      </w:r>
      <w:r w:rsidR="00606CA2" w:rsidRPr="001C2C36">
        <w:rPr>
          <w:rFonts w:cs="Times New Roman"/>
        </w:rPr>
        <w:t>r</w:t>
      </w:r>
      <w:r w:rsidR="004D1030" w:rsidRPr="001C2C36">
        <w:rPr>
          <w:rFonts w:cs="Times New Roman"/>
        </w:rPr>
        <w:t xml:space="preserve">ough </w:t>
      </w:r>
      <w:r w:rsidR="00606CA2" w:rsidRPr="001C2C36">
        <w:rPr>
          <w:rFonts w:cs="Times New Roman"/>
        </w:rPr>
        <w:t xml:space="preserve">the </w:t>
      </w:r>
      <w:r w:rsidR="004D1030" w:rsidRPr="001C2C36">
        <w:rPr>
          <w:rFonts w:cs="Times New Roman"/>
        </w:rPr>
        <w:t>misallocation of resources</w:t>
      </w:r>
      <w:r w:rsidR="00B961C9" w:rsidRPr="001C2C36">
        <w:rPr>
          <w:rFonts w:cs="Times New Roman"/>
        </w:rPr>
        <w:t>.</w:t>
      </w:r>
      <w:r w:rsidR="00506D73" w:rsidRPr="001C2C36">
        <w:rPr>
          <w:rFonts w:cs="Times New Roman"/>
        </w:rPr>
        <w:t xml:space="preserve"> </w:t>
      </w:r>
      <w:bookmarkEnd w:id="1"/>
      <w:r w:rsidR="00996DCC" w:rsidRPr="001C2C36">
        <w:rPr>
          <w:rFonts w:cs="Times New Roman"/>
        </w:rPr>
        <w:t xml:space="preserve">This leads </w:t>
      </w:r>
      <w:r w:rsidR="00BE6194" w:rsidRPr="001C2C36">
        <w:rPr>
          <w:rFonts w:cs="Times New Roman"/>
        </w:rPr>
        <w:t xml:space="preserve">us to </w:t>
      </w:r>
      <w:r w:rsidR="004C4BD3" w:rsidRPr="001C2C36">
        <w:rPr>
          <w:rFonts w:cs="Times New Roman"/>
        </w:rPr>
        <w:t>propose</w:t>
      </w:r>
      <w:r w:rsidR="00BE6194" w:rsidRPr="001C2C36">
        <w:rPr>
          <w:rFonts w:cs="Times New Roman"/>
        </w:rPr>
        <w:t xml:space="preserve"> </w:t>
      </w:r>
      <w:r w:rsidR="00125B59" w:rsidRPr="001C2C36">
        <w:rPr>
          <w:rFonts w:cs="Times New Roman"/>
        </w:rPr>
        <w:t xml:space="preserve">an </w:t>
      </w:r>
      <w:r w:rsidR="00BE6194" w:rsidRPr="001C2C36">
        <w:rPr>
          <w:rFonts w:cs="Times New Roman"/>
        </w:rPr>
        <w:t xml:space="preserve">adverse moderating effect </w:t>
      </w:r>
      <w:r w:rsidR="00125B59" w:rsidRPr="001C2C36">
        <w:rPr>
          <w:rFonts w:cs="Times New Roman"/>
        </w:rPr>
        <w:t>in</w:t>
      </w:r>
      <w:r w:rsidR="00BE6194" w:rsidRPr="001C2C36">
        <w:rPr>
          <w:rFonts w:cs="Times New Roman"/>
        </w:rPr>
        <w:t xml:space="preserve"> </w:t>
      </w:r>
      <w:r w:rsidR="00996DCC" w:rsidRPr="001C2C36">
        <w:rPr>
          <w:rFonts w:cs="Times New Roman"/>
        </w:rPr>
        <w:t>our third hypothesis:</w:t>
      </w:r>
      <w:r w:rsidR="00996DCC" w:rsidRPr="001C2C36" w:rsidDel="00996DCC">
        <w:rPr>
          <w:rFonts w:cs="Times New Roman"/>
        </w:rPr>
        <w:t xml:space="preserve"> </w:t>
      </w:r>
    </w:p>
    <w:p w14:paraId="03736DB4" w14:textId="77777777" w:rsidR="00A92D5F" w:rsidRPr="001C2C36" w:rsidRDefault="00A92D5F" w:rsidP="008A7CE7">
      <w:pPr>
        <w:autoSpaceDE w:val="0"/>
        <w:autoSpaceDN w:val="0"/>
        <w:adjustRightInd w:val="0"/>
        <w:spacing w:before="240"/>
        <w:rPr>
          <w:rFonts w:cs="Times New Roman"/>
          <w:i/>
          <w:iCs/>
          <w:szCs w:val="24"/>
        </w:rPr>
      </w:pPr>
      <w:r w:rsidRPr="001C2C36">
        <w:rPr>
          <w:rFonts w:cs="Times New Roman"/>
          <w:i/>
          <w:iCs/>
          <w:szCs w:val="24"/>
        </w:rPr>
        <w:t>Hypothesis 3. Government support negatively moderates the link between dynamic capabilities and SME employment after the first lockdown of the Covid-19 pandemic.</w:t>
      </w:r>
    </w:p>
    <w:p w14:paraId="7E444198" w14:textId="77777777" w:rsidR="00A92D5F" w:rsidRPr="001C2C36" w:rsidRDefault="00A92D5F" w:rsidP="00DD51A0">
      <w:pPr>
        <w:pStyle w:val="Heading1"/>
        <w:rPr>
          <w:rFonts w:cs="Times New Roman"/>
          <w:szCs w:val="24"/>
        </w:rPr>
      </w:pPr>
      <w:r w:rsidRPr="001C2C36">
        <w:rPr>
          <w:rFonts w:cs="Times New Roman"/>
          <w:szCs w:val="24"/>
        </w:rPr>
        <w:t>Data</w:t>
      </w:r>
    </w:p>
    <w:p w14:paraId="1B954EB2" w14:textId="77777777" w:rsidR="003A1CD9" w:rsidRPr="001C2C36" w:rsidRDefault="00A92D5F">
      <w:pPr>
        <w:rPr>
          <w:rFonts w:cs="Times New Roman"/>
          <w:szCs w:val="24"/>
        </w:rPr>
      </w:pPr>
      <w:r w:rsidRPr="001C2C36">
        <w:rPr>
          <w:rFonts w:cs="Times New Roman"/>
          <w:szCs w:val="24"/>
        </w:rPr>
        <w:t xml:space="preserve">To test our hypotheses, we use data from the Longitudinal Small Business Survey (LSBS), commissioned by the Department for Business, </w:t>
      </w:r>
      <w:proofErr w:type="gramStart"/>
      <w:r w:rsidRPr="001C2C36">
        <w:rPr>
          <w:rFonts w:cs="Times New Roman"/>
          <w:szCs w:val="24"/>
        </w:rPr>
        <w:t>Energy</w:t>
      </w:r>
      <w:proofErr w:type="gramEnd"/>
      <w:r w:rsidRPr="001C2C36">
        <w:rPr>
          <w:rFonts w:cs="Times New Roman"/>
          <w:szCs w:val="24"/>
        </w:rPr>
        <w:t xml:space="preserve"> and Industrial Strategy. LSBS is a large-scale survey of small business owners and managers from across each of the four UK regions (England, Scotland, Wales, and Northern Ireland). SMEs are defined as businesses with less than </w:t>
      </w:r>
      <w:r w:rsidRPr="001C2C36">
        <w:rPr>
          <w:rFonts w:cs="Times New Roman"/>
          <w:szCs w:val="24"/>
        </w:rPr>
        <w:lastRenderedPageBreak/>
        <w:t>250 employees. The data was collected via a telephone survey, with the sample devised by stratifying based on region, sector (1 digit SIC classification) and size of businesses. The Inter Departmental Business Register was used as the sample source for registered businesses and Experian for those unregistered with no employees. The data is cross-sectional because we limit the data collection to one period between September and October 2020.</w:t>
      </w:r>
      <w:r w:rsidRPr="001C2C36">
        <w:rPr>
          <w:rStyle w:val="EndnoteReference"/>
          <w:rFonts w:cs="Times New Roman"/>
        </w:rPr>
        <w:endnoteReference w:id="4"/>
      </w:r>
      <w:r w:rsidRPr="001C2C36">
        <w:rPr>
          <w:rFonts w:cs="Times New Roman"/>
          <w:szCs w:val="24"/>
        </w:rPr>
        <w:t xml:space="preserve"> </w:t>
      </w:r>
      <w:r w:rsidR="00BB0C17" w:rsidRPr="001C2C36">
        <w:rPr>
          <w:rFonts w:cs="Times New Roman"/>
          <w:szCs w:val="24"/>
        </w:rPr>
        <w:t xml:space="preserve">The final sample size is 1421 for the models focusing on employment changes between the survey date and 12 months prior, and 1294 responses for the models focusing on growth aspirations between the survey date and the following 12 months. </w:t>
      </w:r>
    </w:p>
    <w:p w14:paraId="49F8BA7C" w14:textId="77777777" w:rsidR="00712E91" w:rsidRPr="001C2C36" w:rsidRDefault="00CF5885" w:rsidP="00DD51A0">
      <w:pPr>
        <w:pStyle w:val="Heading1"/>
        <w:rPr>
          <w:rFonts w:cs="Times New Roman"/>
          <w:szCs w:val="24"/>
        </w:rPr>
      </w:pPr>
      <w:r w:rsidRPr="001C2C36">
        <w:rPr>
          <w:rFonts w:cs="Times New Roman"/>
          <w:szCs w:val="24"/>
        </w:rPr>
        <w:t>Measures</w:t>
      </w:r>
      <w:r w:rsidR="0073427D" w:rsidRPr="001C2C36">
        <w:rPr>
          <w:rFonts w:cs="Times New Roman"/>
          <w:szCs w:val="24"/>
        </w:rPr>
        <w:t xml:space="preserve"> and method</w:t>
      </w:r>
      <w:r w:rsidR="00A15313" w:rsidRPr="001C2C36">
        <w:rPr>
          <w:rFonts w:cs="Times New Roman"/>
          <w:szCs w:val="24"/>
        </w:rPr>
        <w:t>s</w:t>
      </w:r>
    </w:p>
    <w:p w14:paraId="5ADBB35F" w14:textId="444862F5" w:rsidR="002D42B3" w:rsidRPr="001C2C36" w:rsidRDefault="002D42B3" w:rsidP="004759A4">
      <w:pPr>
        <w:pStyle w:val="Heading2"/>
        <w:rPr>
          <w:rFonts w:ascii="Times New Roman" w:hAnsi="Times New Roman" w:cs="Times New Roman"/>
          <w:szCs w:val="24"/>
        </w:rPr>
      </w:pPr>
      <w:r w:rsidRPr="001C2C36">
        <w:rPr>
          <w:rFonts w:ascii="Times New Roman" w:eastAsiaTheme="minorHAnsi" w:hAnsi="Times New Roman" w:cs="Times New Roman"/>
          <w:szCs w:val="24"/>
        </w:rPr>
        <w:t>Dependent Variables</w:t>
      </w:r>
    </w:p>
    <w:p w14:paraId="7324306B" w14:textId="1A331872" w:rsidR="003E5F09" w:rsidRPr="001C2C36" w:rsidRDefault="00862C7F">
      <w:pPr>
        <w:rPr>
          <w:rFonts w:cs="Times New Roman"/>
        </w:rPr>
      </w:pPr>
      <w:r w:rsidRPr="001C2C36">
        <w:rPr>
          <w:rFonts w:cs="Times New Roman"/>
        </w:rPr>
        <w:t>T</w:t>
      </w:r>
      <w:r w:rsidR="00FA66A0" w:rsidRPr="001C2C36">
        <w:rPr>
          <w:rFonts w:cs="Times New Roman"/>
        </w:rPr>
        <w:t>wo ordinal</w:t>
      </w:r>
      <w:r w:rsidRPr="001C2C36">
        <w:rPr>
          <w:rFonts w:cs="Times New Roman"/>
        </w:rPr>
        <w:t xml:space="preserve"> </w:t>
      </w:r>
      <w:r w:rsidR="00F06D36" w:rsidRPr="001C2C36">
        <w:rPr>
          <w:rFonts w:cs="Times New Roman"/>
        </w:rPr>
        <w:t>dependent variable</w:t>
      </w:r>
      <w:r w:rsidR="00CF2815" w:rsidRPr="001C2C36">
        <w:rPr>
          <w:rFonts w:cs="Times New Roman"/>
        </w:rPr>
        <w:t>s</w:t>
      </w:r>
      <w:r w:rsidR="00F06D36" w:rsidRPr="001C2C36">
        <w:rPr>
          <w:rFonts w:cs="Times New Roman"/>
        </w:rPr>
        <w:t xml:space="preserve"> </w:t>
      </w:r>
      <w:r w:rsidR="00CF2815" w:rsidRPr="001C2C36">
        <w:rPr>
          <w:rFonts w:cs="Times New Roman"/>
        </w:rPr>
        <w:t>are</w:t>
      </w:r>
      <w:r w:rsidR="00FA66A0" w:rsidRPr="001C2C36">
        <w:rPr>
          <w:rFonts w:cs="Times New Roman"/>
        </w:rPr>
        <w:t xml:space="preserve"> constructed for the analysis, </w:t>
      </w:r>
      <w:r w:rsidR="009F7D35" w:rsidRPr="001C2C36">
        <w:rPr>
          <w:rFonts w:cs="Times New Roman"/>
        </w:rPr>
        <w:t>focusing on two different time periods. T</w:t>
      </w:r>
      <w:r w:rsidR="00C519D7" w:rsidRPr="001C2C36">
        <w:rPr>
          <w:rFonts w:cs="Times New Roman"/>
        </w:rPr>
        <w:t>he first</w:t>
      </w:r>
      <w:r w:rsidR="009F7D35" w:rsidRPr="001C2C36">
        <w:rPr>
          <w:rFonts w:cs="Times New Roman"/>
        </w:rPr>
        <w:t xml:space="preserve"> dependent</w:t>
      </w:r>
      <w:r w:rsidR="00FA66A0" w:rsidRPr="001C2C36">
        <w:rPr>
          <w:rFonts w:cs="Times New Roman"/>
        </w:rPr>
        <w:t xml:space="preserve"> variable focus</w:t>
      </w:r>
      <w:r w:rsidR="009F7D35" w:rsidRPr="001C2C36">
        <w:rPr>
          <w:rFonts w:cs="Times New Roman"/>
        </w:rPr>
        <w:t>es</w:t>
      </w:r>
      <w:r w:rsidR="00FA66A0" w:rsidRPr="001C2C36">
        <w:rPr>
          <w:rFonts w:cs="Times New Roman"/>
        </w:rPr>
        <w:t xml:space="preserve"> on</w:t>
      </w:r>
      <w:r w:rsidR="00F06D36" w:rsidRPr="001C2C36">
        <w:rPr>
          <w:rFonts w:cs="Times New Roman"/>
        </w:rPr>
        <w:t xml:space="preserve"> </w:t>
      </w:r>
      <w:r w:rsidR="004759A4" w:rsidRPr="001C2C36">
        <w:rPr>
          <w:rFonts w:cs="Times New Roman"/>
        </w:rPr>
        <w:t>employment change</w:t>
      </w:r>
      <w:r w:rsidR="009F7D35" w:rsidRPr="001C2C36">
        <w:rPr>
          <w:rFonts w:cs="Times New Roman"/>
        </w:rPr>
        <w:t>s</w:t>
      </w:r>
      <w:r w:rsidR="004759A4" w:rsidRPr="001C2C36">
        <w:rPr>
          <w:rFonts w:cs="Times New Roman"/>
        </w:rPr>
        <w:t xml:space="preserve"> between </w:t>
      </w:r>
      <w:r w:rsidR="00300DE8" w:rsidRPr="001C2C36">
        <w:rPr>
          <w:rFonts w:cs="Times New Roman"/>
        </w:rPr>
        <w:t>the survey date and 12 months prior</w:t>
      </w:r>
      <w:r w:rsidR="00AE7015" w:rsidRPr="001C2C36">
        <w:rPr>
          <w:rFonts w:cs="Times New Roman"/>
        </w:rPr>
        <w:t xml:space="preserve">, thus covering the </w:t>
      </w:r>
      <w:proofErr w:type="gramStart"/>
      <w:r w:rsidR="00AE7015" w:rsidRPr="001C2C36">
        <w:rPr>
          <w:rFonts w:cs="Times New Roman"/>
        </w:rPr>
        <w:t>time period</w:t>
      </w:r>
      <w:proofErr w:type="gramEnd"/>
      <w:r w:rsidR="00AE7015" w:rsidRPr="001C2C36">
        <w:rPr>
          <w:rFonts w:cs="Times New Roman"/>
        </w:rPr>
        <w:t xml:space="preserve"> between September/October 2019 and September/October 2020</w:t>
      </w:r>
      <w:r w:rsidR="009F7D35" w:rsidRPr="001C2C36">
        <w:rPr>
          <w:rFonts w:cs="Times New Roman"/>
        </w:rPr>
        <w:t>.</w:t>
      </w:r>
      <w:r w:rsidR="00300DE8" w:rsidRPr="001C2C36">
        <w:rPr>
          <w:rFonts w:cs="Times New Roman"/>
        </w:rPr>
        <w:t xml:space="preserve"> </w:t>
      </w:r>
      <w:r w:rsidR="009F7D35" w:rsidRPr="001C2C36">
        <w:rPr>
          <w:rFonts w:cs="Times New Roman"/>
        </w:rPr>
        <w:t>This measure</w:t>
      </w:r>
      <w:r w:rsidR="003E5F09" w:rsidRPr="001C2C36">
        <w:rPr>
          <w:rFonts w:cs="Times New Roman"/>
        </w:rPr>
        <w:t xml:space="preserve"> is based on responses to the survey question: ‘</w:t>
      </w:r>
      <w:r w:rsidR="003E5F09" w:rsidRPr="001C2C36">
        <w:rPr>
          <w:rFonts w:cs="Times New Roman"/>
          <w:i/>
        </w:rPr>
        <w:t xml:space="preserve">How many employees did the business have on the payroll 12 months ago across all UK sites (still excluding owners and partners)?’ </w:t>
      </w:r>
      <w:r w:rsidR="003E5F09" w:rsidRPr="001C2C36">
        <w:rPr>
          <w:rFonts w:cs="Times New Roman"/>
        </w:rPr>
        <w:t xml:space="preserve">with possible choices of </w:t>
      </w:r>
      <w:r w:rsidR="003E5F09" w:rsidRPr="001C2C36">
        <w:rPr>
          <w:rFonts w:cs="Times New Roman"/>
          <w:i/>
        </w:rPr>
        <w:t>more than currently, the same, fewer</w:t>
      </w:r>
      <w:r w:rsidR="003E5F09" w:rsidRPr="001C2C36">
        <w:rPr>
          <w:rFonts w:cs="Times New Roman"/>
        </w:rPr>
        <w:t xml:space="preserve"> and </w:t>
      </w:r>
      <w:r w:rsidR="003E5F09" w:rsidRPr="001C2C36">
        <w:rPr>
          <w:rFonts w:cs="Times New Roman"/>
          <w:i/>
        </w:rPr>
        <w:t>don’t know</w:t>
      </w:r>
      <w:r w:rsidR="003E5F09" w:rsidRPr="001C2C36">
        <w:rPr>
          <w:rFonts w:cs="Times New Roman"/>
        </w:rPr>
        <w:t xml:space="preserve">. Those that responded </w:t>
      </w:r>
      <w:r w:rsidR="003E5F09" w:rsidRPr="001C2C36">
        <w:rPr>
          <w:rFonts w:cs="Times New Roman"/>
          <w:i/>
        </w:rPr>
        <w:t>don’t know</w:t>
      </w:r>
      <w:r w:rsidR="003E5F09" w:rsidRPr="001C2C36">
        <w:rPr>
          <w:rFonts w:cs="Times New Roman"/>
        </w:rPr>
        <w:t xml:space="preserve"> were excluded from the analysis</w:t>
      </w:r>
      <w:r w:rsidR="009B673C" w:rsidRPr="001C2C36">
        <w:rPr>
          <w:rFonts w:cs="Times New Roman"/>
        </w:rPr>
        <w:t>,</w:t>
      </w:r>
      <w:r w:rsidR="00EA5DE4" w:rsidRPr="001C2C36">
        <w:rPr>
          <w:rFonts w:cs="Times New Roman"/>
        </w:rPr>
        <w:t xml:space="preserve"> and others were recoded </w:t>
      </w:r>
      <w:r w:rsidR="00CB7E0A">
        <w:rPr>
          <w:rFonts w:cs="Times New Roman"/>
        </w:rPr>
        <w:t>in</w:t>
      </w:r>
      <w:r w:rsidR="00EA5DE4" w:rsidRPr="001C2C36">
        <w:rPr>
          <w:rFonts w:cs="Times New Roman"/>
        </w:rPr>
        <w:t xml:space="preserve">to the three corresponding </w:t>
      </w:r>
      <w:r w:rsidR="003E5F09" w:rsidRPr="001C2C36">
        <w:rPr>
          <w:rFonts w:cs="Times New Roman"/>
        </w:rPr>
        <w:t xml:space="preserve">categories: </w:t>
      </w:r>
      <w:r w:rsidR="003E5F09" w:rsidRPr="001C2C36">
        <w:rPr>
          <w:rFonts w:cs="Times New Roman"/>
          <w:i/>
        </w:rPr>
        <w:t xml:space="preserve">decrease in employment, the same </w:t>
      </w:r>
      <w:r w:rsidR="003E5F09" w:rsidRPr="001C2C36">
        <w:rPr>
          <w:rFonts w:cs="Times New Roman"/>
        </w:rPr>
        <w:t>and</w:t>
      </w:r>
      <w:r w:rsidR="003E5F09" w:rsidRPr="001C2C36">
        <w:rPr>
          <w:rFonts w:cs="Times New Roman"/>
          <w:i/>
        </w:rPr>
        <w:t xml:space="preserve"> increase in employment</w:t>
      </w:r>
      <w:r w:rsidR="003E5F09" w:rsidRPr="001C2C36">
        <w:rPr>
          <w:rFonts w:cs="Times New Roman"/>
        </w:rPr>
        <w:t xml:space="preserve">. </w:t>
      </w:r>
    </w:p>
    <w:p w14:paraId="47F815C7" w14:textId="392C27AF" w:rsidR="00BF118C" w:rsidRPr="001C2C36" w:rsidRDefault="003E5F09">
      <w:pPr>
        <w:rPr>
          <w:rFonts w:cs="Times New Roman"/>
        </w:rPr>
      </w:pPr>
      <w:r w:rsidRPr="001C2C36">
        <w:rPr>
          <w:rFonts w:cs="Times New Roman"/>
        </w:rPr>
        <w:t xml:space="preserve">The second dependent variable focuses on the expected change in employment levels between </w:t>
      </w:r>
      <w:r w:rsidR="005410A4" w:rsidRPr="001C2C36">
        <w:rPr>
          <w:rFonts w:cs="Times New Roman"/>
        </w:rPr>
        <w:t xml:space="preserve">the date of the survey and </w:t>
      </w:r>
      <w:r w:rsidR="009F7D35" w:rsidRPr="001C2C36">
        <w:rPr>
          <w:rFonts w:cs="Times New Roman"/>
        </w:rPr>
        <w:t>12 months</w:t>
      </w:r>
      <w:r w:rsidR="005410A4" w:rsidRPr="001C2C36">
        <w:rPr>
          <w:rFonts w:cs="Times New Roman"/>
        </w:rPr>
        <w:t xml:space="preserve"> after the survey date</w:t>
      </w:r>
      <w:r w:rsidR="004D6BA4" w:rsidRPr="001C2C36">
        <w:rPr>
          <w:rFonts w:cs="Times New Roman"/>
        </w:rPr>
        <w:t xml:space="preserve">, thus covering the </w:t>
      </w:r>
      <w:proofErr w:type="gramStart"/>
      <w:r w:rsidR="004D6BA4" w:rsidRPr="001C2C36">
        <w:rPr>
          <w:rFonts w:cs="Times New Roman"/>
        </w:rPr>
        <w:t>time period</w:t>
      </w:r>
      <w:proofErr w:type="gramEnd"/>
      <w:r w:rsidR="004D6BA4" w:rsidRPr="001C2C36">
        <w:rPr>
          <w:rFonts w:cs="Times New Roman"/>
        </w:rPr>
        <w:t xml:space="preserve"> from September/October 2020 until September/October 2021</w:t>
      </w:r>
      <w:r w:rsidRPr="001C2C36">
        <w:rPr>
          <w:rFonts w:cs="Times New Roman"/>
        </w:rPr>
        <w:t>. This variable is constructed based on responses to the survey question</w:t>
      </w:r>
      <w:r w:rsidR="003C1B8C" w:rsidRPr="001C2C36">
        <w:rPr>
          <w:rFonts w:cs="Times New Roman"/>
        </w:rPr>
        <w:t>s</w:t>
      </w:r>
      <w:r w:rsidR="00CD3848" w:rsidRPr="001C2C36">
        <w:rPr>
          <w:rFonts w:cs="Times New Roman"/>
        </w:rPr>
        <w:t>:</w:t>
      </w:r>
      <w:r w:rsidR="003C1B8C" w:rsidRPr="001C2C36">
        <w:rPr>
          <w:rFonts w:cs="Times New Roman"/>
        </w:rPr>
        <w:t xml:space="preserve"> </w:t>
      </w:r>
      <w:r w:rsidR="00CD3848" w:rsidRPr="001C2C36">
        <w:rPr>
          <w:rFonts w:cs="Times New Roman"/>
          <w:i/>
        </w:rPr>
        <w:t xml:space="preserve">(1) Approximately how many employees are currently on your payroll in the UK, excluding owners and partners, across all sites? (2) </w:t>
      </w:r>
      <w:r w:rsidR="00DC47E4" w:rsidRPr="001C2C36">
        <w:rPr>
          <w:rFonts w:cs="Times New Roman"/>
          <w:i/>
        </w:rPr>
        <w:t xml:space="preserve">How many employees do you expect the business to have on the payroll in the UK in twelve </w:t>
      </w:r>
      <w:r w:rsidR="59443EEB" w:rsidRPr="001C2C36">
        <w:rPr>
          <w:rFonts w:cs="Times New Roman"/>
          <w:i/>
          <w:iCs/>
        </w:rPr>
        <w:t>months'</w:t>
      </w:r>
      <w:r w:rsidR="00DC47E4" w:rsidRPr="001C2C36">
        <w:rPr>
          <w:rFonts w:cs="Times New Roman"/>
          <w:i/>
        </w:rPr>
        <w:t xml:space="preserve"> time (excluding owners and partners)? </w:t>
      </w:r>
      <w:r w:rsidRPr="001C2C36">
        <w:rPr>
          <w:rFonts w:cs="Times New Roman"/>
        </w:rPr>
        <w:t>The variable for inclusion in the regression analysis is constructed by dividing the expected employment</w:t>
      </w:r>
      <w:r w:rsidR="009C3D4B" w:rsidRPr="001C2C36">
        <w:rPr>
          <w:rFonts w:cs="Times New Roman"/>
        </w:rPr>
        <w:t xml:space="preserve"> in </w:t>
      </w:r>
      <w:r w:rsidRPr="001C2C36">
        <w:rPr>
          <w:rFonts w:cs="Times New Roman"/>
        </w:rPr>
        <w:t>12 months by the current level of employment. This is then collapsed into three categories</w:t>
      </w:r>
      <w:r w:rsidR="002F306D" w:rsidRPr="001C2C36">
        <w:rPr>
          <w:rFonts w:cs="Times New Roman"/>
        </w:rPr>
        <w:t xml:space="preserve">, </w:t>
      </w:r>
      <w:r w:rsidR="6D981184" w:rsidRPr="001C2C36">
        <w:rPr>
          <w:rFonts w:cs="Times New Roman"/>
        </w:rPr>
        <w:t>providing</w:t>
      </w:r>
      <w:r w:rsidR="002F306D" w:rsidRPr="001C2C36">
        <w:rPr>
          <w:rFonts w:cs="Times New Roman"/>
        </w:rPr>
        <w:t xml:space="preserve"> an ordinal variable </w:t>
      </w:r>
      <w:r w:rsidR="2B45BAE8" w:rsidRPr="001C2C36">
        <w:rPr>
          <w:rFonts w:cs="Times New Roman"/>
        </w:rPr>
        <w:t>which can take</w:t>
      </w:r>
      <w:r w:rsidR="002F306D" w:rsidRPr="001C2C36">
        <w:rPr>
          <w:rFonts w:cs="Times New Roman"/>
        </w:rPr>
        <w:t xml:space="preserve"> the </w:t>
      </w:r>
      <w:r w:rsidR="2B45BAE8" w:rsidRPr="001C2C36">
        <w:rPr>
          <w:rFonts w:cs="Times New Roman"/>
        </w:rPr>
        <w:t>following values</w:t>
      </w:r>
      <w:r w:rsidR="002F306D" w:rsidRPr="001C2C36">
        <w:rPr>
          <w:rFonts w:cs="Times New Roman"/>
        </w:rPr>
        <w:t xml:space="preserve">: </w:t>
      </w:r>
      <w:r w:rsidR="002F306D" w:rsidRPr="001C2C36">
        <w:rPr>
          <w:rFonts w:cs="Times New Roman"/>
          <w:i/>
          <w:iCs/>
        </w:rPr>
        <w:t xml:space="preserve">decrease in employment, the </w:t>
      </w:r>
      <w:r w:rsidR="002F306D" w:rsidRPr="001C2C36">
        <w:rPr>
          <w:rFonts w:cs="Times New Roman"/>
          <w:i/>
        </w:rPr>
        <w:t xml:space="preserve">same </w:t>
      </w:r>
      <w:r w:rsidR="002F306D" w:rsidRPr="001C2C36">
        <w:rPr>
          <w:rFonts w:cs="Times New Roman"/>
        </w:rPr>
        <w:t>and</w:t>
      </w:r>
      <w:r w:rsidR="002F306D" w:rsidRPr="001C2C36">
        <w:rPr>
          <w:rFonts w:cs="Times New Roman"/>
          <w:i/>
        </w:rPr>
        <w:t xml:space="preserve"> increase in employment</w:t>
      </w:r>
      <w:r w:rsidRPr="001C2C36">
        <w:rPr>
          <w:rFonts w:cs="Times New Roman"/>
        </w:rPr>
        <w:t xml:space="preserve">. </w:t>
      </w:r>
      <w:r w:rsidR="00A86D2D" w:rsidRPr="001C2C36">
        <w:rPr>
          <w:rFonts w:cs="Times New Roman"/>
        </w:rPr>
        <w:t>A d</w:t>
      </w:r>
      <w:r w:rsidRPr="001C2C36">
        <w:rPr>
          <w:rFonts w:cs="Times New Roman"/>
        </w:rPr>
        <w:t xml:space="preserve">ecrease in employment is defined as firms whose employment change is less than 1, and an increase is defined as </w:t>
      </w:r>
      <w:r w:rsidR="00A86D2D" w:rsidRPr="001C2C36">
        <w:rPr>
          <w:rFonts w:cs="Times New Roman"/>
        </w:rPr>
        <w:t xml:space="preserve">an </w:t>
      </w:r>
      <w:r w:rsidRPr="001C2C36">
        <w:rPr>
          <w:rFonts w:cs="Times New Roman"/>
        </w:rPr>
        <w:t xml:space="preserve">employment change of greater than one. Firms with a score of 0 do not change employment levels. </w:t>
      </w:r>
      <w:r w:rsidR="00BC06C1" w:rsidRPr="001C2C36">
        <w:rPr>
          <w:rFonts w:cs="Times New Roman"/>
        </w:rPr>
        <w:t xml:space="preserve">Measures of </w:t>
      </w:r>
      <w:r w:rsidR="009F7D35" w:rsidRPr="001C2C36">
        <w:rPr>
          <w:rFonts w:cs="Times New Roman"/>
        </w:rPr>
        <w:t xml:space="preserve">growth </w:t>
      </w:r>
      <w:r w:rsidR="009F7D35" w:rsidRPr="001C2C36">
        <w:rPr>
          <w:rFonts w:cs="Times New Roman"/>
        </w:rPr>
        <w:lastRenderedPageBreak/>
        <w:t>aspirations</w:t>
      </w:r>
      <w:r w:rsidR="00BC06C1" w:rsidRPr="001C2C36">
        <w:rPr>
          <w:rFonts w:cs="Times New Roman"/>
        </w:rPr>
        <w:t xml:space="preserve"> are commonly applied in the wider entrepreneurship literature </w:t>
      </w:r>
      <w:r w:rsidR="00BC06C1" w:rsidRPr="001C2C36">
        <w:rPr>
          <w:rFonts w:cs="Times New Roman"/>
        </w:rPr>
        <w:fldChar w:fldCharType="begin" w:fldLock="1"/>
      </w:r>
      <w:r w:rsidR="00C86553" w:rsidRPr="001C2C36">
        <w:rPr>
          <w:rFonts w:cs="Times New Roman"/>
        </w:rPr>
        <w:instrText>ADDIN CSL_CITATION {"citationItems":[{"id":"ITEM-1","itemData":{"DOI":"10.1111/j.1540-6520.2012.00508.x","ISSN":"10422587","abstract":"This article investigates differences in growth intentions of men and women entrepreneurs. Using data from the U.S. Panel Study of Entrepreneurial Dynamics I and II, we test hypotheses informed by life course theory regarding the influence of career stage and family status on high growth intentions of men and women entrepreneurs. Results show that young men are especially likely to express high growth intentions, while mothers expressed high growth intentions more frequently than did other women. © 2012 Baylor University.","author":[{"dropping-particle":"","family":"Davis","given":"Amy E.","non-dropping-particle":"","parse-names":false,"suffix":""},{"dropping-particle":"","family":"Shaver","given":"Kelly G.","non-dropping-particle":"","parse-names":false,"suffix":""}],"container-title":"Entrepreneurship: Theory and Practice","id":"ITEM-1","issue":"3","issued":{"date-parts":[["2012"]]},"page":"495-512","title":"Understanding Gendered Variations in Business Growth Intentions Across the Life Course","type":"article-journal","volume":"36"},"uris":["http://www.mendeley.com/documents/?uuid=3357da9b-83fb-45a0-a56a-9b11f298ca92","http://www.mendeley.com/documents/?uuid=7617308e-6c61-419d-be56-72564460ae1e"]},{"id":"ITEM-2","itemData":{"DOI":"10.1007/s11187-020-00405-0","ISSN":"15730913","abstract":"Entrepreneurs start and grow their ventures in a widely varying set of institutional contexts. One differentiator is a country’s regulatory efficiency which encompasses the freedom to start and to run a business without excessive government interventions around registering, hiring, and firing employees, and price controls on currency. The efficiency of regulations varies substantially among countries and imposes additional costs and risks on entrepreneurs’ activities. We integrate insights from institutional theory and recent literature on gender and entrepreneurship to better understand how a country’s regulatory efficiency affects male and female entrepreneurs’ employment growth ambitions. We explore three aspects of regulatory efficiency: business freedom (e.g., to start, operate, and close a venture), labor freedom (e.g., laws around minimum wage, layoffs, severance), and monetary freedom (e.g., price stability) using data from over 47,000 entrepreneurs in 68 countries. We find that entrepreneurs’ growth ambitions are higher in countries with more efficient regulations, particularly those countries characterized by fewer labor law restrictions and greater monetary freedoms. These findings are further exacerbated by gender by such that, relative to their female counterparts, male entrepreneurs have significantly greater venture growth ambitions. Our paper contributes to the discussion on how formal institutions influence women and men entrepreneurs in distinct ways.","author":[{"dropping-particle":"","family":"Darnihamedani","given":"Pourya","non-dropping-particle":"","parse-names":false,"suffix":""},{"dropping-particle":"","family":"Terjesen","given":"Siri","non-dropping-particle":"","parse-names":false,"suffix":""}],"container-title":"Small Business Economics","id":"ITEM-2","issue":"1","issued":{"date-parts":[["2022"]]},"page":"185-204","title":"Male and female entrepreneurs’ employment growth ambitions: the contingent role of regulatory efficiency","type":"article-journal","volume":"58"},"uris":["http://www.mendeley.com/documents/?uuid=c0510708-5484-4b32-b4fb-dcece376aac1","http://www.mendeley.com/documents/?uuid=d0c7f209-8f08-421b-a55e-7d546f73a44a"]},{"id":"ITEM-3","itemData":{"DOI":"10.1177/0266242613516987","ISSN":"17412870","abstract":"This article explores the growth aspirations of owners and managers of young firms in a post-conflict economy by focusing on social capital. It treats social capital as a multidimensional, multilevel phenomenon, studying the effects of discussion network characteristics, trust in institutions, generalised trust in people and local ethnic pluralism. We argue that in a post-conflict country, ethnic pluralism is indicative of local norms of tolerance towards experimentation and risk taking which support growth aspirations. It also distinguishes between the aspirations of hired managers and owners-managers. The empirical counterpart and hypotheses testing rely on survey evidence drawn from young businesses in Bosnia and Herzegovina.","author":[{"dropping-particle":"","family":"Efendic","given":"Adnan","non-dropping-particle":"","parse-names":false,"suffix":""},{"dropping-particle":"","family":"Mickiewicz","given":"Tomasz","non-dropping-particle":"","parse-names":false,"suffix":""},{"dropping-particle":"","family":"Rebmann","given":"Anna","non-dropping-particle":"","parse-names":false,"suffix":""}],"container-title":"International Small Business Journal: Researching Entrepreneurship","id":"ITEM-3","issue":"5","issued":{"date-parts":[["2015"]]},"page":"537-561","title":"Growth aspirations and social capital: Young firms in a post-conflict environment","type":"article-journal","volume":"33"},"uris":["http://www.mendeley.com/documents/?uuid=2148aec0-e97b-4994-9316-3cf6eadbe503","http://www.mendeley.com/documents/?uuid=5b6baa6b-d672-482f-8c92-62a14a538b1b"]}],"mendeley":{"formattedCitation":"(Darnihamedani and Terjesen, 2022; Davis and Shaver, 2012; Efendic et al., 2015)","plainTextFormattedCitation":"(Darnihamedani and Terjesen, 2022; Davis and Shaver, 2012; Efendic et al., 2015)","previouslyFormattedCitation":"(Darnihamedani and Terjesen, 2022; Davis and Shaver, 2012; Efendic et al., 2015)"},"properties":{"noteIndex":0},"schema":"https://github.com/citation-style-language/schema/raw/master/csl-citation.json"}</w:instrText>
      </w:r>
      <w:r w:rsidR="00BC06C1" w:rsidRPr="001C2C36">
        <w:rPr>
          <w:rFonts w:cs="Times New Roman"/>
        </w:rPr>
        <w:fldChar w:fldCharType="separate"/>
      </w:r>
      <w:r w:rsidR="00E466E4" w:rsidRPr="001C2C36">
        <w:rPr>
          <w:rFonts w:cs="Times New Roman"/>
          <w:noProof/>
        </w:rPr>
        <w:t>(Darnihamedani and Terjesen, 2022; Davis and Shaver, 2012; Efendic et al., 2015)</w:t>
      </w:r>
      <w:r w:rsidR="00BC06C1" w:rsidRPr="001C2C36">
        <w:rPr>
          <w:rFonts w:cs="Times New Roman"/>
        </w:rPr>
        <w:fldChar w:fldCharType="end"/>
      </w:r>
      <w:r w:rsidR="00BC06C1" w:rsidRPr="001C2C36">
        <w:rPr>
          <w:rFonts w:cs="Times New Roman"/>
        </w:rPr>
        <w:t>.</w:t>
      </w:r>
    </w:p>
    <w:p w14:paraId="11BAB749" w14:textId="65E2980E" w:rsidR="004F3537" w:rsidRPr="001C2C36" w:rsidRDefault="004F3537" w:rsidP="00733066">
      <w:pPr>
        <w:pStyle w:val="Heading2"/>
        <w:rPr>
          <w:rFonts w:ascii="Times New Roman" w:hAnsi="Times New Roman" w:cs="Times New Roman"/>
          <w:szCs w:val="24"/>
        </w:rPr>
      </w:pPr>
      <w:r w:rsidRPr="001C2C36">
        <w:rPr>
          <w:rFonts w:ascii="Times New Roman" w:hAnsi="Times New Roman" w:cs="Times New Roman"/>
          <w:szCs w:val="24"/>
        </w:rPr>
        <w:t>Independent Variables</w:t>
      </w:r>
    </w:p>
    <w:p w14:paraId="3748A5F3" w14:textId="77095F5A" w:rsidR="00515276" w:rsidRPr="001C2C36" w:rsidRDefault="00647AC3">
      <w:pPr>
        <w:rPr>
          <w:rFonts w:cs="Times New Roman"/>
          <w:szCs w:val="24"/>
        </w:rPr>
      </w:pPr>
      <w:r w:rsidRPr="001C2C36">
        <w:rPr>
          <w:rFonts w:cs="Times New Roman"/>
          <w:szCs w:val="24"/>
        </w:rPr>
        <w:t xml:space="preserve">The focal independent variables for the study include dynamic capabilities </w:t>
      </w:r>
      <w:r w:rsidR="00901E56" w:rsidRPr="001C2C36">
        <w:rPr>
          <w:rFonts w:cs="Times New Roman"/>
          <w:szCs w:val="24"/>
        </w:rPr>
        <w:t>and</w:t>
      </w:r>
      <w:r w:rsidRPr="001C2C36">
        <w:rPr>
          <w:rFonts w:cs="Times New Roman"/>
          <w:szCs w:val="24"/>
        </w:rPr>
        <w:t xml:space="preserve"> the government support mechanisms</w:t>
      </w:r>
      <w:r w:rsidR="00EC24AF" w:rsidRPr="001C2C36">
        <w:rPr>
          <w:rFonts w:cs="Times New Roman"/>
          <w:szCs w:val="24"/>
        </w:rPr>
        <w:t xml:space="preserve"> received</w:t>
      </w:r>
      <w:r w:rsidRPr="001C2C36">
        <w:rPr>
          <w:rFonts w:cs="Times New Roman"/>
          <w:szCs w:val="24"/>
        </w:rPr>
        <w:t xml:space="preserve"> by the firm.</w:t>
      </w:r>
      <w:r w:rsidR="00CC6D78" w:rsidRPr="001C2C36">
        <w:rPr>
          <w:rFonts w:cs="Times New Roman"/>
          <w:szCs w:val="24"/>
        </w:rPr>
        <w:t xml:space="preserve"> </w:t>
      </w:r>
      <w:r w:rsidR="00503FFE" w:rsidRPr="001C2C36">
        <w:rPr>
          <w:rFonts w:cs="Times New Roman"/>
          <w:szCs w:val="24"/>
        </w:rPr>
        <w:t>In our quantification of DC</w:t>
      </w:r>
      <w:r w:rsidR="00AB58A3" w:rsidRPr="001C2C36">
        <w:rPr>
          <w:rFonts w:cs="Times New Roman"/>
          <w:szCs w:val="24"/>
        </w:rPr>
        <w:t>s</w:t>
      </w:r>
      <w:r w:rsidR="00503FFE" w:rsidRPr="001C2C36">
        <w:rPr>
          <w:rFonts w:cs="Times New Roman"/>
          <w:szCs w:val="24"/>
        </w:rPr>
        <w:t>, w</w:t>
      </w:r>
      <w:r w:rsidR="00ED42E4" w:rsidRPr="001C2C36">
        <w:rPr>
          <w:rFonts w:cs="Times New Roman"/>
          <w:szCs w:val="24"/>
        </w:rPr>
        <w:t xml:space="preserve">e join numerous scholars </w:t>
      </w:r>
      <w:r w:rsidR="00E34CE6" w:rsidRPr="001C2C36">
        <w:rPr>
          <w:rFonts w:cs="Times New Roman"/>
          <w:szCs w:val="24"/>
        </w:rPr>
        <w:fldChar w:fldCharType="begin" w:fldLock="1"/>
      </w:r>
      <w:r w:rsidR="000E4D26" w:rsidRPr="001C2C36">
        <w:rPr>
          <w:rFonts w:cs="Times New Roman"/>
          <w:szCs w:val="24"/>
        </w:rPr>
        <w:instrText>ADDIN CSL_CITATION {"citationItems":[{"id":"ITEM-1","itemData":{"DOI":"10.1007/s11187-012-9461-9","ISSN":"0921898X","abstract":"The entrepreneurship and dynamic capabilities literature adds to our understanding of how strategic change can drive firm performance. We draw on a recent survey of US SMEs to determine whether entrepreneurial ventures have dynamic capabilities, and, if so, whether differences in the characteristics of those ventures lead to differences in how dynamic capabilities benefit firm performance. We find that most entrepreneurial ventures report having such capabilities and that their differences in age and size lead to differences in how dynamic capabilities affect firm performance. We consider how these results redefine the overlap of the dynamic capabilities view literature with the entrepreneurship literature, because the redeployment of resources to create and adapt to opportunities that defines what are dynamic capabilities lies at the core of what is entrepreneurial activity. © 2012 Springer Science+Business Media New York.","author":[{"dropping-particle":"","family":"Arend","given":"Richard J.","non-dropping-particle":"","parse-names":false,"suffix":""}],"container-title":"Small Business Economics","id":"ITEM-1","issue":"1","issued":{"date-parts":[["2014"]]},"page":"33-57","title":"Entrepreneurship and dynamic capabilities: How firm age and size affect the 'capability enhancement-SME performance' relationship","type":"article-journal","volume":"42"},"uris":["http://www.mendeley.com/documents/?uuid=b9a0b75b-b9a2-4702-a74d-30d8280d8c0c","http://www.mendeley.com/documents/?uuid=eb3d150f-f2d6-49d8-bb6d-b9ad8cc1bf58"]},{"id":"ITEM-2","itemData":{"DOI":"10.1093/icc/dty054","ISSN":"14643650","abstract":"To date, no standard scale exists for measuring dynamic capabilities. This limits the comparability of empirical findings and impairs data-based theory development. This article presents the development of a 14-item scale based on Teece's (2007, Strategic Management Journal, 28, 1319-1350) well-established dynamic capability framework, assessing sensing, seizing, and transforming capacities. It describes the rigorous empirical scale development procedure comprising the steps of (i) item generation, (ii) scale purification (n = 269), and (iii) scale confirmation (n = 307). The scale shows high reliability and validity and is a solid predictor of business and innovation performance.","author":[{"dropping-particle":"","family":"Kump","given":"Barbara","non-dropping-particle":"","parse-names":false,"suffix":""},{"dropping-particle":"","family":"Engelmann","given":"Alexander","non-dropping-particle":"","parse-names":false,"suffix":""},{"dropping-particle":"","family":"Kessler","given":"Alexander","non-dropping-particle":"","parse-names":false,"suffix":""},{"dropping-particle":"","family":"Schweiger","given":"Christina","non-dropping-particle":"","parse-names":false,"suffix":""}],"container-title":"Industrial and Corporate Change","id":"ITEM-2","issue":"5","issued":{"date-parts":[["2019"]]},"page":"1149-1172","title":"Toward a dynamic capabilities scale: Measuring organizational sensing, seizing, and transforming capacities","type":"article-journal","volume":"28"},"uris":["http://www.mendeley.com/documents/?uuid=e3c807c2-c974-4693-a032-c898eaeece21","http://www.mendeley.com/documents/?uuid=e11a9600-fe62-44f1-9162-162c352af7b4"]},{"id":"ITEM-3","itemData":{"DOI":"10.1287/isre.1100.0280","ISSN":"15265536","abstract":"Organizations are increasingly engaged in competitive dynamics that are enabled or induced by information technology (IT). A key competitive dynamics question for many organizations is how to build a competitive advantage in turbulence with digital IT systems. The literature has focused mostly on developing and exercising dynamic capabilities for planned reconfiguration of existing operational capabilities in fairly stable environments with patterned \"waves,\" but this may not always be possible, or even appropriate, in highly turbulent environments with unexpected \"storms.\" We introduce improvisational capabilities as an alternative means for managing highly turbulent environments; we define this as the ability to spontaneously reconfigure existing resources to build new operational capabilities to address urgent, unpredictable, and novel environmental situations. In contrast to the planned role of dynamic and operational capabilities and the ambidexterity that they jointly offer, improvisational capabilities are proposed to operate distinctly as a \"third hand\" that facilitates reconfiguration and change in highly turbulent environments. First, the paper develops the notion of improvisational capabilities and articulates the key differences between the two \"reconfiguration\"-improvisational and dynamic-capabilities. Second, the paper compares the relative effects of improvisational and dynamic capabilities in the context of new product development in different levels of environmental turbulence. Third, the paper shows how IT-leveraging capability in new product development is decomposed into its three digital IT systems: project and resource management systems, organizational memory systems (OMS), and cooperative work systems-and how each of these IT systems enhances improvisational capabilities, an effect that is accentuated in highly turbulent environments. The results show that although dynamic capabilities are the primary predictor of competitive advantage in moderately turbulent environments, improvisational capabilities fully dominate in highly turbulent environments. Besides discriminant validity, the distinction between improvisational and dynamic capabilities is evidenced by the differential effects of IT-leveraging capability on improvisational and dynamic capabilities. The results show that the more the IT-leveraging capability is catered toward managing resources (through project and resource management systems) and team collaboration (throug…","author":[{"dropping-particle":"","family":"Pavlou","given":"Paul A.","non-dropping-particle":"","parse-names":false,"suffix":""},{"dropping-particle":"","family":"Sawy","given":"Omar A.El","non-dropping-particle":"","parse-names":false,"suffix":""}],"container-title":"Information Systems Research","id":"ITEM-3","issue":"3","issued":{"date-parts":[["2010"]]},"page":"443-471","title":"The \"third hand\": IT-enabled competitive advantage in turbulence through improvisational capabilities","type":"article-journal","volume":"21"},"uris":["http://www.mendeley.com/documents/?uuid=1d16317e-35d7-41b0-98bc-5a97cee0b21f","http://www.mendeley.com/documents/?uuid=19afe6fa-0fc1-433f-9a75-8d06d6b51b94","http://www.mendeley.com/documents/?uuid=f2376f32-bd17-47e5-9bcd-b5f972f5aa9b"]},{"id":"ITEM-4","itemData":{"DOI":"10.1177/02662426211033270","ISSN":"17412870","abstract":"COVID-19 wreaked havoc on public health and the global economy. Small and medium-sized enterprises (SMEs) were hit especially hard. In this research note, we test the ability of dynamic capabilities (DCs) to predict SME performance during the pandemic. Based on our analysis of data from a survey conducted in the United States, we find that DCs meaningfully predicted both operational levels and revenue. Furthermore, while the empirical literature suggests that SME size is positively related to DC efficacy, we found that this effect was reversed during COVID-19, as the positive link between DCs and performance was stronger for smaller SMEs.","author":[{"dropping-particle":"","family":"Clampit","given":"Jack A.","non-dropping-particle":"","parse-names":false,"suffix":""},{"dropping-particle":"","family":"Lorenz","given":"Melanie P.","non-dropping-particle":"","parse-names":false,"suffix":""},{"dropping-particle":"","family":"Gamble","given":"John E.","non-dropping-particle":"","parse-names":false,"suffix":""},{"dropping-particle":"","family":"Lee","given":"Jim","non-dropping-particle":"","parse-names":false,"suffix":""}],"container-title":"International Small Business Journal: Researching Entrepreneurship","id":"ITEM-4","issue":"3","issued":{"date-parts":[["2021"]]},"page":"403 –419","title":"Performance stability among small and medium-sized enterprises during COVID-19: A test of the efficacy of dynamic capabilities","type":"article-journal","volume":"40"},"uris":["http://www.mendeley.com/documents/?uuid=91c45b80-89c5-4e6b-aaea-066b44b12e58"]}],"mendeley":{"formattedCitation":"(Arend, 2014; Clampit et al., 2021; Kump et al., 2019; Pavlou and Sawy, 2010)","plainTextFormattedCitation":"(Arend, 2014; Clampit et al., 2021; Kump et al., 2019; Pavlou and Sawy, 2010)","previouslyFormattedCitation":"(Arend, 2014; Clampit et al., 2021; Kump et al., 2019; Pavlou and Sawy, 2010)"},"properties":{"noteIndex":0},"schema":"https://github.com/citation-style-language/schema/raw/master/csl-citation.json"}</w:instrText>
      </w:r>
      <w:r w:rsidR="00E34CE6" w:rsidRPr="001C2C36">
        <w:rPr>
          <w:rFonts w:cs="Times New Roman"/>
          <w:szCs w:val="24"/>
        </w:rPr>
        <w:fldChar w:fldCharType="separate"/>
      </w:r>
      <w:r w:rsidR="00161CBE" w:rsidRPr="001C2C36">
        <w:rPr>
          <w:rFonts w:cs="Times New Roman"/>
          <w:noProof/>
          <w:szCs w:val="24"/>
        </w:rPr>
        <w:t>(Arend, 2014; Clampit et al., 2021; Kump et al., 2019; Pavlou and Sawy, 2010)</w:t>
      </w:r>
      <w:r w:rsidR="00E34CE6" w:rsidRPr="001C2C36">
        <w:rPr>
          <w:rFonts w:cs="Times New Roman"/>
          <w:szCs w:val="24"/>
        </w:rPr>
        <w:fldChar w:fldCharType="end"/>
      </w:r>
      <w:r w:rsidR="00B03140" w:rsidRPr="001C2C36">
        <w:rPr>
          <w:rFonts w:cs="Times New Roman"/>
          <w:szCs w:val="24"/>
        </w:rPr>
        <w:t xml:space="preserve">, </w:t>
      </w:r>
      <w:r w:rsidR="0090681C" w:rsidRPr="001C2C36">
        <w:rPr>
          <w:rFonts w:cs="Times New Roman"/>
          <w:szCs w:val="24"/>
        </w:rPr>
        <w:t>who</w:t>
      </w:r>
      <w:r w:rsidR="003D3043" w:rsidRPr="001C2C36">
        <w:rPr>
          <w:rFonts w:cs="Times New Roman"/>
          <w:szCs w:val="24"/>
        </w:rPr>
        <w:t xml:space="preserve"> combine various </w:t>
      </w:r>
      <w:r w:rsidR="00726779" w:rsidRPr="001C2C36">
        <w:rPr>
          <w:rFonts w:cs="Times New Roman"/>
          <w:szCs w:val="24"/>
        </w:rPr>
        <w:t>measures</w:t>
      </w:r>
      <w:r w:rsidR="003D3043" w:rsidRPr="001C2C36">
        <w:rPr>
          <w:rFonts w:cs="Times New Roman"/>
          <w:szCs w:val="24"/>
        </w:rPr>
        <w:t xml:space="preserve"> to</w:t>
      </w:r>
      <w:r w:rsidR="0040445B" w:rsidRPr="001C2C36">
        <w:rPr>
          <w:rFonts w:cs="Times New Roman"/>
          <w:szCs w:val="24"/>
        </w:rPr>
        <w:t xml:space="preserve"> </w:t>
      </w:r>
      <w:r w:rsidR="00FE65BC" w:rsidRPr="001C2C36">
        <w:rPr>
          <w:rFonts w:cs="Times New Roman"/>
          <w:szCs w:val="24"/>
        </w:rPr>
        <w:t>estimate</w:t>
      </w:r>
      <w:r w:rsidR="002659DD" w:rsidRPr="001C2C36">
        <w:rPr>
          <w:rFonts w:cs="Times New Roman"/>
          <w:szCs w:val="24"/>
        </w:rPr>
        <w:t xml:space="preserve"> specific</w:t>
      </w:r>
      <w:r w:rsidR="0040445B" w:rsidRPr="001C2C36">
        <w:rPr>
          <w:rFonts w:cs="Times New Roman"/>
          <w:szCs w:val="24"/>
        </w:rPr>
        <w:t xml:space="preserve"> DC</w:t>
      </w:r>
      <w:r w:rsidR="0064711F" w:rsidRPr="001C2C36">
        <w:rPr>
          <w:rFonts w:cs="Times New Roman"/>
          <w:szCs w:val="24"/>
        </w:rPr>
        <w:t>s</w:t>
      </w:r>
      <w:r w:rsidR="0040445B" w:rsidRPr="001C2C36">
        <w:rPr>
          <w:rFonts w:cs="Times New Roman"/>
          <w:szCs w:val="24"/>
        </w:rPr>
        <w:t xml:space="preserve"> </w:t>
      </w:r>
      <w:r w:rsidR="002831CE" w:rsidRPr="001C2C36">
        <w:rPr>
          <w:rFonts w:cs="Times New Roman"/>
          <w:szCs w:val="24"/>
        </w:rPr>
        <w:t>that</w:t>
      </w:r>
      <w:r w:rsidR="0016274B" w:rsidRPr="001C2C36">
        <w:rPr>
          <w:rFonts w:cs="Times New Roman"/>
          <w:szCs w:val="24"/>
        </w:rPr>
        <w:t xml:space="preserve"> are relevant for</w:t>
      </w:r>
      <w:r w:rsidR="002831CE" w:rsidRPr="001C2C36">
        <w:rPr>
          <w:rFonts w:cs="Times New Roman"/>
          <w:szCs w:val="24"/>
        </w:rPr>
        <w:t xml:space="preserve"> </w:t>
      </w:r>
      <w:r w:rsidR="0016274B" w:rsidRPr="001C2C36">
        <w:rPr>
          <w:rFonts w:cs="Times New Roman"/>
          <w:szCs w:val="24"/>
        </w:rPr>
        <w:t xml:space="preserve">a </w:t>
      </w:r>
      <w:r w:rsidR="002831CE" w:rsidRPr="001C2C36">
        <w:rPr>
          <w:rFonts w:cs="Times New Roman"/>
          <w:szCs w:val="24"/>
        </w:rPr>
        <w:t>particular study</w:t>
      </w:r>
      <w:r w:rsidR="0016274B" w:rsidRPr="001C2C36">
        <w:rPr>
          <w:rFonts w:cs="Times New Roman"/>
          <w:szCs w:val="24"/>
        </w:rPr>
        <w:t xml:space="preserve"> and/or setting</w:t>
      </w:r>
      <w:r w:rsidR="002831CE" w:rsidRPr="001C2C36">
        <w:rPr>
          <w:rFonts w:cs="Times New Roman"/>
          <w:szCs w:val="24"/>
        </w:rPr>
        <w:t xml:space="preserve"> </w:t>
      </w:r>
      <w:r w:rsidR="00C34A9E" w:rsidRPr="001C2C36">
        <w:rPr>
          <w:rFonts w:cs="Times New Roman"/>
          <w:szCs w:val="24"/>
        </w:rPr>
        <w:t>to capture discrete subchannels o</w:t>
      </w:r>
      <w:r w:rsidR="00515276" w:rsidRPr="001C2C36">
        <w:rPr>
          <w:rFonts w:cs="Times New Roman"/>
          <w:szCs w:val="24"/>
        </w:rPr>
        <w:t>f</w:t>
      </w:r>
      <w:r w:rsidR="00C34A9E" w:rsidRPr="001C2C36">
        <w:rPr>
          <w:rFonts w:cs="Times New Roman"/>
          <w:szCs w:val="24"/>
        </w:rPr>
        <w:t xml:space="preserve"> interest</w:t>
      </w:r>
      <w:r w:rsidR="00C301D8" w:rsidRPr="001C2C36">
        <w:rPr>
          <w:rFonts w:cs="Times New Roman"/>
          <w:szCs w:val="24"/>
        </w:rPr>
        <w:t>. This enables us</w:t>
      </w:r>
      <w:r w:rsidR="0061249F" w:rsidRPr="001C2C36">
        <w:rPr>
          <w:rFonts w:cs="Times New Roman"/>
          <w:szCs w:val="24"/>
        </w:rPr>
        <w:t xml:space="preserve"> to capture DC</w:t>
      </w:r>
      <w:r w:rsidR="005243F1" w:rsidRPr="001C2C36">
        <w:rPr>
          <w:rFonts w:cs="Times New Roman"/>
          <w:szCs w:val="24"/>
        </w:rPr>
        <w:t>s</w:t>
      </w:r>
      <w:r w:rsidR="0061249F" w:rsidRPr="001C2C36">
        <w:rPr>
          <w:rFonts w:cs="Times New Roman"/>
          <w:szCs w:val="24"/>
        </w:rPr>
        <w:t xml:space="preserve"> related to Covid-19</w:t>
      </w:r>
      <w:r w:rsidR="00C34A9E" w:rsidRPr="001C2C36">
        <w:rPr>
          <w:rFonts w:cs="Times New Roman"/>
          <w:szCs w:val="24"/>
        </w:rPr>
        <w:t>.</w:t>
      </w:r>
      <w:r w:rsidR="004F26BF" w:rsidRPr="001C2C36">
        <w:rPr>
          <w:rFonts w:cs="Times New Roman"/>
          <w:szCs w:val="24"/>
        </w:rPr>
        <w:t xml:space="preserve"> </w:t>
      </w:r>
      <w:r w:rsidR="00C34A9E" w:rsidRPr="001C2C36">
        <w:rPr>
          <w:rFonts w:cs="Times New Roman"/>
          <w:szCs w:val="24"/>
        </w:rPr>
        <w:t>Th</w:t>
      </w:r>
      <w:r w:rsidR="00C301D8" w:rsidRPr="001C2C36">
        <w:rPr>
          <w:rFonts w:cs="Times New Roman"/>
          <w:szCs w:val="24"/>
        </w:rPr>
        <w:t>is approach</w:t>
      </w:r>
      <w:r w:rsidR="00C34A9E" w:rsidRPr="001C2C36">
        <w:rPr>
          <w:rFonts w:cs="Times New Roman"/>
          <w:szCs w:val="24"/>
        </w:rPr>
        <w:t xml:space="preserve"> </w:t>
      </w:r>
      <w:r w:rsidR="00C301D8" w:rsidRPr="001C2C36">
        <w:rPr>
          <w:rFonts w:cs="Times New Roman"/>
          <w:szCs w:val="24"/>
        </w:rPr>
        <w:t>to measuring D</w:t>
      </w:r>
      <w:r w:rsidR="000522B0" w:rsidRPr="001C2C36">
        <w:rPr>
          <w:rFonts w:cs="Times New Roman"/>
          <w:szCs w:val="24"/>
        </w:rPr>
        <w:t>C</w:t>
      </w:r>
      <w:r w:rsidR="00C301D8" w:rsidRPr="001C2C36">
        <w:rPr>
          <w:rFonts w:cs="Times New Roman"/>
          <w:szCs w:val="24"/>
        </w:rPr>
        <w:t>s is</w:t>
      </w:r>
      <w:r w:rsidR="00C34A9E" w:rsidRPr="001C2C36">
        <w:rPr>
          <w:rFonts w:cs="Times New Roman"/>
          <w:szCs w:val="24"/>
        </w:rPr>
        <w:t xml:space="preserve"> comm</w:t>
      </w:r>
      <w:r w:rsidR="00515276" w:rsidRPr="001C2C36">
        <w:rPr>
          <w:rFonts w:cs="Times New Roman"/>
          <w:szCs w:val="24"/>
        </w:rPr>
        <w:t>o</w:t>
      </w:r>
      <w:r w:rsidR="00C34A9E" w:rsidRPr="001C2C36">
        <w:rPr>
          <w:rFonts w:cs="Times New Roman"/>
          <w:szCs w:val="24"/>
        </w:rPr>
        <w:t xml:space="preserve">n </w:t>
      </w:r>
      <w:r w:rsidR="00C301D8" w:rsidRPr="001C2C36">
        <w:rPr>
          <w:rFonts w:cs="Times New Roman"/>
          <w:szCs w:val="24"/>
        </w:rPr>
        <w:t xml:space="preserve">in the wider literature </w:t>
      </w:r>
      <w:r w:rsidR="00B766EC" w:rsidRPr="001C2C36">
        <w:rPr>
          <w:rFonts w:cs="Times New Roman"/>
          <w:szCs w:val="24"/>
        </w:rPr>
        <w:t>because of</w:t>
      </w:r>
      <w:r w:rsidR="00C301D8" w:rsidRPr="001C2C36">
        <w:rPr>
          <w:rFonts w:cs="Times New Roman"/>
          <w:szCs w:val="24"/>
        </w:rPr>
        <w:t xml:space="preserve"> the</w:t>
      </w:r>
      <w:r w:rsidR="00B766EC" w:rsidRPr="001C2C36">
        <w:rPr>
          <w:rFonts w:cs="Times New Roman"/>
          <w:szCs w:val="24"/>
        </w:rPr>
        <w:t xml:space="preserve"> highly</w:t>
      </w:r>
      <w:r w:rsidR="00C301D8" w:rsidRPr="001C2C36">
        <w:rPr>
          <w:rFonts w:cs="Times New Roman"/>
          <w:szCs w:val="24"/>
        </w:rPr>
        <w:t xml:space="preserve"> multidimensional nature of the construct and </w:t>
      </w:r>
      <w:r w:rsidR="00711C62" w:rsidRPr="001C2C36">
        <w:rPr>
          <w:rFonts w:cs="Times New Roman"/>
          <w:szCs w:val="24"/>
        </w:rPr>
        <w:t xml:space="preserve">the </w:t>
      </w:r>
      <w:r w:rsidR="00383C9F" w:rsidRPr="001C2C36">
        <w:rPr>
          <w:rFonts w:cs="Times New Roman"/>
          <w:szCs w:val="24"/>
        </w:rPr>
        <w:t xml:space="preserve">lack of consensus </w:t>
      </w:r>
      <w:r w:rsidR="00C301D8" w:rsidRPr="001C2C36">
        <w:rPr>
          <w:rFonts w:cs="Times New Roman"/>
          <w:szCs w:val="24"/>
        </w:rPr>
        <w:t>around the definition and measurement of DCs</w:t>
      </w:r>
      <w:r w:rsidR="00497F45" w:rsidRPr="001C2C36">
        <w:rPr>
          <w:rFonts w:cs="Times New Roman"/>
          <w:szCs w:val="24"/>
        </w:rPr>
        <w:t xml:space="preserve"> </w:t>
      </w:r>
      <w:r w:rsidR="00B03140" w:rsidRPr="001C2C36">
        <w:rPr>
          <w:rFonts w:cs="Times New Roman"/>
          <w:szCs w:val="24"/>
        </w:rPr>
        <w:fldChar w:fldCharType="begin" w:fldLock="1"/>
      </w:r>
      <w:r w:rsidR="00E74DA2" w:rsidRPr="001C2C36">
        <w:rPr>
          <w:rFonts w:cs="Times New Roman"/>
          <w:szCs w:val="24"/>
        </w:rPr>
        <w:instrText>ADDIN CSL_CITATION {"citationItems":[{"id":"ITEM-1","itemData":{"DOI":"10.1177/1476127008100132","ISSN":"14761270","author":[{"dropping-particle":"","family":"Arend","given":"Richard J.","non-dropping-particle":"","parse-names":false,"suffix":""},{"dropping-particle":"","family":"Bromiley","given":"Philip","non-dropping-particle":"","parse-names":false,"suffix":""}],"container-title":"Strategic Organization","id":"ITEM-1","issue":"1","issued":{"date-parts":[["2009"]]},"page":"75-90","title":"Assessing the dynamic capabilities view: Spare change, everyone?","type":"article-journal","volume":"7"},"uris":["http://www.mendeley.com/documents/?uuid=6077da3d-0ce2-4ee0-9ef3-5e329286cf38","http://www.mendeley.com/documents/?uuid=a6533b39-17e1-4530-b2d6-694e92502dbc"]},{"id":"ITEM-2","itemData":{"DOI":"10.1002/smj","ISBN":"1097-0266","ISSN":"01432095","abstract":"Examining how compensation structure affects mobility and entrepreneurship decisions of employees, particularly those at the extreme ends of the performance distribution, we find that employees with high performance are less likely to leave firms with highly dispersed compensation. However, if these “high performers” do leave these employers, they are more likely to create or join new firms. Employees with lower performance are more likely to leave firms with high pay dispersion, but less likely to move to new ventures. Additionally, we show that mobility and entrepreneurship result in employees’ receiving higher compensation, regardless of their performance level.","author":[{"dropping-particle":"","family":"Døving","given":"Erik","non-dropping-particle":"","parse-names":false,"suffix":""},{"dropping-particle":"","family":"Gooderham","given":"Paul N.","non-dropping-particle":"","parse-names":false,"suffix":""}],"container-title":"Strategic Management Journal","id":"ITEM-2","issue":"8","issued":{"date-parts":[["2008"]]},"page":"841-857","title":"Dynamic capabilities as antecedents of the scope of related diversification: the case of small firm accountancy practices","type":"article-journal","volume":"29"},"uris":["http://www.mendeley.com/documents/?uuid=8b35e97c-4ff3-47ed-b42f-201980c24704","http://www.mendeley.com/documents/?uuid=3a6522c5-54b4-45d0-b4b0-02a893feebbb"]}],"mendeley":{"formattedCitation":"(Arend and Bromiley, 2009; Døving and Gooderham, 2008)","plainTextFormattedCitation":"(Arend and Bromiley, 2009; Døving and Gooderham, 2008)","previouslyFormattedCitation":"(Arend and Bromiley, 2009; Døving and Gooderham, 2008)"},"properties":{"noteIndex":0},"schema":"https://github.com/citation-style-language/schema/raw/master/csl-citation.json"}</w:instrText>
      </w:r>
      <w:r w:rsidR="00B03140" w:rsidRPr="001C2C36">
        <w:rPr>
          <w:rFonts w:cs="Times New Roman"/>
          <w:szCs w:val="24"/>
        </w:rPr>
        <w:fldChar w:fldCharType="separate"/>
      </w:r>
      <w:r w:rsidR="00C30E16" w:rsidRPr="001C2C36">
        <w:rPr>
          <w:rFonts w:cs="Times New Roman"/>
          <w:noProof/>
          <w:szCs w:val="24"/>
        </w:rPr>
        <w:t>(Arend and Bromiley, 2009; Døving and Gooderham, 2008)</w:t>
      </w:r>
      <w:r w:rsidR="00B03140" w:rsidRPr="001C2C36">
        <w:rPr>
          <w:rFonts w:cs="Times New Roman"/>
          <w:szCs w:val="24"/>
        </w:rPr>
        <w:fldChar w:fldCharType="end"/>
      </w:r>
      <w:r w:rsidR="008963EB" w:rsidRPr="001C2C36">
        <w:rPr>
          <w:rFonts w:cs="Times New Roman"/>
          <w:szCs w:val="24"/>
        </w:rPr>
        <w:t>.</w:t>
      </w:r>
    </w:p>
    <w:p w14:paraId="064B4CC2" w14:textId="13C48DA9" w:rsidR="00191BA4" w:rsidRPr="001C2C36" w:rsidRDefault="38D63018">
      <w:pPr>
        <w:rPr>
          <w:rFonts w:cs="Times New Roman"/>
        </w:rPr>
      </w:pPr>
      <w:r w:rsidRPr="001C2C36">
        <w:rPr>
          <w:rFonts w:cs="Times New Roman"/>
        </w:rPr>
        <w:t xml:space="preserve">DCs </w:t>
      </w:r>
      <w:r w:rsidR="2AD397EA" w:rsidRPr="001C2C36">
        <w:rPr>
          <w:rFonts w:cs="Times New Roman"/>
        </w:rPr>
        <w:t xml:space="preserve">in our specification </w:t>
      </w:r>
      <w:r w:rsidR="45CA8C39" w:rsidRPr="001C2C36">
        <w:rPr>
          <w:rFonts w:cs="Times New Roman"/>
        </w:rPr>
        <w:t xml:space="preserve">range from 0 </w:t>
      </w:r>
      <w:r w:rsidR="05C0177E" w:rsidRPr="001C2C36">
        <w:rPr>
          <w:rFonts w:cs="Times New Roman"/>
        </w:rPr>
        <w:t xml:space="preserve">to </w:t>
      </w:r>
      <w:r w:rsidR="45CA8C39" w:rsidRPr="001C2C36">
        <w:rPr>
          <w:rFonts w:cs="Times New Roman"/>
        </w:rPr>
        <w:t xml:space="preserve">5 and </w:t>
      </w:r>
      <w:r w:rsidR="2AD397EA" w:rsidRPr="001C2C36">
        <w:rPr>
          <w:rFonts w:cs="Times New Roman"/>
        </w:rPr>
        <w:t>capture</w:t>
      </w:r>
      <w:r w:rsidR="45CA8C39" w:rsidRPr="001C2C36">
        <w:rPr>
          <w:rFonts w:cs="Times New Roman"/>
        </w:rPr>
        <w:t xml:space="preserve"> </w:t>
      </w:r>
      <w:r w:rsidRPr="001C2C36">
        <w:rPr>
          <w:rFonts w:cs="Times New Roman"/>
        </w:rPr>
        <w:t xml:space="preserve">the </w:t>
      </w:r>
      <w:r w:rsidR="2AD397EA" w:rsidRPr="001C2C36">
        <w:rPr>
          <w:rFonts w:cs="Times New Roman"/>
        </w:rPr>
        <w:t>number</w:t>
      </w:r>
      <w:r w:rsidRPr="001C2C36">
        <w:rPr>
          <w:rFonts w:cs="Times New Roman"/>
        </w:rPr>
        <w:t xml:space="preserve"> </w:t>
      </w:r>
      <w:r w:rsidR="7D52D49B" w:rsidRPr="001C2C36">
        <w:rPr>
          <w:rFonts w:cs="Times New Roman"/>
        </w:rPr>
        <w:t>of Covid-19 strategies adopted.</w:t>
      </w:r>
      <w:r w:rsidR="491205EC" w:rsidRPr="001C2C36">
        <w:rPr>
          <w:rFonts w:cs="Times New Roman"/>
        </w:rPr>
        <w:t xml:space="preserve"> </w:t>
      </w:r>
      <w:r w:rsidR="387FD4AE" w:rsidRPr="001C2C36">
        <w:rPr>
          <w:rFonts w:cs="Times New Roman"/>
        </w:rPr>
        <w:t>We start from 0 and add 1</w:t>
      </w:r>
      <w:r w:rsidR="34674DDF" w:rsidRPr="001C2C36">
        <w:rPr>
          <w:rFonts w:cs="Times New Roman"/>
        </w:rPr>
        <w:t xml:space="preserve"> for each </w:t>
      </w:r>
      <w:r w:rsidR="1EE9FB01" w:rsidRPr="001C2C36">
        <w:rPr>
          <w:rFonts w:cs="Times New Roman"/>
        </w:rPr>
        <w:t xml:space="preserve">instance when DCs </w:t>
      </w:r>
      <w:r w:rsidR="0A840001" w:rsidRPr="001C2C36">
        <w:rPr>
          <w:rFonts w:cs="Times New Roman"/>
        </w:rPr>
        <w:t>a</w:t>
      </w:r>
      <w:r w:rsidR="1EE9FB01" w:rsidRPr="001C2C36">
        <w:rPr>
          <w:rFonts w:cs="Times New Roman"/>
        </w:rPr>
        <w:t xml:space="preserve">re demonstrated. This </w:t>
      </w:r>
      <w:r w:rsidR="6517D104" w:rsidRPr="001C2C36">
        <w:rPr>
          <w:rFonts w:cs="Times New Roman"/>
        </w:rPr>
        <w:t>consist</w:t>
      </w:r>
      <w:r w:rsidR="7BA4F526" w:rsidRPr="001C2C36">
        <w:rPr>
          <w:rFonts w:cs="Times New Roman"/>
        </w:rPr>
        <w:t>s</w:t>
      </w:r>
      <w:r w:rsidR="6517D104" w:rsidRPr="001C2C36">
        <w:rPr>
          <w:rFonts w:cs="Times New Roman"/>
        </w:rPr>
        <w:t xml:space="preserve"> of</w:t>
      </w:r>
      <w:r w:rsidR="1EE9FB01" w:rsidRPr="001C2C36">
        <w:rPr>
          <w:rFonts w:cs="Times New Roman"/>
        </w:rPr>
        <w:t xml:space="preserve"> </w:t>
      </w:r>
      <w:r w:rsidR="387FD4AE" w:rsidRPr="001C2C36">
        <w:rPr>
          <w:rFonts w:cs="Times New Roman"/>
        </w:rPr>
        <w:t xml:space="preserve">a business </w:t>
      </w:r>
      <w:r w:rsidR="1EE9FB01" w:rsidRPr="001C2C36">
        <w:rPr>
          <w:rFonts w:cs="Times New Roman"/>
        </w:rPr>
        <w:t>reporting</w:t>
      </w:r>
      <w:r w:rsidR="4CBD3054" w:rsidRPr="001C2C36">
        <w:rPr>
          <w:rFonts w:cs="Times New Roman"/>
        </w:rPr>
        <w:t xml:space="preserve"> </w:t>
      </w:r>
      <w:r w:rsidR="250399E6" w:rsidRPr="001C2C36">
        <w:rPr>
          <w:rFonts w:cs="Times New Roman"/>
        </w:rPr>
        <w:t>whether there was</w:t>
      </w:r>
      <w:r w:rsidR="6E7590A7" w:rsidRPr="001C2C36">
        <w:rPr>
          <w:rFonts w:cs="Times New Roman"/>
        </w:rPr>
        <w:t>:</w:t>
      </w:r>
      <w:r w:rsidR="4CBD3054" w:rsidRPr="001C2C36">
        <w:rPr>
          <w:rFonts w:cs="Times New Roman"/>
        </w:rPr>
        <w:t xml:space="preserve"> </w:t>
      </w:r>
      <w:r w:rsidR="2B58AB9C" w:rsidRPr="001C2C36">
        <w:rPr>
          <w:rFonts w:cs="Times New Roman"/>
        </w:rPr>
        <w:t xml:space="preserve">(1) </w:t>
      </w:r>
      <w:r w:rsidR="4795DC6F" w:rsidRPr="001C2C36">
        <w:rPr>
          <w:rFonts w:cs="Times New Roman"/>
        </w:rPr>
        <w:t>a</w:t>
      </w:r>
      <w:r w:rsidR="1EE9FB01" w:rsidRPr="001C2C36">
        <w:rPr>
          <w:rFonts w:cs="Times New Roman"/>
        </w:rPr>
        <w:t xml:space="preserve"> change in </w:t>
      </w:r>
      <w:r w:rsidR="387FD4AE" w:rsidRPr="001C2C36">
        <w:rPr>
          <w:rFonts w:cs="Times New Roman"/>
        </w:rPr>
        <w:t>services/products</w:t>
      </w:r>
      <w:r w:rsidR="71D875A2" w:rsidRPr="001C2C36">
        <w:rPr>
          <w:rFonts w:cs="Times New Roman"/>
        </w:rPr>
        <w:t>;</w:t>
      </w:r>
      <w:r w:rsidR="4B557832" w:rsidRPr="001C2C36">
        <w:rPr>
          <w:rFonts w:cs="Times New Roman"/>
        </w:rPr>
        <w:t xml:space="preserve"> </w:t>
      </w:r>
      <w:r w:rsidR="7650F2A7" w:rsidRPr="001C2C36">
        <w:rPr>
          <w:rFonts w:cs="Times New Roman"/>
        </w:rPr>
        <w:t xml:space="preserve">(2) </w:t>
      </w:r>
      <w:r w:rsidR="7EC70956" w:rsidRPr="001C2C36">
        <w:rPr>
          <w:rFonts w:cs="Times New Roman"/>
        </w:rPr>
        <w:t>a change in</w:t>
      </w:r>
      <w:r w:rsidR="7650F2A7" w:rsidRPr="001C2C36">
        <w:rPr>
          <w:rFonts w:cs="Times New Roman"/>
        </w:rPr>
        <w:t xml:space="preserve"> processes/ways of working </w:t>
      </w:r>
      <w:r w:rsidR="387FD4AE" w:rsidRPr="001C2C36">
        <w:rPr>
          <w:rFonts w:cs="Times New Roman"/>
        </w:rPr>
        <w:t>to mitigate the impacts of the pandemic and any associated trading restrictions</w:t>
      </w:r>
      <w:r w:rsidR="33B22F1E" w:rsidRPr="001C2C36">
        <w:rPr>
          <w:rFonts w:cs="Times New Roman"/>
        </w:rPr>
        <w:t>;</w:t>
      </w:r>
      <w:r w:rsidR="3F64E6E6" w:rsidRPr="001C2C36">
        <w:rPr>
          <w:rFonts w:cs="Times New Roman"/>
        </w:rPr>
        <w:t xml:space="preserve"> </w:t>
      </w:r>
      <w:r w:rsidR="66D1FB4F" w:rsidRPr="001C2C36">
        <w:rPr>
          <w:rFonts w:cs="Times New Roman"/>
        </w:rPr>
        <w:t xml:space="preserve">(3) </w:t>
      </w:r>
      <w:r w:rsidR="4EC05B07" w:rsidRPr="001C2C36">
        <w:rPr>
          <w:rFonts w:cs="Times New Roman"/>
        </w:rPr>
        <w:t>an</w:t>
      </w:r>
      <w:r w:rsidR="1063729C" w:rsidRPr="001C2C36">
        <w:rPr>
          <w:rFonts w:cs="Times New Roman"/>
        </w:rPr>
        <w:t xml:space="preserve"> increase in operations during the Covid-19 pandemic</w:t>
      </w:r>
      <w:r w:rsidR="7CBDC236" w:rsidRPr="001C2C36">
        <w:rPr>
          <w:rFonts w:cs="Times New Roman"/>
        </w:rPr>
        <w:t>;</w:t>
      </w:r>
      <w:r w:rsidR="1063729C" w:rsidRPr="001C2C36">
        <w:rPr>
          <w:rFonts w:cs="Times New Roman"/>
        </w:rPr>
        <w:t xml:space="preserve"> </w:t>
      </w:r>
      <w:r w:rsidR="7CBDC236" w:rsidRPr="001C2C36">
        <w:rPr>
          <w:rFonts w:cs="Times New Roman"/>
        </w:rPr>
        <w:t>(4)</w:t>
      </w:r>
      <w:r w:rsidR="1063729C" w:rsidRPr="001C2C36">
        <w:rPr>
          <w:rFonts w:cs="Times New Roman"/>
        </w:rPr>
        <w:t xml:space="preserve"> whether </w:t>
      </w:r>
      <w:r w:rsidR="162E8D9A" w:rsidRPr="001C2C36">
        <w:rPr>
          <w:rFonts w:cs="Times New Roman"/>
        </w:rPr>
        <w:t>the</w:t>
      </w:r>
      <w:r w:rsidR="4671B025" w:rsidRPr="001C2C36">
        <w:rPr>
          <w:rFonts w:cs="Times New Roman"/>
        </w:rPr>
        <w:t xml:space="preserve"> business </w:t>
      </w:r>
      <w:r w:rsidR="1063729C" w:rsidRPr="001C2C36">
        <w:rPr>
          <w:rFonts w:cs="Times New Roman"/>
        </w:rPr>
        <w:t>increased and/or introduced online/virtual training</w:t>
      </w:r>
      <w:r w:rsidR="7075914E" w:rsidRPr="001C2C36">
        <w:rPr>
          <w:rFonts w:cs="Times New Roman"/>
        </w:rPr>
        <w:t>; and</w:t>
      </w:r>
      <w:r w:rsidR="4671B025" w:rsidRPr="001C2C36">
        <w:rPr>
          <w:rFonts w:cs="Times New Roman"/>
        </w:rPr>
        <w:t xml:space="preserve"> </w:t>
      </w:r>
      <w:r w:rsidR="0C8035F0" w:rsidRPr="001C2C36">
        <w:rPr>
          <w:rFonts w:cs="Times New Roman"/>
        </w:rPr>
        <w:t>(5) whether they</w:t>
      </w:r>
      <w:r w:rsidR="4671B025" w:rsidRPr="001C2C36">
        <w:rPr>
          <w:rFonts w:cs="Times New Roman"/>
        </w:rPr>
        <w:t xml:space="preserve"> </w:t>
      </w:r>
      <w:r w:rsidR="13333655" w:rsidRPr="001C2C36">
        <w:rPr>
          <w:rFonts w:cs="Times New Roman"/>
        </w:rPr>
        <w:t xml:space="preserve">facilitated </w:t>
      </w:r>
      <w:r w:rsidR="65D873AC" w:rsidRPr="001C2C36">
        <w:rPr>
          <w:rFonts w:cs="Times New Roman"/>
        </w:rPr>
        <w:t>a</w:t>
      </w:r>
      <w:r w:rsidR="0EC743A5" w:rsidRPr="001C2C36">
        <w:rPr>
          <w:rFonts w:cs="Times New Roman"/>
        </w:rPr>
        <w:t xml:space="preserve"> change</w:t>
      </w:r>
      <w:r w:rsidR="6517D104" w:rsidRPr="001C2C36">
        <w:rPr>
          <w:rFonts w:cs="Times New Roman"/>
        </w:rPr>
        <w:t xml:space="preserve"> in</w:t>
      </w:r>
      <w:r w:rsidR="0EC743A5" w:rsidRPr="001C2C36">
        <w:rPr>
          <w:rFonts w:cs="Times New Roman"/>
        </w:rPr>
        <w:t xml:space="preserve"> </w:t>
      </w:r>
      <w:r w:rsidR="0DCDEE15" w:rsidRPr="001C2C36">
        <w:rPr>
          <w:rFonts w:cs="Times New Roman"/>
        </w:rPr>
        <w:t>the</w:t>
      </w:r>
      <w:r w:rsidR="6517D104" w:rsidRPr="001C2C36">
        <w:rPr>
          <w:rFonts w:cs="Times New Roman"/>
        </w:rPr>
        <w:t xml:space="preserve"> </w:t>
      </w:r>
      <w:r w:rsidR="0EC743A5" w:rsidRPr="001C2C36">
        <w:rPr>
          <w:rFonts w:cs="Times New Roman"/>
        </w:rPr>
        <w:t>methods of selling</w:t>
      </w:r>
      <w:r w:rsidR="681C7F45" w:rsidRPr="001C2C36">
        <w:rPr>
          <w:rFonts w:cs="Times New Roman"/>
        </w:rPr>
        <w:t xml:space="preserve"> </w:t>
      </w:r>
      <w:r w:rsidR="6517D104" w:rsidRPr="001C2C36">
        <w:rPr>
          <w:rFonts w:cs="Times New Roman"/>
        </w:rPr>
        <w:t>and/</w:t>
      </w:r>
      <w:r w:rsidR="681C7F45" w:rsidRPr="001C2C36">
        <w:rPr>
          <w:rFonts w:cs="Times New Roman"/>
        </w:rPr>
        <w:t xml:space="preserve">or </w:t>
      </w:r>
      <w:r w:rsidR="7FAF23BF" w:rsidRPr="001C2C36">
        <w:rPr>
          <w:rFonts w:cs="Times New Roman"/>
        </w:rPr>
        <w:t>started selling</w:t>
      </w:r>
      <w:r w:rsidR="6E9E1147" w:rsidRPr="001C2C36">
        <w:rPr>
          <w:rFonts w:cs="Times New Roman"/>
        </w:rPr>
        <w:t xml:space="preserve"> online as a result of </w:t>
      </w:r>
      <w:r w:rsidR="683A478E" w:rsidRPr="001C2C36">
        <w:rPr>
          <w:rFonts w:cs="Times New Roman"/>
        </w:rPr>
        <w:t>C</w:t>
      </w:r>
      <w:r w:rsidR="67C414DD" w:rsidRPr="001C2C36">
        <w:rPr>
          <w:rFonts w:cs="Times New Roman"/>
        </w:rPr>
        <w:t>ovid</w:t>
      </w:r>
      <w:r w:rsidR="6E9E1147" w:rsidRPr="001C2C36">
        <w:rPr>
          <w:rFonts w:cs="Times New Roman"/>
        </w:rPr>
        <w:t>-19</w:t>
      </w:r>
      <w:r w:rsidR="5AE85867" w:rsidRPr="001C2C36">
        <w:rPr>
          <w:rFonts w:cs="Times New Roman"/>
        </w:rPr>
        <w:t>.</w:t>
      </w:r>
    </w:p>
    <w:p w14:paraId="5FF0A46F" w14:textId="1B66E198" w:rsidR="00EE57BB" w:rsidRPr="001C2C36" w:rsidRDefault="496F4BF7" w:rsidP="496F4BF7">
      <w:pPr>
        <w:rPr>
          <w:rFonts w:cs="Times New Roman"/>
          <w:szCs w:val="24"/>
        </w:rPr>
      </w:pPr>
      <w:r w:rsidRPr="001C2C36">
        <w:rPr>
          <w:rFonts w:cs="Times New Roman"/>
          <w:szCs w:val="24"/>
        </w:rPr>
        <w:t xml:space="preserve">It is worth noting that the available variables limited our specification. We extensively consulted with literature on single and multi-item measures commonly applied to quantify DCs, as in </w:t>
      </w:r>
      <w:proofErr w:type="spellStart"/>
      <w:r w:rsidRPr="001C2C36">
        <w:rPr>
          <w:rFonts w:cs="Times New Roman"/>
          <w:szCs w:val="24"/>
        </w:rPr>
        <w:t>Døving</w:t>
      </w:r>
      <w:proofErr w:type="spellEnd"/>
      <w:r w:rsidRPr="001C2C36">
        <w:rPr>
          <w:rFonts w:cs="Times New Roman"/>
          <w:szCs w:val="24"/>
        </w:rPr>
        <w:t xml:space="preserve"> and Gooderham’s (2008). We also draw on the work of </w:t>
      </w:r>
      <w:proofErr w:type="spellStart"/>
      <w:r w:rsidRPr="001C2C36">
        <w:rPr>
          <w:rFonts w:cs="Times New Roman"/>
          <w:szCs w:val="24"/>
        </w:rPr>
        <w:t>Clampit</w:t>
      </w:r>
      <w:proofErr w:type="spellEnd"/>
      <w:r w:rsidRPr="001C2C36">
        <w:rPr>
          <w:rFonts w:cs="Times New Roman"/>
          <w:szCs w:val="24"/>
        </w:rPr>
        <w:t xml:space="preserve"> et al. (2022) </w:t>
      </w:r>
      <w:r w:rsidR="00720C4D" w:rsidRPr="001C2C36">
        <w:rPr>
          <w:rFonts w:cs="Times New Roman"/>
          <w:szCs w:val="24"/>
        </w:rPr>
        <w:t>when</w:t>
      </w:r>
      <w:r w:rsidRPr="001C2C36">
        <w:rPr>
          <w:rFonts w:cs="Times New Roman"/>
          <w:szCs w:val="24"/>
        </w:rPr>
        <w:t xml:space="preserve"> develo</w:t>
      </w:r>
      <w:r w:rsidR="00720C4D" w:rsidRPr="001C2C36">
        <w:rPr>
          <w:rFonts w:cs="Times New Roman"/>
          <w:szCs w:val="24"/>
        </w:rPr>
        <w:t>ping</w:t>
      </w:r>
      <w:r w:rsidRPr="001C2C36">
        <w:rPr>
          <w:rFonts w:cs="Times New Roman"/>
          <w:szCs w:val="24"/>
        </w:rPr>
        <w:t xml:space="preserve"> our measure of DCs, who constructed </w:t>
      </w:r>
      <w:r w:rsidR="00720C4D" w:rsidRPr="001C2C36">
        <w:rPr>
          <w:rFonts w:cs="Times New Roman"/>
          <w:szCs w:val="24"/>
        </w:rPr>
        <w:t>their</w:t>
      </w:r>
      <w:r w:rsidRPr="001C2C36">
        <w:rPr>
          <w:rFonts w:cs="Times New Roman"/>
          <w:szCs w:val="24"/>
        </w:rPr>
        <w:t xml:space="preserve"> measure of DCs by combining three items focusing on the development of capabilities during </w:t>
      </w:r>
      <w:r w:rsidR="00720C4D" w:rsidRPr="001C2C36">
        <w:rPr>
          <w:rFonts w:cs="Times New Roman"/>
          <w:szCs w:val="24"/>
        </w:rPr>
        <w:t>Covid-19</w:t>
      </w:r>
      <w:r w:rsidRPr="001C2C36">
        <w:rPr>
          <w:rFonts w:cs="Times New Roman"/>
          <w:szCs w:val="24"/>
        </w:rPr>
        <w:t>. To gauge the construct validity, we also extensively discussed the measurement with subject experts.</w:t>
      </w:r>
    </w:p>
    <w:p w14:paraId="25A466D8" w14:textId="2D29DC62" w:rsidR="00E9572B" w:rsidRPr="001C2C36" w:rsidRDefault="496F4BF7" w:rsidP="496F4BF7">
      <w:pPr>
        <w:rPr>
          <w:rFonts w:cs="Times New Roman"/>
          <w:szCs w:val="24"/>
        </w:rPr>
      </w:pPr>
      <w:r w:rsidRPr="001C2C36">
        <w:rPr>
          <w:rFonts w:cs="Times New Roman"/>
          <w:szCs w:val="24"/>
        </w:rPr>
        <w:t xml:space="preserve">The measure of </w:t>
      </w:r>
      <w:r w:rsidR="00E2151E" w:rsidRPr="001C2C36">
        <w:rPr>
          <w:rFonts w:cs="Times New Roman"/>
          <w:szCs w:val="24"/>
        </w:rPr>
        <w:t xml:space="preserve">government support </w:t>
      </w:r>
      <w:r w:rsidRPr="001C2C36">
        <w:rPr>
          <w:rFonts w:cs="Times New Roman"/>
          <w:szCs w:val="24"/>
        </w:rPr>
        <w:t>captures the number of government assistance programmes received by the SME</w:t>
      </w:r>
      <w:r w:rsidR="008864AF" w:rsidRPr="001C2C36">
        <w:rPr>
          <w:rFonts w:cs="Times New Roman"/>
          <w:szCs w:val="24"/>
        </w:rPr>
        <w:t>. It</w:t>
      </w:r>
      <w:r w:rsidRPr="001C2C36">
        <w:rPr>
          <w:rFonts w:cs="Times New Roman"/>
          <w:szCs w:val="24"/>
        </w:rPr>
        <w:t xml:space="preserve"> can take any value between 0 and 5, with 0 indicating the business received no support and 5 indicating the business received support </w:t>
      </w:r>
      <w:r w:rsidR="00D10A0B" w:rsidRPr="001C2C36">
        <w:rPr>
          <w:rFonts w:cs="Times New Roman"/>
          <w:szCs w:val="24"/>
        </w:rPr>
        <w:t xml:space="preserve">from </w:t>
      </w:r>
      <w:r w:rsidRPr="001C2C36">
        <w:rPr>
          <w:rFonts w:cs="Times New Roman"/>
          <w:szCs w:val="24"/>
        </w:rPr>
        <w:t xml:space="preserve">5 mechanisms. The survey asked respondents to report whether they had received </w:t>
      </w:r>
      <w:r w:rsidR="005A56CA" w:rsidRPr="001C2C36">
        <w:rPr>
          <w:rFonts w:cs="Times New Roman"/>
          <w:szCs w:val="24"/>
        </w:rPr>
        <w:t xml:space="preserve">assistance from </w:t>
      </w:r>
      <w:r w:rsidRPr="001C2C36">
        <w:rPr>
          <w:rFonts w:cs="Times New Roman"/>
          <w:szCs w:val="24"/>
        </w:rPr>
        <w:t xml:space="preserve">any of the following support mechanisms: (1) Coronavirus Job Retention Scheme, (2) Self-Employment Income Support Scheme, (3) Business Rates Holiday, (4) VAT deferral and (5) HMRC’s Time to Pay. </w:t>
      </w:r>
    </w:p>
    <w:p w14:paraId="5FF03783" w14:textId="7D266401" w:rsidR="000E0B95" w:rsidRPr="001C2C36" w:rsidRDefault="74F6564C" w:rsidP="000E0B95">
      <w:pPr>
        <w:rPr>
          <w:rFonts w:cs="Times New Roman"/>
        </w:rPr>
      </w:pPr>
      <w:r w:rsidRPr="21F03F9F">
        <w:rPr>
          <w:rFonts w:cs="Times New Roman"/>
        </w:rPr>
        <w:t>We also include several controls</w:t>
      </w:r>
      <w:r w:rsidR="0BAD2B62" w:rsidRPr="21F03F9F">
        <w:rPr>
          <w:rFonts w:cs="Times New Roman"/>
        </w:rPr>
        <w:t xml:space="preserve">. </w:t>
      </w:r>
      <w:r w:rsidR="4D175EB1" w:rsidRPr="21F03F9F">
        <w:rPr>
          <w:rFonts w:cs="Times New Roman"/>
        </w:rPr>
        <w:t xml:space="preserve">We base our selection of control variables on those used </w:t>
      </w:r>
      <w:r w:rsidR="38104910" w:rsidRPr="21F03F9F">
        <w:rPr>
          <w:rFonts w:cs="Times New Roman"/>
        </w:rPr>
        <w:t>i</w:t>
      </w:r>
      <w:r w:rsidR="564A3D42" w:rsidRPr="21F03F9F">
        <w:rPr>
          <w:rFonts w:cs="Times New Roman"/>
        </w:rPr>
        <w:t xml:space="preserve">n the </w:t>
      </w:r>
      <w:r w:rsidR="38104910" w:rsidRPr="21F03F9F">
        <w:rPr>
          <w:rFonts w:cs="Times New Roman"/>
        </w:rPr>
        <w:t>wider</w:t>
      </w:r>
      <w:r w:rsidR="4D175EB1" w:rsidRPr="21F03F9F">
        <w:rPr>
          <w:rFonts w:cs="Times New Roman"/>
        </w:rPr>
        <w:t xml:space="preserve"> literature, incorporating </w:t>
      </w:r>
      <w:r w:rsidR="0BAD2B62" w:rsidRPr="21F03F9F">
        <w:rPr>
          <w:rFonts w:cs="Times New Roman"/>
        </w:rPr>
        <w:t>the same controls as in</w:t>
      </w:r>
      <w:r w:rsidR="4819CDC6" w:rsidRPr="21F03F9F">
        <w:rPr>
          <w:rFonts w:cs="Times New Roman"/>
        </w:rPr>
        <w:t xml:space="preserve"> </w:t>
      </w:r>
      <w:proofErr w:type="spellStart"/>
      <w:r w:rsidR="4819CDC6" w:rsidRPr="21F03F9F">
        <w:rPr>
          <w:rFonts w:cs="Times New Roman"/>
        </w:rPr>
        <w:t>Clampit</w:t>
      </w:r>
      <w:proofErr w:type="spellEnd"/>
      <w:r w:rsidR="4819CDC6" w:rsidRPr="21F03F9F">
        <w:rPr>
          <w:rFonts w:cs="Times New Roman"/>
        </w:rPr>
        <w:t xml:space="preserve"> et al. (2022)</w:t>
      </w:r>
      <w:r w:rsidR="0BAD2B62" w:rsidRPr="21F03F9F">
        <w:rPr>
          <w:rFonts w:cs="Times New Roman"/>
        </w:rPr>
        <w:t xml:space="preserve">. </w:t>
      </w:r>
      <w:r w:rsidR="1BD8C6B9" w:rsidRPr="21F03F9F">
        <w:rPr>
          <w:rFonts w:cs="Times New Roman"/>
        </w:rPr>
        <w:t>Thus, w</w:t>
      </w:r>
      <w:r w:rsidR="149DD535" w:rsidRPr="21F03F9F">
        <w:rPr>
          <w:rFonts w:cs="Times New Roman"/>
        </w:rPr>
        <w:t xml:space="preserve">e control for </w:t>
      </w:r>
      <w:r w:rsidR="149DD535" w:rsidRPr="21F03F9F">
        <w:rPr>
          <w:rFonts w:cs="Times New Roman"/>
        </w:rPr>
        <w:lastRenderedPageBreak/>
        <w:t xml:space="preserve">size with a logarithmic size variable that captures the number of employees in 2020. </w:t>
      </w:r>
      <w:r w:rsidR="0BAD2B62" w:rsidRPr="21F03F9F">
        <w:rPr>
          <w:rFonts w:cs="Times New Roman"/>
        </w:rPr>
        <w:t>W</w:t>
      </w:r>
      <w:r w:rsidR="4819CDC6" w:rsidRPr="21F03F9F">
        <w:rPr>
          <w:rFonts w:cs="Times New Roman"/>
        </w:rPr>
        <w:t xml:space="preserve">e </w:t>
      </w:r>
      <w:r w:rsidR="462E36F4" w:rsidRPr="21F03F9F">
        <w:rPr>
          <w:rFonts w:cs="Times New Roman"/>
        </w:rPr>
        <w:t xml:space="preserve">include </w:t>
      </w:r>
      <w:r w:rsidR="4C399CF2" w:rsidRPr="21F03F9F">
        <w:rPr>
          <w:rFonts w:cs="Times New Roman"/>
        </w:rPr>
        <w:t xml:space="preserve">a </w:t>
      </w:r>
      <w:r w:rsidR="5A30F868" w:rsidRPr="21F03F9F">
        <w:rPr>
          <w:rFonts w:cs="Times New Roman"/>
        </w:rPr>
        <w:t>dummy variable</w:t>
      </w:r>
      <w:r w:rsidR="72EC0A9D" w:rsidRPr="21F03F9F">
        <w:rPr>
          <w:rFonts w:cs="Times New Roman"/>
        </w:rPr>
        <w:t xml:space="preserve"> </w:t>
      </w:r>
      <w:r w:rsidR="74B62818" w:rsidRPr="21F03F9F">
        <w:rPr>
          <w:rFonts w:cs="Times New Roman"/>
        </w:rPr>
        <w:t>that equal</w:t>
      </w:r>
      <w:r w:rsidR="4C399CF2" w:rsidRPr="21F03F9F">
        <w:rPr>
          <w:rFonts w:cs="Times New Roman"/>
        </w:rPr>
        <w:t>s</w:t>
      </w:r>
      <w:r w:rsidR="74B62818" w:rsidRPr="21F03F9F">
        <w:rPr>
          <w:rFonts w:cs="Times New Roman"/>
        </w:rPr>
        <w:t xml:space="preserve"> 1 </w:t>
      </w:r>
      <w:r w:rsidR="5FBFF577" w:rsidRPr="21F03F9F">
        <w:rPr>
          <w:rFonts w:cs="Times New Roman"/>
        </w:rPr>
        <w:t>when</w:t>
      </w:r>
      <w:r w:rsidR="74B62818" w:rsidRPr="21F03F9F">
        <w:rPr>
          <w:rFonts w:cs="Times New Roman"/>
        </w:rPr>
        <w:t xml:space="preserve"> SMEs are in </w:t>
      </w:r>
      <w:r w:rsidR="11C5E90C" w:rsidRPr="21F03F9F">
        <w:rPr>
          <w:rFonts w:cs="Times New Roman"/>
        </w:rPr>
        <w:t>transport, retail and food service/ accommodation</w:t>
      </w:r>
      <w:r w:rsidR="16E88D1E" w:rsidRPr="21F03F9F">
        <w:rPr>
          <w:rFonts w:cs="Times New Roman"/>
        </w:rPr>
        <w:t xml:space="preserve">, as </w:t>
      </w:r>
      <w:r w:rsidR="62D70CB7" w:rsidRPr="21F03F9F">
        <w:rPr>
          <w:rFonts w:cs="Times New Roman"/>
        </w:rPr>
        <w:t xml:space="preserve">businesses in these sectors were </w:t>
      </w:r>
      <w:r w:rsidR="46E1EC11" w:rsidRPr="21F03F9F">
        <w:rPr>
          <w:rFonts w:cs="Times New Roman"/>
        </w:rPr>
        <w:t>more affected by</w:t>
      </w:r>
      <w:r w:rsidR="62D70CB7" w:rsidRPr="21F03F9F">
        <w:rPr>
          <w:rFonts w:cs="Times New Roman"/>
        </w:rPr>
        <w:t xml:space="preserve"> Covid-19 constraints, such as social distancing in the service sector </w:t>
      </w:r>
      <w:r w:rsidR="00EE57BB" w:rsidRPr="21F03F9F">
        <w:rPr>
          <w:rFonts w:cs="Times New Roman"/>
        </w:rPr>
        <w:fldChar w:fldCharType="begin" w:fldLock="1"/>
      </w:r>
      <w:r w:rsidR="00EE57BB" w:rsidRPr="21F03F9F">
        <w:rPr>
          <w:rFonts w:cs="Times New Roman"/>
        </w:rPr>
        <w:instrText>ADDIN CSL_CITATION {"citationItems":[{"id":"ITEM-1","itemData":{"DOI":"10.1007/s11187-021-00544-y","ISBN":"0123456789","ISSN":"15730913","abstract":"The existential threat to small businesses, based on their crucial role in the economy, is behind the plethora of scholarly studies in 2020, the first year of the COVID-19 pandemic. Examining the 15 contributions of the special issue on the “Economic effects of the COVID-19 pandemic on entrepreneurship and small businesses,” the paper comprises four parts: a systematic review of the literature on the effect on entrepreneurship and small businesses; a discussion of four literature strands based on this review; an overview of the contributions in this special issue; and some ideas for post-pandemic economic research.","author":[{"dropping-particle":"","family":"Belitski","given":"Maksim","non-dropping-particle":"","parse-names":false,"suffix":""},{"dropping-particle":"","family":"Guenther","given":"Christina","non-dropping-particle":"","parse-names":false,"suffix":""},{"dropping-particle":"","family":"Kritikos","given":"Alexander S.","non-dropping-particle":"","parse-names":false,"suffix":""},{"dropping-particle":"","family":"Thurik","given":"Roy","non-dropping-particle":"","parse-names":false,"suffix":""}],"container-title":"Small Business Economics","id":"ITEM-1","issue":"2","issued":{"date-parts":[["2022"]]},"page":"593-609","publisher":"Springer US","title":"Economic effects of the COVID-19 pandemic on entrepreneurship and small businesses","type":"article-journal","volume":"58"},"uris":["http://www.mendeley.com/documents/?uuid=6db3a8f2-438a-49a0-994d-5c3a1d0812f6","http://www.mendeley.com/documents/?uuid=a1bfb27d-e2ee-421f-87fd-9bb3bdb8a965"]}],"mendeley":{"formattedCitation":"(Belitski et al., 2022)","plainTextFormattedCitation":"(Belitski et al., 2022)","previouslyFormattedCitation":"(Belitski et al., 2022)"},"properties":{"noteIndex":0},"schema":"https://github.com/citation-style-language/schema/raw/master/csl-citation.json"}</w:instrText>
      </w:r>
      <w:r w:rsidR="00EE57BB" w:rsidRPr="21F03F9F">
        <w:rPr>
          <w:rFonts w:cs="Times New Roman"/>
        </w:rPr>
        <w:fldChar w:fldCharType="separate"/>
      </w:r>
      <w:r w:rsidR="62D70CB7" w:rsidRPr="21F03F9F">
        <w:rPr>
          <w:rFonts w:cs="Times New Roman"/>
          <w:noProof/>
        </w:rPr>
        <w:t>(Belitski et al., 2022)</w:t>
      </w:r>
      <w:r w:rsidR="00EE57BB" w:rsidRPr="21F03F9F">
        <w:rPr>
          <w:rFonts w:cs="Times New Roman"/>
        </w:rPr>
        <w:fldChar w:fldCharType="end"/>
      </w:r>
      <w:r w:rsidR="2728AEAE" w:rsidRPr="21F03F9F">
        <w:rPr>
          <w:rFonts w:cs="Times New Roman"/>
        </w:rPr>
        <w:t xml:space="preserve"> and </w:t>
      </w:r>
      <w:r w:rsidR="53DF8575" w:rsidRPr="21F03F9F">
        <w:rPr>
          <w:rFonts w:cs="Times New Roman"/>
        </w:rPr>
        <w:t xml:space="preserve">were </w:t>
      </w:r>
      <w:r w:rsidR="7FDDDE53" w:rsidRPr="21F03F9F">
        <w:rPr>
          <w:rFonts w:cs="Times New Roman"/>
        </w:rPr>
        <w:t>explicit</w:t>
      </w:r>
      <w:r w:rsidR="53DF8575" w:rsidRPr="21F03F9F">
        <w:rPr>
          <w:rFonts w:cs="Times New Roman"/>
        </w:rPr>
        <w:t xml:space="preserve">ly targeted by </w:t>
      </w:r>
      <w:r w:rsidR="7FDDDE53" w:rsidRPr="21F03F9F">
        <w:rPr>
          <w:rFonts w:cs="Times New Roman"/>
        </w:rPr>
        <w:t>such</w:t>
      </w:r>
      <w:r w:rsidR="53DF8575" w:rsidRPr="21F03F9F">
        <w:rPr>
          <w:rFonts w:cs="Times New Roman"/>
        </w:rPr>
        <w:t xml:space="preserve"> government support </w:t>
      </w:r>
      <w:r w:rsidR="6009D0BF" w:rsidRPr="21F03F9F">
        <w:rPr>
          <w:rFonts w:cs="Times New Roman"/>
        </w:rPr>
        <w:t>instruments</w:t>
      </w:r>
      <w:r w:rsidR="3A723FAB" w:rsidRPr="21F03F9F">
        <w:rPr>
          <w:rFonts w:cs="Times New Roman"/>
        </w:rPr>
        <w:t xml:space="preserve"> as B</w:t>
      </w:r>
      <w:r w:rsidR="67671F33" w:rsidRPr="21F03F9F">
        <w:rPr>
          <w:rFonts w:cs="Times New Roman"/>
        </w:rPr>
        <w:t>RH</w:t>
      </w:r>
      <w:r w:rsidR="3A723FAB" w:rsidRPr="21F03F9F">
        <w:rPr>
          <w:rFonts w:cs="Times New Roman"/>
        </w:rPr>
        <w:t xml:space="preserve"> </w:t>
      </w:r>
      <w:r w:rsidR="00EE57BB" w:rsidRPr="21F03F9F">
        <w:rPr>
          <w:rFonts w:cs="Times New Roman"/>
        </w:rPr>
        <w:fldChar w:fldCharType="begin" w:fldLock="1"/>
      </w:r>
      <w:r w:rsidR="00EE57BB" w:rsidRPr="21F03F9F">
        <w:rPr>
          <w:rFonts w:cs="Times New Roman"/>
        </w:rPr>
        <w:instrText>ADDIN CSL_CITATION {"citationItems":[{"id":"ITEM-1","itemData":{"author":[{"dropping-particle":"","family":"Matikonis","given":"Karolis","non-dropping-particle":"","parse-names":false,"suffix":""}],"container-title":"British Tax Review","id":"ITEM-1","issue":"2","issued":{"date-parts":[["2020"]]},"page":"143-150","title":"Unintended recipients of rising UK non-domestic property tax reliefs","type":"article-journal","volume":"2020"},"uris":["http://www.mendeley.com/documents/?uuid=69a5aac1-9e18-4fdd-aa20-f0fceb52e602"]}],"mendeley":{"formattedCitation":"(Matikonis, 2020)","plainTextFormattedCitation":"(Matikonis, 2020)","previouslyFormattedCitation":"(Matikonis, 2020)"},"properties":{"noteIndex":0},"schema":"https://github.com/citation-style-language/schema/raw/master/csl-citation.json"}</w:instrText>
      </w:r>
      <w:r w:rsidR="00EE57BB" w:rsidRPr="21F03F9F">
        <w:rPr>
          <w:rFonts w:cs="Times New Roman"/>
        </w:rPr>
        <w:fldChar w:fldCharType="separate"/>
      </w:r>
      <w:r w:rsidR="564A3D42" w:rsidRPr="21F03F9F">
        <w:rPr>
          <w:rFonts w:cs="Times New Roman"/>
          <w:noProof/>
        </w:rPr>
        <w:t>(Matikonis, 2020)</w:t>
      </w:r>
      <w:r w:rsidR="00EE57BB" w:rsidRPr="21F03F9F">
        <w:rPr>
          <w:rFonts w:cs="Times New Roman"/>
        </w:rPr>
        <w:fldChar w:fldCharType="end"/>
      </w:r>
      <w:r w:rsidR="6009D0BF" w:rsidRPr="21F03F9F">
        <w:rPr>
          <w:rFonts w:cs="Times New Roman"/>
        </w:rPr>
        <w:t>.</w:t>
      </w:r>
      <w:r w:rsidR="16E88D1E" w:rsidRPr="21F03F9F">
        <w:rPr>
          <w:rFonts w:cs="Times New Roman"/>
        </w:rPr>
        <w:t xml:space="preserve"> </w:t>
      </w:r>
      <w:r w:rsidR="2CF43A26" w:rsidRPr="21F03F9F">
        <w:rPr>
          <w:rFonts w:cs="Times New Roman"/>
        </w:rPr>
        <w:t xml:space="preserve">We also include a dummy taking a value of 1 when </w:t>
      </w:r>
      <w:r w:rsidR="1F208322" w:rsidRPr="21F03F9F">
        <w:rPr>
          <w:rFonts w:cs="Times New Roman"/>
        </w:rPr>
        <w:t>SMEs</w:t>
      </w:r>
      <w:r w:rsidR="2CF43A26" w:rsidRPr="21F03F9F">
        <w:rPr>
          <w:rFonts w:cs="Times New Roman"/>
        </w:rPr>
        <w:t xml:space="preserve"> are located in </w:t>
      </w:r>
      <w:r w:rsidR="379B6F38" w:rsidRPr="21F03F9F">
        <w:rPr>
          <w:rFonts w:cs="Times New Roman"/>
        </w:rPr>
        <w:t xml:space="preserve">an </w:t>
      </w:r>
      <w:r w:rsidR="2CF43A26" w:rsidRPr="21F03F9F">
        <w:rPr>
          <w:rFonts w:cs="Times New Roman"/>
        </w:rPr>
        <w:t>urban area</w:t>
      </w:r>
      <w:r w:rsidR="72EC0A9D" w:rsidRPr="21F03F9F">
        <w:rPr>
          <w:rFonts w:cs="Times New Roman"/>
        </w:rPr>
        <w:t xml:space="preserve"> to</w:t>
      </w:r>
      <w:r w:rsidR="7EA11F27" w:rsidRPr="21F03F9F">
        <w:rPr>
          <w:rFonts w:cs="Times New Roman"/>
        </w:rPr>
        <w:t xml:space="preserve"> control for</w:t>
      </w:r>
      <w:r w:rsidR="5836AC5F" w:rsidRPr="21F03F9F">
        <w:rPr>
          <w:rFonts w:cs="Times New Roman"/>
        </w:rPr>
        <w:t xml:space="preserve"> </w:t>
      </w:r>
      <w:r w:rsidR="7EA11F27" w:rsidRPr="21F03F9F">
        <w:rPr>
          <w:rFonts w:cs="Times New Roman"/>
        </w:rPr>
        <w:t>differences in</w:t>
      </w:r>
      <w:r w:rsidR="40AC224D" w:rsidRPr="21F03F9F">
        <w:rPr>
          <w:rFonts w:cs="Times New Roman"/>
        </w:rPr>
        <w:t xml:space="preserve"> </w:t>
      </w:r>
      <w:r w:rsidR="04FCBFE5" w:rsidRPr="21F03F9F">
        <w:rPr>
          <w:rFonts w:cs="Times New Roman"/>
        </w:rPr>
        <w:t xml:space="preserve">the </w:t>
      </w:r>
      <w:r w:rsidR="06EE8669" w:rsidRPr="21F03F9F">
        <w:rPr>
          <w:rFonts w:cs="Times New Roman"/>
        </w:rPr>
        <w:t>operating environment</w:t>
      </w:r>
      <w:r w:rsidR="6E571038" w:rsidRPr="21F03F9F">
        <w:rPr>
          <w:rFonts w:cs="Times New Roman"/>
        </w:rPr>
        <w:t xml:space="preserve"> and </w:t>
      </w:r>
      <w:r w:rsidR="588C3C0D" w:rsidRPr="21F03F9F">
        <w:rPr>
          <w:rFonts w:cs="Times New Roman"/>
        </w:rPr>
        <w:t>type of firms</w:t>
      </w:r>
      <w:r w:rsidR="06EE8669" w:rsidRPr="21F03F9F">
        <w:rPr>
          <w:rFonts w:cs="Times New Roman"/>
        </w:rPr>
        <w:t xml:space="preserve"> </w:t>
      </w:r>
      <w:r w:rsidR="00EE57BB" w:rsidRPr="21F03F9F">
        <w:rPr>
          <w:rFonts w:cs="Times New Roman"/>
        </w:rPr>
        <w:fldChar w:fldCharType="begin" w:fldLock="1"/>
      </w:r>
      <w:r w:rsidR="00EE57BB" w:rsidRPr="21F03F9F">
        <w:rPr>
          <w:rFonts w:cs="Times New Roman"/>
        </w:rPr>
        <w:instrText>ADDIN CSL_CITATION {"citationItems":[{"id":"ITEM-1","itemData":{"DOI":"10.1068/c0316","ISSN":"0263-774X","abstract":"This paper is concerned with small business development in rural areas and the policy approaches currently being used to support them. The key question underlying the paper is the extent to which small businesses located in rural areas have distinctive support needs, associated with the characteristics of rural businesses themselves or their owners, and/or the characteristics of the external operating environment for business in rural areas. A related question concerns the possible influence of enterprise characteristics and the characteristics of rural areas on how the business support needs of rural businesses are best addressed. The study comprised a desk-based review of existing literature relevant to the support needs of rural enterprises and/or the means of addressing them. It also included primary research on policy initiatives and programmes concerned with enterprise development in rural areas. Telephone interviews were conducted in 2001 with representatives of Business Links with catchments that included rural areas, as well as other key agencies (for example, the Countryside Agency). In addition, twenty-four case studies were completed of rural policy initiatives, based on face-to-face interviews. Following a brief review of key literature, an overview of the policies currently being operated by Business Link is described, based on the survey. This is followed by an identification of good-practice principles of rural business support, based on an analysis of the case-study support initiatives. The paper concludes by identifying the implications of the analysis for future enterprise support policy.","author":[{"dropping-particle":"","family":"Smallbone","given":"David","non-dropping-particle":"","parse-names":false,"suffix":""},{"dropping-particle":"","family":"Baldock","given":"Robert","non-dropping-particle":"","parse-names":false,"suffix":""},{"dropping-particle":"","family":"North","given":"David","non-dropping-particle":"","parse-names":false,"suffix":""}],"container-title":"Environment and Planning C: Government and Policy","id":"ITEM-1","issue":"6","issued":{"date-parts":[["2003","12","30"]]},"page":"825-841","title":"Policy Support for Small Firms in Rural Areas: The English Experience","type":"article-journal","volume":"21"},"uris":["http://www.mendeley.com/documents/?uuid=499c0626-abf4-4a2c-b61d-bbdeb72dce88"]},{"id":"ITEM-2","itemData":{"DOI":"10.1016/j.jrurstud.2018.09.017","ISSN":"07430167","abstract":"Rural enterprises play an important economic role, contributing to national prosperity and wellbeing but are often a blind spot within rural development and wider economic policies and evidence. This paper presents an urban-rural analysis of a large scale survey of Small and Medium-sized Enterprises (SMEs). It applies Propensity Score Matching to allow for an assessment of the effects of rurality on business performance. Results show that England's rural firms have similar levels of turnover to their urban counterparts, but are more likely to report a profit. The analysis also reveals rural firms to be significantly stronger exporters of goods and services and to have goods or services suitable for exporting. However, there are some weaknesses and obstacles to business success that concern significantly more rural than urban firms, that vary with the rurality of local districts, and which require the attention of policy makers and support providers seeking to achieve spatially-balanced and more equitable economic development.","author":[{"dropping-particle":"","family":"Phillipson","given":"Jeremy","non-dropping-particle":"","parse-names":false,"suffix":""},{"dropping-particle":"","family":"Tiwasing","given":"Pattanapong","non-dropping-particle":"","parse-names":false,"suffix":""},{"dropping-particle":"","family":"Gorton","given":"Matthew","non-dropping-particle":"","parse-names":false,"suffix":""},{"dropping-particle":"","family":"Maioli","given":"Sara","non-dropping-particle":"","parse-names":false,"suffix":""},{"dropping-particle":"","family":"Newbery","given":"Robert","non-dropping-particle":"","parse-names":false,"suffix":""},{"dropping-particle":"","family":"Turner","given":"Roger","non-dropping-particle":"","parse-names":false,"suffix":""}],"container-title":"Journal of Rural Studies","id":"ITEM-2","issued":{"date-parts":[["2019","5"]]},"page":"230-239","publisher":"Elsevier","title":"Shining a spotlight on small rural businesses: How does their performance compare with urban?","type":"article-journal","volume":"68"},"uris":["http://www.mendeley.com/documents/?uuid=04adee0a-c1fe-4906-8e8a-00e46e80b2d4","http://www.mendeley.com/documents/?uuid=3edb34d7-b8c8-470b-9996-f9e09ab808e8"]}],"mendeley":{"formattedCitation":"(Phillipson et al., 2019; Smallbone et al., 2003)","plainTextFormattedCitation":"(Phillipson et al., 2019; Smallbone et al., 2003)","previouslyFormattedCitation":"(Phillipson et al., 2019; Smallbone et al., 2003)"},"properties":{"noteIndex":0},"schema":"https://github.com/citation-style-language/schema/raw/master/csl-citation.json"}</w:instrText>
      </w:r>
      <w:r w:rsidR="00EE57BB" w:rsidRPr="21F03F9F">
        <w:rPr>
          <w:rFonts w:cs="Times New Roman"/>
        </w:rPr>
        <w:fldChar w:fldCharType="separate"/>
      </w:r>
      <w:r w:rsidR="3C655505" w:rsidRPr="21F03F9F">
        <w:rPr>
          <w:rFonts w:cs="Times New Roman"/>
          <w:noProof/>
        </w:rPr>
        <w:t>(Phillipson et al., 2019; Smallbone et al., 2003)</w:t>
      </w:r>
      <w:r w:rsidR="00EE57BB" w:rsidRPr="21F03F9F">
        <w:rPr>
          <w:rFonts w:cs="Times New Roman"/>
        </w:rPr>
        <w:fldChar w:fldCharType="end"/>
      </w:r>
      <w:r w:rsidR="3C655505" w:rsidRPr="21F03F9F">
        <w:rPr>
          <w:rFonts w:cs="Times New Roman"/>
        </w:rPr>
        <w:t xml:space="preserve"> </w:t>
      </w:r>
      <w:r w:rsidR="6E571038" w:rsidRPr="21F03F9F">
        <w:rPr>
          <w:rFonts w:cs="Times New Roman"/>
        </w:rPr>
        <w:t>as well as to</w:t>
      </w:r>
      <w:r w:rsidR="40AC224D" w:rsidRPr="21F03F9F">
        <w:rPr>
          <w:rFonts w:cs="Times New Roman"/>
        </w:rPr>
        <w:t xml:space="preserve"> </w:t>
      </w:r>
      <w:r w:rsidR="72EC0A9D" w:rsidRPr="21F03F9F">
        <w:rPr>
          <w:rFonts w:cs="Times New Roman"/>
        </w:rPr>
        <w:t xml:space="preserve">accommodate </w:t>
      </w:r>
      <w:r w:rsidR="30ECE66A" w:rsidRPr="21F03F9F">
        <w:rPr>
          <w:rFonts w:cs="Times New Roman"/>
        </w:rPr>
        <w:t xml:space="preserve">differences in </w:t>
      </w:r>
      <w:r w:rsidR="72EC0A9D" w:rsidRPr="21F03F9F">
        <w:rPr>
          <w:rFonts w:cs="Times New Roman"/>
        </w:rPr>
        <w:t>the spread of Covid-19</w:t>
      </w:r>
      <w:r w:rsidR="7FDDDE53" w:rsidRPr="21F03F9F">
        <w:rPr>
          <w:rFonts w:cs="Times New Roman"/>
        </w:rPr>
        <w:t xml:space="preserve"> </w:t>
      </w:r>
      <w:r w:rsidR="00EE57BB" w:rsidRPr="21F03F9F">
        <w:rPr>
          <w:rFonts w:cs="Times New Roman"/>
        </w:rPr>
        <w:fldChar w:fldCharType="begin" w:fldLock="1"/>
      </w:r>
      <w:r w:rsidR="00EE57BB" w:rsidRPr="21F03F9F">
        <w:rPr>
          <w:rFonts w:cs="Times New Roman"/>
        </w:rPr>
        <w:instrText>ADDIN CSL_CITATION {"citationItems":[{"id":"ITEM-1","itemData":{"DOI":"10.1371/journal.pone.0246548","ISBN":"1111111111","ISSN":"19326203","PMID":"33534870","abstract":"As the COVID-19 pandemic moved beyond the initial heavily impacted and urbanized Northeast region of the United States, hotspots of cases in other urban areas ensued across the country in early 2020. In South Carolina, the spatial and temporal patterns were different, initially concentrating in small towns within metro counties, then diffusing to centralized urban areas and rural areas. When mitigation restrictions were relaxed, hotspots reappeared in the major cities. This paper examines the county-scale spatial and temporal patterns of confirmed cases of COVID-19 for South Carolina from March 1st-September 5th, 2020. We first describe the initial diffusion of the new confirmed cases per week across the state, which remained under 2,000 cases until Memorial Day weekend (epi week 23) then dramatically increased, peaking in mid-July (epi week 29), and slowly declining thereafter. Second, we found significant differences in cases and deaths between urban and rural counties, partially related to the timing of the number of confirmed cases and deaths and the implementation of state and local mitigations. Third, we found that the case rates and mortality rates positively correlated with pre-existing social vulnerability. There was also a negative correlation between mortality rates and county resilience patterns, as expected, suggesting that counties with higher levels of inherent resilience had fewer deaths per 100,000 population.","author":[{"dropping-particle":"","family":"Huang","given":"Qian","non-dropping-particle":"","parse-names":false,"suffix":""},{"dropping-particle":"","family":"Jackson","given":"Sarah","non-dropping-particle":"","parse-names":false,"suffix":""},{"dropping-particle":"","family":"Derakhshan","given":"Sahar","non-dropping-particle":"","parse-names":false,"suffix":""},{"dropping-particle":"","family":"Lee","given":"Logan","non-dropping-particle":"","parse-names":false,"suffix":""},{"dropping-particle":"","family":"Pham","given":"Erika","non-dropping-particle":"","parse-names":false,"suffix":""},{"dropping-particle":"","family":"Jackson","given":"Amber","non-dropping-particle":"","parse-names":false,"suffix":""},{"dropping-particle":"","family":"Cutter","given":"Susan L","non-dropping-particle":"","parse-names":false,"suffix":""}],"container-title":"PLoS ONE","id":"ITEM-1","issue":"2","issued":{"date-parts":[["2021"]]},"page":"e0246548","title":"Urban-rural differences in COVID-19 exposures and outcomes in the South: A preliminary analysis of South Carolina","type":"article-journal","volume":"16"},"uris":["http://www.mendeley.com/documents/?uuid=9b13a6d4-a838-4c93-a705-76141d7205e3","http://www.mendeley.com/documents/?uuid=19389f2e-6562-493c-b8a3-52419f3c605c"]}],"mendeley":{"formattedCitation":"(Huang et al., 2021)","plainTextFormattedCitation":"(Huang et al., 2021)","previouslyFormattedCitation":"(Huang et al., 2021)"},"properties":{"noteIndex":0},"schema":"https://github.com/citation-style-language/schema/raw/master/csl-citation.json"}</w:instrText>
      </w:r>
      <w:r w:rsidR="00EE57BB" w:rsidRPr="21F03F9F">
        <w:rPr>
          <w:rFonts w:cs="Times New Roman"/>
        </w:rPr>
        <w:fldChar w:fldCharType="separate"/>
      </w:r>
      <w:r w:rsidR="5C6237E2" w:rsidRPr="21F03F9F">
        <w:rPr>
          <w:rFonts w:cs="Times New Roman"/>
          <w:noProof/>
        </w:rPr>
        <w:t>(Huang et al., 2021)</w:t>
      </w:r>
      <w:r w:rsidR="00EE57BB" w:rsidRPr="21F03F9F">
        <w:rPr>
          <w:rFonts w:cs="Times New Roman"/>
        </w:rPr>
        <w:fldChar w:fldCharType="end"/>
      </w:r>
      <w:r w:rsidR="72EC0A9D" w:rsidRPr="21F03F9F">
        <w:rPr>
          <w:rFonts w:cs="Times New Roman"/>
        </w:rPr>
        <w:t>. Finally,</w:t>
      </w:r>
      <w:r w:rsidR="64B97613" w:rsidRPr="21F03F9F">
        <w:rPr>
          <w:rFonts w:cs="Times New Roman"/>
        </w:rPr>
        <w:t xml:space="preserve"> our rich data enables us to </w:t>
      </w:r>
      <w:r w:rsidR="14662274" w:rsidRPr="21F03F9F">
        <w:rPr>
          <w:rFonts w:cs="Times New Roman"/>
        </w:rPr>
        <w:t>control</w:t>
      </w:r>
      <w:r w:rsidR="379B6F38" w:rsidRPr="21F03F9F">
        <w:rPr>
          <w:rFonts w:cs="Times New Roman"/>
        </w:rPr>
        <w:t xml:space="preserve"> for</w:t>
      </w:r>
      <w:r w:rsidR="14662274" w:rsidRPr="21F03F9F">
        <w:rPr>
          <w:rFonts w:cs="Times New Roman"/>
        </w:rPr>
        <w:t xml:space="preserve"> the ethnic minority lead </w:t>
      </w:r>
      <w:r w:rsidR="1F208322" w:rsidRPr="21F03F9F">
        <w:rPr>
          <w:rFonts w:cs="Times New Roman"/>
        </w:rPr>
        <w:t>SMEs</w:t>
      </w:r>
      <w:r w:rsidR="65AD8C5A" w:rsidRPr="21F03F9F">
        <w:rPr>
          <w:rFonts w:cs="Times New Roman"/>
        </w:rPr>
        <w:t xml:space="preserve">, which was </w:t>
      </w:r>
      <w:r w:rsidR="379B6F38" w:rsidRPr="21F03F9F">
        <w:rPr>
          <w:rFonts w:cs="Times New Roman"/>
        </w:rPr>
        <w:t>identified</w:t>
      </w:r>
      <w:r w:rsidR="65AD8C5A" w:rsidRPr="21F03F9F">
        <w:rPr>
          <w:rFonts w:cs="Times New Roman"/>
        </w:rPr>
        <w:t xml:space="preserve"> as an </w:t>
      </w:r>
      <w:r w:rsidR="379B6F38" w:rsidRPr="21F03F9F">
        <w:rPr>
          <w:rFonts w:cs="Times New Roman"/>
        </w:rPr>
        <w:t>important</w:t>
      </w:r>
      <w:r w:rsidR="65AD8C5A" w:rsidRPr="21F03F9F">
        <w:rPr>
          <w:rFonts w:cs="Times New Roman"/>
        </w:rPr>
        <w:t xml:space="preserve"> area to explore with future research in </w:t>
      </w:r>
      <w:proofErr w:type="spellStart"/>
      <w:r w:rsidR="65AD8C5A" w:rsidRPr="21F03F9F">
        <w:rPr>
          <w:rFonts w:cs="Times New Roman"/>
        </w:rPr>
        <w:t>Clampit</w:t>
      </w:r>
      <w:proofErr w:type="spellEnd"/>
      <w:r w:rsidR="65AD8C5A" w:rsidRPr="21F03F9F">
        <w:rPr>
          <w:rFonts w:cs="Times New Roman"/>
        </w:rPr>
        <w:t xml:space="preserve"> et al. (2022)</w:t>
      </w:r>
      <w:r w:rsidR="7DF761E6" w:rsidRPr="21F03F9F">
        <w:rPr>
          <w:rFonts w:cs="Times New Roman"/>
        </w:rPr>
        <w:t xml:space="preserve"> and </w:t>
      </w:r>
      <w:r w:rsidR="694C6262" w:rsidRPr="21F03F9F">
        <w:rPr>
          <w:rFonts w:cs="Times New Roman"/>
        </w:rPr>
        <w:t xml:space="preserve">Martinez Dy and </w:t>
      </w:r>
      <w:proofErr w:type="spellStart"/>
      <w:r w:rsidR="694C6262" w:rsidRPr="21F03F9F">
        <w:rPr>
          <w:rFonts w:cs="Times New Roman"/>
        </w:rPr>
        <w:t>Jayawarna</w:t>
      </w:r>
      <w:proofErr w:type="spellEnd"/>
      <w:r w:rsidR="694C6262" w:rsidRPr="21F03F9F">
        <w:rPr>
          <w:rFonts w:cs="Times New Roman"/>
        </w:rPr>
        <w:t xml:space="preserve"> </w:t>
      </w:r>
      <w:r w:rsidR="00EE57BB" w:rsidRPr="21F03F9F">
        <w:rPr>
          <w:rFonts w:cs="Times New Roman"/>
        </w:rPr>
        <w:fldChar w:fldCharType="begin" w:fldLock="1"/>
      </w:r>
      <w:r w:rsidR="00EE57BB" w:rsidRPr="21F03F9F">
        <w:rPr>
          <w:rFonts w:cs="Times New Roman"/>
        </w:rPr>
        <w:instrText>ADDIN CSL_CITATION {"citationItems":[{"id":"ITEM-1","itemData":{"DOI":"10.1177/0266242620939935","ISSN":"17412870","abstract":"Decolonial philosopher Sylvia Wynter theorises the human animal as formed by both bios and mythoi, or matter and meaning. This article adopts this ontological perspective to explore the effects of the COVID-19 crisis on UK self-employed women and women-owned businesses through an intersectional lens accounting for race, class and gender. We argue that unequal health outcomes from COVID-19 are not solely biological; rather, they are also the outcome of social inequalities. Drawing upon the Wynterian elaboration of Fanon’s work on sociogeny – the shaping of the embodied human experience by the norms of given society – to explain this phenomenon, we contend that the same inequalities emerging in health outcomes will be reflected in entrepreneurship and self-employment. Drawing on Labour Force Survey data for the past decade, we peer through the Wynterian prism of bios and mythoi to argue that marginalised entrepreneurs are likely to experience extreme precarity due to COVID-19 and so require targeted support.","author":[{"dropping-particle":"","family":"Martinez Dy","given":"Angela","non-dropping-particle":"","parse-names":false,"suffix":""},{"dropping-particle":"","family":"Jayawarna","given":"Dilani","non-dropping-particle":"","parse-names":false,"suffix":""}],"container-title":"International Small Business Journal: Researching Entrepreneurship","id":"ITEM-1","issue":"5","issued":{"date-parts":[["2020"]]},"page":"391-403","title":"Bios, mythoi and women entrepreneurs: A Wynterian analysis of the intersectional impacts of the COVID-19 pandemic on self-employed women and women-owned businesses","type":"article-journal","volume":"38"},"suppress-author":1,"uris":["http://www.mendeley.com/documents/?uuid=d1d51712-461e-4973-b5bb-eda9de0f85ea","http://www.mendeley.com/documents/?uuid=ad42cb6e-cc0b-4704-9107-78f5979fb8e7"]}],"mendeley":{"formattedCitation":"(2020)","plainTextFormattedCitation":"(2020)","previouslyFormattedCitation":"(2020)"},"properties":{"noteIndex":0},"schema":"https://github.com/citation-style-language/schema/raw/master/csl-citation.json"}</w:instrText>
      </w:r>
      <w:r w:rsidR="00EE57BB" w:rsidRPr="21F03F9F">
        <w:rPr>
          <w:rFonts w:cs="Times New Roman"/>
        </w:rPr>
        <w:fldChar w:fldCharType="separate"/>
      </w:r>
      <w:r w:rsidR="50DAB313" w:rsidRPr="21F03F9F">
        <w:rPr>
          <w:rFonts w:cs="Times New Roman"/>
          <w:noProof/>
        </w:rPr>
        <w:t>(2020)</w:t>
      </w:r>
      <w:r w:rsidR="00EE57BB" w:rsidRPr="21F03F9F">
        <w:rPr>
          <w:rFonts w:cs="Times New Roman"/>
        </w:rPr>
        <w:fldChar w:fldCharType="end"/>
      </w:r>
      <w:r w:rsidR="65AD8C5A" w:rsidRPr="21F03F9F">
        <w:rPr>
          <w:rFonts w:cs="Times New Roman"/>
        </w:rPr>
        <w:t>,</w:t>
      </w:r>
      <w:r w:rsidR="14662274" w:rsidRPr="21F03F9F">
        <w:rPr>
          <w:rFonts w:cs="Times New Roman"/>
        </w:rPr>
        <w:t xml:space="preserve"> with a</w:t>
      </w:r>
      <w:r w:rsidR="72EC0A9D" w:rsidRPr="21F03F9F">
        <w:rPr>
          <w:rFonts w:cs="Times New Roman"/>
        </w:rPr>
        <w:t xml:space="preserve"> dumm</w:t>
      </w:r>
      <w:r w:rsidR="14662274" w:rsidRPr="21F03F9F">
        <w:rPr>
          <w:rFonts w:cs="Times New Roman"/>
        </w:rPr>
        <w:t>y</w:t>
      </w:r>
      <w:r w:rsidR="72EC0A9D" w:rsidRPr="21F03F9F">
        <w:rPr>
          <w:rFonts w:cs="Times New Roman"/>
        </w:rPr>
        <w:t xml:space="preserve"> taking </w:t>
      </w:r>
      <w:r w:rsidR="379B6F38" w:rsidRPr="21F03F9F">
        <w:rPr>
          <w:rFonts w:cs="Times New Roman"/>
        </w:rPr>
        <w:t xml:space="preserve">a </w:t>
      </w:r>
      <w:r w:rsidR="72EC0A9D" w:rsidRPr="21F03F9F">
        <w:rPr>
          <w:rFonts w:cs="Times New Roman"/>
        </w:rPr>
        <w:t xml:space="preserve">value of 1 for </w:t>
      </w:r>
      <w:r w:rsidR="1F208322" w:rsidRPr="21F03F9F">
        <w:rPr>
          <w:rFonts w:cs="Times New Roman"/>
        </w:rPr>
        <w:t>SMEs</w:t>
      </w:r>
      <w:r w:rsidR="72EC0A9D" w:rsidRPr="21F03F9F">
        <w:rPr>
          <w:rFonts w:cs="Times New Roman"/>
        </w:rPr>
        <w:t xml:space="preserve"> that are ethnic minority lead</w:t>
      </w:r>
      <w:r w:rsidR="520B1C57" w:rsidRPr="21F03F9F">
        <w:rPr>
          <w:rFonts w:cs="Times New Roman"/>
        </w:rPr>
        <w:t xml:space="preserve"> (EML)</w:t>
      </w:r>
      <w:r w:rsidR="72EC0A9D" w:rsidRPr="21F03F9F">
        <w:rPr>
          <w:rFonts w:cs="Times New Roman"/>
        </w:rPr>
        <w:t>.</w:t>
      </w:r>
    </w:p>
    <w:p w14:paraId="5C01515C" w14:textId="22F71A5E" w:rsidR="004F3537" w:rsidRPr="001C2C36" w:rsidRDefault="004F3537" w:rsidP="00E96B06">
      <w:pPr>
        <w:pStyle w:val="Heading2"/>
        <w:rPr>
          <w:rFonts w:ascii="Times New Roman" w:hAnsi="Times New Roman" w:cs="Times New Roman"/>
          <w:szCs w:val="24"/>
        </w:rPr>
      </w:pPr>
      <w:r w:rsidRPr="001C2C36">
        <w:rPr>
          <w:rFonts w:ascii="Times New Roman" w:hAnsi="Times New Roman" w:cs="Times New Roman"/>
          <w:szCs w:val="24"/>
        </w:rPr>
        <w:t>Regression Model</w:t>
      </w:r>
      <w:r w:rsidR="00E96B06" w:rsidRPr="001C2C36">
        <w:rPr>
          <w:rFonts w:ascii="Times New Roman" w:hAnsi="Times New Roman" w:cs="Times New Roman"/>
          <w:szCs w:val="24"/>
        </w:rPr>
        <w:t>s</w:t>
      </w:r>
    </w:p>
    <w:p w14:paraId="0FDE3225" w14:textId="2EB9242C" w:rsidR="004F3537" w:rsidRPr="001C2C36" w:rsidRDefault="496F4BF7">
      <w:pPr>
        <w:rPr>
          <w:rFonts w:cs="Times New Roman"/>
          <w:szCs w:val="24"/>
        </w:rPr>
      </w:pPr>
      <w:r w:rsidRPr="001C2C36">
        <w:rPr>
          <w:rFonts w:cs="Times New Roman"/>
          <w:szCs w:val="24"/>
        </w:rPr>
        <w:t>Given the ordinal structure of the dependent variables, ordinal regression is appropriate. Ordinal regression has been extensively applied in small business research (</w:t>
      </w:r>
      <w:proofErr w:type="spellStart"/>
      <w:r w:rsidRPr="001C2C36">
        <w:rPr>
          <w:rFonts w:cs="Times New Roman"/>
          <w:szCs w:val="24"/>
        </w:rPr>
        <w:t>Kammerlander</w:t>
      </w:r>
      <w:proofErr w:type="spellEnd"/>
      <w:r w:rsidRPr="001C2C36">
        <w:rPr>
          <w:rFonts w:cs="Times New Roman"/>
          <w:szCs w:val="24"/>
        </w:rPr>
        <w:t xml:space="preserve">, </w:t>
      </w:r>
      <w:r w:rsidR="00C86678" w:rsidRPr="001C2C36">
        <w:rPr>
          <w:rFonts w:cs="Times New Roman"/>
          <w:szCs w:val="24"/>
        </w:rPr>
        <w:fldChar w:fldCharType="begin" w:fldLock="1"/>
      </w:r>
      <w:r w:rsidR="00C86678" w:rsidRPr="001C2C36">
        <w:rPr>
          <w:rFonts w:cs="Times New Roman"/>
          <w:szCs w:val="24"/>
        </w:rPr>
        <w:instrText>ADDIN CSL_CITATION {"citationItems":[{"id":"ITEM-1","itemData":{"DOI":"10.1177/0266242614541287","ISSN":"17412870","abstract":"Given the importance of non-economic considerations throughout the entrepreneurial life cycle, I aim to investigate the drivers of owner-managers’ ‘emotional pricing’ when they wish to sell their firms to successors. Emotional pricing thereby denotes those elements of the owner-managers’ price expectations that cannot be traced to economic considerations. Building on arguments from behavioral finance, I hypothesize that ‘emotional pricing’, which in this study reflects owner-managers’ willingness to sell the firm at a discount, is driven by the reluctance to lose access to information about the firm and to lose influence on the firm, and by an aversion to putting the firm’s future at risk. In particular, I argue that a long-term relationship between an owner-manager and a firm, a familiar relationship between an owner-manager and a successor, and situational contingencies – especially unsatisfactory firm performance – increase the owner-manager’s emotional-pricing component. I test the hypotheses using a sample of 1354 owner-managers of Swiss small and medium-sized enterprises (SMEs), who provided their views on their exit intentions. I subsequently compare those results to 455 actual ownership transfers involving Swiss SMEs.","author":[{"dropping-particle":"","family":"Kammerlander","given":"Nadine","non-dropping-particle":"","parse-names":false,"suffix":""}],"container-title":"International Small Business Journal: Researching Entrepreneurship","id":"ITEM-1","issue":"2","issued":{"date-parts":[["2016"]]},"page":"189-214","title":"‘I want this firm to be in good hands’: Emotional pricing of resigning entrepreneurs","type":"article-journal","volume":"34"},"suppress-author":1,"uris":["http://www.mendeley.com/documents/?uuid=63d6e3e7-ef9e-4f82-bc16-f41dd9285468","http://www.mendeley.com/documents/?uuid=c123e70d-6a5d-4891-bf6f-cd5d8d693f0e"]}],"mendeley":{"formattedCitation":"(2016)","manualFormatting":"2016)","plainTextFormattedCitation":"(2016)","previouslyFormattedCitation":"(2016)"},"properties":{"noteIndex":0},"schema":"https://github.com/citation-style-language/schema/raw/master/csl-citation.json"}</w:instrText>
      </w:r>
      <w:r w:rsidR="00C86678" w:rsidRPr="001C2C36">
        <w:rPr>
          <w:rFonts w:cs="Times New Roman"/>
          <w:szCs w:val="24"/>
        </w:rPr>
        <w:fldChar w:fldCharType="separate"/>
      </w:r>
      <w:r w:rsidRPr="001C2C36">
        <w:rPr>
          <w:rFonts w:cs="Times New Roman"/>
          <w:noProof/>
          <w:szCs w:val="24"/>
        </w:rPr>
        <w:t>2016)</w:t>
      </w:r>
      <w:r w:rsidR="00C86678" w:rsidRPr="001C2C36">
        <w:rPr>
          <w:rFonts w:cs="Times New Roman"/>
          <w:szCs w:val="24"/>
        </w:rPr>
        <w:fldChar w:fldCharType="end"/>
      </w:r>
      <w:r w:rsidRPr="001C2C36">
        <w:rPr>
          <w:rFonts w:cs="Times New Roman"/>
          <w:szCs w:val="24"/>
        </w:rPr>
        <w:t xml:space="preserve">. </w:t>
      </w:r>
      <w:r w:rsidR="00D641B6" w:rsidRPr="001C2C36">
        <w:rPr>
          <w:rFonts w:cs="Times New Roman"/>
          <w:szCs w:val="24"/>
        </w:rPr>
        <w:t>To test for the presence of</w:t>
      </w:r>
      <w:r w:rsidRPr="001C2C36">
        <w:rPr>
          <w:rFonts w:cs="Times New Roman"/>
          <w:szCs w:val="24"/>
        </w:rPr>
        <w:t xml:space="preserve"> multicollinearity, we obtained the variance inflation factors (VIFs). This did not reveal any issues, with the highest VIF of </w:t>
      </w:r>
      <w:r w:rsidR="008E4C23" w:rsidRPr="001C2C36">
        <w:rPr>
          <w:rFonts w:cs="Times New Roman"/>
          <w:szCs w:val="24"/>
        </w:rPr>
        <w:t>1.37</w:t>
      </w:r>
      <w:r w:rsidRPr="001C2C36">
        <w:rPr>
          <w:rFonts w:cs="Times New Roman"/>
          <w:szCs w:val="24"/>
        </w:rPr>
        <w:t xml:space="preserve">. As a further robustness check, models are built in three steps. The initial models include only the control variables. The variables measuring </w:t>
      </w:r>
      <w:proofErr w:type="gramStart"/>
      <w:r w:rsidRPr="001C2C36">
        <w:rPr>
          <w:rFonts w:cs="Times New Roman"/>
          <w:szCs w:val="24"/>
        </w:rPr>
        <w:t>DCs</w:t>
      </w:r>
      <w:proofErr w:type="gramEnd"/>
      <w:r w:rsidRPr="001C2C36">
        <w:rPr>
          <w:rFonts w:cs="Times New Roman"/>
          <w:szCs w:val="24"/>
        </w:rPr>
        <w:t xml:space="preserve"> and government support are then added. The final model specifications include the control variables, DCs</w:t>
      </w:r>
      <w:r w:rsidR="00BA729B" w:rsidRPr="001C2C36">
        <w:rPr>
          <w:rFonts w:cs="Times New Roman"/>
          <w:szCs w:val="24"/>
        </w:rPr>
        <w:t>,</w:t>
      </w:r>
      <w:r w:rsidRPr="001C2C36">
        <w:rPr>
          <w:rFonts w:cs="Times New Roman"/>
          <w:szCs w:val="24"/>
        </w:rPr>
        <w:t xml:space="preserve"> government support, and the interaction term between DCs and government support. At each stage of the model building process</w:t>
      </w:r>
      <w:r w:rsidR="00BA729B" w:rsidRPr="001C2C36">
        <w:rPr>
          <w:rFonts w:cs="Times New Roman"/>
          <w:szCs w:val="24"/>
        </w:rPr>
        <w:t>,</w:t>
      </w:r>
      <w:r w:rsidRPr="001C2C36">
        <w:rPr>
          <w:rFonts w:cs="Times New Roman"/>
          <w:szCs w:val="24"/>
        </w:rPr>
        <w:t xml:space="preserve"> we evaluated the improvement in residual deviance and Akaike information criterion (AIC). Further sensitivity analys</w:t>
      </w:r>
      <w:r w:rsidR="00F73867" w:rsidRPr="001C2C36">
        <w:rPr>
          <w:rFonts w:cs="Times New Roman"/>
          <w:szCs w:val="24"/>
        </w:rPr>
        <w:t>e</w:t>
      </w:r>
      <w:r w:rsidRPr="001C2C36">
        <w:rPr>
          <w:rFonts w:cs="Times New Roman"/>
          <w:szCs w:val="24"/>
        </w:rPr>
        <w:t xml:space="preserve">s </w:t>
      </w:r>
      <w:r w:rsidR="00F73867" w:rsidRPr="001C2C36">
        <w:rPr>
          <w:rFonts w:cs="Times New Roman"/>
          <w:szCs w:val="24"/>
        </w:rPr>
        <w:t>are</w:t>
      </w:r>
      <w:r w:rsidRPr="001C2C36">
        <w:rPr>
          <w:rFonts w:cs="Times New Roman"/>
          <w:szCs w:val="24"/>
        </w:rPr>
        <w:t xml:space="preserve"> reported in Appendix </w:t>
      </w:r>
      <w:r w:rsidR="00F96784" w:rsidRPr="001C2C36">
        <w:rPr>
          <w:rFonts w:cs="Times New Roman"/>
          <w:szCs w:val="24"/>
        </w:rPr>
        <w:t>2</w:t>
      </w:r>
      <w:r w:rsidRPr="001C2C36">
        <w:rPr>
          <w:rFonts w:cs="Times New Roman"/>
          <w:szCs w:val="24"/>
        </w:rPr>
        <w:t xml:space="preserve"> by </w:t>
      </w:r>
      <w:r w:rsidR="00F73867" w:rsidRPr="001C2C36">
        <w:rPr>
          <w:rFonts w:cs="Times New Roman"/>
          <w:szCs w:val="24"/>
        </w:rPr>
        <w:t xml:space="preserve">repeating </w:t>
      </w:r>
      <w:r w:rsidRPr="001C2C36">
        <w:rPr>
          <w:rFonts w:cs="Times New Roman"/>
          <w:szCs w:val="24"/>
        </w:rPr>
        <w:t>the analyses with</w:t>
      </w:r>
      <w:r w:rsidR="00741281" w:rsidRPr="001C2C36">
        <w:rPr>
          <w:rFonts w:cs="Times New Roman"/>
          <w:szCs w:val="24"/>
        </w:rPr>
        <w:t xml:space="preserve"> </w:t>
      </w:r>
      <w:r w:rsidR="00F73867" w:rsidRPr="001C2C36">
        <w:rPr>
          <w:rFonts w:cs="Times New Roman"/>
          <w:szCs w:val="24"/>
        </w:rPr>
        <w:t xml:space="preserve">data from </w:t>
      </w:r>
      <w:r w:rsidR="00741281" w:rsidRPr="001C2C36">
        <w:rPr>
          <w:rFonts w:cs="Times New Roman"/>
          <w:szCs w:val="24"/>
        </w:rPr>
        <w:t>various time periods</w:t>
      </w:r>
      <w:r w:rsidRPr="001C2C36">
        <w:rPr>
          <w:rFonts w:cs="Times New Roman"/>
          <w:szCs w:val="24"/>
        </w:rPr>
        <w:t xml:space="preserve"> </w:t>
      </w:r>
      <w:r w:rsidR="00F73867" w:rsidRPr="001C2C36">
        <w:rPr>
          <w:rFonts w:cs="Times New Roman"/>
          <w:szCs w:val="24"/>
        </w:rPr>
        <w:t xml:space="preserve">and excluding </w:t>
      </w:r>
      <w:r w:rsidR="00FD3B90" w:rsidRPr="001C2C36">
        <w:rPr>
          <w:rFonts w:cs="Times New Roman"/>
          <w:szCs w:val="24"/>
        </w:rPr>
        <w:t>n</w:t>
      </w:r>
      <w:r w:rsidRPr="001C2C36">
        <w:rPr>
          <w:rFonts w:cs="Times New Roman"/>
          <w:szCs w:val="24"/>
        </w:rPr>
        <w:t xml:space="preserve">on-employing businesses. </w:t>
      </w:r>
    </w:p>
    <w:p w14:paraId="2ACF55A1" w14:textId="6CD435B8" w:rsidR="00FA087C" w:rsidRPr="001C2C36" w:rsidRDefault="008E0DB6" w:rsidP="00FA087C">
      <w:pPr>
        <w:pStyle w:val="Heading1"/>
        <w:rPr>
          <w:rFonts w:cs="Times New Roman"/>
          <w:szCs w:val="24"/>
        </w:rPr>
      </w:pPr>
      <w:r w:rsidRPr="001C2C36">
        <w:rPr>
          <w:rFonts w:cs="Times New Roman"/>
          <w:szCs w:val="24"/>
        </w:rPr>
        <w:t xml:space="preserve">Analysis and </w:t>
      </w:r>
      <w:r w:rsidR="00FA087C" w:rsidRPr="001C2C36">
        <w:rPr>
          <w:rFonts w:cs="Times New Roman"/>
          <w:szCs w:val="24"/>
        </w:rPr>
        <w:t>Results</w:t>
      </w:r>
    </w:p>
    <w:p w14:paraId="6B1B3A11" w14:textId="46090C59" w:rsidR="00182872" w:rsidRDefault="00361EF6" w:rsidP="00182872">
      <w:pPr>
        <w:rPr>
          <w:rFonts w:cs="Times New Roman"/>
          <w:szCs w:val="24"/>
        </w:rPr>
      </w:pPr>
      <w:r w:rsidRPr="001C2C36">
        <w:rPr>
          <w:rFonts w:cs="Times New Roman"/>
          <w:szCs w:val="24"/>
        </w:rPr>
        <w:t xml:space="preserve">We start by reporting descriptive statistics </w:t>
      </w:r>
      <w:r w:rsidR="00292A9A" w:rsidRPr="001C2C36">
        <w:rPr>
          <w:rFonts w:cs="Times New Roman"/>
          <w:szCs w:val="24"/>
        </w:rPr>
        <w:t xml:space="preserve">in </w:t>
      </w:r>
      <w:r w:rsidR="00015D4E">
        <w:rPr>
          <w:rFonts w:cs="Times New Roman"/>
          <w:szCs w:val="24"/>
        </w:rPr>
        <w:t>Table 1</w:t>
      </w:r>
      <w:r w:rsidR="00292A9A" w:rsidRPr="001C2C36">
        <w:rPr>
          <w:rFonts w:cs="Times New Roman"/>
          <w:szCs w:val="24"/>
        </w:rPr>
        <w:t>.</w:t>
      </w:r>
      <w:r w:rsidR="005112D2" w:rsidRPr="001C2C36">
        <w:rPr>
          <w:rFonts w:cs="Times New Roman"/>
          <w:szCs w:val="24"/>
        </w:rPr>
        <w:t xml:space="preserve"> </w:t>
      </w:r>
      <w:r w:rsidR="000C5463" w:rsidRPr="001C2C36">
        <w:rPr>
          <w:rFonts w:cs="Times New Roman"/>
          <w:szCs w:val="24"/>
        </w:rPr>
        <w:t>We see that</w:t>
      </w:r>
      <w:r w:rsidR="00E37DB1" w:rsidRPr="001C2C36">
        <w:rPr>
          <w:rFonts w:cs="Times New Roman"/>
          <w:szCs w:val="24"/>
        </w:rPr>
        <w:t xml:space="preserve"> in our sample</w:t>
      </w:r>
      <w:r w:rsidR="00E4587B" w:rsidRPr="001C2C36">
        <w:rPr>
          <w:rFonts w:cs="Times New Roman"/>
          <w:szCs w:val="24"/>
        </w:rPr>
        <w:t xml:space="preserve"> most </w:t>
      </w:r>
      <w:r w:rsidR="00923F74" w:rsidRPr="001C2C36">
        <w:rPr>
          <w:rFonts w:cs="Times New Roman"/>
          <w:szCs w:val="24"/>
        </w:rPr>
        <w:t>SMEs</w:t>
      </w:r>
      <w:r w:rsidR="00163F8A" w:rsidRPr="001C2C36">
        <w:rPr>
          <w:rFonts w:cs="Times New Roman"/>
          <w:szCs w:val="24"/>
        </w:rPr>
        <w:t xml:space="preserve"> </w:t>
      </w:r>
      <w:r w:rsidR="00E4587B" w:rsidRPr="001C2C36">
        <w:rPr>
          <w:rFonts w:cs="Times New Roman"/>
          <w:szCs w:val="24"/>
        </w:rPr>
        <w:t>(</w:t>
      </w:r>
      <w:r w:rsidR="000C5463" w:rsidRPr="001C2C36">
        <w:rPr>
          <w:rFonts w:cs="Times New Roman"/>
          <w:szCs w:val="24"/>
        </w:rPr>
        <w:t>6</w:t>
      </w:r>
      <w:r w:rsidR="00F55E89" w:rsidRPr="001C2C36">
        <w:rPr>
          <w:rFonts w:cs="Times New Roman"/>
          <w:szCs w:val="24"/>
        </w:rPr>
        <w:t>4</w:t>
      </w:r>
      <w:r w:rsidR="000C5463" w:rsidRPr="001C2C36">
        <w:rPr>
          <w:rFonts w:cs="Times New Roman"/>
          <w:szCs w:val="24"/>
        </w:rPr>
        <w:t>%</w:t>
      </w:r>
      <w:r w:rsidR="00E4587B" w:rsidRPr="001C2C36">
        <w:rPr>
          <w:rFonts w:cs="Times New Roman"/>
          <w:szCs w:val="24"/>
        </w:rPr>
        <w:t xml:space="preserve">, </w:t>
      </w:r>
      <w:r w:rsidR="000B2012" w:rsidRPr="001C2C36">
        <w:rPr>
          <w:rFonts w:cs="Times New Roman"/>
          <w:szCs w:val="24"/>
        </w:rPr>
        <w:t>SD</w:t>
      </w:r>
      <w:r w:rsidR="00EC69D1" w:rsidRPr="001C2C36">
        <w:rPr>
          <w:rFonts w:cs="Times New Roman"/>
          <w:szCs w:val="24"/>
        </w:rPr>
        <w:t xml:space="preserve"> </w:t>
      </w:r>
      <w:r w:rsidR="000B2012" w:rsidRPr="001C2C36">
        <w:rPr>
          <w:rFonts w:cs="Times New Roman"/>
          <w:szCs w:val="24"/>
        </w:rPr>
        <w:t>=</w:t>
      </w:r>
      <w:r w:rsidR="00EC69D1" w:rsidRPr="001C2C36">
        <w:rPr>
          <w:rFonts w:cs="Times New Roman"/>
          <w:szCs w:val="24"/>
        </w:rPr>
        <w:t xml:space="preserve"> </w:t>
      </w:r>
      <w:r w:rsidR="000B2012" w:rsidRPr="001C2C36">
        <w:rPr>
          <w:rFonts w:eastAsia="Times New Roman" w:cs="Times New Roman"/>
          <w:color w:val="000000"/>
          <w:szCs w:val="24"/>
          <w:lang w:eastAsia="en-GB"/>
        </w:rPr>
        <w:t>0.48</w:t>
      </w:r>
      <w:r w:rsidR="000B2012" w:rsidRPr="001C2C36">
        <w:rPr>
          <w:rFonts w:cs="Times New Roman"/>
          <w:szCs w:val="24"/>
        </w:rPr>
        <w:t>)</w:t>
      </w:r>
      <w:r w:rsidR="000C5463" w:rsidRPr="001C2C36">
        <w:rPr>
          <w:rFonts w:cs="Times New Roman"/>
          <w:szCs w:val="24"/>
        </w:rPr>
        <w:t xml:space="preserve"> </w:t>
      </w:r>
      <w:proofErr w:type="gramStart"/>
      <w:r w:rsidR="000C5463" w:rsidRPr="001C2C36">
        <w:rPr>
          <w:rFonts w:cs="Times New Roman"/>
          <w:szCs w:val="24"/>
        </w:rPr>
        <w:t>were located in</w:t>
      </w:r>
      <w:proofErr w:type="gramEnd"/>
      <w:r w:rsidR="000C5463" w:rsidRPr="001C2C36">
        <w:rPr>
          <w:rFonts w:cs="Times New Roman"/>
          <w:szCs w:val="24"/>
        </w:rPr>
        <w:t xml:space="preserve"> urban areas</w:t>
      </w:r>
      <w:r w:rsidR="00ED6487" w:rsidRPr="001C2C36">
        <w:rPr>
          <w:rFonts w:cs="Times New Roman"/>
          <w:szCs w:val="24"/>
        </w:rPr>
        <w:t>,</w:t>
      </w:r>
      <w:r w:rsidR="00422B60" w:rsidRPr="001C2C36">
        <w:rPr>
          <w:rFonts w:cs="Times New Roman"/>
          <w:szCs w:val="24"/>
        </w:rPr>
        <w:t xml:space="preserve"> and </w:t>
      </w:r>
      <w:r w:rsidR="004A1C9F" w:rsidRPr="001C2C36">
        <w:rPr>
          <w:rFonts w:cs="Times New Roman"/>
          <w:szCs w:val="24"/>
        </w:rPr>
        <w:t xml:space="preserve">just </w:t>
      </w:r>
      <w:r w:rsidR="006A6031" w:rsidRPr="001C2C36">
        <w:rPr>
          <w:rFonts w:cs="Times New Roman"/>
          <w:szCs w:val="24"/>
        </w:rPr>
        <w:t>over one quarter</w:t>
      </w:r>
      <w:r w:rsidR="008F2FBE" w:rsidRPr="001C2C36">
        <w:rPr>
          <w:rFonts w:cs="Times New Roman"/>
          <w:szCs w:val="24"/>
        </w:rPr>
        <w:t xml:space="preserve"> (</w:t>
      </w:r>
      <w:r w:rsidR="0045302B" w:rsidRPr="001C2C36">
        <w:rPr>
          <w:rFonts w:cs="Times New Roman"/>
          <w:szCs w:val="24"/>
        </w:rPr>
        <w:t>2</w:t>
      </w:r>
      <w:r w:rsidR="007736FF" w:rsidRPr="001C2C36">
        <w:rPr>
          <w:rFonts w:cs="Times New Roman"/>
          <w:szCs w:val="24"/>
        </w:rPr>
        <w:t>9</w:t>
      </w:r>
      <w:r w:rsidR="00781206" w:rsidRPr="001C2C36">
        <w:rPr>
          <w:rFonts w:cs="Times New Roman"/>
          <w:szCs w:val="24"/>
        </w:rPr>
        <w:t>%</w:t>
      </w:r>
      <w:r w:rsidR="008F2FBE" w:rsidRPr="001C2C36">
        <w:rPr>
          <w:rFonts w:cs="Times New Roman"/>
          <w:szCs w:val="24"/>
        </w:rPr>
        <w:t xml:space="preserve">, </w:t>
      </w:r>
      <w:r w:rsidR="00781206" w:rsidRPr="001C2C36">
        <w:rPr>
          <w:rFonts w:cs="Times New Roman"/>
          <w:szCs w:val="24"/>
        </w:rPr>
        <w:t>SD</w:t>
      </w:r>
      <w:r w:rsidR="00EC69D1" w:rsidRPr="001C2C36">
        <w:rPr>
          <w:rFonts w:cs="Times New Roman"/>
          <w:szCs w:val="24"/>
        </w:rPr>
        <w:t xml:space="preserve"> </w:t>
      </w:r>
      <w:r w:rsidR="00781206" w:rsidRPr="001C2C36">
        <w:rPr>
          <w:rFonts w:cs="Times New Roman"/>
          <w:szCs w:val="24"/>
        </w:rPr>
        <w:t>=</w:t>
      </w:r>
      <w:r w:rsidR="00EC69D1" w:rsidRPr="001C2C36">
        <w:rPr>
          <w:rFonts w:cs="Times New Roman"/>
          <w:szCs w:val="24"/>
        </w:rPr>
        <w:t xml:space="preserve"> </w:t>
      </w:r>
      <w:r w:rsidR="00781206" w:rsidRPr="001C2C36">
        <w:rPr>
          <w:rFonts w:cs="Times New Roman"/>
          <w:szCs w:val="24"/>
        </w:rPr>
        <w:t xml:space="preserve">0.45) </w:t>
      </w:r>
      <w:r w:rsidR="008F2FBE" w:rsidRPr="001C2C36">
        <w:rPr>
          <w:rFonts w:cs="Times New Roman"/>
          <w:szCs w:val="24"/>
        </w:rPr>
        <w:t>operated</w:t>
      </w:r>
      <w:r w:rsidR="005106F3" w:rsidRPr="001C2C36">
        <w:rPr>
          <w:rFonts w:cs="Times New Roman"/>
          <w:szCs w:val="24"/>
        </w:rPr>
        <w:t xml:space="preserve"> in </w:t>
      </w:r>
      <w:r w:rsidR="00231EBC" w:rsidRPr="001C2C36">
        <w:rPr>
          <w:rFonts w:cs="Times New Roman"/>
          <w:szCs w:val="24"/>
        </w:rPr>
        <w:t xml:space="preserve">the </w:t>
      </w:r>
      <w:r w:rsidR="005106F3" w:rsidRPr="001C2C36">
        <w:rPr>
          <w:rFonts w:cs="Times New Roman"/>
          <w:szCs w:val="24"/>
        </w:rPr>
        <w:t>transport, retail</w:t>
      </w:r>
      <w:r w:rsidR="00A131CD" w:rsidRPr="001C2C36">
        <w:rPr>
          <w:rFonts w:cs="Times New Roman"/>
          <w:szCs w:val="24"/>
        </w:rPr>
        <w:t xml:space="preserve">, </w:t>
      </w:r>
      <w:r w:rsidR="005106F3" w:rsidRPr="001C2C36">
        <w:rPr>
          <w:rFonts w:cs="Times New Roman"/>
          <w:szCs w:val="24"/>
        </w:rPr>
        <w:t>food service</w:t>
      </w:r>
      <w:r w:rsidR="00A131CD" w:rsidRPr="001C2C36">
        <w:rPr>
          <w:rFonts w:cs="Times New Roman"/>
          <w:szCs w:val="24"/>
        </w:rPr>
        <w:t xml:space="preserve"> </w:t>
      </w:r>
      <w:r w:rsidR="00231EBC" w:rsidRPr="001C2C36">
        <w:rPr>
          <w:rFonts w:cs="Times New Roman"/>
          <w:szCs w:val="24"/>
        </w:rPr>
        <w:t xml:space="preserve">or </w:t>
      </w:r>
      <w:r w:rsidR="005106F3" w:rsidRPr="001C2C36">
        <w:rPr>
          <w:rFonts w:cs="Times New Roman"/>
          <w:szCs w:val="24"/>
        </w:rPr>
        <w:t>accommodation</w:t>
      </w:r>
      <w:r w:rsidR="00231EBC" w:rsidRPr="001C2C36">
        <w:rPr>
          <w:rFonts w:cs="Times New Roman"/>
          <w:szCs w:val="24"/>
        </w:rPr>
        <w:t xml:space="preserve"> industries</w:t>
      </w:r>
      <w:r w:rsidR="000B2012" w:rsidRPr="001C2C36">
        <w:rPr>
          <w:rFonts w:cs="Times New Roman"/>
          <w:szCs w:val="24"/>
        </w:rPr>
        <w:t xml:space="preserve">. </w:t>
      </w:r>
      <w:r w:rsidR="00461D0C" w:rsidRPr="001C2C36">
        <w:rPr>
          <w:rFonts w:cs="Times New Roman"/>
          <w:szCs w:val="24"/>
        </w:rPr>
        <w:t>On average</w:t>
      </w:r>
      <w:r w:rsidR="00D64F40" w:rsidRPr="001C2C36">
        <w:rPr>
          <w:rFonts w:cs="Times New Roman"/>
          <w:szCs w:val="24"/>
        </w:rPr>
        <w:t>, SMEs</w:t>
      </w:r>
      <w:r w:rsidR="00461D0C" w:rsidRPr="001C2C36">
        <w:rPr>
          <w:rFonts w:cs="Times New Roman"/>
          <w:szCs w:val="24"/>
        </w:rPr>
        <w:t xml:space="preserve"> in the sample have six employees (log mean = 1.</w:t>
      </w:r>
      <w:r w:rsidR="002675B5" w:rsidRPr="001C2C36">
        <w:rPr>
          <w:rFonts w:cs="Times New Roman"/>
          <w:szCs w:val="24"/>
        </w:rPr>
        <w:t>71</w:t>
      </w:r>
      <w:r w:rsidR="00461D0C" w:rsidRPr="001C2C36">
        <w:rPr>
          <w:rFonts w:cs="Times New Roman"/>
          <w:szCs w:val="24"/>
        </w:rPr>
        <w:t>, SD = 1.</w:t>
      </w:r>
      <w:r w:rsidR="002675B5" w:rsidRPr="001C2C36">
        <w:rPr>
          <w:rFonts w:cs="Times New Roman"/>
          <w:szCs w:val="24"/>
        </w:rPr>
        <w:t>45</w:t>
      </w:r>
      <w:r w:rsidR="00461D0C" w:rsidRPr="001C2C36">
        <w:rPr>
          <w:rFonts w:cs="Times New Roman"/>
          <w:szCs w:val="24"/>
        </w:rPr>
        <w:t xml:space="preserve">), indicating that the sample consists primarily of </w:t>
      </w:r>
      <w:r w:rsidR="00EC4472" w:rsidRPr="001C2C36">
        <w:rPr>
          <w:rFonts w:cs="Times New Roman"/>
          <w:szCs w:val="24"/>
        </w:rPr>
        <w:t>micro</w:t>
      </w:r>
      <w:r w:rsidR="00461D0C" w:rsidRPr="001C2C36">
        <w:rPr>
          <w:rFonts w:cs="Times New Roman"/>
          <w:szCs w:val="24"/>
        </w:rPr>
        <w:t xml:space="preserve"> businesses. </w:t>
      </w:r>
      <w:r w:rsidR="00BF7CFD" w:rsidRPr="001C2C36">
        <w:rPr>
          <w:rFonts w:cs="Times New Roman"/>
          <w:szCs w:val="24"/>
        </w:rPr>
        <w:t xml:space="preserve">As reported in </w:t>
      </w:r>
      <w:r w:rsidR="00A15969" w:rsidRPr="001C2C36">
        <w:rPr>
          <w:rFonts w:cs="Times New Roman"/>
          <w:szCs w:val="24"/>
        </w:rPr>
        <w:t xml:space="preserve">Appendix 1, the figures stay very similar once we further extend the collection period to </w:t>
      </w:r>
      <w:r w:rsidR="0043388C" w:rsidRPr="001C2C36">
        <w:rPr>
          <w:rFonts w:cs="Times New Roman"/>
          <w:szCs w:val="24"/>
        </w:rPr>
        <w:t>March 2021.</w:t>
      </w:r>
      <w:r w:rsidR="00182872" w:rsidRPr="001C2C36">
        <w:rPr>
          <w:rFonts w:cs="Times New Roman"/>
          <w:szCs w:val="24"/>
        </w:rPr>
        <w:t xml:space="preserve"> </w:t>
      </w:r>
    </w:p>
    <w:p w14:paraId="4225DAB0" w14:textId="77777777" w:rsidR="00130448" w:rsidRPr="001C2C36" w:rsidRDefault="00130448" w:rsidP="00182872">
      <w:pPr>
        <w:rPr>
          <w:rFonts w:cs="Times New Roman"/>
          <w:szCs w:val="24"/>
        </w:rPr>
      </w:pPr>
    </w:p>
    <w:p w14:paraId="7FD22E75" w14:textId="7C3443A6" w:rsidR="004D0276" w:rsidRPr="001C2C36" w:rsidRDefault="004D0276" w:rsidP="004D0276">
      <w:pPr>
        <w:pStyle w:val="Caption"/>
        <w:keepNext/>
        <w:jc w:val="center"/>
        <w:rPr>
          <w:rFonts w:ascii="Times New Roman" w:hAnsi="Times New Roman"/>
          <w:szCs w:val="24"/>
        </w:rPr>
      </w:pPr>
      <w:r w:rsidRPr="001C2C36">
        <w:rPr>
          <w:rFonts w:ascii="Times New Roman" w:hAnsi="Times New Roman"/>
          <w:szCs w:val="24"/>
        </w:rPr>
        <w:lastRenderedPageBreak/>
        <w:t xml:space="preserve">Table </w:t>
      </w:r>
      <w:r w:rsidRPr="001C2C36">
        <w:rPr>
          <w:rFonts w:ascii="Times New Roman" w:hAnsi="Times New Roman"/>
          <w:szCs w:val="24"/>
        </w:rPr>
        <w:fldChar w:fldCharType="begin"/>
      </w:r>
      <w:r w:rsidRPr="001C2C36">
        <w:rPr>
          <w:rFonts w:ascii="Times New Roman" w:hAnsi="Times New Roman"/>
          <w:szCs w:val="24"/>
        </w:rPr>
        <w:instrText xml:space="preserve"> SEQ Table \* ARABIC </w:instrText>
      </w:r>
      <w:r w:rsidRPr="001C2C36">
        <w:rPr>
          <w:rFonts w:ascii="Times New Roman" w:hAnsi="Times New Roman"/>
          <w:szCs w:val="24"/>
        </w:rPr>
        <w:fldChar w:fldCharType="separate"/>
      </w:r>
      <w:r w:rsidR="00A43FC5">
        <w:rPr>
          <w:rFonts w:ascii="Times New Roman" w:hAnsi="Times New Roman"/>
          <w:noProof/>
          <w:szCs w:val="24"/>
        </w:rPr>
        <w:t>1</w:t>
      </w:r>
      <w:r w:rsidRPr="001C2C36">
        <w:rPr>
          <w:rFonts w:ascii="Times New Roman" w:hAnsi="Times New Roman"/>
          <w:szCs w:val="24"/>
        </w:rPr>
        <w:fldChar w:fldCharType="end"/>
      </w:r>
      <w:r w:rsidRPr="001C2C36">
        <w:rPr>
          <w:rFonts w:ascii="Times New Roman" w:hAnsi="Times New Roman"/>
          <w:szCs w:val="24"/>
        </w:rPr>
        <w:t xml:space="preserve"> Descriptive statistics.</w:t>
      </w:r>
    </w:p>
    <w:tbl>
      <w:tblPr>
        <w:tblStyle w:val="TableGridLight"/>
        <w:tblW w:w="4753" w:type="dxa"/>
        <w:jc w:val="center"/>
        <w:tblLook w:val="04A0" w:firstRow="1" w:lastRow="0" w:firstColumn="1" w:lastColumn="0" w:noHBand="0" w:noVBand="1"/>
      </w:tblPr>
      <w:tblGrid>
        <w:gridCol w:w="1768"/>
        <w:gridCol w:w="1004"/>
        <w:gridCol w:w="940"/>
        <w:gridCol w:w="1041"/>
      </w:tblGrid>
      <w:tr w:rsidR="004D0276" w:rsidRPr="001C2C36" w14:paraId="29F7B92B" w14:textId="77777777" w:rsidTr="00F56953">
        <w:trPr>
          <w:trHeight w:val="321"/>
          <w:tblHeader/>
          <w:jc w:val="center"/>
        </w:trPr>
        <w:tc>
          <w:tcPr>
            <w:tcW w:w="1768" w:type="dxa"/>
            <w:tcBorders>
              <w:top w:val="single" w:sz="4" w:space="0" w:color="auto"/>
              <w:left w:val="single" w:sz="4" w:space="0" w:color="auto"/>
              <w:bottom w:val="single" w:sz="4" w:space="0" w:color="auto"/>
            </w:tcBorders>
            <w:noWrap/>
            <w:hideMark/>
          </w:tcPr>
          <w:p w14:paraId="3D4D40E1" w14:textId="77777777" w:rsidR="004D0276" w:rsidRPr="001C2C36" w:rsidRDefault="004D0276" w:rsidP="00F56953">
            <w:pPr>
              <w:spacing w:line="240" w:lineRule="auto"/>
              <w:rPr>
                <w:rFonts w:eastAsia="Times New Roman" w:cs="Times New Roman"/>
                <w:b/>
                <w:bCs/>
                <w:szCs w:val="24"/>
                <w:lang w:eastAsia="en-GB"/>
              </w:rPr>
            </w:pPr>
          </w:p>
        </w:tc>
        <w:tc>
          <w:tcPr>
            <w:tcW w:w="1004" w:type="dxa"/>
            <w:tcBorders>
              <w:top w:val="single" w:sz="4" w:space="0" w:color="auto"/>
              <w:bottom w:val="single" w:sz="4" w:space="0" w:color="auto"/>
            </w:tcBorders>
            <w:noWrap/>
            <w:hideMark/>
          </w:tcPr>
          <w:p w14:paraId="57BED3AD" w14:textId="77777777" w:rsidR="004D0276" w:rsidRPr="001C2C36" w:rsidRDefault="004D0276" w:rsidP="00F56953">
            <w:pPr>
              <w:spacing w:line="240" w:lineRule="auto"/>
              <w:rPr>
                <w:rFonts w:eastAsia="Times New Roman" w:cs="Times New Roman"/>
                <w:b/>
                <w:bCs/>
                <w:color w:val="000000"/>
                <w:szCs w:val="24"/>
                <w:lang w:eastAsia="en-GB"/>
              </w:rPr>
            </w:pPr>
            <w:r w:rsidRPr="001C2C36">
              <w:rPr>
                <w:rFonts w:eastAsia="Times New Roman" w:cs="Times New Roman"/>
                <w:b/>
                <w:bCs/>
                <w:color w:val="000000"/>
                <w:szCs w:val="24"/>
                <w:lang w:eastAsia="en-GB"/>
              </w:rPr>
              <w:t>Count</w:t>
            </w:r>
          </w:p>
        </w:tc>
        <w:tc>
          <w:tcPr>
            <w:tcW w:w="940" w:type="dxa"/>
            <w:tcBorders>
              <w:top w:val="single" w:sz="4" w:space="0" w:color="auto"/>
              <w:bottom w:val="single" w:sz="4" w:space="0" w:color="auto"/>
            </w:tcBorders>
            <w:noWrap/>
            <w:hideMark/>
          </w:tcPr>
          <w:p w14:paraId="4ECB68D1" w14:textId="77777777" w:rsidR="004D0276" w:rsidRPr="001C2C36" w:rsidRDefault="004D0276" w:rsidP="00F56953">
            <w:pPr>
              <w:spacing w:line="240" w:lineRule="auto"/>
              <w:rPr>
                <w:rFonts w:eastAsia="Times New Roman" w:cs="Times New Roman"/>
                <w:b/>
                <w:bCs/>
                <w:color w:val="000000"/>
                <w:szCs w:val="24"/>
                <w:lang w:eastAsia="en-GB"/>
              </w:rPr>
            </w:pPr>
            <w:r w:rsidRPr="001C2C36">
              <w:rPr>
                <w:rFonts w:eastAsia="Times New Roman" w:cs="Times New Roman"/>
                <w:b/>
                <w:bCs/>
                <w:color w:val="000000"/>
                <w:szCs w:val="24"/>
                <w:lang w:eastAsia="en-GB"/>
              </w:rPr>
              <w:t>Mean</w:t>
            </w:r>
          </w:p>
        </w:tc>
        <w:tc>
          <w:tcPr>
            <w:tcW w:w="1041" w:type="dxa"/>
            <w:tcBorders>
              <w:top w:val="single" w:sz="4" w:space="0" w:color="auto"/>
              <w:bottom w:val="single" w:sz="4" w:space="0" w:color="auto"/>
              <w:right w:val="single" w:sz="4" w:space="0" w:color="auto"/>
            </w:tcBorders>
            <w:noWrap/>
            <w:hideMark/>
          </w:tcPr>
          <w:p w14:paraId="6C80F303" w14:textId="77777777" w:rsidR="004D0276" w:rsidRPr="001C2C36" w:rsidRDefault="004D0276" w:rsidP="00F56953">
            <w:pPr>
              <w:spacing w:line="240" w:lineRule="auto"/>
              <w:rPr>
                <w:rFonts w:eastAsia="Times New Roman" w:cs="Times New Roman"/>
                <w:b/>
                <w:bCs/>
                <w:color w:val="000000"/>
                <w:szCs w:val="24"/>
                <w:lang w:eastAsia="en-GB"/>
              </w:rPr>
            </w:pPr>
            <w:r w:rsidRPr="001C2C36">
              <w:rPr>
                <w:rFonts w:eastAsia="Times New Roman" w:cs="Times New Roman"/>
                <w:b/>
                <w:bCs/>
                <w:color w:val="000000"/>
                <w:szCs w:val="24"/>
                <w:lang w:eastAsia="en-GB"/>
              </w:rPr>
              <w:t>St. Dev.</w:t>
            </w:r>
          </w:p>
        </w:tc>
      </w:tr>
      <w:tr w:rsidR="004D0276" w:rsidRPr="001C2C36" w14:paraId="2CB3FC67" w14:textId="77777777" w:rsidTr="00F56953">
        <w:trPr>
          <w:trHeight w:val="321"/>
          <w:tblHeader/>
          <w:jc w:val="center"/>
        </w:trPr>
        <w:tc>
          <w:tcPr>
            <w:tcW w:w="4753" w:type="dxa"/>
            <w:gridSpan w:val="4"/>
            <w:tcBorders>
              <w:top w:val="single" w:sz="4" w:space="0" w:color="auto"/>
              <w:left w:val="single" w:sz="4" w:space="0" w:color="auto"/>
              <w:bottom w:val="single" w:sz="4" w:space="0" w:color="auto"/>
              <w:right w:val="single" w:sz="4" w:space="0" w:color="auto"/>
            </w:tcBorders>
            <w:hideMark/>
          </w:tcPr>
          <w:p w14:paraId="1F8782DC" w14:textId="77777777" w:rsidR="004D0276" w:rsidRPr="001C2C36" w:rsidRDefault="004D0276" w:rsidP="00F56953">
            <w:pPr>
              <w:spacing w:line="240" w:lineRule="auto"/>
              <w:jc w:val="center"/>
              <w:rPr>
                <w:rFonts w:eastAsia="Times New Roman" w:cs="Times New Roman"/>
                <w:b/>
                <w:bCs/>
                <w:color w:val="000000"/>
                <w:szCs w:val="24"/>
                <w:lang w:eastAsia="en-GB"/>
              </w:rPr>
            </w:pPr>
            <w:r w:rsidRPr="001C2C36">
              <w:rPr>
                <w:rFonts w:eastAsia="Times New Roman" w:cs="Times New Roman"/>
                <w:b/>
                <w:bCs/>
                <w:color w:val="000000"/>
                <w:szCs w:val="24"/>
                <w:lang w:eastAsia="en-GB"/>
              </w:rPr>
              <w:t>Change in employment</w:t>
            </w:r>
          </w:p>
        </w:tc>
      </w:tr>
      <w:tr w:rsidR="004D0276" w:rsidRPr="001C2C36" w14:paraId="005478B7" w14:textId="77777777" w:rsidTr="00F56953">
        <w:trPr>
          <w:trHeight w:val="321"/>
          <w:tblHeader/>
          <w:jc w:val="center"/>
        </w:trPr>
        <w:tc>
          <w:tcPr>
            <w:tcW w:w="1768" w:type="dxa"/>
            <w:tcBorders>
              <w:top w:val="single" w:sz="4" w:space="0" w:color="auto"/>
              <w:left w:val="single" w:sz="4" w:space="0" w:color="auto"/>
            </w:tcBorders>
            <w:noWrap/>
            <w:hideMark/>
          </w:tcPr>
          <w:p w14:paraId="0FE6C407" w14:textId="77777777" w:rsidR="004D0276" w:rsidRPr="001C2C36" w:rsidRDefault="004D0276" w:rsidP="00F56953">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2019-2020</w:t>
            </w:r>
          </w:p>
        </w:tc>
        <w:tc>
          <w:tcPr>
            <w:tcW w:w="1004" w:type="dxa"/>
            <w:tcBorders>
              <w:top w:val="single" w:sz="4" w:space="0" w:color="auto"/>
            </w:tcBorders>
            <w:noWrap/>
            <w:hideMark/>
          </w:tcPr>
          <w:p w14:paraId="22FAF465"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1,421</w:t>
            </w:r>
          </w:p>
        </w:tc>
        <w:tc>
          <w:tcPr>
            <w:tcW w:w="940" w:type="dxa"/>
            <w:tcBorders>
              <w:top w:val="single" w:sz="4" w:space="0" w:color="auto"/>
            </w:tcBorders>
            <w:noWrap/>
            <w:hideMark/>
          </w:tcPr>
          <w:p w14:paraId="107E94D8"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2.12</w:t>
            </w:r>
          </w:p>
        </w:tc>
        <w:tc>
          <w:tcPr>
            <w:tcW w:w="1041" w:type="dxa"/>
            <w:tcBorders>
              <w:top w:val="single" w:sz="4" w:space="0" w:color="auto"/>
              <w:right w:val="single" w:sz="4" w:space="0" w:color="auto"/>
            </w:tcBorders>
            <w:noWrap/>
            <w:hideMark/>
          </w:tcPr>
          <w:p w14:paraId="6320E740"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0.70</w:t>
            </w:r>
          </w:p>
        </w:tc>
      </w:tr>
      <w:tr w:rsidR="004D0276" w:rsidRPr="001C2C36" w14:paraId="4B1F5B91" w14:textId="77777777" w:rsidTr="00F56953">
        <w:trPr>
          <w:trHeight w:val="321"/>
          <w:tblHeader/>
          <w:jc w:val="center"/>
        </w:trPr>
        <w:tc>
          <w:tcPr>
            <w:tcW w:w="1768" w:type="dxa"/>
            <w:tcBorders>
              <w:left w:val="single" w:sz="4" w:space="0" w:color="auto"/>
              <w:bottom w:val="single" w:sz="4" w:space="0" w:color="auto"/>
            </w:tcBorders>
            <w:noWrap/>
            <w:hideMark/>
          </w:tcPr>
          <w:p w14:paraId="43A7BEA0" w14:textId="77777777" w:rsidR="004D0276" w:rsidRPr="001C2C36" w:rsidRDefault="004D0276" w:rsidP="00F56953">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2020-2021</w:t>
            </w:r>
          </w:p>
        </w:tc>
        <w:tc>
          <w:tcPr>
            <w:tcW w:w="1004" w:type="dxa"/>
            <w:tcBorders>
              <w:bottom w:val="single" w:sz="4" w:space="0" w:color="auto"/>
            </w:tcBorders>
            <w:noWrap/>
            <w:hideMark/>
          </w:tcPr>
          <w:p w14:paraId="1548D82C"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1,294</w:t>
            </w:r>
          </w:p>
        </w:tc>
        <w:tc>
          <w:tcPr>
            <w:tcW w:w="940" w:type="dxa"/>
            <w:tcBorders>
              <w:bottom w:val="single" w:sz="4" w:space="0" w:color="auto"/>
            </w:tcBorders>
            <w:noWrap/>
            <w:hideMark/>
          </w:tcPr>
          <w:p w14:paraId="2699BBE5"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2.14</w:t>
            </w:r>
          </w:p>
        </w:tc>
        <w:tc>
          <w:tcPr>
            <w:tcW w:w="1041" w:type="dxa"/>
            <w:tcBorders>
              <w:bottom w:val="single" w:sz="4" w:space="0" w:color="auto"/>
              <w:right w:val="single" w:sz="4" w:space="0" w:color="auto"/>
            </w:tcBorders>
            <w:noWrap/>
            <w:hideMark/>
          </w:tcPr>
          <w:p w14:paraId="72CA0499"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0.56</w:t>
            </w:r>
          </w:p>
        </w:tc>
      </w:tr>
      <w:tr w:rsidR="004D0276" w:rsidRPr="001C2C36" w14:paraId="1DCC63C5" w14:textId="77777777" w:rsidTr="00F56953">
        <w:trPr>
          <w:trHeight w:val="368"/>
          <w:tblHeader/>
          <w:jc w:val="center"/>
        </w:trPr>
        <w:tc>
          <w:tcPr>
            <w:tcW w:w="4753" w:type="dxa"/>
            <w:gridSpan w:val="4"/>
            <w:tcBorders>
              <w:top w:val="single" w:sz="4" w:space="0" w:color="auto"/>
              <w:left w:val="single" w:sz="4" w:space="0" w:color="auto"/>
              <w:bottom w:val="single" w:sz="4" w:space="0" w:color="auto"/>
              <w:right w:val="single" w:sz="4" w:space="0" w:color="auto"/>
            </w:tcBorders>
            <w:noWrap/>
            <w:hideMark/>
          </w:tcPr>
          <w:p w14:paraId="0D08986E" w14:textId="77777777" w:rsidR="004D0276" w:rsidRPr="001C2C36" w:rsidRDefault="004D0276" w:rsidP="00F56953">
            <w:pPr>
              <w:spacing w:line="240" w:lineRule="auto"/>
              <w:jc w:val="center"/>
              <w:rPr>
                <w:rFonts w:eastAsia="Times New Roman" w:cs="Times New Roman"/>
                <w:b/>
                <w:bCs/>
                <w:color w:val="000000"/>
                <w:szCs w:val="24"/>
                <w:lang w:eastAsia="en-GB"/>
              </w:rPr>
            </w:pPr>
            <w:r w:rsidRPr="001C2C36">
              <w:rPr>
                <w:rFonts w:eastAsia="Times New Roman" w:cs="Times New Roman"/>
                <w:b/>
                <w:bCs/>
                <w:color w:val="000000"/>
                <w:szCs w:val="24"/>
                <w:lang w:eastAsia="en-GB"/>
              </w:rPr>
              <w:t>Controls</w:t>
            </w:r>
          </w:p>
        </w:tc>
      </w:tr>
      <w:tr w:rsidR="004D0276" w:rsidRPr="001C2C36" w14:paraId="721B296C" w14:textId="77777777" w:rsidTr="00F56953">
        <w:trPr>
          <w:trHeight w:val="368"/>
          <w:tblHeader/>
          <w:jc w:val="center"/>
        </w:trPr>
        <w:tc>
          <w:tcPr>
            <w:tcW w:w="1768" w:type="dxa"/>
            <w:tcBorders>
              <w:top w:val="single" w:sz="4" w:space="0" w:color="auto"/>
              <w:left w:val="single" w:sz="4" w:space="0" w:color="auto"/>
            </w:tcBorders>
            <w:noWrap/>
            <w:hideMark/>
          </w:tcPr>
          <w:p w14:paraId="451C2BB2" w14:textId="77777777" w:rsidR="004D0276" w:rsidRPr="001C2C36" w:rsidRDefault="004D0276" w:rsidP="00F56953">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Urban dummy</w:t>
            </w:r>
          </w:p>
        </w:tc>
        <w:tc>
          <w:tcPr>
            <w:tcW w:w="1004" w:type="dxa"/>
            <w:tcBorders>
              <w:top w:val="single" w:sz="4" w:space="0" w:color="auto"/>
            </w:tcBorders>
            <w:noWrap/>
            <w:vAlign w:val="center"/>
            <w:hideMark/>
          </w:tcPr>
          <w:p w14:paraId="64C52F2B"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color w:val="000000"/>
                <w:szCs w:val="24"/>
              </w:rPr>
              <w:t>1,421</w:t>
            </w:r>
          </w:p>
        </w:tc>
        <w:tc>
          <w:tcPr>
            <w:tcW w:w="940" w:type="dxa"/>
            <w:tcBorders>
              <w:top w:val="single" w:sz="4" w:space="0" w:color="auto"/>
            </w:tcBorders>
            <w:noWrap/>
            <w:vAlign w:val="center"/>
            <w:hideMark/>
          </w:tcPr>
          <w:p w14:paraId="7BAF66D9"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color w:val="000000"/>
                <w:szCs w:val="24"/>
              </w:rPr>
              <w:t>0.64</w:t>
            </w:r>
          </w:p>
        </w:tc>
        <w:tc>
          <w:tcPr>
            <w:tcW w:w="1041" w:type="dxa"/>
            <w:tcBorders>
              <w:top w:val="single" w:sz="4" w:space="0" w:color="auto"/>
              <w:right w:val="single" w:sz="4" w:space="0" w:color="auto"/>
            </w:tcBorders>
            <w:noWrap/>
            <w:vAlign w:val="center"/>
            <w:hideMark/>
          </w:tcPr>
          <w:p w14:paraId="1309980F"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color w:val="000000"/>
                <w:szCs w:val="24"/>
              </w:rPr>
              <w:t>0.48</w:t>
            </w:r>
          </w:p>
        </w:tc>
      </w:tr>
      <w:tr w:rsidR="004D0276" w:rsidRPr="001C2C36" w14:paraId="2CBA24B1" w14:textId="77777777" w:rsidTr="00F56953">
        <w:trPr>
          <w:trHeight w:val="368"/>
          <w:tblHeader/>
          <w:jc w:val="center"/>
        </w:trPr>
        <w:tc>
          <w:tcPr>
            <w:tcW w:w="1768" w:type="dxa"/>
            <w:tcBorders>
              <w:left w:val="single" w:sz="4" w:space="0" w:color="auto"/>
            </w:tcBorders>
            <w:noWrap/>
            <w:hideMark/>
          </w:tcPr>
          <w:p w14:paraId="17111A5C" w14:textId="77777777" w:rsidR="004D0276" w:rsidRPr="001C2C36" w:rsidRDefault="004D0276" w:rsidP="00F56953">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Sector dummy</w:t>
            </w:r>
          </w:p>
        </w:tc>
        <w:tc>
          <w:tcPr>
            <w:tcW w:w="1004" w:type="dxa"/>
            <w:noWrap/>
            <w:vAlign w:val="center"/>
            <w:hideMark/>
          </w:tcPr>
          <w:p w14:paraId="062CF44C"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color w:val="000000"/>
                <w:szCs w:val="24"/>
              </w:rPr>
              <w:t>1,421</w:t>
            </w:r>
          </w:p>
        </w:tc>
        <w:tc>
          <w:tcPr>
            <w:tcW w:w="940" w:type="dxa"/>
            <w:noWrap/>
            <w:vAlign w:val="center"/>
            <w:hideMark/>
          </w:tcPr>
          <w:p w14:paraId="05A4B5EB"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color w:val="000000"/>
                <w:szCs w:val="24"/>
              </w:rPr>
              <w:t>0.29</w:t>
            </w:r>
          </w:p>
        </w:tc>
        <w:tc>
          <w:tcPr>
            <w:tcW w:w="1041" w:type="dxa"/>
            <w:tcBorders>
              <w:right w:val="single" w:sz="4" w:space="0" w:color="auto"/>
            </w:tcBorders>
            <w:noWrap/>
            <w:vAlign w:val="center"/>
            <w:hideMark/>
          </w:tcPr>
          <w:p w14:paraId="1AE3B597"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color w:val="000000"/>
                <w:szCs w:val="24"/>
              </w:rPr>
              <w:t>0.45</w:t>
            </w:r>
          </w:p>
        </w:tc>
      </w:tr>
      <w:tr w:rsidR="004D0276" w:rsidRPr="001C2C36" w14:paraId="5882884C" w14:textId="77777777" w:rsidTr="00F56953">
        <w:trPr>
          <w:trHeight w:val="368"/>
          <w:tblHeader/>
          <w:jc w:val="center"/>
        </w:trPr>
        <w:tc>
          <w:tcPr>
            <w:tcW w:w="1768" w:type="dxa"/>
            <w:tcBorders>
              <w:left w:val="single" w:sz="4" w:space="0" w:color="auto"/>
            </w:tcBorders>
            <w:noWrap/>
            <w:hideMark/>
          </w:tcPr>
          <w:p w14:paraId="7C1E7509" w14:textId="77777777" w:rsidR="004D0276" w:rsidRPr="001C2C36" w:rsidRDefault="004D0276" w:rsidP="00F56953">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Ethnic minority lead dummy</w:t>
            </w:r>
          </w:p>
        </w:tc>
        <w:tc>
          <w:tcPr>
            <w:tcW w:w="1004" w:type="dxa"/>
            <w:noWrap/>
            <w:vAlign w:val="center"/>
            <w:hideMark/>
          </w:tcPr>
          <w:p w14:paraId="377CD933"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color w:val="000000"/>
                <w:szCs w:val="24"/>
              </w:rPr>
              <w:t>1,421</w:t>
            </w:r>
          </w:p>
        </w:tc>
        <w:tc>
          <w:tcPr>
            <w:tcW w:w="940" w:type="dxa"/>
            <w:noWrap/>
            <w:vAlign w:val="center"/>
            <w:hideMark/>
          </w:tcPr>
          <w:p w14:paraId="4BA547FA"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color w:val="000000"/>
                <w:szCs w:val="24"/>
              </w:rPr>
              <w:t>0.05</w:t>
            </w:r>
          </w:p>
        </w:tc>
        <w:tc>
          <w:tcPr>
            <w:tcW w:w="1041" w:type="dxa"/>
            <w:tcBorders>
              <w:right w:val="single" w:sz="4" w:space="0" w:color="auto"/>
            </w:tcBorders>
            <w:noWrap/>
            <w:vAlign w:val="center"/>
            <w:hideMark/>
          </w:tcPr>
          <w:p w14:paraId="1EC7227B"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color w:val="000000"/>
                <w:szCs w:val="24"/>
              </w:rPr>
              <w:t>0.21</w:t>
            </w:r>
          </w:p>
        </w:tc>
      </w:tr>
      <w:tr w:rsidR="004D0276" w:rsidRPr="001C2C36" w14:paraId="3EEB59CE" w14:textId="77777777" w:rsidTr="00F56953">
        <w:trPr>
          <w:trHeight w:val="368"/>
          <w:tblHeader/>
          <w:jc w:val="center"/>
        </w:trPr>
        <w:tc>
          <w:tcPr>
            <w:tcW w:w="1768" w:type="dxa"/>
            <w:tcBorders>
              <w:left w:val="single" w:sz="4" w:space="0" w:color="auto"/>
              <w:bottom w:val="single" w:sz="4" w:space="0" w:color="auto"/>
            </w:tcBorders>
            <w:noWrap/>
            <w:hideMark/>
          </w:tcPr>
          <w:p w14:paraId="22B3AD9E" w14:textId="77777777" w:rsidR="004D0276" w:rsidRPr="001C2C36" w:rsidRDefault="004D0276" w:rsidP="00F56953">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Size (log)</w:t>
            </w:r>
          </w:p>
        </w:tc>
        <w:tc>
          <w:tcPr>
            <w:tcW w:w="1004" w:type="dxa"/>
            <w:tcBorders>
              <w:bottom w:val="single" w:sz="4" w:space="0" w:color="auto"/>
            </w:tcBorders>
            <w:noWrap/>
            <w:vAlign w:val="center"/>
            <w:hideMark/>
          </w:tcPr>
          <w:p w14:paraId="6218505A"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color w:val="000000"/>
                <w:szCs w:val="24"/>
              </w:rPr>
              <w:t>1,421</w:t>
            </w:r>
          </w:p>
        </w:tc>
        <w:tc>
          <w:tcPr>
            <w:tcW w:w="940" w:type="dxa"/>
            <w:tcBorders>
              <w:bottom w:val="single" w:sz="4" w:space="0" w:color="auto"/>
            </w:tcBorders>
            <w:noWrap/>
            <w:vAlign w:val="center"/>
            <w:hideMark/>
          </w:tcPr>
          <w:p w14:paraId="59CF713F"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color w:val="000000"/>
                <w:szCs w:val="24"/>
              </w:rPr>
              <w:t>1.71</w:t>
            </w:r>
          </w:p>
        </w:tc>
        <w:tc>
          <w:tcPr>
            <w:tcW w:w="1041" w:type="dxa"/>
            <w:tcBorders>
              <w:bottom w:val="single" w:sz="4" w:space="0" w:color="auto"/>
              <w:right w:val="single" w:sz="4" w:space="0" w:color="auto"/>
            </w:tcBorders>
            <w:noWrap/>
            <w:vAlign w:val="center"/>
            <w:hideMark/>
          </w:tcPr>
          <w:p w14:paraId="063874F4"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color w:val="000000"/>
                <w:szCs w:val="24"/>
              </w:rPr>
              <w:t>1.45</w:t>
            </w:r>
          </w:p>
        </w:tc>
      </w:tr>
      <w:tr w:rsidR="004D0276" w:rsidRPr="001C2C36" w14:paraId="06607151" w14:textId="77777777" w:rsidTr="00F56953">
        <w:trPr>
          <w:trHeight w:val="321"/>
          <w:tblHeader/>
          <w:jc w:val="center"/>
        </w:trPr>
        <w:tc>
          <w:tcPr>
            <w:tcW w:w="4753" w:type="dxa"/>
            <w:gridSpan w:val="4"/>
            <w:tcBorders>
              <w:top w:val="single" w:sz="4" w:space="0" w:color="auto"/>
              <w:left w:val="single" w:sz="4" w:space="0" w:color="auto"/>
              <w:bottom w:val="single" w:sz="4" w:space="0" w:color="auto"/>
              <w:right w:val="single" w:sz="4" w:space="0" w:color="auto"/>
            </w:tcBorders>
            <w:noWrap/>
            <w:vAlign w:val="center"/>
            <w:hideMark/>
          </w:tcPr>
          <w:p w14:paraId="65E11145" w14:textId="77777777" w:rsidR="004D0276" w:rsidRPr="001C2C36" w:rsidRDefault="004D0276" w:rsidP="00F56953">
            <w:pPr>
              <w:spacing w:line="240" w:lineRule="auto"/>
              <w:jc w:val="center"/>
              <w:rPr>
                <w:rFonts w:eastAsia="Times New Roman" w:cs="Times New Roman"/>
                <w:szCs w:val="24"/>
                <w:lang w:eastAsia="en-GB"/>
              </w:rPr>
            </w:pPr>
            <w:r w:rsidRPr="001C2C36">
              <w:rPr>
                <w:rFonts w:eastAsia="Times New Roman" w:cs="Times New Roman"/>
                <w:b/>
                <w:bCs/>
                <w:color w:val="000000"/>
                <w:szCs w:val="24"/>
                <w:lang w:eastAsia="en-GB"/>
              </w:rPr>
              <w:t>Study variables</w:t>
            </w:r>
          </w:p>
        </w:tc>
      </w:tr>
      <w:tr w:rsidR="004D0276" w:rsidRPr="001C2C36" w14:paraId="04AEF58F" w14:textId="77777777" w:rsidTr="00F56953">
        <w:trPr>
          <w:trHeight w:val="321"/>
          <w:tblHeader/>
          <w:jc w:val="center"/>
        </w:trPr>
        <w:tc>
          <w:tcPr>
            <w:tcW w:w="1768" w:type="dxa"/>
            <w:tcBorders>
              <w:top w:val="single" w:sz="4" w:space="0" w:color="auto"/>
              <w:left w:val="single" w:sz="4" w:space="0" w:color="auto"/>
            </w:tcBorders>
            <w:noWrap/>
            <w:hideMark/>
          </w:tcPr>
          <w:p w14:paraId="3CE7DD75" w14:textId="77777777" w:rsidR="004D0276" w:rsidRPr="001C2C36" w:rsidRDefault="004D0276" w:rsidP="00F56953">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Dynamic capabilities</w:t>
            </w:r>
          </w:p>
        </w:tc>
        <w:tc>
          <w:tcPr>
            <w:tcW w:w="1004" w:type="dxa"/>
            <w:tcBorders>
              <w:top w:val="single" w:sz="4" w:space="0" w:color="auto"/>
            </w:tcBorders>
            <w:noWrap/>
            <w:vAlign w:val="center"/>
            <w:hideMark/>
          </w:tcPr>
          <w:p w14:paraId="2627B1B7"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color w:val="000000"/>
                <w:szCs w:val="24"/>
              </w:rPr>
              <w:t>1,421</w:t>
            </w:r>
          </w:p>
        </w:tc>
        <w:tc>
          <w:tcPr>
            <w:tcW w:w="940" w:type="dxa"/>
            <w:tcBorders>
              <w:top w:val="single" w:sz="4" w:space="0" w:color="auto"/>
            </w:tcBorders>
            <w:noWrap/>
            <w:vAlign w:val="center"/>
            <w:hideMark/>
          </w:tcPr>
          <w:p w14:paraId="5BD975A6"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color w:val="000000"/>
                <w:szCs w:val="24"/>
              </w:rPr>
              <w:t>1.22</w:t>
            </w:r>
          </w:p>
        </w:tc>
        <w:tc>
          <w:tcPr>
            <w:tcW w:w="1041" w:type="dxa"/>
            <w:tcBorders>
              <w:top w:val="single" w:sz="4" w:space="0" w:color="auto"/>
              <w:right w:val="single" w:sz="4" w:space="0" w:color="auto"/>
            </w:tcBorders>
            <w:noWrap/>
            <w:vAlign w:val="center"/>
            <w:hideMark/>
          </w:tcPr>
          <w:p w14:paraId="408335AD"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color w:val="000000"/>
                <w:szCs w:val="24"/>
              </w:rPr>
              <w:t>1.05</w:t>
            </w:r>
          </w:p>
        </w:tc>
      </w:tr>
      <w:tr w:rsidR="004D0276" w:rsidRPr="001C2C36" w14:paraId="36001396" w14:textId="77777777" w:rsidTr="00F56953">
        <w:trPr>
          <w:trHeight w:val="321"/>
          <w:tblHeader/>
          <w:jc w:val="center"/>
        </w:trPr>
        <w:tc>
          <w:tcPr>
            <w:tcW w:w="1768" w:type="dxa"/>
            <w:tcBorders>
              <w:left w:val="single" w:sz="4" w:space="0" w:color="auto"/>
              <w:bottom w:val="single" w:sz="4" w:space="0" w:color="auto"/>
            </w:tcBorders>
            <w:noWrap/>
            <w:hideMark/>
          </w:tcPr>
          <w:p w14:paraId="470F1BE8" w14:textId="77777777" w:rsidR="004D0276" w:rsidRPr="001C2C36" w:rsidRDefault="004D0276" w:rsidP="00F56953">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Government support</w:t>
            </w:r>
          </w:p>
        </w:tc>
        <w:tc>
          <w:tcPr>
            <w:tcW w:w="1004" w:type="dxa"/>
            <w:tcBorders>
              <w:bottom w:val="single" w:sz="4" w:space="0" w:color="auto"/>
            </w:tcBorders>
            <w:noWrap/>
            <w:hideMark/>
          </w:tcPr>
          <w:p w14:paraId="29AE6C86"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1,421</w:t>
            </w:r>
          </w:p>
        </w:tc>
        <w:tc>
          <w:tcPr>
            <w:tcW w:w="940" w:type="dxa"/>
            <w:tcBorders>
              <w:bottom w:val="single" w:sz="4" w:space="0" w:color="auto"/>
            </w:tcBorders>
            <w:noWrap/>
            <w:hideMark/>
          </w:tcPr>
          <w:p w14:paraId="238610F8"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1.18</w:t>
            </w:r>
          </w:p>
        </w:tc>
        <w:tc>
          <w:tcPr>
            <w:tcW w:w="1041" w:type="dxa"/>
            <w:tcBorders>
              <w:bottom w:val="single" w:sz="4" w:space="0" w:color="auto"/>
              <w:right w:val="single" w:sz="4" w:space="0" w:color="auto"/>
            </w:tcBorders>
            <w:noWrap/>
            <w:hideMark/>
          </w:tcPr>
          <w:p w14:paraId="6945CE16"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1.10</w:t>
            </w:r>
          </w:p>
        </w:tc>
      </w:tr>
      <w:tr w:rsidR="004D0276" w:rsidRPr="001C2C36" w14:paraId="52D9A774" w14:textId="77777777" w:rsidTr="00F56953">
        <w:trPr>
          <w:trHeight w:val="321"/>
          <w:tblHeader/>
          <w:jc w:val="center"/>
        </w:trPr>
        <w:tc>
          <w:tcPr>
            <w:tcW w:w="4753" w:type="dxa"/>
            <w:gridSpan w:val="4"/>
            <w:tcBorders>
              <w:top w:val="single" w:sz="4" w:space="0" w:color="auto"/>
              <w:left w:val="single" w:sz="4" w:space="0" w:color="auto"/>
              <w:bottom w:val="single" w:sz="4" w:space="0" w:color="auto"/>
              <w:right w:val="single" w:sz="4" w:space="0" w:color="auto"/>
            </w:tcBorders>
            <w:noWrap/>
            <w:vAlign w:val="center"/>
            <w:hideMark/>
          </w:tcPr>
          <w:p w14:paraId="3BFC230E" w14:textId="77777777" w:rsidR="004D0276" w:rsidRPr="001C2C36" w:rsidRDefault="004D0276" w:rsidP="00F56953">
            <w:pPr>
              <w:spacing w:line="240" w:lineRule="auto"/>
              <w:jc w:val="center"/>
              <w:rPr>
                <w:rFonts w:eastAsia="Times New Roman" w:cs="Times New Roman"/>
                <w:b/>
                <w:bCs/>
                <w:color w:val="000000"/>
                <w:szCs w:val="24"/>
                <w:lang w:eastAsia="en-GB"/>
              </w:rPr>
            </w:pPr>
            <w:r w:rsidRPr="001C2C36">
              <w:rPr>
                <w:rFonts w:eastAsia="Times New Roman" w:cs="Times New Roman"/>
                <w:b/>
                <w:bCs/>
                <w:color w:val="000000"/>
                <w:szCs w:val="24"/>
                <w:lang w:eastAsia="en-GB"/>
              </w:rPr>
              <w:t>Other variables</w:t>
            </w:r>
          </w:p>
        </w:tc>
      </w:tr>
      <w:tr w:rsidR="004D0276" w:rsidRPr="001C2C36" w14:paraId="440229CD" w14:textId="77777777" w:rsidTr="00F56953">
        <w:trPr>
          <w:trHeight w:val="321"/>
          <w:tblHeader/>
          <w:jc w:val="center"/>
        </w:trPr>
        <w:tc>
          <w:tcPr>
            <w:tcW w:w="1768" w:type="dxa"/>
            <w:tcBorders>
              <w:top w:val="single" w:sz="4" w:space="0" w:color="auto"/>
              <w:left w:val="single" w:sz="4" w:space="0" w:color="auto"/>
            </w:tcBorders>
            <w:noWrap/>
            <w:hideMark/>
          </w:tcPr>
          <w:p w14:paraId="02F9DF0B" w14:textId="77777777" w:rsidR="004D0276" w:rsidRPr="001C2C36" w:rsidRDefault="004D0276" w:rsidP="00F56953">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CJRS</w:t>
            </w:r>
          </w:p>
        </w:tc>
        <w:tc>
          <w:tcPr>
            <w:tcW w:w="1004" w:type="dxa"/>
            <w:tcBorders>
              <w:top w:val="single" w:sz="4" w:space="0" w:color="auto"/>
            </w:tcBorders>
            <w:noWrap/>
            <w:hideMark/>
          </w:tcPr>
          <w:p w14:paraId="46EE4A90"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1,421</w:t>
            </w:r>
          </w:p>
        </w:tc>
        <w:tc>
          <w:tcPr>
            <w:tcW w:w="940" w:type="dxa"/>
            <w:tcBorders>
              <w:top w:val="single" w:sz="4" w:space="0" w:color="auto"/>
            </w:tcBorders>
            <w:noWrap/>
            <w:hideMark/>
          </w:tcPr>
          <w:p w14:paraId="3EAF5E8A"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0.51</w:t>
            </w:r>
          </w:p>
        </w:tc>
        <w:tc>
          <w:tcPr>
            <w:tcW w:w="1041" w:type="dxa"/>
            <w:tcBorders>
              <w:top w:val="single" w:sz="4" w:space="0" w:color="auto"/>
              <w:right w:val="single" w:sz="4" w:space="0" w:color="auto"/>
            </w:tcBorders>
            <w:noWrap/>
            <w:hideMark/>
          </w:tcPr>
          <w:p w14:paraId="68CAB803"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0.50</w:t>
            </w:r>
          </w:p>
        </w:tc>
      </w:tr>
      <w:tr w:rsidR="004D0276" w:rsidRPr="001C2C36" w14:paraId="5031EA42" w14:textId="77777777" w:rsidTr="00F56953">
        <w:trPr>
          <w:trHeight w:val="321"/>
          <w:tblHeader/>
          <w:jc w:val="center"/>
        </w:trPr>
        <w:tc>
          <w:tcPr>
            <w:tcW w:w="1768" w:type="dxa"/>
            <w:tcBorders>
              <w:left w:val="single" w:sz="4" w:space="0" w:color="auto"/>
            </w:tcBorders>
            <w:noWrap/>
            <w:hideMark/>
          </w:tcPr>
          <w:p w14:paraId="220A67BB" w14:textId="77777777" w:rsidR="004D0276" w:rsidRPr="001C2C36" w:rsidRDefault="004D0276" w:rsidP="00F56953">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SEISS</w:t>
            </w:r>
          </w:p>
        </w:tc>
        <w:tc>
          <w:tcPr>
            <w:tcW w:w="1004" w:type="dxa"/>
            <w:noWrap/>
            <w:hideMark/>
          </w:tcPr>
          <w:p w14:paraId="043A24A3"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1,421</w:t>
            </w:r>
          </w:p>
        </w:tc>
        <w:tc>
          <w:tcPr>
            <w:tcW w:w="940" w:type="dxa"/>
            <w:noWrap/>
            <w:hideMark/>
          </w:tcPr>
          <w:p w14:paraId="459C416E"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0.11</w:t>
            </w:r>
          </w:p>
        </w:tc>
        <w:tc>
          <w:tcPr>
            <w:tcW w:w="1041" w:type="dxa"/>
            <w:tcBorders>
              <w:right w:val="single" w:sz="4" w:space="0" w:color="auto"/>
            </w:tcBorders>
            <w:noWrap/>
            <w:hideMark/>
          </w:tcPr>
          <w:p w14:paraId="1686E5FD"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0.31</w:t>
            </w:r>
          </w:p>
        </w:tc>
      </w:tr>
      <w:tr w:rsidR="004D0276" w:rsidRPr="001C2C36" w14:paraId="4DEBF3DA" w14:textId="77777777" w:rsidTr="00F56953">
        <w:trPr>
          <w:trHeight w:val="321"/>
          <w:tblHeader/>
          <w:jc w:val="center"/>
        </w:trPr>
        <w:tc>
          <w:tcPr>
            <w:tcW w:w="1768" w:type="dxa"/>
            <w:tcBorders>
              <w:left w:val="single" w:sz="4" w:space="0" w:color="auto"/>
            </w:tcBorders>
            <w:noWrap/>
            <w:hideMark/>
          </w:tcPr>
          <w:p w14:paraId="25F4CD88" w14:textId="77777777" w:rsidR="004D0276" w:rsidRPr="001C2C36" w:rsidRDefault="004D0276" w:rsidP="00F56953">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BRH</w:t>
            </w:r>
          </w:p>
        </w:tc>
        <w:tc>
          <w:tcPr>
            <w:tcW w:w="1004" w:type="dxa"/>
            <w:noWrap/>
            <w:hideMark/>
          </w:tcPr>
          <w:p w14:paraId="3B7D8EEE"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1,421</w:t>
            </w:r>
          </w:p>
        </w:tc>
        <w:tc>
          <w:tcPr>
            <w:tcW w:w="940" w:type="dxa"/>
            <w:noWrap/>
            <w:hideMark/>
          </w:tcPr>
          <w:p w14:paraId="5AE126F6"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0.18</w:t>
            </w:r>
          </w:p>
        </w:tc>
        <w:tc>
          <w:tcPr>
            <w:tcW w:w="1041" w:type="dxa"/>
            <w:tcBorders>
              <w:right w:val="single" w:sz="4" w:space="0" w:color="auto"/>
            </w:tcBorders>
            <w:noWrap/>
            <w:hideMark/>
          </w:tcPr>
          <w:p w14:paraId="0AA097CB"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0.38</w:t>
            </w:r>
          </w:p>
        </w:tc>
      </w:tr>
      <w:tr w:rsidR="004D0276" w:rsidRPr="001C2C36" w14:paraId="4E612099" w14:textId="77777777" w:rsidTr="00F56953">
        <w:trPr>
          <w:trHeight w:val="321"/>
          <w:tblHeader/>
          <w:jc w:val="center"/>
        </w:trPr>
        <w:tc>
          <w:tcPr>
            <w:tcW w:w="1768" w:type="dxa"/>
            <w:tcBorders>
              <w:left w:val="single" w:sz="4" w:space="0" w:color="auto"/>
            </w:tcBorders>
            <w:noWrap/>
            <w:hideMark/>
          </w:tcPr>
          <w:p w14:paraId="6FF6D95E" w14:textId="77777777" w:rsidR="004D0276" w:rsidRPr="001C2C36" w:rsidRDefault="004D0276" w:rsidP="00F56953">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VAT Deferrals</w:t>
            </w:r>
          </w:p>
        </w:tc>
        <w:tc>
          <w:tcPr>
            <w:tcW w:w="1004" w:type="dxa"/>
            <w:noWrap/>
            <w:hideMark/>
          </w:tcPr>
          <w:p w14:paraId="6BFDEFEB"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1,421</w:t>
            </w:r>
          </w:p>
        </w:tc>
        <w:tc>
          <w:tcPr>
            <w:tcW w:w="940" w:type="dxa"/>
            <w:noWrap/>
            <w:hideMark/>
          </w:tcPr>
          <w:p w14:paraId="07EA057B"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0.29</w:t>
            </w:r>
          </w:p>
        </w:tc>
        <w:tc>
          <w:tcPr>
            <w:tcW w:w="1041" w:type="dxa"/>
            <w:tcBorders>
              <w:right w:val="single" w:sz="4" w:space="0" w:color="auto"/>
            </w:tcBorders>
            <w:noWrap/>
            <w:hideMark/>
          </w:tcPr>
          <w:p w14:paraId="37E103F2"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0.45</w:t>
            </w:r>
          </w:p>
        </w:tc>
      </w:tr>
      <w:tr w:rsidR="004D0276" w:rsidRPr="001C2C36" w14:paraId="18D139DA" w14:textId="77777777" w:rsidTr="00F56953">
        <w:trPr>
          <w:trHeight w:val="321"/>
          <w:tblHeader/>
          <w:jc w:val="center"/>
        </w:trPr>
        <w:tc>
          <w:tcPr>
            <w:tcW w:w="1768" w:type="dxa"/>
            <w:tcBorders>
              <w:left w:val="single" w:sz="4" w:space="0" w:color="auto"/>
              <w:bottom w:val="single" w:sz="4" w:space="0" w:color="auto"/>
            </w:tcBorders>
            <w:noWrap/>
            <w:hideMark/>
          </w:tcPr>
          <w:p w14:paraId="7F2C6492" w14:textId="77777777" w:rsidR="004D0276" w:rsidRPr="001C2C36" w:rsidRDefault="004D0276" w:rsidP="00F56953">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Time to Pay</w:t>
            </w:r>
          </w:p>
        </w:tc>
        <w:tc>
          <w:tcPr>
            <w:tcW w:w="1004" w:type="dxa"/>
            <w:tcBorders>
              <w:bottom w:val="single" w:sz="4" w:space="0" w:color="auto"/>
            </w:tcBorders>
            <w:noWrap/>
            <w:hideMark/>
          </w:tcPr>
          <w:p w14:paraId="651B30D2"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1,421</w:t>
            </w:r>
          </w:p>
        </w:tc>
        <w:tc>
          <w:tcPr>
            <w:tcW w:w="940" w:type="dxa"/>
            <w:tcBorders>
              <w:bottom w:val="single" w:sz="4" w:space="0" w:color="auto"/>
            </w:tcBorders>
            <w:noWrap/>
            <w:hideMark/>
          </w:tcPr>
          <w:p w14:paraId="5F2CC4D3"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0.10</w:t>
            </w:r>
          </w:p>
        </w:tc>
        <w:tc>
          <w:tcPr>
            <w:tcW w:w="1041" w:type="dxa"/>
            <w:tcBorders>
              <w:bottom w:val="single" w:sz="4" w:space="0" w:color="auto"/>
              <w:right w:val="single" w:sz="4" w:space="0" w:color="auto"/>
            </w:tcBorders>
            <w:noWrap/>
            <w:hideMark/>
          </w:tcPr>
          <w:p w14:paraId="5387B901" w14:textId="77777777" w:rsidR="004D0276" w:rsidRPr="001C2C36" w:rsidRDefault="004D0276" w:rsidP="00F56953">
            <w:pPr>
              <w:spacing w:line="240" w:lineRule="auto"/>
              <w:jc w:val="right"/>
              <w:rPr>
                <w:rFonts w:eastAsia="Times New Roman" w:cs="Times New Roman"/>
                <w:color w:val="000000"/>
                <w:szCs w:val="24"/>
                <w:lang w:eastAsia="en-GB"/>
              </w:rPr>
            </w:pPr>
            <w:r w:rsidRPr="001C2C36">
              <w:rPr>
                <w:rFonts w:cs="Times New Roman"/>
                <w:szCs w:val="24"/>
              </w:rPr>
              <w:t>0.30</w:t>
            </w:r>
          </w:p>
        </w:tc>
      </w:tr>
    </w:tbl>
    <w:p w14:paraId="5DFDC3B7" w14:textId="77777777" w:rsidR="004D0276" w:rsidRDefault="004D0276" w:rsidP="00182872">
      <w:pPr>
        <w:rPr>
          <w:rFonts w:cs="Times New Roman"/>
          <w:szCs w:val="24"/>
        </w:rPr>
      </w:pPr>
    </w:p>
    <w:p w14:paraId="0357FABE" w14:textId="7F7E84BA" w:rsidR="00182872" w:rsidRPr="001C2C36" w:rsidRDefault="09441A12" w:rsidP="21F03F9F">
      <w:pPr>
        <w:rPr>
          <w:rFonts w:cs="Times New Roman"/>
        </w:rPr>
      </w:pPr>
      <w:r w:rsidRPr="21F03F9F">
        <w:rPr>
          <w:rFonts w:cs="Times New Roman"/>
        </w:rPr>
        <w:t xml:space="preserve">On average SMEs develop 1.22 DCs. However, this varies substantially across firms, </w:t>
      </w:r>
      <w:r w:rsidR="66985514" w:rsidRPr="21F03F9F">
        <w:rPr>
          <w:rFonts w:cs="Times New Roman"/>
        </w:rPr>
        <w:t xml:space="preserve">as </w:t>
      </w:r>
      <w:r w:rsidRPr="21F03F9F">
        <w:rPr>
          <w:rFonts w:cs="Times New Roman"/>
        </w:rPr>
        <w:t xml:space="preserve">indicated by a standard deviation of 1.05. The SMEs received support from an average of 1.18 Covid-19-related schemes, but this variable also has a high standard deviation of 1.1, highlighting the variability in receipt of support. We also report separate statistics for each scheme. Around 51% (SD = 0.5) claimed CJRS, with further 11% (SD = 0.31) claiming SEISS. As expected, based on the lower expenditure, other assistance initiatives were less widespread, with 29% (SD = 0.45) using VAT deferrals, 18% (SD = 0.38) BRH, and only 10% (SD= 0.3) HMRC’s Time to Pay. </w:t>
      </w:r>
    </w:p>
    <w:p w14:paraId="6266151C" w14:textId="453D16A3" w:rsidR="00CB77A8" w:rsidRDefault="00CB5BF0" w:rsidP="00DB5868">
      <w:pPr>
        <w:rPr>
          <w:rFonts w:cs="Times New Roman"/>
        </w:rPr>
      </w:pPr>
      <w:r w:rsidRPr="001C2C36">
        <w:rPr>
          <w:rFonts w:cs="Times New Roman"/>
        </w:rPr>
        <w:t xml:space="preserve">Table </w:t>
      </w:r>
      <w:r w:rsidR="00A775FE" w:rsidRPr="001C2C36">
        <w:rPr>
          <w:rFonts w:cs="Times New Roman"/>
        </w:rPr>
        <w:t>2</w:t>
      </w:r>
      <w:r w:rsidRPr="001C2C36">
        <w:rPr>
          <w:rFonts w:cs="Times New Roman"/>
        </w:rPr>
        <w:t xml:space="preserve"> </w:t>
      </w:r>
      <w:r w:rsidR="003A1EE0" w:rsidRPr="001C2C36">
        <w:rPr>
          <w:rFonts w:cs="Times New Roman"/>
        </w:rPr>
        <w:t>supplements the descriptive statistics with</w:t>
      </w:r>
      <w:r w:rsidR="003F03BF" w:rsidRPr="001C2C36">
        <w:rPr>
          <w:rFonts w:cs="Times New Roman"/>
        </w:rPr>
        <w:t xml:space="preserve"> the </w:t>
      </w:r>
      <w:r w:rsidR="000B30E4" w:rsidRPr="001C2C36">
        <w:rPr>
          <w:rFonts w:cs="Times New Roman"/>
        </w:rPr>
        <w:t>Spearman rank-order correlation</w:t>
      </w:r>
      <w:r w:rsidR="496F4BF7" w:rsidRPr="001C2C36">
        <w:rPr>
          <w:rFonts w:cs="Times New Roman"/>
        </w:rPr>
        <w:t>s</w:t>
      </w:r>
      <w:r w:rsidR="003F03BF" w:rsidRPr="001C2C36">
        <w:rPr>
          <w:rFonts w:cs="Times New Roman"/>
        </w:rPr>
        <w:t xml:space="preserve">, </w:t>
      </w:r>
      <w:r w:rsidR="008E4FD8" w:rsidRPr="001C2C36">
        <w:rPr>
          <w:rFonts w:cs="Times New Roman"/>
        </w:rPr>
        <w:t xml:space="preserve">which show the magnitude and direction of association between two ordinal </w:t>
      </w:r>
      <w:r w:rsidR="00D0211F" w:rsidRPr="001C2C36">
        <w:rPr>
          <w:rFonts w:cs="Times New Roman"/>
        </w:rPr>
        <w:t>or numerical variables</w:t>
      </w:r>
      <w:r w:rsidR="008E4FD8" w:rsidRPr="001C2C36">
        <w:rPr>
          <w:rFonts w:cs="Times New Roman"/>
        </w:rPr>
        <w:t xml:space="preserve">. </w:t>
      </w:r>
      <w:r w:rsidRPr="001C2C36">
        <w:rPr>
          <w:rFonts w:cs="Times New Roman"/>
        </w:rPr>
        <w:t>We find a small positive correlation (</w:t>
      </w:r>
      <w:r w:rsidR="00CA0956" w:rsidRPr="001C2C36">
        <w:rPr>
          <w:rFonts w:cs="Times New Roman"/>
          <w:color w:val="202124"/>
          <w:shd w:val="clear" w:color="auto" w:fill="FFFFFF"/>
        </w:rPr>
        <w:t>ρ</w:t>
      </w:r>
      <w:r w:rsidR="00CA0956" w:rsidRPr="001C2C36">
        <w:rPr>
          <w:rFonts w:cs="Times New Roman"/>
        </w:rPr>
        <w:t xml:space="preserve"> </w:t>
      </w:r>
      <w:r w:rsidRPr="001C2C36">
        <w:rPr>
          <w:rFonts w:cs="Times New Roman"/>
        </w:rPr>
        <w:t>= 0</w:t>
      </w:r>
      <w:r w:rsidR="00CA0956" w:rsidRPr="001C2C36">
        <w:rPr>
          <w:rFonts w:cs="Times New Roman"/>
        </w:rPr>
        <w:t>.13</w:t>
      </w:r>
      <w:r w:rsidRPr="001C2C36">
        <w:rPr>
          <w:rFonts w:cs="Times New Roman"/>
        </w:rPr>
        <w:t xml:space="preserve">) between DCs and </w:t>
      </w:r>
      <w:r w:rsidR="00DF4AB8" w:rsidRPr="001C2C36">
        <w:rPr>
          <w:rFonts w:cs="Times New Roman"/>
        </w:rPr>
        <w:t xml:space="preserve">employment growth </w:t>
      </w:r>
      <w:r w:rsidR="457C281D" w:rsidRPr="001C2C36">
        <w:rPr>
          <w:rFonts w:cs="Times New Roman"/>
        </w:rPr>
        <w:t>aspirations</w:t>
      </w:r>
      <w:r w:rsidRPr="001C2C36">
        <w:rPr>
          <w:rFonts w:cs="Times New Roman"/>
        </w:rPr>
        <w:t xml:space="preserve"> after the early stages of the Covid-19 pandemic. The relationship between government assistance and DC</w:t>
      </w:r>
      <w:r w:rsidR="00E831B8" w:rsidRPr="001C2C36">
        <w:rPr>
          <w:rFonts w:cs="Times New Roman"/>
        </w:rPr>
        <w:t>s</w:t>
      </w:r>
      <w:r w:rsidRPr="001C2C36">
        <w:rPr>
          <w:rFonts w:cs="Times New Roman"/>
        </w:rPr>
        <w:t xml:space="preserve"> is also positive but small (</w:t>
      </w:r>
      <w:r w:rsidR="00820364" w:rsidRPr="001C2C36">
        <w:rPr>
          <w:rFonts w:cs="Times New Roman"/>
          <w:color w:val="202124"/>
          <w:shd w:val="clear" w:color="auto" w:fill="FFFFFF"/>
        </w:rPr>
        <w:t>ρ</w:t>
      </w:r>
      <w:r w:rsidRPr="001C2C36">
        <w:rPr>
          <w:rFonts w:cs="Times New Roman"/>
        </w:rPr>
        <w:t xml:space="preserve"> = 0.</w:t>
      </w:r>
      <w:r w:rsidR="00CF513B" w:rsidRPr="001C2C36">
        <w:rPr>
          <w:rFonts w:cs="Times New Roman"/>
        </w:rPr>
        <w:t>22</w:t>
      </w:r>
      <w:r w:rsidRPr="001C2C36">
        <w:rPr>
          <w:rFonts w:cs="Times New Roman"/>
        </w:rPr>
        <w:t>)</w:t>
      </w:r>
      <w:r w:rsidR="00111530" w:rsidRPr="001C2C36">
        <w:rPr>
          <w:rFonts w:cs="Times New Roman"/>
        </w:rPr>
        <w:t xml:space="preserve">. Small positive correlations </w:t>
      </w:r>
      <w:r w:rsidR="00205313" w:rsidRPr="001C2C36">
        <w:rPr>
          <w:rFonts w:cs="Times New Roman"/>
        </w:rPr>
        <w:t xml:space="preserve">between government assistance and employment changes </w:t>
      </w:r>
      <w:r w:rsidR="0022424D" w:rsidRPr="001C2C36">
        <w:rPr>
          <w:rFonts w:cs="Times New Roman"/>
        </w:rPr>
        <w:t xml:space="preserve">during the first lockdown </w:t>
      </w:r>
      <w:r w:rsidR="00205313" w:rsidRPr="001C2C36">
        <w:rPr>
          <w:rFonts w:cs="Times New Roman"/>
        </w:rPr>
        <w:t xml:space="preserve">(ρ = 0.1) and </w:t>
      </w:r>
      <w:r w:rsidR="0022424D" w:rsidRPr="001C2C36">
        <w:rPr>
          <w:rFonts w:cs="Times New Roman"/>
        </w:rPr>
        <w:t>beyond</w:t>
      </w:r>
      <w:r w:rsidR="00205313" w:rsidRPr="001C2C36">
        <w:rPr>
          <w:rFonts w:cs="Times New Roman"/>
        </w:rPr>
        <w:t xml:space="preserve"> (ρ = 0.</w:t>
      </w:r>
      <w:r w:rsidR="00D050A2" w:rsidRPr="001C2C36">
        <w:rPr>
          <w:rFonts w:cs="Times New Roman"/>
        </w:rPr>
        <w:t>0</w:t>
      </w:r>
      <w:r w:rsidR="00205313" w:rsidRPr="001C2C36">
        <w:rPr>
          <w:rFonts w:cs="Times New Roman"/>
        </w:rPr>
        <w:t>6) can also be observed</w:t>
      </w:r>
      <w:r w:rsidRPr="001C2C36">
        <w:rPr>
          <w:rFonts w:cs="Times New Roman"/>
        </w:rPr>
        <w:t>.</w:t>
      </w:r>
    </w:p>
    <w:p w14:paraId="53877795" w14:textId="77777777" w:rsidR="00130448" w:rsidRPr="001C2C36" w:rsidRDefault="00130448" w:rsidP="00DB5868">
      <w:pPr>
        <w:rPr>
          <w:rFonts w:cs="Times New Roman"/>
        </w:rPr>
      </w:pPr>
    </w:p>
    <w:p w14:paraId="0FB5C2C3" w14:textId="2777A29A" w:rsidR="00D4765C" w:rsidRPr="001C2C36" w:rsidRDefault="00D4765C" w:rsidP="006643BE">
      <w:pPr>
        <w:pStyle w:val="Caption"/>
        <w:keepNext/>
        <w:jc w:val="center"/>
        <w:rPr>
          <w:rFonts w:ascii="Times New Roman" w:hAnsi="Times New Roman"/>
          <w:szCs w:val="24"/>
        </w:rPr>
      </w:pPr>
      <w:r w:rsidRPr="001C2C36">
        <w:rPr>
          <w:rFonts w:ascii="Times New Roman" w:hAnsi="Times New Roman"/>
          <w:szCs w:val="24"/>
        </w:rPr>
        <w:t xml:space="preserve">Table </w:t>
      </w:r>
      <w:r w:rsidRPr="001C2C36">
        <w:rPr>
          <w:rFonts w:ascii="Times New Roman" w:hAnsi="Times New Roman"/>
          <w:szCs w:val="24"/>
        </w:rPr>
        <w:fldChar w:fldCharType="begin"/>
      </w:r>
      <w:r w:rsidRPr="001C2C36">
        <w:rPr>
          <w:rFonts w:ascii="Times New Roman" w:hAnsi="Times New Roman"/>
          <w:szCs w:val="24"/>
        </w:rPr>
        <w:instrText>SEQ Table \* ARABIC</w:instrText>
      </w:r>
      <w:r w:rsidRPr="001C2C36">
        <w:rPr>
          <w:rFonts w:ascii="Times New Roman" w:hAnsi="Times New Roman"/>
          <w:szCs w:val="24"/>
        </w:rPr>
        <w:fldChar w:fldCharType="separate"/>
      </w:r>
      <w:r w:rsidR="00A43FC5">
        <w:rPr>
          <w:rFonts w:ascii="Times New Roman" w:hAnsi="Times New Roman"/>
          <w:noProof/>
          <w:szCs w:val="24"/>
        </w:rPr>
        <w:t>2</w:t>
      </w:r>
      <w:r w:rsidRPr="001C2C36">
        <w:rPr>
          <w:rFonts w:ascii="Times New Roman" w:hAnsi="Times New Roman"/>
          <w:szCs w:val="24"/>
        </w:rPr>
        <w:fldChar w:fldCharType="end"/>
      </w:r>
      <w:r w:rsidRPr="001C2C36">
        <w:rPr>
          <w:rFonts w:ascii="Times New Roman" w:hAnsi="Times New Roman"/>
          <w:szCs w:val="24"/>
        </w:rPr>
        <w:t xml:space="preserve"> Spearman rank-order correlation coefficients.</w:t>
      </w:r>
    </w:p>
    <w:tbl>
      <w:tblPr>
        <w:tblStyle w:val="TableGridLight"/>
        <w:tblW w:w="0" w:type="auto"/>
        <w:jc w:val="center"/>
        <w:tblLook w:val="04A0" w:firstRow="1" w:lastRow="0" w:firstColumn="1" w:lastColumn="0" w:noHBand="0" w:noVBand="1"/>
      </w:tblPr>
      <w:tblGrid>
        <w:gridCol w:w="2837"/>
        <w:gridCol w:w="759"/>
        <w:gridCol w:w="759"/>
        <w:gridCol w:w="759"/>
        <w:gridCol w:w="759"/>
        <w:gridCol w:w="759"/>
      </w:tblGrid>
      <w:tr w:rsidR="00D4765C" w:rsidRPr="001C2C36" w14:paraId="2CA6B8BB" w14:textId="77777777">
        <w:trPr>
          <w:cantSplit/>
          <w:trHeight w:val="899"/>
          <w:jc w:val="center"/>
        </w:trPr>
        <w:tc>
          <w:tcPr>
            <w:tcW w:w="2837" w:type="dxa"/>
            <w:tcBorders>
              <w:top w:val="single" w:sz="4" w:space="0" w:color="auto"/>
              <w:left w:val="single" w:sz="4" w:space="0" w:color="auto"/>
              <w:bottom w:val="single" w:sz="4" w:space="0" w:color="auto"/>
            </w:tcBorders>
            <w:noWrap/>
            <w:hideMark/>
          </w:tcPr>
          <w:p w14:paraId="4AFD6411" w14:textId="77777777" w:rsidR="00D4765C" w:rsidRPr="001C2C36" w:rsidRDefault="00D4765C">
            <w:pPr>
              <w:spacing w:line="240" w:lineRule="auto"/>
              <w:rPr>
                <w:rFonts w:eastAsia="Times New Roman" w:cs="Times New Roman"/>
                <w:b/>
                <w:bCs/>
                <w:szCs w:val="24"/>
                <w:lang w:eastAsia="en-GB"/>
              </w:rPr>
            </w:pPr>
          </w:p>
        </w:tc>
        <w:tc>
          <w:tcPr>
            <w:tcW w:w="759" w:type="dxa"/>
            <w:tcBorders>
              <w:top w:val="single" w:sz="4" w:space="0" w:color="auto"/>
              <w:bottom w:val="single" w:sz="4" w:space="0" w:color="auto"/>
            </w:tcBorders>
            <w:noWrap/>
            <w:textDirection w:val="btLr"/>
            <w:hideMark/>
          </w:tcPr>
          <w:p w14:paraId="75F4C6F9" w14:textId="77777777" w:rsidR="00D4765C" w:rsidRPr="001C2C36" w:rsidRDefault="00D4765C">
            <w:pPr>
              <w:spacing w:line="240" w:lineRule="auto"/>
              <w:ind w:left="113" w:right="113"/>
              <w:rPr>
                <w:rFonts w:eastAsia="Times New Roman" w:cs="Times New Roman"/>
                <w:b/>
                <w:bCs/>
                <w:color w:val="000000"/>
                <w:szCs w:val="24"/>
                <w:lang w:eastAsia="en-GB"/>
              </w:rPr>
            </w:pPr>
            <w:proofErr w:type="spellStart"/>
            <w:r w:rsidRPr="001C2C36">
              <w:rPr>
                <w:rFonts w:eastAsia="Times New Roman" w:cs="Times New Roman"/>
                <w:b/>
                <w:bCs/>
                <w:color w:val="000000"/>
                <w:szCs w:val="24"/>
                <w:lang w:eastAsia="en-GB"/>
              </w:rPr>
              <w:t>ΔEmp</w:t>
            </w:r>
            <w:proofErr w:type="spellEnd"/>
            <w:r w:rsidRPr="001C2C36">
              <w:rPr>
                <w:rFonts w:eastAsia="Times New Roman" w:cs="Times New Roman"/>
                <w:b/>
                <w:bCs/>
                <w:color w:val="000000"/>
                <w:szCs w:val="24"/>
                <w:lang w:eastAsia="en-GB"/>
              </w:rPr>
              <w:t xml:space="preserve"> 19-20 </w:t>
            </w:r>
          </w:p>
        </w:tc>
        <w:tc>
          <w:tcPr>
            <w:tcW w:w="759" w:type="dxa"/>
            <w:tcBorders>
              <w:top w:val="single" w:sz="4" w:space="0" w:color="auto"/>
              <w:bottom w:val="single" w:sz="4" w:space="0" w:color="auto"/>
            </w:tcBorders>
            <w:noWrap/>
            <w:textDirection w:val="btLr"/>
            <w:hideMark/>
          </w:tcPr>
          <w:p w14:paraId="4A8246C0" w14:textId="77777777" w:rsidR="00D4765C" w:rsidRPr="001C2C36" w:rsidRDefault="00D4765C">
            <w:pPr>
              <w:spacing w:line="240" w:lineRule="auto"/>
              <w:ind w:left="113" w:right="113"/>
              <w:rPr>
                <w:rFonts w:eastAsia="Times New Roman" w:cs="Times New Roman"/>
                <w:b/>
                <w:bCs/>
                <w:color w:val="000000"/>
                <w:szCs w:val="24"/>
                <w:lang w:eastAsia="en-GB"/>
              </w:rPr>
            </w:pPr>
            <w:proofErr w:type="spellStart"/>
            <w:r w:rsidRPr="001C2C36">
              <w:rPr>
                <w:rFonts w:eastAsia="Times New Roman" w:cs="Times New Roman"/>
                <w:b/>
                <w:bCs/>
                <w:color w:val="000000"/>
                <w:szCs w:val="24"/>
                <w:lang w:eastAsia="en-GB"/>
              </w:rPr>
              <w:t>ΔEmp</w:t>
            </w:r>
            <w:proofErr w:type="spellEnd"/>
            <w:r w:rsidRPr="001C2C36">
              <w:rPr>
                <w:rFonts w:eastAsia="Times New Roman" w:cs="Times New Roman"/>
                <w:b/>
                <w:bCs/>
                <w:color w:val="000000"/>
                <w:szCs w:val="24"/>
                <w:lang w:eastAsia="en-GB"/>
              </w:rPr>
              <w:t xml:space="preserve"> 20-21</w:t>
            </w:r>
          </w:p>
        </w:tc>
        <w:tc>
          <w:tcPr>
            <w:tcW w:w="759" w:type="dxa"/>
            <w:tcBorders>
              <w:top w:val="single" w:sz="4" w:space="0" w:color="auto"/>
              <w:bottom w:val="single" w:sz="4" w:space="0" w:color="auto"/>
            </w:tcBorders>
            <w:noWrap/>
            <w:textDirection w:val="btLr"/>
            <w:hideMark/>
          </w:tcPr>
          <w:p w14:paraId="02E11D2E" w14:textId="77777777" w:rsidR="00D4765C" w:rsidRPr="001C2C36" w:rsidRDefault="00D4765C">
            <w:pPr>
              <w:spacing w:line="240" w:lineRule="auto"/>
              <w:ind w:left="113" w:right="113"/>
              <w:rPr>
                <w:rFonts w:eastAsia="Times New Roman" w:cs="Times New Roman"/>
                <w:b/>
                <w:bCs/>
                <w:color w:val="000000"/>
                <w:szCs w:val="24"/>
                <w:lang w:eastAsia="en-GB"/>
              </w:rPr>
            </w:pPr>
            <w:r w:rsidRPr="001C2C36">
              <w:rPr>
                <w:rFonts w:eastAsia="Times New Roman" w:cs="Times New Roman"/>
                <w:b/>
                <w:bCs/>
                <w:color w:val="000000"/>
                <w:szCs w:val="24"/>
                <w:lang w:eastAsia="en-GB"/>
              </w:rPr>
              <w:t>DC</w:t>
            </w:r>
          </w:p>
        </w:tc>
        <w:tc>
          <w:tcPr>
            <w:tcW w:w="759" w:type="dxa"/>
            <w:tcBorders>
              <w:top w:val="single" w:sz="4" w:space="0" w:color="auto"/>
              <w:bottom w:val="single" w:sz="4" w:space="0" w:color="auto"/>
            </w:tcBorders>
            <w:noWrap/>
            <w:textDirection w:val="btLr"/>
            <w:hideMark/>
          </w:tcPr>
          <w:p w14:paraId="112910A1" w14:textId="77777777" w:rsidR="00D4765C" w:rsidRPr="001C2C36" w:rsidRDefault="00D4765C">
            <w:pPr>
              <w:spacing w:line="240" w:lineRule="auto"/>
              <w:ind w:left="113" w:right="113"/>
              <w:rPr>
                <w:rFonts w:eastAsia="Times New Roman" w:cs="Times New Roman"/>
                <w:b/>
                <w:bCs/>
                <w:color w:val="000000"/>
                <w:szCs w:val="24"/>
                <w:lang w:eastAsia="en-GB"/>
              </w:rPr>
            </w:pPr>
            <w:r w:rsidRPr="001C2C36">
              <w:rPr>
                <w:rFonts w:eastAsia="Times New Roman" w:cs="Times New Roman"/>
                <w:b/>
                <w:bCs/>
                <w:color w:val="000000"/>
                <w:szCs w:val="24"/>
                <w:lang w:eastAsia="en-GB"/>
              </w:rPr>
              <w:t>Gov.  sup.</w:t>
            </w:r>
          </w:p>
        </w:tc>
        <w:tc>
          <w:tcPr>
            <w:tcW w:w="759" w:type="dxa"/>
            <w:tcBorders>
              <w:top w:val="single" w:sz="4" w:space="0" w:color="auto"/>
              <w:bottom w:val="single" w:sz="4" w:space="0" w:color="auto"/>
              <w:right w:val="single" w:sz="4" w:space="0" w:color="auto"/>
            </w:tcBorders>
            <w:noWrap/>
            <w:textDirection w:val="btLr"/>
            <w:hideMark/>
          </w:tcPr>
          <w:p w14:paraId="6F6FBCB1" w14:textId="77777777" w:rsidR="00D4765C" w:rsidRPr="001C2C36" w:rsidRDefault="00D4765C">
            <w:pPr>
              <w:spacing w:line="240" w:lineRule="auto"/>
              <w:ind w:left="113" w:right="113"/>
              <w:rPr>
                <w:rFonts w:eastAsia="Times New Roman" w:cs="Times New Roman"/>
                <w:b/>
                <w:bCs/>
                <w:color w:val="000000"/>
                <w:szCs w:val="24"/>
                <w:lang w:eastAsia="en-GB"/>
              </w:rPr>
            </w:pPr>
            <w:r w:rsidRPr="001C2C36">
              <w:rPr>
                <w:rFonts w:eastAsia="Times New Roman" w:cs="Times New Roman"/>
                <w:b/>
                <w:bCs/>
                <w:color w:val="000000"/>
                <w:szCs w:val="24"/>
                <w:lang w:eastAsia="en-GB"/>
              </w:rPr>
              <w:t>Size (log)</w:t>
            </w:r>
          </w:p>
        </w:tc>
      </w:tr>
      <w:tr w:rsidR="00D4765C" w:rsidRPr="001C2C36" w14:paraId="0965F3CD" w14:textId="77777777">
        <w:trPr>
          <w:trHeight w:val="295"/>
          <w:jc w:val="center"/>
        </w:trPr>
        <w:tc>
          <w:tcPr>
            <w:tcW w:w="2837" w:type="dxa"/>
            <w:tcBorders>
              <w:top w:val="single" w:sz="4" w:space="0" w:color="auto"/>
              <w:left w:val="single" w:sz="4" w:space="0" w:color="auto"/>
              <w:right w:val="single" w:sz="4" w:space="0" w:color="auto"/>
            </w:tcBorders>
            <w:noWrap/>
            <w:hideMark/>
          </w:tcPr>
          <w:p w14:paraId="13099D1A" w14:textId="77777777" w:rsidR="00D4765C" w:rsidRPr="001C2C36" w:rsidRDefault="00D4765C">
            <w:pPr>
              <w:spacing w:line="240" w:lineRule="auto"/>
              <w:rPr>
                <w:rFonts w:eastAsia="Times New Roman" w:cs="Times New Roman"/>
                <w:b/>
                <w:bCs/>
                <w:color w:val="000000"/>
                <w:szCs w:val="24"/>
                <w:lang w:eastAsia="en-GB"/>
              </w:rPr>
            </w:pPr>
            <w:proofErr w:type="spellStart"/>
            <w:r w:rsidRPr="001C2C36">
              <w:rPr>
                <w:rFonts w:eastAsia="Times New Roman" w:cs="Times New Roman"/>
                <w:b/>
                <w:bCs/>
                <w:color w:val="000000"/>
                <w:szCs w:val="24"/>
                <w:lang w:eastAsia="en-GB"/>
              </w:rPr>
              <w:t>ΔEmp</w:t>
            </w:r>
            <w:proofErr w:type="spellEnd"/>
            <w:r w:rsidRPr="001C2C36">
              <w:rPr>
                <w:rFonts w:eastAsia="Times New Roman" w:cs="Times New Roman"/>
                <w:b/>
                <w:bCs/>
                <w:color w:val="000000"/>
                <w:szCs w:val="24"/>
                <w:lang w:eastAsia="en-GB"/>
              </w:rPr>
              <w:t xml:space="preserve"> 2019-2020</w:t>
            </w:r>
          </w:p>
        </w:tc>
        <w:tc>
          <w:tcPr>
            <w:tcW w:w="759" w:type="dxa"/>
            <w:tcBorders>
              <w:top w:val="single" w:sz="4" w:space="0" w:color="auto"/>
              <w:left w:val="single" w:sz="4" w:space="0" w:color="auto"/>
            </w:tcBorders>
            <w:hideMark/>
          </w:tcPr>
          <w:p w14:paraId="72DCA6A4" w14:textId="77777777" w:rsidR="00D4765C" w:rsidRPr="001C2C36" w:rsidRDefault="00D4765C">
            <w:pPr>
              <w:spacing w:line="240" w:lineRule="auto"/>
              <w:jc w:val="center"/>
              <w:rPr>
                <w:rFonts w:eastAsia="Times New Roman" w:cs="Times New Roman"/>
                <w:color w:val="000000"/>
                <w:szCs w:val="24"/>
                <w:lang w:eastAsia="en-GB"/>
              </w:rPr>
            </w:pPr>
            <w:r w:rsidRPr="001C2C36">
              <w:rPr>
                <w:rFonts w:eastAsia="Times New Roman" w:cs="Times New Roman"/>
                <w:color w:val="000000"/>
                <w:szCs w:val="24"/>
                <w:lang w:eastAsia="en-GB"/>
              </w:rPr>
              <w:t>1.00</w:t>
            </w:r>
          </w:p>
        </w:tc>
        <w:tc>
          <w:tcPr>
            <w:tcW w:w="759" w:type="dxa"/>
            <w:tcBorders>
              <w:top w:val="single" w:sz="4" w:space="0" w:color="auto"/>
            </w:tcBorders>
            <w:hideMark/>
          </w:tcPr>
          <w:p w14:paraId="15F1C443" w14:textId="77777777" w:rsidR="00D4765C" w:rsidRPr="001C2C36" w:rsidRDefault="00D4765C">
            <w:pPr>
              <w:spacing w:line="240" w:lineRule="auto"/>
              <w:jc w:val="center"/>
              <w:rPr>
                <w:rFonts w:eastAsia="Times New Roman" w:cs="Times New Roman"/>
                <w:color w:val="000000"/>
                <w:szCs w:val="24"/>
                <w:lang w:eastAsia="en-GB"/>
              </w:rPr>
            </w:pPr>
          </w:p>
        </w:tc>
        <w:tc>
          <w:tcPr>
            <w:tcW w:w="759" w:type="dxa"/>
            <w:tcBorders>
              <w:top w:val="single" w:sz="4" w:space="0" w:color="auto"/>
            </w:tcBorders>
            <w:hideMark/>
          </w:tcPr>
          <w:p w14:paraId="7702FA5B" w14:textId="77777777" w:rsidR="00D4765C" w:rsidRPr="001C2C36" w:rsidRDefault="00D4765C">
            <w:pPr>
              <w:spacing w:line="240" w:lineRule="auto"/>
              <w:jc w:val="center"/>
              <w:rPr>
                <w:rFonts w:eastAsia="Times New Roman" w:cs="Times New Roman"/>
                <w:szCs w:val="24"/>
                <w:lang w:eastAsia="en-GB"/>
              </w:rPr>
            </w:pPr>
          </w:p>
        </w:tc>
        <w:tc>
          <w:tcPr>
            <w:tcW w:w="759" w:type="dxa"/>
            <w:tcBorders>
              <w:top w:val="single" w:sz="4" w:space="0" w:color="auto"/>
            </w:tcBorders>
            <w:hideMark/>
          </w:tcPr>
          <w:p w14:paraId="484B61DB" w14:textId="77777777" w:rsidR="00D4765C" w:rsidRPr="001C2C36" w:rsidRDefault="00D4765C">
            <w:pPr>
              <w:spacing w:line="240" w:lineRule="auto"/>
              <w:jc w:val="center"/>
              <w:rPr>
                <w:rFonts w:eastAsia="Times New Roman" w:cs="Times New Roman"/>
                <w:szCs w:val="24"/>
                <w:lang w:eastAsia="en-GB"/>
              </w:rPr>
            </w:pPr>
          </w:p>
        </w:tc>
        <w:tc>
          <w:tcPr>
            <w:tcW w:w="759" w:type="dxa"/>
            <w:tcBorders>
              <w:top w:val="single" w:sz="4" w:space="0" w:color="auto"/>
              <w:right w:val="single" w:sz="4" w:space="0" w:color="auto"/>
            </w:tcBorders>
            <w:hideMark/>
          </w:tcPr>
          <w:p w14:paraId="0EF5DE83" w14:textId="77777777" w:rsidR="00D4765C" w:rsidRPr="001C2C36" w:rsidRDefault="00D4765C">
            <w:pPr>
              <w:spacing w:line="240" w:lineRule="auto"/>
              <w:jc w:val="center"/>
              <w:rPr>
                <w:rFonts w:eastAsia="Times New Roman" w:cs="Times New Roman"/>
                <w:szCs w:val="24"/>
                <w:lang w:eastAsia="en-GB"/>
              </w:rPr>
            </w:pPr>
          </w:p>
        </w:tc>
      </w:tr>
      <w:tr w:rsidR="00D4765C" w:rsidRPr="001C2C36" w14:paraId="68577F42" w14:textId="77777777">
        <w:trPr>
          <w:trHeight w:val="295"/>
          <w:jc w:val="center"/>
        </w:trPr>
        <w:tc>
          <w:tcPr>
            <w:tcW w:w="2837" w:type="dxa"/>
            <w:tcBorders>
              <w:left w:val="single" w:sz="4" w:space="0" w:color="auto"/>
              <w:right w:val="single" w:sz="4" w:space="0" w:color="auto"/>
            </w:tcBorders>
            <w:noWrap/>
            <w:hideMark/>
          </w:tcPr>
          <w:p w14:paraId="2746B965" w14:textId="77777777" w:rsidR="00D4765C" w:rsidRPr="001C2C36" w:rsidRDefault="00D4765C">
            <w:pPr>
              <w:spacing w:line="240" w:lineRule="auto"/>
              <w:rPr>
                <w:rFonts w:eastAsia="Times New Roman" w:cs="Times New Roman"/>
                <w:b/>
                <w:bCs/>
                <w:color w:val="000000"/>
                <w:szCs w:val="24"/>
                <w:lang w:eastAsia="en-GB"/>
              </w:rPr>
            </w:pPr>
            <w:proofErr w:type="spellStart"/>
            <w:r w:rsidRPr="001C2C36">
              <w:rPr>
                <w:rFonts w:eastAsia="Times New Roman" w:cs="Times New Roman"/>
                <w:b/>
                <w:bCs/>
                <w:color w:val="000000"/>
                <w:szCs w:val="24"/>
                <w:lang w:eastAsia="en-GB"/>
              </w:rPr>
              <w:t>ΔEmp</w:t>
            </w:r>
            <w:proofErr w:type="spellEnd"/>
            <w:r w:rsidRPr="001C2C36">
              <w:rPr>
                <w:rFonts w:eastAsia="Times New Roman" w:cs="Times New Roman"/>
                <w:b/>
                <w:bCs/>
                <w:color w:val="000000"/>
                <w:szCs w:val="24"/>
                <w:lang w:eastAsia="en-GB"/>
              </w:rPr>
              <w:t xml:space="preserve"> 2020-2021</w:t>
            </w:r>
          </w:p>
        </w:tc>
        <w:tc>
          <w:tcPr>
            <w:tcW w:w="759" w:type="dxa"/>
            <w:tcBorders>
              <w:left w:val="single" w:sz="4" w:space="0" w:color="auto"/>
            </w:tcBorders>
            <w:hideMark/>
          </w:tcPr>
          <w:p w14:paraId="5F431AD3" w14:textId="77777777" w:rsidR="00D4765C" w:rsidRPr="001C2C36" w:rsidRDefault="00D4765C">
            <w:pPr>
              <w:spacing w:line="240" w:lineRule="auto"/>
              <w:jc w:val="center"/>
              <w:rPr>
                <w:rFonts w:eastAsia="Times New Roman" w:cs="Times New Roman"/>
                <w:color w:val="000000"/>
                <w:szCs w:val="24"/>
                <w:lang w:eastAsia="en-GB"/>
              </w:rPr>
            </w:pPr>
            <w:r w:rsidRPr="001C2C36">
              <w:rPr>
                <w:rFonts w:eastAsia="Times New Roman" w:cs="Times New Roman"/>
                <w:color w:val="000000"/>
                <w:szCs w:val="24"/>
                <w:lang w:eastAsia="en-GB"/>
              </w:rPr>
              <w:t>0.03</w:t>
            </w:r>
          </w:p>
        </w:tc>
        <w:tc>
          <w:tcPr>
            <w:tcW w:w="759" w:type="dxa"/>
            <w:hideMark/>
          </w:tcPr>
          <w:p w14:paraId="2C690744" w14:textId="77777777" w:rsidR="00D4765C" w:rsidRPr="001C2C36" w:rsidRDefault="00D4765C">
            <w:pPr>
              <w:spacing w:line="240" w:lineRule="auto"/>
              <w:jc w:val="center"/>
              <w:rPr>
                <w:rFonts w:eastAsia="Times New Roman" w:cs="Times New Roman"/>
                <w:color w:val="000000"/>
                <w:szCs w:val="24"/>
                <w:lang w:eastAsia="en-GB"/>
              </w:rPr>
            </w:pPr>
            <w:r w:rsidRPr="001C2C36">
              <w:rPr>
                <w:rFonts w:eastAsia="Times New Roman" w:cs="Times New Roman"/>
                <w:color w:val="000000"/>
                <w:szCs w:val="24"/>
                <w:lang w:eastAsia="en-GB"/>
              </w:rPr>
              <w:t>1.00</w:t>
            </w:r>
          </w:p>
        </w:tc>
        <w:tc>
          <w:tcPr>
            <w:tcW w:w="759" w:type="dxa"/>
            <w:hideMark/>
          </w:tcPr>
          <w:p w14:paraId="544883C9" w14:textId="77777777" w:rsidR="00D4765C" w:rsidRPr="001C2C36" w:rsidRDefault="00D4765C">
            <w:pPr>
              <w:spacing w:line="240" w:lineRule="auto"/>
              <w:jc w:val="center"/>
              <w:rPr>
                <w:rFonts w:eastAsia="Times New Roman" w:cs="Times New Roman"/>
                <w:color w:val="000000"/>
                <w:szCs w:val="24"/>
                <w:lang w:eastAsia="en-GB"/>
              </w:rPr>
            </w:pPr>
          </w:p>
        </w:tc>
        <w:tc>
          <w:tcPr>
            <w:tcW w:w="759" w:type="dxa"/>
            <w:hideMark/>
          </w:tcPr>
          <w:p w14:paraId="7CF485D1" w14:textId="77777777" w:rsidR="00D4765C" w:rsidRPr="001C2C36" w:rsidRDefault="00D4765C">
            <w:pPr>
              <w:spacing w:line="240" w:lineRule="auto"/>
              <w:jc w:val="center"/>
              <w:rPr>
                <w:rFonts w:eastAsia="Times New Roman" w:cs="Times New Roman"/>
                <w:szCs w:val="24"/>
                <w:lang w:eastAsia="en-GB"/>
              </w:rPr>
            </w:pPr>
          </w:p>
        </w:tc>
        <w:tc>
          <w:tcPr>
            <w:tcW w:w="759" w:type="dxa"/>
            <w:tcBorders>
              <w:right w:val="single" w:sz="4" w:space="0" w:color="auto"/>
            </w:tcBorders>
            <w:hideMark/>
          </w:tcPr>
          <w:p w14:paraId="4BBE8DEC" w14:textId="77777777" w:rsidR="00D4765C" w:rsidRPr="001C2C36" w:rsidRDefault="00D4765C">
            <w:pPr>
              <w:spacing w:line="240" w:lineRule="auto"/>
              <w:jc w:val="center"/>
              <w:rPr>
                <w:rFonts w:eastAsia="Times New Roman" w:cs="Times New Roman"/>
                <w:szCs w:val="24"/>
                <w:lang w:eastAsia="en-GB"/>
              </w:rPr>
            </w:pPr>
          </w:p>
        </w:tc>
      </w:tr>
      <w:tr w:rsidR="00D4765C" w:rsidRPr="001C2C36" w14:paraId="37FB02C3" w14:textId="77777777">
        <w:trPr>
          <w:trHeight w:val="295"/>
          <w:jc w:val="center"/>
        </w:trPr>
        <w:tc>
          <w:tcPr>
            <w:tcW w:w="2837" w:type="dxa"/>
            <w:tcBorders>
              <w:left w:val="single" w:sz="4" w:space="0" w:color="auto"/>
              <w:right w:val="single" w:sz="4" w:space="0" w:color="auto"/>
            </w:tcBorders>
            <w:noWrap/>
            <w:hideMark/>
          </w:tcPr>
          <w:p w14:paraId="7FB9EFB9" w14:textId="77777777" w:rsidR="00D4765C" w:rsidRPr="001C2C36" w:rsidRDefault="00D4765C">
            <w:pPr>
              <w:spacing w:line="240" w:lineRule="auto"/>
              <w:rPr>
                <w:rFonts w:eastAsia="Times New Roman" w:cs="Times New Roman"/>
                <w:b/>
                <w:bCs/>
                <w:color w:val="000000"/>
                <w:szCs w:val="24"/>
                <w:lang w:eastAsia="en-GB"/>
              </w:rPr>
            </w:pPr>
            <w:r w:rsidRPr="001C2C36">
              <w:rPr>
                <w:rFonts w:eastAsia="Times New Roman" w:cs="Times New Roman"/>
                <w:b/>
                <w:bCs/>
                <w:color w:val="000000"/>
                <w:szCs w:val="24"/>
                <w:lang w:eastAsia="en-GB"/>
              </w:rPr>
              <w:t>DC</w:t>
            </w:r>
          </w:p>
        </w:tc>
        <w:tc>
          <w:tcPr>
            <w:tcW w:w="759" w:type="dxa"/>
            <w:tcBorders>
              <w:left w:val="single" w:sz="4" w:space="0" w:color="auto"/>
            </w:tcBorders>
            <w:hideMark/>
          </w:tcPr>
          <w:p w14:paraId="1B2E89DD" w14:textId="77777777" w:rsidR="00D4765C" w:rsidRPr="001C2C36" w:rsidRDefault="00D4765C">
            <w:pPr>
              <w:spacing w:line="240" w:lineRule="auto"/>
              <w:jc w:val="center"/>
              <w:rPr>
                <w:rFonts w:eastAsia="Times New Roman" w:cs="Times New Roman"/>
                <w:color w:val="000000"/>
                <w:szCs w:val="24"/>
                <w:lang w:eastAsia="en-GB"/>
              </w:rPr>
            </w:pPr>
            <w:r w:rsidRPr="001C2C36">
              <w:rPr>
                <w:rFonts w:eastAsia="Times New Roman" w:cs="Times New Roman"/>
                <w:color w:val="000000"/>
                <w:szCs w:val="24"/>
                <w:lang w:eastAsia="en-GB"/>
              </w:rPr>
              <w:t>0.04</w:t>
            </w:r>
          </w:p>
        </w:tc>
        <w:tc>
          <w:tcPr>
            <w:tcW w:w="759" w:type="dxa"/>
            <w:hideMark/>
          </w:tcPr>
          <w:p w14:paraId="636BAE49" w14:textId="77777777" w:rsidR="00D4765C" w:rsidRPr="001C2C36" w:rsidRDefault="00D4765C">
            <w:pPr>
              <w:spacing w:line="240" w:lineRule="auto"/>
              <w:jc w:val="center"/>
              <w:rPr>
                <w:rFonts w:eastAsia="Times New Roman" w:cs="Times New Roman"/>
                <w:color w:val="000000"/>
                <w:szCs w:val="24"/>
                <w:lang w:eastAsia="en-GB"/>
              </w:rPr>
            </w:pPr>
            <w:r w:rsidRPr="001C2C36">
              <w:rPr>
                <w:rFonts w:eastAsia="Times New Roman" w:cs="Times New Roman"/>
                <w:color w:val="000000"/>
                <w:szCs w:val="24"/>
                <w:lang w:eastAsia="en-GB"/>
              </w:rPr>
              <w:t>0.13</w:t>
            </w:r>
          </w:p>
        </w:tc>
        <w:tc>
          <w:tcPr>
            <w:tcW w:w="759" w:type="dxa"/>
            <w:hideMark/>
          </w:tcPr>
          <w:p w14:paraId="350A1FE8" w14:textId="77777777" w:rsidR="00D4765C" w:rsidRPr="001C2C36" w:rsidRDefault="00D4765C">
            <w:pPr>
              <w:spacing w:line="240" w:lineRule="auto"/>
              <w:jc w:val="center"/>
              <w:rPr>
                <w:rFonts w:eastAsia="Times New Roman" w:cs="Times New Roman"/>
                <w:color w:val="000000"/>
                <w:szCs w:val="24"/>
                <w:lang w:eastAsia="en-GB"/>
              </w:rPr>
            </w:pPr>
            <w:r w:rsidRPr="001C2C36">
              <w:rPr>
                <w:rFonts w:eastAsia="Times New Roman" w:cs="Times New Roman"/>
                <w:color w:val="000000"/>
                <w:szCs w:val="24"/>
                <w:lang w:eastAsia="en-GB"/>
              </w:rPr>
              <w:t>1.00</w:t>
            </w:r>
          </w:p>
        </w:tc>
        <w:tc>
          <w:tcPr>
            <w:tcW w:w="759" w:type="dxa"/>
            <w:hideMark/>
          </w:tcPr>
          <w:p w14:paraId="6076C4A5" w14:textId="77777777" w:rsidR="00D4765C" w:rsidRPr="001C2C36" w:rsidRDefault="00D4765C">
            <w:pPr>
              <w:spacing w:line="240" w:lineRule="auto"/>
              <w:jc w:val="center"/>
              <w:rPr>
                <w:rFonts w:eastAsia="Times New Roman" w:cs="Times New Roman"/>
                <w:color w:val="000000"/>
                <w:szCs w:val="24"/>
                <w:lang w:eastAsia="en-GB"/>
              </w:rPr>
            </w:pPr>
          </w:p>
        </w:tc>
        <w:tc>
          <w:tcPr>
            <w:tcW w:w="759" w:type="dxa"/>
            <w:tcBorders>
              <w:right w:val="single" w:sz="4" w:space="0" w:color="auto"/>
            </w:tcBorders>
            <w:hideMark/>
          </w:tcPr>
          <w:p w14:paraId="4762E514" w14:textId="77777777" w:rsidR="00D4765C" w:rsidRPr="001C2C36" w:rsidRDefault="00D4765C">
            <w:pPr>
              <w:spacing w:line="240" w:lineRule="auto"/>
              <w:jc w:val="center"/>
              <w:rPr>
                <w:rFonts w:eastAsia="Times New Roman" w:cs="Times New Roman"/>
                <w:szCs w:val="24"/>
                <w:lang w:eastAsia="en-GB"/>
              </w:rPr>
            </w:pPr>
          </w:p>
        </w:tc>
      </w:tr>
      <w:tr w:rsidR="00D4765C" w:rsidRPr="001C2C36" w14:paraId="14BEC491" w14:textId="77777777">
        <w:trPr>
          <w:trHeight w:val="295"/>
          <w:jc w:val="center"/>
        </w:trPr>
        <w:tc>
          <w:tcPr>
            <w:tcW w:w="2837" w:type="dxa"/>
            <w:tcBorders>
              <w:left w:val="single" w:sz="4" w:space="0" w:color="auto"/>
              <w:right w:val="single" w:sz="4" w:space="0" w:color="auto"/>
            </w:tcBorders>
            <w:noWrap/>
            <w:hideMark/>
          </w:tcPr>
          <w:p w14:paraId="33A5CC28" w14:textId="77777777" w:rsidR="00D4765C" w:rsidRPr="001C2C36" w:rsidRDefault="00D4765C">
            <w:pPr>
              <w:spacing w:line="240" w:lineRule="auto"/>
              <w:rPr>
                <w:rFonts w:eastAsia="Times New Roman" w:cs="Times New Roman"/>
                <w:b/>
                <w:bCs/>
                <w:color w:val="000000"/>
                <w:szCs w:val="24"/>
                <w:lang w:eastAsia="en-GB"/>
              </w:rPr>
            </w:pPr>
            <w:r w:rsidRPr="001C2C36">
              <w:rPr>
                <w:rFonts w:eastAsia="Times New Roman" w:cs="Times New Roman"/>
                <w:b/>
                <w:bCs/>
                <w:color w:val="000000"/>
                <w:szCs w:val="24"/>
                <w:lang w:eastAsia="en-GB"/>
              </w:rPr>
              <w:t>Government support</w:t>
            </w:r>
          </w:p>
        </w:tc>
        <w:tc>
          <w:tcPr>
            <w:tcW w:w="759" w:type="dxa"/>
            <w:tcBorders>
              <w:left w:val="single" w:sz="4" w:space="0" w:color="auto"/>
            </w:tcBorders>
            <w:hideMark/>
          </w:tcPr>
          <w:p w14:paraId="7A95E1C9" w14:textId="77777777" w:rsidR="00D4765C" w:rsidRPr="001C2C36" w:rsidRDefault="00D4765C">
            <w:pPr>
              <w:spacing w:line="240" w:lineRule="auto"/>
              <w:jc w:val="center"/>
              <w:rPr>
                <w:rFonts w:eastAsia="Times New Roman" w:cs="Times New Roman"/>
                <w:color w:val="000000"/>
                <w:szCs w:val="24"/>
                <w:lang w:eastAsia="en-GB"/>
              </w:rPr>
            </w:pPr>
            <w:r w:rsidRPr="001C2C36">
              <w:rPr>
                <w:rFonts w:eastAsia="Times New Roman" w:cs="Times New Roman"/>
                <w:color w:val="000000"/>
                <w:szCs w:val="24"/>
                <w:lang w:eastAsia="en-GB"/>
              </w:rPr>
              <w:t>0.10</w:t>
            </w:r>
          </w:p>
        </w:tc>
        <w:tc>
          <w:tcPr>
            <w:tcW w:w="759" w:type="dxa"/>
            <w:hideMark/>
          </w:tcPr>
          <w:p w14:paraId="6303D241" w14:textId="77777777" w:rsidR="00D4765C" w:rsidRPr="001C2C36" w:rsidRDefault="00D4765C">
            <w:pPr>
              <w:spacing w:line="240" w:lineRule="auto"/>
              <w:jc w:val="center"/>
              <w:rPr>
                <w:rFonts w:eastAsia="Times New Roman" w:cs="Times New Roman"/>
                <w:color w:val="000000"/>
                <w:szCs w:val="24"/>
                <w:lang w:eastAsia="en-GB"/>
              </w:rPr>
            </w:pPr>
            <w:r w:rsidRPr="001C2C36">
              <w:rPr>
                <w:rFonts w:eastAsia="Times New Roman" w:cs="Times New Roman"/>
                <w:color w:val="000000"/>
                <w:szCs w:val="24"/>
                <w:lang w:eastAsia="en-GB"/>
              </w:rPr>
              <w:t>0.06</w:t>
            </w:r>
          </w:p>
        </w:tc>
        <w:tc>
          <w:tcPr>
            <w:tcW w:w="759" w:type="dxa"/>
            <w:hideMark/>
          </w:tcPr>
          <w:p w14:paraId="24A5F9BB" w14:textId="77777777" w:rsidR="00D4765C" w:rsidRPr="001C2C36" w:rsidRDefault="00D4765C">
            <w:pPr>
              <w:spacing w:line="240" w:lineRule="auto"/>
              <w:jc w:val="center"/>
              <w:rPr>
                <w:rFonts w:eastAsia="Times New Roman" w:cs="Times New Roman"/>
                <w:color w:val="000000"/>
                <w:szCs w:val="24"/>
                <w:lang w:eastAsia="en-GB"/>
              </w:rPr>
            </w:pPr>
            <w:r w:rsidRPr="001C2C36">
              <w:rPr>
                <w:rFonts w:eastAsia="Times New Roman" w:cs="Times New Roman"/>
                <w:color w:val="000000"/>
                <w:szCs w:val="24"/>
                <w:lang w:eastAsia="en-GB"/>
              </w:rPr>
              <w:t>0.22</w:t>
            </w:r>
          </w:p>
        </w:tc>
        <w:tc>
          <w:tcPr>
            <w:tcW w:w="759" w:type="dxa"/>
            <w:hideMark/>
          </w:tcPr>
          <w:p w14:paraId="0E6A46EA" w14:textId="77777777" w:rsidR="00D4765C" w:rsidRPr="001C2C36" w:rsidRDefault="00D4765C">
            <w:pPr>
              <w:spacing w:line="240" w:lineRule="auto"/>
              <w:jc w:val="center"/>
              <w:rPr>
                <w:rFonts w:eastAsia="Times New Roman" w:cs="Times New Roman"/>
                <w:color w:val="000000"/>
                <w:szCs w:val="24"/>
                <w:lang w:eastAsia="en-GB"/>
              </w:rPr>
            </w:pPr>
            <w:r w:rsidRPr="001C2C36">
              <w:rPr>
                <w:rFonts w:eastAsia="Times New Roman" w:cs="Times New Roman"/>
                <w:color w:val="000000"/>
                <w:szCs w:val="24"/>
                <w:lang w:eastAsia="en-GB"/>
              </w:rPr>
              <w:t>1.00</w:t>
            </w:r>
          </w:p>
        </w:tc>
        <w:tc>
          <w:tcPr>
            <w:tcW w:w="759" w:type="dxa"/>
            <w:tcBorders>
              <w:right w:val="single" w:sz="4" w:space="0" w:color="auto"/>
            </w:tcBorders>
            <w:hideMark/>
          </w:tcPr>
          <w:p w14:paraId="1E2F3987" w14:textId="77777777" w:rsidR="00D4765C" w:rsidRPr="001C2C36" w:rsidRDefault="00D4765C">
            <w:pPr>
              <w:spacing w:line="240" w:lineRule="auto"/>
              <w:jc w:val="center"/>
              <w:rPr>
                <w:rFonts w:eastAsia="Times New Roman" w:cs="Times New Roman"/>
                <w:color w:val="000000"/>
                <w:szCs w:val="24"/>
                <w:lang w:eastAsia="en-GB"/>
              </w:rPr>
            </w:pPr>
          </w:p>
        </w:tc>
      </w:tr>
      <w:tr w:rsidR="00D4765C" w:rsidRPr="001C2C36" w14:paraId="50188458" w14:textId="77777777">
        <w:trPr>
          <w:trHeight w:val="295"/>
          <w:jc w:val="center"/>
        </w:trPr>
        <w:tc>
          <w:tcPr>
            <w:tcW w:w="2837" w:type="dxa"/>
            <w:tcBorders>
              <w:left w:val="single" w:sz="4" w:space="0" w:color="auto"/>
              <w:bottom w:val="single" w:sz="4" w:space="0" w:color="auto"/>
              <w:right w:val="single" w:sz="4" w:space="0" w:color="auto"/>
            </w:tcBorders>
            <w:noWrap/>
            <w:hideMark/>
          </w:tcPr>
          <w:p w14:paraId="75879DF4" w14:textId="77777777" w:rsidR="00D4765C" w:rsidRPr="001C2C36" w:rsidRDefault="00D4765C">
            <w:pPr>
              <w:spacing w:line="240" w:lineRule="auto"/>
              <w:rPr>
                <w:rFonts w:eastAsia="Times New Roman" w:cs="Times New Roman"/>
                <w:b/>
                <w:bCs/>
                <w:color w:val="000000"/>
                <w:szCs w:val="24"/>
                <w:lang w:eastAsia="en-GB"/>
              </w:rPr>
            </w:pPr>
            <w:r w:rsidRPr="001C2C36">
              <w:rPr>
                <w:rFonts w:eastAsia="Times New Roman" w:cs="Times New Roman"/>
                <w:b/>
                <w:bCs/>
                <w:color w:val="000000"/>
                <w:szCs w:val="24"/>
                <w:lang w:eastAsia="en-GB"/>
              </w:rPr>
              <w:t>Size (log)</w:t>
            </w:r>
          </w:p>
        </w:tc>
        <w:tc>
          <w:tcPr>
            <w:tcW w:w="759" w:type="dxa"/>
            <w:tcBorders>
              <w:left w:val="single" w:sz="4" w:space="0" w:color="auto"/>
              <w:bottom w:val="single" w:sz="4" w:space="0" w:color="auto"/>
            </w:tcBorders>
            <w:hideMark/>
          </w:tcPr>
          <w:p w14:paraId="6EC38B14" w14:textId="77777777" w:rsidR="00D4765C" w:rsidRPr="001C2C36" w:rsidRDefault="00D4765C">
            <w:pPr>
              <w:spacing w:line="240" w:lineRule="auto"/>
              <w:jc w:val="center"/>
              <w:rPr>
                <w:rFonts w:eastAsia="Times New Roman" w:cs="Times New Roman"/>
                <w:color w:val="000000"/>
                <w:szCs w:val="24"/>
                <w:lang w:eastAsia="en-GB"/>
              </w:rPr>
            </w:pPr>
            <w:r w:rsidRPr="001C2C36">
              <w:rPr>
                <w:rFonts w:eastAsia="Times New Roman" w:cs="Times New Roman"/>
                <w:color w:val="000000"/>
                <w:szCs w:val="24"/>
                <w:lang w:eastAsia="en-GB"/>
              </w:rPr>
              <w:t>-0.02</w:t>
            </w:r>
          </w:p>
        </w:tc>
        <w:tc>
          <w:tcPr>
            <w:tcW w:w="759" w:type="dxa"/>
            <w:tcBorders>
              <w:bottom w:val="single" w:sz="4" w:space="0" w:color="auto"/>
            </w:tcBorders>
            <w:hideMark/>
          </w:tcPr>
          <w:p w14:paraId="5EBB7EC4" w14:textId="77777777" w:rsidR="00D4765C" w:rsidRPr="001C2C36" w:rsidRDefault="00D4765C">
            <w:pPr>
              <w:spacing w:line="240" w:lineRule="auto"/>
              <w:jc w:val="center"/>
              <w:rPr>
                <w:rFonts w:eastAsia="Times New Roman" w:cs="Times New Roman"/>
                <w:color w:val="000000"/>
                <w:szCs w:val="24"/>
                <w:lang w:eastAsia="en-GB"/>
              </w:rPr>
            </w:pPr>
            <w:r w:rsidRPr="001C2C36">
              <w:rPr>
                <w:rFonts w:eastAsia="Times New Roman" w:cs="Times New Roman"/>
                <w:color w:val="000000"/>
                <w:szCs w:val="24"/>
                <w:lang w:eastAsia="en-GB"/>
              </w:rPr>
              <w:t>0.08</w:t>
            </w:r>
          </w:p>
        </w:tc>
        <w:tc>
          <w:tcPr>
            <w:tcW w:w="759" w:type="dxa"/>
            <w:tcBorders>
              <w:bottom w:val="single" w:sz="4" w:space="0" w:color="auto"/>
            </w:tcBorders>
            <w:hideMark/>
          </w:tcPr>
          <w:p w14:paraId="59FB12D2" w14:textId="77777777" w:rsidR="00D4765C" w:rsidRPr="001C2C36" w:rsidRDefault="00D4765C">
            <w:pPr>
              <w:spacing w:line="240" w:lineRule="auto"/>
              <w:jc w:val="center"/>
              <w:rPr>
                <w:rFonts w:eastAsia="Times New Roman" w:cs="Times New Roman"/>
                <w:color w:val="000000"/>
                <w:szCs w:val="24"/>
                <w:lang w:eastAsia="en-GB"/>
              </w:rPr>
            </w:pPr>
            <w:r w:rsidRPr="001C2C36">
              <w:rPr>
                <w:rFonts w:eastAsia="Times New Roman" w:cs="Times New Roman"/>
                <w:color w:val="000000"/>
                <w:szCs w:val="24"/>
                <w:lang w:eastAsia="en-GB"/>
              </w:rPr>
              <w:t>0.22</w:t>
            </w:r>
          </w:p>
        </w:tc>
        <w:tc>
          <w:tcPr>
            <w:tcW w:w="759" w:type="dxa"/>
            <w:tcBorders>
              <w:bottom w:val="single" w:sz="4" w:space="0" w:color="auto"/>
            </w:tcBorders>
            <w:hideMark/>
          </w:tcPr>
          <w:p w14:paraId="100DF887" w14:textId="77777777" w:rsidR="00D4765C" w:rsidRPr="001C2C36" w:rsidRDefault="00D4765C">
            <w:pPr>
              <w:spacing w:line="240" w:lineRule="auto"/>
              <w:jc w:val="center"/>
              <w:rPr>
                <w:rFonts w:eastAsia="Times New Roman" w:cs="Times New Roman"/>
                <w:color w:val="000000"/>
                <w:szCs w:val="24"/>
                <w:lang w:eastAsia="en-GB"/>
              </w:rPr>
            </w:pPr>
            <w:r w:rsidRPr="001C2C36">
              <w:rPr>
                <w:rFonts w:eastAsia="Times New Roman" w:cs="Times New Roman"/>
                <w:color w:val="000000"/>
                <w:szCs w:val="24"/>
                <w:lang w:eastAsia="en-GB"/>
              </w:rPr>
              <w:t>0.48</w:t>
            </w:r>
          </w:p>
        </w:tc>
        <w:tc>
          <w:tcPr>
            <w:tcW w:w="759" w:type="dxa"/>
            <w:tcBorders>
              <w:bottom w:val="single" w:sz="4" w:space="0" w:color="auto"/>
              <w:right w:val="single" w:sz="4" w:space="0" w:color="auto"/>
            </w:tcBorders>
            <w:hideMark/>
          </w:tcPr>
          <w:p w14:paraId="03041EA6" w14:textId="77777777" w:rsidR="00D4765C" w:rsidRPr="001C2C36" w:rsidRDefault="00D4765C">
            <w:pPr>
              <w:spacing w:line="240" w:lineRule="auto"/>
              <w:jc w:val="center"/>
              <w:rPr>
                <w:rFonts w:eastAsia="Times New Roman" w:cs="Times New Roman"/>
                <w:color w:val="000000"/>
                <w:szCs w:val="24"/>
                <w:lang w:eastAsia="en-GB"/>
              </w:rPr>
            </w:pPr>
            <w:r w:rsidRPr="001C2C36">
              <w:rPr>
                <w:rFonts w:eastAsia="Times New Roman" w:cs="Times New Roman"/>
                <w:color w:val="000000"/>
                <w:szCs w:val="24"/>
                <w:lang w:eastAsia="en-GB"/>
              </w:rPr>
              <w:t>1.00</w:t>
            </w:r>
          </w:p>
        </w:tc>
      </w:tr>
    </w:tbl>
    <w:p w14:paraId="14BE2822" w14:textId="77777777" w:rsidR="008276B9" w:rsidRPr="001C2C36" w:rsidRDefault="008276B9" w:rsidP="008276B9">
      <w:pPr>
        <w:rPr>
          <w:rFonts w:cs="Times New Roman"/>
          <w:szCs w:val="24"/>
        </w:rPr>
      </w:pPr>
    </w:p>
    <w:p w14:paraId="538243FD" w14:textId="56CACE90" w:rsidR="00B82217" w:rsidRPr="001C2C36" w:rsidRDefault="00015D4E" w:rsidP="00B82217">
      <w:pPr>
        <w:rPr>
          <w:rFonts w:cs="Times New Roman"/>
          <w:b/>
          <w:color w:val="202124"/>
          <w:shd w:val="clear" w:color="auto" w:fill="FFFFFF"/>
        </w:rPr>
      </w:pPr>
      <w:r w:rsidRPr="00015D4E">
        <w:rPr>
          <w:rFonts w:cs="Times New Roman"/>
        </w:rPr>
        <w:t>Table 3</w:t>
      </w:r>
      <w:r>
        <w:rPr>
          <w:rFonts w:cs="Times New Roman"/>
        </w:rPr>
        <w:t xml:space="preserve"> </w:t>
      </w:r>
      <w:r w:rsidR="00B82217" w:rsidRPr="001C2C36">
        <w:rPr>
          <w:rFonts w:cs="Times New Roman"/>
        </w:rPr>
        <w:t>presents the results of the ordinal regression models for changes in employment during and immediately after the first lockdown (models 1, 2 and 3) and employment growth aspirations after that (models 4, 5 and 6). For each dependent variable, we first present the regression models showing the control variables (models 1 and 4). The independent variables of dynamic capabilities and government support are then added in models 2 and 5. The full models (models 3 and 6) then also include the interaction term between DCs and government support to test for a moderation effect. Table 3 also reports the residual deviance and AIC. Lower residual deviance in the final models indicates that the models with interaction terms predict the outcome variable better than alternative specifications. Similarly, lower AIC values in the full models indicate a better overall fit.</w:t>
      </w:r>
      <w:r w:rsidR="00B82217" w:rsidRPr="001C2C36">
        <w:rPr>
          <w:rFonts w:cs="Times New Roman"/>
          <w:b/>
          <w:color w:val="202124"/>
          <w:shd w:val="clear" w:color="auto" w:fill="FFFFFF"/>
        </w:rPr>
        <w:t xml:space="preserve"> </w:t>
      </w:r>
    </w:p>
    <w:p w14:paraId="47771C3F" w14:textId="77777777" w:rsidR="00B82217" w:rsidRDefault="00B82217" w:rsidP="00B82217">
      <w:pPr>
        <w:rPr>
          <w:rFonts w:eastAsia="Times New Roman" w:cs="Times New Roman"/>
        </w:rPr>
      </w:pPr>
      <w:r w:rsidRPr="001C2C36">
        <w:rPr>
          <w:rFonts w:cs="Times New Roman"/>
        </w:rPr>
        <w:t>Focusing first on the control variables, the regression results of model 3 indicate that if SMEs operate in the transport, retail and food service/ accommodation sectors, the odds of increasing or sustaining employment (versus decreasing) increase by 23% (b</w:t>
      </w:r>
      <w:r w:rsidRPr="001C2C36">
        <w:rPr>
          <w:rFonts w:cs="Times New Roman"/>
          <w:vertAlign w:val="subscript"/>
        </w:rPr>
        <w:t>3</w:t>
      </w:r>
      <w:r w:rsidRPr="001C2C36">
        <w:rPr>
          <w:rFonts w:cs="Times New Roman"/>
        </w:rPr>
        <w:t>=0.20, SE=0.12), holding all other variables constant. However, this relationship was not sustained after the early stages of the pandemic, as revealed by the lack of significant relationships with the dependent variable of future growth aspirations in model 6. Whilst the business size is significantly negatively (b</w:t>
      </w:r>
      <w:r w:rsidRPr="001C2C36">
        <w:rPr>
          <w:rFonts w:cs="Times New Roman"/>
          <w:vertAlign w:val="subscript"/>
        </w:rPr>
        <w:t>3</w:t>
      </w:r>
      <w:r w:rsidRPr="001C2C36">
        <w:rPr>
          <w:rFonts w:cs="Times New Roman"/>
        </w:rPr>
        <w:t>=-0.13, SE=0.04) related to employment change during and immediately after the first lockdown, but it is found to be significantly (at 10% confidence level) positively</w:t>
      </w:r>
      <w:r w:rsidRPr="001C2C36">
        <w:rPr>
          <w:rFonts w:cs="Times New Roman"/>
        </w:rPr>
        <w:fldChar w:fldCharType="begin"/>
      </w:r>
      <w:r w:rsidRPr="001C2C36">
        <w:rPr>
          <w:rFonts w:cs="Times New Roman"/>
        </w:rPr>
        <w:instrText xml:space="preserve"> REF _Ref126241632 \h  \* MERGEFORMAT </w:instrText>
      </w:r>
      <w:r w:rsidRPr="001C2C36">
        <w:rPr>
          <w:rFonts w:cs="Times New Roman"/>
        </w:rPr>
      </w:r>
      <w:r w:rsidR="00000000">
        <w:rPr>
          <w:rFonts w:cs="Times New Roman"/>
        </w:rPr>
        <w:fldChar w:fldCharType="separate"/>
      </w:r>
      <w:r w:rsidRPr="001C2C36">
        <w:rPr>
          <w:rFonts w:cs="Times New Roman"/>
        </w:rPr>
        <w:fldChar w:fldCharType="end"/>
      </w:r>
      <w:r w:rsidRPr="001C2C36">
        <w:rPr>
          <w:rFonts w:cs="Times New Roman"/>
        </w:rPr>
        <w:t xml:space="preserve"> </w:t>
      </w:r>
      <w:r w:rsidRPr="001C2C36">
        <w:rPr>
          <w:rFonts w:eastAsia="Times New Roman" w:cs="Times New Roman"/>
        </w:rPr>
        <w:t>(b</w:t>
      </w:r>
      <w:r w:rsidRPr="001C2C36">
        <w:rPr>
          <w:rFonts w:eastAsia="Times New Roman" w:cs="Times New Roman"/>
          <w:vertAlign w:val="subscript"/>
        </w:rPr>
        <w:t>6</w:t>
      </w:r>
      <w:r w:rsidRPr="001C2C36">
        <w:rPr>
          <w:rFonts w:eastAsia="Times New Roman" w:cs="Times New Roman"/>
        </w:rPr>
        <w:t>=0.08, SE=0.05) related to future growth. These relationships are broadly sustained in other specifications, reported in Appendix 2. Furthermore, models 8 and 10 (in Table 5, Appendix 2) that consist of larger sample sizes also capture significant positive relationships in terms of the urban area and EML dummies.</w:t>
      </w:r>
    </w:p>
    <w:p w14:paraId="1BA9D093" w14:textId="77777777" w:rsidR="00130448" w:rsidRPr="001C2C36" w:rsidRDefault="00130448" w:rsidP="00B82217">
      <w:pPr>
        <w:rPr>
          <w:rFonts w:eastAsia="Times New Roman" w:cs="Times New Roman"/>
        </w:rPr>
      </w:pPr>
    </w:p>
    <w:p w14:paraId="7B782290" w14:textId="36E28876" w:rsidR="00A43FC5" w:rsidRDefault="00A43FC5" w:rsidP="00A43FC5">
      <w:pPr>
        <w:pStyle w:val="Caption"/>
        <w:keepNext/>
        <w:jc w:val="center"/>
      </w:pPr>
      <w:r>
        <w:lastRenderedPageBreak/>
        <w:t xml:space="preserve">Table </w:t>
      </w:r>
      <w:fldSimple w:instr=" SEQ Table \* ARABIC ">
        <w:r>
          <w:rPr>
            <w:noProof/>
          </w:rPr>
          <w:t>3</w:t>
        </w:r>
      </w:fldSimple>
      <w:r>
        <w:t xml:space="preserve"> </w:t>
      </w:r>
      <w:r w:rsidRPr="00AA51C7">
        <w:t>Ordinal regression results for SMEs.</w:t>
      </w:r>
    </w:p>
    <w:tbl>
      <w:tblPr>
        <w:tblW w:w="9431" w:type="dxa"/>
        <w:jc w:val="center"/>
        <w:tblCellSpacing w:w="15" w:type="dxa"/>
        <w:tblLayout w:type="fixed"/>
        <w:tblCellMar>
          <w:top w:w="15" w:type="dxa"/>
          <w:left w:w="15" w:type="dxa"/>
          <w:bottom w:w="15" w:type="dxa"/>
          <w:right w:w="15" w:type="dxa"/>
        </w:tblCellMar>
        <w:tblLook w:val="04A0" w:firstRow="1" w:lastRow="0" w:firstColumn="1" w:lastColumn="0" w:noHBand="0" w:noVBand="1"/>
      </w:tblPr>
      <w:tblGrid>
        <w:gridCol w:w="1885"/>
        <w:gridCol w:w="933"/>
        <w:gridCol w:w="963"/>
        <w:gridCol w:w="964"/>
        <w:gridCol w:w="890"/>
        <w:gridCol w:w="964"/>
        <w:gridCol w:w="964"/>
        <w:gridCol w:w="964"/>
        <w:gridCol w:w="904"/>
      </w:tblGrid>
      <w:tr w:rsidR="008276B9" w:rsidRPr="001C2C36" w14:paraId="368A08DC" w14:textId="77777777">
        <w:trPr>
          <w:trHeight w:val="491"/>
          <w:tblHeader/>
          <w:tblCellSpacing w:w="15" w:type="dxa"/>
          <w:jc w:val="center"/>
        </w:trPr>
        <w:tc>
          <w:tcPr>
            <w:tcW w:w="1840" w:type="dxa"/>
            <w:tcBorders>
              <w:top w:val="single" w:sz="4" w:space="0" w:color="auto"/>
              <w:left w:val="single" w:sz="4" w:space="0" w:color="auto"/>
              <w:bottom w:val="single" w:sz="4" w:space="0" w:color="auto"/>
            </w:tcBorders>
            <w:vAlign w:val="center"/>
          </w:tcPr>
          <w:p w14:paraId="2A331979" w14:textId="77777777" w:rsidR="008276B9" w:rsidRPr="001C2C36" w:rsidRDefault="008276B9">
            <w:pPr>
              <w:pStyle w:val="NoSpacing"/>
              <w:jc w:val="center"/>
              <w:rPr>
                <w:rFonts w:cs="Times New Roman"/>
                <w:b/>
                <w:bCs/>
                <w:szCs w:val="24"/>
                <w:lang w:eastAsia="en-GB"/>
              </w:rPr>
            </w:pPr>
            <w:r w:rsidRPr="001C2C36">
              <w:rPr>
                <w:rFonts w:cs="Times New Roman"/>
                <w:b/>
                <w:bCs/>
                <w:szCs w:val="24"/>
                <w:lang w:eastAsia="en-GB"/>
              </w:rPr>
              <w:t>Dep. Variable</w:t>
            </w:r>
          </w:p>
        </w:tc>
        <w:tc>
          <w:tcPr>
            <w:tcW w:w="3720" w:type="dxa"/>
            <w:gridSpan w:val="4"/>
            <w:tcBorders>
              <w:top w:val="single" w:sz="4" w:space="0" w:color="auto"/>
              <w:left w:val="single" w:sz="4" w:space="0" w:color="auto"/>
              <w:bottom w:val="single" w:sz="4" w:space="0" w:color="auto"/>
              <w:right w:val="single" w:sz="4" w:space="0" w:color="auto"/>
            </w:tcBorders>
            <w:vAlign w:val="center"/>
          </w:tcPr>
          <w:p w14:paraId="0564F168" w14:textId="77777777" w:rsidR="008276B9" w:rsidRPr="001C2C36" w:rsidRDefault="008276B9">
            <w:pPr>
              <w:pStyle w:val="NoSpacing"/>
              <w:jc w:val="center"/>
              <w:rPr>
                <w:rFonts w:cs="Times New Roman"/>
                <w:szCs w:val="24"/>
              </w:rPr>
            </w:pPr>
            <w:r w:rsidRPr="001C2C36">
              <w:rPr>
                <w:rFonts w:cs="Times New Roman"/>
                <w:b/>
                <w:bCs/>
                <w:szCs w:val="24"/>
                <w:lang w:eastAsia="en-GB"/>
              </w:rPr>
              <w:t xml:space="preserve">Δ </w:t>
            </w:r>
            <w:proofErr w:type="gramStart"/>
            <w:r w:rsidRPr="001C2C36">
              <w:rPr>
                <w:rFonts w:cs="Times New Roman"/>
                <w:b/>
                <w:bCs/>
                <w:szCs w:val="24"/>
                <w:lang w:eastAsia="en-GB"/>
              </w:rPr>
              <w:t>Employment  2019</w:t>
            </w:r>
            <w:proofErr w:type="gramEnd"/>
            <w:r w:rsidRPr="001C2C36">
              <w:rPr>
                <w:rFonts w:cs="Times New Roman"/>
                <w:b/>
                <w:bCs/>
                <w:szCs w:val="24"/>
                <w:lang w:eastAsia="en-GB"/>
              </w:rPr>
              <w:t>-2020</w:t>
            </w:r>
          </w:p>
        </w:tc>
        <w:tc>
          <w:tcPr>
            <w:tcW w:w="3751" w:type="dxa"/>
            <w:gridSpan w:val="4"/>
            <w:tcBorders>
              <w:top w:val="single" w:sz="4" w:space="0" w:color="auto"/>
              <w:bottom w:val="single" w:sz="4" w:space="0" w:color="auto"/>
              <w:right w:val="single" w:sz="4" w:space="0" w:color="auto"/>
            </w:tcBorders>
            <w:vAlign w:val="center"/>
          </w:tcPr>
          <w:p w14:paraId="0C8DC9F9" w14:textId="77777777" w:rsidR="008276B9" w:rsidRPr="001C2C36" w:rsidRDefault="008276B9">
            <w:pPr>
              <w:pStyle w:val="NoSpacing"/>
              <w:jc w:val="center"/>
              <w:rPr>
                <w:rFonts w:cs="Times New Roman"/>
                <w:szCs w:val="24"/>
              </w:rPr>
            </w:pPr>
            <w:r w:rsidRPr="001C2C36">
              <w:rPr>
                <w:rFonts w:cs="Times New Roman"/>
                <w:b/>
                <w:bCs/>
                <w:szCs w:val="24"/>
                <w:lang w:eastAsia="en-GB"/>
              </w:rPr>
              <w:t>Δ Employment 2020-2021</w:t>
            </w:r>
          </w:p>
        </w:tc>
      </w:tr>
      <w:tr w:rsidR="008276B9" w:rsidRPr="001C2C36" w14:paraId="69A25780" w14:textId="77777777">
        <w:trPr>
          <w:trHeight w:val="491"/>
          <w:tblHeader/>
          <w:tblCellSpacing w:w="15" w:type="dxa"/>
          <w:jc w:val="center"/>
        </w:trPr>
        <w:tc>
          <w:tcPr>
            <w:tcW w:w="1840" w:type="dxa"/>
            <w:tcBorders>
              <w:left w:val="single" w:sz="4" w:space="0" w:color="auto"/>
            </w:tcBorders>
            <w:vAlign w:val="center"/>
            <w:hideMark/>
          </w:tcPr>
          <w:p w14:paraId="6882AAA0" w14:textId="77777777" w:rsidR="008276B9" w:rsidRPr="001C2C36" w:rsidRDefault="008276B9">
            <w:pPr>
              <w:pStyle w:val="NoSpacing"/>
              <w:jc w:val="center"/>
              <w:rPr>
                <w:rFonts w:cs="Times New Roman"/>
                <w:b/>
                <w:bCs/>
                <w:szCs w:val="24"/>
                <w:lang w:eastAsia="en-GB"/>
              </w:rPr>
            </w:pPr>
            <w:r w:rsidRPr="001C2C36">
              <w:rPr>
                <w:rFonts w:cs="Times New Roman"/>
                <w:b/>
                <w:bCs/>
                <w:szCs w:val="24"/>
                <w:lang w:eastAsia="en-GB"/>
              </w:rPr>
              <w:t>Notation</w:t>
            </w:r>
          </w:p>
        </w:tc>
        <w:tc>
          <w:tcPr>
            <w:tcW w:w="903" w:type="dxa"/>
            <w:tcBorders>
              <w:left w:val="single" w:sz="4" w:space="0" w:color="auto"/>
            </w:tcBorders>
            <w:vAlign w:val="center"/>
            <w:hideMark/>
          </w:tcPr>
          <w:p w14:paraId="77D899A2" w14:textId="77777777" w:rsidR="008276B9" w:rsidRPr="001C2C36" w:rsidRDefault="008276B9">
            <w:pPr>
              <w:pStyle w:val="NoSpacing"/>
              <w:jc w:val="center"/>
              <w:rPr>
                <w:rFonts w:cs="Times New Roman"/>
                <w:szCs w:val="24"/>
              </w:rPr>
            </w:pPr>
            <w:r w:rsidRPr="001C2C36">
              <w:rPr>
                <w:rFonts w:cs="Times New Roman"/>
                <w:szCs w:val="24"/>
              </w:rPr>
              <w:t>model 1</w:t>
            </w:r>
          </w:p>
          <w:p w14:paraId="4B8AD011" w14:textId="77777777" w:rsidR="008276B9" w:rsidRPr="001C2C36" w:rsidRDefault="008276B9">
            <w:pPr>
              <w:pStyle w:val="NoSpacing"/>
              <w:jc w:val="center"/>
              <w:rPr>
                <w:rFonts w:cs="Times New Roman"/>
                <w:szCs w:val="24"/>
                <w:lang w:eastAsia="en-GB"/>
              </w:rPr>
            </w:pPr>
            <w:r w:rsidRPr="001C2C36">
              <w:rPr>
                <w:rFonts w:cs="Times New Roman"/>
                <w:szCs w:val="24"/>
              </w:rPr>
              <w:t>b</w:t>
            </w:r>
            <w:r w:rsidRPr="001C2C36">
              <w:rPr>
                <w:rFonts w:cs="Times New Roman"/>
                <w:szCs w:val="24"/>
                <w:vertAlign w:val="subscript"/>
              </w:rPr>
              <w:t>1</w:t>
            </w:r>
            <w:r w:rsidRPr="001C2C36">
              <w:rPr>
                <w:rFonts w:cs="Times New Roman"/>
                <w:szCs w:val="24"/>
              </w:rPr>
              <w:t xml:space="preserve"> (SE)</w:t>
            </w:r>
          </w:p>
        </w:tc>
        <w:tc>
          <w:tcPr>
            <w:tcW w:w="933" w:type="dxa"/>
            <w:vAlign w:val="center"/>
            <w:hideMark/>
          </w:tcPr>
          <w:p w14:paraId="275CEB87" w14:textId="77777777" w:rsidR="008276B9" w:rsidRPr="001C2C36" w:rsidRDefault="008276B9">
            <w:pPr>
              <w:pStyle w:val="NoSpacing"/>
              <w:jc w:val="center"/>
              <w:rPr>
                <w:rFonts w:cs="Times New Roman"/>
                <w:szCs w:val="24"/>
              </w:rPr>
            </w:pPr>
            <w:r w:rsidRPr="001C2C36">
              <w:rPr>
                <w:rFonts w:cs="Times New Roman"/>
                <w:szCs w:val="24"/>
              </w:rPr>
              <w:t>model 2</w:t>
            </w:r>
          </w:p>
          <w:p w14:paraId="32C45B3B" w14:textId="77777777" w:rsidR="008276B9" w:rsidRPr="001C2C36" w:rsidRDefault="008276B9">
            <w:pPr>
              <w:pStyle w:val="NoSpacing"/>
              <w:jc w:val="center"/>
              <w:rPr>
                <w:rFonts w:cs="Times New Roman"/>
                <w:szCs w:val="24"/>
                <w:lang w:eastAsia="en-GB"/>
              </w:rPr>
            </w:pPr>
            <w:r w:rsidRPr="001C2C36">
              <w:rPr>
                <w:rFonts w:cs="Times New Roman"/>
                <w:szCs w:val="24"/>
              </w:rPr>
              <w:t>b</w:t>
            </w:r>
            <w:r w:rsidRPr="001C2C36">
              <w:rPr>
                <w:rFonts w:cs="Times New Roman"/>
                <w:szCs w:val="24"/>
                <w:vertAlign w:val="subscript"/>
              </w:rPr>
              <w:t>2</w:t>
            </w:r>
            <w:r w:rsidRPr="001C2C36">
              <w:rPr>
                <w:rFonts w:cs="Times New Roman"/>
                <w:szCs w:val="24"/>
              </w:rPr>
              <w:t xml:space="preserve"> (SE)</w:t>
            </w:r>
          </w:p>
        </w:tc>
        <w:tc>
          <w:tcPr>
            <w:tcW w:w="934" w:type="dxa"/>
            <w:vAlign w:val="center"/>
            <w:hideMark/>
          </w:tcPr>
          <w:p w14:paraId="31ECC153" w14:textId="77777777" w:rsidR="008276B9" w:rsidRPr="001C2C36" w:rsidRDefault="008276B9">
            <w:pPr>
              <w:pStyle w:val="NoSpacing"/>
              <w:jc w:val="center"/>
              <w:rPr>
                <w:rFonts w:cs="Times New Roman"/>
                <w:szCs w:val="24"/>
              </w:rPr>
            </w:pPr>
            <w:r w:rsidRPr="001C2C36">
              <w:rPr>
                <w:rFonts w:cs="Times New Roman"/>
                <w:szCs w:val="24"/>
              </w:rPr>
              <w:t>model 3</w:t>
            </w:r>
          </w:p>
          <w:p w14:paraId="62C14D4A" w14:textId="77777777" w:rsidR="008276B9" w:rsidRPr="001C2C36" w:rsidRDefault="008276B9">
            <w:pPr>
              <w:pStyle w:val="NoSpacing"/>
              <w:jc w:val="center"/>
              <w:rPr>
                <w:rFonts w:cs="Times New Roman"/>
                <w:szCs w:val="24"/>
                <w:lang w:eastAsia="en-GB"/>
              </w:rPr>
            </w:pPr>
            <w:r w:rsidRPr="001C2C36">
              <w:rPr>
                <w:rFonts w:cs="Times New Roman"/>
                <w:szCs w:val="24"/>
              </w:rPr>
              <w:t>b</w:t>
            </w:r>
            <w:r w:rsidRPr="001C2C36">
              <w:rPr>
                <w:rFonts w:cs="Times New Roman"/>
                <w:szCs w:val="24"/>
                <w:vertAlign w:val="subscript"/>
              </w:rPr>
              <w:t>3</w:t>
            </w:r>
            <w:r w:rsidRPr="001C2C36">
              <w:rPr>
                <w:rFonts w:cs="Times New Roman"/>
                <w:szCs w:val="24"/>
              </w:rPr>
              <w:t xml:space="preserve"> (SE)</w:t>
            </w:r>
          </w:p>
        </w:tc>
        <w:tc>
          <w:tcPr>
            <w:tcW w:w="860" w:type="dxa"/>
            <w:tcBorders>
              <w:right w:val="single" w:sz="4" w:space="0" w:color="auto"/>
            </w:tcBorders>
            <w:vAlign w:val="center"/>
          </w:tcPr>
          <w:p w14:paraId="2CBEFC4E" w14:textId="77777777" w:rsidR="008276B9" w:rsidRPr="001C2C36" w:rsidRDefault="008276B9">
            <w:pPr>
              <w:pStyle w:val="NoSpacing"/>
              <w:jc w:val="center"/>
              <w:rPr>
                <w:rFonts w:cs="Times New Roman"/>
                <w:szCs w:val="24"/>
              </w:rPr>
            </w:pPr>
            <w:r w:rsidRPr="001C2C36">
              <w:rPr>
                <w:rFonts w:cs="Times New Roman"/>
                <w:szCs w:val="24"/>
              </w:rPr>
              <w:t>exp(b</w:t>
            </w:r>
            <w:r w:rsidRPr="001C2C36">
              <w:rPr>
                <w:rFonts w:cs="Times New Roman"/>
                <w:szCs w:val="24"/>
                <w:vertAlign w:val="subscript"/>
              </w:rPr>
              <w:t>3</w:t>
            </w:r>
            <w:r w:rsidRPr="001C2C36">
              <w:rPr>
                <w:rFonts w:cs="Times New Roman"/>
                <w:szCs w:val="24"/>
              </w:rPr>
              <w:t>)</w:t>
            </w:r>
          </w:p>
        </w:tc>
        <w:tc>
          <w:tcPr>
            <w:tcW w:w="934" w:type="dxa"/>
            <w:vAlign w:val="center"/>
            <w:hideMark/>
          </w:tcPr>
          <w:p w14:paraId="35E20FCF" w14:textId="77777777" w:rsidR="008276B9" w:rsidRPr="001C2C36" w:rsidRDefault="008276B9">
            <w:pPr>
              <w:pStyle w:val="NoSpacing"/>
              <w:jc w:val="center"/>
              <w:rPr>
                <w:rFonts w:cs="Times New Roman"/>
                <w:szCs w:val="24"/>
              </w:rPr>
            </w:pPr>
            <w:r w:rsidRPr="001C2C36">
              <w:rPr>
                <w:rFonts w:cs="Times New Roman"/>
                <w:szCs w:val="24"/>
              </w:rPr>
              <w:t>model 4</w:t>
            </w:r>
          </w:p>
          <w:p w14:paraId="3C853903" w14:textId="77777777" w:rsidR="008276B9" w:rsidRPr="001C2C36" w:rsidRDefault="008276B9">
            <w:pPr>
              <w:pStyle w:val="NoSpacing"/>
              <w:jc w:val="center"/>
              <w:rPr>
                <w:rFonts w:cs="Times New Roman"/>
                <w:szCs w:val="24"/>
                <w:lang w:eastAsia="en-GB"/>
              </w:rPr>
            </w:pPr>
            <w:r w:rsidRPr="001C2C36">
              <w:rPr>
                <w:rFonts w:cs="Times New Roman"/>
                <w:szCs w:val="24"/>
              </w:rPr>
              <w:t>b</w:t>
            </w:r>
            <w:r w:rsidRPr="001C2C36">
              <w:rPr>
                <w:rFonts w:cs="Times New Roman"/>
                <w:szCs w:val="24"/>
                <w:vertAlign w:val="subscript"/>
              </w:rPr>
              <w:t>4</w:t>
            </w:r>
            <w:r w:rsidRPr="001C2C36">
              <w:rPr>
                <w:rFonts w:cs="Times New Roman"/>
                <w:szCs w:val="24"/>
              </w:rPr>
              <w:t xml:space="preserve"> (SE)</w:t>
            </w:r>
          </w:p>
        </w:tc>
        <w:tc>
          <w:tcPr>
            <w:tcW w:w="934" w:type="dxa"/>
            <w:vAlign w:val="center"/>
            <w:hideMark/>
          </w:tcPr>
          <w:p w14:paraId="5DE9067F" w14:textId="77777777" w:rsidR="008276B9" w:rsidRPr="001C2C36" w:rsidRDefault="008276B9">
            <w:pPr>
              <w:pStyle w:val="NoSpacing"/>
              <w:jc w:val="center"/>
              <w:rPr>
                <w:rFonts w:cs="Times New Roman"/>
                <w:szCs w:val="24"/>
              </w:rPr>
            </w:pPr>
            <w:r w:rsidRPr="001C2C36">
              <w:rPr>
                <w:rFonts w:cs="Times New Roman"/>
                <w:szCs w:val="24"/>
              </w:rPr>
              <w:t>model 5</w:t>
            </w:r>
          </w:p>
          <w:p w14:paraId="4FAB313E" w14:textId="77777777" w:rsidR="008276B9" w:rsidRPr="001C2C36" w:rsidRDefault="008276B9">
            <w:pPr>
              <w:pStyle w:val="NoSpacing"/>
              <w:jc w:val="center"/>
              <w:rPr>
                <w:rFonts w:cs="Times New Roman"/>
                <w:szCs w:val="24"/>
                <w:lang w:eastAsia="en-GB"/>
              </w:rPr>
            </w:pPr>
            <w:r w:rsidRPr="001C2C36">
              <w:rPr>
                <w:rFonts w:cs="Times New Roman"/>
                <w:szCs w:val="24"/>
              </w:rPr>
              <w:t>b</w:t>
            </w:r>
            <w:r w:rsidRPr="001C2C36">
              <w:rPr>
                <w:rFonts w:cs="Times New Roman"/>
                <w:szCs w:val="24"/>
                <w:vertAlign w:val="subscript"/>
              </w:rPr>
              <w:t>5</w:t>
            </w:r>
            <w:r w:rsidRPr="001C2C36">
              <w:rPr>
                <w:rFonts w:cs="Times New Roman"/>
                <w:szCs w:val="24"/>
              </w:rPr>
              <w:t xml:space="preserve"> (SE)</w:t>
            </w:r>
          </w:p>
        </w:tc>
        <w:tc>
          <w:tcPr>
            <w:tcW w:w="934" w:type="dxa"/>
            <w:vAlign w:val="center"/>
            <w:hideMark/>
          </w:tcPr>
          <w:p w14:paraId="758D0212" w14:textId="77777777" w:rsidR="008276B9" w:rsidRPr="001C2C36" w:rsidRDefault="008276B9">
            <w:pPr>
              <w:pStyle w:val="NoSpacing"/>
              <w:jc w:val="center"/>
              <w:rPr>
                <w:rFonts w:cs="Times New Roman"/>
                <w:szCs w:val="24"/>
              </w:rPr>
            </w:pPr>
            <w:r w:rsidRPr="001C2C36">
              <w:rPr>
                <w:rFonts w:cs="Times New Roman"/>
                <w:szCs w:val="24"/>
              </w:rPr>
              <w:t>model 6</w:t>
            </w:r>
          </w:p>
          <w:p w14:paraId="3D95519E" w14:textId="77777777" w:rsidR="008276B9" w:rsidRPr="001C2C36" w:rsidRDefault="008276B9">
            <w:pPr>
              <w:pStyle w:val="NoSpacing"/>
              <w:jc w:val="center"/>
              <w:rPr>
                <w:rFonts w:cs="Times New Roman"/>
                <w:szCs w:val="24"/>
                <w:lang w:eastAsia="en-GB"/>
              </w:rPr>
            </w:pPr>
            <w:r w:rsidRPr="001C2C36">
              <w:rPr>
                <w:rFonts w:cs="Times New Roman"/>
                <w:szCs w:val="24"/>
              </w:rPr>
              <w:t>b</w:t>
            </w:r>
            <w:r w:rsidRPr="001C2C36">
              <w:rPr>
                <w:rFonts w:cs="Times New Roman"/>
                <w:szCs w:val="24"/>
                <w:vertAlign w:val="subscript"/>
              </w:rPr>
              <w:t>6</w:t>
            </w:r>
            <w:r w:rsidRPr="001C2C36">
              <w:rPr>
                <w:rFonts w:cs="Times New Roman"/>
                <w:szCs w:val="24"/>
              </w:rPr>
              <w:t xml:space="preserve"> (SE)</w:t>
            </w:r>
          </w:p>
        </w:tc>
        <w:tc>
          <w:tcPr>
            <w:tcW w:w="859" w:type="dxa"/>
            <w:tcBorders>
              <w:right w:val="single" w:sz="4" w:space="0" w:color="auto"/>
            </w:tcBorders>
            <w:vAlign w:val="center"/>
          </w:tcPr>
          <w:p w14:paraId="2468F597" w14:textId="77777777" w:rsidR="008276B9" w:rsidRPr="001C2C36" w:rsidRDefault="008276B9">
            <w:pPr>
              <w:pStyle w:val="NoSpacing"/>
              <w:jc w:val="center"/>
              <w:rPr>
                <w:rFonts w:cs="Times New Roman"/>
                <w:szCs w:val="24"/>
              </w:rPr>
            </w:pPr>
            <w:r w:rsidRPr="001C2C36">
              <w:rPr>
                <w:rFonts w:cs="Times New Roman"/>
                <w:szCs w:val="24"/>
              </w:rPr>
              <w:t>exp(b</w:t>
            </w:r>
            <w:r w:rsidRPr="001C2C36">
              <w:rPr>
                <w:rFonts w:cs="Times New Roman"/>
                <w:szCs w:val="24"/>
                <w:vertAlign w:val="subscript"/>
              </w:rPr>
              <w:t>6</w:t>
            </w:r>
            <w:r w:rsidRPr="001C2C36">
              <w:rPr>
                <w:rFonts w:cs="Times New Roman"/>
                <w:szCs w:val="24"/>
              </w:rPr>
              <w:t>)</w:t>
            </w:r>
          </w:p>
        </w:tc>
      </w:tr>
      <w:tr w:rsidR="008276B9" w:rsidRPr="001C2C36" w14:paraId="70AE4C70" w14:textId="77777777">
        <w:trPr>
          <w:trHeight w:val="396"/>
          <w:tblHeader/>
          <w:tblCellSpacing w:w="15" w:type="dxa"/>
          <w:jc w:val="center"/>
        </w:trPr>
        <w:tc>
          <w:tcPr>
            <w:tcW w:w="9371" w:type="dxa"/>
            <w:gridSpan w:val="9"/>
            <w:tcBorders>
              <w:top w:val="single" w:sz="4" w:space="0" w:color="auto"/>
              <w:left w:val="single" w:sz="4" w:space="0" w:color="auto"/>
              <w:bottom w:val="single" w:sz="4" w:space="0" w:color="auto"/>
              <w:right w:val="single" w:sz="4" w:space="0" w:color="auto"/>
            </w:tcBorders>
            <w:vAlign w:val="center"/>
          </w:tcPr>
          <w:p w14:paraId="1403CBCE" w14:textId="77777777" w:rsidR="008276B9" w:rsidRPr="001C2C36" w:rsidRDefault="008276B9">
            <w:pPr>
              <w:pStyle w:val="NoSpacing"/>
              <w:rPr>
                <w:rFonts w:cs="Times New Roman"/>
                <w:szCs w:val="24"/>
              </w:rPr>
            </w:pPr>
            <w:r w:rsidRPr="001C2C36">
              <w:rPr>
                <w:rFonts w:cs="Times New Roman"/>
                <w:b/>
                <w:bCs/>
                <w:szCs w:val="24"/>
                <w:lang w:eastAsia="en-GB"/>
              </w:rPr>
              <w:t>Study variables</w:t>
            </w:r>
          </w:p>
        </w:tc>
      </w:tr>
      <w:tr w:rsidR="008276B9" w:rsidRPr="001C2C36" w14:paraId="6815A839" w14:textId="77777777">
        <w:trPr>
          <w:trHeight w:val="491"/>
          <w:tblHeader/>
          <w:tblCellSpacing w:w="15" w:type="dxa"/>
          <w:jc w:val="center"/>
        </w:trPr>
        <w:tc>
          <w:tcPr>
            <w:tcW w:w="1840" w:type="dxa"/>
            <w:tcBorders>
              <w:left w:val="single" w:sz="4" w:space="0" w:color="auto"/>
            </w:tcBorders>
            <w:vAlign w:val="center"/>
          </w:tcPr>
          <w:p w14:paraId="69B76423" w14:textId="77777777" w:rsidR="008276B9" w:rsidRPr="001C2C36" w:rsidRDefault="008276B9">
            <w:pPr>
              <w:pStyle w:val="NoSpacing"/>
              <w:jc w:val="center"/>
              <w:rPr>
                <w:rFonts w:cs="Times New Roman"/>
                <w:b/>
                <w:bCs/>
                <w:szCs w:val="24"/>
                <w:lang w:eastAsia="en-GB"/>
              </w:rPr>
            </w:pPr>
            <w:r w:rsidRPr="001C2C36">
              <w:rPr>
                <w:rFonts w:cs="Times New Roman"/>
                <w:szCs w:val="24"/>
                <w:lang w:eastAsia="en-GB"/>
              </w:rPr>
              <w:t>Dynamic capabilities</w:t>
            </w:r>
          </w:p>
        </w:tc>
        <w:tc>
          <w:tcPr>
            <w:tcW w:w="903" w:type="dxa"/>
            <w:tcBorders>
              <w:left w:val="single" w:sz="4" w:space="0" w:color="auto"/>
            </w:tcBorders>
            <w:vAlign w:val="center"/>
          </w:tcPr>
          <w:p w14:paraId="3B8991DE" w14:textId="77777777" w:rsidR="008276B9" w:rsidRPr="001C2C36" w:rsidRDefault="008276B9">
            <w:pPr>
              <w:pStyle w:val="NoSpacing"/>
              <w:jc w:val="center"/>
              <w:rPr>
                <w:rFonts w:cs="Times New Roman"/>
                <w:szCs w:val="24"/>
              </w:rPr>
            </w:pPr>
          </w:p>
        </w:tc>
        <w:tc>
          <w:tcPr>
            <w:tcW w:w="933" w:type="dxa"/>
            <w:vAlign w:val="center"/>
          </w:tcPr>
          <w:p w14:paraId="27ADD4DB" w14:textId="77777777" w:rsidR="008276B9" w:rsidRPr="001C2C36" w:rsidRDefault="008276B9">
            <w:pPr>
              <w:pStyle w:val="NoSpacing"/>
              <w:jc w:val="center"/>
              <w:rPr>
                <w:rFonts w:cs="Times New Roman"/>
                <w:szCs w:val="24"/>
                <w:lang w:eastAsia="en-GB"/>
              </w:rPr>
            </w:pPr>
            <w:r w:rsidRPr="001C2C36">
              <w:rPr>
                <w:rFonts w:cs="Times New Roman"/>
                <w:szCs w:val="24"/>
              </w:rPr>
              <w:t>0.02</w:t>
            </w:r>
          </w:p>
          <w:p w14:paraId="52CB9BEA" w14:textId="77777777" w:rsidR="008276B9" w:rsidRPr="001C2C36" w:rsidRDefault="008276B9">
            <w:pPr>
              <w:pStyle w:val="NoSpacing"/>
              <w:jc w:val="center"/>
              <w:rPr>
                <w:rFonts w:cs="Times New Roman"/>
                <w:szCs w:val="24"/>
              </w:rPr>
            </w:pPr>
            <w:r w:rsidRPr="001C2C36">
              <w:rPr>
                <w:rFonts w:cs="Times New Roman"/>
                <w:szCs w:val="24"/>
              </w:rPr>
              <w:t>(0.05)</w:t>
            </w:r>
          </w:p>
        </w:tc>
        <w:tc>
          <w:tcPr>
            <w:tcW w:w="934" w:type="dxa"/>
            <w:vAlign w:val="center"/>
          </w:tcPr>
          <w:p w14:paraId="68294F59" w14:textId="77777777" w:rsidR="008276B9" w:rsidRPr="001C2C36" w:rsidRDefault="008276B9">
            <w:pPr>
              <w:pStyle w:val="NoSpacing"/>
              <w:jc w:val="center"/>
              <w:rPr>
                <w:rFonts w:cs="Times New Roman"/>
                <w:szCs w:val="24"/>
                <w:lang w:eastAsia="en-GB"/>
              </w:rPr>
            </w:pPr>
            <w:r w:rsidRPr="001C2C36">
              <w:rPr>
                <w:rFonts w:cs="Times New Roman"/>
                <w:szCs w:val="24"/>
              </w:rPr>
              <w:t>0.01</w:t>
            </w:r>
          </w:p>
          <w:p w14:paraId="13D60664" w14:textId="77777777" w:rsidR="008276B9" w:rsidRPr="001C2C36" w:rsidRDefault="008276B9">
            <w:pPr>
              <w:pStyle w:val="NoSpacing"/>
              <w:jc w:val="center"/>
              <w:rPr>
                <w:rFonts w:cs="Times New Roman"/>
                <w:szCs w:val="24"/>
              </w:rPr>
            </w:pPr>
            <w:r w:rsidRPr="001C2C36">
              <w:rPr>
                <w:rFonts w:cs="Times New Roman"/>
                <w:szCs w:val="24"/>
              </w:rPr>
              <w:t>(0.07)</w:t>
            </w:r>
          </w:p>
        </w:tc>
        <w:tc>
          <w:tcPr>
            <w:tcW w:w="860" w:type="dxa"/>
            <w:tcBorders>
              <w:right w:val="single" w:sz="4" w:space="0" w:color="auto"/>
            </w:tcBorders>
            <w:vAlign w:val="center"/>
          </w:tcPr>
          <w:p w14:paraId="14BFE3E0" w14:textId="77777777" w:rsidR="008276B9" w:rsidRPr="001C2C36" w:rsidRDefault="008276B9">
            <w:pPr>
              <w:pStyle w:val="NoSpacing"/>
              <w:jc w:val="center"/>
              <w:rPr>
                <w:rFonts w:cs="Times New Roman"/>
                <w:szCs w:val="24"/>
              </w:rPr>
            </w:pPr>
            <w:r w:rsidRPr="001C2C36">
              <w:rPr>
                <w:rFonts w:cs="Times New Roman"/>
                <w:szCs w:val="24"/>
                <w:lang w:eastAsia="en-GB"/>
              </w:rPr>
              <w:t>1.01</w:t>
            </w:r>
          </w:p>
        </w:tc>
        <w:tc>
          <w:tcPr>
            <w:tcW w:w="934" w:type="dxa"/>
            <w:vAlign w:val="center"/>
          </w:tcPr>
          <w:p w14:paraId="2095CF09" w14:textId="77777777" w:rsidR="008276B9" w:rsidRPr="001C2C36" w:rsidRDefault="008276B9">
            <w:pPr>
              <w:pStyle w:val="NoSpacing"/>
              <w:jc w:val="center"/>
              <w:rPr>
                <w:rFonts w:cs="Times New Roman"/>
                <w:szCs w:val="24"/>
              </w:rPr>
            </w:pPr>
          </w:p>
        </w:tc>
        <w:tc>
          <w:tcPr>
            <w:tcW w:w="934" w:type="dxa"/>
            <w:vAlign w:val="center"/>
          </w:tcPr>
          <w:p w14:paraId="2E344AC3" w14:textId="77777777" w:rsidR="008276B9" w:rsidRPr="001C2C36" w:rsidRDefault="008276B9">
            <w:pPr>
              <w:pStyle w:val="NoSpacing"/>
              <w:jc w:val="center"/>
              <w:rPr>
                <w:rFonts w:cs="Times New Roman"/>
                <w:szCs w:val="24"/>
                <w:lang w:eastAsia="en-GB"/>
              </w:rPr>
            </w:pPr>
            <w:r w:rsidRPr="001C2C36">
              <w:rPr>
                <w:rFonts w:cs="Times New Roman"/>
                <w:szCs w:val="24"/>
              </w:rPr>
              <w:t>0.24</w:t>
            </w:r>
            <w:r w:rsidRPr="001C2C36">
              <w:rPr>
                <w:rFonts w:cs="Times New Roman"/>
                <w:szCs w:val="24"/>
                <w:vertAlign w:val="superscript"/>
              </w:rPr>
              <w:t>***</w:t>
            </w:r>
          </w:p>
          <w:p w14:paraId="2724E10D" w14:textId="77777777" w:rsidR="008276B9" w:rsidRPr="001C2C36" w:rsidRDefault="008276B9">
            <w:pPr>
              <w:pStyle w:val="NoSpacing"/>
              <w:jc w:val="center"/>
              <w:rPr>
                <w:rFonts w:cs="Times New Roman"/>
                <w:szCs w:val="24"/>
              </w:rPr>
            </w:pPr>
            <w:r w:rsidRPr="001C2C36">
              <w:rPr>
                <w:rFonts w:cs="Times New Roman"/>
                <w:szCs w:val="24"/>
              </w:rPr>
              <w:t>(0.06)</w:t>
            </w:r>
          </w:p>
        </w:tc>
        <w:tc>
          <w:tcPr>
            <w:tcW w:w="934" w:type="dxa"/>
            <w:vAlign w:val="center"/>
          </w:tcPr>
          <w:p w14:paraId="4CDA6AC4" w14:textId="77777777" w:rsidR="008276B9" w:rsidRPr="001C2C36" w:rsidRDefault="008276B9">
            <w:pPr>
              <w:pStyle w:val="NoSpacing"/>
              <w:jc w:val="center"/>
              <w:rPr>
                <w:rFonts w:cs="Times New Roman"/>
                <w:szCs w:val="24"/>
                <w:lang w:eastAsia="en-GB"/>
              </w:rPr>
            </w:pPr>
            <w:r w:rsidRPr="001C2C36">
              <w:rPr>
                <w:rFonts w:cs="Times New Roman"/>
                <w:szCs w:val="24"/>
              </w:rPr>
              <w:t>0.44</w:t>
            </w:r>
            <w:r w:rsidRPr="001C2C36">
              <w:rPr>
                <w:rFonts w:cs="Times New Roman"/>
                <w:szCs w:val="24"/>
                <w:vertAlign w:val="superscript"/>
              </w:rPr>
              <w:t>***</w:t>
            </w:r>
          </w:p>
          <w:p w14:paraId="723EC022" w14:textId="77777777" w:rsidR="008276B9" w:rsidRPr="001C2C36" w:rsidRDefault="008276B9">
            <w:pPr>
              <w:pStyle w:val="NoSpacing"/>
              <w:jc w:val="center"/>
              <w:rPr>
                <w:rFonts w:cs="Times New Roman"/>
                <w:szCs w:val="24"/>
              </w:rPr>
            </w:pPr>
            <w:r w:rsidRPr="001C2C36">
              <w:rPr>
                <w:rFonts w:cs="Times New Roman"/>
                <w:szCs w:val="24"/>
              </w:rPr>
              <w:t>(0.09)</w:t>
            </w:r>
          </w:p>
        </w:tc>
        <w:tc>
          <w:tcPr>
            <w:tcW w:w="859" w:type="dxa"/>
            <w:tcBorders>
              <w:right w:val="single" w:sz="4" w:space="0" w:color="auto"/>
            </w:tcBorders>
            <w:vAlign w:val="center"/>
          </w:tcPr>
          <w:p w14:paraId="6C5DDDDF" w14:textId="77777777" w:rsidR="008276B9" w:rsidRPr="001C2C36" w:rsidRDefault="008276B9">
            <w:pPr>
              <w:pStyle w:val="NoSpacing"/>
              <w:jc w:val="center"/>
              <w:rPr>
                <w:rFonts w:cs="Times New Roman"/>
                <w:szCs w:val="24"/>
              </w:rPr>
            </w:pPr>
            <w:r w:rsidRPr="001C2C36">
              <w:rPr>
                <w:rFonts w:cs="Times New Roman"/>
                <w:szCs w:val="24"/>
                <w:lang w:eastAsia="en-GB"/>
              </w:rPr>
              <w:t>1.56</w:t>
            </w:r>
          </w:p>
        </w:tc>
      </w:tr>
      <w:tr w:rsidR="008276B9" w:rsidRPr="001C2C36" w14:paraId="51F93A96" w14:textId="77777777">
        <w:trPr>
          <w:trHeight w:val="491"/>
          <w:tblHeader/>
          <w:tblCellSpacing w:w="15" w:type="dxa"/>
          <w:jc w:val="center"/>
        </w:trPr>
        <w:tc>
          <w:tcPr>
            <w:tcW w:w="1840" w:type="dxa"/>
            <w:tcBorders>
              <w:left w:val="single" w:sz="4" w:space="0" w:color="auto"/>
            </w:tcBorders>
            <w:vAlign w:val="center"/>
          </w:tcPr>
          <w:p w14:paraId="21E3886C" w14:textId="77777777" w:rsidR="008276B9" w:rsidRPr="001C2C36" w:rsidRDefault="008276B9">
            <w:pPr>
              <w:pStyle w:val="NoSpacing"/>
              <w:jc w:val="center"/>
              <w:rPr>
                <w:rFonts w:cs="Times New Roman"/>
                <w:b/>
                <w:bCs/>
                <w:szCs w:val="24"/>
                <w:lang w:eastAsia="en-GB"/>
              </w:rPr>
            </w:pPr>
            <w:r w:rsidRPr="001C2C36">
              <w:rPr>
                <w:rFonts w:cs="Times New Roman"/>
                <w:szCs w:val="24"/>
                <w:lang w:eastAsia="en-GB"/>
              </w:rPr>
              <w:t>Government support</w:t>
            </w:r>
          </w:p>
        </w:tc>
        <w:tc>
          <w:tcPr>
            <w:tcW w:w="903" w:type="dxa"/>
            <w:tcBorders>
              <w:left w:val="single" w:sz="4" w:space="0" w:color="auto"/>
            </w:tcBorders>
            <w:vAlign w:val="center"/>
          </w:tcPr>
          <w:p w14:paraId="30F5586C" w14:textId="77777777" w:rsidR="008276B9" w:rsidRPr="001C2C36" w:rsidRDefault="008276B9">
            <w:pPr>
              <w:pStyle w:val="NoSpacing"/>
              <w:jc w:val="center"/>
              <w:rPr>
                <w:rFonts w:cs="Times New Roman"/>
                <w:szCs w:val="24"/>
              </w:rPr>
            </w:pPr>
          </w:p>
        </w:tc>
        <w:tc>
          <w:tcPr>
            <w:tcW w:w="933" w:type="dxa"/>
            <w:vAlign w:val="center"/>
          </w:tcPr>
          <w:p w14:paraId="4F4E021F" w14:textId="77777777" w:rsidR="008276B9" w:rsidRPr="001C2C36" w:rsidRDefault="008276B9">
            <w:pPr>
              <w:pStyle w:val="NoSpacing"/>
              <w:jc w:val="center"/>
              <w:rPr>
                <w:rFonts w:cs="Times New Roman"/>
                <w:szCs w:val="24"/>
                <w:lang w:eastAsia="en-GB"/>
              </w:rPr>
            </w:pPr>
            <w:r w:rsidRPr="001C2C36">
              <w:rPr>
                <w:rFonts w:cs="Times New Roman"/>
                <w:szCs w:val="24"/>
              </w:rPr>
              <w:t>0.32</w:t>
            </w:r>
            <w:r w:rsidRPr="001C2C36">
              <w:rPr>
                <w:rFonts w:cs="Times New Roman"/>
                <w:szCs w:val="24"/>
                <w:vertAlign w:val="superscript"/>
              </w:rPr>
              <w:t>***</w:t>
            </w:r>
          </w:p>
          <w:p w14:paraId="7EB445C3" w14:textId="77777777" w:rsidR="008276B9" w:rsidRPr="001C2C36" w:rsidRDefault="008276B9">
            <w:pPr>
              <w:pStyle w:val="NoSpacing"/>
              <w:jc w:val="center"/>
              <w:rPr>
                <w:rFonts w:cs="Times New Roman"/>
                <w:szCs w:val="24"/>
              </w:rPr>
            </w:pPr>
            <w:r w:rsidRPr="001C2C36">
              <w:rPr>
                <w:rFonts w:cs="Times New Roman"/>
                <w:szCs w:val="24"/>
              </w:rPr>
              <w:t>(0.06)</w:t>
            </w:r>
          </w:p>
        </w:tc>
        <w:tc>
          <w:tcPr>
            <w:tcW w:w="934" w:type="dxa"/>
            <w:vAlign w:val="center"/>
          </w:tcPr>
          <w:p w14:paraId="64E53642" w14:textId="77777777" w:rsidR="008276B9" w:rsidRPr="001C2C36" w:rsidRDefault="008276B9">
            <w:pPr>
              <w:pStyle w:val="NoSpacing"/>
              <w:jc w:val="center"/>
              <w:rPr>
                <w:rFonts w:cs="Times New Roman"/>
                <w:szCs w:val="24"/>
                <w:lang w:eastAsia="en-GB"/>
              </w:rPr>
            </w:pPr>
            <w:r w:rsidRPr="001C2C36">
              <w:rPr>
                <w:rFonts w:cs="Times New Roman"/>
                <w:szCs w:val="24"/>
              </w:rPr>
              <w:t>0.32</w:t>
            </w:r>
            <w:r w:rsidRPr="001C2C36">
              <w:rPr>
                <w:rFonts w:cs="Times New Roman"/>
                <w:szCs w:val="24"/>
                <w:vertAlign w:val="superscript"/>
              </w:rPr>
              <w:t>***</w:t>
            </w:r>
          </w:p>
          <w:p w14:paraId="485F7BE2" w14:textId="77777777" w:rsidR="008276B9" w:rsidRPr="001C2C36" w:rsidRDefault="008276B9">
            <w:pPr>
              <w:pStyle w:val="NoSpacing"/>
              <w:jc w:val="center"/>
              <w:rPr>
                <w:rFonts w:cs="Times New Roman"/>
                <w:szCs w:val="24"/>
              </w:rPr>
            </w:pPr>
            <w:r w:rsidRPr="001C2C36">
              <w:rPr>
                <w:rFonts w:cs="Times New Roman"/>
                <w:szCs w:val="24"/>
              </w:rPr>
              <w:t>(0.08)</w:t>
            </w:r>
          </w:p>
        </w:tc>
        <w:tc>
          <w:tcPr>
            <w:tcW w:w="860" w:type="dxa"/>
            <w:tcBorders>
              <w:right w:val="single" w:sz="4" w:space="0" w:color="auto"/>
            </w:tcBorders>
            <w:vAlign w:val="center"/>
          </w:tcPr>
          <w:p w14:paraId="12207B40" w14:textId="77777777" w:rsidR="008276B9" w:rsidRPr="001C2C36" w:rsidRDefault="008276B9">
            <w:pPr>
              <w:pStyle w:val="NoSpacing"/>
              <w:jc w:val="center"/>
              <w:rPr>
                <w:rFonts w:cs="Times New Roman"/>
                <w:szCs w:val="24"/>
              </w:rPr>
            </w:pPr>
            <w:r w:rsidRPr="001C2C36">
              <w:rPr>
                <w:rFonts w:cs="Times New Roman"/>
                <w:szCs w:val="24"/>
                <w:lang w:eastAsia="en-GB"/>
              </w:rPr>
              <w:t>1.37</w:t>
            </w:r>
          </w:p>
        </w:tc>
        <w:tc>
          <w:tcPr>
            <w:tcW w:w="934" w:type="dxa"/>
            <w:vAlign w:val="center"/>
          </w:tcPr>
          <w:p w14:paraId="0324FA2E" w14:textId="77777777" w:rsidR="008276B9" w:rsidRPr="001C2C36" w:rsidRDefault="008276B9">
            <w:pPr>
              <w:pStyle w:val="NoSpacing"/>
              <w:jc w:val="center"/>
              <w:rPr>
                <w:rFonts w:cs="Times New Roman"/>
                <w:szCs w:val="24"/>
              </w:rPr>
            </w:pPr>
          </w:p>
        </w:tc>
        <w:tc>
          <w:tcPr>
            <w:tcW w:w="934" w:type="dxa"/>
            <w:vAlign w:val="center"/>
          </w:tcPr>
          <w:p w14:paraId="3C9E6577" w14:textId="77777777" w:rsidR="008276B9" w:rsidRPr="001C2C36" w:rsidRDefault="008276B9">
            <w:pPr>
              <w:pStyle w:val="NoSpacing"/>
              <w:jc w:val="center"/>
              <w:rPr>
                <w:rFonts w:cs="Times New Roman"/>
                <w:lang w:eastAsia="en-GB"/>
              </w:rPr>
            </w:pPr>
            <w:r w:rsidRPr="001C2C36">
              <w:rPr>
                <w:rFonts w:cs="Times New Roman"/>
              </w:rPr>
              <w:t>-0.04</w:t>
            </w:r>
          </w:p>
          <w:p w14:paraId="23A76D43" w14:textId="46B41784" w:rsidR="008276B9" w:rsidRPr="001C2C36" w:rsidRDefault="008276B9">
            <w:pPr>
              <w:pStyle w:val="NoSpacing"/>
              <w:jc w:val="center"/>
              <w:rPr>
                <w:rFonts w:cs="Times New Roman"/>
              </w:rPr>
            </w:pPr>
            <w:r w:rsidRPr="001C2C36">
              <w:rPr>
                <w:rFonts w:cs="Times New Roman"/>
              </w:rPr>
              <w:t>(0.07)</w:t>
            </w:r>
          </w:p>
        </w:tc>
        <w:tc>
          <w:tcPr>
            <w:tcW w:w="934" w:type="dxa"/>
            <w:vAlign w:val="center"/>
          </w:tcPr>
          <w:p w14:paraId="69176473" w14:textId="77777777" w:rsidR="008276B9" w:rsidRPr="001C2C36" w:rsidRDefault="008276B9">
            <w:pPr>
              <w:pStyle w:val="NoSpacing"/>
              <w:jc w:val="center"/>
              <w:rPr>
                <w:rFonts w:cs="Times New Roman"/>
                <w:szCs w:val="24"/>
                <w:lang w:eastAsia="en-GB"/>
              </w:rPr>
            </w:pPr>
            <w:r w:rsidRPr="001C2C36">
              <w:rPr>
                <w:rFonts w:cs="Times New Roman"/>
                <w:szCs w:val="24"/>
              </w:rPr>
              <w:t>0.20</w:t>
            </w:r>
            <w:r w:rsidRPr="001C2C36">
              <w:rPr>
                <w:rFonts w:cs="Times New Roman"/>
                <w:szCs w:val="24"/>
                <w:vertAlign w:val="superscript"/>
              </w:rPr>
              <w:t>**</w:t>
            </w:r>
          </w:p>
          <w:p w14:paraId="41758A10" w14:textId="77777777" w:rsidR="008276B9" w:rsidRPr="001C2C36" w:rsidRDefault="008276B9">
            <w:pPr>
              <w:pStyle w:val="NoSpacing"/>
              <w:jc w:val="center"/>
              <w:rPr>
                <w:rFonts w:cs="Times New Roman"/>
                <w:szCs w:val="24"/>
              </w:rPr>
            </w:pPr>
            <w:r w:rsidRPr="001C2C36">
              <w:rPr>
                <w:rFonts w:cs="Times New Roman"/>
                <w:szCs w:val="24"/>
              </w:rPr>
              <w:t>(0.10)</w:t>
            </w:r>
          </w:p>
        </w:tc>
        <w:tc>
          <w:tcPr>
            <w:tcW w:w="859" w:type="dxa"/>
            <w:tcBorders>
              <w:right w:val="single" w:sz="4" w:space="0" w:color="auto"/>
            </w:tcBorders>
            <w:vAlign w:val="center"/>
          </w:tcPr>
          <w:p w14:paraId="553E4C12" w14:textId="77777777" w:rsidR="008276B9" w:rsidRPr="001C2C36" w:rsidRDefault="008276B9">
            <w:pPr>
              <w:pStyle w:val="NoSpacing"/>
              <w:jc w:val="center"/>
              <w:rPr>
                <w:rFonts w:cs="Times New Roman"/>
                <w:szCs w:val="24"/>
              </w:rPr>
            </w:pPr>
            <w:r w:rsidRPr="001C2C36">
              <w:rPr>
                <w:rFonts w:cs="Times New Roman"/>
                <w:szCs w:val="24"/>
                <w:lang w:eastAsia="en-GB"/>
              </w:rPr>
              <w:t>1.22</w:t>
            </w:r>
          </w:p>
        </w:tc>
      </w:tr>
      <w:tr w:rsidR="008276B9" w:rsidRPr="001C2C36" w14:paraId="25E11AF0" w14:textId="77777777">
        <w:trPr>
          <w:trHeight w:val="491"/>
          <w:tblHeader/>
          <w:tblCellSpacing w:w="15" w:type="dxa"/>
          <w:jc w:val="center"/>
        </w:trPr>
        <w:tc>
          <w:tcPr>
            <w:tcW w:w="1840" w:type="dxa"/>
            <w:tcBorders>
              <w:left w:val="single" w:sz="4" w:space="0" w:color="auto"/>
            </w:tcBorders>
            <w:vAlign w:val="center"/>
          </w:tcPr>
          <w:p w14:paraId="6149637B" w14:textId="77777777" w:rsidR="008276B9" w:rsidRPr="001C2C36" w:rsidRDefault="008276B9">
            <w:pPr>
              <w:pStyle w:val="NoSpacing"/>
              <w:jc w:val="center"/>
              <w:rPr>
                <w:rFonts w:cs="Times New Roman"/>
                <w:b/>
                <w:bCs/>
                <w:szCs w:val="24"/>
                <w:lang w:eastAsia="en-GB"/>
              </w:rPr>
            </w:pPr>
            <w:r w:rsidRPr="001C2C36">
              <w:rPr>
                <w:rFonts w:cs="Times New Roman"/>
                <w:szCs w:val="24"/>
                <w:lang w:eastAsia="en-GB"/>
              </w:rPr>
              <w:t>Moderating effects</w:t>
            </w:r>
          </w:p>
        </w:tc>
        <w:tc>
          <w:tcPr>
            <w:tcW w:w="903" w:type="dxa"/>
            <w:tcBorders>
              <w:left w:val="single" w:sz="4" w:space="0" w:color="auto"/>
            </w:tcBorders>
            <w:vAlign w:val="center"/>
          </w:tcPr>
          <w:p w14:paraId="577A6177" w14:textId="77777777" w:rsidR="008276B9" w:rsidRPr="001C2C36" w:rsidRDefault="008276B9">
            <w:pPr>
              <w:pStyle w:val="NoSpacing"/>
              <w:jc w:val="center"/>
              <w:rPr>
                <w:rFonts w:cs="Times New Roman"/>
                <w:szCs w:val="24"/>
              </w:rPr>
            </w:pPr>
          </w:p>
        </w:tc>
        <w:tc>
          <w:tcPr>
            <w:tcW w:w="933" w:type="dxa"/>
            <w:vAlign w:val="center"/>
          </w:tcPr>
          <w:p w14:paraId="0CF9EEC5" w14:textId="77777777" w:rsidR="008276B9" w:rsidRPr="001C2C36" w:rsidRDefault="008276B9">
            <w:pPr>
              <w:pStyle w:val="NoSpacing"/>
              <w:jc w:val="center"/>
              <w:rPr>
                <w:rFonts w:cs="Times New Roman"/>
                <w:szCs w:val="24"/>
              </w:rPr>
            </w:pPr>
          </w:p>
        </w:tc>
        <w:tc>
          <w:tcPr>
            <w:tcW w:w="934" w:type="dxa"/>
            <w:vAlign w:val="center"/>
          </w:tcPr>
          <w:p w14:paraId="6B49BB8E"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0.005</w:t>
            </w:r>
          </w:p>
          <w:p w14:paraId="06AD1513" w14:textId="77777777" w:rsidR="008276B9" w:rsidRPr="001C2C36" w:rsidRDefault="008276B9">
            <w:pPr>
              <w:pStyle w:val="NoSpacing"/>
              <w:jc w:val="center"/>
              <w:rPr>
                <w:rFonts w:cs="Times New Roman"/>
                <w:szCs w:val="24"/>
              </w:rPr>
            </w:pPr>
            <w:r w:rsidRPr="001C2C36">
              <w:rPr>
                <w:rFonts w:cs="Times New Roman"/>
                <w:szCs w:val="24"/>
                <w:lang w:eastAsia="en-GB"/>
              </w:rPr>
              <w:t>(0.04)</w:t>
            </w:r>
          </w:p>
        </w:tc>
        <w:tc>
          <w:tcPr>
            <w:tcW w:w="860" w:type="dxa"/>
            <w:tcBorders>
              <w:right w:val="single" w:sz="4" w:space="0" w:color="auto"/>
            </w:tcBorders>
            <w:vAlign w:val="center"/>
          </w:tcPr>
          <w:p w14:paraId="390E2F54" w14:textId="77777777" w:rsidR="008276B9" w:rsidRPr="001C2C36" w:rsidRDefault="008276B9">
            <w:pPr>
              <w:pStyle w:val="NoSpacing"/>
              <w:jc w:val="center"/>
              <w:rPr>
                <w:rFonts w:cs="Times New Roman"/>
                <w:szCs w:val="24"/>
              </w:rPr>
            </w:pPr>
            <w:r w:rsidRPr="001C2C36">
              <w:rPr>
                <w:rFonts w:cs="Times New Roman"/>
                <w:szCs w:val="24"/>
                <w:lang w:eastAsia="en-GB"/>
              </w:rPr>
              <w:t>1.004</w:t>
            </w:r>
          </w:p>
        </w:tc>
        <w:tc>
          <w:tcPr>
            <w:tcW w:w="934" w:type="dxa"/>
            <w:vAlign w:val="center"/>
          </w:tcPr>
          <w:p w14:paraId="703A708C" w14:textId="77777777" w:rsidR="008276B9" w:rsidRPr="001C2C36" w:rsidRDefault="008276B9">
            <w:pPr>
              <w:pStyle w:val="NoSpacing"/>
              <w:jc w:val="center"/>
              <w:rPr>
                <w:rFonts w:cs="Times New Roman"/>
                <w:szCs w:val="24"/>
              </w:rPr>
            </w:pPr>
          </w:p>
        </w:tc>
        <w:tc>
          <w:tcPr>
            <w:tcW w:w="934" w:type="dxa"/>
            <w:vAlign w:val="center"/>
          </w:tcPr>
          <w:p w14:paraId="0CFC8C32" w14:textId="77777777" w:rsidR="008276B9" w:rsidRPr="001C2C36" w:rsidRDefault="008276B9">
            <w:pPr>
              <w:pStyle w:val="NoSpacing"/>
              <w:jc w:val="center"/>
              <w:rPr>
                <w:rFonts w:cs="Times New Roman"/>
                <w:szCs w:val="24"/>
              </w:rPr>
            </w:pPr>
          </w:p>
        </w:tc>
        <w:tc>
          <w:tcPr>
            <w:tcW w:w="934" w:type="dxa"/>
            <w:vAlign w:val="center"/>
          </w:tcPr>
          <w:p w14:paraId="4F9B0BD7"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-0.17</w:t>
            </w:r>
            <w:r w:rsidRPr="001C2C36">
              <w:rPr>
                <w:rFonts w:cs="Times New Roman"/>
                <w:szCs w:val="24"/>
                <w:vertAlign w:val="superscript"/>
                <w:lang w:eastAsia="en-GB"/>
              </w:rPr>
              <w:t>***</w:t>
            </w:r>
          </w:p>
          <w:p w14:paraId="0A22215B" w14:textId="77777777" w:rsidR="008276B9" w:rsidRPr="001C2C36" w:rsidRDefault="008276B9">
            <w:pPr>
              <w:pStyle w:val="NoSpacing"/>
              <w:jc w:val="center"/>
              <w:rPr>
                <w:rFonts w:cs="Times New Roman"/>
                <w:szCs w:val="24"/>
              </w:rPr>
            </w:pPr>
            <w:r w:rsidRPr="001C2C36">
              <w:rPr>
                <w:rFonts w:cs="Times New Roman"/>
                <w:szCs w:val="24"/>
                <w:lang w:eastAsia="en-GB"/>
              </w:rPr>
              <w:t>(0.05)</w:t>
            </w:r>
          </w:p>
        </w:tc>
        <w:tc>
          <w:tcPr>
            <w:tcW w:w="859" w:type="dxa"/>
            <w:tcBorders>
              <w:right w:val="single" w:sz="4" w:space="0" w:color="auto"/>
            </w:tcBorders>
            <w:vAlign w:val="center"/>
          </w:tcPr>
          <w:p w14:paraId="5A666943" w14:textId="77777777" w:rsidR="008276B9" w:rsidRPr="001C2C36" w:rsidRDefault="008276B9">
            <w:pPr>
              <w:pStyle w:val="NoSpacing"/>
              <w:jc w:val="center"/>
              <w:rPr>
                <w:rFonts w:cs="Times New Roman"/>
                <w:szCs w:val="24"/>
              </w:rPr>
            </w:pPr>
            <w:r w:rsidRPr="001C2C36">
              <w:rPr>
                <w:rFonts w:cs="Times New Roman"/>
                <w:szCs w:val="24"/>
                <w:lang w:eastAsia="en-GB"/>
              </w:rPr>
              <w:t>0.84</w:t>
            </w:r>
          </w:p>
        </w:tc>
      </w:tr>
      <w:tr w:rsidR="008276B9" w:rsidRPr="001C2C36" w14:paraId="0DCDC015" w14:textId="77777777">
        <w:trPr>
          <w:trHeight w:val="18"/>
          <w:tblHeader/>
          <w:tblCellSpacing w:w="15" w:type="dxa"/>
          <w:jc w:val="center"/>
        </w:trPr>
        <w:tc>
          <w:tcPr>
            <w:tcW w:w="9371" w:type="dxa"/>
            <w:gridSpan w:val="9"/>
            <w:tcBorders>
              <w:top w:val="single" w:sz="4" w:space="0" w:color="auto"/>
              <w:left w:val="single" w:sz="4" w:space="0" w:color="auto"/>
              <w:right w:val="single" w:sz="4" w:space="0" w:color="auto"/>
            </w:tcBorders>
            <w:vAlign w:val="center"/>
          </w:tcPr>
          <w:p w14:paraId="47D33CBB" w14:textId="77777777" w:rsidR="008276B9" w:rsidRPr="001C2C36" w:rsidRDefault="008276B9">
            <w:pPr>
              <w:pStyle w:val="NoSpacing"/>
              <w:rPr>
                <w:rFonts w:cs="Times New Roman"/>
                <w:szCs w:val="24"/>
              </w:rPr>
            </w:pPr>
            <w:r w:rsidRPr="001C2C36">
              <w:rPr>
                <w:rFonts w:cs="Times New Roman"/>
                <w:b/>
                <w:bCs/>
                <w:szCs w:val="24"/>
                <w:lang w:eastAsia="en-GB"/>
              </w:rPr>
              <w:t>Controls</w:t>
            </w:r>
          </w:p>
        </w:tc>
      </w:tr>
      <w:tr w:rsidR="008276B9" w:rsidRPr="001C2C36" w14:paraId="353D6A9B" w14:textId="77777777" w:rsidTr="00AD181A">
        <w:trPr>
          <w:trHeight w:val="244"/>
          <w:tblHeader/>
          <w:tblCellSpacing w:w="15" w:type="dxa"/>
          <w:jc w:val="center"/>
        </w:trPr>
        <w:tc>
          <w:tcPr>
            <w:tcW w:w="1840" w:type="dxa"/>
            <w:vMerge w:val="restart"/>
            <w:tcBorders>
              <w:top w:val="single" w:sz="4" w:space="0" w:color="auto"/>
              <w:left w:val="single" w:sz="4" w:space="0" w:color="auto"/>
            </w:tcBorders>
            <w:vAlign w:val="center"/>
            <w:hideMark/>
          </w:tcPr>
          <w:p w14:paraId="294E998E"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Urban dummy</w:t>
            </w:r>
          </w:p>
        </w:tc>
        <w:tc>
          <w:tcPr>
            <w:tcW w:w="903" w:type="dxa"/>
            <w:tcBorders>
              <w:top w:val="single" w:sz="4" w:space="0" w:color="auto"/>
              <w:left w:val="single" w:sz="4" w:space="0" w:color="auto"/>
            </w:tcBorders>
            <w:vAlign w:val="center"/>
            <w:hideMark/>
          </w:tcPr>
          <w:p w14:paraId="4765B1B4" w14:textId="77777777" w:rsidR="008276B9" w:rsidRPr="001C2C36" w:rsidRDefault="008276B9">
            <w:pPr>
              <w:pStyle w:val="NoSpacing"/>
              <w:jc w:val="center"/>
              <w:rPr>
                <w:rFonts w:cs="Times New Roman"/>
                <w:szCs w:val="24"/>
                <w:lang w:eastAsia="en-GB"/>
              </w:rPr>
            </w:pPr>
            <w:r w:rsidRPr="001C2C36">
              <w:rPr>
                <w:rFonts w:cs="Times New Roman"/>
                <w:szCs w:val="24"/>
              </w:rPr>
              <w:t>-0.05</w:t>
            </w:r>
          </w:p>
        </w:tc>
        <w:tc>
          <w:tcPr>
            <w:tcW w:w="933" w:type="dxa"/>
            <w:tcBorders>
              <w:top w:val="single" w:sz="4" w:space="0" w:color="auto"/>
            </w:tcBorders>
            <w:vAlign w:val="center"/>
            <w:hideMark/>
          </w:tcPr>
          <w:p w14:paraId="235F2D6B" w14:textId="77777777" w:rsidR="008276B9" w:rsidRPr="001C2C36" w:rsidRDefault="008276B9">
            <w:pPr>
              <w:pStyle w:val="NoSpacing"/>
              <w:jc w:val="center"/>
              <w:rPr>
                <w:rFonts w:cs="Times New Roman"/>
                <w:szCs w:val="24"/>
                <w:lang w:eastAsia="en-GB"/>
              </w:rPr>
            </w:pPr>
            <w:r w:rsidRPr="001C2C36">
              <w:rPr>
                <w:rFonts w:cs="Times New Roman"/>
                <w:szCs w:val="24"/>
              </w:rPr>
              <w:t>-0.005</w:t>
            </w:r>
          </w:p>
        </w:tc>
        <w:tc>
          <w:tcPr>
            <w:tcW w:w="934" w:type="dxa"/>
            <w:tcBorders>
              <w:top w:val="single" w:sz="4" w:space="0" w:color="auto"/>
            </w:tcBorders>
            <w:vAlign w:val="center"/>
            <w:hideMark/>
          </w:tcPr>
          <w:p w14:paraId="155E3259" w14:textId="77777777" w:rsidR="008276B9" w:rsidRPr="001C2C36" w:rsidRDefault="008276B9">
            <w:pPr>
              <w:pStyle w:val="NoSpacing"/>
              <w:jc w:val="center"/>
              <w:rPr>
                <w:rFonts w:cs="Times New Roman"/>
                <w:szCs w:val="24"/>
                <w:lang w:eastAsia="en-GB"/>
              </w:rPr>
            </w:pPr>
            <w:r w:rsidRPr="001C2C36">
              <w:rPr>
                <w:rFonts w:cs="Times New Roman"/>
                <w:szCs w:val="24"/>
              </w:rPr>
              <w:t>-0.005</w:t>
            </w:r>
          </w:p>
        </w:tc>
        <w:tc>
          <w:tcPr>
            <w:tcW w:w="860" w:type="dxa"/>
            <w:tcBorders>
              <w:top w:val="single" w:sz="4" w:space="0" w:color="auto"/>
              <w:right w:val="single" w:sz="4" w:space="0" w:color="auto"/>
            </w:tcBorders>
            <w:vAlign w:val="center"/>
          </w:tcPr>
          <w:p w14:paraId="59BE36F4"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0.995</w:t>
            </w:r>
          </w:p>
        </w:tc>
        <w:tc>
          <w:tcPr>
            <w:tcW w:w="934" w:type="dxa"/>
            <w:tcBorders>
              <w:top w:val="single" w:sz="4" w:space="0" w:color="auto"/>
            </w:tcBorders>
            <w:vAlign w:val="center"/>
            <w:hideMark/>
          </w:tcPr>
          <w:p w14:paraId="714F1870" w14:textId="77777777" w:rsidR="008276B9" w:rsidRPr="001C2C36" w:rsidRDefault="008276B9">
            <w:pPr>
              <w:pStyle w:val="NoSpacing"/>
              <w:jc w:val="center"/>
              <w:rPr>
                <w:rFonts w:cs="Times New Roman"/>
                <w:szCs w:val="24"/>
                <w:lang w:eastAsia="en-GB"/>
              </w:rPr>
            </w:pPr>
            <w:r w:rsidRPr="001C2C36">
              <w:rPr>
                <w:rFonts w:cs="Times New Roman"/>
                <w:szCs w:val="24"/>
              </w:rPr>
              <w:t>-0.05</w:t>
            </w:r>
          </w:p>
        </w:tc>
        <w:tc>
          <w:tcPr>
            <w:tcW w:w="934" w:type="dxa"/>
            <w:tcBorders>
              <w:top w:val="single" w:sz="4" w:space="0" w:color="auto"/>
            </w:tcBorders>
            <w:vAlign w:val="center"/>
            <w:hideMark/>
          </w:tcPr>
          <w:p w14:paraId="02696CD0" w14:textId="77777777" w:rsidR="008276B9" w:rsidRPr="001C2C36" w:rsidRDefault="008276B9">
            <w:pPr>
              <w:pStyle w:val="NoSpacing"/>
              <w:jc w:val="center"/>
              <w:rPr>
                <w:rFonts w:cs="Times New Roman"/>
                <w:szCs w:val="24"/>
                <w:lang w:eastAsia="en-GB"/>
              </w:rPr>
            </w:pPr>
            <w:r w:rsidRPr="001C2C36">
              <w:rPr>
                <w:rFonts w:cs="Times New Roman"/>
                <w:szCs w:val="24"/>
              </w:rPr>
              <w:t>-0.08</w:t>
            </w:r>
          </w:p>
        </w:tc>
        <w:tc>
          <w:tcPr>
            <w:tcW w:w="934" w:type="dxa"/>
            <w:tcBorders>
              <w:top w:val="single" w:sz="4" w:space="0" w:color="auto"/>
            </w:tcBorders>
            <w:vAlign w:val="center"/>
            <w:hideMark/>
          </w:tcPr>
          <w:p w14:paraId="21801F3D" w14:textId="77777777" w:rsidR="008276B9" w:rsidRPr="001C2C36" w:rsidRDefault="008276B9">
            <w:pPr>
              <w:pStyle w:val="NoSpacing"/>
              <w:jc w:val="center"/>
              <w:rPr>
                <w:rFonts w:cs="Times New Roman"/>
                <w:szCs w:val="24"/>
                <w:lang w:eastAsia="en-GB"/>
              </w:rPr>
            </w:pPr>
            <w:r w:rsidRPr="001C2C36">
              <w:rPr>
                <w:rFonts w:cs="Times New Roman"/>
                <w:szCs w:val="24"/>
              </w:rPr>
              <w:t>-0.10</w:t>
            </w:r>
          </w:p>
        </w:tc>
        <w:tc>
          <w:tcPr>
            <w:tcW w:w="859" w:type="dxa"/>
            <w:tcBorders>
              <w:top w:val="single" w:sz="4" w:space="0" w:color="auto"/>
              <w:right w:val="single" w:sz="4" w:space="0" w:color="auto"/>
            </w:tcBorders>
            <w:vAlign w:val="center"/>
          </w:tcPr>
          <w:p w14:paraId="4B3B1910"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0.91</w:t>
            </w:r>
          </w:p>
        </w:tc>
      </w:tr>
      <w:tr w:rsidR="008276B9" w:rsidRPr="001C2C36" w14:paraId="75FF8EB3" w14:textId="77777777" w:rsidTr="00AD181A">
        <w:trPr>
          <w:trHeight w:val="256"/>
          <w:tblHeader/>
          <w:tblCellSpacing w:w="15" w:type="dxa"/>
          <w:jc w:val="center"/>
        </w:trPr>
        <w:tc>
          <w:tcPr>
            <w:tcW w:w="1840" w:type="dxa"/>
            <w:vMerge/>
            <w:tcBorders>
              <w:left w:val="single" w:sz="4" w:space="0" w:color="auto"/>
            </w:tcBorders>
            <w:vAlign w:val="center"/>
            <w:hideMark/>
          </w:tcPr>
          <w:p w14:paraId="102F9673" w14:textId="77777777" w:rsidR="008276B9" w:rsidRPr="001C2C36" w:rsidRDefault="008276B9">
            <w:pPr>
              <w:pStyle w:val="NoSpacing"/>
              <w:jc w:val="center"/>
              <w:rPr>
                <w:rFonts w:cs="Times New Roman"/>
                <w:szCs w:val="24"/>
                <w:lang w:eastAsia="en-GB"/>
              </w:rPr>
            </w:pPr>
          </w:p>
        </w:tc>
        <w:tc>
          <w:tcPr>
            <w:tcW w:w="903" w:type="dxa"/>
            <w:tcBorders>
              <w:left w:val="single" w:sz="4" w:space="0" w:color="auto"/>
            </w:tcBorders>
            <w:vAlign w:val="center"/>
            <w:hideMark/>
          </w:tcPr>
          <w:p w14:paraId="0CAB80F6" w14:textId="77777777" w:rsidR="008276B9" w:rsidRPr="001C2C36" w:rsidRDefault="008276B9">
            <w:pPr>
              <w:pStyle w:val="NoSpacing"/>
              <w:jc w:val="center"/>
              <w:rPr>
                <w:rFonts w:cs="Times New Roman"/>
                <w:szCs w:val="24"/>
                <w:lang w:eastAsia="en-GB"/>
              </w:rPr>
            </w:pPr>
            <w:r w:rsidRPr="001C2C36">
              <w:rPr>
                <w:rFonts w:cs="Times New Roman"/>
                <w:szCs w:val="24"/>
              </w:rPr>
              <w:t>(0.11)</w:t>
            </w:r>
          </w:p>
        </w:tc>
        <w:tc>
          <w:tcPr>
            <w:tcW w:w="933" w:type="dxa"/>
            <w:vAlign w:val="center"/>
            <w:hideMark/>
          </w:tcPr>
          <w:p w14:paraId="2A7F2646" w14:textId="77777777" w:rsidR="008276B9" w:rsidRPr="001C2C36" w:rsidRDefault="008276B9">
            <w:pPr>
              <w:pStyle w:val="NoSpacing"/>
              <w:jc w:val="center"/>
              <w:rPr>
                <w:rFonts w:cs="Times New Roman"/>
                <w:szCs w:val="24"/>
                <w:lang w:eastAsia="en-GB"/>
              </w:rPr>
            </w:pPr>
            <w:r w:rsidRPr="001C2C36">
              <w:rPr>
                <w:rFonts w:cs="Times New Roman"/>
                <w:szCs w:val="24"/>
              </w:rPr>
              <w:t>(0.11)</w:t>
            </w:r>
          </w:p>
        </w:tc>
        <w:tc>
          <w:tcPr>
            <w:tcW w:w="934" w:type="dxa"/>
            <w:vAlign w:val="center"/>
            <w:hideMark/>
          </w:tcPr>
          <w:p w14:paraId="6AEC1B27" w14:textId="77777777" w:rsidR="008276B9" w:rsidRPr="001C2C36" w:rsidRDefault="008276B9">
            <w:pPr>
              <w:pStyle w:val="NoSpacing"/>
              <w:jc w:val="center"/>
              <w:rPr>
                <w:rFonts w:cs="Times New Roman"/>
                <w:szCs w:val="24"/>
                <w:lang w:eastAsia="en-GB"/>
              </w:rPr>
            </w:pPr>
            <w:r w:rsidRPr="001C2C36">
              <w:rPr>
                <w:rFonts w:cs="Times New Roman"/>
                <w:szCs w:val="24"/>
              </w:rPr>
              <w:t>(0.11)</w:t>
            </w:r>
          </w:p>
        </w:tc>
        <w:tc>
          <w:tcPr>
            <w:tcW w:w="860" w:type="dxa"/>
            <w:tcBorders>
              <w:right w:val="single" w:sz="4" w:space="0" w:color="auto"/>
            </w:tcBorders>
            <w:vAlign w:val="center"/>
          </w:tcPr>
          <w:p w14:paraId="7EDA8B32" w14:textId="77777777" w:rsidR="008276B9" w:rsidRPr="001C2C36" w:rsidRDefault="008276B9">
            <w:pPr>
              <w:pStyle w:val="NoSpacing"/>
              <w:jc w:val="center"/>
              <w:rPr>
                <w:rFonts w:cs="Times New Roman"/>
                <w:szCs w:val="24"/>
                <w:lang w:eastAsia="en-GB"/>
              </w:rPr>
            </w:pPr>
          </w:p>
        </w:tc>
        <w:tc>
          <w:tcPr>
            <w:tcW w:w="934" w:type="dxa"/>
            <w:vAlign w:val="center"/>
            <w:hideMark/>
          </w:tcPr>
          <w:p w14:paraId="211AE9E3" w14:textId="77777777" w:rsidR="008276B9" w:rsidRPr="001C2C36" w:rsidRDefault="008276B9">
            <w:pPr>
              <w:pStyle w:val="NoSpacing"/>
              <w:jc w:val="center"/>
              <w:rPr>
                <w:rFonts w:cs="Times New Roman"/>
                <w:szCs w:val="24"/>
                <w:lang w:eastAsia="en-GB"/>
              </w:rPr>
            </w:pPr>
            <w:r w:rsidRPr="001C2C36">
              <w:rPr>
                <w:rFonts w:cs="Times New Roman"/>
                <w:szCs w:val="24"/>
              </w:rPr>
              <w:t>(0.12)</w:t>
            </w:r>
          </w:p>
        </w:tc>
        <w:tc>
          <w:tcPr>
            <w:tcW w:w="934" w:type="dxa"/>
            <w:vAlign w:val="center"/>
            <w:hideMark/>
          </w:tcPr>
          <w:p w14:paraId="208B7286" w14:textId="77777777" w:rsidR="008276B9" w:rsidRPr="001C2C36" w:rsidRDefault="008276B9">
            <w:pPr>
              <w:pStyle w:val="NoSpacing"/>
              <w:jc w:val="center"/>
              <w:rPr>
                <w:rFonts w:cs="Times New Roman"/>
                <w:szCs w:val="24"/>
                <w:lang w:eastAsia="en-GB"/>
              </w:rPr>
            </w:pPr>
            <w:r w:rsidRPr="001C2C36">
              <w:rPr>
                <w:rFonts w:cs="Times New Roman"/>
                <w:szCs w:val="24"/>
              </w:rPr>
              <w:t>(0.12)</w:t>
            </w:r>
          </w:p>
        </w:tc>
        <w:tc>
          <w:tcPr>
            <w:tcW w:w="934" w:type="dxa"/>
            <w:vAlign w:val="center"/>
            <w:hideMark/>
          </w:tcPr>
          <w:p w14:paraId="20B535FB" w14:textId="77777777" w:rsidR="008276B9" w:rsidRPr="001C2C36" w:rsidRDefault="008276B9">
            <w:pPr>
              <w:pStyle w:val="NoSpacing"/>
              <w:jc w:val="center"/>
              <w:rPr>
                <w:rFonts w:cs="Times New Roman"/>
                <w:szCs w:val="24"/>
                <w:lang w:eastAsia="en-GB"/>
              </w:rPr>
            </w:pPr>
            <w:r w:rsidRPr="001C2C36">
              <w:rPr>
                <w:rFonts w:cs="Times New Roman"/>
                <w:szCs w:val="24"/>
              </w:rPr>
              <w:t>(0.12)</w:t>
            </w:r>
          </w:p>
        </w:tc>
        <w:tc>
          <w:tcPr>
            <w:tcW w:w="859" w:type="dxa"/>
            <w:tcBorders>
              <w:right w:val="single" w:sz="4" w:space="0" w:color="auto"/>
            </w:tcBorders>
            <w:vAlign w:val="center"/>
          </w:tcPr>
          <w:p w14:paraId="62E4939B" w14:textId="77777777" w:rsidR="008276B9" w:rsidRPr="001C2C36" w:rsidRDefault="008276B9">
            <w:pPr>
              <w:pStyle w:val="NoSpacing"/>
              <w:jc w:val="center"/>
              <w:rPr>
                <w:rFonts w:cs="Times New Roman"/>
                <w:szCs w:val="24"/>
                <w:lang w:eastAsia="en-GB"/>
              </w:rPr>
            </w:pPr>
          </w:p>
        </w:tc>
      </w:tr>
      <w:tr w:rsidR="008276B9" w:rsidRPr="001C2C36" w14:paraId="1C9883D3" w14:textId="77777777" w:rsidTr="00AD181A">
        <w:trPr>
          <w:trHeight w:val="244"/>
          <w:tblHeader/>
          <w:tblCellSpacing w:w="15" w:type="dxa"/>
          <w:jc w:val="center"/>
        </w:trPr>
        <w:tc>
          <w:tcPr>
            <w:tcW w:w="1840" w:type="dxa"/>
            <w:vMerge w:val="restart"/>
            <w:tcBorders>
              <w:left w:val="single" w:sz="4" w:space="0" w:color="auto"/>
            </w:tcBorders>
            <w:vAlign w:val="center"/>
            <w:hideMark/>
          </w:tcPr>
          <w:p w14:paraId="681270B8"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Sector dummy</w:t>
            </w:r>
          </w:p>
        </w:tc>
        <w:tc>
          <w:tcPr>
            <w:tcW w:w="903" w:type="dxa"/>
            <w:tcBorders>
              <w:left w:val="single" w:sz="4" w:space="0" w:color="auto"/>
            </w:tcBorders>
            <w:vAlign w:val="center"/>
            <w:hideMark/>
          </w:tcPr>
          <w:p w14:paraId="267B4140" w14:textId="77777777" w:rsidR="008276B9" w:rsidRPr="001C2C36" w:rsidRDefault="008276B9">
            <w:pPr>
              <w:pStyle w:val="NoSpacing"/>
              <w:jc w:val="center"/>
              <w:rPr>
                <w:rFonts w:cs="Times New Roman"/>
                <w:szCs w:val="24"/>
                <w:lang w:eastAsia="en-GB"/>
              </w:rPr>
            </w:pPr>
            <w:r w:rsidRPr="001C2C36">
              <w:rPr>
                <w:rFonts w:cs="Times New Roman"/>
                <w:szCs w:val="24"/>
              </w:rPr>
              <w:t>0.36</w:t>
            </w:r>
            <w:r w:rsidRPr="001C2C36">
              <w:rPr>
                <w:rFonts w:cs="Times New Roman"/>
                <w:szCs w:val="24"/>
                <w:vertAlign w:val="superscript"/>
              </w:rPr>
              <w:t>***</w:t>
            </w:r>
          </w:p>
        </w:tc>
        <w:tc>
          <w:tcPr>
            <w:tcW w:w="933" w:type="dxa"/>
            <w:vAlign w:val="center"/>
            <w:hideMark/>
          </w:tcPr>
          <w:p w14:paraId="6182F822" w14:textId="77777777" w:rsidR="008276B9" w:rsidRPr="001C2C36" w:rsidRDefault="008276B9">
            <w:pPr>
              <w:pStyle w:val="NoSpacing"/>
              <w:jc w:val="center"/>
              <w:rPr>
                <w:rFonts w:cs="Times New Roman"/>
                <w:szCs w:val="24"/>
                <w:lang w:eastAsia="en-GB"/>
              </w:rPr>
            </w:pPr>
            <w:r w:rsidRPr="001C2C36">
              <w:rPr>
                <w:rFonts w:cs="Times New Roman"/>
                <w:szCs w:val="24"/>
              </w:rPr>
              <w:t>0.20</w:t>
            </w:r>
            <w:r w:rsidRPr="001C2C36">
              <w:rPr>
                <w:rFonts w:cs="Times New Roman"/>
                <w:szCs w:val="24"/>
                <w:vertAlign w:val="superscript"/>
              </w:rPr>
              <w:t>*</w:t>
            </w:r>
          </w:p>
        </w:tc>
        <w:tc>
          <w:tcPr>
            <w:tcW w:w="934" w:type="dxa"/>
            <w:vAlign w:val="center"/>
            <w:hideMark/>
          </w:tcPr>
          <w:p w14:paraId="78761FEB" w14:textId="77777777" w:rsidR="008276B9" w:rsidRPr="001C2C36" w:rsidRDefault="008276B9">
            <w:pPr>
              <w:pStyle w:val="NoSpacing"/>
              <w:jc w:val="center"/>
              <w:rPr>
                <w:rFonts w:cs="Times New Roman"/>
                <w:szCs w:val="24"/>
                <w:lang w:eastAsia="en-GB"/>
              </w:rPr>
            </w:pPr>
            <w:r w:rsidRPr="001C2C36">
              <w:rPr>
                <w:rFonts w:cs="Times New Roman"/>
                <w:szCs w:val="24"/>
              </w:rPr>
              <w:t>0.20</w:t>
            </w:r>
            <w:r w:rsidRPr="001C2C36">
              <w:rPr>
                <w:rFonts w:cs="Times New Roman"/>
                <w:szCs w:val="24"/>
                <w:vertAlign w:val="superscript"/>
              </w:rPr>
              <w:t>*</w:t>
            </w:r>
          </w:p>
        </w:tc>
        <w:tc>
          <w:tcPr>
            <w:tcW w:w="860" w:type="dxa"/>
            <w:tcBorders>
              <w:right w:val="single" w:sz="4" w:space="0" w:color="auto"/>
            </w:tcBorders>
            <w:vAlign w:val="center"/>
          </w:tcPr>
          <w:p w14:paraId="66B365F7"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1.23</w:t>
            </w:r>
          </w:p>
        </w:tc>
        <w:tc>
          <w:tcPr>
            <w:tcW w:w="934" w:type="dxa"/>
            <w:vAlign w:val="center"/>
            <w:hideMark/>
          </w:tcPr>
          <w:p w14:paraId="0B5BAEA4" w14:textId="77777777" w:rsidR="008276B9" w:rsidRPr="001C2C36" w:rsidRDefault="008276B9">
            <w:pPr>
              <w:pStyle w:val="NoSpacing"/>
              <w:jc w:val="center"/>
              <w:rPr>
                <w:rFonts w:cs="Times New Roman"/>
                <w:szCs w:val="24"/>
                <w:lang w:eastAsia="en-GB"/>
              </w:rPr>
            </w:pPr>
            <w:r w:rsidRPr="001C2C36">
              <w:rPr>
                <w:rFonts w:cs="Times New Roman"/>
                <w:szCs w:val="24"/>
              </w:rPr>
              <w:t>0.18</w:t>
            </w:r>
          </w:p>
        </w:tc>
        <w:tc>
          <w:tcPr>
            <w:tcW w:w="934" w:type="dxa"/>
            <w:vAlign w:val="center"/>
            <w:hideMark/>
          </w:tcPr>
          <w:p w14:paraId="5747915C" w14:textId="77777777" w:rsidR="008276B9" w:rsidRPr="001C2C36" w:rsidRDefault="008276B9">
            <w:pPr>
              <w:pStyle w:val="NoSpacing"/>
              <w:jc w:val="center"/>
              <w:rPr>
                <w:rFonts w:cs="Times New Roman"/>
                <w:szCs w:val="24"/>
                <w:lang w:eastAsia="en-GB"/>
              </w:rPr>
            </w:pPr>
            <w:r w:rsidRPr="001C2C36">
              <w:rPr>
                <w:rFonts w:cs="Times New Roman"/>
                <w:szCs w:val="24"/>
              </w:rPr>
              <w:t>0.11</w:t>
            </w:r>
          </w:p>
        </w:tc>
        <w:tc>
          <w:tcPr>
            <w:tcW w:w="934" w:type="dxa"/>
            <w:vAlign w:val="center"/>
            <w:hideMark/>
          </w:tcPr>
          <w:p w14:paraId="6FA050B5" w14:textId="77777777" w:rsidR="008276B9" w:rsidRPr="001C2C36" w:rsidRDefault="008276B9">
            <w:pPr>
              <w:pStyle w:val="NoSpacing"/>
              <w:jc w:val="center"/>
              <w:rPr>
                <w:rFonts w:cs="Times New Roman"/>
                <w:szCs w:val="24"/>
                <w:lang w:eastAsia="en-GB"/>
              </w:rPr>
            </w:pPr>
            <w:r w:rsidRPr="001C2C36">
              <w:rPr>
                <w:rFonts w:cs="Times New Roman"/>
                <w:szCs w:val="24"/>
              </w:rPr>
              <w:t>0.13</w:t>
            </w:r>
          </w:p>
        </w:tc>
        <w:tc>
          <w:tcPr>
            <w:tcW w:w="859" w:type="dxa"/>
            <w:tcBorders>
              <w:right w:val="single" w:sz="4" w:space="0" w:color="auto"/>
            </w:tcBorders>
            <w:vAlign w:val="center"/>
          </w:tcPr>
          <w:p w14:paraId="74452B3C"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1.14</w:t>
            </w:r>
          </w:p>
        </w:tc>
      </w:tr>
      <w:tr w:rsidR="008276B9" w:rsidRPr="001C2C36" w14:paraId="5CB9AA3F" w14:textId="77777777" w:rsidTr="00AD181A">
        <w:trPr>
          <w:trHeight w:val="256"/>
          <w:tblHeader/>
          <w:tblCellSpacing w:w="15" w:type="dxa"/>
          <w:jc w:val="center"/>
        </w:trPr>
        <w:tc>
          <w:tcPr>
            <w:tcW w:w="1840" w:type="dxa"/>
            <w:vMerge/>
            <w:tcBorders>
              <w:left w:val="single" w:sz="4" w:space="0" w:color="auto"/>
            </w:tcBorders>
            <w:vAlign w:val="center"/>
            <w:hideMark/>
          </w:tcPr>
          <w:p w14:paraId="22060634" w14:textId="77777777" w:rsidR="008276B9" w:rsidRPr="001C2C36" w:rsidRDefault="008276B9">
            <w:pPr>
              <w:pStyle w:val="NoSpacing"/>
              <w:jc w:val="center"/>
              <w:rPr>
                <w:rFonts w:cs="Times New Roman"/>
                <w:szCs w:val="24"/>
                <w:lang w:eastAsia="en-GB"/>
              </w:rPr>
            </w:pPr>
          </w:p>
        </w:tc>
        <w:tc>
          <w:tcPr>
            <w:tcW w:w="903" w:type="dxa"/>
            <w:tcBorders>
              <w:left w:val="single" w:sz="4" w:space="0" w:color="auto"/>
            </w:tcBorders>
            <w:vAlign w:val="center"/>
            <w:hideMark/>
          </w:tcPr>
          <w:p w14:paraId="5C28B67B" w14:textId="77777777" w:rsidR="008276B9" w:rsidRPr="001C2C36" w:rsidRDefault="008276B9">
            <w:pPr>
              <w:pStyle w:val="NoSpacing"/>
              <w:jc w:val="center"/>
              <w:rPr>
                <w:rFonts w:cs="Times New Roman"/>
                <w:szCs w:val="24"/>
                <w:lang w:eastAsia="en-GB"/>
              </w:rPr>
            </w:pPr>
            <w:r w:rsidRPr="001C2C36">
              <w:rPr>
                <w:rFonts w:cs="Times New Roman"/>
                <w:szCs w:val="24"/>
              </w:rPr>
              <w:t>(0.12)</w:t>
            </w:r>
          </w:p>
        </w:tc>
        <w:tc>
          <w:tcPr>
            <w:tcW w:w="933" w:type="dxa"/>
            <w:vAlign w:val="center"/>
            <w:hideMark/>
          </w:tcPr>
          <w:p w14:paraId="20ED725D" w14:textId="77777777" w:rsidR="008276B9" w:rsidRPr="001C2C36" w:rsidRDefault="008276B9">
            <w:pPr>
              <w:pStyle w:val="NoSpacing"/>
              <w:jc w:val="center"/>
              <w:rPr>
                <w:rFonts w:cs="Times New Roman"/>
                <w:szCs w:val="24"/>
                <w:lang w:eastAsia="en-GB"/>
              </w:rPr>
            </w:pPr>
            <w:r w:rsidRPr="001C2C36">
              <w:rPr>
                <w:rFonts w:cs="Times New Roman"/>
                <w:szCs w:val="24"/>
              </w:rPr>
              <w:t>(0.12)</w:t>
            </w:r>
          </w:p>
        </w:tc>
        <w:tc>
          <w:tcPr>
            <w:tcW w:w="934" w:type="dxa"/>
            <w:vAlign w:val="center"/>
            <w:hideMark/>
          </w:tcPr>
          <w:p w14:paraId="50491FEB" w14:textId="77777777" w:rsidR="008276B9" w:rsidRPr="001C2C36" w:rsidRDefault="008276B9">
            <w:pPr>
              <w:pStyle w:val="NoSpacing"/>
              <w:jc w:val="center"/>
              <w:rPr>
                <w:rFonts w:cs="Times New Roman"/>
                <w:szCs w:val="24"/>
                <w:lang w:eastAsia="en-GB"/>
              </w:rPr>
            </w:pPr>
            <w:r w:rsidRPr="001C2C36">
              <w:rPr>
                <w:rFonts w:cs="Times New Roman"/>
                <w:szCs w:val="24"/>
              </w:rPr>
              <w:t>(0.12)</w:t>
            </w:r>
          </w:p>
        </w:tc>
        <w:tc>
          <w:tcPr>
            <w:tcW w:w="860" w:type="dxa"/>
            <w:tcBorders>
              <w:right w:val="single" w:sz="4" w:space="0" w:color="auto"/>
            </w:tcBorders>
            <w:vAlign w:val="center"/>
          </w:tcPr>
          <w:p w14:paraId="205A54D0" w14:textId="77777777" w:rsidR="008276B9" w:rsidRPr="001C2C36" w:rsidRDefault="008276B9">
            <w:pPr>
              <w:pStyle w:val="NoSpacing"/>
              <w:jc w:val="center"/>
              <w:rPr>
                <w:rFonts w:cs="Times New Roman"/>
                <w:szCs w:val="24"/>
                <w:lang w:eastAsia="en-GB"/>
              </w:rPr>
            </w:pPr>
          </w:p>
        </w:tc>
        <w:tc>
          <w:tcPr>
            <w:tcW w:w="934" w:type="dxa"/>
            <w:vAlign w:val="center"/>
            <w:hideMark/>
          </w:tcPr>
          <w:p w14:paraId="44746C41" w14:textId="77777777" w:rsidR="008276B9" w:rsidRPr="001C2C36" w:rsidRDefault="008276B9">
            <w:pPr>
              <w:pStyle w:val="NoSpacing"/>
              <w:jc w:val="center"/>
              <w:rPr>
                <w:rFonts w:cs="Times New Roman"/>
                <w:szCs w:val="24"/>
                <w:lang w:eastAsia="en-GB"/>
              </w:rPr>
            </w:pPr>
            <w:r w:rsidRPr="001C2C36">
              <w:rPr>
                <w:rFonts w:cs="Times New Roman"/>
                <w:szCs w:val="24"/>
              </w:rPr>
              <w:t>(0.13)</w:t>
            </w:r>
          </w:p>
        </w:tc>
        <w:tc>
          <w:tcPr>
            <w:tcW w:w="934" w:type="dxa"/>
            <w:vAlign w:val="center"/>
            <w:hideMark/>
          </w:tcPr>
          <w:p w14:paraId="4169D866" w14:textId="77777777" w:rsidR="008276B9" w:rsidRPr="001C2C36" w:rsidRDefault="008276B9">
            <w:pPr>
              <w:pStyle w:val="NoSpacing"/>
              <w:jc w:val="center"/>
              <w:rPr>
                <w:rFonts w:cs="Times New Roman"/>
                <w:szCs w:val="24"/>
                <w:lang w:eastAsia="en-GB"/>
              </w:rPr>
            </w:pPr>
            <w:r w:rsidRPr="001C2C36">
              <w:rPr>
                <w:rFonts w:cs="Times New Roman"/>
                <w:szCs w:val="24"/>
              </w:rPr>
              <w:t>(0.14)</w:t>
            </w:r>
          </w:p>
        </w:tc>
        <w:tc>
          <w:tcPr>
            <w:tcW w:w="934" w:type="dxa"/>
            <w:vAlign w:val="center"/>
            <w:hideMark/>
          </w:tcPr>
          <w:p w14:paraId="149F9248" w14:textId="77777777" w:rsidR="008276B9" w:rsidRPr="001C2C36" w:rsidRDefault="008276B9">
            <w:pPr>
              <w:pStyle w:val="NoSpacing"/>
              <w:jc w:val="center"/>
              <w:rPr>
                <w:rFonts w:cs="Times New Roman"/>
                <w:szCs w:val="24"/>
                <w:lang w:eastAsia="en-GB"/>
              </w:rPr>
            </w:pPr>
            <w:r w:rsidRPr="001C2C36">
              <w:rPr>
                <w:rFonts w:cs="Times New Roman"/>
                <w:szCs w:val="24"/>
              </w:rPr>
              <w:t>(0.14)</w:t>
            </w:r>
          </w:p>
        </w:tc>
        <w:tc>
          <w:tcPr>
            <w:tcW w:w="859" w:type="dxa"/>
            <w:tcBorders>
              <w:right w:val="single" w:sz="4" w:space="0" w:color="auto"/>
            </w:tcBorders>
            <w:vAlign w:val="center"/>
          </w:tcPr>
          <w:p w14:paraId="48BB83BC" w14:textId="77777777" w:rsidR="008276B9" w:rsidRPr="001C2C36" w:rsidRDefault="008276B9">
            <w:pPr>
              <w:pStyle w:val="NoSpacing"/>
              <w:jc w:val="center"/>
              <w:rPr>
                <w:rFonts w:cs="Times New Roman"/>
                <w:szCs w:val="24"/>
                <w:lang w:eastAsia="en-GB"/>
              </w:rPr>
            </w:pPr>
          </w:p>
        </w:tc>
      </w:tr>
      <w:tr w:rsidR="008276B9" w:rsidRPr="001C2C36" w14:paraId="2DE38F6C" w14:textId="77777777" w:rsidTr="00AD181A">
        <w:trPr>
          <w:trHeight w:val="244"/>
          <w:tblHeader/>
          <w:tblCellSpacing w:w="15" w:type="dxa"/>
          <w:jc w:val="center"/>
        </w:trPr>
        <w:tc>
          <w:tcPr>
            <w:tcW w:w="1840" w:type="dxa"/>
            <w:vMerge w:val="restart"/>
            <w:tcBorders>
              <w:left w:val="single" w:sz="4" w:space="0" w:color="auto"/>
            </w:tcBorders>
            <w:vAlign w:val="center"/>
            <w:hideMark/>
          </w:tcPr>
          <w:p w14:paraId="59C522C1"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Ethnic minority lead dummy</w:t>
            </w:r>
          </w:p>
        </w:tc>
        <w:tc>
          <w:tcPr>
            <w:tcW w:w="903" w:type="dxa"/>
            <w:tcBorders>
              <w:left w:val="single" w:sz="4" w:space="0" w:color="auto"/>
            </w:tcBorders>
            <w:vAlign w:val="center"/>
            <w:hideMark/>
          </w:tcPr>
          <w:p w14:paraId="7AD32738" w14:textId="77777777" w:rsidR="008276B9" w:rsidRPr="001C2C36" w:rsidRDefault="008276B9">
            <w:pPr>
              <w:pStyle w:val="NoSpacing"/>
              <w:jc w:val="center"/>
              <w:rPr>
                <w:rFonts w:cs="Times New Roman"/>
                <w:szCs w:val="24"/>
                <w:lang w:eastAsia="en-GB"/>
              </w:rPr>
            </w:pPr>
            <w:r w:rsidRPr="001C2C36">
              <w:rPr>
                <w:rFonts w:cs="Times New Roman"/>
                <w:szCs w:val="24"/>
              </w:rPr>
              <w:t>0.19</w:t>
            </w:r>
          </w:p>
        </w:tc>
        <w:tc>
          <w:tcPr>
            <w:tcW w:w="933" w:type="dxa"/>
            <w:vAlign w:val="center"/>
            <w:hideMark/>
          </w:tcPr>
          <w:p w14:paraId="119478C5" w14:textId="77777777" w:rsidR="008276B9" w:rsidRPr="001C2C36" w:rsidRDefault="008276B9">
            <w:pPr>
              <w:pStyle w:val="NoSpacing"/>
              <w:jc w:val="center"/>
              <w:rPr>
                <w:rFonts w:cs="Times New Roman"/>
                <w:szCs w:val="24"/>
                <w:lang w:eastAsia="en-GB"/>
              </w:rPr>
            </w:pPr>
            <w:r w:rsidRPr="001C2C36">
              <w:rPr>
                <w:rFonts w:cs="Times New Roman"/>
                <w:szCs w:val="24"/>
              </w:rPr>
              <w:t>0.11</w:t>
            </w:r>
          </w:p>
        </w:tc>
        <w:tc>
          <w:tcPr>
            <w:tcW w:w="934" w:type="dxa"/>
            <w:vAlign w:val="center"/>
            <w:hideMark/>
          </w:tcPr>
          <w:p w14:paraId="07E9E6ED" w14:textId="77777777" w:rsidR="008276B9" w:rsidRPr="001C2C36" w:rsidRDefault="008276B9">
            <w:pPr>
              <w:pStyle w:val="NoSpacing"/>
              <w:jc w:val="center"/>
              <w:rPr>
                <w:rFonts w:cs="Times New Roman"/>
                <w:szCs w:val="24"/>
                <w:lang w:eastAsia="en-GB"/>
              </w:rPr>
            </w:pPr>
            <w:r w:rsidRPr="001C2C36">
              <w:rPr>
                <w:rFonts w:cs="Times New Roman"/>
                <w:szCs w:val="24"/>
              </w:rPr>
              <w:t>0.11</w:t>
            </w:r>
          </w:p>
        </w:tc>
        <w:tc>
          <w:tcPr>
            <w:tcW w:w="860" w:type="dxa"/>
            <w:tcBorders>
              <w:right w:val="single" w:sz="4" w:space="0" w:color="auto"/>
            </w:tcBorders>
            <w:vAlign w:val="center"/>
          </w:tcPr>
          <w:p w14:paraId="334CBEE8"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1.11</w:t>
            </w:r>
          </w:p>
        </w:tc>
        <w:tc>
          <w:tcPr>
            <w:tcW w:w="934" w:type="dxa"/>
            <w:vAlign w:val="center"/>
            <w:hideMark/>
          </w:tcPr>
          <w:p w14:paraId="22449596" w14:textId="77777777" w:rsidR="008276B9" w:rsidRPr="001C2C36" w:rsidRDefault="008276B9">
            <w:pPr>
              <w:pStyle w:val="NoSpacing"/>
              <w:jc w:val="center"/>
              <w:rPr>
                <w:rFonts w:cs="Times New Roman"/>
                <w:szCs w:val="24"/>
                <w:lang w:eastAsia="en-GB"/>
              </w:rPr>
            </w:pPr>
            <w:r w:rsidRPr="001C2C36">
              <w:rPr>
                <w:rFonts w:cs="Times New Roman"/>
                <w:szCs w:val="24"/>
              </w:rPr>
              <w:t>0.28</w:t>
            </w:r>
          </w:p>
        </w:tc>
        <w:tc>
          <w:tcPr>
            <w:tcW w:w="934" w:type="dxa"/>
            <w:vAlign w:val="center"/>
            <w:hideMark/>
          </w:tcPr>
          <w:p w14:paraId="3C2B6406" w14:textId="77777777" w:rsidR="008276B9" w:rsidRPr="001C2C36" w:rsidRDefault="008276B9">
            <w:pPr>
              <w:pStyle w:val="NoSpacing"/>
              <w:jc w:val="center"/>
              <w:rPr>
                <w:rFonts w:cs="Times New Roman"/>
                <w:szCs w:val="24"/>
                <w:lang w:eastAsia="en-GB"/>
              </w:rPr>
            </w:pPr>
            <w:r w:rsidRPr="001C2C36">
              <w:rPr>
                <w:rFonts w:cs="Times New Roman"/>
                <w:szCs w:val="24"/>
              </w:rPr>
              <w:t>0.24</w:t>
            </w:r>
          </w:p>
        </w:tc>
        <w:tc>
          <w:tcPr>
            <w:tcW w:w="934" w:type="dxa"/>
            <w:vAlign w:val="center"/>
            <w:hideMark/>
          </w:tcPr>
          <w:p w14:paraId="67A90D6C" w14:textId="77777777" w:rsidR="008276B9" w:rsidRPr="001C2C36" w:rsidRDefault="008276B9">
            <w:pPr>
              <w:pStyle w:val="NoSpacing"/>
              <w:jc w:val="center"/>
              <w:rPr>
                <w:rFonts w:cs="Times New Roman"/>
                <w:szCs w:val="24"/>
                <w:lang w:eastAsia="en-GB"/>
              </w:rPr>
            </w:pPr>
            <w:r w:rsidRPr="001C2C36">
              <w:rPr>
                <w:rFonts w:cs="Times New Roman"/>
                <w:szCs w:val="24"/>
              </w:rPr>
              <w:t>0.26</w:t>
            </w:r>
          </w:p>
        </w:tc>
        <w:tc>
          <w:tcPr>
            <w:tcW w:w="859" w:type="dxa"/>
            <w:tcBorders>
              <w:right w:val="single" w:sz="4" w:space="0" w:color="auto"/>
            </w:tcBorders>
            <w:vAlign w:val="center"/>
          </w:tcPr>
          <w:p w14:paraId="5B74E0DE"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1.3</w:t>
            </w:r>
          </w:p>
        </w:tc>
      </w:tr>
      <w:tr w:rsidR="008276B9" w:rsidRPr="001C2C36" w14:paraId="6F1F29C8" w14:textId="77777777" w:rsidTr="00AD181A">
        <w:trPr>
          <w:trHeight w:val="244"/>
          <w:tblHeader/>
          <w:tblCellSpacing w:w="15" w:type="dxa"/>
          <w:jc w:val="center"/>
        </w:trPr>
        <w:tc>
          <w:tcPr>
            <w:tcW w:w="1840" w:type="dxa"/>
            <w:vMerge/>
            <w:tcBorders>
              <w:left w:val="single" w:sz="4" w:space="0" w:color="auto"/>
            </w:tcBorders>
            <w:vAlign w:val="center"/>
            <w:hideMark/>
          </w:tcPr>
          <w:p w14:paraId="0E01F5DC" w14:textId="77777777" w:rsidR="008276B9" w:rsidRPr="001C2C36" w:rsidRDefault="008276B9">
            <w:pPr>
              <w:pStyle w:val="NoSpacing"/>
              <w:jc w:val="center"/>
              <w:rPr>
                <w:rFonts w:cs="Times New Roman"/>
                <w:szCs w:val="24"/>
                <w:lang w:eastAsia="en-GB"/>
              </w:rPr>
            </w:pPr>
          </w:p>
        </w:tc>
        <w:tc>
          <w:tcPr>
            <w:tcW w:w="903" w:type="dxa"/>
            <w:tcBorders>
              <w:left w:val="single" w:sz="4" w:space="0" w:color="auto"/>
            </w:tcBorders>
            <w:vAlign w:val="center"/>
            <w:hideMark/>
          </w:tcPr>
          <w:p w14:paraId="7C41A14E" w14:textId="77777777" w:rsidR="008276B9" w:rsidRPr="001C2C36" w:rsidRDefault="008276B9">
            <w:pPr>
              <w:pStyle w:val="NoSpacing"/>
              <w:jc w:val="center"/>
              <w:rPr>
                <w:rFonts w:cs="Times New Roman"/>
                <w:szCs w:val="24"/>
                <w:lang w:eastAsia="en-GB"/>
              </w:rPr>
            </w:pPr>
            <w:r w:rsidRPr="001C2C36">
              <w:rPr>
                <w:rFonts w:cs="Times New Roman"/>
                <w:szCs w:val="24"/>
              </w:rPr>
              <w:t>(0.25)</w:t>
            </w:r>
          </w:p>
        </w:tc>
        <w:tc>
          <w:tcPr>
            <w:tcW w:w="933" w:type="dxa"/>
            <w:vAlign w:val="center"/>
            <w:hideMark/>
          </w:tcPr>
          <w:p w14:paraId="7CD629DD" w14:textId="77777777" w:rsidR="008276B9" w:rsidRPr="001C2C36" w:rsidRDefault="008276B9">
            <w:pPr>
              <w:pStyle w:val="NoSpacing"/>
              <w:jc w:val="center"/>
              <w:rPr>
                <w:rFonts w:cs="Times New Roman"/>
                <w:szCs w:val="24"/>
                <w:lang w:eastAsia="en-GB"/>
              </w:rPr>
            </w:pPr>
            <w:r w:rsidRPr="001C2C36">
              <w:rPr>
                <w:rFonts w:cs="Times New Roman"/>
                <w:szCs w:val="24"/>
              </w:rPr>
              <w:t>(0.25)</w:t>
            </w:r>
          </w:p>
        </w:tc>
        <w:tc>
          <w:tcPr>
            <w:tcW w:w="934" w:type="dxa"/>
            <w:vAlign w:val="center"/>
            <w:hideMark/>
          </w:tcPr>
          <w:p w14:paraId="3F10FF4B" w14:textId="77777777" w:rsidR="008276B9" w:rsidRPr="001C2C36" w:rsidRDefault="008276B9">
            <w:pPr>
              <w:pStyle w:val="NoSpacing"/>
              <w:jc w:val="center"/>
              <w:rPr>
                <w:rFonts w:cs="Times New Roman"/>
                <w:szCs w:val="24"/>
                <w:lang w:eastAsia="en-GB"/>
              </w:rPr>
            </w:pPr>
            <w:r w:rsidRPr="001C2C36">
              <w:rPr>
                <w:rFonts w:cs="Times New Roman"/>
                <w:szCs w:val="24"/>
              </w:rPr>
              <w:t>(0.25)</w:t>
            </w:r>
          </w:p>
        </w:tc>
        <w:tc>
          <w:tcPr>
            <w:tcW w:w="860" w:type="dxa"/>
            <w:tcBorders>
              <w:right w:val="single" w:sz="4" w:space="0" w:color="auto"/>
            </w:tcBorders>
            <w:vAlign w:val="center"/>
          </w:tcPr>
          <w:p w14:paraId="0A1EAB67" w14:textId="77777777" w:rsidR="008276B9" w:rsidRPr="001C2C36" w:rsidRDefault="008276B9">
            <w:pPr>
              <w:pStyle w:val="NoSpacing"/>
              <w:jc w:val="center"/>
              <w:rPr>
                <w:rFonts w:cs="Times New Roman"/>
                <w:szCs w:val="24"/>
                <w:lang w:eastAsia="en-GB"/>
              </w:rPr>
            </w:pPr>
          </w:p>
        </w:tc>
        <w:tc>
          <w:tcPr>
            <w:tcW w:w="934" w:type="dxa"/>
            <w:vAlign w:val="center"/>
            <w:hideMark/>
          </w:tcPr>
          <w:p w14:paraId="55A24903" w14:textId="77777777" w:rsidR="008276B9" w:rsidRPr="001C2C36" w:rsidRDefault="008276B9">
            <w:pPr>
              <w:pStyle w:val="NoSpacing"/>
              <w:jc w:val="center"/>
              <w:rPr>
                <w:rFonts w:cs="Times New Roman"/>
                <w:szCs w:val="24"/>
                <w:lang w:eastAsia="en-GB"/>
              </w:rPr>
            </w:pPr>
            <w:r w:rsidRPr="001C2C36">
              <w:rPr>
                <w:rFonts w:cs="Times New Roman"/>
                <w:szCs w:val="24"/>
              </w:rPr>
              <w:t>(0.28)</w:t>
            </w:r>
          </w:p>
        </w:tc>
        <w:tc>
          <w:tcPr>
            <w:tcW w:w="934" w:type="dxa"/>
            <w:vAlign w:val="center"/>
            <w:hideMark/>
          </w:tcPr>
          <w:p w14:paraId="4DD7D394" w14:textId="77777777" w:rsidR="008276B9" w:rsidRPr="001C2C36" w:rsidRDefault="008276B9">
            <w:pPr>
              <w:pStyle w:val="NoSpacing"/>
              <w:jc w:val="center"/>
              <w:rPr>
                <w:rFonts w:cs="Times New Roman"/>
                <w:szCs w:val="24"/>
                <w:lang w:eastAsia="en-GB"/>
              </w:rPr>
            </w:pPr>
            <w:r w:rsidRPr="001C2C36">
              <w:rPr>
                <w:rFonts w:cs="Times New Roman"/>
                <w:szCs w:val="24"/>
              </w:rPr>
              <w:t>(0.28)</w:t>
            </w:r>
          </w:p>
        </w:tc>
        <w:tc>
          <w:tcPr>
            <w:tcW w:w="934" w:type="dxa"/>
            <w:vAlign w:val="center"/>
            <w:hideMark/>
          </w:tcPr>
          <w:p w14:paraId="6BDCA649" w14:textId="77777777" w:rsidR="008276B9" w:rsidRPr="001C2C36" w:rsidRDefault="008276B9">
            <w:pPr>
              <w:pStyle w:val="NoSpacing"/>
              <w:jc w:val="center"/>
              <w:rPr>
                <w:rFonts w:cs="Times New Roman"/>
                <w:szCs w:val="24"/>
                <w:lang w:eastAsia="en-GB"/>
              </w:rPr>
            </w:pPr>
            <w:r w:rsidRPr="001C2C36">
              <w:rPr>
                <w:rFonts w:cs="Times New Roman"/>
                <w:szCs w:val="24"/>
              </w:rPr>
              <w:t>(0.28)</w:t>
            </w:r>
          </w:p>
        </w:tc>
        <w:tc>
          <w:tcPr>
            <w:tcW w:w="859" w:type="dxa"/>
            <w:tcBorders>
              <w:right w:val="single" w:sz="4" w:space="0" w:color="auto"/>
            </w:tcBorders>
            <w:vAlign w:val="center"/>
          </w:tcPr>
          <w:p w14:paraId="0AE43057" w14:textId="77777777" w:rsidR="008276B9" w:rsidRPr="001C2C36" w:rsidRDefault="008276B9">
            <w:pPr>
              <w:pStyle w:val="NoSpacing"/>
              <w:jc w:val="center"/>
              <w:rPr>
                <w:rFonts w:cs="Times New Roman"/>
                <w:szCs w:val="24"/>
                <w:lang w:eastAsia="en-GB"/>
              </w:rPr>
            </w:pPr>
          </w:p>
        </w:tc>
      </w:tr>
      <w:tr w:rsidR="008276B9" w:rsidRPr="001C2C36" w14:paraId="0BFC79AF" w14:textId="77777777" w:rsidTr="00AD181A">
        <w:trPr>
          <w:trHeight w:val="244"/>
          <w:tblHeader/>
          <w:tblCellSpacing w:w="15" w:type="dxa"/>
          <w:jc w:val="center"/>
        </w:trPr>
        <w:tc>
          <w:tcPr>
            <w:tcW w:w="1840" w:type="dxa"/>
            <w:vMerge w:val="restart"/>
            <w:tcBorders>
              <w:left w:val="single" w:sz="4" w:space="0" w:color="auto"/>
            </w:tcBorders>
            <w:vAlign w:val="center"/>
            <w:hideMark/>
          </w:tcPr>
          <w:p w14:paraId="1992D5FE"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Size (log)</w:t>
            </w:r>
          </w:p>
        </w:tc>
        <w:tc>
          <w:tcPr>
            <w:tcW w:w="903" w:type="dxa"/>
            <w:tcBorders>
              <w:left w:val="single" w:sz="4" w:space="0" w:color="auto"/>
            </w:tcBorders>
            <w:vAlign w:val="center"/>
            <w:hideMark/>
          </w:tcPr>
          <w:p w14:paraId="31284053" w14:textId="77777777" w:rsidR="008276B9" w:rsidRPr="001C2C36" w:rsidRDefault="008276B9">
            <w:pPr>
              <w:pStyle w:val="NoSpacing"/>
              <w:jc w:val="center"/>
              <w:rPr>
                <w:rFonts w:cs="Times New Roman"/>
                <w:szCs w:val="24"/>
                <w:lang w:eastAsia="en-GB"/>
              </w:rPr>
            </w:pPr>
            <w:r w:rsidRPr="001C2C36">
              <w:rPr>
                <w:rFonts w:cs="Times New Roman"/>
                <w:szCs w:val="24"/>
              </w:rPr>
              <w:t>-0.02</w:t>
            </w:r>
          </w:p>
        </w:tc>
        <w:tc>
          <w:tcPr>
            <w:tcW w:w="933" w:type="dxa"/>
            <w:vAlign w:val="center"/>
            <w:hideMark/>
          </w:tcPr>
          <w:p w14:paraId="70387BD4" w14:textId="77777777" w:rsidR="008276B9" w:rsidRPr="001C2C36" w:rsidRDefault="008276B9">
            <w:pPr>
              <w:pStyle w:val="NoSpacing"/>
              <w:jc w:val="center"/>
              <w:rPr>
                <w:rFonts w:cs="Times New Roman"/>
                <w:szCs w:val="24"/>
                <w:lang w:eastAsia="en-GB"/>
              </w:rPr>
            </w:pPr>
            <w:r w:rsidRPr="001C2C36">
              <w:rPr>
                <w:rFonts w:cs="Times New Roman"/>
                <w:szCs w:val="24"/>
              </w:rPr>
              <w:t>-0.13</w:t>
            </w:r>
            <w:r w:rsidRPr="001C2C36">
              <w:rPr>
                <w:rFonts w:cs="Times New Roman"/>
                <w:szCs w:val="24"/>
                <w:vertAlign w:val="superscript"/>
              </w:rPr>
              <w:t>***</w:t>
            </w:r>
          </w:p>
        </w:tc>
        <w:tc>
          <w:tcPr>
            <w:tcW w:w="934" w:type="dxa"/>
            <w:vAlign w:val="center"/>
            <w:hideMark/>
          </w:tcPr>
          <w:p w14:paraId="41F35F63" w14:textId="77777777" w:rsidR="008276B9" w:rsidRPr="001C2C36" w:rsidRDefault="008276B9">
            <w:pPr>
              <w:pStyle w:val="NoSpacing"/>
              <w:jc w:val="center"/>
              <w:rPr>
                <w:rFonts w:cs="Times New Roman"/>
                <w:szCs w:val="24"/>
                <w:lang w:eastAsia="en-GB"/>
              </w:rPr>
            </w:pPr>
            <w:r w:rsidRPr="001C2C36">
              <w:rPr>
                <w:rFonts w:cs="Times New Roman"/>
                <w:szCs w:val="24"/>
              </w:rPr>
              <w:t>-0.13</w:t>
            </w:r>
            <w:r w:rsidRPr="001C2C36">
              <w:rPr>
                <w:rFonts w:cs="Times New Roman"/>
                <w:szCs w:val="24"/>
                <w:vertAlign w:val="superscript"/>
              </w:rPr>
              <w:t>***</w:t>
            </w:r>
          </w:p>
        </w:tc>
        <w:tc>
          <w:tcPr>
            <w:tcW w:w="860" w:type="dxa"/>
            <w:tcBorders>
              <w:right w:val="single" w:sz="4" w:space="0" w:color="auto"/>
            </w:tcBorders>
            <w:vAlign w:val="center"/>
          </w:tcPr>
          <w:p w14:paraId="309F3E0B"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0.88</w:t>
            </w:r>
          </w:p>
        </w:tc>
        <w:tc>
          <w:tcPr>
            <w:tcW w:w="934" w:type="dxa"/>
            <w:vAlign w:val="center"/>
            <w:hideMark/>
          </w:tcPr>
          <w:p w14:paraId="681C071B" w14:textId="77777777" w:rsidR="008276B9" w:rsidRPr="001C2C36" w:rsidRDefault="008276B9">
            <w:pPr>
              <w:pStyle w:val="NoSpacing"/>
              <w:jc w:val="center"/>
              <w:rPr>
                <w:rFonts w:cs="Times New Roman"/>
                <w:szCs w:val="24"/>
                <w:lang w:eastAsia="en-GB"/>
              </w:rPr>
            </w:pPr>
            <w:r w:rsidRPr="001C2C36">
              <w:rPr>
                <w:rFonts w:cs="Times New Roman"/>
                <w:szCs w:val="24"/>
              </w:rPr>
              <w:t>0.11</w:t>
            </w:r>
            <w:r w:rsidRPr="001C2C36">
              <w:rPr>
                <w:rFonts w:cs="Times New Roman"/>
                <w:szCs w:val="24"/>
                <w:vertAlign w:val="superscript"/>
              </w:rPr>
              <w:t>***</w:t>
            </w:r>
          </w:p>
        </w:tc>
        <w:tc>
          <w:tcPr>
            <w:tcW w:w="934" w:type="dxa"/>
            <w:vAlign w:val="center"/>
            <w:hideMark/>
          </w:tcPr>
          <w:p w14:paraId="16499238" w14:textId="77777777" w:rsidR="008276B9" w:rsidRPr="001C2C36" w:rsidRDefault="008276B9">
            <w:pPr>
              <w:pStyle w:val="NoSpacing"/>
              <w:jc w:val="center"/>
              <w:rPr>
                <w:rFonts w:cs="Times New Roman"/>
                <w:szCs w:val="24"/>
                <w:lang w:eastAsia="en-GB"/>
              </w:rPr>
            </w:pPr>
            <w:r w:rsidRPr="001C2C36">
              <w:rPr>
                <w:rFonts w:cs="Times New Roman"/>
                <w:szCs w:val="24"/>
              </w:rPr>
              <w:t>0.09</w:t>
            </w:r>
            <w:r w:rsidRPr="001C2C36">
              <w:rPr>
                <w:rFonts w:cs="Times New Roman"/>
                <w:szCs w:val="24"/>
                <w:vertAlign w:val="superscript"/>
              </w:rPr>
              <w:t>*</w:t>
            </w:r>
          </w:p>
        </w:tc>
        <w:tc>
          <w:tcPr>
            <w:tcW w:w="934" w:type="dxa"/>
            <w:vAlign w:val="center"/>
            <w:hideMark/>
          </w:tcPr>
          <w:p w14:paraId="1F7B280A" w14:textId="77777777" w:rsidR="008276B9" w:rsidRPr="001C2C36" w:rsidRDefault="008276B9">
            <w:pPr>
              <w:pStyle w:val="NoSpacing"/>
              <w:jc w:val="center"/>
              <w:rPr>
                <w:rFonts w:cs="Times New Roman"/>
                <w:szCs w:val="24"/>
                <w:lang w:eastAsia="en-GB"/>
              </w:rPr>
            </w:pPr>
            <w:r w:rsidRPr="001C2C36">
              <w:rPr>
                <w:rFonts w:cs="Times New Roman"/>
                <w:szCs w:val="24"/>
              </w:rPr>
              <w:t>0.08</w:t>
            </w:r>
            <w:r w:rsidRPr="001C2C36">
              <w:rPr>
                <w:rFonts w:cs="Times New Roman"/>
                <w:szCs w:val="24"/>
                <w:vertAlign w:val="superscript"/>
              </w:rPr>
              <w:t>*</w:t>
            </w:r>
          </w:p>
        </w:tc>
        <w:tc>
          <w:tcPr>
            <w:tcW w:w="859" w:type="dxa"/>
            <w:tcBorders>
              <w:right w:val="single" w:sz="4" w:space="0" w:color="auto"/>
            </w:tcBorders>
            <w:vAlign w:val="center"/>
          </w:tcPr>
          <w:p w14:paraId="52BBDC3A"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1.09</w:t>
            </w:r>
          </w:p>
        </w:tc>
      </w:tr>
      <w:tr w:rsidR="008276B9" w:rsidRPr="001C2C36" w14:paraId="55F2727A" w14:textId="77777777" w:rsidTr="00AD181A">
        <w:trPr>
          <w:trHeight w:val="244"/>
          <w:tblHeader/>
          <w:tblCellSpacing w:w="15" w:type="dxa"/>
          <w:jc w:val="center"/>
        </w:trPr>
        <w:tc>
          <w:tcPr>
            <w:tcW w:w="1840" w:type="dxa"/>
            <w:vMerge/>
            <w:tcBorders>
              <w:left w:val="single" w:sz="4" w:space="0" w:color="auto"/>
            </w:tcBorders>
            <w:vAlign w:val="center"/>
            <w:hideMark/>
          </w:tcPr>
          <w:p w14:paraId="6FD4F587" w14:textId="77777777" w:rsidR="008276B9" w:rsidRPr="001C2C36" w:rsidRDefault="008276B9">
            <w:pPr>
              <w:pStyle w:val="NoSpacing"/>
              <w:jc w:val="center"/>
              <w:rPr>
                <w:rFonts w:cs="Times New Roman"/>
                <w:szCs w:val="24"/>
                <w:lang w:eastAsia="en-GB"/>
              </w:rPr>
            </w:pPr>
          </w:p>
        </w:tc>
        <w:tc>
          <w:tcPr>
            <w:tcW w:w="903" w:type="dxa"/>
            <w:tcBorders>
              <w:left w:val="single" w:sz="4" w:space="0" w:color="auto"/>
            </w:tcBorders>
            <w:vAlign w:val="center"/>
            <w:hideMark/>
          </w:tcPr>
          <w:p w14:paraId="57DC3CC5" w14:textId="77777777" w:rsidR="008276B9" w:rsidRPr="001C2C36" w:rsidRDefault="008276B9">
            <w:pPr>
              <w:pStyle w:val="NoSpacing"/>
              <w:jc w:val="center"/>
              <w:rPr>
                <w:rFonts w:cs="Times New Roman"/>
                <w:szCs w:val="24"/>
                <w:lang w:eastAsia="en-GB"/>
              </w:rPr>
            </w:pPr>
            <w:r w:rsidRPr="001C2C36">
              <w:rPr>
                <w:rFonts w:cs="Times New Roman"/>
                <w:szCs w:val="24"/>
              </w:rPr>
              <w:t>(0.04)</w:t>
            </w:r>
          </w:p>
        </w:tc>
        <w:tc>
          <w:tcPr>
            <w:tcW w:w="933" w:type="dxa"/>
            <w:vAlign w:val="center"/>
            <w:hideMark/>
          </w:tcPr>
          <w:p w14:paraId="37142DCE" w14:textId="77777777" w:rsidR="008276B9" w:rsidRPr="001C2C36" w:rsidRDefault="008276B9">
            <w:pPr>
              <w:pStyle w:val="NoSpacing"/>
              <w:jc w:val="center"/>
              <w:rPr>
                <w:rFonts w:cs="Times New Roman"/>
                <w:szCs w:val="24"/>
                <w:lang w:eastAsia="en-GB"/>
              </w:rPr>
            </w:pPr>
            <w:r w:rsidRPr="001C2C36">
              <w:rPr>
                <w:rFonts w:cs="Times New Roman"/>
                <w:szCs w:val="24"/>
              </w:rPr>
              <w:t>(0.04)</w:t>
            </w:r>
          </w:p>
        </w:tc>
        <w:tc>
          <w:tcPr>
            <w:tcW w:w="934" w:type="dxa"/>
            <w:vAlign w:val="center"/>
            <w:hideMark/>
          </w:tcPr>
          <w:p w14:paraId="1C2E0251" w14:textId="77777777" w:rsidR="008276B9" w:rsidRPr="001C2C36" w:rsidRDefault="008276B9">
            <w:pPr>
              <w:pStyle w:val="NoSpacing"/>
              <w:jc w:val="center"/>
              <w:rPr>
                <w:rFonts w:cs="Times New Roman"/>
                <w:szCs w:val="24"/>
                <w:lang w:eastAsia="en-GB"/>
              </w:rPr>
            </w:pPr>
            <w:r w:rsidRPr="001C2C36">
              <w:rPr>
                <w:rFonts w:cs="Times New Roman"/>
                <w:szCs w:val="24"/>
              </w:rPr>
              <w:t>(0.04)</w:t>
            </w:r>
          </w:p>
        </w:tc>
        <w:tc>
          <w:tcPr>
            <w:tcW w:w="860" w:type="dxa"/>
            <w:tcBorders>
              <w:right w:val="single" w:sz="4" w:space="0" w:color="auto"/>
            </w:tcBorders>
            <w:vAlign w:val="center"/>
          </w:tcPr>
          <w:p w14:paraId="2C1BA608" w14:textId="77777777" w:rsidR="008276B9" w:rsidRPr="001C2C36" w:rsidRDefault="008276B9">
            <w:pPr>
              <w:pStyle w:val="NoSpacing"/>
              <w:jc w:val="center"/>
              <w:rPr>
                <w:rFonts w:cs="Times New Roman"/>
                <w:szCs w:val="24"/>
                <w:lang w:eastAsia="en-GB"/>
              </w:rPr>
            </w:pPr>
          </w:p>
        </w:tc>
        <w:tc>
          <w:tcPr>
            <w:tcW w:w="934" w:type="dxa"/>
            <w:vAlign w:val="center"/>
            <w:hideMark/>
          </w:tcPr>
          <w:p w14:paraId="3BBD5B1F" w14:textId="77777777" w:rsidR="008276B9" w:rsidRPr="001C2C36" w:rsidRDefault="008276B9">
            <w:pPr>
              <w:pStyle w:val="NoSpacing"/>
              <w:jc w:val="center"/>
              <w:rPr>
                <w:rFonts w:cs="Times New Roman"/>
                <w:szCs w:val="24"/>
                <w:lang w:eastAsia="en-GB"/>
              </w:rPr>
            </w:pPr>
            <w:r w:rsidRPr="001C2C36">
              <w:rPr>
                <w:rFonts w:cs="Times New Roman"/>
                <w:szCs w:val="24"/>
              </w:rPr>
              <w:t>(0.04)</w:t>
            </w:r>
          </w:p>
        </w:tc>
        <w:tc>
          <w:tcPr>
            <w:tcW w:w="934" w:type="dxa"/>
            <w:vAlign w:val="center"/>
            <w:hideMark/>
          </w:tcPr>
          <w:p w14:paraId="6A5D8269" w14:textId="77777777" w:rsidR="008276B9" w:rsidRPr="001C2C36" w:rsidRDefault="008276B9">
            <w:pPr>
              <w:pStyle w:val="NoSpacing"/>
              <w:jc w:val="center"/>
              <w:rPr>
                <w:rFonts w:cs="Times New Roman"/>
                <w:szCs w:val="24"/>
                <w:lang w:eastAsia="en-GB"/>
              </w:rPr>
            </w:pPr>
            <w:r w:rsidRPr="001C2C36">
              <w:rPr>
                <w:rFonts w:cs="Times New Roman"/>
                <w:szCs w:val="24"/>
              </w:rPr>
              <w:t>(0.05)</w:t>
            </w:r>
          </w:p>
        </w:tc>
        <w:tc>
          <w:tcPr>
            <w:tcW w:w="934" w:type="dxa"/>
            <w:vAlign w:val="center"/>
            <w:hideMark/>
          </w:tcPr>
          <w:p w14:paraId="2060E14B" w14:textId="77777777" w:rsidR="008276B9" w:rsidRPr="001C2C36" w:rsidRDefault="008276B9">
            <w:pPr>
              <w:pStyle w:val="NoSpacing"/>
              <w:jc w:val="center"/>
              <w:rPr>
                <w:rFonts w:cs="Times New Roman"/>
                <w:szCs w:val="24"/>
                <w:lang w:eastAsia="en-GB"/>
              </w:rPr>
            </w:pPr>
            <w:r w:rsidRPr="001C2C36">
              <w:rPr>
                <w:rFonts w:cs="Times New Roman"/>
                <w:szCs w:val="24"/>
              </w:rPr>
              <w:t>(0.05)</w:t>
            </w:r>
          </w:p>
        </w:tc>
        <w:tc>
          <w:tcPr>
            <w:tcW w:w="859" w:type="dxa"/>
            <w:tcBorders>
              <w:right w:val="single" w:sz="4" w:space="0" w:color="auto"/>
            </w:tcBorders>
            <w:vAlign w:val="center"/>
          </w:tcPr>
          <w:p w14:paraId="3FAFCA58" w14:textId="77777777" w:rsidR="008276B9" w:rsidRPr="001C2C36" w:rsidRDefault="008276B9">
            <w:pPr>
              <w:pStyle w:val="NoSpacing"/>
              <w:jc w:val="center"/>
              <w:rPr>
                <w:rFonts w:cs="Times New Roman"/>
                <w:szCs w:val="24"/>
                <w:lang w:eastAsia="en-GB"/>
              </w:rPr>
            </w:pPr>
          </w:p>
        </w:tc>
      </w:tr>
      <w:tr w:rsidR="008276B9" w:rsidRPr="001C2C36" w14:paraId="1BAED5AC" w14:textId="77777777">
        <w:trPr>
          <w:trHeight w:val="244"/>
          <w:tblHeader/>
          <w:tblCellSpacing w:w="15" w:type="dxa"/>
          <w:jc w:val="center"/>
        </w:trPr>
        <w:tc>
          <w:tcPr>
            <w:tcW w:w="9371" w:type="dxa"/>
            <w:gridSpan w:val="9"/>
            <w:tcBorders>
              <w:top w:val="single" w:sz="4" w:space="0" w:color="auto"/>
              <w:left w:val="single" w:sz="4" w:space="0" w:color="auto"/>
              <w:bottom w:val="single" w:sz="4" w:space="0" w:color="auto"/>
              <w:right w:val="single" w:sz="4" w:space="0" w:color="auto"/>
            </w:tcBorders>
            <w:vAlign w:val="center"/>
          </w:tcPr>
          <w:p w14:paraId="511E8A5C" w14:textId="77777777" w:rsidR="008276B9" w:rsidRPr="001C2C36" w:rsidRDefault="008276B9">
            <w:pPr>
              <w:pStyle w:val="NoSpacing"/>
              <w:rPr>
                <w:rFonts w:cs="Times New Roman"/>
                <w:b/>
                <w:bCs/>
                <w:szCs w:val="24"/>
                <w:lang w:eastAsia="en-GB"/>
              </w:rPr>
            </w:pPr>
            <w:r w:rsidRPr="001C2C36">
              <w:rPr>
                <w:rFonts w:cs="Times New Roman"/>
                <w:b/>
                <w:bCs/>
                <w:szCs w:val="24"/>
                <w:lang w:eastAsia="en-GB"/>
              </w:rPr>
              <w:t>Intercepts</w:t>
            </w:r>
          </w:p>
        </w:tc>
      </w:tr>
      <w:tr w:rsidR="008276B9" w:rsidRPr="001C2C36" w14:paraId="2890EF7D" w14:textId="77777777">
        <w:trPr>
          <w:trHeight w:val="244"/>
          <w:tblHeader/>
          <w:tblCellSpacing w:w="15" w:type="dxa"/>
          <w:jc w:val="center"/>
        </w:trPr>
        <w:tc>
          <w:tcPr>
            <w:tcW w:w="1840" w:type="dxa"/>
            <w:tcBorders>
              <w:left w:val="single" w:sz="4" w:space="0" w:color="auto"/>
            </w:tcBorders>
            <w:vAlign w:val="center"/>
          </w:tcPr>
          <w:p w14:paraId="1D47F0B1" w14:textId="77777777" w:rsidR="008276B9" w:rsidRPr="001C2C36" w:rsidRDefault="008276B9">
            <w:pPr>
              <w:pStyle w:val="NoSpacing"/>
              <w:jc w:val="center"/>
              <w:rPr>
                <w:rFonts w:cs="Times New Roman"/>
                <w:szCs w:val="24"/>
                <w:lang w:eastAsia="en-GB"/>
              </w:rPr>
            </w:pPr>
            <w:proofErr w:type="spellStart"/>
            <w:r w:rsidRPr="001C2C36">
              <w:rPr>
                <w:rFonts w:eastAsia="Times New Roman" w:cs="Times New Roman"/>
                <w:szCs w:val="24"/>
                <w:lang w:eastAsia="en-GB"/>
              </w:rPr>
              <w:t>Decrease|Stayed</w:t>
            </w:r>
            <w:proofErr w:type="spellEnd"/>
            <w:r w:rsidRPr="001C2C36">
              <w:rPr>
                <w:rFonts w:eastAsia="Times New Roman" w:cs="Times New Roman"/>
                <w:szCs w:val="24"/>
                <w:lang w:eastAsia="en-GB"/>
              </w:rPr>
              <w:t xml:space="preserve"> the same</w:t>
            </w:r>
          </w:p>
        </w:tc>
        <w:tc>
          <w:tcPr>
            <w:tcW w:w="903" w:type="dxa"/>
            <w:tcBorders>
              <w:left w:val="single" w:sz="4" w:space="0" w:color="auto"/>
            </w:tcBorders>
            <w:vAlign w:val="center"/>
          </w:tcPr>
          <w:p w14:paraId="6BE97B88"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-1.44*** (0.11)</w:t>
            </w:r>
          </w:p>
        </w:tc>
        <w:tc>
          <w:tcPr>
            <w:tcW w:w="933" w:type="dxa"/>
            <w:vAlign w:val="center"/>
          </w:tcPr>
          <w:p w14:paraId="77350A50"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-1.27***</w:t>
            </w:r>
          </w:p>
          <w:p w14:paraId="48D98D48"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(0.12)</w:t>
            </w:r>
          </w:p>
        </w:tc>
        <w:tc>
          <w:tcPr>
            <w:tcW w:w="934" w:type="dxa"/>
            <w:vAlign w:val="center"/>
          </w:tcPr>
          <w:p w14:paraId="5D0DE47D"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-1.28***</w:t>
            </w:r>
          </w:p>
          <w:p w14:paraId="7903675F"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(0.13)</w:t>
            </w:r>
          </w:p>
        </w:tc>
        <w:tc>
          <w:tcPr>
            <w:tcW w:w="860" w:type="dxa"/>
            <w:tcBorders>
              <w:right w:val="single" w:sz="4" w:space="0" w:color="auto"/>
            </w:tcBorders>
            <w:vAlign w:val="center"/>
          </w:tcPr>
          <w:p w14:paraId="12A1B128" w14:textId="77777777" w:rsidR="008276B9" w:rsidRPr="001C2C36" w:rsidRDefault="008276B9">
            <w:pPr>
              <w:pStyle w:val="NoSpacing"/>
              <w:jc w:val="center"/>
              <w:rPr>
                <w:rFonts w:cs="Times New Roman"/>
                <w:szCs w:val="24"/>
                <w:lang w:eastAsia="en-GB"/>
              </w:rPr>
            </w:pPr>
          </w:p>
        </w:tc>
        <w:tc>
          <w:tcPr>
            <w:tcW w:w="934" w:type="dxa"/>
            <w:vAlign w:val="center"/>
          </w:tcPr>
          <w:p w14:paraId="601618EE"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-2.08***</w:t>
            </w:r>
          </w:p>
          <w:p w14:paraId="4AC754A7"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(0.14)</w:t>
            </w:r>
          </w:p>
        </w:tc>
        <w:tc>
          <w:tcPr>
            <w:tcW w:w="934" w:type="dxa"/>
            <w:vAlign w:val="center"/>
          </w:tcPr>
          <w:p w14:paraId="5C075D9D"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-1.93*** (0.15)</w:t>
            </w:r>
          </w:p>
        </w:tc>
        <w:tc>
          <w:tcPr>
            <w:tcW w:w="934" w:type="dxa"/>
            <w:vAlign w:val="center"/>
          </w:tcPr>
          <w:p w14:paraId="219F2CCC"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-1.72*** (0.16)</w:t>
            </w:r>
          </w:p>
        </w:tc>
        <w:tc>
          <w:tcPr>
            <w:tcW w:w="859" w:type="dxa"/>
            <w:tcBorders>
              <w:right w:val="single" w:sz="4" w:space="0" w:color="auto"/>
            </w:tcBorders>
            <w:vAlign w:val="center"/>
          </w:tcPr>
          <w:p w14:paraId="72866300" w14:textId="77777777" w:rsidR="008276B9" w:rsidRPr="001C2C36" w:rsidRDefault="008276B9">
            <w:pPr>
              <w:pStyle w:val="NoSpacing"/>
              <w:jc w:val="center"/>
              <w:rPr>
                <w:rFonts w:cs="Times New Roman"/>
                <w:szCs w:val="24"/>
                <w:lang w:eastAsia="en-GB"/>
              </w:rPr>
            </w:pPr>
          </w:p>
        </w:tc>
      </w:tr>
      <w:tr w:rsidR="008276B9" w:rsidRPr="001C2C36" w14:paraId="45CB3CAA" w14:textId="77777777">
        <w:trPr>
          <w:trHeight w:val="244"/>
          <w:tblHeader/>
          <w:tblCellSpacing w:w="15" w:type="dxa"/>
          <w:jc w:val="center"/>
        </w:trPr>
        <w:tc>
          <w:tcPr>
            <w:tcW w:w="1840" w:type="dxa"/>
            <w:tcBorders>
              <w:left w:val="single" w:sz="4" w:space="0" w:color="auto"/>
            </w:tcBorders>
            <w:vAlign w:val="center"/>
          </w:tcPr>
          <w:p w14:paraId="5B4044E2" w14:textId="77777777" w:rsidR="008276B9" w:rsidRPr="001C2C36" w:rsidRDefault="008276B9">
            <w:pPr>
              <w:pStyle w:val="NoSpacing"/>
              <w:jc w:val="center"/>
              <w:rPr>
                <w:rFonts w:cs="Times New Roman"/>
                <w:szCs w:val="24"/>
                <w:lang w:eastAsia="en-GB"/>
              </w:rPr>
            </w:pPr>
            <w:r w:rsidRPr="001C2C36">
              <w:rPr>
                <w:rFonts w:eastAsia="Times New Roman" w:cs="Times New Roman"/>
                <w:szCs w:val="24"/>
                <w:lang w:eastAsia="en-GB"/>
              </w:rPr>
              <w:t xml:space="preserve">Stayed the </w:t>
            </w:r>
            <w:proofErr w:type="spellStart"/>
            <w:r w:rsidRPr="001C2C36">
              <w:rPr>
                <w:rFonts w:eastAsia="Times New Roman" w:cs="Times New Roman"/>
                <w:szCs w:val="24"/>
                <w:lang w:eastAsia="en-GB"/>
              </w:rPr>
              <w:t>same|Increased</w:t>
            </w:r>
            <w:proofErr w:type="spellEnd"/>
          </w:p>
        </w:tc>
        <w:tc>
          <w:tcPr>
            <w:tcW w:w="903" w:type="dxa"/>
            <w:tcBorders>
              <w:left w:val="single" w:sz="4" w:space="0" w:color="auto"/>
            </w:tcBorders>
            <w:vAlign w:val="center"/>
          </w:tcPr>
          <w:p w14:paraId="4B9F6DF7"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0.86*** (0.11)</w:t>
            </w:r>
          </w:p>
        </w:tc>
        <w:tc>
          <w:tcPr>
            <w:tcW w:w="933" w:type="dxa"/>
            <w:vAlign w:val="center"/>
          </w:tcPr>
          <w:p w14:paraId="3E4A6ABB"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1.07*** (0.11)</w:t>
            </w:r>
          </w:p>
        </w:tc>
        <w:tc>
          <w:tcPr>
            <w:tcW w:w="934" w:type="dxa"/>
            <w:vAlign w:val="center"/>
          </w:tcPr>
          <w:p w14:paraId="47ED6525"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1.06***</w:t>
            </w:r>
          </w:p>
          <w:p w14:paraId="794E14C7"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(0.13)</w:t>
            </w:r>
          </w:p>
        </w:tc>
        <w:tc>
          <w:tcPr>
            <w:tcW w:w="860" w:type="dxa"/>
            <w:tcBorders>
              <w:right w:val="single" w:sz="4" w:space="0" w:color="auto"/>
            </w:tcBorders>
            <w:vAlign w:val="center"/>
          </w:tcPr>
          <w:p w14:paraId="43801C6A" w14:textId="77777777" w:rsidR="008276B9" w:rsidRPr="001C2C36" w:rsidRDefault="008276B9">
            <w:pPr>
              <w:pStyle w:val="NoSpacing"/>
              <w:jc w:val="center"/>
              <w:rPr>
                <w:rFonts w:cs="Times New Roman"/>
                <w:szCs w:val="24"/>
                <w:lang w:eastAsia="en-GB"/>
              </w:rPr>
            </w:pPr>
          </w:p>
        </w:tc>
        <w:tc>
          <w:tcPr>
            <w:tcW w:w="934" w:type="dxa"/>
            <w:vAlign w:val="center"/>
          </w:tcPr>
          <w:p w14:paraId="24CEEDBE"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1.38***</w:t>
            </w:r>
          </w:p>
          <w:p w14:paraId="318366B2"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(0.13)</w:t>
            </w:r>
          </w:p>
        </w:tc>
        <w:tc>
          <w:tcPr>
            <w:tcW w:w="934" w:type="dxa"/>
            <w:vAlign w:val="center"/>
          </w:tcPr>
          <w:p w14:paraId="190777E2"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1.56*** (0.14)</w:t>
            </w:r>
          </w:p>
        </w:tc>
        <w:tc>
          <w:tcPr>
            <w:tcW w:w="934" w:type="dxa"/>
            <w:vAlign w:val="center"/>
          </w:tcPr>
          <w:p w14:paraId="4E8EDBF0" w14:textId="77777777" w:rsidR="008276B9" w:rsidRPr="001C2C36" w:rsidRDefault="008276B9">
            <w:pPr>
              <w:pStyle w:val="NoSpacing"/>
              <w:jc w:val="center"/>
              <w:rPr>
                <w:rFonts w:cs="Times New Roman"/>
                <w:szCs w:val="24"/>
                <w:lang w:eastAsia="en-GB"/>
              </w:rPr>
            </w:pPr>
            <w:r w:rsidRPr="001C2C36">
              <w:rPr>
                <w:rFonts w:cs="Times New Roman"/>
                <w:szCs w:val="24"/>
                <w:lang w:eastAsia="en-GB"/>
              </w:rPr>
              <w:t>1.8*** (0.16)</w:t>
            </w:r>
          </w:p>
        </w:tc>
        <w:tc>
          <w:tcPr>
            <w:tcW w:w="859" w:type="dxa"/>
            <w:tcBorders>
              <w:right w:val="single" w:sz="4" w:space="0" w:color="auto"/>
            </w:tcBorders>
            <w:vAlign w:val="center"/>
          </w:tcPr>
          <w:p w14:paraId="599860ED" w14:textId="77777777" w:rsidR="008276B9" w:rsidRPr="001C2C36" w:rsidRDefault="008276B9">
            <w:pPr>
              <w:pStyle w:val="NoSpacing"/>
              <w:jc w:val="center"/>
              <w:rPr>
                <w:rFonts w:cs="Times New Roman"/>
                <w:szCs w:val="24"/>
                <w:lang w:eastAsia="en-GB"/>
              </w:rPr>
            </w:pPr>
          </w:p>
        </w:tc>
      </w:tr>
      <w:tr w:rsidR="008276B9" w:rsidRPr="001C2C36" w14:paraId="4285562C" w14:textId="77777777">
        <w:trPr>
          <w:trHeight w:val="18"/>
          <w:tblHeader/>
          <w:tblCellSpacing w:w="15" w:type="dxa"/>
          <w:jc w:val="center"/>
        </w:trPr>
        <w:tc>
          <w:tcPr>
            <w:tcW w:w="9371" w:type="dxa"/>
            <w:gridSpan w:val="9"/>
            <w:tcBorders>
              <w:top w:val="single" w:sz="4" w:space="0" w:color="auto"/>
              <w:left w:val="single" w:sz="4" w:space="0" w:color="auto"/>
              <w:bottom w:val="single" w:sz="4" w:space="0" w:color="auto"/>
              <w:right w:val="single" w:sz="4" w:space="0" w:color="auto"/>
            </w:tcBorders>
            <w:vAlign w:val="center"/>
          </w:tcPr>
          <w:p w14:paraId="20E3140F" w14:textId="77777777" w:rsidR="008276B9" w:rsidRPr="001C2C36" w:rsidRDefault="008276B9">
            <w:pPr>
              <w:pStyle w:val="NoSpacing"/>
              <w:rPr>
                <w:rFonts w:cs="Times New Roman"/>
                <w:szCs w:val="24"/>
                <w:lang w:eastAsia="en-GB"/>
              </w:rPr>
            </w:pPr>
            <w:r w:rsidRPr="001C2C36">
              <w:rPr>
                <w:rFonts w:cs="Times New Roman"/>
                <w:b/>
                <w:bCs/>
                <w:szCs w:val="24"/>
                <w:lang w:eastAsia="en-GB"/>
              </w:rPr>
              <w:t>Tests</w:t>
            </w:r>
          </w:p>
        </w:tc>
      </w:tr>
      <w:tr w:rsidR="008276B9" w:rsidRPr="001C2C36" w14:paraId="7AC5C49A" w14:textId="77777777">
        <w:trPr>
          <w:trHeight w:val="283"/>
          <w:tblHeader/>
          <w:tblCellSpacing w:w="15" w:type="dxa"/>
          <w:jc w:val="center"/>
        </w:trPr>
        <w:tc>
          <w:tcPr>
            <w:tcW w:w="1840" w:type="dxa"/>
            <w:tcBorders>
              <w:left w:val="single" w:sz="4" w:space="0" w:color="auto"/>
            </w:tcBorders>
            <w:vAlign w:val="center"/>
          </w:tcPr>
          <w:p w14:paraId="10479DD8" w14:textId="77777777" w:rsidR="008276B9" w:rsidRPr="001C2C36" w:rsidRDefault="008276B9">
            <w:pPr>
              <w:pStyle w:val="NoSpacing"/>
              <w:jc w:val="center"/>
              <w:rPr>
                <w:rFonts w:cs="Times New Roman"/>
                <w:szCs w:val="24"/>
              </w:rPr>
            </w:pPr>
            <w:r w:rsidRPr="001C2C36">
              <w:rPr>
                <w:rFonts w:cs="Times New Roman"/>
                <w:szCs w:val="24"/>
              </w:rPr>
              <w:t>Residual Dev.</w:t>
            </w:r>
          </w:p>
        </w:tc>
        <w:tc>
          <w:tcPr>
            <w:tcW w:w="903" w:type="dxa"/>
            <w:tcBorders>
              <w:left w:val="single" w:sz="4" w:space="0" w:color="auto"/>
            </w:tcBorders>
            <w:vAlign w:val="center"/>
          </w:tcPr>
          <w:p w14:paraId="267F225D" w14:textId="77777777" w:rsidR="008276B9" w:rsidRPr="001C2C36" w:rsidRDefault="008276B9">
            <w:pPr>
              <w:pStyle w:val="NoSpacing"/>
              <w:jc w:val="center"/>
              <w:rPr>
                <w:rFonts w:cs="Times New Roman"/>
                <w:szCs w:val="24"/>
              </w:rPr>
            </w:pPr>
            <w:r w:rsidRPr="001C2C36">
              <w:rPr>
                <w:rFonts w:cs="Times New Roman"/>
                <w:szCs w:val="24"/>
              </w:rPr>
              <w:t>2891</w:t>
            </w:r>
          </w:p>
        </w:tc>
        <w:tc>
          <w:tcPr>
            <w:tcW w:w="933" w:type="dxa"/>
            <w:vAlign w:val="center"/>
          </w:tcPr>
          <w:p w14:paraId="76561AC8" w14:textId="77777777" w:rsidR="008276B9" w:rsidRPr="001C2C36" w:rsidRDefault="008276B9">
            <w:pPr>
              <w:pStyle w:val="NoSpacing"/>
              <w:jc w:val="center"/>
              <w:rPr>
                <w:rFonts w:cs="Times New Roman"/>
                <w:szCs w:val="24"/>
              </w:rPr>
            </w:pPr>
            <w:r w:rsidRPr="001C2C36">
              <w:rPr>
                <w:rFonts w:cs="Times New Roman"/>
                <w:szCs w:val="24"/>
              </w:rPr>
              <w:t>2856</w:t>
            </w:r>
          </w:p>
        </w:tc>
        <w:tc>
          <w:tcPr>
            <w:tcW w:w="934" w:type="dxa"/>
            <w:vAlign w:val="center"/>
          </w:tcPr>
          <w:p w14:paraId="604E520E" w14:textId="77777777" w:rsidR="008276B9" w:rsidRPr="001C2C36" w:rsidRDefault="008276B9">
            <w:pPr>
              <w:pStyle w:val="NoSpacing"/>
              <w:jc w:val="center"/>
              <w:rPr>
                <w:rFonts w:cs="Times New Roman"/>
                <w:szCs w:val="24"/>
              </w:rPr>
            </w:pPr>
            <w:r w:rsidRPr="001C2C36">
              <w:rPr>
                <w:rFonts w:cs="Times New Roman"/>
                <w:szCs w:val="24"/>
              </w:rPr>
              <w:t>2856</w:t>
            </w:r>
          </w:p>
        </w:tc>
        <w:tc>
          <w:tcPr>
            <w:tcW w:w="860" w:type="dxa"/>
            <w:tcBorders>
              <w:right w:val="single" w:sz="4" w:space="0" w:color="auto"/>
            </w:tcBorders>
            <w:vAlign w:val="center"/>
          </w:tcPr>
          <w:p w14:paraId="37AED667" w14:textId="77777777" w:rsidR="008276B9" w:rsidRPr="001C2C36" w:rsidRDefault="008276B9">
            <w:pPr>
              <w:pStyle w:val="NoSpacing"/>
              <w:jc w:val="center"/>
              <w:rPr>
                <w:rFonts w:cs="Times New Roman"/>
                <w:szCs w:val="24"/>
              </w:rPr>
            </w:pPr>
          </w:p>
        </w:tc>
        <w:tc>
          <w:tcPr>
            <w:tcW w:w="934" w:type="dxa"/>
            <w:vAlign w:val="center"/>
          </w:tcPr>
          <w:p w14:paraId="4963F5CC" w14:textId="77777777" w:rsidR="008276B9" w:rsidRPr="001C2C36" w:rsidRDefault="008276B9">
            <w:pPr>
              <w:pStyle w:val="NoSpacing"/>
              <w:jc w:val="center"/>
              <w:rPr>
                <w:rFonts w:cs="Times New Roman"/>
                <w:szCs w:val="24"/>
              </w:rPr>
            </w:pPr>
            <w:r w:rsidRPr="001C2C36">
              <w:rPr>
                <w:rFonts w:cs="Times New Roman"/>
                <w:szCs w:val="24"/>
              </w:rPr>
              <w:t>2144</w:t>
            </w:r>
          </w:p>
        </w:tc>
        <w:tc>
          <w:tcPr>
            <w:tcW w:w="934" w:type="dxa"/>
            <w:vAlign w:val="center"/>
          </w:tcPr>
          <w:p w14:paraId="1AD97EC9" w14:textId="77777777" w:rsidR="008276B9" w:rsidRPr="001C2C36" w:rsidRDefault="008276B9">
            <w:pPr>
              <w:pStyle w:val="NoSpacing"/>
              <w:jc w:val="center"/>
              <w:rPr>
                <w:rFonts w:cs="Times New Roman"/>
                <w:szCs w:val="24"/>
              </w:rPr>
            </w:pPr>
            <w:r w:rsidRPr="001C2C36">
              <w:rPr>
                <w:rFonts w:cs="Times New Roman"/>
                <w:szCs w:val="24"/>
              </w:rPr>
              <w:t>2128</w:t>
            </w:r>
          </w:p>
        </w:tc>
        <w:tc>
          <w:tcPr>
            <w:tcW w:w="934" w:type="dxa"/>
            <w:vAlign w:val="center"/>
          </w:tcPr>
          <w:p w14:paraId="24E1992C" w14:textId="77777777" w:rsidR="008276B9" w:rsidRPr="001C2C36" w:rsidRDefault="008276B9">
            <w:pPr>
              <w:pStyle w:val="NoSpacing"/>
              <w:jc w:val="center"/>
              <w:rPr>
                <w:rFonts w:cs="Times New Roman"/>
                <w:szCs w:val="24"/>
              </w:rPr>
            </w:pPr>
            <w:r w:rsidRPr="001C2C36">
              <w:rPr>
                <w:rFonts w:cs="Times New Roman"/>
                <w:szCs w:val="24"/>
              </w:rPr>
              <w:t>2117</w:t>
            </w:r>
          </w:p>
        </w:tc>
        <w:tc>
          <w:tcPr>
            <w:tcW w:w="859" w:type="dxa"/>
            <w:tcBorders>
              <w:right w:val="single" w:sz="4" w:space="0" w:color="auto"/>
            </w:tcBorders>
            <w:vAlign w:val="center"/>
          </w:tcPr>
          <w:p w14:paraId="7DBDF0A4" w14:textId="77777777" w:rsidR="008276B9" w:rsidRPr="001C2C36" w:rsidRDefault="008276B9">
            <w:pPr>
              <w:pStyle w:val="NoSpacing"/>
              <w:jc w:val="center"/>
              <w:rPr>
                <w:rFonts w:cs="Times New Roman"/>
                <w:szCs w:val="24"/>
              </w:rPr>
            </w:pPr>
          </w:p>
        </w:tc>
      </w:tr>
      <w:tr w:rsidR="008276B9" w:rsidRPr="001C2C36" w14:paraId="753084F9" w14:textId="77777777">
        <w:trPr>
          <w:trHeight w:val="283"/>
          <w:tblHeader/>
          <w:tblCellSpacing w:w="15" w:type="dxa"/>
          <w:jc w:val="center"/>
        </w:trPr>
        <w:tc>
          <w:tcPr>
            <w:tcW w:w="1840" w:type="dxa"/>
            <w:tcBorders>
              <w:left w:val="single" w:sz="4" w:space="0" w:color="auto"/>
              <w:bottom w:val="single" w:sz="4" w:space="0" w:color="auto"/>
            </w:tcBorders>
            <w:vAlign w:val="center"/>
          </w:tcPr>
          <w:p w14:paraId="1014400F" w14:textId="77777777" w:rsidR="008276B9" w:rsidRPr="001C2C36" w:rsidRDefault="008276B9">
            <w:pPr>
              <w:pStyle w:val="NoSpacing"/>
              <w:jc w:val="center"/>
              <w:rPr>
                <w:rFonts w:cs="Times New Roman"/>
                <w:szCs w:val="24"/>
              </w:rPr>
            </w:pPr>
            <w:r w:rsidRPr="001C2C36">
              <w:rPr>
                <w:rFonts w:cs="Times New Roman"/>
                <w:szCs w:val="24"/>
              </w:rPr>
              <w:t>AIC</w:t>
            </w:r>
          </w:p>
        </w:tc>
        <w:tc>
          <w:tcPr>
            <w:tcW w:w="903" w:type="dxa"/>
            <w:tcBorders>
              <w:left w:val="single" w:sz="4" w:space="0" w:color="auto"/>
              <w:bottom w:val="single" w:sz="4" w:space="0" w:color="auto"/>
            </w:tcBorders>
            <w:vAlign w:val="center"/>
          </w:tcPr>
          <w:p w14:paraId="73EA3984" w14:textId="77777777" w:rsidR="008276B9" w:rsidRPr="001C2C36" w:rsidRDefault="008276B9">
            <w:pPr>
              <w:pStyle w:val="NoSpacing"/>
              <w:jc w:val="center"/>
              <w:rPr>
                <w:rFonts w:cs="Times New Roman"/>
                <w:szCs w:val="24"/>
              </w:rPr>
            </w:pPr>
            <w:r w:rsidRPr="001C2C36">
              <w:rPr>
                <w:rFonts w:cs="Times New Roman"/>
                <w:szCs w:val="24"/>
              </w:rPr>
              <w:t>2903</w:t>
            </w:r>
          </w:p>
        </w:tc>
        <w:tc>
          <w:tcPr>
            <w:tcW w:w="933" w:type="dxa"/>
            <w:tcBorders>
              <w:bottom w:val="single" w:sz="4" w:space="0" w:color="auto"/>
            </w:tcBorders>
            <w:vAlign w:val="center"/>
          </w:tcPr>
          <w:p w14:paraId="7BAD7463" w14:textId="77777777" w:rsidR="008276B9" w:rsidRPr="001C2C36" w:rsidRDefault="008276B9">
            <w:pPr>
              <w:pStyle w:val="NoSpacing"/>
              <w:jc w:val="center"/>
              <w:rPr>
                <w:rFonts w:cs="Times New Roman"/>
                <w:szCs w:val="24"/>
              </w:rPr>
            </w:pPr>
            <w:r w:rsidRPr="001C2C36">
              <w:rPr>
                <w:rFonts w:cs="Times New Roman"/>
                <w:szCs w:val="24"/>
              </w:rPr>
              <w:t>2872</w:t>
            </w:r>
          </w:p>
        </w:tc>
        <w:tc>
          <w:tcPr>
            <w:tcW w:w="934" w:type="dxa"/>
            <w:tcBorders>
              <w:bottom w:val="single" w:sz="4" w:space="0" w:color="auto"/>
            </w:tcBorders>
            <w:vAlign w:val="center"/>
          </w:tcPr>
          <w:p w14:paraId="4856E87C" w14:textId="77777777" w:rsidR="008276B9" w:rsidRPr="001C2C36" w:rsidRDefault="008276B9">
            <w:pPr>
              <w:pStyle w:val="NoSpacing"/>
              <w:jc w:val="center"/>
              <w:rPr>
                <w:rFonts w:cs="Times New Roman"/>
                <w:szCs w:val="24"/>
              </w:rPr>
            </w:pPr>
            <w:r w:rsidRPr="001C2C36">
              <w:rPr>
                <w:rFonts w:cs="Times New Roman"/>
                <w:szCs w:val="24"/>
              </w:rPr>
              <w:t>2874</w:t>
            </w:r>
          </w:p>
        </w:tc>
        <w:tc>
          <w:tcPr>
            <w:tcW w:w="860" w:type="dxa"/>
            <w:tcBorders>
              <w:bottom w:val="single" w:sz="4" w:space="0" w:color="auto"/>
              <w:right w:val="single" w:sz="4" w:space="0" w:color="auto"/>
            </w:tcBorders>
            <w:vAlign w:val="center"/>
          </w:tcPr>
          <w:p w14:paraId="4921B3E3" w14:textId="77777777" w:rsidR="008276B9" w:rsidRPr="001C2C36" w:rsidRDefault="008276B9">
            <w:pPr>
              <w:pStyle w:val="NoSpacing"/>
              <w:jc w:val="center"/>
              <w:rPr>
                <w:rFonts w:cs="Times New Roman"/>
                <w:szCs w:val="24"/>
              </w:rPr>
            </w:pPr>
          </w:p>
        </w:tc>
        <w:tc>
          <w:tcPr>
            <w:tcW w:w="934" w:type="dxa"/>
            <w:tcBorders>
              <w:bottom w:val="single" w:sz="4" w:space="0" w:color="auto"/>
            </w:tcBorders>
            <w:vAlign w:val="center"/>
          </w:tcPr>
          <w:p w14:paraId="2CFEF950" w14:textId="77777777" w:rsidR="008276B9" w:rsidRPr="001C2C36" w:rsidRDefault="008276B9">
            <w:pPr>
              <w:pStyle w:val="NoSpacing"/>
              <w:jc w:val="center"/>
              <w:rPr>
                <w:rFonts w:cs="Times New Roman"/>
                <w:szCs w:val="24"/>
              </w:rPr>
            </w:pPr>
            <w:r w:rsidRPr="001C2C36">
              <w:rPr>
                <w:rFonts w:cs="Times New Roman"/>
                <w:szCs w:val="24"/>
              </w:rPr>
              <w:t>2156</w:t>
            </w:r>
          </w:p>
        </w:tc>
        <w:tc>
          <w:tcPr>
            <w:tcW w:w="934" w:type="dxa"/>
            <w:tcBorders>
              <w:bottom w:val="single" w:sz="4" w:space="0" w:color="auto"/>
            </w:tcBorders>
            <w:vAlign w:val="center"/>
          </w:tcPr>
          <w:p w14:paraId="4CAF307A" w14:textId="77777777" w:rsidR="008276B9" w:rsidRPr="001C2C36" w:rsidRDefault="008276B9">
            <w:pPr>
              <w:pStyle w:val="NoSpacing"/>
              <w:jc w:val="center"/>
              <w:rPr>
                <w:rFonts w:cs="Times New Roman"/>
                <w:szCs w:val="24"/>
              </w:rPr>
            </w:pPr>
            <w:r w:rsidRPr="001C2C36">
              <w:rPr>
                <w:rFonts w:cs="Times New Roman"/>
                <w:szCs w:val="24"/>
              </w:rPr>
              <w:t>2144</w:t>
            </w:r>
          </w:p>
        </w:tc>
        <w:tc>
          <w:tcPr>
            <w:tcW w:w="934" w:type="dxa"/>
            <w:tcBorders>
              <w:bottom w:val="single" w:sz="4" w:space="0" w:color="auto"/>
            </w:tcBorders>
            <w:vAlign w:val="center"/>
          </w:tcPr>
          <w:p w14:paraId="77E39DEC" w14:textId="77777777" w:rsidR="008276B9" w:rsidRPr="001C2C36" w:rsidRDefault="008276B9">
            <w:pPr>
              <w:pStyle w:val="NoSpacing"/>
              <w:jc w:val="center"/>
              <w:rPr>
                <w:rFonts w:cs="Times New Roman"/>
                <w:szCs w:val="24"/>
              </w:rPr>
            </w:pPr>
            <w:r w:rsidRPr="001C2C36">
              <w:rPr>
                <w:rFonts w:cs="Times New Roman"/>
                <w:szCs w:val="24"/>
              </w:rPr>
              <w:t>2135</w:t>
            </w:r>
          </w:p>
        </w:tc>
        <w:tc>
          <w:tcPr>
            <w:tcW w:w="859" w:type="dxa"/>
            <w:tcBorders>
              <w:bottom w:val="single" w:sz="4" w:space="0" w:color="auto"/>
              <w:right w:val="single" w:sz="4" w:space="0" w:color="auto"/>
            </w:tcBorders>
            <w:vAlign w:val="center"/>
          </w:tcPr>
          <w:p w14:paraId="722E4C42" w14:textId="77777777" w:rsidR="008276B9" w:rsidRPr="001C2C36" w:rsidRDefault="008276B9">
            <w:pPr>
              <w:pStyle w:val="NoSpacing"/>
              <w:jc w:val="center"/>
              <w:rPr>
                <w:rFonts w:cs="Times New Roman"/>
                <w:szCs w:val="24"/>
              </w:rPr>
            </w:pPr>
          </w:p>
        </w:tc>
      </w:tr>
    </w:tbl>
    <w:p w14:paraId="5904A0D7" w14:textId="1A484726" w:rsidR="008276B9" w:rsidRDefault="008276B9" w:rsidP="00130448">
      <w:pPr>
        <w:spacing w:line="240" w:lineRule="auto"/>
        <w:rPr>
          <w:rFonts w:cs="Times New Roman"/>
          <w:szCs w:val="24"/>
        </w:rPr>
      </w:pPr>
      <w:r w:rsidRPr="001C2C36">
        <w:rPr>
          <w:rFonts w:cs="Times New Roman"/>
          <w:szCs w:val="24"/>
        </w:rPr>
        <w:t>Note:</w:t>
      </w:r>
      <w:r w:rsidRPr="001C2C36">
        <w:rPr>
          <w:rFonts w:cs="Times New Roman"/>
          <w:szCs w:val="24"/>
        </w:rPr>
        <w:tab/>
        <w:t>*p&lt;0.1; **p&lt;0.05; ***p&lt;0.01. The measures are reported on the logistic scale. The odds of coefficients for models 3 and 6 are also provided to aid interpretability.</w:t>
      </w:r>
    </w:p>
    <w:p w14:paraId="23EF0BD5" w14:textId="77777777" w:rsidR="00130448" w:rsidRPr="001C2C36" w:rsidRDefault="00130448" w:rsidP="00130448">
      <w:pPr>
        <w:spacing w:line="240" w:lineRule="auto"/>
        <w:rPr>
          <w:rFonts w:cs="Times New Roman"/>
          <w:szCs w:val="24"/>
        </w:rPr>
      </w:pPr>
    </w:p>
    <w:p w14:paraId="56A977B6" w14:textId="113E01E4" w:rsidR="00E36B69" w:rsidRPr="001C2C36" w:rsidRDefault="00597A4C" w:rsidP="00597A4C">
      <w:pPr>
        <w:pStyle w:val="Heading2"/>
        <w:rPr>
          <w:rFonts w:ascii="Times New Roman" w:hAnsi="Times New Roman" w:cs="Times New Roman"/>
          <w:szCs w:val="24"/>
        </w:rPr>
      </w:pPr>
      <w:r w:rsidRPr="001C2C36">
        <w:rPr>
          <w:rFonts w:ascii="Times New Roman" w:hAnsi="Times New Roman" w:cs="Times New Roman"/>
          <w:szCs w:val="24"/>
        </w:rPr>
        <w:t>Test of hypotheses</w:t>
      </w:r>
    </w:p>
    <w:p w14:paraId="1A224AD9" w14:textId="6D1C4CD1" w:rsidR="00E37DB1" w:rsidRPr="001C2C36" w:rsidRDefault="009E0B4B" w:rsidP="0074156D">
      <w:pPr>
        <w:rPr>
          <w:rFonts w:cs="Times New Roman"/>
        </w:rPr>
      </w:pPr>
      <w:r w:rsidRPr="001C2C36">
        <w:rPr>
          <w:rFonts w:cs="Times New Roman"/>
        </w:rPr>
        <w:t xml:space="preserve">To formally test our hypotheses, we </w:t>
      </w:r>
      <w:r w:rsidR="00E9109D" w:rsidRPr="001C2C36">
        <w:rPr>
          <w:rFonts w:cs="Times New Roman"/>
        </w:rPr>
        <w:t>focus on the results from</w:t>
      </w:r>
      <w:r w:rsidR="004267B6" w:rsidRPr="001C2C36">
        <w:rPr>
          <w:rFonts w:cs="Times New Roman"/>
        </w:rPr>
        <w:t xml:space="preserve"> the full models (model</w:t>
      </w:r>
      <w:r w:rsidR="00E37DB1" w:rsidRPr="001C2C36">
        <w:rPr>
          <w:rFonts w:cs="Times New Roman"/>
        </w:rPr>
        <w:t>s</w:t>
      </w:r>
      <w:r w:rsidR="004267B6" w:rsidRPr="001C2C36">
        <w:rPr>
          <w:rFonts w:cs="Times New Roman"/>
        </w:rPr>
        <w:t xml:space="preserve"> 3 and 6), as </w:t>
      </w:r>
      <w:r w:rsidR="00E37DB1" w:rsidRPr="001C2C36">
        <w:rPr>
          <w:rFonts w:cs="Times New Roman"/>
        </w:rPr>
        <w:t>reported</w:t>
      </w:r>
      <w:r w:rsidR="004267B6" w:rsidRPr="001C2C36">
        <w:rPr>
          <w:rFonts w:cs="Times New Roman"/>
        </w:rPr>
        <w:t xml:space="preserve"> in </w:t>
      </w:r>
      <w:r w:rsidR="002F3566" w:rsidRPr="002F3566">
        <w:rPr>
          <w:rFonts w:cs="Times New Roman"/>
        </w:rPr>
        <w:t>Table 3</w:t>
      </w:r>
      <w:r w:rsidR="004267B6" w:rsidRPr="001C2C36">
        <w:rPr>
          <w:rFonts w:cs="Times New Roman"/>
        </w:rPr>
        <w:t xml:space="preserve">. </w:t>
      </w:r>
      <w:r w:rsidR="00050EFE" w:rsidRPr="001C2C36">
        <w:rPr>
          <w:rFonts w:cs="Times New Roman"/>
          <w:i/>
          <w:iCs/>
        </w:rPr>
        <w:t>Hypothesis 1</w:t>
      </w:r>
      <w:r w:rsidR="007E718A" w:rsidRPr="001C2C36">
        <w:rPr>
          <w:rFonts w:cs="Times New Roman"/>
        </w:rPr>
        <w:t xml:space="preserve"> </w:t>
      </w:r>
      <w:r w:rsidR="7AB986C3" w:rsidRPr="001C2C36">
        <w:rPr>
          <w:rFonts w:cs="Times New Roman"/>
        </w:rPr>
        <w:t>posits</w:t>
      </w:r>
      <w:r w:rsidR="0074156D" w:rsidRPr="001C2C36">
        <w:rPr>
          <w:rFonts w:cs="Times New Roman"/>
        </w:rPr>
        <w:t xml:space="preserve"> </w:t>
      </w:r>
      <w:r w:rsidR="007E718A" w:rsidRPr="001C2C36">
        <w:rPr>
          <w:rFonts w:cs="Times New Roman"/>
        </w:rPr>
        <w:t>a</w:t>
      </w:r>
      <w:r w:rsidR="006D1F2A" w:rsidRPr="001C2C36">
        <w:rPr>
          <w:rFonts w:cs="Times New Roman"/>
        </w:rPr>
        <w:t xml:space="preserve"> </w:t>
      </w:r>
      <w:r w:rsidR="007E718A" w:rsidRPr="001C2C36">
        <w:rPr>
          <w:rFonts w:cs="Times New Roman"/>
        </w:rPr>
        <w:t>significant</w:t>
      </w:r>
      <w:r w:rsidR="006D1F2A" w:rsidRPr="001C2C36">
        <w:rPr>
          <w:rFonts w:cs="Times New Roman"/>
        </w:rPr>
        <w:t xml:space="preserve"> </w:t>
      </w:r>
      <w:r w:rsidR="00496355" w:rsidRPr="001C2C36">
        <w:rPr>
          <w:rFonts w:cs="Times New Roman"/>
        </w:rPr>
        <w:t>positive</w:t>
      </w:r>
      <w:r w:rsidR="006D1F2A" w:rsidRPr="001C2C36">
        <w:rPr>
          <w:rFonts w:cs="Times New Roman"/>
        </w:rPr>
        <w:t xml:space="preserve"> </w:t>
      </w:r>
      <w:r w:rsidR="007E718A" w:rsidRPr="001C2C36">
        <w:rPr>
          <w:rFonts w:cs="Times New Roman"/>
        </w:rPr>
        <w:t>relationship between DCs and</w:t>
      </w:r>
      <w:r w:rsidR="006F4216" w:rsidRPr="001C2C36">
        <w:rPr>
          <w:rFonts w:cs="Times New Roman"/>
        </w:rPr>
        <w:t xml:space="preserve"> </w:t>
      </w:r>
      <w:r w:rsidR="006D1F2A" w:rsidRPr="001C2C36">
        <w:rPr>
          <w:rFonts w:cs="Times New Roman"/>
        </w:rPr>
        <w:t>employment changes</w:t>
      </w:r>
      <w:r w:rsidR="00E37DB1" w:rsidRPr="001C2C36">
        <w:rPr>
          <w:rFonts w:cs="Times New Roman"/>
        </w:rPr>
        <w:t xml:space="preserve"> after the initial stages of Covid-19</w:t>
      </w:r>
      <w:r w:rsidR="548EDAAD" w:rsidRPr="001C2C36">
        <w:rPr>
          <w:rFonts w:cs="Times New Roman"/>
        </w:rPr>
        <w:t xml:space="preserve"> directly after the first lockdown</w:t>
      </w:r>
      <w:r w:rsidR="136FD39B" w:rsidRPr="001C2C36">
        <w:rPr>
          <w:rFonts w:cs="Times New Roman"/>
        </w:rPr>
        <w:t>.</w:t>
      </w:r>
      <w:r w:rsidR="0073632F" w:rsidRPr="001C2C36">
        <w:rPr>
          <w:rFonts w:cs="Times New Roman"/>
        </w:rPr>
        <w:t xml:space="preserve"> During the early stages of Covid-19, the estimated DCs</w:t>
      </w:r>
      <w:r w:rsidR="00F67E39" w:rsidRPr="001C2C36">
        <w:rPr>
          <w:rFonts w:cs="Times New Roman"/>
        </w:rPr>
        <w:t>’</w:t>
      </w:r>
      <w:r w:rsidR="0073632F" w:rsidRPr="001C2C36">
        <w:rPr>
          <w:rFonts w:cs="Times New Roman"/>
        </w:rPr>
        <w:t xml:space="preserve"> coefficient is </w:t>
      </w:r>
      <w:r w:rsidR="000743A7" w:rsidRPr="001C2C36">
        <w:rPr>
          <w:rFonts w:cs="Times New Roman"/>
        </w:rPr>
        <w:t xml:space="preserve">very close to 0 and </w:t>
      </w:r>
      <w:r w:rsidR="0073632F" w:rsidRPr="001C2C36">
        <w:rPr>
          <w:rFonts w:cs="Times New Roman"/>
        </w:rPr>
        <w:t xml:space="preserve">insignificant </w:t>
      </w:r>
      <w:r w:rsidR="00011EF9" w:rsidRPr="001C2C36">
        <w:rPr>
          <w:rFonts w:cs="Times New Roman"/>
        </w:rPr>
        <w:t>(b</w:t>
      </w:r>
      <w:r w:rsidR="002B58B7" w:rsidRPr="001C2C36">
        <w:rPr>
          <w:rFonts w:cs="Times New Roman"/>
          <w:vertAlign w:val="subscript"/>
        </w:rPr>
        <w:t>3</w:t>
      </w:r>
      <w:r w:rsidR="00011EF9" w:rsidRPr="001C2C36">
        <w:rPr>
          <w:rFonts w:cs="Times New Roman"/>
        </w:rPr>
        <w:t xml:space="preserve"> = </w:t>
      </w:r>
      <w:r w:rsidR="0009564C" w:rsidRPr="001C2C36">
        <w:rPr>
          <w:rFonts w:cs="Times New Roman"/>
        </w:rPr>
        <w:t>0.01</w:t>
      </w:r>
      <w:r w:rsidR="00011EF9" w:rsidRPr="001C2C36">
        <w:rPr>
          <w:rFonts w:cs="Times New Roman"/>
        </w:rPr>
        <w:t>, p</w:t>
      </w:r>
      <w:r w:rsidR="00E37DB1" w:rsidRPr="001C2C36">
        <w:rPr>
          <w:rFonts w:cs="Times New Roman"/>
        </w:rPr>
        <w:t xml:space="preserve"> =</w:t>
      </w:r>
      <w:r w:rsidR="00011EF9" w:rsidRPr="001C2C36">
        <w:rPr>
          <w:rFonts w:cs="Times New Roman"/>
        </w:rPr>
        <w:t xml:space="preserve"> 0.</w:t>
      </w:r>
      <w:r w:rsidR="006E1184" w:rsidRPr="001C2C36">
        <w:rPr>
          <w:rFonts w:cs="Times New Roman"/>
        </w:rPr>
        <w:t>89</w:t>
      </w:r>
      <w:r w:rsidR="00011EF9" w:rsidRPr="001C2C36">
        <w:rPr>
          <w:rFonts w:cs="Times New Roman"/>
        </w:rPr>
        <w:t xml:space="preserve">; 95% CI = </w:t>
      </w:r>
      <w:r w:rsidR="00431DD9" w:rsidRPr="001C2C36">
        <w:rPr>
          <w:rFonts w:cs="Times New Roman"/>
        </w:rPr>
        <w:t>-</w:t>
      </w:r>
      <w:r w:rsidR="00011EF9" w:rsidRPr="001C2C36">
        <w:rPr>
          <w:rFonts w:cs="Times New Roman"/>
        </w:rPr>
        <w:t>0</w:t>
      </w:r>
      <w:r w:rsidR="003322FC" w:rsidRPr="001C2C36">
        <w:rPr>
          <w:rFonts w:cs="Times New Roman"/>
        </w:rPr>
        <w:t>.</w:t>
      </w:r>
      <w:r w:rsidR="00ED1102" w:rsidRPr="001C2C36">
        <w:rPr>
          <w:rFonts w:cs="Times New Roman"/>
        </w:rPr>
        <w:t>13</w:t>
      </w:r>
      <w:r w:rsidR="00011EF9" w:rsidRPr="001C2C36">
        <w:rPr>
          <w:rFonts w:cs="Times New Roman"/>
        </w:rPr>
        <w:t xml:space="preserve"> to 0.</w:t>
      </w:r>
      <w:r w:rsidR="00ED1102" w:rsidRPr="001C2C36">
        <w:rPr>
          <w:rFonts w:cs="Times New Roman"/>
        </w:rPr>
        <w:t>15</w:t>
      </w:r>
      <w:r w:rsidR="00011EF9" w:rsidRPr="001C2C36">
        <w:rPr>
          <w:rFonts w:cs="Times New Roman"/>
        </w:rPr>
        <w:t>)</w:t>
      </w:r>
      <w:r w:rsidR="00837A74" w:rsidRPr="001C2C36">
        <w:rPr>
          <w:rFonts w:cs="Times New Roman"/>
        </w:rPr>
        <w:t>,</w:t>
      </w:r>
      <w:r w:rsidR="00764F08" w:rsidRPr="001C2C36">
        <w:rPr>
          <w:rFonts w:cs="Times New Roman"/>
        </w:rPr>
        <w:t xml:space="preserve"> but </w:t>
      </w:r>
      <w:bookmarkStart w:id="2" w:name="_Hlk112065458"/>
      <w:r w:rsidR="737A3CB0" w:rsidRPr="001C2C36">
        <w:rPr>
          <w:rFonts w:cs="Times New Roman"/>
        </w:rPr>
        <w:t>the effect</w:t>
      </w:r>
      <w:r w:rsidR="006F4216" w:rsidRPr="001C2C36">
        <w:rPr>
          <w:rFonts w:cs="Times New Roman"/>
        </w:rPr>
        <w:t xml:space="preserve"> </w:t>
      </w:r>
      <w:r w:rsidR="00764F08" w:rsidRPr="001C2C36">
        <w:rPr>
          <w:rFonts w:cs="Times New Roman"/>
        </w:rPr>
        <w:t xml:space="preserve">becomes </w:t>
      </w:r>
      <w:r w:rsidR="009531FB" w:rsidRPr="001C2C36">
        <w:rPr>
          <w:rFonts w:cs="Times New Roman"/>
        </w:rPr>
        <w:t xml:space="preserve">positive </w:t>
      </w:r>
      <w:bookmarkEnd w:id="2"/>
      <w:r w:rsidR="009531FB" w:rsidRPr="001C2C36">
        <w:rPr>
          <w:rFonts w:cs="Times New Roman"/>
        </w:rPr>
        <w:t xml:space="preserve">and </w:t>
      </w:r>
      <w:r w:rsidR="001F5B95" w:rsidRPr="001C2C36">
        <w:rPr>
          <w:rFonts w:cs="Times New Roman"/>
        </w:rPr>
        <w:t xml:space="preserve">highly </w:t>
      </w:r>
      <w:r w:rsidR="009531FB" w:rsidRPr="001C2C36">
        <w:rPr>
          <w:rFonts w:cs="Times New Roman"/>
        </w:rPr>
        <w:t>statistically significant (b</w:t>
      </w:r>
      <w:r w:rsidR="00D61F9A" w:rsidRPr="001C2C36">
        <w:rPr>
          <w:rFonts w:cs="Times New Roman"/>
          <w:vertAlign w:val="subscript"/>
        </w:rPr>
        <w:t>6</w:t>
      </w:r>
      <w:r w:rsidR="009531FB" w:rsidRPr="001C2C36">
        <w:rPr>
          <w:rFonts w:cs="Times New Roman"/>
        </w:rPr>
        <w:t xml:space="preserve"> = </w:t>
      </w:r>
      <w:r w:rsidR="00816FC1" w:rsidRPr="001C2C36">
        <w:rPr>
          <w:rFonts w:cs="Times New Roman"/>
        </w:rPr>
        <w:t>0.</w:t>
      </w:r>
      <w:r w:rsidR="001549DE" w:rsidRPr="001C2C36">
        <w:rPr>
          <w:rFonts w:cs="Times New Roman"/>
        </w:rPr>
        <w:t>44</w:t>
      </w:r>
      <w:r w:rsidR="009531FB" w:rsidRPr="001C2C36">
        <w:rPr>
          <w:rFonts w:cs="Times New Roman"/>
        </w:rPr>
        <w:t xml:space="preserve">, p </w:t>
      </w:r>
      <w:r w:rsidR="00816FC1" w:rsidRPr="001C2C36">
        <w:rPr>
          <w:rFonts w:cs="Times New Roman"/>
        </w:rPr>
        <w:t>&lt;</w:t>
      </w:r>
      <w:r w:rsidR="00DE21A0" w:rsidRPr="001C2C36">
        <w:rPr>
          <w:rFonts w:cs="Times New Roman"/>
        </w:rPr>
        <w:t xml:space="preserve"> </w:t>
      </w:r>
      <w:r w:rsidR="00816FC1" w:rsidRPr="001C2C36">
        <w:rPr>
          <w:rFonts w:cs="Times New Roman"/>
        </w:rPr>
        <w:t>0.01</w:t>
      </w:r>
      <w:r w:rsidR="009531FB" w:rsidRPr="001C2C36">
        <w:rPr>
          <w:rFonts w:cs="Times New Roman"/>
        </w:rPr>
        <w:t xml:space="preserve">; 95% CI = </w:t>
      </w:r>
      <w:r w:rsidR="009140C7" w:rsidRPr="001C2C36">
        <w:rPr>
          <w:rFonts w:cs="Times New Roman"/>
        </w:rPr>
        <w:t>0.</w:t>
      </w:r>
      <w:r w:rsidR="00FB7CE9" w:rsidRPr="001C2C36">
        <w:rPr>
          <w:rFonts w:cs="Times New Roman"/>
        </w:rPr>
        <w:t>27</w:t>
      </w:r>
      <w:r w:rsidR="009140C7" w:rsidRPr="001C2C36">
        <w:rPr>
          <w:rFonts w:cs="Times New Roman"/>
        </w:rPr>
        <w:t xml:space="preserve"> to 0.</w:t>
      </w:r>
      <w:r w:rsidR="00FB7CE9" w:rsidRPr="001C2C36">
        <w:rPr>
          <w:rFonts w:cs="Times New Roman"/>
        </w:rPr>
        <w:t>62</w:t>
      </w:r>
      <w:r w:rsidR="5C8DF7FB" w:rsidRPr="001C2C36">
        <w:rPr>
          <w:rFonts w:cs="Times New Roman"/>
        </w:rPr>
        <w:t>)</w:t>
      </w:r>
      <w:r w:rsidR="606D1B11" w:rsidRPr="001C2C36">
        <w:rPr>
          <w:rFonts w:cs="Times New Roman"/>
        </w:rPr>
        <w:t xml:space="preserve"> when looking further into the future at </w:t>
      </w:r>
      <w:r w:rsidR="606D1B11" w:rsidRPr="001C2C36">
        <w:rPr>
          <w:rFonts w:cs="Times New Roman"/>
        </w:rPr>
        <w:lastRenderedPageBreak/>
        <w:t>expected employment growth.</w:t>
      </w:r>
      <w:r w:rsidR="006346F2" w:rsidRPr="001C2C36">
        <w:rPr>
          <w:rFonts w:cs="Times New Roman"/>
        </w:rPr>
        <w:t xml:space="preserve"> </w:t>
      </w:r>
      <w:r w:rsidR="2BB88B7E" w:rsidRPr="001C2C36">
        <w:rPr>
          <w:rFonts w:cs="Times New Roman"/>
        </w:rPr>
        <w:t>T</w:t>
      </w:r>
      <w:r w:rsidR="078AC6B8" w:rsidRPr="001C2C36">
        <w:rPr>
          <w:rFonts w:cs="Times New Roman"/>
        </w:rPr>
        <w:t>he</w:t>
      </w:r>
      <w:r w:rsidR="00AA76A1" w:rsidRPr="001C2C36">
        <w:rPr>
          <w:rFonts w:cs="Times New Roman"/>
        </w:rPr>
        <w:t xml:space="preserve"> odds of increasing or sustaining employment (versus decreasing)</w:t>
      </w:r>
      <w:r w:rsidR="00683234" w:rsidRPr="001C2C36">
        <w:rPr>
          <w:rFonts w:cs="Times New Roman"/>
        </w:rPr>
        <w:t xml:space="preserve"> in the future</w:t>
      </w:r>
      <w:r w:rsidR="00AA76A1" w:rsidRPr="001C2C36">
        <w:rPr>
          <w:rFonts w:cs="Times New Roman"/>
        </w:rPr>
        <w:t xml:space="preserve"> increase </w:t>
      </w:r>
      <w:r w:rsidR="4CEA4B07" w:rsidRPr="001C2C36">
        <w:rPr>
          <w:rFonts w:cs="Times New Roman"/>
        </w:rPr>
        <w:t xml:space="preserve">by </w:t>
      </w:r>
      <w:r w:rsidR="008A5AD2" w:rsidRPr="001C2C36">
        <w:rPr>
          <w:rFonts w:cs="Times New Roman"/>
        </w:rPr>
        <w:t>56</w:t>
      </w:r>
      <w:r w:rsidR="00AA76A1" w:rsidRPr="001C2C36">
        <w:rPr>
          <w:rFonts w:cs="Times New Roman"/>
        </w:rPr>
        <w:t xml:space="preserve">% </w:t>
      </w:r>
      <w:r w:rsidR="003D7F26" w:rsidRPr="001C2C36">
        <w:rPr>
          <w:rFonts w:cs="Times New Roman"/>
        </w:rPr>
        <w:t xml:space="preserve">with </w:t>
      </w:r>
      <w:r w:rsidR="00AF58AF" w:rsidRPr="001C2C36">
        <w:rPr>
          <w:rFonts w:cs="Times New Roman"/>
        </w:rPr>
        <w:t>each DC</w:t>
      </w:r>
      <w:r w:rsidR="00AA76A1" w:rsidRPr="001C2C36">
        <w:rPr>
          <w:rFonts w:cs="Times New Roman"/>
        </w:rPr>
        <w:t>, holding constant all other variables.</w:t>
      </w:r>
      <w:r w:rsidR="003059EC" w:rsidRPr="001C2C36">
        <w:rPr>
          <w:rFonts w:cs="Times New Roman"/>
        </w:rPr>
        <w:t xml:space="preserve"> </w:t>
      </w:r>
      <w:r w:rsidR="00480C82" w:rsidRPr="001C2C36">
        <w:rPr>
          <w:rFonts w:cs="Times New Roman"/>
        </w:rPr>
        <w:t>Our results</w:t>
      </w:r>
      <w:r w:rsidR="008A0DB4" w:rsidRPr="001C2C36">
        <w:rPr>
          <w:rFonts w:cs="Times New Roman"/>
        </w:rPr>
        <w:t>, therefore,</w:t>
      </w:r>
      <w:r w:rsidR="00894359" w:rsidRPr="001C2C36">
        <w:rPr>
          <w:rFonts w:cs="Times New Roman"/>
        </w:rPr>
        <w:t xml:space="preserve"> </w:t>
      </w:r>
      <w:r w:rsidR="000D5D50" w:rsidRPr="001C2C36">
        <w:rPr>
          <w:rFonts w:cs="Times New Roman"/>
        </w:rPr>
        <w:t xml:space="preserve">support </w:t>
      </w:r>
      <w:r w:rsidR="000D5D50" w:rsidRPr="001C2C36">
        <w:rPr>
          <w:rFonts w:cs="Times New Roman"/>
          <w:i/>
        </w:rPr>
        <w:t>Hypothes</w:t>
      </w:r>
      <w:r w:rsidR="007B16C3" w:rsidRPr="001C2C36">
        <w:rPr>
          <w:rFonts w:cs="Times New Roman"/>
          <w:i/>
        </w:rPr>
        <w:t>i</w:t>
      </w:r>
      <w:r w:rsidR="000D5D50" w:rsidRPr="001C2C36">
        <w:rPr>
          <w:rFonts w:cs="Times New Roman"/>
          <w:i/>
        </w:rPr>
        <w:t>s 1</w:t>
      </w:r>
      <w:r w:rsidR="00E37DB1" w:rsidRPr="001C2C36">
        <w:rPr>
          <w:rFonts w:cs="Times New Roman"/>
        </w:rPr>
        <w:t xml:space="preserve"> and point to the positive effect of DCs on employment growth</w:t>
      </w:r>
      <w:r w:rsidR="00C57B86">
        <w:rPr>
          <w:rFonts w:cs="Times New Roman"/>
        </w:rPr>
        <w:t xml:space="preserve"> aspirations</w:t>
      </w:r>
      <w:r w:rsidR="00E37DB1" w:rsidRPr="001C2C36">
        <w:rPr>
          <w:rFonts w:cs="Times New Roman"/>
        </w:rPr>
        <w:t xml:space="preserve">.  </w:t>
      </w:r>
    </w:p>
    <w:p w14:paraId="35025D57" w14:textId="0C7B69FA" w:rsidR="00E37DB1" w:rsidRPr="001C2C36" w:rsidRDefault="00AA7516">
      <w:pPr>
        <w:rPr>
          <w:rFonts w:cs="Times New Roman"/>
        </w:rPr>
      </w:pPr>
      <w:r w:rsidRPr="001C2C36">
        <w:rPr>
          <w:rFonts w:cs="Times New Roman"/>
          <w:i/>
        </w:rPr>
        <w:t>Hypotheses 2</w:t>
      </w:r>
      <w:r w:rsidR="00B20E24" w:rsidRPr="001C2C36">
        <w:rPr>
          <w:rFonts w:cs="Times New Roman"/>
        </w:rPr>
        <w:t xml:space="preserve"> </w:t>
      </w:r>
      <w:r w:rsidR="00E37DB1" w:rsidRPr="001C2C36">
        <w:rPr>
          <w:rFonts w:cs="Times New Roman"/>
        </w:rPr>
        <w:t>focus</w:t>
      </w:r>
      <w:r w:rsidR="55C22040" w:rsidRPr="001C2C36">
        <w:rPr>
          <w:rFonts w:cs="Times New Roman"/>
        </w:rPr>
        <w:t>es</w:t>
      </w:r>
      <w:r w:rsidR="00E37DB1" w:rsidRPr="001C2C36">
        <w:rPr>
          <w:rFonts w:cs="Times New Roman"/>
        </w:rPr>
        <w:t xml:space="preserve"> on the effectiveness of</w:t>
      </w:r>
      <w:r w:rsidRPr="001C2C36">
        <w:rPr>
          <w:rFonts w:cs="Times New Roman"/>
        </w:rPr>
        <w:t xml:space="preserve"> government </w:t>
      </w:r>
      <w:r w:rsidR="00517B99" w:rsidRPr="001C2C36">
        <w:rPr>
          <w:rFonts w:cs="Times New Roman"/>
        </w:rPr>
        <w:t>assistance</w:t>
      </w:r>
      <w:r w:rsidRPr="001C2C36">
        <w:rPr>
          <w:rFonts w:cs="Times New Roman"/>
        </w:rPr>
        <w:t>.</w:t>
      </w:r>
      <w:r w:rsidR="005D680E" w:rsidRPr="001C2C36">
        <w:rPr>
          <w:rFonts w:cs="Times New Roman"/>
        </w:rPr>
        <w:t xml:space="preserve"> </w:t>
      </w:r>
      <w:r w:rsidR="001D59D4" w:rsidRPr="001C2C36">
        <w:rPr>
          <w:rFonts w:cs="Times New Roman"/>
        </w:rPr>
        <w:t xml:space="preserve">Specifically, </w:t>
      </w:r>
      <w:r w:rsidR="00E37DB1" w:rsidRPr="001C2C36">
        <w:rPr>
          <w:rFonts w:cs="Times New Roman"/>
        </w:rPr>
        <w:t>we</w:t>
      </w:r>
      <w:r w:rsidR="001D59D4" w:rsidRPr="001C2C36">
        <w:rPr>
          <w:rFonts w:cs="Times New Roman"/>
        </w:rPr>
        <w:t xml:space="preserve"> posit that acquiring government assistance </w:t>
      </w:r>
      <w:r w:rsidR="00897125" w:rsidRPr="001C2C36">
        <w:rPr>
          <w:rFonts w:cs="Times New Roman"/>
        </w:rPr>
        <w:t xml:space="preserve">positively contributes to SME </w:t>
      </w:r>
      <w:r w:rsidR="00E37DB1" w:rsidRPr="001C2C36">
        <w:rPr>
          <w:rFonts w:cs="Times New Roman"/>
        </w:rPr>
        <w:t>employment during the early stages of the Covid-19 pandemic</w:t>
      </w:r>
      <w:r w:rsidR="0E251262" w:rsidRPr="001C2C36">
        <w:rPr>
          <w:rFonts w:cs="Times New Roman"/>
        </w:rPr>
        <w:t xml:space="preserve"> following the first lockdown</w:t>
      </w:r>
      <w:r w:rsidR="638F28B8" w:rsidRPr="001C2C36">
        <w:rPr>
          <w:rFonts w:cs="Times New Roman"/>
        </w:rPr>
        <w:t>.</w:t>
      </w:r>
      <w:r w:rsidR="00E37DB1" w:rsidRPr="001C2C36">
        <w:rPr>
          <w:rFonts w:cs="Times New Roman"/>
        </w:rPr>
        <w:t xml:space="preserve"> In support of </w:t>
      </w:r>
      <w:r w:rsidR="00E37DB1" w:rsidRPr="001C2C36">
        <w:rPr>
          <w:rFonts w:cs="Times New Roman"/>
          <w:i/>
        </w:rPr>
        <w:t>Hypothesis 2</w:t>
      </w:r>
      <w:r w:rsidR="00E37DB1" w:rsidRPr="001C2C36">
        <w:rPr>
          <w:rFonts w:cs="Times New Roman"/>
        </w:rPr>
        <w:t>, the coefficient of the government support is highly significant and positive (b</w:t>
      </w:r>
      <w:r w:rsidR="00E37DB1" w:rsidRPr="001C2C36">
        <w:rPr>
          <w:rFonts w:cs="Times New Roman"/>
          <w:vertAlign w:val="subscript"/>
        </w:rPr>
        <w:t>3</w:t>
      </w:r>
      <w:r w:rsidR="00E37DB1" w:rsidRPr="001C2C36">
        <w:rPr>
          <w:rFonts w:cs="Times New Roman"/>
        </w:rPr>
        <w:t xml:space="preserve"> = 0.</w:t>
      </w:r>
      <w:r w:rsidR="00B105AD" w:rsidRPr="001C2C36">
        <w:rPr>
          <w:rFonts w:cs="Times New Roman"/>
        </w:rPr>
        <w:t>32</w:t>
      </w:r>
      <w:r w:rsidR="00E37DB1" w:rsidRPr="001C2C36">
        <w:rPr>
          <w:rFonts w:cs="Times New Roman"/>
        </w:rPr>
        <w:t>, p &lt; 0.01; 95% CI = 0.1</w:t>
      </w:r>
      <w:r w:rsidR="00B105AD" w:rsidRPr="001C2C36">
        <w:rPr>
          <w:rFonts w:cs="Times New Roman"/>
        </w:rPr>
        <w:t>6</w:t>
      </w:r>
      <w:r w:rsidR="00E37DB1" w:rsidRPr="001C2C36">
        <w:rPr>
          <w:rFonts w:cs="Times New Roman"/>
        </w:rPr>
        <w:t xml:space="preserve"> to 0.</w:t>
      </w:r>
      <w:r w:rsidR="00534AF5" w:rsidRPr="001C2C36">
        <w:rPr>
          <w:rFonts w:cs="Times New Roman"/>
        </w:rPr>
        <w:t>48</w:t>
      </w:r>
      <w:r w:rsidR="00E37DB1" w:rsidRPr="001C2C36">
        <w:rPr>
          <w:rFonts w:cs="Times New Roman"/>
        </w:rPr>
        <w:t xml:space="preserve">), suggesting that the odds of increasing or sustaining employment (versus decreasing) increase </w:t>
      </w:r>
      <w:r w:rsidR="00D22422" w:rsidRPr="001C2C36">
        <w:rPr>
          <w:rFonts w:cs="Times New Roman"/>
        </w:rPr>
        <w:t>3</w:t>
      </w:r>
      <w:r w:rsidR="00E37DB1" w:rsidRPr="001C2C36">
        <w:rPr>
          <w:rFonts w:cs="Times New Roman"/>
        </w:rPr>
        <w:t xml:space="preserve">7% with each Covid-19-related scheme that SMEs receive funds from, holding constant all other variables. </w:t>
      </w:r>
      <w:r w:rsidR="00DF6C3A" w:rsidRPr="001C2C36">
        <w:rPr>
          <w:rFonts w:cs="Times New Roman"/>
        </w:rPr>
        <w:t>It is also worth noting that s</w:t>
      </w:r>
      <w:r w:rsidR="00E37DB1" w:rsidRPr="001C2C36">
        <w:rPr>
          <w:rFonts w:cs="Times New Roman"/>
        </w:rPr>
        <w:t>imilar</w:t>
      </w:r>
      <w:r w:rsidR="00AF240D" w:rsidRPr="001C2C36">
        <w:rPr>
          <w:rFonts w:cs="Times New Roman"/>
        </w:rPr>
        <w:t>,</w:t>
      </w:r>
      <w:r w:rsidR="00EA3DD2" w:rsidRPr="001C2C36">
        <w:rPr>
          <w:rFonts w:cs="Times New Roman"/>
        </w:rPr>
        <w:t xml:space="preserve"> only slightly less uniform</w:t>
      </w:r>
      <w:r w:rsidR="009448B6" w:rsidRPr="001C2C36">
        <w:rPr>
          <w:rFonts w:cs="Times New Roman"/>
        </w:rPr>
        <w:t>,</w:t>
      </w:r>
      <w:r w:rsidR="006C0C81" w:rsidRPr="001C2C36">
        <w:rPr>
          <w:rFonts w:cs="Times New Roman"/>
        </w:rPr>
        <w:t xml:space="preserve"> as indicated by the wider confidence interval,</w:t>
      </w:r>
      <w:r w:rsidR="00335FD6" w:rsidRPr="001C2C36">
        <w:rPr>
          <w:rFonts w:cs="Times New Roman"/>
        </w:rPr>
        <w:t xml:space="preserve"> </w:t>
      </w:r>
      <w:r w:rsidR="00E37DB1" w:rsidRPr="001C2C36">
        <w:rPr>
          <w:rFonts w:cs="Times New Roman"/>
        </w:rPr>
        <w:t>relationships are sustained after the early stages of the Covid-19 pandemic (b</w:t>
      </w:r>
      <w:r w:rsidR="00E37DB1" w:rsidRPr="001C2C36">
        <w:rPr>
          <w:rFonts w:cs="Times New Roman"/>
          <w:vertAlign w:val="subscript"/>
        </w:rPr>
        <w:t>6</w:t>
      </w:r>
      <w:r w:rsidR="00E37DB1" w:rsidRPr="001C2C36">
        <w:rPr>
          <w:rFonts w:cs="Times New Roman"/>
        </w:rPr>
        <w:t xml:space="preserve"> = 0.</w:t>
      </w:r>
      <w:r w:rsidR="006C0C81" w:rsidRPr="001C2C36">
        <w:rPr>
          <w:rFonts w:cs="Times New Roman"/>
        </w:rPr>
        <w:t>2</w:t>
      </w:r>
      <w:r w:rsidR="00E37DB1" w:rsidRPr="001C2C36">
        <w:rPr>
          <w:rFonts w:cs="Times New Roman"/>
        </w:rPr>
        <w:t>, p &lt; 0.0</w:t>
      </w:r>
      <w:r w:rsidR="006C0C81" w:rsidRPr="001C2C36">
        <w:rPr>
          <w:rFonts w:cs="Times New Roman"/>
        </w:rPr>
        <w:t>5</w:t>
      </w:r>
      <w:r w:rsidR="00E37DB1" w:rsidRPr="001C2C36">
        <w:rPr>
          <w:rFonts w:cs="Times New Roman"/>
        </w:rPr>
        <w:t>; 95% CI = 0.09 to 0.</w:t>
      </w:r>
      <w:r w:rsidR="006C0C81" w:rsidRPr="001C2C36">
        <w:rPr>
          <w:rFonts w:cs="Times New Roman"/>
        </w:rPr>
        <w:t>39</w:t>
      </w:r>
      <w:r w:rsidR="00E37DB1" w:rsidRPr="001C2C36">
        <w:rPr>
          <w:rFonts w:cs="Times New Roman"/>
        </w:rPr>
        <w:t>).</w:t>
      </w:r>
    </w:p>
    <w:p w14:paraId="07F74BD1" w14:textId="4837EB25" w:rsidR="00AE7543" w:rsidRPr="001C2C36" w:rsidRDefault="00E37DB1" w:rsidP="00E37DB1">
      <w:pPr>
        <w:rPr>
          <w:rFonts w:cs="Times New Roman"/>
          <w:szCs w:val="24"/>
        </w:rPr>
      </w:pPr>
      <w:r w:rsidRPr="001C2C36">
        <w:rPr>
          <w:rFonts w:cs="Times New Roman"/>
          <w:szCs w:val="24"/>
        </w:rPr>
        <w:t>Finally, t</w:t>
      </w:r>
      <w:r w:rsidR="005D680E" w:rsidRPr="001C2C36">
        <w:rPr>
          <w:rFonts w:cs="Times New Roman"/>
          <w:szCs w:val="24"/>
        </w:rPr>
        <w:t xml:space="preserve">o test </w:t>
      </w:r>
      <w:r w:rsidRPr="001C2C36">
        <w:rPr>
          <w:rFonts w:cs="Times New Roman"/>
          <w:i/>
          <w:iCs/>
          <w:szCs w:val="24"/>
        </w:rPr>
        <w:t>H</w:t>
      </w:r>
      <w:r w:rsidR="005D680E" w:rsidRPr="001C2C36">
        <w:rPr>
          <w:rFonts w:cs="Times New Roman"/>
          <w:i/>
          <w:iCs/>
          <w:szCs w:val="24"/>
        </w:rPr>
        <w:t>ypothes</w:t>
      </w:r>
      <w:r w:rsidRPr="001C2C36">
        <w:rPr>
          <w:rFonts w:cs="Times New Roman"/>
          <w:i/>
          <w:iCs/>
          <w:szCs w:val="24"/>
        </w:rPr>
        <w:t>i</w:t>
      </w:r>
      <w:r w:rsidR="005D680E" w:rsidRPr="001C2C36">
        <w:rPr>
          <w:rFonts w:cs="Times New Roman"/>
          <w:i/>
          <w:iCs/>
          <w:szCs w:val="24"/>
        </w:rPr>
        <w:t>s</w:t>
      </w:r>
      <w:r w:rsidRPr="001C2C36">
        <w:rPr>
          <w:rFonts w:cs="Times New Roman"/>
          <w:i/>
          <w:iCs/>
          <w:szCs w:val="24"/>
        </w:rPr>
        <w:t xml:space="preserve"> 3</w:t>
      </w:r>
      <w:r w:rsidRPr="001C2C36">
        <w:rPr>
          <w:rFonts w:cs="Times New Roman"/>
          <w:szCs w:val="24"/>
        </w:rPr>
        <w:t>, which posits moderating effect</w:t>
      </w:r>
      <w:r w:rsidR="005D680E" w:rsidRPr="001C2C36">
        <w:rPr>
          <w:rFonts w:cs="Times New Roman"/>
          <w:szCs w:val="24"/>
        </w:rPr>
        <w:t xml:space="preserve">, we estimate the </w:t>
      </w:r>
      <w:r w:rsidRPr="001C2C36">
        <w:rPr>
          <w:rFonts w:cs="Times New Roman"/>
          <w:szCs w:val="24"/>
        </w:rPr>
        <w:t>interaction term coefficient</w:t>
      </w:r>
      <w:r w:rsidR="00927B72" w:rsidRPr="001C2C36">
        <w:rPr>
          <w:rFonts w:cs="Times New Roman"/>
          <w:szCs w:val="24"/>
        </w:rPr>
        <w:t xml:space="preserve"> between the</w:t>
      </w:r>
      <w:r w:rsidR="005D680E" w:rsidRPr="001C2C36">
        <w:rPr>
          <w:rFonts w:cs="Times New Roman"/>
          <w:szCs w:val="24"/>
        </w:rPr>
        <w:t xml:space="preserve"> </w:t>
      </w:r>
      <w:r w:rsidR="008F0DFA" w:rsidRPr="001C2C36">
        <w:rPr>
          <w:rFonts w:cs="Times New Roman"/>
          <w:szCs w:val="24"/>
        </w:rPr>
        <w:t>number</w:t>
      </w:r>
      <w:r w:rsidR="008A1EC5" w:rsidRPr="001C2C36">
        <w:rPr>
          <w:rFonts w:cs="Times New Roman"/>
          <w:szCs w:val="24"/>
        </w:rPr>
        <w:t xml:space="preserve"> of government support programmes </w:t>
      </w:r>
      <w:r w:rsidR="00927B72" w:rsidRPr="001C2C36">
        <w:rPr>
          <w:rFonts w:cs="Times New Roman"/>
          <w:szCs w:val="24"/>
        </w:rPr>
        <w:t xml:space="preserve">and </w:t>
      </w:r>
      <w:r w:rsidR="0068290B" w:rsidRPr="001C2C36">
        <w:rPr>
          <w:rFonts w:cs="Times New Roman"/>
          <w:szCs w:val="24"/>
        </w:rPr>
        <w:t>DC</w:t>
      </w:r>
      <w:r w:rsidR="00262AC2" w:rsidRPr="001C2C36">
        <w:rPr>
          <w:rFonts w:cs="Times New Roman"/>
          <w:szCs w:val="24"/>
        </w:rPr>
        <w:t>s</w:t>
      </w:r>
      <w:r w:rsidR="0068290B" w:rsidRPr="001C2C36">
        <w:rPr>
          <w:rFonts w:cs="Times New Roman"/>
          <w:szCs w:val="24"/>
        </w:rPr>
        <w:t xml:space="preserve">. </w:t>
      </w:r>
      <w:r w:rsidR="00327C6C" w:rsidRPr="001C2C36">
        <w:rPr>
          <w:rFonts w:cs="Times New Roman"/>
          <w:szCs w:val="24"/>
        </w:rPr>
        <w:t xml:space="preserve">In support of </w:t>
      </w:r>
      <w:r w:rsidRPr="001C2C36">
        <w:rPr>
          <w:rFonts w:cs="Times New Roman"/>
          <w:i/>
          <w:iCs/>
          <w:szCs w:val="24"/>
        </w:rPr>
        <w:t>Hypothesis 3</w:t>
      </w:r>
      <w:r w:rsidR="00327C6C" w:rsidRPr="001C2C36">
        <w:rPr>
          <w:rFonts w:cs="Times New Roman"/>
          <w:szCs w:val="24"/>
        </w:rPr>
        <w:t>, we</w:t>
      </w:r>
      <w:r w:rsidRPr="001C2C36">
        <w:rPr>
          <w:rFonts w:cs="Times New Roman"/>
          <w:szCs w:val="24"/>
        </w:rPr>
        <w:t xml:space="preserve"> find</w:t>
      </w:r>
      <w:r w:rsidR="00327C6C" w:rsidRPr="001C2C36">
        <w:rPr>
          <w:rFonts w:cs="Times New Roman"/>
          <w:szCs w:val="24"/>
        </w:rPr>
        <w:t xml:space="preserve"> </w:t>
      </w:r>
      <w:r w:rsidR="003227A5" w:rsidRPr="001C2C36">
        <w:rPr>
          <w:rFonts w:cs="Times New Roman"/>
          <w:szCs w:val="24"/>
        </w:rPr>
        <w:t xml:space="preserve">a </w:t>
      </w:r>
      <w:r w:rsidR="00D57117" w:rsidRPr="001C2C36">
        <w:rPr>
          <w:rFonts w:cs="Times New Roman"/>
          <w:szCs w:val="24"/>
        </w:rPr>
        <w:t xml:space="preserve">negatively significant </w:t>
      </w:r>
      <w:r w:rsidR="001628C9" w:rsidRPr="001C2C36">
        <w:rPr>
          <w:rFonts w:cs="Times New Roman"/>
          <w:szCs w:val="24"/>
        </w:rPr>
        <w:t xml:space="preserve">coefficient </w:t>
      </w:r>
      <w:r w:rsidR="00B95222" w:rsidRPr="001C2C36">
        <w:rPr>
          <w:rFonts w:cs="Times New Roman"/>
          <w:szCs w:val="24"/>
        </w:rPr>
        <w:t>of -0.17 (p&lt;0.01, 95% CI = -0.27 to -0.07)</w:t>
      </w:r>
      <w:r w:rsidR="001628C9" w:rsidRPr="001C2C36">
        <w:rPr>
          <w:rFonts w:cs="Times New Roman"/>
          <w:szCs w:val="24"/>
        </w:rPr>
        <w:t xml:space="preserve"> </w:t>
      </w:r>
      <w:r w:rsidR="002E5A0A" w:rsidRPr="001C2C36">
        <w:rPr>
          <w:rFonts w:cs="Times New Roman"/>
          <w:szCs w:val="24"/>
        </w:rPr>
        <w:t>with a dependent variable of</w:t>
      </w:r>
      <w:r w:rsidR="001628C9" w:rsidRPr="001C2C36">
        <w:rPr>
          <w:rFonts w:cs="Times New Roman"/>
          <w:szCs w:val="24"/>
        </w:rPr>
        <w:t xml:space="preserve"> </w:t>
      </w:r>
      <w:r w:rsidR="00E615D6" w:rsidRPr="001C2C36">
        <w:rPr>
          <w:rFonts w:cs="Times New Roman"/>
          <w:szCs w:val="24"/>
        </w:rPr>
        <w:t xml:space="preserve">future </w:t>
      </w:r>
      <w:r w:rsidR="001628C9" w:rsidRPr="001C2C36">
        <w:rPr>
          <w:rFonts w:cs="Times New Roman"/>
          <w:szCs w:val="24"/>
        </w:rPr>
        <w:t xml:space="preserve">employment </w:t>
      </w:r>
      <w:r w:rsidR="00E615D6" w:rsidRPr="001C2C36">
        <w:rPr>
          <w:rFonts w:cs="Times New Roman"/>
          <w:szCs w:val="24"/>
        </w:rPr>
        <w:t>growth aspirations</w:t>
      </w:r>
      <w:r w:rsidR="00562B8B" w:rsidRPr="001C2C36">
        <w:rPr>
          <w:rFonts w:cs="Times New Roman"/>
          <w:szCs w:val="24"/>
        </w:rPr>
        <w:t>.</w:t>
      </w:r>
      <w:r w:rsidR="00E615D6" w:rsidRPr="001C2C36">
        <w:rPr>
          <w:rFonts w:cs="Times New Roman"/>
          <w:szCs w:val="24"/>
        </w:rPr>
        <w:t xml:space="preserve"> </w:t>
      </w:r>
    </w:p>
    <w:p w14:paraId="327AA8FA" w14:textId="0DF0D241" w:rsidR="00125C33" w:rsidRPr="001C2C36" w:rsidRDefault="00125C33" w:rsidP="00125C33">
      <w:pPr>
        <w:pStyle w:val="Heading2"/>
        <w:rPr>
          <w:rFonts w:ascii="Times New Roman" w:hAnsi="Times New Roman" w:cs="Times New Roman"/>
          <w:szCs w:val="24"/>
        </w:rPr>
      </w:pPr>
      <w:r w:rsidRPr="001C2C36">
        <w:rPr>
          <w:rFonts w:ascii="Times New Roman" w:hAnsi="Times New Roman" w:cs="Times New Roman"/>
          <w:szCs w:val="24"/>
        </w:rPr>
        <w:t>Sensitivity checks</w:t>
      </w:r>
    </w:p>
    <w:p w14:paraId="5BFD32B9" w14:textId="65B16715" w:rsidR="00BC4982" w:rsidRPr="001C2C36" w:rsidRDefault="00CA5E9C" w:rsidP="00154E4B">
      <w:pPr>
        <w:rPr>
          <w:rFonts w:cs="Times New Roman"/>
          <w:szCs w:val="24"/>
        </w:rPr>
      </w:pPr>
      <w:r w:rsidRPr="001C2C36">
        <w:rPr>
          <w:rFonts w:cs="Times New Roman"/>
          <w:szCs w:val="24"/>
        </w:rPr>
        <w:t xml:space="preserve">We </w:t>
      </w:r>
      <w:r w:rsidR="008843E3" w:rsidRPr="001C2C36">
        <w:rPr>
          <w:rFonts w:cs="Times New Roman"/>
          <w:szCs w:val="24"/>
        </w:rPr>
        <w:t xml:space="preserve">conduct sensitivity checks </w:t>
      </w:r>
      <w:r w:rsidR="00051BF2" w:rsidRPr="001C2C36">
        <w:rPr>
          <w:rFonts w:cs="Times New Roman"/>
          <w:szCs w:val="24"/>
        </w:rPr>
        <w:t>and</w:t>
      </w:r>
      <w:r w:rsidR="008843E3" w:rsidRPr="001C2C36">
        <w:rPr>
          <w:rFonts w:cs="Times New Roman"/>
          <w:szCs w:val="24"/>
        </w:rPr>
        <w:t xml:space="preserve"> confirm that these relationships hold</w:t>
      </w:r>
      <w:r w:rsidR="00051BF2" w:rsidRPr="001C2C36">
        <w:rPr>
          <w:rFonts w:cs="Times New Roman"/>
          <w:szCs w:val="24"/>
        </w:rPr>
        <w:t xml:space="preserve"> to a large extent </w:t>
      </w:r>
      <w:r w:rsidR="00D57D65" w:rsidRPr="001C2C36">
        <w:rPr>
          <w:rFonts w:cs="Times New Roman"/>
          <w:szCs w:val="24"/>
        </w:rPr>
        <w:t>also for other Covid-19 periods</w:t>
      </w:r>
      <w:r w:rsidR="008843E3" w:rsidRPr="001C2C36">
        <w:rPr>
          <w:rFonts w:cs="Times New Roman"/>
          <w:szCs w:val="24"/>
        </w:rPr>
        <w:t xml:space="preserve">. </w:t>
      </w:r>
      <w:r w:rsidR="006B0D6D" w:rsidRPr="001C2C36">
        <w:rPr>
          <w:rFonts w:cs="Times New Roman"/>
          <w:szCs w:val="24"/>
        </w:rPr>
        <w:t xml:space="preserve">In </w:t>
      </w:r>
      <w:r w:rsidR="006B0D6D" w:rsidRPr="001C2C36">
        <w:rPr>
          <w:rFonts w:cs="Times New Roman"/>
          <w:szCs w:val="24"/>
        </w:rPr>
        <w:fldChar w:fldCharType="begin"/>
      </w:r>
      <w:r w:rsidR="006B0D6D" w:rsidRPr="001C2C36">
        <w:rPr>
          <w:rFonts w:cs="Times New Roman"/>
          <w:szCs w:val="24"/>
        </w:rPr>
        <w:instrText xml:space="preserve"> REF _Ref126241632 \h </w:instrText>
      </w:r>
      <w:r w:rsidR="00CB77A8" w:rsidRPr="001C2C36">
        <w:rPr>
          <w:rFonts w:cs="Times New Roman"/>
          <w:szCs w:val="24"/>
        </w:rPr>
        <w:instrText xml:space="preserve"> \* MERGEFORMAT </w:instrText>
      </w:r>
      <w:r w:rsidR="006B0D6D" w:rsidRPr="001C2C36">
        <w:rPr>
          <w:rFonts w:cs="Times New Roman"/>
          <w:szCs w:val="24"/>
        </w:rPr>
      </w:r>
      <w:r w:rsidR="006B0D6D" w:rsidRPr="001C2C36">
        <w:rPr>
          <w:rFonts w:cs="Times New Roman"/>
          <w:szCs w:val="24"/>
        </w:rPr>
        <w:fldChar w:fldCharType="separate"/>
      </w:r>
      <w:r w:rsidR="006B0D6D" w:rsidRPr="001C2C36">
        <w:rPr>
          <w:rFonts w:cs="Times New Roman"/>
          <w:szCs w:val="24"/>
        </w:rPr>
        <w:t xml:space="preserve">Table </w:t>
      </w:r>
      <w:r w:rsidR="006B0D6D" w:rsidRPr="001C2C36">
        <w:rPr>
          <w:rFonts w:cs="Times New Roman"/>
          <w:noProof/>
          <w:szCs w:val="24"/>
        </w:rPr>
        <w:t>5</w:t>
      </w:r>
      <w:r w:rsidR="006B0D6D" w:rsidRPr="001C2C36">
        <w:rPr>
          <w:rFonts w:cs="Times New Roman"/>
          <w:szCs w:val="24"/>
        </w:rPr>
        <w:fldChar w:fldCharType="end"/>
      </w:r>
      <w:r w:rsidR="006B0D6D" w:rsidRPr="001C2C36">
        <w:rPr>
          <w:rFonts w:cs="Times New Roman"/>
          <w:szCs w:val="24"/>
        </w:rPr>
        <w:t xml:space="preserve"> (Appendix 2), w</w:t>
      </w:r>
      <w:r w:rsidR="008843E3" w:rsidRPr="001C2C36">
        <w:rPr>
          <w:rFonts w:cs="Times New Roman"/>
          <w:szCs w:val="24"/>
        </w:rPr>
        <w:t xml:space="preserve">e start </w:t>
      </w:r>
      <w:r w:rsidR="00BA4362" w:rsidRPr="001C2C36">
        <w:rPr>
          <w:rFonts w:cs="Times New Roman"/>
          <w:szCs w:val="24"/>
        </w:rPr>
        <w:t xml:space="preserve">by extending the collection period to </w:t>
      </w:r>
      <w:r w:rsidR="00DA2094" w:rsidRPr="001C2C36">
        <w:rPr>
          <w:rFonts w:cs="Times New Roman"/>
          <w:szCs w:val="24"/>
        </w:rPr>
        <w:t>include the</w:t>
      </w:r>
      <w:r w:rsidR="0043769E" w:rsidRPr="001C2C36">
        <w:rPr>
          <w:rFonts w:cs="Times New Roman"/>
          <w:szCs w:val="24"/>
        </w:rPr>
        <w:t xml:space="preserve"> second lockdown</w:t>
      </w:r>
      <w:r w:rsidR="006B0D6D" w:rsidRPr="001C2C36">
        <w:rPr>
          <w:rFonts w:cs="Times New Roman"/>
          <w:szCs w:val="24"/>
        </w:rPr>
        <w:t xml:space="preserve"> with models </w:t>
      </w:r>
      <w:r w:rsidR="00664218" w:rsidRPr="001C2C36">
        <w:rPr>
          <w:rFonts w:cs="Times New Roman"/>
          <w:szCs w:val="24"/>
        </w:rPr>
        <w:t>7 and 9</w:t>
      </w:r>
      <w:r w:rsidR="00AD538B" w:rsidRPr="001C2C36">
        <w:rPr>
          <w:rFonts w:cs="Times New Roman"/>
          <w:szCs w:val="24"/>
        </w:rPr>
        <w:t xml:space="preserve">. </w:t>
      </w:r>
      <w:r w:rsidR="00154E4B" w:rsidRPr="001C2C36">
        <w:rPr>
          <w:rFonts w:cs="Times New Roman"/>
          <w:szCs w:val="24"/>
        </w:rPr>
        <w:t xml:space="preserve">The estimated DCs coefficient for </w:t>
      </w:r>
      <w:r w:rsidR="004A0001" w:rsidRPr="001C2C36">
        <w:rPr>
          <w:rFonts w:cs="Times New Roman"/>
          <w:szCs w:val="24"/>
        </w:rPr>
        <w:t xml:space="preserve">future </w:t>
      </w:r>
      <w:r w:rsidR="00154E4B" w:rsidRPr="001C2C36">
        <w:rPr>
          <w:rFonts w:cs="Times New Roman"/>
          <w:szCs w:val="24"/>
        </w:rPr>
        <w:t xml:space="preserve">employment </w:t>
      </w:r>
      <w:r w:rsidR="004A0001" w:rsidRPr="001C2C36">
        <w:rPr>
          <w:rFonts w:cs="Times New Roman"/>
          <w:szCs w:val="24"/>
        </w:rPr>
        <w:t>growth</w:t>
      </w:r>
      <w:r w:rsidR="001B1F42" w:rsidRPr="001C2C36">
        <w:rPr>
          <w:rFonts w:cs="Times New Roman"/>
          <w:szCs w:val="24"/>
        </w:rPr>
        <w:t xml:space="preserve"> aspirations</w:t>
      </w:r>
      <w:r w:rsidR="00154E4B" w:rsidRPr="001C2C36">
        <w:rPr>
          <w:rFonts w:cs="Times New Roman"/>
          <w:szCs w:val="24"/>
        </w:rPr>
        <w:t xml:space="preserve"> is slightly lower but still positive and statistically significant</w:t>
      </w:r>
      <w:r w:rsidR="00AD538B" w:rsidRPr="001C2C36">
        <w:rPr>
          <w:rFonts w:cs="Times New Roman"/>
          <w:szCs w:val="24"/>
        </w:rPr>
        <w:t xml:space="preserve"> (b</w:t>
      </w:r>
      <w:r w:rsidR="000A6587" w:rsidRPr="001C2C36">
        <w:rPr>
          <w:rFonts w:cs="Times New Roman"/>
          <w:szCs w:val="24"/>
          <w:vertAlign w:val="subscript"/>
        </w:rPr>
        <w:t>9</w:t>
      </w:r>
      <w:r w:rsidR="00AD538B" w:rsidRPr="001C2C36">
        <w:rPr>
          <w:rFonts w:cs="Times New Roman"/>
          <w:szCs w:val="24"/>
        </w:rPr>
        <w:t xml:space="preserve"> = </w:t>
      </w:r>
      <w:r w:rsidR="00154E4B" w:rsidRPr="001C2C36">
        <w:rPr>
          <w:rFonts w:cs="Times New Roman"/>
          <w:szCs w:val="24"/>
        </w:rPr>
        <w:t>0.3</w:t>
      </w:r>
      <w:r w:rsidR="00AD538B" w:rsidRPr="001C2C36">
        <w:rPr>
          <w:rFonts w:cs="Times New Roman"/>
          <w:szCs w:val="24"/>
        </w:rPr>
        <w:t xml:space="preserve">, p </w:t>
      </w:r>
      <w:r w:rsidR="00154E4B" w:rsidRPr="001C2C36">
        <w:rPr>
          <w:rFonts w:cs="Times New Roman"/>
          <w:szCs w:val="24"/>
        </w:rPr>
        <w:t>&lt;</w:t>
      </w:r>
      <w:r w:rsidR="00AD538B" w:rsidRPr="001C2C36">
        <w:rPr>
          <w:rFonts w:cs="Times New Roman"/>
          <w:szCs w:val="24"/>
        </w:rPr>
        <w:t>0.0</w:t>
      </w:r>
      <w:r w:rsidR="00154E4B" w:rsidRPr="001C2C36">
        <w:rPr>
          <w:rFonts w:cs="Times New Roman"/>
          <w:szCs w:val="24"/>
        </w:rPr>
        <w:t>1</w:t>
      </w:r>
      <w:r w:rsidR="00AD538B" w:rsidRPr="001C2C36">
        <w:rPr>
          <w:rFonts w:cs="Times New Roman"/>
          <w:szCs w:val="24"/>
        </w:rPr>
        <w:t>; 95% CI = -0.</w:t>
      </w:r>
      <w:r w:rsidR="00145F08" w:rsidRPr="001C2C36">
        <w:rPr>
          <w:rFonts w:cs="Times New Roman"/>
          <w:szCs w:val="24"/>
        </w:rPr>
        <w:t>2</w:t>
      </w:r>
      <w:r w:rsidR="00AD538B" w:rsidRPr="001C2C36">
        <w:rPr>
          <w:rFonts w:cs="Times New Roman"/>
          <w:szCs w:val="24"/>
        </w:rPr>
        <w:t xml:space="preserve"> to 0.</w:t>
      </w:r>
      <w:r w:rsidR="00145F08" w:rsidRPr="001C2C36">
        <w:rPr>
          <w:rFonts w:cs="Times New Roman"/>
          <w:szCs w:val="24"/>
        </w:rPr>
        <w:t>39</w:t>
      </w:r>
      <w:r w:rsidR="00AD538B" w:rsidRPr="001C2C36">
        <w:rPr>
          <w:rFonts w:cs="Times New Roman"/>
          <w:szCs w:val="24"/>
        </w:rPr>
        <w:t xml:space="preserve">), supporting </w:t>
      </w:r>
      <w:r w:rsidR="00AD538B" w:rsidRPr="001C2C36">
        <w:rPr>
          <w:rFonts w:cs="Times New Roman"/>
          <w:i/>
          <w:iCs/>
          <w:szCs w:val="24"/>
        </w:rPr>
        <w:t>Hypothesis 1</w:t>
      </w:r>
      <w:r w:rsidR="00154E4B" w:rsidRPr="001C2C36">
        <w:rPr>
          <w:rFonts w:cs="Times New Roman"/>
          <w:i/>
          <w:iCs/>
          <w:szCs w:val="24"/>
        </w:rPr>
        <w:t xml:space="preserve">. </w:t>
      </w:r>
      <w:r w:rsidR="00154E4B" w:rsidRPr="001C2C36">
        <w:rPr>
          <w:rFonts w:cs="Times New Roman"/>
          <w:szCs w:val="24"/>
        </w:rPr>
        <w:t xml:space="preserve">In support of </w:t>
      </w:r>
      <w:r w:rsidR="00154E4B" w:rsidRPr="001C2C36">
        <w:rPr>
          <w:rFonts w:cs="Times New Roman"/>
          <w:i/>
          <w:iCs/>
          <w:szCs w:val="24"/>
        </w:rPr>
        <w:t>Hypotheses 2 and 3</w:t>
      </w:r>
      <w:r w:rsidR="00154E4B" w:rsidRPr="001C2C36">
        <w:rPr>
          <w:rFonts w:cs="Times New Roman"/>
          <w:szCs w:val="24"/>
        </w:rPr>
        <w:t xml:space="preserve">, we also find a significant positive coefficient for government support </w:t>
      </w:r>
      <w:r w:rsidR="00740AD1" w:rsidRPr="001C2C36">
        <w:rPr>
          <w:rFonts w:cs="Times New Roman"/>
          <w:szCs w:val="24"/>
        </w:rPr>
        <w:t>after</w:t>
      </w:r>
      <w:r w:rsidR="00154E4B" w:rsidRPr="001C2C36">
        <w:rPr>
          <w:rFonts w:cs="Times New Roman"/>
          <w:szCs w:val="24"/>
        </w:rPr>
        <w:t xml:space="preserve"> the </w:t>
      </w:r>
      <w:r w:rsidR="00740AD1" w:rsidRPr="001C2C36">
        <w:rPr>
          <w:rFonts w:cs="Times New Roman"/>
          <w:szCs w:val="24"/>
        </w:rPr>
        <w:t>second</w:t>
      </w:r>
      <w:r w:rsidR="00154E4B" w:rsidRPr="001C2C36">
        <w:rPr>
          <w:rFonts w:cs="Times New Roman"/>
          <w:szCs w:val="24"/>
        </w:rPr>
        <w:t xml:space="preserve"> Covid-19</w:t>
      </w:r>
      <w:r w:rsidR="00740AD1" w:rsidRPr="001C2C36">
        <w:rPr>
          <w:rFonts w:cs="Times New Roman"/>
          <w:szCs w:val="24"/>
        </w:rPr>
        <w:t xml:space="preserve"> lockdown</w:t>
      </w:r>
      <w:r w:rsidR="00154E4B" w:rsidRPr="001C2C36">
        <w:rPr>
          <w:rFonts w:cs="Times New Roman"/>
          <w:szCs w:val="24"/>
        </w:rPr>
        <w:t xml:space="preserve"> (b</w:t>
      </w:r>
      <w:r w:rsidR="00950E71" w:rsidRPr="001C2C36">
        <w:rPr>
          <w:rFonts w:cs="Times New Roman"/>
          <w:szCs w:val="24"/>
          <w:vertAlign w:val="subscript"/>
        </w:rPr>
        <w:t>7</w:t>
      </w:r>
      <w:r w:rsidR="00154E4B" w:rsidRPr="001C2C36">
        <w:rPr>
          <w:rFonts w:cs="Times New Roman"/>
          <w:szCs w:val="24"/>
        </w:rPr>
        <w:t xml:space="preserve"> = </w:t>
      </w:r>
      <w:r w:rsidR="00925030" w:rsidRPr="001C2C36">
        <w:rPr>
          <w:rFonts w:cs="Times New Roman"/>
          <w:szCs w:val="24"/>
        </w:rPr>
        <w:t>0.30</w:t>
      </w:r>
      <w:r w:rsidR="00154E4B" w:rsidRPr="001C2C36">
        <w:rPr>
          <w:rFonts w:cs="Times New Roman"/>
          <w:szCs w:val="24"/>
        </w:rPr>
        <w:t>, p &lt; 0.01; 95% CI = 0.</w:t>
      </w:r>
      <w:r w:rsidR="002B302F" w:rsidRPr="001C2C36">
        <w:rPr>
          <w:rFonts w:cs="Times New Roman"/>
          <w:szCs w:val="24"/>
        </w:rPr>
        <w:t>2</w:t>
      </w:r>
      <w:r w:rsidR="00F4004D" w:rsidRPr="001C2C36">
        <w:rPr>
          <w:rFonts w:cs="Times New Roman"/>
          <w:szCs w:val="24"/>
        </w:rPr>
        <w:t>1</w:t>
      </w:r>
      <w:r w:rsidR="00154E4B" w:rsidRPr="001C2C36">
        <w:rPr>
          <w:rFonts w:cs="Times New Roman"/>
          <w:szCs w:val="24"/>
        </w:rPr>
        <w:t xml:space="preserve"> to 0.</w:t>
      </w:r>
      <w:r w:rsidR="005751E2" w:rsidRPr="001C2C36">
        <w:rPr>
          <w:rFonts w:cs="Times New Roman"/>
          <w:szCs w:val="24"/>
        </w:rPr>
        <w:t>39</w:t>
      </w:r>
      <w:r w:rsidR="00154E4B" w:rsidRPr="001C2C36">
        <w:rPr>
          <w:rFonts w:cs="Times New Roman"/>
          <w:szCs w:val="24"/>
        </w:rPr>
        <w:t xml:space="preserve">) and a negatively significant coefficient for moderating interaction </w:t>
      </w:r>
      <w:r w:rsidR="00313D8D" w:rsidRPr="001C2C36">
        <w:rPr>
          <w:rFonts w:cs="Times New Roman"/>
          <w:szCs w:val="24"/>
        </w:rPr>
        <w:t>for future employment growth</w:t>
      </w:r>
      <w:r w:rsidR="00154E4B" w:rsidRPr="001C2C36">
        <w:rPr>
          <w:rFonts w:cs="Times New Roman"/>
          <w:szCs w:val="24"/>
        </w:rPr>
        <w:t xml:space="preserve"> (b</w:t>
      </w:r>
      <w:r w:rsidR="00617BC7" w:rsidRPr="001C2C36">
        <w:rPr>
          <w:rFonts w:cs="Times New Roman"/>
          <w:szCs w:val="24"/>
          <w:vertAlign w:val="subscript"/>
        </w:rPr>
        <w:t>9</w:t>
      </w:r>
      <w:r w:rsidR="00154E4B" w:rsidRPr="001C2C36">
        <w:rPr>
          <w:rFonts w:cs="Times New Roman"/>
          <w:szCs w:val="24"/>
        </w:rPr>
        <w:t>=-0.</w:t>
      </w:r>
      <w:r w:rsidR="00F071EF" w:rsidRPr="001C2C36">
        <w:rPr>
          <w:rFonts w:cs="Times New Roman"/>
          <w:szCs w:val="24"/>
        </w:rPr>
        <w:t>11</w:t>
      </w:r>
      <w:r w:rsidR="00154E4B" w:rsidRPr="001C2C36">
        <w:rPr>
          <w:rFonts w:cs="Times New Roman"/>
          <w:szCs w:val="24"/>
        </w:rPr>
        <w:t>, p&lt;0.01, 95% CI = -0.</w:t>
      </w:r>
      <w:r w:rsidR="002278DD" w:rsidRPr="001C2C36">
        <w:rPr>
          <w:rFonts w:cs="Times New Roman"/>
          <w:szCs w:val="24"/>
        </w:rPr>
        <w:t>17</w:t>
      </w:r>
      <w:r w:rsidR="00154E4B" w:rsidRPr="001C2C36">
        <w:rPr>
          <w:rFonts w:cs="Times New Roman"/>
          <w:szCs w:val="24"/>
        </w:rPr>
        <w:t xml:space="preserve"> to -0.0</w:t>
      </w:r>
      <w:r w:rsidR="002278DD" w:rsidRPr="001C2C36">
        <w:rPr>
          <w:rFonts w:cs="Times New Roman"/>
          <w:szCs w:val="24"/>
        </w:rPr>
        <w:t>5</w:t>
      </w:r>
      <w:r w:rsidR="00154E4B" w:rsidRPr="001C2C36">
        <w:rPr>
          <w:rFonts w:cs="Times New Roman"/>
          <w:szCs w:val="24"/>
        </w:rPr>
        <w:t>).</w:t>
      </w:r>
      <w:r w:rsidR="007F16F1" w:rsidRPr="001C2C36">
        <w:rPr>
          <w:rFonts w:cs="Times New Roman"/>
          <w:szCs w:val="24"/>
        </w:rPr>
        <w:t xml:space="preserve"> Similar trends are observed once we extend</w:t>
      </w:r>
      <w:r w:rsidR="00617BC7" w:rsidRPr="001C2C36">
        <w:rPr>
          <w:rFonts w:cs="Times New Roman"/>
          <w:szCs w:val="24"/>
        </w:rPr>
        <w:t xml:space="preserve"> the collection to March 2021</w:t>
      </w:r>
      <w:r w:rsidR="00664218" w:rsidRPr="001C2C36">
        <w:rPr>
          <w:rFonts w:cs="Times New Roman"/>
          <w:szCs w:val="24"/>
        </w:rPr>
        <w:t xml:space="preserve"> (models 8 and 10 in </w:t>
      </w:r>
      <w:r w:rsidR="00664218" w:rsidRPr="001C2C36">
        <w:rPr>
          <w:rFonts w:cs="Times New Roman"/>
          <w:szCs w:val="24"/>
        </w:rPr>
        <w:fldChar w:fldCharType="begin"/>
      </w:r>
      <w:r w:rsidR="00664218" w:rsidRPr="001C2C36">
        <w:rPr>
          <w:rFonts w:cs="Times New Roman"/>
          <w:szCs w:val="24"/>
        </w:rPr>
        <w:instrText xml:space="preserve"> REF _Ref126241632 \h </w:instrText>
      </w:r>
      <w:r w:rsidR="00125C33" w:rsidRPr="001C2C36">
        <w:rPr>
          <w:rFonts w:cs="Times New Roman"/>
          <w:szCs w:val="24"/>
        </w:rPr>
        <w:instrText xml:space="preserve"> \* MERGEFORMAT </w:instrText>
      </w:r>
      <w:r w:rsidR="00664218" w:rsidRPr="001C2C36">
        <w:rPr>
          <w:rFonts w:cs="Times New Roman"/>
          <w:szCs w:val="24"/>
        </w:rPr>
      </w:r>
      <w:r w:rsidR="00664218" w:rsidRPr="001C2C36">
        <w:rPr>
          <w:rFonts w:cs="Times New Roman"/>
          <w:szCs w:val="24"/>
        </w:rPr>
        <w:fldChar w:fldCharType="separate"/>
      </w:r>
      <w:r w:rsidR="00664218" w:rsidRPr="001C2C36">
        <w:rPr>
          <w:rFonts w:cs="Times New Roman"/>
          <w:szCs w:val="24"/>
        </w:rPr>
        <w:t>Table 5</w:t>
      </w:r>
      <w:r w:rsidR="00664218" w:rsidRPr="001C2C36">
        <w:rPr>
          <w:rFonts w:cs="Times New Roman"/>
          <w:szCs w:val="24"/>
        </w:rPr>
        <w:fldChar w:fldCharType="end"/>
      </w:r>
      <w:r w:rsidR="00664218" w:rsidRPr="001C2C36">
        <w:rPr>
          <w:rFonts w:cs="Times New Roman"/>
          <w:szCs w:val="24"/>
        </w:rPr>
        <w:t>, Appendix 2)</w:t>
      </w:r>
      <w:r w:rsidR="00950E71" w:rsidRPr="001C2C36">
        <w:rPr>
          <w:rFonts w:cs="Times New Roman"/>
          <w:szCs w:val="24"/>
        </w:rPr>
        <w:t xml:space="preserve">, </w:t>
      </w:r>
      <w:r w:rsidR="00617BC7" w:rsidRPr="001C2C36">
        <w:rPr>
          <w:rFonts w:cs="Times New Roman"/>
          <w:szCs w:val="24"/>
        </w:rPr>
        <w:t>captur</w:t>
      </w:r>
      <w:r w:rsidR="00950E71" w:rsidRPr="001C2C36">
        <w:rPr>
          <w:rFonts w:cs="Times New Roman"/>
          <w:szCs w:val="24"/>
        </w:rPr>
        <w:t>ing</w:t>
      </w:r>
      <w:r w:rsidR="00617BC7" w:rsidRPr="001C2C36">
        <w:rPr>
          <w:rFonts w:cs="Times New Roman"/>
          <w:szCs w:val="24"/>
        </w:rPr>
        <w:t xml:space="preserve"> </w:t>
      </w:r>
      <w:r w:rsidR="000C2905" w:rsidRPr="001C2C36">
        <w:rPr>
          <w:rFonts w:cs="Times New Roman"/>
          <w:szCs w:val="24"/>
        </w:rPr>
        <w:t xml:space="preserve">most of the </w:t>
      </w:r>
      <w:r w:rsidR="005D6F93" w:rsidRPr="001C2C36">
        <w:rPr>
          <w:rFonts w:cs="Times New Roman"/>
          <w:szCs w:val="24"/>
        </w:rPr>
        <w:t xml:space="preserve">restrictions </w:t>
      </w:r>
      <w:r w:rsidR="0043769E" w:rsidRPr="001C2C36">
        <w:rPr>
          <w:rFonts w:cs="Times New Roman"/>
          <w:szCs w:val="24"/>
        </w:rPr>
        <w:t>associated with Covid-19</w:t>
      </w:r>
      <w:r w:rsidR="00617BC7" w:rsidRPr="001C2C36">
        <w:rPr>
          <w:rFonts w:cs="Times New Roman"/>
          <w:szCs w:val="24"/>
        </w:rPr>
        <w:t xml:space="preserve">. </w:t>
      </w:r>
      <w:r w:rsidR="00BC4982" w:rsidRPr="001C2C36">
        <w:rPr>
          <w:rFonts w:cs="Times New Roman"/>
          <w:i/>
          <w:iCs/>
          <w:szCs w:val="24"/>
        </w:rPr>
        <w:t xml:space="preserve">Hypotheses 1, 2 </w:t>
      </w:r>
      <w:r w:rsidR="00BC4982" w:rsidRPr="001C2C36">
        <w:rPr>
          <w:rFonts w:cs="Times New Roman"/>
          <w:szCs w:val="24"/>
        </w:rPr>
        <w:t>and</w:t>
      </w:r>
      <w:r w:rsidR="00BC4982" w:rsidRPr="001C2C36">
        <w:rPr>
          <w:rFonts w:cs="Times New Roman"/>
          <w:i/>
          <w:iCs/>
          <w:szCs w:val="24"/>
        </w:rPr>
        <w:t xml:space="preserve"> 3 </w:t>
      </w:r>
      <w:r w:rsidR="00BC4982" w:rsidRPr="001C2C36">
        <w:rPr>
          <w:rFonts w:cs="Times New Roman"/>
          <w:szCs w:val="24"/>
        </w:rPr>
        <w:t xml:space="preserve">are supported with </w:t>
      </w:r>
      <w:r w:rsidR="000F02C5" w:rsidRPr="001C2C36">
        <w:rPr>
          <w:rFonts w:cs="Times New Roman"/>
          <w:szCs w:val="24"/>
        </w:rPr>
        <w:t>b</w:t>
      </w:r>
      <w:r w:rsidR="00E45A00" w:rsidRPr="001C2C36">
        <w:rPr>
          <w:rFonts w:cs="Times New Roman"/>
          <w:szCs w:val="24"/>
          <w:vertAlign w:val="subscript"/>
        </w:rPr>
        <w:t>10</w:t>
      </w:r>
      <w:r w:rsidR="000F02C5" w:rsidRPr="001C2C36">
        <w:rPr>
          <w:rFonts w:cs="Times New Roman"/>
          <w:szCs w:val="24"/>
        </w:rPr>
        <w:t xml:space="preserve"> </w:t>
      </w:r>
      <w:r w:rsidR="008A43E0" w:rsidRPr="001C2C36">
        <w:rPr>
          <w:rFonts w:cs="Times New Roman"/>
          <w:szCs w:val="24"/>
        </w:rPr>
        <w:t xml:space="preserve">of </w:t>
      </w:r>
      <w:r w:rsidR="000F02C5" w:rsidRPr="001C2C36">
        <w:rPr>
          <w:rFonts w:cs="Times New Roman"/>
          <w:szCs w:val="24"/>
        </w:rPr>
        <w:t>0.</w:t>
      </w:r>
      <w:r w:rsidR="00E45A00" w:rsidRPr="001C2C36">
        <w:rPr>
          <w:rFonts w:cs="Times New Roman"/>
          <w:szCs w:val="24"/>
        </w:rPr>
        <w:t>29</w:t>
      </w:r>
      <w:r w:rsidR="000F02C5" w:rsidRPr="001C2C36">
        <w:rPr>
          <w:rFonts w:cs="Times New Roman"/>
          <w:szCs w:val="24"/>
        </w:rPr>
        <w:t xml:space="preserve"> </w:t>
      </w:r>
      <w:r w:rsidR="008A43E0" w:rsidRPr="001C2C36">
        <w:rPr>
          <w:rFonts w:cs="Times New Roman"/>
          <w:szCs w:val="24"/>
        </w:rPr>
        <w:t>(</w:t>
      </w:r>
      <w:r w:rsidR="00F27DC7" w:rsidRPr="001C2C36">
        <w:rPr>
          <w:rFonts w:cs="Times New Roman"/>
          <w:szCs w:val="24"/>
        </w:rPr>
        <w:t>p &lt; 0.01; 95% CI = 0.22 to 0.36</w:t>
      </w:r>
      <w:r w:rsidR="000F02C5" w:rsidRPr="001C2C36">
        <w:rPr>
          <w:rFonts w:cs="Times New Roman"/>
          <w:szCs w:val="24"/>
        </w:rPr>
        <w:t>),</w:t>
      </w:r>
      <w:r w:rsidR="006D43BB" w:rsidRPr="001C2C36">
        <w:rPr>
          <w:rFonts w:cs="Times New Roman"/>
          <w:szCs w:val="24"/>
        </w:rPr>
        <w:t xml:space="preserve"> b</w:t>
      </w:r>
      <w:r w:rsidR="00E45A00" w:rsidRPr="001C2C36">
        <w:rPr>
          <w:rFonts w:cs="Times New Roman"/>
          <w:szCs w:val="24"/>
          <w:vertAlign w:val="subscript"/>
        </w:rPr>
        <w:t>8</w:t>
      </w:r>
      <w:r w:rsidR="006D43BB" w:rsidRPr="001C2C36">
        <w:rPr>
          <w:rFonts w:cs="Times New Roman"/>
          <w:szCs w:val="24"/>
        </w:rPr>
        <w:t xml:space="preserve"> of 0.</w:t>
      </w:r>
      <w:r w:rsidR="00B80A96" w:rsidRPr="001C2C36">
        <w:rPr>
          <w:rFonts w:cs="Times New Roman"/>
          <w:szCs w:val="24"/>
        </w:rPr>
        <w:t>24</w:t>
      </w:r>
      <w:r w:rsidR="006D43BB" w:rsidRPr="001C2C36">
        <w:rPr>
          <w:rFonts w:cs="Times New Roman"/>
          <w:szCs w:val="24"/>
        </w:rPr>
        <w:t xml:space="preserve"> (p &lt;0.01; 95% CI</w:t>
      </w:r>
      <w:r w:rsidR="005806C1" w:rsidRPr="001C2C36">
        <w:rPr>
          <w:rFonts w:cs="Times New Roman"/>
          <w:szCs w:val="24"/>
        </w:rPr>
        <w:t xml:space="preserve"> =</w:t>
      </w:r>
      <w:r w:rsidR="006D43BB" w:rsidRPr="001C2C36">
        <w:rPr>
          <w:rFonts w:cs="Times New Roman"/>
          <w:szCs w:val="24"/>
        </w:rPr>
        <w:t xml:space="preserve"> </w:t>
      </w:r>
      <w:r w:rsidR="005806C1" w:rsidRPr="001C2C36">
        <w:rPr>
          <w:rFonts w:cs="Times New Roman"/>
          <w:szCs w:val="24"/>
        </w:rPr>
        <w:t>0.17 to 0.31</w:t>
      </w:r>
      <w:r w:rsidR="006D43BB" w:rsidRPr="001C2C36">
        <w:rPr>
          <w:rFonts w:cs="Times New Roman"/>
          <w:szCs w:val="24"/>
        </w:rPr>
        <w:t>), and b</w:t>
      </w:r>
      <w:r w:rsidR="00B80A96" w:rsidRPr="001C2C36">
        <w:rPr>
          <w:rFonts w:cs="Times New Roman"/>
          <w:szCs w:val="24"/>
          <w:vertAlign w:val="subscript"/>
        </w:rPr>
        <w:t>10</w:t>
      </w:r>
      <w:r w:rsidR="006D43BB" w:rsidRPr="001C2C36">
        <w:rPr>
          <w:rFonts w:cs="Times New Roman"/>
          <w:szCs w:val="24"/>
        </w:rPr>
        <w:t xml:space="preserve"> of </w:t>
      </w:r>
      <w:r w:rsidR="00B80A96" w:rsidRPr="001C2C36">
        <w:rPr>
          <w:rFonts w:cs="Times New Roman"/>
          <w:szCs w:val="24"/>
        </w:rPr>
        <w:t>-0.08</w:t>
      </w:r>
      <w:r w:rsidR="006D43BB" w:rsidRPr="001C2C36">
        <w:rPr>
          <w:rFonts w:cs="Times New Roman"/>
          <w:szCs w:val="24"/>
        </w:rPr>
        <w:t xml:space="preserve"> (p &lt;0.01; 95% CI = </w:t>
      </w:r>
      <w:r w:rsidR="0017701B" w:rsidRPr="001C2C36">
        <w:rPr>
          <w:rFonts w:cs="Times New Roman"/>
          <w:szCs w:val="24"/>
        </w:rPr>
        <w:t>0.09 to 0.24</w:t>
      </w:r>
      <w:r w:rsidR="006D43BB" w:rsidRPr="001C2C36">
        <w:rPr>
          <w:rFonts w:cs="Times New Roman"/>
          <w:szCs w:val="24"/>
        </w:rPr>
        <w:t>), respectively.</w:t>
      </w:r>
    </w:p>
    <w:p w14:paraId="4E1F3FED" w14:textId="5C63AF92" w:rsidR="00B90636" w:rsidRPr="001C2C36" w:rsidRDefault="003C31EE" w:rsidP="00B90636">
      <w:pPr>
        <w:rPr>
          <w:rFonts w:cs="Times New Roman"/>
        </w:rPr>
      </w:pPr>
      <w:r w:rsidRPr="001C2C36">
        <w:rPr>
          <w:rFonts w:cs="Times New Roman"/>
        </w:rPr>
        <w:t xml:space="preserve">We further conduct sensitivity checks </w:t>
      </w:r>
      <w:r w:rsidR="00505F8B" w:rsidRPr="001C2C36">
        <w:rPr>
          <w:rFonts w:cs="Times New Roman"/>
        </w:rPr>
        <w:t xml:space="preserve">with data limited only to SMEs with employees in </w:t>
      </w:r>
      <w:r w:rsidR="00505F8B" w:rsidRPr="001C2C36">
        <w:rPr>
          <w:rFonts w:cs="Times New Roman"/>
        </w:rPr>
        <w:fldChar w:fldCharType="begin"/>
      </w:r>
      <w:r w:rsidR="00505F8B" w:rsidRPr="001C2C36">
        <w:rPr>
          <w:rFonts w:cs="Times New Roman"/>
        </w:rPr>
        <w:instrText xml:space="preserve"> REF _Ref126245875 \h </w:instrText>
      </w:r>
      <w:r w:rsidR="00125C33" w:rsidRPr="001C2C36">
        <w:rPr>
          <w:rFonts w:cs="Times New Roman"/>
        </w:rPr>
        <w:instrText xml:space="preserve"> \* MERGEFORMAT </w:instrText>
      </w:r>
      <w:r w:rsidR="00505F8B" w:rsidRPr="001C2C36">
        <w:rPr>
          <w:rFonts w:cs="Times New Roman"/>
        </w:rPr>
      </w:r>
      <w:r w:rsidR="00505F8B" w:rsidRPr="001C2C36">
        <w:rPr>
          <w:rFonts w:cs="Times New Roman"/>
        </w:rPr>
        <w:fldChar w:fldCharType="separate"/>
      </w:r>
      <w:r w:rsidR="00505F8B" w:rsidRPr="001C2C36">
        <w:rPr>
          <w:rFonts w:cs="Times New Roman"/>
        </w:rPr>
        <w:t>Table 6</w:t>
      </w:r>
      <w:r w:rsidR="00505F8B" w:rsidRPr="001C2C36">
        <w:rPr>
          <w:rFonts w:cs="Times New Roman"/>
        </w:rPr>
        <w:fldChar w:fldCharType="end"/>
      </w:r>
      <w:r w:rsidR="00505F8B" w:rsidRPr="001C2C36">
        <w:rPr>
          <w:rFonts w:cs="Times New Roman"/>
        </w:rPr>
        <w:t xml:space="preserve"> (Appendix 2)</w:t>
      </w:r>
      <w:r w:rsidRPr="001C2C36">
        <w:rPr>
          <w:rFonts w:cs="Times New Roman"/>
        </w:rPr>
        <w:t xml:space="preserve">. </w:t>
      </w:r>
      <w:r w:rsidR="00CA5E9C" w:rsidRPr="001C2C36">
        <w:rPr>
          <w:rFonts w:cs="Times New Roman"/>
        </w:rPr>
        <w:t>The estimated</w:t>
      </w:r>
      <w:r w:rsidR="003F57A8" w:rsidRPr="001C2C36">
        <w:rPr>
          <w:rFonts w:cs="Times New Roman"/>
        </w:rPr>
        <w:t xml:space="preserve"> moderating effect is now even </w:t>
      </w:r>
      <w:r w:rsidR="59D413AE" w:rsidRPr="001C2C36">
        <w:rPr>
          <w:rFonts w:cs="Times New Roman"/>
        </w:rPr>
        <w:t>more negative</w:t>
      </w:r>
      <w:r w:rsidR="003F57A8" w:rsidRPr="001C2C36">
        <w:rPr>
          <w:rFonts w:cs="Times New Roman"/>
        </w:rPr>
        <w:t xml:space="preserve"> and still highly </w:t>
      </w:r>
      <w:r w:rsidR="003F57A8" w:rsidRPr="001C2C36">
        <w:rPr>
          <w:rFonts w:cs="Times New Roman"/>
        </w:rPr>
        <w:lastRenderedPageBreak/>
        <w:t>significant (b</w:t>
      </w:r>
      <w:r w:rsidR="003F57A8" w:rsidRPr="001C2C36">
        <w:rPr>
          <w:rFonts w:cs="Times New Roman"/>
          <w:vertAlign w:val="subscript"/>
        </w:rPr>
        <w:t>12</w:t>
      </w:r>
      <w:r w:rsidR="003F57A8" w:rsidRPr="001C2C36">
        <w:rPr>
          <w:rFonts w:cs="Times New Roman"/>
        </w:rPr>
        <w:t>=-0.2, p&lt;0.01, 95% CI = -0.</w:t>
      </w:r>
      <w:r w:rsidR="002A5393" w:rsidRPr="001C2C36">
        <w:rPr>
          <w:rFonts w:cs="Times New Roman"/>
        </w:rPr>
        <w:t>31</w:t>
      </w:r>
      <w:r w:rsidR="003F57A8" w:rsidRPr="001C2C36">
        <w:rPr>
          <w:rFonts w:cs="Times New Roman"/>
        </w:rPr>
        <w:t xml:space="preserve"> to -0.0</w:t>
      </w:r>
      <w:r w:rsidR="002A5393" w:rsidRPr="001C2C36">
        <w:rPr>
          <w:rFonts w:cs="Times New Roman"/>
        </w:rPr>
        <w:t>8</w:t>
      </w:r>
      <w:r w:rsidR="003F57A8" w:rsidRPr="001C2C36">
        <w:rPr>
          <w:rFonts w:cs="Times New Roman"/>
        </w:rPr>
        <w:t>)</w:t>
      </w:r>
      <w:r w:rsidR="007D5BD5" w:rsidRPr="001C2C36">
        <w:rPr>
          <w:rFonts w:cs="Times New Roman"/>
        </w:rPr>
        <w:t xml:space="preserve"> after the early stages of Covid-19, providing evidence supporting </w:t>
      </w:r>
      <w:r w:rsidR="007D5BD5" w:rsidRPr="001C2C36">
        <w:rPr>
          <w:rFonts w:cs="Times New Roman"/>
          <w:i/>
        </w:rPr>
        <w:t>Hypothesis 3</w:t>
      </w:r>
      <w:r w:rsidR="007D5BD5" w:rsidRPr="001C2C36">
        <w:rPr>
          <w:rFonts w:cs="Times New Roman"/>
        </w:rPr>
        <w:t>.</w:t>
      </w:r>
      <w:r w:rsidR="00CA5E9C" w:rsidRPr="001C2C36">
        <w:rPr>
          <w:rFonts w:cs="Times New Roman"/>
        </w:rPr>
        <w:t xml:space="preserve"> In support of </w:t>
      </w:r>
      <w:r w:rsidR="00CA5E9C" w:rsidRPr="001C2C36">
        <w:rPr>
          <w:rFonts w:cs="Times New Roman"/>
          <w:i/>
        </w:rPr>
        <w:t xml:space="preserve">Hypotheses </w:t>
      </w:r>
      <w:r w:rsidR="007D5BD5" w:rsidRPr="001C2C36">
        <w:rPr>
          <w:rFonts w:cs="Times New Roman"/>
          <w:i/>
        </w:rPr>
        <w:t>1</w:t>
      </w:r>
      <w:r w:rsidR="00CA5E9C" w:rsidRPr="001C2C36">
        <w:rPr>
          <w:rFonts w:cs="Times New Roman"/>
          <w:i/>
        </w:rPr>
        <w:t xml:space="preserve"> and </w:t>
      </w:r>
      <w:r w:rsidR="007D5BD5" w:rsidRPr="001C2C36">
        <w:rPr>
          <w:rFonts w:cs="Times New Roman"/>
          <w:i/>
        </w:rPr>
        <w:t>2</w:t>
      </w:r>
      <w:r w:rsidR="00CA5E9C" w:rsidRPr="001C2C36">
        <w:rPr>
          <w:rFonts w:cs="Times New Roman"/>
        </w:rPr>
        <w:t>, we also find a significant positive coefficient for government support in the early stages of Covid-19 (b</w:t>
      </w:r>
      <w:r w:rsidR="00566EC2" w:rsidRPr="001C2C36">
        <w:rPr>
          <w:rFonts w:cs="Times New Roman"/>
          <w:vertAlign w:val="subscript"/>
        </w:rPr>
        <w:t>11</w:t>
      </w:r>
      <w:r w:rsidR="00CA5E9C" w:rsidRPr="001C2C36">
        <w:rPr>
          <w:rFonts w:cs="Times New Roman"/>
        </w:rPr>
        <w:t xml:space="preserve"> = 0.</w:t>
      </w:r>
      <w:r w:rsidR="00BF5DE4" w:rsidRPr="001C2C36">
        <w:rPr>
          <w:rFonts w:cs="Times New Roman"/>
        </w:rPr>
        <w:t>3</w:t>
      </w:r>
      <w:r w:rsidR="00FC4736" w:rsidRPr="001C2C36">
        <w:rPr>
          <w:rFonts w:cs="Times New Roman"/>
        </w:rPr>
        <w:t>4</w:t>
      </w:r>
      <w:r w:rsidR="00CA5E9C" w:rsidRPr="001C2C36">
        <w:rPr>
          <w:rFonts w:cs="Times New Roman"/>
        </w:rPr>
        <w:t xml:space="preserve">, p &lt; 0.01; 95% CI = </w:t>
      </w:r>
      <w:r w:rsidR="00B22FCA" w:rsidRPr="001C2C36">
        <w:rPr>
          <w:rFonts w:cs="Times New Roman"/>
        </w:rPr>
        <w:t>0.</w:t>
      </w:r>
      <w:r w:rsidR="00FC4736" w:rsidRPr="001C2C36">
        <w:rPr>
          <w:rFonts w:cs="Times New Roman"/>
        </w:rPr>
        <w:t>16</w:t>
      </w:r>
      <w:r w:rsidR="00B22FCA" w:rsidRPr="001C2C36">
        <w:rPr>
          <w:rFonts w:cs="Times New Roman"/>
        </w:rPr>
        <w:t xml:space="preserve"> to 0.</w:t>
      </w:r>
      <w:r w:rsidR="00FC4736" w:rsidRPr="001C2C36">
        <w:rPr>
          <w:rFonts w:cs="Times New Roman"/>
        </w:rPr>
        <w:t>51</w:t>
      </w:r>
      <w:r w:rsidR="00CA5E9C" w:rsidRPr="001C2C36">
        <w:rPr>
          <w:rFonts w:cs="Times New Roman"/>
        </w:rPr>
        <w:t>) and a significant</w:t>
      </w:r>
      <w:r w:rsidR="00E12AEA" w:rsidRPr="001C2C36">
        <w:rPr>
          <w:rFonts w:cs="Times New Roman"/>
        </w:rPr>
        <w:t xml:space="preserve"> positive</w:t>
      </w:r>
      <w:r w:rsidR="00CA5E9C" w:rsidRPr="001C2C36">
        <w:rPr>
          <w:rFonts w:cs="Times New Roman"/>
        </w:rPr>
        <w:t xml:space="preserve"> coefficient for </w:t>
      </w:r>
      <w:r w:rsidR="00E12AEA" w:rsidRPr="001C2C36">
        <w:rPr>
          <w:rFonts w:cs="Times New Roman"/>
        </w:rPr>
        <w:t>DCs during</w:t>
      </w:r>
      <w:r w:rsidR="00CA5E9C" w:rsidRPr="001C2C36">
        <w:rPr>
          <w:rFonts w:cs="Times New Roman"/>
        </w:rPr>
        <w:t xml:space="preserve"> the early stages of Covid-19 </w:t>
      </w:r>
      <w:r w:rsidR="008761AF" w:rsidRPr="001C2C36">
        <w:rPr>
          <w:rFonts w:cs="Times New Roman"/>
        </w:rPr>
        <w:t>(b</w:t>
      </w:r>
      <w:r w:rsidR="008761AF" w:rsidRPr="001C2C36">
        <w:rPr>
          <w:rFonts w:cs="Times New Roman"/>
          <w:vertAlign w:val="subscript"/>
        </w:rPr>
        <w:t>12</w:t>
      </w:r>
      <w:r w:rsidR="008761AF" w:rsidRPr="001C2C36">
        <w:rPr>
          <w:rFonts w:cs="Times New Roman"/>
        </w:rPr>
        <w:t>=</w:t>
      </w:r>
      <w:r w:rsidR="00F87B35" w:rsidRPr="001C2C36">
        <w:rPr>
          <w:rFonts w:cs="Times New Roman"/>
        </w:rPr>
        <w:t>0.</w:t>
      </w:r>
      <w:r w:rsidR="00D506B5" w:rsidRPr="001C2C36">
        <w:rPr>
          <w:rFonts w:cs="Times New Roman"/>
        </w:rPr>
        <w:t>51</w:t>
      </w:r>
      <w:r w:rsidR="008761AF" w:rsidRPr="001C2C36">
        <w:rPr>
          <w:rFonts w:cs="Times New Roman"/>
        </w:rPr>
        <w:t xml:space="preserve"> p&lt;0.01, 95% CI = 0.</w:t>
      </w:r>
      <w:r w:rsidR="00D506B5" w:rsidRPr="001C2C36">
        <w:rPr>
          <w:rFonts w:cs="Times New Roman"/>
        </w:rPr>
        <w:t>3</w:t>
      </w:r>
      <w:r w:rsidR="008761AF" w:rsidRPr="001C2C36">
        <w:rPr>
          <w:rFonts w:cs="Times New Roman"/>
        </w:rPr>
        <w:t xml:space="preserve"> to </w:t>
      </w:r>
      <w:r w:rsidR="008E1C3D" w:rsidRPr="001C2C36">
        <w:rPr>
          <w:rFonts w:cs="Times New Roman"/>
        </w:rPr>
        <w:t>0.</w:t>
      </w:r>
      <w:r w:rsidR="00D506B5" w:rsidRPr="001C2C36">
        <w:rPr>
          <w:rFonts w:cs="Times New Roman"/>
        </w:rPr>
        <w:t>72</w:t>
      </w:r>
      <w:r w:rsidR="008761AF" w:rsidRPr="001C2C36">
        <w:rPr>
          <w:rFonts w:cs="Times New Roman"/>
        </w:rPr>
        <w:t>).</w:t>
      </w:r>
    </w:p>
    <w:p w14:paraId="43EA0DF3" w14:textId="24C2540D" w:rsidR="00803D73" w:rsidRPr="001C2C36" w:rsidRDefault="00803D73" w:rsidP="00FF2876">
      <w:pPr>
        <w:pStyle w:val="Heading1"/>
        <w:rPr>
          <w:rFonts w:cs="Times New Roman"/>
          <w:szCs w:val="24"/>
        </w:rPr>
      </w:pPr>
      <w:r w:rsidRPr="001C2C36">
        <w:rPr>
          <w:rFonts w:cs="Times New Roman"/>
        </w:rPr>
        <w:t xml:space="preserve">Discussion </w:t>
      </w:r>
    </w:p>
    <w:p w14:paraId="2A2022B8" w14:textId="7A2450AE" w:rsidR="00A744BE" w:rsidRPr="001C2C36" w:rsidRDefault="000F3BF2">
      <w:pPr>
        <w:pStyle w:val="Heading2"/>
        <w:rPr>
          <w:rFonts w:ascii="Times New Roman" w:hAnsi="Times New Roman" w:cs="Times New Roman"/>
        </w:rPr>
      </w:pPr>
      <w:r w:rsidRPr="001C2C36">
        <w:rPr>
          <w:rFonts w:ascii="Times New Roman" w:hAnsi="Times New Roman" w:cs="Times New Roman"/>
        </w:rPr>
        <w:t>Dynamic capa</w:t>
      </w:r>
      <w:r w:rsidR="00FA6148" w:rsidRPr="001C2C36">
        <w:rPr>
          <w:rFonts w:ascii="Times New Roman" w:hAnsi="Times New Roman" w:cs="Times New Roman"/>
        </w:rPr>
        <w:t>bilities</w:t>
      </w:r>
    </w:p>
    <w:p w14:paraId="6FF2FD46" w14:textId="698D7CDE" w:rsidR="00E96AC5" w:rsidRPr="001C2C36" w:rsidRDefault="00E96AC5">
      <w:pPr>
        <w:rPr>
          <w:rFonts w:cs="Times New Roman"/>
          <w:szCs w:val="24"/>
        </w:rPr>
      </w:pPr>
      <w:r w:rsidRPr="001C2C36">
        <w:rPr>
          <w:rFonts w:cs="Times New Roman"/>
          <w:szCs w:val="24"/>
        </w:rPr>
        <w:t xml:space="preserve">The Covid-19 pandemic forced SMEs to adapt, drawing on their dynamic capabilities and government support mechanisms. Despite this observation, a gap remains in the literature around the role of DCs and government support in SME employment, to which this study contributes. Our findings highlight the positive effects of DCs in facilitating </w:t>
      </w:r>
      <w:r w:rsidR="00C50E8A" w:rsidRPr="001C2C36">
        <w:rPr>
          <w:rFonts w:cs="Times New Roman"/>
          <w:szCs w:val="24"/>
        </w:rPr>
        <w:t>employment growth aspirations</w:t>
      </w:r>
      <w:r w:rsidRPr="001C2C36">
        <w:rPr>
          <w:rFonts w:cs="Times New Roman"/>
          <w:szCs w:val="24"/>
        </w:rPr>
        <w:t xml:space="preserve"> as society moves out of the pandemic. This finding supports the work of </w:t>
      </w:r>
      <w:proofErr w:type="spellStart"/>
      <w:r w:rsidRPr="001C2C36">
        <w:rPr>
          <w:rFonts w:cs="Times New Roman"/>
          <w:szCs w:val="24"/>
        </w:rPr>
        <w:t>Clampit</w:t>
      </w:r>
      <w:proofErr w:type="spellEnd"/>
      <w:r w:rsidRPr="001C2C36">
        <w:rPr>
          <w:rFonts w:cs="Times New Roman"/>
          <w:szCs w:val="24"/>
        </w:rPr>
        <w:t xml:space="preserve"> et al. (2022) and </w:t>
      </w:r>
      <w:proofErr w:type="spellStart"/>
      <w:r w:rsidRPr="001C2C36">
        <w:rPr>
          <w:rFonts w:cs="Times New Roman"/>
          <w:szCs w:val="24"/>
        </w:rPr>
        <w:t>Dejardin</w:t>
      </w:r>
      <w:proofErr w:type="spellEnd"/>
      <w:r w:rsidRPr="001C2C36">
        <w:rPr>
          <w:rFonts w:cs="Times New Roman"/>
          <w:szCs w:val="24"/>
        </w:rPr>
        <w:t xml:space="preserve"> et al. (2022), who find that DCs help SMEs recover from the pandemic. However, this past literature did not focus specifically on employment, which </w:t>
      </w:r>
      <w:r w:rsidR="00307610" w:rsidRPr="001C2C36">
        <w:rPr>
          <w:rFonts w:cs="Times New Roman"/>
          <w:szCs w:val="24"/>
        </w:rPr>
        <w:t>is</w:t>
      </w:r>
      <w:r w:rsidRPr="001C2C36">
        <w:rPr>
          <w:rFonts w:cs="Times New Roman"/>
          <w:szCs w:val="24"/>
        </w:rPr>
        <w:t xml:space="preserve"> a particularly important </w:t>
      </w:r>
      <w:r w:rsidR="00307610" w:rsidRPr="001C2C36">
        <w:rPr>
          <w:rFonts w:cs="Times New Roman"/>
          <w:szCs w:val="24"/>
        </w:rPr>
        <w:t>factor</w:t>
      </w:r>
      <w:r w:rsidRPr="001C2C36">
        <w:rPr>
          <w:rFonts w:cs="Times New Roman"/>
          <w:szCs w:val="24"/>
        </w:rPr>
        <w:t xml:space="preserve"> during the Covid-19 pandemic, with substantial government resources devoted to securing jobs. The importance of DCs in enabling SMEs to adapt to changes in the external environment </w:t>
      </w:r>
      <w:r w:rsidR="00307610" w:rsidRPr="001C2C36">
        <w:rPr>
          <w:rFonts w:cs="Times New Roman"/>
          <w:szCs w:val="24"/>
        </w:rPr>
        <w:t>during</w:t>
      </w:r>
      <w:r w:rsidRPr="001C2C36">
        <w:rPr>
          <w:rFonts w:cs="Times New Roman"/>
          <w:szCs w:val="24"/>
        </w:rPr>
        <w:t xml:space="preserve"> crises has also been identified in other contexts, such as the 2008 financial crisis </w:t>
      </w:r>
      <w:r w:rsidRPr="001C2C36">
        <w:rPr>
          <w:rFonts w:cs="Times New Roman"/>
          <w:szCs w:val="24"/>
        </w:rPr>
        <w:fldChar w:fldCharType="begin" w:fldLock="1"/>
      </w:r>
      <w:r w:rsidRPr="001C2C36">
        <w:rPr>
          <w:rFonts w:cs="Times New Roman"/>
          <w:szCs w:val="24"/>
        </w:rPr>
        <w:instrText>ADDIN CSL_CITATION {"citationItems":[{"id":"ITEM-1","itemData":{"DOI":"10.1016/j.jbusres.2013.03.020","ISSN":"01482963","abstract":"In this study, an organization means an active actor that can, at least to some extent, adapt to the environment, mainly within the limits of its resources and capabilities. The article enhances understanding of and explains organizational adaptive behavior in weathering the storm in the business environment resulting from the global financial crisis of 2008. The literature on dynamic capabilities, organizational change, and innovation in the context of organizational performance and survival captures this kind of adaptive behavior. The empirical study builds on a quantitative survey and a qualitative case study covering the food processing, maritime, and media industries. Structural equation modeling, group analysis, and qualitative case comparisons shed light on the connection between the constructs in question. Implications for theory and practice culminate in suggestions for future research. © 2013 Elsevier Inc.","author":[{"dropping-particle":"","family":"Makkonen","given":"Hannu","non-dropping-particle":"","parse-names":false,"suffix":""},{"dropping-particle":"","family":"Pohjola","given":"Mikko","non-dropping-particle":"","parse-names":false,"suffix":""},{"dropping-particle":"","family":"Olkkonen","given":"Rami","non-dropping-particle":"","parse-names":false,"suffix":""},{"dropping-particle":"","family":"Koponen","given":"Aki","non-dropping-particle":"","parse-names":false,"suffix":""}],"container-title":"Journal of Business Research","id":"ITEM-1","issue":"1","issued":{"date-parts":[["2014","1"]]},"page":"2707-2719","title":"Dynamic capabilities and firm performance in a financial crisis","type":"article-journal","volume":"67"},"uris":["http://www.mendeley.com/documents/?uuid=41c3df7e-15b7-4956-a6bd-5afcbf261f74","http://www.mendeley.com/documents/?uuid=58b2842d-ada3-4715-be0b-ad2414946499"]}],"mendeley":{"formattedCitation":"(Makkonen et al., 2014)","plainTextFormattedCitation":"(Makkonen et al., 2014)","previouslyFormattedCitation":"(Makkonen et al., 2014)"},"properties":{"noteIndex":0},"schema":"https://github.com/citation-style-language/schema/raw/master/csl-citation.json"}</w:instrText>
      </w:r>
      <w:r w:rsidRPr="001C2C36">
        <w:rPr>
          <w:rFonts w:cs="Times New Roman"/>
          <w:szCs w:val="24"/>
        </w:rPr>
        <w:fldChar w:fldCharType="separate"/>
      </w:r>
      <w:r w:rsidRPr="001C2C36">
        <w:rPr>
          <w:rFonts w:cs="Times New Roman"/>
          <w:noProof/>
          <w:szCs w:val="24"/>
        </w:rPr>
        <w:t>(Makkonen et al., 2014)</w:t>
      </w:r>
      <w:r w:rsidRPr="001C2C36">
        <w:rPr>
          <w:rFonts w:cs="Times New Roman"/>
          <w:szCs w:val="24"/>
        </w:rPr>
        <w:fldChar w:fldCharType="end"/>
      </w:r>
      <w:r w:rsidRPr="001C2C36">
        <w:rPr>
          <w:rFonts w:cs="Times New Roman"/>
          <w:szCs w:val="24"/>
        </w:rPr>
        <w:t xml:space="preserve">, earthquakes </w:t>
      </w:r>
      <w:r w:rsidRPr="001C2C36">
        <w:rPr>
          <w:rFonts w:cs="Times New Roman"/>
          <w:szCs w:val="24"/>
        </w:rPr>
        <w:fldChar w:fldCharType="begin" w:fldLock="1"/>
      </w:r>
      <w:r w:rsidRPr="001C2C36">
        <w:rPr>
          <w:rFonts w:cs="Times New Roman"/>
          <w:szCs w:val="24"/>
        </w:rPr>
        <w:instrText>ADDIN CSL_CITATION {"citationItems":[{"id":"ITEM-1","itemData":{"DOI":"10.1177/0266242615611471","ISBN":"0266242615611","ISSN":"17412870","abstract":"This article draws on quantitative survey evidence to explore the role of dynamic capabilities in a post-disaster environment, that of Christchurch in New Zealand after the 2010 and 2011 series of major earthquakes. We develop a model to examine the relationship between dynamic capabilities, disaster-related changes to the firm’s resource base and its performance. The hypotheses are tested using a sample of 545 small firms that have been affected by the earthquakes. Results highlight the importance of a firm’s proactive posture and capability to integrate resources in recognising new opportunities in an environment characterised by high volatility and increased uncertainty. These findings offer important theoretical and practical implications.","author":[{"dropping-particle":"","family":"Battisti","given":"Martina","non-dropping-particle":"","parse-names":false,"suffix":""},{"dropping-particle":"","family":"Deakins","given":"David","non-dropping-particle":"","parse-names":false,"suffix":""}],"container-title":"International Small Business Journal: Researching Entrepreneurship","id":"ITEM-1","issue":"1","issued":{"date-parts":[["2017"]]},"page":"78-98","title":"The relationship between dynamic capabilities, the firm’s resource base and performance in a post-disaster environment","type":"article-journal","volume":"35"},"uris":["http://www.mendeley.com/documents/?uuid=cb24d47a-ac1c-40f3-8d62-5e9fbd5a2f9e","http://www.mendeley.com/documents/?uuid=3b8312b3-fc7d-4870-8cd6-b9c701c0a4dd"]},{"id":"ITEM-2","itemData":{"DOI":"10.1016/j.jbusres.2022.02.089","ISSN":"01482963","abstract":"Natural disasters (e.g., earthquakes and pandemics) negatively affect firms and their stakeholders. These disasters disrupt the operations of firms and lives of people by generating a shock in the system. Small firms are especially vulnerable to the shocks and disturbances resulting from these disasters. Since small firms, especially family firms, are key economic contributors and agents of recovery in any community, understanding their post-disaster recovery processes is critical. Therefore, this study examines the post-disaster recovery processes of small family firms. We utilize a grounded theory approach to analyze and propose that resources and socioemotional wealth priorities influence the post-disaster recovery of small family firms. Utilizing the 8.8 Richter scale earthquake in Chile in 2010 as a natural disaster, we examine the eight-year lagged data of 20 small family firms with disrupted operations. Our findings have important implications for small firms experiencing the negative consequences of disruptions, including those experiencing the COVID-19 pandemic-induced disruption.","author":[{"dropping-particle":"V.","family":"Mahto","given":"Raj","non-dropping-particle":"","parse-names":false,"suffix":""},{"dropping-particle":"","family":"Llanos-Contreras","given":"Orlando","non-dropping-particle":"","parse-names":false,"suffix":""},{"dropping-particle":"","family":"Hebles","given":"Melany","non-dropping-particle":"","parse-names":false,"suffix":""}],"container-title":"Journal of Business Research","id":"ITEM-2","issue":"June 2021","issued":{"date-parts":[["2022"]]},"page":"117-129","title":"Post-disaster recovery for family firms: The role of owner motivations, firm resources, and dynamic capabilities","type":"article-journal","volume":"145"},"uris":["http://www.mendeley.com/documents/?uuid=9274680e-bfff-454d-aa95-5a172cb18006","http://www.mendeley.com/documents/?uuid=74a3778b-76f9-4e6d-aff4-aa4e097bbec1"]}],"mendeley":{"formattedCitation":"(Battisti and Deakins, 2017; Mahto et al., 2022)","plainTextFormattedCitation":"(Battisti and Deakins, 2017; Mahto et al., 2022)","previouslyFormattedCitation":"(Battisti and Deakins, 2017; Mahto et al., 2022)"},"properties":{"noteIndex":0},"schema":"https://github.com/citation-style-language/schema/raw/master/csl-citation.json"}</w:instrText>
      </w:r>
      <w:r w:rsidRPr="001C2C36">
        <w:rPr>
          <w:rFonts w:cs="Times New Roman"/>
          <w:szCs w:val="24"/>
        </w:rPr>
        <w:fldChar w:fldCharType="separate"/>
      </w:r>
      <w:r w:rsidRPr="001C2C36">
        <w:rPr>
          <w:rFonts w:cs="Times New Roman"/>
          <w:noProof/>
          <w:szCs w:val="24"/>
        </w:rPr>
        <w:t>(Battisti and Deakins, 2017; Mahto et al., 2022)</w:t>
      </w:r>
      <w:r w:rsidRPr="001C2C36">
        <w:rPr>
          <w:rFonts w:cs="Times New Roman"/>
          <w:szCs w:val="24"/>
        </w:rPr>
        <w:fldChar w:fldCharType="end"/>
      </w:r>
      <w:r w:rsidRPr="001C2C36">
        <w:rPr>
          <w:rFonts w:cs="Times New Roman"/>
          <w:szCs w:val="24"/>
        </w:rPr>
        <w:t xml:space="preserve">, and war </w:t>
      </w:r>
      <w:r w:rsidRPr="001C2C36">
        <w:rPr>
          <w:rFonts w:cs="Times New Roman"/>
          <w:szCs w:val="24"/>
        </w:rPr>
        <w:fldChar w:fldCharType="begin" w:fldLock="1"/>
      </w:r>
      <w:r w:rsidRPr="001C2C36">
        <w:rPr>
          <w:rFonts w:cs="Times New Roman"/>
          <w:szCs w:val="24"/>
        </w:rPr>
        <w:instrText>ADDIN CSL_CITATION {"citationItems":[{"id":"ITEM-1","itemData":{"DOI":"10.1002/jtr.2277","ISSN":"15221970","abstract":"This paper identifies specific types of dynamic capabilities that enable tourism firms to survive the crisis caused by the Libyan civil war. The literature on dynamic capabilities has matured, but little is known about the specific types of dynamic capabilities that enable firms to survive turbulent conditions. Using case studies of eight Libyan tourism firms, we find that ongoing interactions between firms and their environments and the specific actions taken by managers and employees are crucial to firms' survival and adaptation to the new environment. Our paper makes a theoretical contribution to the dynamic capabilities and crisis management literature.","author":[{"dropping-particle":"","family":"Mansour","given":"Hafez E.L.","non-dropping-particle":"","parse-names":false,"suffix":""},{"dropping-particle":"","family":"Holmes","given":"Kirsten","non-dropping-particle":"","parse-names":false,"suffix":""},{"dropping-particle":"","family":"Butler","given":"Bella","non-dropping-particle":"","parse-names":false,"suffix":""},{"dropping-particle":"","family":"Ananthram","given":"Subramaniam","non-dropping-particle":"","parse-names":false,"suffix":""}],"container-title":"International Journal of Tourism Research","id":"ITEM-1","issue":"4","issued":{"date-parts":[["2019"]]},"page":"493-503","title":"Developing dynamic capabilities to survive a crisis: Tourism organizations' responses to continued turbulence in Libya","type":"article-journal","volume":"21"},"uris":["http://www.mendeley.com/documents/?uuid=dd0f2943-4124-439a-8216-39a91c870c5d","http://www.mendeley.com/documents/?uuid=2516b1e7-85f8-4b95-a99d-b0a5cd96ccc6"]}],"mendeley":{"formattedCitation":"(Mansour et al., 2019)","plainTextFormattedCitation":"(Mansour et al., 2019)","previouslyFormattedCitation":"(Mansour et al., 2019)"},"properties":{"noteIndex":0},"schema":"https://github.com/citation-style-language/schema/raw/master/csl-citation.json"}</w:instrText>
      </w:r>
      <w:r w:rsidRPr="001C2C36">
        <w:rPr>
          <w:rFonts w:cs="Times New Roman"/>
          <w:szCs w:val="24"/>
        </w:rPr>
        <w:fldChar w:fldCharType="separate"/>
      </w:r>
      <w:r w:rsidRPr="001C2C36">
        <w:rPr>
          <w:rFonts w:cs="Times New Roman"/>
          <w:noProof/>
          <w:szCs w:val="24"/>
        </w:rPr>
        <w:t>(Mansour et al., 2019)</w:t>
      </w:r>
      <w:r w:rsidRPr="001C2C36">
        <w:rPr>
          <w:rFonts w:cs="Times New Roman"/>
          <w:szCs w:val="24"/>
        </w:rPr>
        <w:fldChar w:fldCharType="end"/>
      </w:r>
      <w:r w:rsidRPr="001C2C36">
        <w:rPr>
          <w:rFonts w:cs="Times New Roman"/>
          <w:szCs w:val="24"/>
        </w:rPr>
        <w:t xml:space="preserve">. </w:t>
      </w:r>
      <w:r w:rsidR="00041142" w:rsidRPr="001C2C36">
        <w:rPr>
          <w:rFonts w:cs="Times New Roman"/>
          <w:szCs w:val="24"/>
        </w:rPr>
        <w:t>We join</w:t>
      </w:r>
      <w:r w:rsidRPr="001C2C36">
        <w:rPr>
          <w:rFonts w:cs="Times New Roman"/>
          <w:szCs w:val="24"/>
        </w:rPr>
        <w:t xml:space="preserve"> these studies </w:t>
      </w:r>
      <w:r w:rsidR="00041142" w:rsidRPr="001C2C36">
        <w:rPr>
          <w:rFonts w:cs="Times New Roman"/>
          <w:szCs w:val="24"/>
        </w:rPr>
        <w:t xml:space="preserve">in their efforts to </w:t>
      </w:r>
      <w:r w:rsidRPr="001C2C36">
        <w:rPr>
          <w:rFonts w:cs="Times New Roman"/>
          <w:szCs w:val="24"/>
        </w:rPr>
        <w:t>highlight the importance of DCs in enabling SMEs to cope with external shocks.</w:t>
      </w:r>
    </w:p>
    <w:p w14:paraId="6FE7D3DE" w14:textId="1E73544F" w:rsidR="00423E73" w:rsidRPr="001C2C36" w:rsidRDefault="00A25AA2">
      <w:pPr>
        <w:rPr>
          <w:rFonts w:cs="Times New Roman"/>
          <w:szCs w:val="24"/>
        </w:rPr>
      </w:pPr>
      <w:r w:rsidRPr="001C2C36">
        <w:rPr>
          <w:rFonts w:cs="Times New Roman"/>
          <w:szCs w:val="24"/>
        </w:rPr>
        <w:t xml:space="preserve">Our paper extends the existing knowledge </w:t>
      </w:r>
      <w:r w:rsidR="00787E38" w:rsidRPr="001C2C36">
        <w:rPr>
          <w:rFonts w:cs="Times New Roman"/>
          <w:szCs w:val="24"/>
        </w:rPr>
        <w:t xml:space="preserve">by </w:t>
      </w:r>
      <w:r w:rsidR="00307610" w:rsidRPr="001C2C36">
        <w:rPr>
          <w:rFonts w:cs="Times New Roman"/>
          <w:szCs w:val="24"/>
        </w:rPr>
        <w:t>addressing</w:t>
      </w:r>
      <w:r w:rsidR="00D23924" w:rsidRPr="001C2C36">
        <w:rPr>
          <w:rFonts w:cs="Times New Roman"/>
          <w:szCs w:val="24"/>
        </w:rPr>
        <w:t xml:space="preserve"> </w:t>
      </w:r>
      <w:r w:rsidR="00844719" w:rsidRPr="001C2C36">
        <w:rPr>
          <w:rFonts w:cs="Times New Roman"/>
          <w:szCs w:val="24"/>
        </w:rPr>
        <w:t xml:space="preserve">the previous </w:t>
      </w:r>
      <w:r w:rsidR="005744A2" w:rsidRPr="001C2C36">
        <w:rPr>
          <w:rFonts w:cs="Times New Roman"/>
          <w:szCs w:val="24"/>
        </w:rPr>
        <w:t xml:space="preserve">discord </w:t>
      </w:r>
      <w:r w:rsidR="005740D8" w:rsidRPr="001C2C36">
        <w:rPr>
          <w:rFonts w:cs="Times New Roman"/>
          <w:szCs w:val="24"/>
        </w:rPr>
        <w:fldChar w:fldCharType="begin" w:fldLock="1"/>
      </w:r>
      <w:r w:rsidR="005740D8" w:rsidRPr="001C2C36">
        <w:rPr>
          <w:rFonts w:cs="Times New Roman"/>
          <w:szCs w:val="24"/>
        </w:rPr>
        <w:instrText>ADDIN CSL_CITATION {"citationItems":[{"id":"ITEM-1","itemData":{"DOI":"10.1080/14778238.2019.1599308","ISSN":"14778246","abstract":"The premises of the resource-based theory, hypothesising that valuable and rare resources and capabilities, contribute to a firm’s competitive advantage and, consequently, superior performance, seem to be based more on intuition than empirical evidence. This study aims to empirically investigate the relationship between value, rareness, competitive advantage, and performance. Based on data from 107 Portuguese KIBS firms, the findings show that value neither is related to competitive advantage nor performance, while KIBS with rare combinations are likely to achieve higher levels of competitive advantage and performance. In addition to a direct positive influence on performance, competitive advantage was found to have a partial mediating role in the rareness–performance relationship, indicating an indirect effect of the rareness characteristic and a fundamental precedent role of competitive advantage to performance. This research contributes towards a better operationalisation of the theory, evidencing the importance of resource/capability characteristics fororganisational success.","author":[{"dropping-particle":"","family":"Baia","given":"Elisabeth","non-dropping-particle":"","parse-names":false,"suffix":""},{"dropping-particle":"","family":"Ferreira","given":"João J.","non-dropping-particle":"","parse-names":false,"suffix":""},{"dropping-particle":"","family":"Rodrigues","given":"Ricardo","non-dropping-particle":"","parse-names":false,"suffix":""}],"container-title":"Knowledge Management Research and Practice","id":"ITEM-1","issue":"3","issued":{"date-parts":[["2020"]]},"page":"249-262","publisher":"Taylor &amp; Francis","title":"Value and rareness of resources and capabilities as sources of competitive advantage and superior performance","type":"article-journal","volume":"18"},"uris":["http://www.mendeley.com/documents/?uuid=793acaaa-db67-40b4-8175-2fc16d4ee932","http://www.mendeley.com/documents/?uuid=c0460fc8-eaf4-4210-b2cb-1e2b99c45d5d"]},{"id":"ITEM-2","itemData":{"DOI":"10.1080/19416520.2016.1161966","ISSN":"19416067","abstract":"Abstract: The dynamic capability view (DCV) of the firm has become one of the leading frameworks aimed at identifying drivers of long-term firm survival and growth. Yet, despite considerable academic interest, there are many questions about what dynamic capabilities (DCs) are, how they relate to other organizational operations, and how they relate to firm performance. In this article, we provide a unique and comprehensive examination of the DCV literature that goes beyond past reviews by combining text-based analysis with surveys of, and interviews with, researchers in the field. With this approach, we are able to examine the evolution of the DCV in written literature and identify missing research themes. Based on this review, we argue that future research will benefit from integrating the DCV with configuration theory and the recent micro foundational thinking. We encapsulate this discussion via an architectural model of the DCV (entitled “House of Dynamic Capabilities”) that combines micro foundations underlying DCs at the varying levels of analysis (individual, business unit, and organizational) while also accounting for important enablers of DCs and firm strategic orientation. We also show how this logic requires a completely different set of methodological approaches to those currently in use.","author":[{"dropping-particle":"","family":"Wilden","given":"Ralf","non-dropping-particle":"","parse-names":false,"suffix":""},{"dropping-particle":"","family":"Devinney","given":"Timothy M.","non-dropping-particle":"","parse-names":false,"suffix":""},{"dropping-particle":"","family":"Dowling","given":"Grahame R.","non-dropping-particle":"","parse-names":false,"suffix":""}],"container-title":"Academy of Management Annals","id":"ITEM-2","issue":"1","issued":{"date-parts":[["2016"]]},"page":"997-1076","title":"The Architecture of Dynamic Capability Research Identifying the Building Blocks of a Configurational Approach","type":"article-journal","volume":"10"},"uris":["http://www.mendeley.com/documents/?uuid=7bcc2d88-f51a-4809-896c-5d81548d545b"]}],"mendeley":{"formattedCitation":"(Baia et al., 2020; Wilden et al., 2016)","plainTextFormattedCitation":"(Baia et al., 2020; Wilden et al., 2016)","previouslyFormattedCitation":"(Baia et al., 2020; Wilden et al., 2016)"},"properties":{"noteIndex":0},"schema":"https://github.com/citation-style-language/schema/raw/master/csl-citation.json"}</w:instrText>
      </w:r>
      <w:r w:rsidR="005740D8" w:rsidRPr="001C2C36">
        <w:rPr>
          <w:rFonts w:cs="Times New Roman"/>
          <w:szCs w:val="24"/>
        </w:rPr>
        <w:fldChar w:fldCharType="separate"/>
      </w:r>
      <w:r w:rsidR="005740D8" w:rsidRPr="001C2C36">
        <w:rPr>
          <w:rFonts w:cs="Times New Roman"/>
          <w:noProof/>
          <w:szCs w:val="24"/>
        </w:rPr>
        <w:t>(Baia et al., 2020; Wilden et al., 2016)</w:t>
      </w:r>
      <w:r w:rsidR="005740D8" w:rsidRPr="001C2C36">
        <w:rPr>
          <w:rFonts w:cs="Times New Roman"/>
          <w:szCs w:val="24"/>
        </w:rPr>
        <w:fldChar w:fldCharType="end"/>
      </w:r>
      <w:r w:rsidR="004570BF" w:rsidRPr="001C2C36">
        <w:rPr>
          <w:rFonts w:cs="Times New Roman"/>
          <w:szCs w:val="24"/>
        </w:rPr>
        <w:t xml:space="preserve"> </w:t>
      </w:r>
      <w:r w:rsidR="003A5D37" w:rsidRPr="001C2C36">
        <w:rPr>
          <w:rFonts w:cs="Times New Roman"/>
          <w:szCs w:val="24"/>
        </w:rPr>
        <w:t xml:space="preserve">on how DCs </w:t>
      </w:r>
      <w:r w:rsidR="00DA4875" w:rsidRPr="001C2C36">
        <w:rPr>
          <w:rFonts w:cs="Times New Roman"/>
          <w:szCs w:val="24"/>
        </w:rPr>
        <w:t xml:space="preserve">affect the performance of </w:t>
      </w:r>
      <w:r w:rsidR="00DD4E97" w:rsidRPr="001C2C36">
        <w:rPr>
          <w:rFonts w:cs="Times New Roman"/>
          <w:szCs w:val="24"/>
        </w:rPr>
        <w:t>SMEs</w:t>
      </w:r>
      <w:r w:rsidR="00DA4875" w:rsidRPr="001C2C36">
        <w:rPr>
          <w:rFonts w:cs="Times New Roman"/>
          <w:szCs w:val="24"/>
        </w:rPr>
        <w:t xml:space="preserve">. We find evidence that </w:t>
      </w:r>
      <w:r w:rsidR="00AF7EFF" w:rsidRPr="001C2C36">
        <w:rPr>
          <w:rFonts w:cs="Times New Roman"/>
          <w:szCs w:val="24"/>
        </w:rPr>
        <w:t xml:space="preserve">the initial rationale offered by Teece et al. </w:t>
      </w:r>
      <w:r w:rsidR="00AF7EFF" w:rsidRPr="001C2C36">
        <w:rPr>
          <w:rFonts w:cs="Times New Roman"/>
          <w:szCs w:val="24"/>
        </w:rPr>
        <w:fldChar w:fldCharType="begin" w:fldLock="1"/>
      </w:r>
      <w:r w:rsidR="006D7496" w:rsidRPr="001C2C36">
        <w:rPr>
          <w:rFonts w:cs="Times New Roman"/>
          <w:szCs w:val="24"/>
        </w:rPr>
        <w:instrText>ADDIN CSL_CITATION {"citationItems":[{"id":"ITEM-1","itemData":{"ISBN":"978-0-7506-7088-3","ISSN":"01432095","PMID":"20859841","abstract":"HISTORY AND ADMISSION FINDINGS A 72-year-old woman presented with progressive dyspnea on exertion. There was no chest pain. A 4/6 systolic murmur was detected on auscultation. INVESTIGATIONS Echocardiography demonstrated a combined aortic valve defect with severe stenosis and moderate insufficiency, additionally a persistent foramen ovale. The coronary angiography revealed coronary heart disease with severe stenosis of the left anterior descending (LAD) and the right coronary artery (RCA). The stenosis of the aortic valve was severe (Pmax 91 mm Hg, Pmean 52 mm Hg). During catheterization of the right heart iatrogenic perforation of a pulmonary artery occurred, resulting in diffuse pulmonary bleeding. The patient suffered from progredient dyspnea and hemoptysis. DIAGNOSIS, TREATMENT AND COURSE Catheter-induced rupture of an artery of the right inferior pulmonary lobe was diagnosed. Because of bleeding into this lobe an immediate intubation with a double-lumen bronchial tube was necessary to ensure ventilation of the contralateral lung. Several attempts to occlude the arterial leak by ballon failed. Bleeding stopped after embolisation of the vessel by injection of thrombin. CONCLUSION Iatrogenic rupture of a pulmonary artery is a rare and life-threatening complication of the catheterization of the right heart and demands rapid therapy. The protection of the contralateral lung by intubation with a double-lumen tubes is of highest priority. Selective embolization of the affected vessel via thrombin can be a lifesaving alternative to lobectomy or conservative therapy.","author":[{"dropping-particle":"","family":"Teece","given":"David J.","non-dropping-particle":"","parse-names":false,"suffix":""},{"dropping-particle":"","family":"Pisano","given":"GARY","non-dropping-particle":"","parse-names":false,"suffix":""},{"dropping-particle":"","family":"Shuen","given":"Amy","non-dropping-particle":"","parse-names":false,"suffix":""}],"container-title":"Strategic Management Journal","id":"ITEM-1","issue":"7","issued":{"date-parts":[["1997","8","21"]]},"page":"509-533","title":"Dynamic capabilities and strategic management","type":"article-journal","volume":"18"},"suppress-author":1,"uris":["http://www.mendeley.com/documents/?uuid=dd66741e-1540-48d6-b6bf-89df2bab3f1f"]}],"mendeley":{"formattedCitation":"(1997)","plainTextFormattedCitation":"(1997)","previouslyFormattedCitation":"(1997)"},"properties":{"noteIndex":0},"schema":"https://github.com/citation-style-language/schema/raw/master/csl-citation.json"}</w:instrText>
      </w:r>
      <w:r w:rsidR="00AF7EFF" w:rsidRPr="001C2C36">
        <w:rPr>
          <w:rFonts w:cs="Times New Roman"/>
          <w:szCs w:val="24"/>
        </w:rPr>
        <w:fldChar w:fldCharType="separate"/>
      </w:r>
      <w:r w:rsidR="001141CB" w:rsidRPr="001C2C36">
        <w:rPr>
          <w:rFonts w:cs="Times New Roman"/>
          <w:noProof/>
          <w:szCs w:val="24"/>
        </w:rPr>
        <w:t>(1997)</w:t>
      </w:r>
      <w:r w:rsidR="00AF7EFF" w:rsidRPr="001C2C36">
        <w:rPr>
          <w:rFonts w:cs="Times New Roman"/>
          <w:szCs w:val="24"/>
        </w:rPr>
        <w:fldChar w:fldCharType="end"/>
      </w:r>
      <w:r w:rsidR="00AF7EFF" w:rsidRPr="001C2C36">
        <w:rPr>
          <w:rFonts w:cs="Times New Roman"/>
          <w:szCs w:val="24"/>
        </w:rPr>
        <w:t xml:space="preserve"> is valid in the context of Covid-19. </w:t>
      </w:r>
      <w:r w:rsidR="00F73C20" w:rsidRPr="001C2C36">
        <w:rPr>
          <w:rFonts w:cs="Times New Roman"/>
          <w:szCs w:val="24"/>
        </w:rPr>
        <w:t>DCs are critical</w:t>
      </w:r>
      <w:r w:rsidR="00AF7EFF" w:rsidRPr="001C2C36">
        <w:rPr>
          <w:rFonts w:cs="Times New Roman"/>
          <w:szCs w:val="24"/>
        </w:rPr>
        <w:t xml:space="preserve"> </w:t>
      </w:r>
      <w:r w:rsidR="00EE68F1" w:rsidRPr="001C2C36">
        <w:rPr>
          <w:rFonts w:cs="Times New Roman"/>
        </w:rPr>
        <w:t>in sensing and seizing opportunities</w:t>
      </w:r>
      <w:r w:rsidR="00AE5E38" w:rsidRPr="001C2C36">
        <w:rPr>
          <w:rFonts w:cs="Times New Roman"/>
        </w:rPr>
        <w:t xml:space="preserve"> and the reconfiguration of resources</w:t>
      </w:r>
      <w:r w:rsidR="00EE68F1" w:rsidRPr="001C2C36">
        <w:rPr>
          <w:rFonts w:cs="Times New Roman"/>
        </w:rPr>
        <w:t xml:space="preserve"> to enable </w:t>
      </w:r>
      <w:r w:rsidR="00AE5E38" w:rsidRPr="001C2C36">
        <w:rPr>
          <w:rFonts w:cs="Times New Roman"/>
        </w:rPr>
        <w:t xml:space="preserve">the </w:t>
      </w:r>
      <w:r w:rsidR="00EE68F1" w:rsidRPr="001C2C36">
        <w:rPr>
          <w:rFonts w:cs="Times New Roman"/>
        </w:rPr>
        <w:t xml:space="preserve">adaptation of business models </w:t>
      </w:r>
      <w:r w:rsidR="00EE68F1" w:rsidRPr="001C2C36">
        <w:rPr>
          <w:rFonts w:cs="Times New Roman"/>
        </w:rPr>
        <w:fldChar w:fldCharType="begin" w:fldLock="1"/>
      </w:r>
      <w:r w:rsidR="003D2EF4" w:rsidRPr="001C2C36">
        <w:rPr>
          <w:rFonts w:cs="Times New Roman"/>
        </w:rPr>
        <w:instrText>ADDIN CSL_CITATION {"citationItems":[{"id":"ITEM-1","itemData":{"DOI":"10.1016/j.lrp.2017.06.007","ISSN":"18731872","abstract":"Business models, dynamic capabilities, and strategy are interdependent. The strength of a firm's dynamic capabilities help shape its proficiency at business model design. Through its effect on organization design, a business model influences the firm's dynamic capabilities and places bounds on the feasibility of particular strategies. While these relationships are understood at a theoretical level, there is a need for future empirical work to flesh out the details. In particular, studies that provide a better understanding of business model innovation, implementation, and change will also shed light on important aspects of dynamic capabilities.","author":[{"dropping-particle":"","family":"Teece","given":"David J.","non-dropping-particle":"","parse-names":false,"suffix":""}],"container-title":"Long Range Planning","id":"ITEM-1","issue":"1","issued":{"date-parts":[["2018"]]},"page":"40-49","title":"Business models and dynamic capabilities","type":"article-journal","volume":"51"},"uris":["http://www.mendeley.com/documents/?uuid=097e3f81-3058-44ae-85dc-e0527a1f89f9","http://www.mendeley.com/documents/?uuid=668403e4-45c6-42e9-abd0-afb2362b4c5e"]}],"mendeley":{"formattedCitation":"(Teece, 2018)","plainTextFormattedCitation":"(Teece, 2018)","previouslyFormattedCitation":"(Teece, 2018)"},"properties":{"noteIndex":0},"schema":"https://github.com/citation-style-language/schema/raw/master/csl-citation.json"}</w:instrText>
      </w:r>
      <w:r w:rsidR="00EE68F1" w:rsidRPr="001C2C36">
        <w:rPr>
          <w:rFonts w:cs="Times New Roman"/>
        </w:rPr>
        <w:fldChar w:fldCharType="separate"/>
      </w:r>
      <w:r w:rsidR="00EE68F1" w:rsidRPr="001C2C36">
        <w:rPr>
          <w:rFonts w:cs="Times New Roman"/>
          <w:noProof/>
        </w:rPr>
        <w:t>(Teece, 2018)</w:t>
      </w:r>
      <w:r w:rsidR="00EE68F1" w:rsidRPr="001C2C36">
        <w:rPr>
          <w:rFonts w:cs="Times New Roman"/>
        </w:rPr>
        <w:fldChar w:fldCharType="end"/>
      </w:r>
      <w:r w:rsidR="00EE68F1" w:rsidRPr="001C2C36">
        <w:rPr>
          <w:rFonts w:cs="Times New Roman"/>
        </w:rPr>
        <w:t xml:space="preserve">, which is particularly important during times of </w:t>
      </w:r>
      <w:r w:rsidR="0049098E" w:rsidRPr="001C2C36">
        <w:rPr>
          <w:rFonts w:cs="Times New Roman"/>
        </w:rPr>
        <w:t xml:space="preserve">high </w:t>
      </w:r>
      <w:r w:rsidR="00EE68F1" w:rsidRPr="001C2C36">
        <w:rPr>
          <w:rFonts w:cs="Times New Roman"/>
        </w:rPr>
        <w:t xml:space="preserve">disruption such as the </w:t>
      </w:r>
      <w:r w:rsidR="005E7D88" w:rsidRPr="001C2C36">
        <w:rPr>
          <w:rFonts w:cs="Times New Roman"/>
        </w:rPr>
        <w:t>C</w:t>
      </w:r>
      <w:r w:rsidR="00EE68F1" w:rsidRPr="001C2C36">
        <w:rPr>
          <w:rFonts w:cs="Times New Roman"/>
        </w:rPr>
        <w:t xml:space="preserve">ovid-19 pandemic </w:t>
      </w:r>
      <w:r w:rsidR="00EE68F1" w:rsidRPr="001C2C36">
        <w:rPr>
          <w:rFonts w:cs="Times New Roman"/>
        </w:rPr>
        <w:fldChar w:fldCharType="begin" w:fldLock="1"/>
      </w:r>
      <w:r w:rsidR="00AB3E71" w:rsidRPr="001C2C36">
        <w:rPr>
          <w:rFonts w:cs="Times New Roman"/>
        </w:rPr>
        <w:instrText>ADDIN CSL_CITATION {"citationItems":[{"id":"ITEM-1","itemData":{"DOI":"10.1016/j.indmarman.2022.04.009","ISSN":"00198501","abstract":"Building the resilience capacity of businesses is important for economic, social and community recovery during the COVID-19 pandemic, yet organizational resilience is under-examined in the marketing literature. Crises and disasters can significantly impact small and medium enterprises (SMEs), affecting their ability to mitigate, respond and recover. Social capital (SC) is a key resource that can be mobilized by SMEs to tap the resources embedded in internal and external relationships to respond to disruptions, yet the mechanism through which SC facilitates organizational resilience is not clear. Using middle-range theorizing, we propose dynamic capabilities (DC) as the key sensing, seizing and reconfiguration resources that transform SC into organizational resilience. The results from a sample of SMEs (n = 419) in Australia and New Zealand demonstrate that internal SC has a positive effect on external SC (customer-focused). Only internal SC has a direct effect on organizational resilience. DC partially and fully mediates the relationship between internal and external SC and organizational resilience respectively. Implications for theory and practice are offered.","author":[{"dropping-particle":"","family":"Ozanne","given":"Lucie K.","non-dropping-particle":"","parse-names":false,"suffix":""},{"dropping-particle":"","family":"Chowdhury","given":"Mesbahuddin","non-dropping-particle":"","parse-names":false,"suffix":""},{"dropping-particle":"","family":"Prayag","given":"Girish","non-dropping-particle":"","parse-names":false,"suffix":""},{"dropping-particle":"","family":"Mollenkopf","given":"Diane A.","non-dropping-particle":"","parse-names":false,"suffix":""}],"container-title":"Industrial Marketing Management","id":"ITEM-1","issued":{"date-parts":[["2022"]]},"page":"116-135","title":"SMEs navigating COVID-19: The influence of social capital and dynamic capabilities on organizational resilience","type":"article-journal","volume":"104"},"uris":["http://www.mendeley.com/documents/?uuid=33218c3f-0826-4c24-a546-0638d7276e56"]},{"id":"ITEM-2","itemData":{"DOI":"https://doi.org/10.1371/journal.pone.0252423","ISBN":"1111111111","ISSN":"19326203","PMID":"34129597","abstract":"Dynamic capabilities, resulting from activities that allow conscious and skillful modification of a firm’s strategic potential, are seen as one of the key drivers of a firm’s value creation, competitive advantage and above-average performance in changing environments. However, little is known about how dynamic capabilities can shape business survival and performance during crises. The research objective of this paper is twofold. First, through a literature review, we seek to identify which first-order dynamic capabilities–managerial decisions under uncertainty—are vital for rapid response to a crisis. Second, we present the results of research carried out among 151 small and medium-sized companies in Poland immediately after the beginning of the economic lockdown (April 2020). The survey that we developed identifies which dynamic capabilities were essential for businesses to survive during this unexpected black swan event. We also present dependence and regression analyses showing the links between the identified dynamic capabilities and value creation, understood as retaining employees and production levels, as well as value capture, understood as maintaining cash flow and current revenues.","author":[{"dropping-particle":"","family":"Dyduch","given":"Wojciech","non-dropping-particle":"","parse-names":false,"suffix":""},{"dropping-particle":"","family":"Chudziński","given":"Paweł","non-dropping-particle":"","parse-names":false,"suffix":""},{"dropping-particle":"","family":"Cyfert","given":"Szymon","non-dropping-particle":"","parse-names":false,"suffix":""},{"dropping-particle":"","family":"Zastempowski","given":"Maciej","non-dropping-particle":"","parse-names":false,"suffix":""}],"container-title":"PLoS ONE","id":"ITEM-2","issued":{"date-parts":[["2021"]]},"page":"1-28","title":"Dynamic capabilities, value creation and value capture: Evidence from SMEs under Covid-19 lockdown in Poland","type":"article-journal","volume":"16"},"uris":["http://www.mendeley.com/documents/?uuid=47d85c8c-e840-444e-9f73-8ceb5f38c9b4"]}],"mendeley":{"formattedCitation":"(Dyduch et al., 2021; Ozanne et al., 2022)","plainTextFormattedCitation":"(Dyduch et al., 2021; Ozanne et al., 2022)","previouslyFormattedCitation":"(Dyduch et al., 2021; Ozanne et al., 2022)"},"properties":{"noteIndex":0},"schema":"https://github.com/citation-style-language/schema/raw/master/csl-citation.json"}</w:instrText>
      </w:r>
      <w:r w:rsidR="00EE68F1" w:rsidRPr="001C2C36">
        <w:rPr>
          <w:rFonts w:cs="Times New Roman"/>
        </w:rPr>
        <w:fldChar w:fldCharType="separate"/>
      </w:r>
      <w:r w:rsidR="00956E3A" w:rsidRPr="001C2C36">
        <w:rPr>
          <w:rFonts w:cs="Times New Roman"/>
          <w:noProof/>
        </w:rPr>
        <w:t>(Dyduch et al., 2021; Ozanne et al., 2022)</w:t>
      </w:r>
      <w:r w:rsidR="00EE68F1" w:rsidRPr="001C2C36">
        <w:rPr>
          <w:rFonts w:cs="Times New Roman"/>
        </w:rPr>
        <w:fldChar w:fldCharType="end"/>
      </w:r>
      <w:r w:rsidR="00807643" w:rsidRPr="001C2C36">
        <w:rPr>
          <w:rFonts w:cs="Times New Roman"/>
        </w:rPr>
        <w:t xml:space="preserve"> </w:t>
      </w:r>
      <w:r w:rsidR="00807643" w:rsidRPr="001C2C36">
        <w:rPr>
          <w:rFonts w:cs="Times New Roman"/>
          <w:szCs w:val="24"/>
        </w:rPr>
        <w:t xml:space="preserve">when </w:t>
      </w:r>
      <w:r w:rsidR="00943C37" w:rsidRPr="001C2C36">
        <w:rPr>
          <w:rFonts w:cs="Times New Roman"/>
          <w:szCs w:val="24"/>
        </w:rPr>
        <w:t xml:space="preserve">conditions </w:t>
      </w:r>
      <w:r w:rsidR="00807643" w:rsidRPr="001C2C36">
        <w:rPr>
          <w:rFonts w:cs="Times New Roman"/>
          <w:szCs w:val="24"/>
        </w:rPr>
        <w:t xml:space="preserve">are dynamic </w:t>
      </w:r>
      <w:r w:rsidR="00807643" w:rsidRPr="001C2C36">
        <w:rPr>
          <w:rFonts w:cs="Times New Roman"/>
          <w:szCs w:val="24"/>
        </w:rPr>
        <w:fldChar w:fldCharType="begin" w:fldLock="1"/>
      </w:r>
      <w:r w:rsidR="006D7496" w:rsidRPr="001C2C36">
        <w:rPr>
          <w:rFonts w:cs="Times New Roman"/>
          <w:szCs w:val="24"/>
        </w:rPr>
        <w:instrText>ADDIN CSL_CITATION {"citationItems":[{"id":"ITEM-1","itemData":{"DOI":"10.1177/1476127008100133","ISBN":"1476-1270","ISSN":"14761270","PMID":"225009644","abstract":"The aim of dynamic capabilities research is ambitious: to understand how firms can sustain a competitive advantage by responding to and creating environmen- tal change (Teece, 2007). As one of the most central and difficult questions within the strategy domain, this might well be characterized as the Holy Grail of strategic management. The topical domain of dynamic capabilities, in conse- quence, is as broad and as complex as any in the field. It spans the domains of strategy process and content, and involves multiple levels of analysis, from man- agerial decision-processes, to organizational routines, to competitive inter- actions and environmental change. The complexity of the topic is matched, fittingly, by the complexity of the theoretical underpinnings. Undoubtedly, this has generated some confusion. It is therefore not surprising that the critique of Arend and Bromiley (A&amp;B) in the preceding essay reflects some of this confu- sion. Here, we address this by clarifying the dynamic capabilities concept, in relation to its development and the challenges faced. We first survey the development path of dynamic capabilities research, and discuss the different theoretical bases of this emerging area of scholarship. Then we clarify issues regarding the definition of dynamic capabilities and discuss the link between dynamic capabilities and firm performance. As part of our analy- sis, we address the two main conclusions of A&amp;B regarding dynamic capabil- ities research. The first is that we should abandon the dynamic capabilities approach if it does not ‘quickly develop a theoretical foundation’. The second is that regardless of the pace of theory development, we should replace these efforts with ‘work on strategic change tied to fuller theories of strategic organ- ization’. In what follows, we explain why these conclusions are premature and unwarranted. We also address other issues raised by A&amp;B, focusing on the main issues raised in the body of their commentary.","author":[{"dropping-particle":"","family":"Helfat","given":"Constance E.","non-dropping-particle":"","parse-names":false,"suffix":""},{"dropping-particle":"","family":"Peteraf","given":"Margaret A.","non-dropping-particle":"","parse-names":false,"suffix":""}],"container-title":"Strategic Organization","id":"ITEM-1","issue":"1","issued":{"date-parts":[["2009","2"]]},"page":"91-102","title":"Understanding dynamic capabilities: Progress along a developmental path","type":"article-journal","volume":"7"},"uris":["http://www.mendeley.com/documents/?uuid=ac4bea94-e94e-4c06-9796-4165a757e3ee","http://www.mendeley.com/documents/?uuid=a56e5ac2-6180-39c9-b57a-bf0a21a6e7d9"]},{"id":"ITEM-2","itemData":{"ISBN":"978-0-7506-7088-3","ISSN":"01432095","PMID":"20859841","abstract":"HISTORY AND ADMISSION FINDINGS A 72-year-old woman presented with progressive dyspnea on exertion. There was no chest pain. A 4/6 systolic murmur was detected on auscultation. INVESTIGATIONS Echocardiography demonstrated a combined aortic valve defect with severe stenosis and moderate insufficiency, additionally a persistent foramen ovale. The coronary angiography revealed coronary heart disease with severe stenosis of the left anterior descending (LAD) and the right coronary artery (RCA). The stenosis of the aortic valve was severe (Pmax 91 mm Hg, Pmean 52 mm Hg). During catheterization of the right heart iatrogenic perforation of a pulmonary artery occurred, resulting in diffuse pulmonary bleeding. The patient suffered from progredient dyspnea and hemoptysis. DIAGNOSIS, TREATMENT AND COURSE Catheter-induced rupture of an artery of the right inferior pulmonary lobe was diagnosed. Because of bleeding into this lobe an immediate intubation with a double-lumen bronchial tube was necessary to ensure ventilation of the contralateral lung. Several attempts to occlude the arterial leak by ballon failed. Bleeding stopped after embolisation of the vessel by injection of thrombin. CONCLUSION Iatrogenic rupture of a pulmonary artery is a rare and life-threatening complication of the catheterization of the right heart and demands rapid therapy. The protection of the contralateral lung by intubation with a double-lumen tubes is of highest priority. Selective embolization of the affected vessel via thrombin can be a lifesaving alternative to lobectomy or conservative therapy.","author":[{"dropping-particle":"","family":"Teece","given":"David J.","non-dropping-particle":"","parse-names":false,"suffix":""},{"dropping-particle":"","family":"Pisano","given":"GARY","non-dropping-particle":"","parse-names":false,"suffix":""},{"dropping-particle":"","family":"Shuen","given":"Amy","non-dropping-particle":"","parse-names":false,"suffix":""}],"container-title":"Strategic Management Journal","id":"ITEM-2","issue":"7","issued":{"date-parts":[["1997","8","21"]]},"page":"509-533","title":"Dynamic capabilities and strategic management","type":"article-journal","volume":"18"},"uris":["http://www.mendeley.com/documents/?uuid=dd66741e-1540-48d6-b6bf-89df2bab3f1f"]},{"id":"ITEM-3","itemData":{"DOI":"10.1002/smj.2099","ISBN":"1097-0266","ISSN":"01432095","abstract":"Examining how compensation structure affects mobility and entrepreneurship decisions of employees, particularly those at the extreme ends of the performance distribution, we find that employees with high performance are less likely to leave firms with highly dispersed compensation. However, if these “high performers” do leave these employers, they are more likely to create or join new firms. Employees with lower performance are more likely to leave firms with high pay dispersion, but less likely to move to new ventures. Additionally, we show that mobility and entrepreneurship result in employees’ receiving higher compensation, regardless of their performance level.","author":[{"dropping-particle":"","family":"Schilke","given":"Oliver","non-dropping-particle":"","parse-names":false,"suffix":""}],"container-title":"Strategic Management Journal","id":"ITEM-3","issue":"2","issued":{"date-parts":[["2014","2"]]},"page":"179-203","title":"On the contingent value of dynamic capabilities for competitive advantage: The nonlinear moderating effect of environmental dynamism","type":"article-journal","volume":"35"},"uris":["http://www.mendeley.com/documents/?uuid=57e130b1-ff46-4a96-9a03-4846c7135805","http://www.mendeley.com/documents/?uuid=855b8746-739e-4775-9018-c7e7a0d299d9","http://www.mendeley.com/documents/?uuid=2ade51ae-dae5-4ef5-977e-dcff90a8dbd7"]}],"mendeley":{"formattedCitation":"(Helfat and Peteraf, 2009; Schilke, 2014; Teece et al., 1997)","plainTextFormattedCitation":"(Helfat and Peteraf, 2009; Schilke, 2014; Teece et al., 1997)","previouslyFormattedCitation":"(Helfat and Peteraf, 2009; Schilke, 2014; Teece et al., 1997)"},"properties":{"noteIndex":0},"schema":"https://github.com/citation-style-language/schema/raw/master/csl-citation.json"}</w:instrText>
      </w:r>
      <w:r w:rsidR="00807643" w:rsidRPr="001C2C36">
        <w:rPr>
          <w:rFonts w:cs="Times New Roman"/>
          <w:szCs w:val="24"/>
        </w:rPr>
        <w:fldChar w:fldCharType="separate"/>
      </w:r>
      <w:r w:rsidR="001141CB" w:rsidRPr="001C2C36">
        <w:rPr>
          <w:rFonts w:cs="Times New Roman"/>
          <w:noProof/>
          <w:szCs w:val="24"/>
        </w:rPr>
        <w:t>(Helfat and Peteraf, 2009; Schilke, 2014; Teece et al., 1997)</w:t>
      </w:r>
      <w:r w:rsidR="00807643" w:rsidRPr="001C2C36">
        <w:rPr>
          <w:rFonts w:cs="Times New Roman"/>
          <w:szCs w:val="24"/>
        </w:rPr>
        <w:fldChar w:fldCharType="end"/>
      </w:r>
      <w:r w:rsidR="00807643" w:rsidRPr="001C2C36">
        <w:rPr>
          <w:rFonts w:cs="Times New Roman"/>
          <w:szCs w:val="24"/>
        </w:rPr>
        <w:t>.</w:t>
      </w:r>
      <w:r w:rsidR="00811C09" w:rsidRPr="001C2C36">
        <w:rPr>
          <w:rFonts w:cs="Times New Roman"/>
          <w:szCs w:val="24"/>
        </w:rPr>
        <w:t xml:space="preserve"> This means that SMEs with DCs can </w:t>
      </w:r>
      <w:r w:rsidR="006414F3" w:rsidRPr="001C2C36">
        <w:rPr>
          <w:rFonts w:cs="Times New Roman"/>
          <w:szCs w:val="24"/>
        </w:rPr>
        <w:t xml:space="preserve">better </w:t>
      </w:r>
      <w:r w:rsidR="00811C09" w:rsidRPr="001C2C36">
        <w:rPr>
          <w:rFonts w:cs="Times New Roman"/>
          <w:szCs w:val="24"/>
        </w:rPr>
        <w:t xml:space="preserve">adapt to shocks by taking advantage of opportunities, leading to </w:t>
      </w:r>
      <w:r w:rsidR="008D4861" w:rsidRPr="001C2C36">
        <w:rPr>
          <w:rFonts w:cs="Times New Roman"/>
          <w:szCs w:val="24"/>
        </w:rPr>
        <w:t>increased employment growth aspirations</w:t>
      </w:r>
      <w:r w:rsidR="00811C09" w:rsidRPr="001C2C36">
        <w:rPr>
          <w:rFonts w:cs="Times New Roman"/>
          <w:szCs w:val="24"/>
        </w:rPr>
        <w:t xml:space="preserve">. </w:t>
      </w:r>
    </w:p>
    <w:p w14:paraId="4A576B60" w14:textId="298BEF38" w:rsidR="00257D08" w:rsidRPr="001C2C36" w:rsidRDefault="75C01876" w:rsidP="21F03F9F">
      <w:pPr>
        <w:rPr>
          <w:rFonts w:cs="Times New Roman"/>
        </w:rPr>
      </w:pPr>
      <w:r w:rsidRPr="21F03F9F">
        <w:rPr>
          <w:rFonts w:cs="Times New Roman"/>
        </w:rPr>
        <w:t>Our finding</w:t>
      </w:r>
      <w:r w:rsidR="7E7D0F36" w:rsidRPr="21F03F9F">
        <w:rPr>
          <w:rFonts w:cs="Times New Roman"/>
        </w:rPr>
        <w:t>s</w:t>
      </w:r>
      <w:r w:rsidR="6CACFA91" w:rsidRPr="21F03F9F">
        <w:rPr>
          <w:rFonts w:cs="Times New Roman"/>
        </w:rPr>
        <w:t xml:space="preserve"> </w:t>
      </w:r>
      <w:r w:rsidR="76211153" w:rsidRPr="21F03F9F">
        <w:rPr>
          <w:rFonts w:cs="Times New Roman"/>
        </w:rPr>
        <w:t>demonstrating</w:t>
      </w:r>
      <w:r w:rsidR="6CACFA91" w:rsidRPr="21F03F9F">
        <w:rPr>
          <w:rFonts w:cs="Times New Roman"/>
        </w:rPr>
        <w:t xml:space="preserve"> </w:t>
      </w:r>
      <w:r w:rsidR="7E7D0F36" w:rsidRPr="21F03F9F">
        <w:rPr>
          <w:rFonts w:cs="Times New Roman"/>
        </w:rPr>
        <w:t>the</w:t>
      </w:r>
      <w:r w:rsidR="278BF266" w:rsidRPr="21F03F9F">
        <w:rPr>
          <w:rFonts w:cs="Times New Roman"/>
        </w:rPr>
        <w:t xml:space="preserve"> positive effect</w:t>
      </w:r>
      <w:r w:rsidR="7549BABC" w:rsidRPr="21F03F9F">
        <w:rPr>
          <w:rFonts w:cs="Times New Roman"/>
        </w:rPr>
        <w:t xml:space="preserve"> of DCs</w:t>
      </w:r>
      <w:r w:rsidR="278BF266" w:rsidRPr="21F03F9F">
        <w:rPr>
          <w:rFonts w:cs="Times New Roman"/>
        </w:rPr>
        <w:t xml:space="preserve"> on employment </w:t>
      </w:r>
      <w:r w:rsidR="76211153" w:rsidRPr="21F03F9F">
        <w:rPr>
          <w:rFonts w:cs="Times New Roman"/>
        </w:rPr>
        <w:t>supplement</w:t>
      </w:r>
      <w:r w:rsidRPr="21F03F9F">
        <w:rPr>
          <w:rFonts w:cs="Times New Roman"/>
        </w:rPr>
        <w:t xml:space="preserve"> the wider literature </w:t>
      </w:r>
      <w:r w:rsidR="76211153" w:rsidRPr="21F03F9F">
        <w:rPr>
          <w:rFonts w:cs="Times New Roman"/>
        </w:rPr>
        <w:t>indicating</w:t>
      </w:r>
      <w:r w:rsidRPr="21F03F9F">
        <w:rPr>
          <w:rFonts w:cs="Times New Roman"/>
        </w:rPr>
        <w:t xml:space="preserve"> that DCs</w:t>
      </w:r>
      <w:r w:rsidR="0C6E2791" w:rsidRPr="21F03F9F">
        <w:rPr>
          <w:rFonts w:cs="Times New Roman"/>
        </w:rPr>
        <w:t xml:space="preserve"> are positively associated with </w:t>
      </w:r>
      <w:r w:rsidR="76211153" w:rsidRPr="21F03F9F">
        <w:rPr>
          <w:rFonts w:cs="Times New Roman"/>
        </w:rPr>
        <w:t xml:space="preserve">a range of </w:t>
      </w:r>
      <w:r w:rsidR="1C4555CE" w:rsidRPr="21F03F9F">
        <w:rPr>
          <w:rFonts w:cs="Times New Roman"/>
        </w:rPr>
        <w:t>performance</w:t>
      </w:r>
      <w:r w:rsidR="6E636C9C" w:rsidRPr="21F03F9F">
        <w:rPr>
          <w:rFonts w:cs="Times New Roman"/>
        </w:rPr>
        <w:t xml:space="preserve"> measures</w:t>
      </w:r>
      <w:r w:rsidR="420F0742" w:rsidRPr="21F03F9F">
        <w:rPr>
          <w:rFonts w:cs="Times New Roman"/>
        </w:rPr>
        <w:t xml:space="preserve"> during </w:t>
      </w:r>
      <w:r w:rsidR="420F0742" w:rsidRPr="21F03F9F">
        <w:rPr>
          <w:rFonts w:cs="Times New Roman"/>
        </w:rPr>
        <w:lastRenderedPageBreak/>
        <w:t>the Covid-19 pandemic</w:t>
      </w:r>
      <w:r w:rsidR="6E636C9C" w:rsidRPr="21F03F9F">
        <w:rPr>
          <w:rFonts w:cs="Times New Roman"/>
        </w:rPr>
        <w:t>, including</w:t>
      </w:r>
      <w:r w:rsidR="55E7891F" w:rsidRPr="21F03F9F">
        <w:rPr>
          <w:rFonts w:cs="Times New Roman"/>
        </w:rPr>
        <w:t xml:space="preserve"> greater operation levels and turnover </w:t>
      </w:r>
      <w:r w:rsidR="006414F3" w:rsidRPr="21F03F9F">
        <w:rPr>
          <w:rFonts w:cs="Times New Roman"/>
        </w:rPr>
        <w:fldChar w:fldCharType="begin" w:fldLock="1"/>
      </w:r>
      <w:r w:rsidR="006414F3" w:rsidRPr="21F03F9F">
        <w:rPr>
          <w:rFonts w:cs="Times New Roman"/>
        </w:rPr>
        <w:instrText>ADDIN CSL_CITATION {"citationItems":[{"id":"ITEM-1","itemData":{"DOI":"10.1007/s11846-022-00569-x","ISBN":"1184602200569","ISSN":"1863-6683","abstract":"This paper addresses the debate on the ability/inability of SMEs to balance social, environmental and economic objectives by integrating insights from the dynamic capabilities literature. Using unique survey data from 297 Dutch SMEs, we propose that integrative dynamic capabilities simultaneously drive all three pillars of sustainability in SMEs.","author":[{"dropping-particle":"","family":"Dejardin","given":"Marcus","non-dropping-particle":"","parse-names":false,"suffix":""},{"dropping-particle":"","family":"Raposo","given":"Mario L.","non-dropping-particle":"","parse-names":false,"suffix":""},{"dropping-particle":"","family":"Ferreira","given":"João J.","non-dropping-particle":"","parse-names":false,"suffix":""},{"dropping-particle":"","family":"Fernandes","given":"Cristina I.","non-dropping-particle":"","parse-names":false,"suffix":""},{"dropping-particle":"","family":"Veiga","given":"Pedro M.","non-dropping-particle":"","parse-names":false,"suffix":""},{"dropping-particle":"","family":"Farinha","given":"Luís","non-dropping-particle":"","parse-names":false,"suffix":""}],"container-title":"Review of Managerial Science","id":"ITEM-1","issue":"1","issued":{"date-parts":[["2022","7","18"]]},"page":"11482","publisher":"Springer Berlin Heidelberg","title":"The impact of dynamic capabilities on SME performance during COVID-19","type":"article-journal","volume":"2018"},"uris":["http://www.mendeley.com/documents/?uuid=a6794bab-f252-46a3-8e62-ecbd672b19b3","http://www.mendeley.com/documents/?uuid=1449dbde-85ad-478b-8a5c-6d9844d29b28","http://www.mendeley.com/documents/?uuid=e4d87ab1-9a9b-4209-9b1c-bd8bf2d5b79d"]},{"id":"ITEM-2","itemData":{"DOI":"10.1177/02662426211033270","ISSN":"17412870","abstract":"COVID-19 wreaked havoc on public health and the global economy. Small and medium-sized enterprises (SMEs) were hit especially hard. In this research note, we test the ability of dynamic capabilities (DCs) to predict SME performance during the pandemic. Based on our analysis of data from a survey conducted in the United States, we find that DCs meaningfully predicted both operational levels and revenue. Furthermore, while the empirical literature suggests that SME size is positively related to DC efficacy, we found that this effect was reversed during COVID-19, as the positive link between DCs and performance was stronger for smaller SMEs.","author":[{"dropping-particle":"","family":"Clampit","given":"Jack A.","non-dropping-particle":"","parse-names":false,"suffix":""},{"dropping-particle":"","family":"Lorenz","given":"Melanie P.","non-dropping-particle":"","parse-names":false,"suffix":""},{"dropping-particle":"","family":"Gamble","given":"John E.","non-dropping-particle":"","parse-names":false,"suffix":""},{"dropping-particle":"","family":"Lee","given":"Jim","non-dropping-particle":"","parse-names":false,"suffix":""}],"container-title":"International Small Business Journal: Researching Entrepreneurship","id":"ITEM-2","issue":"3","issued":{"date-parts":[["2021"]]},"page":"403 –419","title":"Performance stability among small and medium-sized enterprises during COVID-19: A test of the efficacy of dynamic capabilities","type":"article-journal","volume":"40"},"uris":["http://www.mendeley.com/documents/?uuid=91c45b80-89c5-4e6b-aaea-066b44b12e58"]}],"mendeley":{"formattedCitation":"(Clampit et al., 2021; Dejardin et al., 2022)","plainTextFormattedCitation":"(Clampit et al., 2021; Dejardin et al., 2022)","previouslyFormattedCitation":"(Clampit et al., 2021; Dejardin et al., 2022)"},"properties":{"noteIndex":0},"schema":"https://github.com/citation-style-language/schema/raw/master/csl-citation.json"}</w:instrText>
      </w:r>
      <w:r w:rsidR="006414F3" w:rsidRPr="21F03F9F">
        <w:rPr>
          <w:rFonts w:cs="Times New Roman"/>
        </w:rPr>
        <w:fldChar w:fldCharType="separate"/>
      </w:r>
      <w:r w:rsidR="55E7891F" w:rsidRPr="21F03F9F">
        <w:rPr>
          <w:rFonts w:cs="Times New Roman"/>
          <w:noProof/>
        </w:rPr>
        <w:t>(Clampit et al., 2021; Dejardin et al., 2022)</w:t>
      </w:r>
      <w:r w:rsidR="006414F3" w:rsidRPr="21F03F9F">
        <w:rPr>
          <w:rFonts w:cs="Times New Roman"/>
        </w:rPr>
        <w:fldChar w:fldCharType="end"/>
      </w:r>
      <w:r w:rsidR="044F9FEC" w:rsidRPr="21F03F9F">
        <w:rPr>
          <w:rFonts w:cs="Times New Roman"/>
        </w:rPr>
        <w:t>,</w:t>
      </w:r>
      <w:r w:rsidR="55E7891F" w:rsidRPr="21F03F9F">
        <w:rPr>
          <w:rFonts w:cs="Times New Roman"/>
        </w:rPr>
        <w:t xml:space="preserve"> </w:t>
      </w:r>
      <w:r w:rsidR="2B4C58BC" w:rsidRPr="21F03F9F">
        <w:rPr>
          <w:rFonts w:cs="Times New Roman"/>
        </w:rPr>
        <w:t>sales volume growth, sales growth, profit, return on investment, employee productivity, and market share</w:t>
      </w:r>
      <w:r w:rsidR="1C4555CE" w:rsidRPr="21F03F9F">
        <w:rPr>
          <w:rFonts w:cs="Times New Roman"/>
        </w:rPr>
        <w:t xml:space="preserve"> </w:t>
      </w:r>
      <w:r w:rsidR="006414F3" w:rsidRPr="21F03F9F">
        <w:rPr>
          <w:rFonts w:cs="Times New Roman"/>
        </w:rPr>
        <w:fldChar w:fldCharType="begin" w:fldLock="1"/>
      </w:r>
      <w:r w:rsidR="006414F3" w:rsidRPr="21F03F9F">
        <w:rPr>
          <w:rFonts w:cs="Times New Roman"/>
        </w:rPr>
        <w:instrText>ADDIN CSL_CITATION {"citationItems":[{"id":"ITEM-1","itemData":{"DOI":"10.1016/j.im.2022.103689","ISSN":"03787206","author":[{"dropping-particle":"","family":"Li","given":"Lixu","non-dropping-particle":"","parse-names":false,"suffix":""},{"dropping-particle":"","family":"Tong","given":"Yang","non-dropping-particle":"","parse-names":false,"suffix":""},{"dropping-particle":"","family":"Wei","given":"Long","non-dropping-particle":"","parse-names":false,"suffix":""},{"dropping-particle":"","family":"Yang","given":"Shuili","non-dropping-particle":"","parse-names":false,"suffix":""}],"container-title":"Information &amp; Management","id":"ITEM-1","issue":"8","issued":{"date-parts":[["2022","12"]]},"page":"103689","publisher":"Elsevier B.V.","title":"Digital technology-enabled dynamic capabilities and their impacts on firm performance: Evidence from the COVID-19 pandemic","type":"article-journal","volume":"59"},"uris":["http://www.mendeley.com/documents/?uuid=251c389b-106f-4724-9dfc-2275b7c0e091"]}],"mendeley":{"formattedCitation":"(Li et al., 2022)","plainTextFormattedCitation":"(Li et al., 2022)","previouslyFormattedCitation":"(Li et al., 2022)"},"properties":{"noteIndex":0},"schema":"https://github.com/citation-style-language/schema/raw/master/csl-citation.json"}</w:instrText>
      </w:r>
      <w:r w:rsidR="006414F3" w:rsidRPr="21F03F9F">
        <w:rPr>
          <w:rFonts w:cs="Times New Roman"/>
        </w:rPr>
        <w:fldChar w:fldCharType="separate"/>
      </w:r>
      <w:r w:rsidR="1C4555CE" w:rsidRPr="21F03F9F">
        <w:rPr>
          <w:rFonts w:cs="Times New Roman"/>
          <w:noProof/>
        </w:rPr>
        <w:t>(Li et al., 2022)</w:t>
      </w:r>
      <w:r w:rsidR="006414F3" w:rsidRPr="21F03F9F">
        <w:rPr>
          <w:rFonts w:cs="Times New Roman"/>
        </w:rPr>
        <w:fldChar w:fldCharType="end"/>
      </w:r>
      <w:r w:rsidR="5F9024F9" w:rsidRPr="21F03F9F">
        <w:rPr>
          <w:rFonts w:cs="Times New Roman"/>
        </w:rPr>
        <w:t>, competitive advantage</w:t>
      </w:r>
      <w:r w:rsidR="044F9FEC" w:rsidRPr="21F03F9F">
        <w:rPr>
          <w:rFonts w:cs="Times New Roman"/>
        </w:rPr>
        <w:t xml:space="preserve"> </w:t>
      </w:r>
      <w:r w:rsidR="006414F3" w:rsidRPr="21F03F9F">
        <w:rPr>
          <w:rFonts w:cs="Times New Roman"/>
        </w:rPr>
        <w:fldChar w:fldCharType="begin" w:fldLock="1"/>
      </w:r>
      <w:r w:rsidR="006414F3" w:rsidRPr="21F03F9F">
        <w:rPr>
          <w:rFonts w:cs="Times New Roman"/>
        </w:rPr>
        <w:instrText>ADDIN CSL_CITATION {"citationItems":[{"id":"ITEM-1","itemData":{"DOI":"10.1111/joms.12213","ISSN":"14676486","abstract":"We move the dynamic capabilities view (DCV) forward in two important ways by meta-analysing prior empirical studies. First, we evaluate the two core theoretical tenets of the DCV: (1) Dynamic capabilities are positively related to performance, and (2) this relationship is stronger in industries with higher levels of technological dynamism. We find support for the former (rc = 0.296) but not for the latter, though results suggest the existence of moderators. Second, we theorize and demonstrate empirically that higher-order dynamic capabilities are more strongly related to performance than lower-order dynamic capabilities, lower-order dynamic capabilities partially mediate the relationship between higher-order dynamic capabilities and performance, and dynamic capabilities contribute more to performance in developing economies than in developed economies. These findings illustrate how the nature of the dynamic capability and the economic context in which it is utilized shape its value, thus offering a more nuanced conceptualization of the dynamic capabilities-performance relationship.","author":[{"dropping-particle":"","family":"Fainshmidt","given":"Stav","non-dropping-particle":"","parse-names":false,"suffix":""},{"dropping-particle":"","family":"Pezeshkan","given":"Amir","non-dropping-particle":"","parse-names":false,"suffix":""},{"dropping-particle":"","family":"Lance Frazier","given":"M.","non-dropping-particle":"","parse-names":false,"suffix":""},{"dropping-particle":"","family":"Nair","given":"Anil","non-dropping-particle":"","parse-names":false,"suffix":""},{"dropping-particle":"","family":"Markowski","given":"Edward","non-dropping-particle":"","parse-names":false,"suffix":""}],"container-title":"Journal of Management Studies","id":"ITEM-1","issue":"8","issued":{"date-parts":[["2016"]]},"page":"1348-1380","title":"Dynamic Capabilities and Organizational Performance: A Meta-Analytic Evaluation and Extension","type":"article-journal","volume":"53"},"uris":["http://www.mendeley.com/documents/?uuid=1b509680-73a0-4f51-9aad-09cf80fd7112","http://www.mendeley.com/documents/?uuid=e968b60b-618a-4081-bd31-09f367b66b9d"]}],"mendeley":{"formattedCitation":"(Fainshmidt et al., 2016)","plainTextFormattedCitation":"(Fainshmidt et al., 2016)","previouslyFormattedCitation":"(Fainshmidt et al., 2016)"},"properties":{"noteIndex":0},"schema":"https://github.com/citation-style-language/schema/raw/master/csl-citation.json"}</w:instrText>
      </w:r>
      <w:r w:rsidR="006414F3" w:rsidRPr="21F03F9F">
        <w:rPr>
          <w:rFonts w:cs="Times New Roman"/>
        </w:rPr>
        <w:fldChar w:fldCharType="separate"/>
      </w:r>
      <w:r w:rsidR="5F9024F9" w:rsidRPr="21F03F9F">
        <w:rPr>
          <w:rFonts w:cs="Times New Roman"/>
          <w:noProof/>
        </w:rPr>
        <w:t>(Fainshmidt et al., 2016)</w:t>
      </w:r>
      <w:r w:rsidR="006414F3" w:rsidRPr="21F03F9F">
        <w:rPr>
          <w:rFonts w:cs="Times New Roman"/>
        </w:rPr>
        <w:fldChar w:fldCharType="end"/>
      </w:r>
      <w:r w:rsidR="5F9024F9" w:rsidRPr="21F03F9F">
        <w:rPr>
          <w:rFonts w:cs="Times New Roman"/>
        </w:rPr>
        <w:t xml:space="preserve"> </w:t>
      </w:r>
      <w:r w:rsidR="2F2BEFB7" w:rsidRPr="21F03F9F">
        <w:rPr>
          <w:rFonts w:cs="Times New Roman"/>
        </w:rPr>
        <w:t xml:space="preserve">and </w:t>
      </w:r>
      <w:r w:rsidR="044F9FEC" w:rsidRPr="21F03F9F">
        <w:rPr>
          <w:rFonts w:cs="Times New Roman"/>
        </w:rPr>
        <w:t>other industry</w:t>
      </w:r>
      <w:r w:rsidR="2B4C58BC" w:rsidRPr="21F03F9F">
        <w:rPr>
          <w:rFonts w:cs="Times New Roman"/>
        </w:rPr>
        <w:t>-</w:t>
      </w:r>
      <w:r w:rsidR="044F9FEC" w:rsidRPr="21F03F9F">
        <w:rPr>
          <w:rFonts w:cs="Times New Roman"/>
        </w:rPr>
        <w:t>specific outcomes</w:t>
      </w:r>
      <w:r w:rsidR="2B4C58BC" w:rsidRPr="21F03F9F">
        <w:rPr>
          <w:rFonts w:cs="Times New Roman"/>
        </w:rPr>
        <w:t xml:space="preserve"> </w:t>
      </w:r>
      <w:r w:rsidR="006414F3" w:rsidRPr="21F03F9F">
        <w:rPr>
          <w:rFonts w:cs="Times New Roman"/>
        </w:rPr>
        <w:fldChar w:fldCharType="begin" w:fldLock="1"/>
      </w:r>
      <w:r w:rsidR="006414F3" w:rsidRPr="21F03F9F">
        <w:rPr>
          <w:rFonts w:cs="Times New Roman"/>
        </w:rPr>
        <w:instrText>ADDIN CSL_CITATION {"citationItems":[{"id":"ITEM-1","itemData":{"DOI":"10.1080/13032917.2021.1969960","ISSN":"1303-2917","abstract":"The aim of this research is to explore the positive effect of dynamic capabilities on firm performance in Spanish hotels to further expand the ongoing knowledge of management strategies in a dynamic environment. It also embraces novel issues by linking uncertain changes with the current literature on the COVID-19 crisis. This study also emphasizes the mediation effect of innovation capability as a key hotel strategy in today’s world. The final sample is composed of 212 hotels in Spain. The results reveal a positive and significant influence of dynamic capabilities on hotel performance, which is mediated by innovation capability (partial mediation effect). Both theoretical and practical implication of this research can help navigate the economic consequences of the COVID-19 pandemic.","author":[{"dropping-particle":"","family":"Marco-Lajara","given":"Bartolomé","non-dropping-particle":"","parse-names":false,"suffix":""},{"dropping-particle":"","family":"Ruiz-Fernández","given":"Lorena","non-dropping-particle":"","parse-names":false,"suffix":""},{"dropping-particle":"","family":"Seva-Larrosa","given":"Pedro","non-dropping-particle":"","parse-names":false,"suffix":""},{"dropping-particle":"","family":"Sánchez-García","given":"Eduardo","non-dropping-particle":"","parse-names":false,"suffix":""}],"container-title":"Anatolia","id":"ITEM-1","issued":{"date-parts":[["2021","8","26"]]},"publisher":"Routledge","title":"Hotel strategies in times of COVID-19: a dynamic capabilities approach","type":"article-journal"},"uris":["http://www.mendeley.com/documents/?uuid=7ed69180-28b8-41b8-908e-20cf14ba3db7"]}],"mendeley":{"formattedCitation":"(Marco-Lajara et al., 2021)","plainTextFormattedCitation":"(Marco-Lajara et al., 2021)","previouslyFormattedCitation":"(Marco-Lajara et al., 2021)"},"properties":{"noteIndex":0},"schema":"https://github.com/citation-style-language/schema/raw/master/csl-citation.json"}</w:instrText>
      </w:r>
      <w:r w:rsidR="006414F3" w:rsidRPr="21F03F9F">
        <w:rPr>
          <w:rFonts w:cs="Times New Roman"/>
        </w:rPr>
        <w:fldChar w:fldCharType="separate"/>
      </w:r>
      <w:r w:rsidR="044F9FEC" w:rsidRPr="21F03F9F">
        <w:rPr>
          <w:rFonts w:cs="Times New Roman"/>
          <w:noProof/>
        </w:rPr>
        <w:t>(Marco-Lajara et al., 2021)</w:t>
      </w:r>
      <w:r w:rsidR="006414F3" w:rsidRPr="21F03F9F">
        <w:rPr>
          <w:rFonts w:cs="Times New Roman"/>
        </w:rPr>
        <w:fldChar w:fldCharType="end"/>
      </w:r>
      <w:r w:rsidR="1C4555CE" w:rsidRPr="21F03F9F">
        <w:rPr>
          <w:rFonts w:cs="Times New Roman"/>
        </w:rPr>
        <w:t xml:space="preserve">. </w:t>
      </w:r>
      <w:r w:rsidR="7999A649" w:rsidRPr="21F03F9F">
        <w:rPr>
          <w:rFonts w:cs="Times New Roman"/>
        </w:rPr>
        <w:t xml:space="preserve">We extend these studies to employment growth and further </w:t>
      </w:r>
      <w:r w:rsidR="518EF36B" w:rsidRPr="21F03F9F">
        <w:rPr>
          <w:rFonts w:cs="Times New Roman"/>
        </w:rPr>
        <w:t>show</w:t>
      </w:r>
      <w:r w:rsidR="7999A649" w:rsidRPr="21F03F9F">
        <w:rPr>
          <w:rFonts w:cs="Times New Roman"/>
        </w:rPr>
        <w:t xml:space="preserve"> that SMEs with greater operation</w:t>
      </w:r>
      <w:r w:rsidR="613FABF9" w:rsidRPr="21F03F9F">
        <w:rPr>
          <w:rFonts w:cs="Times New Roman"/>
        </w:rPr>
        <w:t>al</w:t>
      </w:r>
      <w:r w:rsidR="7999A649" w:rsidRPr="21F03F9F">
        <w:rPr>
          <w:rFonts w:cs="Times New Roman"/>
        </w:rPr>
        <w:t xml:space="preserve"> levels and turnover </w:t>
      </w:r>
      <w:r w:rsidR="006414F3" w:rsidRPr="21F03F9F">
        <w:rPr>
          <w:rFonts w:cs="Times New Roman"/>
        </w:rPr>
        <w:fldChar w:fldCharType="begin" w:fldLock="1"/>
      </w:r>
      <w:r w:rsidR="006414F3" w:rsidRPr="21F03F9F">
        <w:rPr>
          <w:rFonts w:cs="Times New Roman"/>
        </w:rPr>
        <w:instrText>ADDIN CSL_CITATION {"citationItems":[{"id":"ITEM-1","itemData":{"DOI":"10.1007/s11846-022-00569-x","ISBN":"1184602200569","ISSN":"1863-6683","abstract":"This paper addresses the debate on the ability/inability of SMEs to balance social, environmental and economic objectives by integrating insights from the dynamic capabilities literature. Using unique survey data from 297 Dutch SMEs, we propose that integrative dynamic capabilities simultaneously drive all three pillars of sustainability in SMEs.","author":[{"dropping-particle":"","family":"Dejardin","given":"Marcus","non-dropping-particle":"","parse-names":false,"suffix":""},{"dropping-particle":"","family":"Raposo","given":"Mario L.","non-dropping-particle":"","parse-names":false,"suffix":""},{"dropping-particle":"","family":"Ferreira","given":"João J.","non-dropping-particle":"","parse-names":false,"suffix":""},{"dropping-particle":"","family":"Fernandes","given":"Cristina I.","non-dropping-particle":"","parse-names":false,"suffix":""},{"dropping-particle":"","family":"Veiga","given":"Pedro M.","non-dropping-particle":"","parse-names":false,"suffix":""},{"dropping-particle":"","family":"Farinha","given":"Luís","non-dropping-particle":"","parse-names":false,"suffix":""}],"container-title":"Review of Managerial Science","id":"ITEM-1","issue":"1","issued":{"date-parts":[["2022","7","18"]]},"page":"11482","publisher":"Springer Berlin Heidelberg","title":"The impact of dynamic capabilities on SME performance during COVID-19","type":"article-journal","volume":"2018"},"uris":["http://www.mendeley.com/documents/?uuid=a6794bab-f252-46a3-8e62-ecbd672b19b3","http://www.mendeley.com/documents/?uuid=1449dbde-85ad-478b-8a5c-6d9844d29b28","http://www.mendeley.com/documents/?uuid=e4d87ab1-9a9b-4209-9b1c-bd8bf2d5b79d"]},{"id":"ITEM-2","itemData":{"DOI":"10.1177/02662426211033270","ISSN":"17412870","abstract":"COVID-19 wreaked havoc on public health and the global economy. Small and medium-sized enterprises (SMEs) were hit especially hard. In this research note, we test the ability of dynamic capabilities (DCs) to predict SME performance during the pandemic. Based on our analysis of data from a survey conducted in the United States, we find that DCs meaningfully predicted both operational levels and revenue. Furthermore, while the empirical literature suggests that SME size is positively related to DC efficacy, we found that this effect was reversed during COVID-19, as the positive link between DCs and performance was stronger for smaller SMEs.","author":[{"dropping-particle":"","family":"Clampit","given":"Jack A.","non-dropping-particle":"","parse-names":false,"suffix":""},{"dropping-particle":"","family":"Lorenz","given":"Melanie P.","non-dropping-particle":"","parse-names":false,"suffix":""},{"dropping-particle":"","family":"Gamble","given":"John E.","non-dropping-particle":"","parse-names":false,"suffix":""},{"dropping-particle":"","family":"Lee","given":"Jim","non-dropping-particle":"","parse-names":false,"suffix":""}],"container-title":"International Small Business Journal: Researching Entrepreneurship","id":"ITEM-2","issue":"3","issued":{"date-parts":[["2021"]]},"page":"403 –419","title":"Performance stability among small and medium-sized enterprises during COVID-19: A test of the efficacy of dynamic capabilities","type":"article-journal","volume":"40"},"uris":["http://www.mendeley.com/documents/?uuid=91c45b80-89c5-4e6b-aaea-066b44b12e58"]}],"mendeley":{"formattedCitation":"(Clampit et al., 2021; Dejardin et al., 2022)","plainTextFormattedCitation":"(Clampit et al., 2021; Dejardin et al., 2022)","previouslyFormattedCitation":"(Clampit et al., 2021; Dejardin et al., 2022)"},"properties":{"noteIndex":0},"schema":"https://github.com/citation-style-language/schema/raw/master/csl-citation.json"}</w:instrText>
      </w:r>
      <w:r w:rsidR="006414F3" w:rsidRPr="21F03F9F">
        <w:rPr>
          <w:rFonts w:cs="Times New Roman"/>
        </w:rPr>
        <w:fldChar w:fldCharType="separate"/>
      </w:r>
      <w:r w:rsidR="7999A649" w:rsidRPr="21F03F9F">
        <w:rPr>
          <w:rFonts w:cs="Times New Roman"/>
          <w:noProof/>
        </w:rPr>
        <w:t>(Clampit et al., 2021; Dejardin et al., 2022)</w:t>
      </w:r>
      <w:r w:rsidR="006414F3" w:rsidRPr="21F03F9F">
        <w:rPr>
          <w:rFonts w:cs="Times New Roman"/>
        </w:rPr>
        <w:fldChar w:fldCharType="end"/>
      </w:r>
      <w:r w:rsidR="7999A649" w:rsidRPr="21F03F9F">
        <w:rPr>
          <w:rFonts w:cs="Times New Roman"/>
        </w:rPr>
        <w:t xml:space="preserve"> resulting from DCs utilised during the first lockdown had more confidence that they could adapt and grow </w:t>
      </w:r>
      <w:r w:rsidR="29E38993" w:rsidRPr="21F03F9F">
        <w:rPr>
          <w:rFonts w:cs="Times New Roman"/>
        </w:rPr>
        <w:t xml:space="preserve">in employment </w:t>
      </w:r>
      <w:r w:rsidR="7999A649" w:rsidRPr="21F03F9F">
        <w:rPr>
          <w:rFonts w:cs="Times New Roman"/>
        </w:rPr>
        <w:t>despite the impact of the pandemic.</w:t>
      </w:r>
    </w:p>
    <w:p w14:paraId="29B815A8" w14:textId="74F69DC7" w:rsidR="000F69F9" w:rsidRPr="001C2C36" w:rsidRDefault="000F69F9" w:rsidP="000F69F9">
      <w:pPr>
        <w:rPr>
          <w:rFonts w:cs="Times New Roman"/>
        </w:rPr>
      </w:pPr>
      <w:r w:rsidRPr="001C2C36">
        <w:rPr>
          <w:rFonts w:cs="Times New Roman"/>
        </w:rPr>
        <w:t xml:space="preserve">On the other hand, firms that do not possess </w:t>
      </w:r>
      <w:r w:rsidR="00A70DF5" w:rsidRPr="001C2C36">
        <w:rPr>
          <w:rFonts w:cs="Times New Roman"/>
        </w:rPr>
        <w:t>DCs</w:t>
      </w:r>
      <w:r w:rsidRPr="001C2C36">
        <w:rPr>
          <w:rFonts w:cs="Times New Roman"/>
        </w:rPr>
        <w:t xml:space="preserve"> may be unable to adapt to shocks, leading to reduced employment. Ultimately our results indicate that SMEs that do not draw on DCs during the pandemic have poorer outcomes in terms of employment growth aspirations. Our findings are thus</w:t>
      </w:r>
      <w:r w:rsidR="00F149A7" w:rsidRPr="001C2C36">
        <w:rPr>
          <w:rFonts w:cs="Times New Roman"/>
        </w:rPr>
        <w:t xml:space="preserve"> also</w:t>
      </w:r>
      <w:r w:rsidRPr="001C2C36">
        <w:rPr>
          <w:rFonts w:cs="Times New Roman"/>
        </w:rPr>
        <w:t xml:space="preserve"> supplementary to the wider literature</w:t>
      </w:r>
      <w:r w:rsidR="006A5ABE">
        <w:rPr>
          <w:rFonts w:cs="Times New Roman"/>
        </w:rPr>
        <w:t>,</w:t>
      </w:r>
      <w:r w:rsidRPr="001C2C36">
        <w:rPr>
          <w:rFonts w:cs="Times New Roman"/>
        </w:rPr>
        <w:t xml:space="preserve"> </w:t>
      </w:r>
      <w:r w:rsidR="145337CB" w:rsidRPr="001C2C36">
        <w:rPr>
          <w:rFonts w:cs="Times New Roman"/>
        </w:rPr>
        <w:t>which</w:t>
      </w:r>
      <w:r w:rsidRPr="001C2C36">
        <w:rPr>
          <w:rFonts w:cs="Times New Roman"/>
        </w:rPr>
        <w:t xml:space="preserve"> indicates that a failure to draw on DCs during the Covid-19 pandemic decreases financial performance (</w:t>
      </w:r>
      <w:proofErr w:type="spellStart"/>
      <w:r w:rsidRPr="001C2C36">
        <w:rPr>
          <w:rFonts w:cs="Times New Roman"/>
        </w:rPr>
        <w:t>Clampit</w:t>
      </w:r>
      <w:proofErr w:type="spellEnd"/>
      <w:r w:rsidRPr="001C2C36">
        <w:rPr>
          <w:rFonts w:cs="Times New Roman"/>
        </w:rPr>
        <w:t xml:space="preserve"> et al., 2021) as well as increas</w:t>
      </w:r>
      <w:r w:rsidR="67B85EC9" w:rsidRPr="001C2C36">
        <w:rPr>
          <w:rFonts w:cs="Times New Roman"/>
        </w:rPr>
        <w:t>ing</w:t>
      </w:r>
      <w:r w:rsidRPr="001C2C36">
        <w:rPr>
          <w:rFonts w:cs="Times New Roman"/>
        </w:rPr>
        <w:t xml:space="preserve"> the chances of failure (</w:t>
      </w:r>
      <w:proofErr w:type="spellStart"/>
      <w:r w:rsidRPr="001C2C36">
        <w:rPr>
          <w:rFonts w:cs="Times New Roman"/>
        </w:rPr>
        <w:t>Ozanne</w:t>
      </w:r>
      <w:proofErr w:type="spellEnd"/>
      <w:r w:rsidRPr="001C2C36">
        <w:rPr>
          <w:rFonts w:cs="Times New Roman"/>
        </w:rPr>
        <w:t xml:space="preserve"> et al., 2022).</w:t>
      </w:r>
    </w:p>
    <w:p w14:paraId="30400434" w14:textId="05B33F35" w:rsidR="001B3869" w:rsidRDefault="3731708D" w:rsidP="001B3869">
      <w:pPr>
        <w:rPr>
          <w:rFonts w:cs="Times New Roman"/>
        </w:rPr>
      </w:pPr>
      <w:r w:rsidRPr="21F03F9F">
        <w:rPr>
          <w:rFonts w:cs="Times New Roman"/>
        </w:rPr>
        <w:t xml:space="preserve">We also contribute to the existing knowledge by shedding light on the conflicting evidence (Barreto, 2010) around the possible mechanisms through which DCs operate. We find nuanced relationships in terms of the timing of the effects of DCs on employment. We thus echo others </w:t>
      </w:r>
      <w:r w:rsidR="003C0B08" w:rsidRPr="21F03F9F">
        <w:rPr>
          <w:rFonts w:cs="Times New Roman"/>
        </w:rPr>
        <w:fldChar w:fldCharType="begin" w:fldLock="1"/>
      </w:r>
      <w:r w:rsidR="003C0B08" w:rsidRPr="21F03F9F">
        <w:rPr>
          <w:rFonts w:cs="Times New Roman"/>
        </w:rPr>
        <w:instrText>ADDIN CSL_CITATION {"citationItems":[{"id":"ITEM-1","itemData":{"DOI":"10.1111/caim.12474","ISSN":"0963-1690","abstract":"In today's business environment, digitalization plays a key role in establishing competitive advantage and developing new business models. However, little is known about business model innovation (BMI) processes and practices of small and medium-sized enterprise (SMEs) in their digital venturing. Thus, the aim of this paper is to address this research gap by investigating the process activities of SMEs in effectively building new business models through digitalization. Through a case study of 18 SMEs, document studies and 36 interviews, we explore the BMI processes during the case companies' digital transformation. The research results identify four critical BMI process activities: (1) assessing the environment in search of new opportunities, (2) conveying a sense of urgency, (3) exploring and testing new opportunities through experimentation and (4) handling decision-making with a combination of intuition and data. Finally, our study reveals managerial implications related to data-driven decision-making during BMI, constituting four managerial dilemmas: (1) prognosis and scenario-driven search myopia, (2) timing and sustainability, (3) radical shift from traditional experimentation to data-based methods and (4) using intuition versus data-driven decision-making.","author":[{"dropping-particle":"","family":"Andersen","given":"Troels Christian Korsgaard","non-dropping-particle":"","parse-names":false,"suffix":""},{"dropping-particle":"","family":"Aagaard","given":"Annabeth","non-dropping-particle":"","parse-names":false,"suffix":""},{"dropping-particle":"","family":"Magnusson","given":"Mats","non-dropping-particle":"","parse-names":false,"suffix":""}],"container-title":"Creativity and Innovation Management","id":"ITEM-1","issue":"1","issued":{"date-parts":[["2022","3","13"]]},"page":"19-34","title":"Exploring business model innovation in SMEs in a digital context: Organizing search behaviours, experimentation and decision‐making","type":"article-journal","volume":"31"},"uris":["http://www.mendeley.com/documents/?uuid=5a5e17dd-c241-4f3c-84b2-229c23ba765d"]},{"id":"ITEM-2","itemData":{"DOI":"10.1287/isre.1100.0280","ISSN":"15265536","abstract":"Organizations are increasingly engaged in competitive dynamics that are enabled or induced by information technology (IT). A key competitive dynamics question for many organizations is how to build a competitive advantage in turbulence with digital IT systems. The literature has focused mostly on developing and exercising dynamic capabilities for planned reconfiguration of existing operational capabilities in fairly stable environments with patterned \"waves,\" but this may not always be possible, or even appropriate, in highly turbulent environments with unexpected \"storms.\" We introduce improvisational capabilities as an alternative means for managing highly turbulent environments; we define this as the ability to spontaneously reconfigure existing resources to build new operational capabilities to address urgent, unpredictable, and novel environmental situations. In contrast to the planned role of dynamic and operational capabilities and the ambidexterity that they jointly offer, improvisational capabilities are proposed to operate distinctly as a \"third hand\" that facilitates reconfiguration and change in highly turbulent environments. First, the paper develops the notion of improvisational capabilities and articulates the key differences between the two \"reconfiguration\"-improvisational and dynamic-capabilities. Second, the paper compares the relative effects of improvisational and dynamic capabilities in the context of new product development in different levels of environmental turbulence. Third, the paper shows how IT-leveraging capability in new product development is decomposed into its three digital IT systems: project and resource management systems, organizational memory systems (OMS), and cooperative work systems-and how each of these IT systems enhances improvisational capabilities, an effect that is accentuated in highly turbulent environments. The results show that although dynamic capabilities are the primary predictor of competitive advantage in moderately turbulent environments, improvisational capabilities fully dominate in highly turbulent environments. Besides discriminant validity, the distinction between improvisational and dynamic capabilities is evidenced by the differential effects of IT-leveraging capability on improvisational and dynamic capabilities. The results show that the more the IT-leveraging capability is catered toward managing resources (through project and resource management systems) and team collaboration (throug…","author":[{"dropping-particle":"","family":"Pavlou","given":"Paul A.","non-dropping-particle":"","parse-names":false,"suffix":""},{"dropping-particle":"","family":"Sawy","given":"Omar A.El","non-dropping-particle":"","parse-names":false,"suffix":""}],"container-title":"Information Systems Research","id":"ITEM-2","issue":"3","issued":{"date-parts":[["2010"]]},"page":"443-471","title":"The \"third hand\": IT-enabled competitive advantage in turbulence through improvisational capabilities","type":"article-journal","volume":"21"},"uris":["http://www.mendeley.com/documents/?uuid=19afe6fa-0fc1-433f-9a75-8d06d6b51b94"]},{"id":"ITEM-3","itemData":{"DOI":"10.1111/1467-8551.12085","ISSN":"14678551","abstract":"In analysing data on the purchasing routines of 200 small and medium-sized enterprises (SMEs), this study underscores the overall importance of dynamic capabilities as a way to understand differences in operating-routine performance. The results suggest that dynamic capabilities have different performance effects in high-dynamic and low-dynamic environments. Dynamic capabilities enhance the effectiveness of operating routines under both high and low levels of environmental dynamism. Yet, when analysing the efficiency of operating routines, taking into account the costs of increased effectiveness, dynamic capabilities appear to pay off only under high levels of environmental dynamism.","author":[{"dropping-particle":"","family":"Wilhelm","given":"Hendrik","non-dropping-particle":"","parse-names":false,"suffix":""},{"dropping-particle":"","family":"Schlömer","given":"Maren","non-dropping-particle":"","parse-names":false,"suffix":""},{"dropping-particle":"","family":"Maurer","given":"Indre","non-dropping-particle":"","parse-names":false,"suffix":""}],"container-title":"British Journal of Management","id":"ITEM-3","issue":"2","issued":{"date-parts":[["2015"]]},"page":"327-345","title":"How dynamic capabilities affect the effectiveness and efficiency of operating routines under high and low levels of environmental dynamism","type":"article-journal","volume":"26"},"uris":["http://www.mendeley.com/documents/?uuid=2bea9a28-d27a-423d-882c-ba8d09ccb9bb"]}],"mendeley":{"formattedCitation":"(Andersen et al., 2022; Pavlou and Sawy, 2010; Wilhelm et al., 2015)","plainTextFormattedCitation":"(Andersen et al., 2022; Pavlou and Sawy, 2010; Wilhelm et al., 2015)","previouslyFormattedCitation":"(Andersen et al., 2022; Pavlou and Sawy, 2010; Wilhelm et al., 2015)"},"properties":{"noteIndex":0},"schema":"https://github.com/citation-style-language/schema/raw/master/csl-citation.json"}</w:instrText>
      </w:r>
      <w:r w:rsidR="003C0B08" w:rsidRPr="21F03F9F">
        <w:rPr>
          <w:rFonts w:cs="Times New Roman"/>
        </w:rPr>
        <w:fldChar w:fldCharType="separate"/>
      </w:r>
      <w:r w:rsidR="3392845D" w:rsidRPr="21F03F9F">
        <w:rPr>
          <w:rFonts w:cs="Times New Roman"/>
          <w:noProof/>
        </w:rPr>
        <w:t>(Andersen et al., 2022; Pavlou and Sawy, 2010; Wilhelm et al., 2015)</w:t>
      </w:r>
      <w:r w:rsidR="003C0B08" w:rsidRPr="21F03F9F">
        <w:rPr>
          <w:rFonts w:cs="Times New Roman"/>
        </w:rPr>
        <w:fldChar w:fldCharType="end"/>
      </w:r>
      <w:r w:rsidR="492555A4" w:rsidRPr="21F03F9F">
        <w:rPr>
          <w:rFonts w:cs="Times New Roman"/>
        </w:rPr>
        <w:t xml:space="preserve"> </w:t>
      </w:r>
      <w:r w:rsidRPr="21F03F9F">
        <w:rPr>
          <w:rFonts w:cs="Times New Roman"/>
        </w:rPr>
        <w:t>and extend their logic on the importance of pace</w:t>
      </w:r>
      <w:r w:rsidR="5308D66D" w:rsidRPr="21F03F9F">
        <w:rPr>
          <w:rFonts w:cs="Times New Roman"/>
        </w:rPr>
        <w:t xml:space="preserve"> during crises</w:t>
      </w:r>
      <w:r w:rsidRPr="21F03F9F">
        <w:rPr>
          <w:rFonts w:cs="Times New Roman"/>
        </w:rPr>
        <w:t xml:space="preserve">. We </w:t>
      </w:r>
      <w:r w:rsidR="3164F6DB" w:rsidRPr="21F03F9F">
        <w:rPr>
          <w:rFonts w:cs="Times New Roman"/>
        </w:rPr>
        <w:t>find</w:t>
      </w:r>
      <w:r w:rsidRPr="21F03F9F">
        <w:rPr>
          <w:rFonts w:cs="Times New Roman"/>
        </w:rPr>
        <w:t xml:space="preserve"> that SMEs that utilised their DCs to implement changes in their operations </w:t>
      </w:r>
      <w:r w:rsidR="70EDA65B" w:rsidRPr="21F03F9F">
        <w:rPr>
          <w:rFonts w:cs="Times New Roman"/>
        </w:rPr>
        <w:t>during the first lockdown</w:t>
      </w:r>
      <w:r w:rsidRPr="21F03F9F">
        <w:rPr>
          <w:rFonts w:cs="Times New Roman"/>
        </w:rPr>
        <w:t xml:space="preserve">, are likely to have higher </w:t>
      </w:r>
      <w:r w:rsidR="227AE845" w:rsidRPr="21F03F9F">
        <w:rPr>
          <w:rFonts w:cs="Times New Roman"/>
        </w:rPr>
        <w:t xml:space="preserve">subsequent </w:t>
      </w:r>
      <w:r w:rsidRPr="21F03F9F">
        <w:rPr>
          <w:rFonts w:cs="Times New Roman"/>
        </w:rPr>
        <w:t xml:space="preserve">employment </w:t>
      </w:r>
      <w:r w:rsidR="3C28937B" w:rsidRPr="21F03F9F">
        <w:rPr>
          <w:rFonts w:cs="Times New Roman"/>
        </w:rPr>
        <w:t xml:space="preserve">growth </w:t>
      </w:r>
      <w:r w:rsidRPr="21F03F9F">
        <w:rPr>
          <w:rFonts w:cs="Times New Roman"/>
        </w:rPr>
        <w:t xml:space="preserve">than those that employed this strategy later in the </w:t>
      </w:r>
      <w:r w:rsidR="1358B1B0" w:rsidRPr="21F03F9F">
        <w:rPr>
          <w:rFonts w:cs="Times New Roman"/>
        </w:rPr>
        <w:t>pandemic</w:t>
      </w:r>
      <w:r w:rsidR="05C90958" w:rsidRPr="21F03F9F">
        <w:rPr>
          <w:rFonts w:cs="Times New Roman"/>
        </w:rPr>
        <w:t xml:space="preserve">, as indicated </w:t>
      </w:r>
      <w:r w:rsidR="5CDAB4D0" w:rsidRPr="21F03F9F">
        <w:rPr>
          <w:rFonts w:cs="Times New Roman"/>
        </w:rPr>
        <w:t xml:space="preserve">by lowering </w:t>
      </w:r>
      <w:r w:rsidR="49244BE0" w:rsidRPr="21F03F9F">
        <w:rPr>
          <w:rFonts w:cs="Times New Roman"/>
        </w:rPr>
        <w:t xml:space="preserve">DC </w:t>
      </w:r>
      <w:r w:rsidR="5CDAB4D0" w:rsidRPr="21F03F9F">
        <w:rPr>
          <w:rFonts w:cs="Times New Roman"/>
        </w:rPr>
        <w:t>coefficients</w:t>
      </w:r>
      <w:r w:rsidR="136EA7F4" w:rsidRPr="21F03F9F">
        <w:rPr>
          <w:rFonts w:cs="Times New Roman"/>
        </w:rPr>
        <w:t xml:space="preserve"> (</w:t>
      </w:r>
      <w:r w:rsidR="7952833A" w:rsidRPr="21F03F9F">
        <w:rPr>
          <w:rFonts w:cs="Times New Roman"/>
        </w:rPr>
        <w:t>b</w:t>
      </w:r>
      <w:r w:rsidR="7952833A" w:rsidRPr="21F03F9F">
        <w:rPr>
          <w:rFonts w:cs="Times New Roman"/>
          <w:vertAlign w:val="subscript"/>
        </w:rPr>
        <w:t xml:space="preserve">6 </w:t>
      </w:r>
      <w:r w:rsidR="7952833A" w:rsidRPr="21F03F9F">
        <w:rPr>
          <w:rFonts w:cs="Times New Roman"/>
        </w:rPr>
        <w:t>&gt;</w:t>
      </w:r>
      <w:r w:rsidR="136EA7F4" w:rsidRPr="21F03F9F">
        <w:rPr>
          <w:rFonts w:cs="Times New Roman"/>
        </w:rPr>
        <w:t xml:space="preserve"> b</w:t>
      </w:r>
      <w:r w:rsidR="136EA7F4" w:rsidRPr="21F03F9F">
        <w:rPr>
          <w:rFonts w:cs="Times New Roman"/>
          <w:vertAlign w:val="subscript"/>
        </w:rPr>
        <w:t xml:space="preserve">9 </w:t>
      </w:r>
      <w:r w:rsidR="7952833A" w:rsidRPr="21F03F9F">
        <w:rPr>
          <w:rFonts w:cs="Times New Roman"/>
        </w:rPr>
        <w:t>&gt; b</w:t>
      </w:r>
      <w:r w:rsidR="7952833A" w:rsidRPr="21F03F9F">
        <w:rPr>
          <w:rFonts w:cs="Times New Roman"/>
          <w:vertAlign w:val="subscript"/>
        </w:rPr>
        <w:t>10</w:t>
      </w:r>
      <w:r w:rsidR="136EA7F4" w:rsidRPr="21F03F9F">
        <w:rPr>
          <w:rFonts w:cs="Times New Roman"/>
        </w:rPr>
        <w:t>)</w:t>
      </w:r>
      <w:r w:rsidR="5CDAB4D0" w:rsidRPr="21F03F9F">
        <w:rPr>
          <w:rFonts w:cs="Times New Roman"/>
        </w:rPr>
        <w:t xml:space="preserve"> </w:t>
      </w:r>
      <w:r w:rsidR="49244BE0" w:rsidRPr="21F03F9F">
        <w:rPr>
          <w:rFonts w:cs="Times New Roman"/>
        </w:rPr>
        <w:t>in Table 6 (Appendix 2)</w:t>
      </w:r>
      <w:r w:rsidRPr="21F03F9F">
        <w:rPr>
          <w:rFonts w:cs="Times New Roman"/>
        </w:rPr>
        <w:t>.</w:t>
      </w:r>
      <w:r w:rsidR="2F6B580F" w:rsidRPr="21F03F9F">
        <w:rPr>
          <w:rFonts w:cs="Times New Roman"/>
        </w:rPr>
        <w:t xml:space="preserve"> </w:t>
      </w:r>
      <w:r w:rsidR="1437A970" w:rsidRPr="21F03F9F">
        <w:rPr>
          <w:rFonts w:cs="Times New Roman"/>
        </w:rPr>
        <w:t>We</w:t>
      </w:r>
      <w:r w:rsidR="596799F7" w:rsidRPr="21F03F9F">
        <w:rPr>
          <w:rFonts w:cs="Times New Roman"/>
        </w:rPr>
        <w:t xml:space="preserve"> thus</w:t>
      </w:r>
      <w:r w:rsidR="1E58D38D" w:rsidRPr="21F03F9F">
        <w:rPr>
          <w:rFonts w:cs="Times New Roman"/>
        </w:rPr>
        <w:t xml:space="preserve"> </w:t>
      </w:r>
      <w:r w:rsidR="1012A180" w:rsidRPr="21F03F9F">
        <w:rPr>
          <w:rFonts w:cs="Times New Roman"/>
        </w:rPr>
        <w:t>also</w:t>
      </w:r>
      <w:r w:rsidR="70B08616" w:rsidRPr="21F03F9F">
        <w:rPr>
          <w:rFonts w:cs="Times New Roman"/>
        </w:rPr>
        <w:t xml:space="preserve"> </w:t>
      </w:r>
      <w:r w:rsidR="601B4979" w:rsidRPr="21F03F9F">
        <w:rPr>
          <w:rFonts w:cs="Times New Roman"/>
        </w:rPr>
        <w:t>contribute</w:t>
      </w:r>
      <w:r w:rsidR="5B0AE84F" w:rsidRPr="21F03F9F">
        <w:rPr>
          <w:rFonts w:cs="Times New Roman"/>
        </w:rPr>
        <w:t xml:space="preserve"> to </w:t>
      </w:r>
      <w:r w:rsidR="006D47CD" w:rsidRPr="21F03F9F">
        <w:rPr>
          <w:rFonts w:cs="Times New Roman"/>
        </w:rPr>
        <w:t>disentangling</w:t>
      </w:r>
      <w:r w:rsidR="70B08616" w:rsidRPr="21F03F9F">
        <w:rPr>
          <w:rFonts w:cs="Times New Roman"/>
        </w:rPr>
        <w:t xml:space="preserve"> one of the main </w:t>
      </w:r>
      <w:r w:rsidR="19CA5B84" w:rsidRPr="21F03F9F">
        <w:rPr>
          <w:rFonts w:cs="Times New Roman"/>
        </w:rPr>
        <w:t>managerial</w:t>
      </w:r>
      <w:r w:rsidR="2F6B580F" w:rsidRPr="21F03F9F">
        <w:rPr>
          <w:rFonts w:cs="Times New Roman"/>
        </w:rPr>
        <w:t xml:space="preserve"> dilemma</w:t>
      </w:r>
      <w:r w:rsidR="70B08616" w:rsidRPr="21F03F9F">
        <w:rPr>
          <w:rFonts w:cs="Times New Roman"/>
        </w:rPr>
        <w:t>s</w:t>
      </w:r>
      <w:r w:rsidR="2F6B580F" w:rsidRPr="21F03F9F">
        <w:rPr>
          <w:rFonts w:cs="Times New Roman"/>
        </w:rPr>
        <w:t xml:space="preserve"> </w:t>
      </w:r>
      <w:r w:rsidR="5B0AE84F" w:rsidRPr="21F03F9F">
        <w:rPr>
          <w:rFonts w:cs="Times New Roman"/>
        </w:rPr>
        <w:t>of timing versus sustainability</w:t>
      </w:r>
      <w:r w:rsidR="003C18D8">
        <w:rPr>
          <w:rFonts w:cs="Times New Roman"/>
        </w:rPr>
        <w:t xml:space="preserve"> </w:t>
      </w:r>
      <w:r w:rsidR="003C18D8">
        <w:rPr>
          <w:rFonts w:cs="Times New Roman"/>
        </w:rPr>
        <w:fldChar w:fldCharType="begin" w:fldLock="1"/>
      </w:r>
      <w:r w:rsidR="003C18D8">
        <w:rPr>
          <w:rFonts w:cs="Times New Roman"/>
        </w:rPr>
        <w:instrText>ADDIN CSL_CITATION {"citationItems":[{"id":"ITEM-1","itemData":{"DOI":"10.1111/caim.12474","ISSN":"0963-1690","abstract":"In today's business environment, digitalization plays a key role in establishing competitive advantage and developing new business models. However, little is known about business model innovation (BMI) processes and practices of small and medium-sized enterprise (SMEs) in their digital venturing. Thus, the aim of this paper is to address this research gap by investigating the process activities of SMEs in effectively building new business models through digitalization. Through a case study of 18 SMEs, document studies and 36 interviews, we explore the BMI processes during the case companies' digital transformation. The research results identify four critical BMI process activities: (1) assessing the environment in search of new opportunities, (2) conveying a sense of urgency, (3) exploring and testing new opportunities through experimentation and (4) handling decision-making with a combination of intuition and data. Finally, our study reveals managerial implications related to data-driven decision-making during BMI, constituting four managerial dilemmas: (1) prognosis and scenario-driven search myopia, (2) timing and sustainability, (3) radical shift from traditional experimentation to data-based methods and (4) using intuition versus data-driven decision-making.","author":[{"dropping-particle":"","family":"Andersen","given":"Troels Christian Korsgaard","non-dropping-particle":"","parse-names":false,"suffix":""},{"dropping-particle":"","family":"Aagaard","given":"Annabeth","non-dropping-particle":"","parse-names":false,"suffix":""},{"dropping-particle":"","family":"Magnusson","given":"Mats","non-dropping-particle":"","parse-names":false,"suffix":""}],"container-title":"Creativity and Innovation Management","id":"ITEM-1","issue":"1","issued":{"date-parts":[["2022","3","13"]]},"page":"19-34","title":"Exploring business model innovation in SMEs in a digital context: Organizing search behaviours, experimentation and decision‐making","type":"article-journal","volume":"31"},"uris":["http://www.mendeley.com/documents/?uuid=5a5e17dd-c241-4f3c-84b2-229c23ba765d"]}],"mendeley":{"formattedCitation":"(Andersen et al., 2022)","plainTextFormattedCitation":"(Andersen et al., 2022)"},"properties":{"noteIndex":0},"schema":"https://github.com/citation-style-language/schema/raw/master/csl-citation.json"}</w:instrText>
      </w:r>
      <w:r w:rsidR="003C18D8">
        <w:rPr>
          <w:rFonts w:cs="Times New Roman"/>
        </w:rPr>
        <w:fldChar w:fldCharType="separate"/>
      </w:r>
      <w:r w:rsidR="003C18D8" w:rsidRPr="003C18D8">
        <w:rPr>
          <w:rFonts w:cs="Times New Roman"/>
          <w:noProof/>
        </w:rPr>
        <w:t>(Andersen et al., 2022)</w:t>
      </w:r>
      <w:r w:rsidR="003C18D8">
        <w:rPr>
          <w:rFonts w:cs="Times New Roman"/>
        </w:rPr>
        <w:fldChar w:fldCharType="end"/>
      </w:r>
      <w:r w:rsidR="1E58D38D" w:rsidRPr="21F03F9F">
        <w:rPr>
          <w:rFonts w:cs="Times New Roman"/>
        </w:rPr>
        <w:t>.</w:t>
      </w:r>
      <w:r w:rsidR="552FAB6A" w:rsidRPr="21F03F9F">
        <w:rPr>
          <w:rFonts w:cs="Times New Roman"/>
        </w:rPr>
        <w:t xml:space="preserve"> </w:t>
      </w:r>
      <w:r w:rsidR="514FA2AF" w:rsidRPr="21F03F9F">
        <w:rPr>
          <w:rFonts w:cs="Times New Roman"/>
        </w:rPr>
        <w:t>Our findings</w:t>
      </w:r>
      <w:r w:rsidR="7C0D918A" w:rsidRPr="21F03F9F">
        <w:rPr>
          <w:rFonts w:cs="Times New Roman"/>
        </w:rPr>
        <w:t xml:space="preserve"> </w:t>
      </w:r>
      <w:r w:rsidR="02FFAD2D" w:rsidRPr="21F03F9F">
        <w:rPr>
          <w:rFonts w:cs="Times New Roman"/>
        </w:rPr>
        <w:t>indicate</w:t>
      </w:r>
      <w:r w:rsidR="7C0D918A" w:rsidRPr="21F03F9F">
        <w:rPr>
          <w:rFonts w:cs="Times New Roman"/>
        </w:rPr>
        <w:t xml:space="preserve"> that </w:t>
      </w:r>
      <w:r w:rsidR="38F46BF8" w:rsidRPr="21F03F9F">
        <w:rPr>
          <w:rFonts w:cs="Times New Roman"/>
        </w:rPr>
        <w:t xml:space="preserve">SMEs </w:t>
      </w:r>
      <w:r w:rsidR="32E61B6E" w:rsidRPr="21F03F9F">
        <w:rPr>
          <w:rFonts w:cs="Times New Roman"/>
        </w:rPr>
        <w:t xml:space="preserve">that promptly use their </w:t>
      </w:r>
      <w:r w:rsidR="0A54A4D8" w:rsidRPr="21F03F9F">
        <w:rPr>
          <w:rFonts w:cs="Times New Roman"/>
        </w:rPr>
        <w:t xml:space="preserve">DCs </w:t>
      </w:r>
      <w:r w:rsidR="5E6845C1" w:rsidRPr="21F03F9F">
        <w:rPr>
          <w:rFonts w:cs="Times New Roman"/>
        </w:rPr>
        <w:t>to</w:t>
      </w:r>
      <w:r w:rsidR="26D46C9D" w:rsidRPr="21F03F9F">
        <w:rPr>
          <w:rFonts w:cs="Times New Roman"/>
        </w:rPr>
        <w:t xml:space="preserve"> </w:t>
      </w:r>
      <w:r w:rsidR="12218B1A" w:rsidRPr="21F03F9F">
        <w:rPr>
          <w:rFonts w:cs="Times New Roman"/>
        </w:rPr>
        <w:t>ad</w:t>
      </w:r>
      <w:r w:rsidR="26D46C9D" w:rsidRPr="21F03F9F">
        <w:rPr>
          <w:rFonts w:cs="Times New Roman"/>
        </w:rPr>
        <w:t>a</w:t>
      </w:r>
      <w:r w:rsidR="12218B1A" w:rsidRPr="21F03F9F">
        <w:rPr>
          <w:rFonts w:cs="Times New Roman"/>
        </w:rPr>
        <w:t xml:space="preserve">pt </w:t>
      </w:r>
      <w:r w:rsidR="0A54A4D8" w:rsidRPr="21F03F9F">
        <w:rPr>
          <w:rFonts w:cs="Times New Roman"/>
        </w:rPr>
        <w:t>their structures and strategies to leverage opportunities</w:t>
      </w:r>
      <w:r w:rsidR="067E764D" w:rsidRPr="21F03F9F">
        <w:rPr>
          <w:rFonts w:cs="Times New Roman"/>
        </w:rPr>
        <w:t xml:space="preserve"> during </w:t>
      </w:r>
      <w:r w:rsidR="14763416" w:rsidRPr="21F03F9F">
        <w:rPr>
          <w:rFonts w:cs="Times New Roman"/>
        </w:rPr>
        <w:t>a crisis are likely to be</w:t>
      </w:r>
      <w:r w:rsidR="465F483B" w:rsidRPr="21F03F9F">
        <w:rPr>
          <w:rFonts w:cs="Times New Roman"/>
        </w:rPr>
        <w:t xml:space="preserve"> more successful </w:t>
      </w:r>
      <w:r w:rsidR="514FA2AF" w:rsidRPr="21F03F9F">
        <w:rPr>
          <w:rFonts w:cs="Times New Roman"/>
        </w:rPr>
        <w:t>in terms of longer</w:t>
      </w:r>
      <w:r w:rsidR="45EEFACA" w:rsidRPr="21F03F9F">
        <w:rPr>
          <w:rFonts w:cs="Times New Roman"/>
        </w:rPr>
        <w:t>-</w:t>
      </w:r>
      <w:r w:rsidR="514FA2AF" w:rsidRPr="21F03F9F">
        <w:rPr>
          <w:rFonts w:cs="Times New Roman"/>
        </w:rPr>
        <w:t xml:space="preserve">term employment growth </w:t>
      </w:r>
      <w:r w:rsidR="45EEFACA" w:rsidRPr="21F03F9F">
        <w:rPr>
          <w:rFonts w:cs="Times New Roman"/>
        </w:rPr>
        <w:t xml:space="preserve">than </w:t>
      </w:r>
      <w:r w:rsidR="7AC17148" w:rsidRPr="21F03F9F">
        <w:rPr>
          <w:rFonts w:cs="Times New Roman"/>
        </w:rPr>
        <w:t xml:space="preserve">those that </w:t>
      </w:r>
      <w:r w:rsidR="43EF457C" w:rsidRPr="21F03F9F">
        <w:rPr>
          <w:rFonts w:cs="Times New Roman"/>
        </w:rPr>
        <w:t>opt for</w:t>
      </w:r>
      <w:r w:rsidR="7AC17148" w:rsidRPr="21F03F9F">
        <w:rPr>
          <w:rFonts w:cs="Times New Roman"/>
        </w:rPr>
        <w:t xml:space="preserve"> a wait-and-see approach</w:t>
      </w:r>
      <w:r w:rsidR="18514A47" w:rsidRPr="21F03F9F">
        <w:rPr>
          <w:rFonts w:cs="Times New Roman"/>
        </w:rPr>
        <w:t xml:space="preserve"> and implement</w:t>
      </w:r>
      <w:r w:rsidR="27DC315F" w:rsidRPr="21F03F9F">
        <w:rPr>
          <w:rFonts w:cs="Times New Roman"/>
        </w:rPr>
        <w:t xml:space="preserve"> </w:t>
      </w:r>
      <w:r w:rsidR="18514A47" w:rsidRPr="21F03F9F">
        <w:rPr>
          <w:rFonts w:cs="Times New Roman"/>
        </w:rPr>
        <w:t xml:space="preserve">changes later in </w:t>
      </w:r>
      <w:r w:rsidR="45EEFACA" w:rsidRPr="21F03F9F">
        <w:rPr>
          <w:rFonts w:cs="Times New Roman"/>
        </w:rPr>
        <w:t>a crisis</w:t>
      </w:r>
      <w:r w:rsidR="12218B1A" w:rsidRPr="21F03F9F">
        <w:rPr>
          <w:rFonts w:cs="Times New Roman"/>
        </w:rPr>
        <w:t xml:space="preserve">. </w:t>
      </w:r>
    </w:p>
    <w:p w14:paraId="777FDD19" w14:textId="6440DE1B" w:rsidR="009204B8" w:rsidRPr="001C2C36" w:rsidRDefault="00FA6148" w:rsidP="008969EE">
      <w:pPr>
        <w:pStyle w:val="Heading2"/>
        <w:rPr>
          <w:rFonts w:ascii="Times New Roman" w:hAnsi="Times New Roman" w:cs="Times New Roman"/>
          <w:szCs w:val="24"/>
        </w:rPr>
      </w:pPr>
      <w:r w:rsidRPr="001C2C36">
        <w:rPr>
          <w:rFonts w:ascii="Times New Roman" w:hAnsi="Times New Roman" w:cs="Times New Roman"/>
        </w:rPr>
        <w:t>Dynamic capabilities and government support</w:t>
      </w:r>
    </w:p>
    <w:p w14:paraId="1C92201E" w14:textId="60CEB483" w:rsidR="007678B3" w:rsidRPr="001C2C36" w:rsidRDefault="00FE1AB4" w:rsidP="0080086F">
      <w:pPr>
        <w:rPr>
          <w:rFonts w:cs="Times New Roman"/>
          <w:szCs w:val="24"/>
        </w:rPr>
      </w:pPr>
      <w:r w:rsidRPr="001C2C36">
        <w:rPr>
          <w:rFonts w:cs="Times New Roman"/>
          <w:szCs w:val="24"/>
        </w:rPr>
        <w:t xml:space="preserve">The findings show an overall positive impact of government support on employment during the </w:t>
      </w:r>
      <w:r w:rsidR="000C0133">
        <w:rPr>
          <w:rFonts w:cs="Times New Roman"/>
          <w:szCs w:val="24"/>
        </w:rPr>
        <w:t>firs</w:t>
      </w:r>
      <w:r w:rsidR="00385E9D">
        <w:rPr>
          <w:rFonts w:cs="Times New Roman"/>
          <w:szCs w:val="24"/>
        </w:rPr>
        <w:t>t</w:t>
      </w:r>
      <w:r w:rsidR="000C0133">
        <w:rPr>
          <w:rFonts w:cs="Times New Roman"/>
          <w:szCs w:val="24"/>
        </w:rPr>
        <w:t xml:space="preserve"> lockdown of </w:t>
      </w:r>
      <w:r w:rsidR="00385E9D">
        <w:rPr>
          <w:rFonts w:cs="Times New Roman"/>
          <w:szCs w:val="24"/>
        </w:rPr>
        <w:t xml:space="preserve">the </w:t>
      </w:r>
      <w:r w:rsidR="00060F2A" w:rsidRPr="001C2C36">
        <w:rPr>
          <w:rFonts w:cs="Times New Roman"/>
          <w:szCs w:val="24"/>
        </w:rPr>
        <w:t>C</w:t>
      </w:r>
      <w:r w:rsidRPr="001C2C36">
        <w:rPr>
          <w:rFonts w:cs="Times New Roman"/>
          <w:szCs w:val="24"/>
        </w:rPr>
        <w:t>ovid-19 pandemic.</w:t>
      </w:r>
      <w:r w:rsidR="00D41C51" w:rsidRPr="001C2C36">
        <w:rPr>
          <w:rFonts w:cs="Times New Roman"/>
          <w:szCs w:val="24"/>
        </w:rPr>
        <w:t xml:space="preserve"> These findings</w:t>
      </w:r>
      <w:r w:rsidR="00FA0F80" w:rsidRPr="001C2C36">
        <w:rPr>
          <w:rFonts w:cs="Times New Roman"/>
          <w:szCs w:val="24"/>
        </w:rPr>
        <w:t xml:space="preserve"> thus</w:t>
      </w:r>
      <w:r w:rsidR="00D41C51" w:rsidRPr="001C2C36">
        <w:rPr>
          <w:rFonts w:cs="Times New Roman"/>
          <w:szCs w:val="24"/>
        </w:rPr>
        <w:t xml:space="preserve"> </w:t>
      </w:r>
      <w:r w:rsidR="00AF6976" w:rsidRPr="001C2C36">
        <w:rPr>
          <w:rFonts w:cs="Times New Roman"/>
          <w:szCs w:val="24"/>
        </w:rPr>
        <w:t>contribute to</w:t>
      </w:r>
      <w:r w:rsidR="00D41C51" w:rsidRPr="001C2C36">
        <w:rPr>
          <w:rFonts w:cs="Times New Roman"/>
          <w:szCs w:val="24"/>
        </w:rPr>
        <w:t xml:space="preserve"> the </w:t>
      </w:r>
      <w:r w:rsidR="001D7EC1" w:rsidRPr="001C2C36">
        <w:rPr>
          <w:rFonts w:cs="Times New Roman"/>
          <w:szCs w:val="24"/>
        </w:rPr>
        <w:t>insight</w:t>
      </w:r>
      <w:r w:rsidR="00626FA3" w:rsidRPr="001C2C36">
        <w:rPr>
          <w:rFonts w:cs="Times New Roman"/>
          <w:szCs w:val="24"/>
        </w:rPr>
        <w:t>s</w:t>
      </w:r>
      <w:r w:rsidR="001D7EC1" w:rsidRPr="001C2C36">
        <w:rPr>
          <w:rFonts w:cs="Times New Roman"/>
          <w:szCs w:val="24"/>
        </w:rPr>
        <w:t xml:space="preserve"> from</w:t>
      </w:r>
      <w:r w:rsidR="00D41C51" w:rsidRPr="001C2C36">
        <w:rPr>
          <w:rFonts w:cs="Times New Roman"/>
          <w:szCs w:val="24"/>
        </w:rPr>
        <w:t xml:space="preserve"> </w:t>
      </w:r>
      <w:r w:rsidR="00546774" w:rsidRPr="001C2C36">
        <w:rPr>
          <w:rFonts w:cs="Times New Roman"/>
          <w:szCs w:val="24"/>
        </w:rPr>
        <w:t>other</w:t>
      </w:r>
      <w:r w:rsidR="001D7EC1" w:rsidRPr="001C2C36">
        <w:rPr>
          <w:rFonts w:cs="Times New Roman"/>
          <w:szCs w:val="24"/>
        </w:rPr>
        <w:t xml:space="preserve"> studies</w:t>
      </w:r>
      <w:r w:rsidR="009559E4" w:rsidRPr="001C2C36">
        <w:rPr>
          <w:rFonts w:cs="Times New Roman"/>
          <w:szCs w:val="24"/>
        </w:rPr>
        <w:t xml:space="preserve"> that focus</w:t>
      </w:r>
      <w:r w:rsidR="00E12C8E" w:rsidRPr="001C2C36">
        <w:rPr>
          <w:rFonts w:cs="Times New Roman"/>
          <w:szCs w:val="24"/>
        </w:rPr>
        <w:t>ed</w:t>
      </w:r>
      <w:r w:rsidR="009559E4" w:rsidRPr="001C2C36">
        <w:rPr>
          <w:rFonts w:cs="Times New Roman"/>
          <w:szCs w:val="24"/>
        </w:rPr>
        <w:t xml:space="preserve"> on individual support </w:t>
      </w:r>
      <w:r w:rsidR="001D4CC1" w:rsidRPr="001C2C36">
        <w:rPr>
          <w:rFonts w:cs="Times New Roman"/>
          <w:szCs w:val="24"/>
        </w:rPr>
        <w:t>schemes</w:t>
      </w:r>
      <w:r w:rsidR="00F52B7A" w:rsidRPr="001C2C36">
        <w:rPr>
          <w:rFonts w:cs="Times New Roman"/>
          <w:szCs w:val="24"/>
        </w:rPr>
        <w:t xml:space="preserve"> </w:t>
      </w:r>
      <w:r w:rsidR="00D74D24" w:rsidRPr="001C2C36">
        <w:rPr>
          <w:rFonts w:cs="Times New Roman"/>
          <w:szCs w:val="24"/>
        </w:rPr>
        <w:fldChar w:fldCharType="begin" w:fldLock="1"/>
      </w:r>
      <w:r w:rsidR="00AF5228" w:rsidRPr="001C2C36">
        <w:rPr>
          <w:rFonts w:cs="Times New Roman"/>
          <w:szCs w:val="24"/>
        </w:rPr>
        <w:instrText>ADDIN CSL_CITATION {"citationItems":[{"id":"ITEM-1","itemData":{"DOI":"10.1177/02662426211058050","ISSN":"17412870","abstract":"The UK has had a commitment to loan guarantee schemes since 1981 when it introduced the Small Firms Loan Guarantee (SFLG) scheme to address access to debt finance issues for smaller firms. Over the last 40 years, its support has been unwavering, and in the Covid-19 crisis, it once again turned to loan guarantees as a means of supporting smaller firms through the crisis-induced slump in trading activities. Of its three core Covid-19 guarantee schemes, the Bounce Back Loan (BBL) scheme was the most numerous with 1,531,095 loans issued amounting to a total of £46.5bn in lending. The BBL scheme provided a 100% capital guarantee on loans between £2,000 and £50,000, and firms were allowed to borrow up to 25% of their trading income, with a fixed interest rate of 2.5% of which the first years interest was paid by the government to the lending bank. Our findings suggest that the government losses may range between £7bn and £12bn depending on the underlying assumptions; however, we estimate Covid-19 guarantee schemes may have protected 118,639 businesses and 1,117,849 jobs. Looking to the future, we suggest that a new loan guarantee is justified that more resembles the former SFLG than the restrictive Enterprise Finance Guarantee (EFG) as more than one million small businesses will be heavily indebted and unable to borrow to invest in future growth opportunities. This would support the ‘levelling-up’ agenda and help prevent a post-Covid-19 low investment–low growth scenario.","author":[{"dropping-particle":"","family":"Cowling","given":"Marc","non-dropping-particle":"","parse-names":false,"suffix":""},{"dropping-particle":"","family":"Wilson","given":"Nick","non-dropping-particle":"","parse-names":false,"suffix":""},{"dropping-particle":"","family":"Nightingale","given":"Paul","non-dropping-particle":"","parse-names":false,"suffix":""},{"dropping-particle":"","family":"Kacer","given":"Marek","non-dropping-particle":"","parse-names":false,"suffix":""}],"container-title":"International Small Business Journal: Researching Entrepreneurship","id":"ITEM-1","issue":"5","issued":{"date-parts":[["2022"]]},"page":"650-666","title":"Predicting future default on the Covid-19 bounce back loan scheme: The £46.5 billion question","type":"article-journal","volume":"40"},"uris":["http://www.mendeley.com/documents/?uuid=865ca792-3d4f-4aa3-aed2-0c1459288f3c"]},{"id":"ITEM-2","itemData":{"DOI":"10.1177/02662426221124733","ISSN":"17412870","abstract":"In 2012, the UK government made the decision to offer loans to new entrepreneurs who were excluded from the credit market through the start-up loan (SUL) scheme. By 2021, loans totalling £759 million have been issued to 85,809 new start-ups. A disproportionate share of these SULs was issued to previously unemployed people to support their transition into self-employment. This paper questions whether those who started with the fewest resources achieved better or worse outcomes than those who started from a more beneficial position. Our findings show that previously unemployed start-ups had smaller loans and that they had a higher default hazard on their loans than entrants from waged employment, but more educated and older unemployed entrants survived longer. More generally, SULs to unemployed start-ups were cost-effective for the government in a loan portfolio sense, but once the benefits of supported entry into self-employment were fully accounted for, the overall contribution was very positive. This highlights the potential more comprehensive societal benefits of removing capital constraints by supporting the transition from unemployment to self-employment. Furthermore, we propose testing the effect of replacement start-up subsidies by soft loans in those countries, offering only direct grants, to increase the efficiency of public financial resources.","author":[{"dropping-particle":"","family":"Cowling","given":"Marc","non-dropping-particle":"","parse-names":false,"suffix":""},{"dropping-particle":"","family":"Dvouletý","given":"Ondřej","non-dropping-particle":"","parse-names":false,"suffix":""}],"container-title":"International Small Business Journal: Researching Entrepreneurship","id":"ITEM-2","issued":{"date-parts":[["2022"]]},"title":"UK government-backed start-up loans: Tackling disadvantage and credit rationing of new entrepreneurs","type":"article-journal"},"uris":["http://www.mendeley.com/documents/?uuid=3f91eeda-5f53-42bb-9484-8f02a1bb7d03"]},{"id":"ITEM-3","itemData":{"DOI":"10.1111/1467-8551.12576","ISSN":"14678551","abstract":"The scale of the UK government's response to the Covid-19 crisis after the first lockdown in March 2020 was unprecedented. For the business sector, two financing schemes were particularly relevant: the Coronavirus Business Interruption Loan Scheme (CBILS) and the Bounce Back Loan Scheme (BBLS). Both were designed to support the capitalization of businesses through this difficult trading period. In this paper, we use data covering the first two quarters of the Covid-19 crisis to explore the dynamics of small and medium-sized enterprise (SME) financing and in particular the role of government support schemes. Our findings show that 92.1% of all debt funds provided in this period were backed by the UK government, which compares to less than 5% under normal circumstances. We find that the demand, supply and government share of SME lending increased from Covid-19 quarter 1 (April–June 2020) to quarter 2 (July–September 2020), that micro and small businesses had the highest demand for loans, and that better-performing firms were more likely to receive loans. Further, in a world where more loan requests than ever were granted, the government share of this pool of loans had a different risk profile than the small pool of non-government-backed loans.","author":[{"dropping-particle":"","family":"Calabrese","given":"Raffaella","non-dropping-particle":"","parse-names":false,"suffix":""},{"dropping-particle":"","family":"Cowling","given":"Marc","non-dropping-particle":"","parse-names":false,"suffix":""},{"dropping-particle":"","family":"Liu","given":"Weixi","non-dropping-particle":"","parse-names":false,"suffix":""}],"container-title":"British Journal of Management","id":"ITEM-3","issue":"2","issued":{"date-parts":[["2022"]]},"page":"657-677","title":"Understanding the Dynamics of UK Covid-19 SME Financing","type":"article-journal","volume":"33"},"uris":["http://www.mendeley.com/documents/?uuid=d9dba954-b535-490c-a14b-6c0267314475"]},{"id":"ITEM-4","itemData":{"DOI":"10.3386/w27623","abstract":"What happens when public resources are allocated by private actors, whose objectives may be imperfectly aligned with public goals? We study this question in the context of the Paycheck Protection Program (PPP), which relied on private banks to rapidly disburse aid to small businesses. We present a model suggesting that such delegation is optimal if delay is very costly, the variance of the impact of funds across firms is small, and the correlation between public and private objectives is high. We then use firm-level data to measure heterogeneity in the impact of PPP and to assess whether banks targeted loans to high-impact firms. Using an instrumental variables approach, we find that PPP loans increased business’s expected survival rates by 9 to 22 percentage points and modestly boosted employment. While banks did target loans to their pre-existing customers, treatment effect heterogeneity is sufficiently modest and the correlation between bank and public objectives seems sufficiently strong that delegation could still have been optimal given the high costs of delay.","author":[{"dropping-particle":"","family":"Bartik","given":"Alexander W;","non-dropping-particle":"","parse-names":false,"suffix":""},{"dropping-particle":"","family":"Cullen","given":"Zoe B","non-dropping-particle":"","parse-names":false,"suffix":""},{"dropping-particle":"","family":"Glaeser","given":"Edward L","non-dropping-particle":"","parse-names":false,"suffix":""},{"dropping-particle":"","family":"Luca","given":"Michael","non-dropping-particle":"","parse-names":false,"suffix":""},{"dropping-particle":"","family":"Stanton","given":"Christopher T","non-dropping-particle":"","parse-names":false,"suffix":""},{"dropping-particle":"","family":"Sunderam","given":"Adi","non-dropping-particle":"","parse-names":false,"suffix":""}],"container-title":"National Bureau of Economic Research Working Paper Series No. 27623","id":"ITEM-4","issued":{"date-parts":[["2020"]]},"note":"Author contact info:\nAlexander W. Bartik\nUniversity of Illinois at Urbana-Champaign\n1407 W. Gregory Road\n214 David Kinley Hall\nUrbana, IL 61821\nTel: 2173006027\nE-Mail: abartik@illinois.edu\n\nZoe B. Cullen\nRock Center 210\nHarvard Business School\n60 N. Harvard\nBoston, MA 02163\nTel: 617/495-1867\nE-Mail: zcullen@hbs.edu\n\nEdward L. Glaeser\nDepartment of Economics\n315A Littauer Center\nHarvard University\nCambridge, MA 02138\nTel: 617/495-0575\nFax: 617/495-7730\nE-Mail: eglaeser@harvard.edu\n\nMichael Luca\nHarvard Business School\nSoldiers Field\nBoston, MA 02163\nTel: 617/495-8382\nE-Mail: mluca@hbs.edu\n\nChristopher T. Stanton\n210 Rock Center\nHarvard University\nHarvard Business School\nBoston, MA 02163\nTel: 617/495-3795\nE-Mail: christopher.t.stanton@gmail.com\n\nAdi Sunderam\nHarvard Business School\nBaker Library 359\nSoldiers Field\nBoston, MA 02163\nTel: 617/495-6644\nE-Mail: asunderam@hbs.edu","title":"The Targeting and Impact of Paycheck Protection Program Loans to Small Businesses","type":"article-journal","volume":"No. 27623"},"uris":["http://www.mendeley.com/documents/?uuid=8fdc4963-fc6c-4953-bd3a-e3267e3d3b2b"]},{"id":"ITEM-5","itemData":{"DOI":"http://dx.doi.org/10.17016/FEDS.2021.003","abstract":"Delay in the provision of Paycheck Protection Program (PPP) loans due to insufficient initial funding under the CARES Act substantially and persistently reduced employment. Delayed loans increased job losses in May and persistently reduced recalls throughout the summer. The magnitude and heterogeneity of effects suggest significant barriers to obtaining external financing, particularly among small firms. Effects are inequitably distributed: larger among the self-employed, less well paid, less well educated and--importantly for the design of future programs--in very small firms. Our estimates imply the PPP saved millions of jobs but larger initial funding could have saved millions more, particularly if it had been directed toward the smallest firms. About half of the jobs lost to insufficient PPP funding are lost in firms with fewer than 10 employees, despite such firms accounting for less than 20 percent of employment.","author":[{"dropping-particle":"","family":"Doniger","given":"Cynthia L","non-dropping-particle":"","parse-names":false,"suffix":""},{"dropping-particle":"","family":"Kay","given":"Benjamin","non-dropping-particle":"","parse-names":false,"suffix":""}],"container-title":"Finance and Economics Discussion Series No. 2021-3","id":"ITEM-5","issued":{"date-parts":[["2021"]]},"title":"Ten Days Late and Billions of Dollars Short: The Employment Effects of Delays in Paycheck Protection Program Financing","type":"article-journal"},"uris":["http://www.mendeley.com/documents/?uuid=35036250-37fe-41a8-bfce-33122da9543b"]}],"mendeley":{"formattedCitation":"(Alexander W; Bartik et al., 2020; Calabrese et al., 2022; Cowling et al., 2022; Cowling and Dvouletý, 2022; Doniger and Kay, 2021)","plainTextFormattedCitation":"(Alexander W; Bartik et al., 2020; Calabrese et al., 2022; Cowling et al., 2022; Cowling and Dvouletý, 2022; Doniger and Kay, 2021)","previouslyFormattedCitation":"(Alexander W; Bartik et al., 2020; Calabrese et al., 2022; Cowling et al., 2022; Cowling and Dvouletý, 2022; Doniger and Kay, 2021)"},"properties":{"noteIndex":0},"schema":"https://github.com/citation-style-language/schema/raw/master/csl-citation.json"}</w:instrText>
      </w:r>
      <w:r w:rsidR="00D74D24" w:rsidRPr="001C2C36">
        <w:rPr>
          <w:rFonts w:cs="Times New Roman"/>
          <w:szCs w:val="24"/>
        </w:rPr>
        <w:fldChar w:fldCharType="separate"/>
      </w:r>
      <w:r w:rsidR="00B81CC0" w:rsidRPr="001C2C36">
        <w:rPr>
          <w:rFonts w:cs="Times New Roman"/>
          <w:noProof/>
          <w:szCs w:val="24"/>
        </w:rPr>
        <w:t>(Alexander W; Bartik et al., 2020; Calabrese et al., 2022; Cowling et al., 2022; Cowling and Dvouletý, 2022; Doniger and Kay, 2021)</w:t>
      </w:r>
      <w:r w:rsidR="00D74D24" w:rsidRPr="001C2C36">
        <w:rPr>
          <w:rFonts w:cs="Times New Roman"/>
          <w:szCs w:val="24"/>
        </w:rPr>
        <w:fldChar w:fldCharType="end"/>
      </w:r>
      <w:r w:rsidR="00D74D24" w:rsidRPr="001C2C36">
        <w:rPr>
          <w:rFonts w:cs="Times New Roman"/>
          <w:szCs w:val="24"/>
        </w:rPr>
        <w:t xml:space="preserve"> by capturing the</w:t>
      </w:r>
      <w:r w:rsidR="00BA4F98" w:rsidRPr="001C2C36">
        <w:rPr>
          <w:rFonts w:cs="Times New Roman"/>
          <w:szCs w:val="24"/>
        </w:rPr>
        <w:t xml:space="preserve"> impact of the</w:t>
      </w:r>
      <w:r w:rsidR="000B4C0F" w:rsidRPr="001C2C36">
        <w:rPr>
          <w:rFonts w:cs="Times New Roman"/>
          <w:szCs w:val="24"/>
        </w:rPr>
        <w:t xml:space="preserve"> quantity </w:t>
      </w:r>
      <w:r w:rsidR="008E40D7" w:rsidRPr="001C2C36">
        <w:rPr>
          <w:rFonts w:cs="Times New Roman"/>
          <w:szCs w:val="24"/>
        </w:rPr>
        <w:t xml:space="preserve">of </w:t>
      </w:r>
      <w:r w:rsidR="00D74D24" w:rsidRPr="001C2C36">
        <w:rPr>
          <w:rFonts w:cs="Times New Roman"/>
          <w:szCs w:val="24"/>
        </w:rPr>
        <w:t>support schemes</w:t>
      </w:r>
      <w:r w:rsidR="00F50787" w:rsidRPr="001C2C36">
        <w:rPr>
          <w:rFonts w:cs="Times New Roman"/>
          <w:szCs w:val="24"/>
        </w:rPr>
        <w:t xml:space="preserve"> that SMEs </w:t>
      </w:r>
      <w:r w:rsidR="00AA3B86" w:rsidRPr="001C2C36">
        <w:rPr>
          <w:rFonts w:cs="Times New Roman"/>
          <w:szCs w:val="24"/>
        </w:rPr>
        <w:t>received</w:t>
      </w:r>
      <w:r w:rsidR="00D74D24" w:rsidRPr="001C2C36">
        <w:rPr>
          <w:rFonts w:cs="Times New Roman"/>
          <w:szCs w:val="24"/>
        </w:rPr>
        <w:t xml:space="preserve"> </w:t>
      </w:r>
      <w:r w:rsidR="0024022C" w:rsidRPr="001C2C36">
        <w:rPr>
          <w:rFonts w:cs="Times New Roman"/>
          <w:szCs w:val="24"/>
        </w:rPr>
        <w:t xml:space="preserve">on employment change. </w:t>
      </w:r>
      <w:r w:rsidR="008A0B66" w:rsidRPr="001C2C36">
        <w:rPr>
          <w:rFonts w:cs="Times New Roman"/>
          <w:szCs w:val="24"/>
        </w:rPr>
        <w:t xml:space="preserve">We also see that </w:t>
      </w:r>
      <w:r w:rsidR="007233C6" w:rsidRPr="001C2C36">
        <w:rPr>
          <w:rFonts w:cs="Times New Roman"/>
          <w:szCs w:val="24"/>
        </w:rPr>
        <w:t>the support</w:t>
      </w:r>
      <w:r w:rsidR="004D6BED" w:rsidRPr="001C2C36">
        <w:rPr>
          <w:rFonts w:cs="Times New Roman"/>
          <w:szCs w:val="24"/>
        </w:rPr>
        <w:t>,</w:t>
      </w:r>
      <w:r w:rsidR="00756551" w:rsidRPr="001C2C36">
        <w:rPr>
          <w:rFonts w:cs="Times New Roman"/>
          <w:szCs w:val="24"/>
        </w:rPr>
        <w:t xml:space="preserve"> </w:t>
      </w:r>
      <w:r w:rsidR="000827AA" w:rsidRPr="001C2C36">
        <w:rPr>
          <w:rFonts w:cs="Times New Roman"/>
          <w:szCs w:val="24"/>
        </w:rPr>
        <w:t>at least to some extent</w:t>
      </w:r>
      <w:r w:rsidR="00C42B00" w:rsidRPr="001C2C36">
        <w:rPr>
          <w:rFonts w:cs="Times New Roman"/>
          <w:szCs w:val="24"/>
        </w:rPr>
        <w:t>,</w:t>
      </w:r>
      <w:r w:rsidR="000827AA" w:rsidRPr="001C2C36">
        <w:rPr>
          <w:rFonts w:cs="Times New Roman"/>
          <w:szCs w:val="24"/>
        </w:rPr>
        <w:t xml:space="preserve"> </w:t>
      </w:r>
      <w:r w:rsidR="005A3308" w:rsidRPr="001C2C36">
        <w:rPr>
          <w:rFonts w:cs="Times New Roman"/>
          <w:szCs w:val="24"/>
        </w:rPr>
        <w:t>benefited</w:t>
      </w:r>
      <w:r w:rsidR="000827AA" w:rsidRPr="001C2C36">
        <w:rPr>
          <w:rFonts w:eastAsia="Calibri" w:cs="Times New Roman"/>
        </w:rPr>
        <w:t xml:space="preserve"> the economy </w:t>
      </w:r>
      <w:r w:rsidR="00E874B4" w:rsidRPr="001C2C36">
        <w:rPr>
          <w:rFonts w:eastAsia="Calibri" w:cs="Times New Roman"/>
        </w:rPr>
        <w:t>by</w:t>
      </w:r>
      <w:r w:rsidR="000827AA" w:rsidRPr="001C2C36">
        <w:rPr>
          <w:rFonts w:eastAsia="Calibri" w:cs="Times New Roman"/>
        </w:rPr>
        <w:t xml:space="preserve"> </w:t>
      </w:r>
      <w:r w:rsidR="000827AA" w:rsidRPr="001C2C36">
        <w:rPr>
          <w:rFonts w:cs="Times New Roman"/>
          <w:color w:val="000000"/>
        </w:rPr>
        <w:t xml:space="preserve">sustaining and creating </w:t>
      </w:r>
      <w:r w:rsidR="000827AA" w:rsidRPr="001C2C36">
        <w:rPr>
          <w:rFonts w:cs="Times New Roman"/>
          <w:color w:val="000000"/>
        </w:rPr>
        <w:lastRenderedPageBreak/>
        <w:t>employment</w:t>
      </w:r>
      <w:r w:rsidR="00756551" w:rsidRPr="001C2C36">
        <w:rPr>
          <w:rFonts w:cs="Times New Roman"/>
          <w:szCs w:val="24"/>
        </w:rPr>
        <w:t xml:space="preserve">, as </w:t>
      </w:r>
      <w:r w:rsidR="000926EE" w:rsidRPr="001C2C36">
        <w:rPr>
          <w:rFonts w:cs="Times New Roman"/>
          <w:szCs w:val="24"/>
        </w:rPr>
        <w:t xml:space="preserve">such </w:t>
      </w:r>
      <w:r w:rsidR="00DC3874" w:rsidRPr="001C2C36">
        <w:rPr>
          <w:rFonts w:cs="Times New Roman"/>
          <w:szCs w:val="24"/>
        </w:rPr>
        <w:t xml:space="preserve">policies </w:t>
      </w:r>
      <w:r w:rsidR="00756551" w:rsidRPr="001C2C36">
        <w:rPr>
          <w:rFonts w:cs="Times New Roman"/>
          <w:szCs w:val="24"/>
        </w:rPr>
        <w:t>typically intend</w:t>
      </w:r>
      <w:r w:rsidR="00DC3874" w:rsidRPr="001C2C36">
        <w:rPr>
          <w:rFonts w:cs="Times New Roman"/>
          <w:szCs w:val="24"/>
        </w:rPr>
        <w:t xml:space="preserve"> to do</w:t>
      </w:r>
      <w:r w:rsidR="00756551" w:rsidRPr="001C2C36">
        <w:rPr>
          <w:rFonts w:cs="Times New Roman"/>
          <w:szCs w:val="24"/>
        </w:rPr>
        <w:t xml:space="preserve"> </w:t>
      </w:r>
      <w:r w:rsidR="00756551" w:rsidRPr="001C2C36">
        <w:rPr>
          <w:rFonts w:cs="Times New Roman"/>
          <w:color w:val="000000"/>
        </w:rPr>
        <w:fldChar w:fldCharType="begin" w:fldLock="1"/>
      </w:r>
      <w:r w:rsidR="00756551" w:rsidRPr="001C2C36">
        <w:rPr>
          <w:rFonts w:cs="Times New Roman"/>
          <w:color w:val="000000"/>
        </w:rPr>
        <w:instrText>ADDIN CSL_CITATION {"citationItems":[{"id":"ITEM-1","itemData":{"DOI":"10.1016/j.worlddev.2017.04.012","ISSN":"18735991","abstract":"Many people in Low- and Middle-Income Countries (LMICs) work for Small and Medium-sized Enterprises (SMEs). Oftentimes, these SMEs have limited access to finance. Interventions to promote financial access for SMEs are therefore an integral part of the development strategy of many governments and donors. To provide an overview of the effectiveness of these interventions, we conduct a systematic review and multivariate meta-analysis. This yields three results. Firstly, few evaluations of SME finance programs apply the same rigorous experimental methods that are more commonly used in studies of microfinance. Secondly, most evaluations of SME finance programs consider neither spillover effects to other enterprises nor effects on the employee level. Thirdly, we find a positive significant effect of SME finance on capital investment, firm performance, and employment within the supported firm, whereas the summary effect on profitability and wages is insignificant. In sum, it remains unclear to what extent SME finance contributes to economic development and poverty reduction. We discuss the main policy implications of these findings as well as the limitations and suggestions for future research on SME finance.","author":[{"dropping-particle":"","family":"Kersten","given":"Renate","non-dropping-particle":"","parse-names":false,"suffix":""},{"dropping-particle":"","family":"Harms","given":"Job","non-dropping-particle":"","parse-names":false,"suffix":""},{"dropping-particle":"","family":"Liket","given":"Kellie","non-dropping-particle":"","parse-names":false,"suffix":""},{"dropping-particle":"","family":"Maas","given":"Karen","non-dropping-particle":"","parse-names":false,"suffix":""}],"container-title":"World Development","id":"ITEM-1","issue":"2016","issued":{"date-parts":[["2017"]]},"page":"330-348","publisher":"Elsevier Ltd","title":"Small Firms, large Impact? A systematic review of the SME Finance Literature","type":"article-journal","volume":"97"},"uris":["http://www.mendeley.com/documents/?uuid=ea7a9990-c7a2-4b02-a367-9da077d39695"]},{"id":"ITEM-2","itemData":{"DOI":"10.1177/02662426221124733","ISSN":"17412870","abstract":"In 2012, the UK government made the decision to offer loans to new entrepreneurs who were excluded from the credit market through the start-up loan (SUL) scheme. By 2021, loans totalling £759 million have been issued to 85,809 new start-ups. A disproportionate share of these SULs was issued to previously unemployed people to support their transition into self-employment. This paper questions whether those who started with the fewest resources achieved better or worse outcomes than those who started from a more beneficial position. Our findings show that previously unemployed start-ups had smaller loans and that they had a higher default hazard on their loans than entrants from waged employment, but more educated and older unemployed entrants survived longer. More generally, SULs to unemployed start-ups were cost-effective for the government in a loan portfolio sense, but once the benefits of supported entry into self-employment were fully accounted for, the overall contribution was very positive. This highlights the potential more comprehensive societal benefits of removing capital constraints by supporting the transition from unemployment to self-employment. Furthermore, we propose testing the effect of replacement start-up subsidies by soft loans in those countries, offering only direct grants, to increase the efficiency of public financial resources.","author":[{"dropping-particle":"","family":"Cowling","given":"Marc","non-dropping-particle":"","parse-names":false,"suffix":""},{"dropping-particle":"","family":"Dvouletý","given":"Ondřej","non-dropping-particle":"","parse-names":false,"suffix":""}],"container-title":"International Small Business Journal: Researching Entrepreneurship","id":"ITEM-2","issued":{"date-parts":[["2022"]]},"title":"UK government-backed start-up loans: Tackling disadvantage and credit rationing of new entrepreneurs","type":"article-journal"},"uris":["http://www.mendeley.com/documents/?uuid=3f91eeda-5f53-42bb-9484-8f02a1bb7d03"]}],"mendeley":{"formattedCitation":"(Cowling and Dvouletý, 2022; Kersten et al., 2017)","plainTextFormattedCitation":"(Cowling and Dvouletý, 2022; Kersten et al., 2017)","previouslyFormattedCitation":"(Cowling and Dvouletý, 2022; Kersten et al., 2017)"},"properties":{"noteIndex":0},"schema":"https://github.com/citation-style-language/schema/raw/master/csl-citation.json"}</w:instrText>
      </w:r>
      <w:r w:rsidR="00756551" w:rsidRPr="001C2C36">
        <w:rPr>
          <w:rFonts w:cs="Times New Roman"/>
          <w:color w:val="000000"/>
        </w:rPr>
        <w:fldChar w:fldCharType="separate"/>
      </w:r>
      <w:r w:rsidR="00756551" w:rsidRPr="001C2C36">
        <w:rPr>
          <w:rFonts w:cs="Times New Roman"/>
          <w:noProof/>
          <w:color w:val="000000"/>
        </w:rPr>
        <w:t>(Cowling and Dvouletý, 2022; Kersten et al., 2017)</w:t>
      </w:r>
      <w:r w:rsidR="00756551" w:rsidRPr="001C2C36">
        <w:rPr>
          <w:rFonts w:cs="Times New Roman"/>
          <w:color w:val="000000"/>
        </w:rPr>
        <w:fldChar w:fldCharType="end"/>
      </w:r>
      <w:r w:rsidR="0080086F" w:rsidRPr="001C2C36">
        <w:rPr>
          <w:rFonts w:eastAsia="Calibri" w:cs="Times New Roman"/>
        </w:rPr>
        <w:t xml:space="preserve">. </w:t>
      </w:r>
      <w:r w:rsidR="00E9511B" w:rsidRPr="001C2C36">
        <w:rPr>
          <w:rFonts w:cs="Times New Roman"/>
          <w:szCs w:val="24"/>
        </w:rPr>
        <w:t>Our study thus</w:t>
      </w:r>
      <w:r w:rsidR="00D41C51" w:rsidRPr="001C2C36">
        <w:rPr>
          <w:rFonts w:cs="Times New Roman"/>
          <w:szCs w:val="24"/>
        </w:rPr>
        <w:t xml:space="preserve"> highlights the crucial role that government support mechanisms have in protecting</w:t>
      </w:r>
      <w:r w:rsidR="007023C5" w:rsidRPr="001C2C36">
        <w:rPr>
          <w:rFonts w:cs="Times New Roman"/>
          <w:szCs w:val="24"/>
        </w:rPr>
        <w:t xml:space="preserve"> SME</w:t>
      </w:r>
      <w:r w:rsidR="00D41C51" w:rsidRPr="001C2C36">
        <w:rPr>
          <w:rFonts w:cs="Times New Roman"/>
          <w:szCs w:val="24"/>
        </w:rPr>
        <w:t xml:space="preserve"> employment during shocks.</w:t>
      </w:r>
    </w:p>
    <w:p w14:paraId="0BDF22A5" w14:textId="79986B13" w:rsidR="001E6C82" w:rsidRPr="001C2C36" w:rsidRDefault="348F2DB9" w:rsidP="00742785">
      <w:pPr>
        <w:rPr>
          <w:rFonts w:cs="Times New Roman"/>
          <w:szCs w:val="24"/>
        </w:rPr>
      </w:pPr>
      <w:r w:rsidRPr="001C2C36">
        <w:rPr>
          <w:rFonts w:cs="Times New Roman"/>
          <w:szCs w:val="24"/>
        </w:rPr>
        <w:t xml:space="preserve">In addition to the </w:t>
      </w:r>
      <w:r w:rsidR="003D5637" w:rsidRPr="001C2C36">
        <w:rPr>
          <w:rFonts w:cs="Times New Roman"/>
          <w:szCs w:val="24"/>
        </w:rPr>
        <w:t xml:space="preserve">direct </w:t>
      </w:r>
      <w:r w:rsidRPr="001C2C36">
        <w:rPr>
          <w:rFonts w:cs="Times New Roman"/>
          <w:szCs w:val="24"/>
        </w:rPr>
        <w:t>impact of DCs</w:t>
      </w:r>
      <w:r w:rsidR="003D5637" w:rsidRPr="001C2C36">
        <w:rPr>
          <w:rFonts w:cs="Times New Roman"/>
          <w:szCs w:val="24"/>
        </w:rPr>
        <w:t xml:space="preserve"> </w:t>
      </w:r>
      <w:r w:rsidR="00D60D99" w:rsidRPr="001C2C36">
        <w:rPr>
          <w:rFonts w:cs="Times New Roman"/>
          <w:szCs w:val="24"/>
        </w:rPr>
        <w:t xml:space="preserve">and government support </w:t>
      </w:r>
      <w:r w:rsidR="003D5637" w:rsidRPr="001C2C36">
        <w:rPr>
          <w:rFonts w:cs="Times New Roman"/>
          <w:szCs w:val="24"/>
        </w:rPr>
        <w:t>on SME employment</w:t>
      </w:r>
      <w:r w:rsidRPr="001C2C36">
        <w:rPr>
          <w:rFonts w:cs="Times New Roman"/>
          <w:szCs w:val="24"/>
        </w:rPr>
        <w:t xml:space="preserve">, we </w:t>
      </w:r>
      <w:r w:rsidR="003D5637" w:rsidRPr="001C2C36">
        <w:rPr>
          <w:rFonts w:cs="Times New Roman"/>
          <w:szCs w:val="24"/>
        </w:rPr>
        <w:t xml:space="preserve">also </w:t>
      </w:r>
      <w:r w:rsidRPr="001C2C36">
        <w:rPr>
          <w:rFonts w:cs="Times New Roman"/>
          <w:szCs w:val="24"/>
        </w:rPr>
        <w:t>go further than existing studies</w:t>
      </w:r>
      <w:r w:rsidR="00A96BC3" w:rsidRPr="001C2C36">
        <w:rPr>
          <w:rFonts w:cs="Times New Roman"/>
          <w:szCs w:val="24"/>
        </w:rPr>
        <w:t xml:space="preserve"> </w:t>
      </w:r>
      <w:r w:rsidR="004B098D" w:rsidRPr="001C2C36">
        <w:rPr>
          <w:rFonts w:cs="Times New Roman"/>
          <w:szCs w:val="24"/>
        </w:rPr>
        <w:t xml:space="preserve">focusing on DCs </w:t>
      </w:r>
      <w:r w:rsidR="00A96BC3" w:rsidRPr="001C2C36">
        <w:rPr>
          <w:rFonts w:cs="Times New Roman"/>
          <w:szCs w:val="24"/>
        </w:rPr>
        <w:fldChar w:fldCharType="begin" w:fldLock="1"/>
      </w:r>
      <w:r w:rsidR="000E4D26" w:rsidRPr="001C2C36">
        <w:rPr>
          <w:rFonts w:cs="Times New Roman"/>
          <w:szCs w:val="24"/>
        </w:rPr>
        <w:instrText>ADDIN CSL_CITATION {"citationItems":[{"id":"ITEM-1","itemData":{"DOI":"10.1177/02662426211058050","ISSN":"17412870","abstract":"The UK has had a commitment to loan guarantee schemes since 1981 when it introduced the Small Firms Loan Guarantee (SFLG) scheme to address access to debt finance issues for smaller firms. Over the last 40 years, its support has been unwavering, and in the Covid-19 crisis, it once again turned to loan guarantees as a means of supporting smaller firms through the crisis-induced slump in trading activities. Of its three core Covid-19 guarantee schemes, the Bounce Back Loan (BBL) scheme was the most numerous with 1,531,095 loans issued amounting to a total of £46.5bn in lending. The BBL scheme provided a 100% capital guarantee on loans between £2,000 and £50,000, and firms were allowed to borrow up to 25% of their trading income, with a fixed interest rate of 2.5% of which the first years interest was paid by the government to the lending bank. Our findings suggest that the government losses may range between £7bn and £12bn depending on the underlying assumptions; however, we estimate Covid-19 guarantee schemes may have protected 118,639 businesses and 1,117,849 jobs. Looking to the future, we suggest that a new loan guarantee is justified that more resembles the former SFLG than the restrictive Enterprise Finance Guarantee (EFG) as more than one million small businesses will be heavily indebted and unable to borrow to invest in future growth opportunities. This would support the ‘levelling-up’ agenda and help prevent a post-Covid-19 low investment–low growth scenario.","author":[{"dropping-particle":"","family":"Cowling","given":"Marc","non-dropping-particle":"","parse-names":false,"suffix":""},{"dropping-particle":"","family":"Wilson","given":"Nick","non-dropping-particle":"","parse-names":false,"suffix":""},{"dropping-particle":"","family":"Nightingale","given":"Paul","non-dropping-particle":"","parse-names":false,"suffix":""},{"dropping-particle":"","family":"Kacer","given":"Marek","non-dropping-particle":"","parse-names":false,"suffix":""}],"container-title":"International Small Business Journal: Researching Entrepreneurship","id":"ITEM-1","issue":"5","issued":{"date-parts":[["2022"]]},"page":"650-666","title":"Predicting future default on the Covid-19 bounce back loan scheme: The £46.5 billion question","type":"article-journal","volume":"40"},"uris":["http://www.mendeley.com/documents/?uuid=a8b4bd6b-83fe-4122-86a4-1c8b2c9a0907","http://www.mendeley.com/documents/?uuid=865ca792-3d4f-4aa3-aed2-0c1459288f3c"]},{"id":"ITEM-2","itemData":{"DOI":"10.1007/s11846-022-00569-x","ISBN":"1184602200569","ISSN":"1863-6683","abstract":"This paper addresses the debate on the ability/inability of SMEs to balance social, environmental and economic objectives by integrating insights from the dynamic capabilities literature. Using unique survey data from 297 Dutch SMEs, we propose that integrative dynamic capabilities simultaneously drive all three pillars of sustainability in SMEs.","author":[{"dropping-particle":"","family":"Dejardin","given":"Marcus","non-dropping-particle":"","parse-names":false,"suffix":""},{"dropping-particle":"","family":"Raposo","given":"Mario L.","non-dropping-particle":"","parse-names":false,"suffix":""},{"dropping-particle":"","family":"Ferreira","given":"João J.","non-dropping-particle":"","parse-names":false,"suffix":""},{"dropping-particle":"","family":"Fernandes","given":"Cristina I.","non-dropping-particle":"","parse-names":false,"suffix":""},{"dropping-particle":"","family":"Veiga","given":"Pedro M.","non-dropping-particle":"","parse-names":false,"suffix":""},{"dropping-particle":"","family":"Farinha","given":"Luís","non-dropping-particle":"","parse-names":false,"suffix":""}],"container-title":"Review of Managerial Science","id":"ITEM-2","issue":"1","issued":{"date-parts":[["2022","7","18"]]},"page":"11482","publisher":"Springer Berlin Heidelberg","title":"The impact of dynamic capabilities on SME performance during COVID-19","type":"article-journal","volume":"2018"},"uris":["http://www.mendeley.com/documents/?uuid=a6794bab-f252-46a3-8e62-ecbd672b19b3","http://www.mendeley.com/documents/?uuid=1449dbde-85ad-478b-8a5c-6d9844d29b28","http://www.mendeley.com/documents/?uuid=1f827ea8-45a9-441d-a281-9194ad6f926e"]},{"id":"ITEM-3","itemData":{"DOI":"10.1177/0266242620986763","ISSN":"17412870","abstract":"It is well documented that the self-employed experience higher levels of happiness than waged employees even when their incomes are lower. Given the UK government’s asymmetric treatment of waged workers and the self-employed, we use a unique Covid-19 period data set which covers the months leading up to the March lockdown and the months just after to assess three aspects of the Covid-19 crisis on the self-employed: hours of work reductions, the associated income reductions and the effects of both on subjective well-being. Our findings show the large and disproportionate reductions in hours and income for the self-employed directly contributed to a deterioration in their levels of subjective well-being compared to waged workers. It appears that their resilience was broken when faced with the reality of dealing with rare events, particularly when the UK welfare support response was asymmetric and favouring waged employees.","author":[{"dropping-particle":"","family":"Yue","given":"Wei","non-dropping-particle":"","parse-names":false,"suffix":""},{"dropping-particle":"","family":"Cowling","given":"Marc","non-dropping-particle":"","parse-names":false,"suffix":""}],"container-title":"International Small Business Journal: Researching Entrepreneurship","id":"ITEM-3","issue":"2","issued":{"date-parts":[["2021"]]},"page":"93-108","title":"The Covid-19 lockdown in the United Kingdom and subjective well-being: Have the self-employed suffered more due to hours and income reductions?","type":"article-journal","volume":"39"},"uris":["http://www.mendeley.com/documents/?uuid=72c80b3a-29c1-4cba-81fc-71657a96e42d"]},{"id":"ITEM-4","itemData":{"DOI":"10.1177/02662426211033270","ISSN":"17412870","abstract":"COVID-19 wreaked havoc on public health and the global economy. Small and medium-sized enterprises (SMEs) were hit especially hard. In this research note, we test the ability of dynamic capabilities (DCs) to predict SME performance during the pandemic. Based on our analysis of data from a survey conducted in the United States, we find that DCs meaningfully predicted both operational levels and revenue. Furthermore, while the empirical literature suggests that SME size is positively related to DC efficacy, we found that this effect was reversed during COVID-19, as the positive link between DCs and performance was stronger for smaller SMEs.","author":[{"dropping-particle":"","family":"Clampit","given":"Jack A.","non-dropping-particle":"","parse-names":false,"suffix":""},{"dropping-particle":"","family":"Lorenz","given":"Melanie P.","non-dropping-particle":"","parse-names":false,"suffix":""},{"dropping-particle":"","family":"Gamble","given":"John E.","non-dropping-particle":"","parse-names":false,"suffix":""},{"dropping-particle":"","family":"Lee","given":"Jim","non-dropping-particle":"","parse-names":false,"suffix":""}],"container-title":"International Small Business Journal: Researching Entrepreneurship","id":"ITEM-4","issue":"3","issued":{"date-parts":[["2021"]]},"page":"403 –419","title":"Performance stability among small and medium-sized enterprises during COVID-19: A test of the efficacy of dynamic capabilities","type":"article-journal","volume":"40"},"uris":["http://www.mendeley.com/documents/?uuid=91c45b80-89c5-4e6b-aaea-066b44b12e58"]}],"mendeley":{"formattedCitation":"(Clampit et al., 2021; Cowling et al., 2022; Dejardin et al., 2022; Yue and Cowling, 2021)","plainTextFormattedCitation":"(Clampit et al., 2021; Cowling et al., 2022; Dejardin et al., 2022; Yue and Cowling, 2021)","previouslyFormattedCitation":"(Clampit et al., 2021; Cowling et al., 2022; Dejardin et al., 2022; Yue and Cowling, 2021)"},"properties":{"noteIndex":0},"schema":"https://github.com/citation-style-language/schema/raw/master/csl-citation.json"}</w:instrText>
      </w:r>
      <w:r w:rsidR="00A96BC3" w:rsidRPr="001C2C36">
        <w:rPr>
          <w:rFonts w:cs="Times New Roman"/>
          <w:szCs w:val="24"/>
        </w:rPr>
        <w:fldChar w:fldCharType="separate"/>
      </w:r>
      <w:r w:rsidR="00E45B1D" w:rsidRPr="001C2C36">
        <w:rPr>
          <w:rFonts w:cs="Times New Roman"/>
          <w:noProof/>
          <w:szCs w:val="24"/>
        </w:rPr>
        <w:t>(Clampit et al., 2021; Cowling et al., 2022; Dejardin et al., 2022; Yue and Cowling, 2021)</w:t>
      </w:r>
      <w:r w:rsidR="00A96BC3" w:rsidRPr="001C2C36">
        <w:rPr>
          <w:rFonts w:cs="Times New Roman"/>
          <w:szCs w:val="24"/>
        </w:rPr>
        <w:fldChar w:fldCharType="end"/>
      </w:r>
      <w:r w:rsidR="00A96BC3" w:rsidRPr="001C2C36">
        <w:rPr>
          <w:rFonts w:cs="Times New Roman"/>
          <w:szCs w:val="24"/>
        </w:rPr>
        <w:t xml:space="preserve"> </w:t>
      </w:r>
      <w:r w:rsidRPr="001C2C36">
        <w:rPr>
          <w:rFonts w:cs="Times New Roman"/>
          <w:szCs w:val="24"/>
        </w:rPr>
        <w:t>by examining the impact of government support alongside DCs, providing evidence on how DCs are affected by government assistance during a crisis.</w:t>
      </w:r>
      <w:r w:rsidR="00E21190" w:rsidRPr="001C2C36">
        <w:rPr>
          <w:rFonts w:cs="Times New Roman"/>
          <w:szCs w:val="24"/>
        </w:rPr>
        <w:t xml:space="preserve"> </w:t>
      </w:r>
      <w:r w:rsidR="00D60D99" w:rsidRPr="001C2C36">
        <w:rPr>
          <w:rFonts w:cs="Times New Roman"/>
          <w:szCs w:val="24"/>
        </w:rPr>
        <w:t xml:space="preserve">The findings </w:t>
      </w:r>
      <w:r w:rsidR="001220EF" w:rsidRPr="001C2C36">
        <w:rPr>
          <w:rFonts w:cs="Times New Roman"/>
          <w:szCs w:val="24"/>
        </w:rPr>
        <w:t xml:space="preserve">show that the impact of government support in </w:t>
      </w:r>
      <w:r w:rsidR="006469EC" w:rsidRPr="001C2C36">
        <w:rPr>
          <w:rFonts w:cs="Times New Roman"/>
          <w:szCs w:val="24"/>
        </w:rPr>
        <w:t xml:space="preserve">discouraging </w:t>
      </w:r>
      <w:r w:rsidR="001220EF" w:rsidRPr="001C2C36">
        <w:rPr>
          <w:rFonts w:cs="Times New Roman"/>
          <w:szCs w:val="24"/>
        </w:rPr>
        <w:t xml:space="preserve">SMEs </w:t>
      </w:r>
      <w:r w:rsidR="00282F68" w:rsidRPr="001C2C36">
        <w:rPr>
          <w:rFonts w:cs="Times New Roman"/>
          <w:szCs w:val="24"/>
        </w:rPr>
        <w:t xml:space="preserve">from </w:t>
      </w:r>
      <w:r w:rsidR="00083D3C" w:rsidRPr="001C2C36">
        <w:rPr>
          <w:rFonts w:cs="Times New Roman"/>
          <w:szCs w:val="24"/>
        </w:rPr>
        <w:t xml:space="preserve">effectively </w:t>
      </w:r>
      <w:r w:rsidR="00B006A3" w:rsidRPr="001C2C36">
        <w:rPr>
          <w:rFonts w:cs="Times New Roman"/>
          <w:szCs w:val="24"/>
        </w:rPr>
        <w:t>using</w:t>
      </w:r>
      <w:r w:rsidR="00282F68" w:rsidRPr="001C2C36">
        <w:rPr>
          <w:rFonts w:cs="Times New Roman"/>
          <w:szCs w:val="24"/>
        </w:rPr>
        <w:t xml:space="preserve"> </w:t>
      </w:r>
      <w:r w:rsidR="001220EF" w:rsidRPr="001C2C36">
        <w:rPr>
          <w:rFonts w:cs="Times New Roman"/>
          <w:szCs w:val="24"/>
        </w:rPr>
        <w:t>DCs varies through different stages of the pandemic.</w:t>
      </w:r>
      <w:r w:rsidR="005871B6" w:rsidRPr="001C2C36">
        <w:rPr>
          <w:rFonts w:cs="Times New Roman"/>
          <w:szCs w:val="24"/>
        </w:rPr>
        <w:t xml:space="preserve"> </w:t>
      </w:r>
      <w:r w:rsidR="000B6BCB" w:rsidRPr="001C2C36">
        <w:rPr>
          <w:rFonts w:cs="Times New Roman"/>
          <w:szCs w:val="24"/>
        </w:rPr>
        <w:t>We find that substantial support during the pandemic</w:t>
      </w:r>
      <w:r w:rsidRPr="001C2C36">
        <w:rPr>
          <w:rFonts w:cs="Times New Roman"/>
          <w:szCs w:val="24"/>
        </w:rPr>
        <w:t xml:space="preserve"> moderates the relationship between DCs and </w:t>
      </w:r>
      <w:r w:rsidR="00C361EE" w:rsidRPr="001C2C36">
        <w:rPr>
          <w:rFonts w:cs="Times New Roman"/>
          <w:szCs w:val="24"/>
        </w:rPr>
        <w:t>growth aspirations</w:t>
      </w:r>
      <w:r w:rsidR="007E1D56" w:rsidRPr="001C2C36">
        <w:rPr>
          <w:rFonts w:cs="Times New Roman"/>
          <w:szCs w:val="24"/>
        </w:rPr>
        <w:t xml:space="preserve"> </w:t>
      </w:r>
      <w:r w:rsidRPr="001C2C36">
        <w:rPr>
          <w:rFonts w:cs="Times New Roman"/>
          <w:szCs w:val="24"/>
        </w:rPr>
        <w:t xml:space="preserve">in the latter stages </w:t>
      </w:r>
      <w:r w:rsidR="007E1D56" w:rsidRPr="001C2C36">
        <w:rPr>
          <w:rFonts w:cs="Times New Roman"/>
          <w:szCs w:val="24"/>
        </w:rPr>
        <w:t xml:space="preserve">and after </w:t>
      </w:r>
      <w:r w:rsidRPr="001C2C36">
        <w:rPr>
          <w:rFonts w:cs="Times New Roman"/>
          <w:szCs w:val="24"/>
        </w:rPr>
        <w:t>the pandemic</w:t>
      </w:r>
      <w:r w:rsidR="00BE2931" w:rsidRPr="001C2C36">
        <w:rPr>
          <w:rFonts w:cs="Times New Roman"/>
          <w:szCs w:val="24"/>
        </w:rPr>
        <w:t>.</w:t>
      </w:r>
      <w:r w:rsidR="00C50952" w:rsidRPr="001C2C36">
        <w:rPr>
          <w:rFonts w:cs="Times New Roman"/>
          <w:szCs w:val="24"/>
        </w:rPr>
        <w:t xml:space="preserve"> </w:t>
      </w:r>
    </w:p>
    <w:p w14:paraId="7E309D1B" w14:textId="35EAEBA1" w:rsidR="006942A0" w:rsidRPr="001C2C36" w:rsidRDefault="008A2CF5" w:rsidP="00A028E3">
      <w:pPr>
        <w:rPr>
          <w:rFonts w:cs="Times New Roman"/>
        </w:rPr>
      </w:pPr>
      <w:r w:rsidRPr="001C2C36">
        <w:rPr>
          <w:rFonts w:cs="Times New Roman"/>
        </w:rPr>
        <w:t>Th</w:t>
      </w:r>
      <w:r w:rsidR="001E6C82" w:rsidRPr="001C2C36">
        <w:rPr>
          <w:rFonts w:cs="Times New Roman"/>
        </w:rPr>
        <w:t>is</w:t>
      </w:r>
      <w:r w:rsidRPr="001C2C36">
        <w:rPr>
          <w:rFonts w:cs="Times New Roman"/>
        </w:rPr>
        <w:t xml:space="preserve"> n</w:t>
      </w:r>
      <w:r w:rsidR="00A76835" w:rsidRPr="001C2C36">
        <w:rPr>
          <w:rFonts w:cs="Times New Roman"/>
        </w:rPr>
        <w:t xml:space="preserve">egative moderating effect </w:t>
      </w:r>
      <w:r w:rsidR="00DB5485" w:rsidRPr="001C2C36">
        <w:rPr>
          <w:rFonts w:cs="Times New Roman"/>
        </w:rPr>
        <w:t>indicates</w:t>
      </w:r>
      <w:r w:rsidR="00DB4D4B" w:rsidRPr="001C2C36">
        <w:rPr>
          <w:rFonts w:cs="Times New Roman"/>
        </w:rPr>
        <w:t xml:space="preserve"> </w:t>
      </w:r>
      <w:r w:rsidR="00DA23AA" w:rsidRPr="001C2C36">
        <w:rPr>
          <w:rFonts w:cs="Times New Roman"/>
        </w:rPr>
        <w:t xml:space="preserve">more </w:t>
      </w:r>
      <w:r w:rsidR="00DB4D4B" w:rsidRPr="001C2C36">
        <w:rPr>
          <w:rFonts w:cs="Times New Roman"/>
        </w:rPr>
        <w:t>n</w:t>
      </w:r>
      <w:r w:rsidR="00BE2931" w:rsidRPr="001C2C36">
        <w:rPr>
          <w:rFonts w:cs="Times New Roman"/>
        </w:rPr>
        <w:t>ua</w:t>
      </w:r>
      <w:r w:rsidR="00DB4D4B" w:rsidRPr="001C2C36">
        <w:rPr>
          <w:rFonts w:cs="Times New Roman"/>
        </w:rPr>
        <w:t>nced relationships</w:t>
      </w:r>
      <w:r w:rsidR="003F0C5F" w:rsidRPr="001C2C36">
        <w:rPr>
          <w:rFonts w:cs="Times New Roman"/>
        </w:rPr>
        <w:t xml:space="preserve">. </w:t>
      </w:r>
      <w:r w:rsidR="009F620A" w:rsidRPr="001C2C36">
        <w:rPr>
          <w:rFonts w:cs="Times New Roman"/>
        </w:rPr>
        <w:t>We find evidence</w:t>
      </w:r>
      <w:r w:rsidR="00423F96" w:rsidRPr="001C2C36">
        <w:rPr>
          <w:rFonts w:cs="Times New Roman"/>
        </w:rPr>
        <w:t xml:space="preserve"> in support </w:t>
      </w:r>
      <w:r w:rsidR="0031190B" w:rsidRPr="001C2C36">
        <w:rPr>
          <w:rFonts w:cs="Times New Roman"/>
        </w:rPr>
        <w:t>of the reasoning</w:t>
      </w:r>
      <w:r w:rsidR="001715DD" w:rsidRPr="001C2C36">
        <w:rPr>
          <w:rFonts w:cs="Times New Roman"/>
        </w:rPr>
        <w:t xml:space="preserve"> </w:t>
      </w:r>
      <w:r w:rsidR="00423F96" w:rsidRPr="001C2C36">
        <w:rPr>
          <w:rFonts w:cs="Times New Roman"/>
        </w:rPr>
        <w:t xml:space="preserve">that </w:t>
      </w:r>
      <w:r w:rsidR="00A966A3" w:rsidRPr="001C2C36">
        <w:rPr>
          <w:rFonts w:cs="Times New Roman"/>
        </w:rPr>
        <w:t>generous support initiatives also could have sustained and created new, less viable firms</w:t>
      </w:r>
      <w:r w:rsidR="003153CB" w:rsidRPr="001C2C36">
        <w:rPr>
          <w:rFonts w:cs="Times New Roman"/>
        </w:rPr>
        <w:t xml:space="preserve"> </w:t>
      </w:r>
      <w:r w:rsidR="003153CB" w:rsidRPr="001C2C36">
        <w:rPr>
          <w:rFonts w:cs="Times New Roman"/>
        </w:rPr>
        <w:fldChar w:fldCharType="begin" w:fldLock="1"/>
      </w:r>
      <w:r w:rsidR="008A75B8" w:rsidRPr="001C2C36">
        <w:rPr>
          <w:rFonts w:cs="Times New Roman"/>
        </w:rPr>
        <w:instrText>ADDIN CSL_CITATION {"citationItems":[{"id":"ITEM-1","itemData":{"DOI":"10.1093/epolic/eiy012","ISBN":"9781607410874","ISSN":"0266-4658","abstract":"This paper explores the extent to which ‘zombie’ firms – defined as old firms that have persistent problems meeting their interest payments – are stifling labour productivity performance. The results show that the prevalence of and resources sunk in zombie firms have risen since the mid-2000s and that the increasing survival of these low productivity firms at the margins of exit congests markets and constrains the growth of more productive firms. Controlling for cyclical effects, cross-country analysis shows that within-industries over the period 2003–13, a higher share of industry capital sunk in zombie firms is associated with lower investment and employment growth of the typical non-zombie firm and less productivity-enhancing capital reallocation. Besides limiting the expansion possibilities of healthy incumbent firms, market congestion generated by zombie firms can also create barriers to entry and constrain the post-entry growth of young firms. Finally, we link the rise of zombie firms to the decline in OECD potential output growth through two key channels: business investment and multi-factor productivity growth.","author":[{"dropping-particle":"","family":"McGowan","given":"MügeA dalet","non-dropping-particle":"","parse-names":false,"suffix":""},{"dropping-particle":"","family":"Andrews","given":"Dan","non-dropping-particle":"","parse-names":false,"suffix":""},{"dropping-particle":"","family":"Millot","given":"Valentine","non-dropping-particle":"","parse-names":false,"suffix":""}],"container-title":"Economic Policy","id":"ITEM-1","issue":"96","issued":{"date-parts":[["2018"]]},"page":"685-736","title":"The walking dead? Zombie firms and productivity performance in OECD countries","type":"article-journal","volume":"33"},"uris":["http://www.mendeley.com/documents/?uuid=8bbd7a16-c6c0-4905-a6ad-179b100a173c","http://www.mendeley.com/documents/?uuid=f324030f-870b-445c-acb9-d8d4ded10924"]},{"id":"ITEM-2","itemData":{"DOI":"10.2139/ssrn.3760126","abstract":"We show that cheap credit to impaired firms has a disinflationary effect. By helping distressed firms to stay afloat, “zombie credit” can create excess production capacity, and in turn, put downward pressure on markups and prices. We test this mechanism exploiting granular inflation and firm-level data from twelve European countries. In the cross-section of industries and countries, we find that a rise of zombie credit is associated with a decrease in firm defaults and entries, firm markups and product prices; lower productivity; and, an increase in aggregate sales as well as material and labor cost. These results hold at the firm-level, where we document spillover effects to healthy firms in markets with high zombie credit. Our partial equilibrium estimates suggest that without a rise in zombie credit post 2012, annual inflation in Europe during 2012-2016 would have been 0.45 percentage points higher.","author":[{"dropping-particle":"V.","family":"Acharya","given":"Viral","non-dropping-particle":"","parse-names":false,"suffix":""},{"dropping-particle":"","family":"Crosignani","given":"Matteo","non-dropping-particle":"","parse-names":false,"suffix":""},{"dropping-particle":"","family":"Eisert","given":"Tim","non-dropping-particle":"","parse-names":false,"suffix":""},{"dropping-particle":"","family":"Eufinger","given":"Christian","non-dropping-particle":"","parse-names":false,"suffix":""}],"container-title":"NBER Working Paper No. w27158","id":"ITEM-2","issued":{"date-parts":[["2020"]]},"title":"Zombie Credit and (Dis-)Inflation: Evidence from Europe","type":"report"},"uris":["http://www.mendeley.com/documents/?uuid=4f0c03c2-8dfa-4dd1-a69c-c65d7553031e"]}],"mendeley":{"formattedCitation":"(Acharya et al., 2020; McGowan et al., 2018)","plainTextFormattedCitation":"(Acharya et al., 2020; McGowan et al., 2018)","previouslyFormattedCitation":"(Acharya et al., 2020; McGowan et al., 2018)"},"properties":{"noteIndex":0},"schema":"https://github.com/citation-style-language/schema/raw/master/csl-citation.json"}</w:instrText>
      </w:r>
      <w:r w:rsidR="003153CB" w:rsidRPr="001C2C36">
        <w:rPr>
          <w:rFonts w:cs="Times New Roman"/>
        </w:rPr>
        <w:fldChar w:fldCharType="separate"/>
      </w:r>
      <w:r w:rsidR="000E4D26" w:rsidRPr="001C2C36">
        <w:rPr>
          <w:rFonts w:cs="Times New Roman"/>
          <w:noProof/>
        </w:rPr>
        <w:t>(Acharya et al., 2020; McGowan et al., 2018)</w:t>
      </w:r>
      <w:r w:rsidR="003153CB" w:rsidRPr="001C2C36">
        <w:rPr>
          <w:rFonts w:cs="Times New Roman"/>
        </w:rPr>
        <w:fldChar w:fldCharType="end"/>
      </w:r>
      <w:r w:rsidR="0031190B" w:rsidRPr="001C2C36">
        <w:rPr>
          <w:rFonts w:cs="Times New Roman"/>
        </w:rPr>
        <w:t xml:space="preserve"> </w:t>
      </w:r>
      <w:r w:rsidR="00101B65" w:rsidRPr="001C2C36">
        <w:rPr>
          <w:rFonts w:cs="Times New Roman"/>
        </w:rPr>
        <w:t xml:space="preserve">that could potentially </w:t>
      </w:r>
      <w:r w:rsidR="00496003" w:rsidRPr="001C2C36">
        <w:rPr>
          <w:rFonts w:cs="Times New Roman"/>
        </w:rPr>
        <w:t xml:space="preserve">take </w:t>
      </w:r>
      <w:r w:rsidR="7AC77719" w:rsidRPr="001C2C36">
        <w:rPr>
          <w:rFonts w:cs="Times New Roman"/>
        </w:rPr>
        <w:t>a</w:t>
      </w:r>
      <w:r w:rsidR="00496003" w:rsidRPr="001C2C36">
        <w:rPr>
          <w:rFonts w:cs="Times New Roman"/>
        </w:rPr>
        <w:t xml:space="preserve"> share </w:t>
      </w:r>
      <w:r w:rsidR="007554BC" w:rsidRPr="001C2C36">
        <w:rPr>
          <w:rFonts w:cs="Times New Roman"/>
        </w:rPr>
        <w:t>of the market from</w:t>
      </w:r>
      <w:r w:rsidR="00A735DB" w:rsidRPr="001C2C36">
        <w:rPr>
          <w:rFonts w:cs="Times New Roman"/>
        </w:rPr>
        <w:t xml:space="preserve"> SMEs with </w:t>
      </w:r>
      <w:r w:rsidR="00496003" w:rsidRPr="001C2C36">
        <w:rPr>
          <w:rFonts w:cs="Times New Roman"/>
        </w:rPr>
        <w:t>DCs, contributing to the lack of overall effectiveness of DCs and subsequent lower employment growth.</w:t>
      </w:r>
      <w:r w:rsidR="00A735DB" w:rsidRPr="001C2C36">
        <w:rPr>
          <w:rFonts w:cs="Times New Roman"/>
        </w:rPr>
        <w:t xml:space="preserve"> </w:t>
      </w:r>
      <w:r w:rsidR="00C73C93" w:rsidRPr="001C2C36">
        <w:rPr>
          <w:rFonts w:cs="Times New Roman"/>
        </w:rPr>
        <w:t xml:space="preserve">Similar </w:t>
      </w:r>
      <w:r w:rsidR="00A712E4" w:rsidRPr="001C2C36">
        <w:rPr>
          <w:rFonts w:cs="Times New Roman"/>
        </w:rPr>
        <w:t>deficiencies</w:t>
      </w:r>
      <w:r w:rsidR="00337182" w:rsidRPr="001C2C36">
        <w:rPr>
          <w:rFonts w:cs="Times New Roman"/>
        </w:rPr>
        <w:t xml:space="preserve"> are likely to be present because of the design of Covid-19 support instruments that</w:t>
      </w:r>
      <w:r w:rsidR="00AD3C29" w:rsidRPr="001C2C36">
        <w:rPr>
          <w:rFonts w:cs="Times New Roman"/>
        </w:rPr>
        <w:t>,</w:t>
      </w:r>
      <w:r w:rsidR="00337182" w:rsidRPr="001C2C36">
        <w:rPr>
          <w:rFonts w:cs="Times New Roman"/>
        </w:rPr>
        <w:t xml:space="preserve"> </w:t>
      </w:r>
      <w:r w:rsidR="00AD3C29" w:rsidRPr="001C2C36">
        <w:rPr>
          <w:rFonts w:cs="Times New Roman"/>
        </w:rPr>
        <w:t>in some cases</w:t>
      </w:r>
      <w:r w:rsidR="00017943">
        <w:rPr>
          <w:rFonts w:cs="Times New Roman"/>
        </w:rPr>
        <w:t>,</w:t>
      </w:r>
      <w:r w:rsidR="00AD3C29" w:rsidRPr="001C2C36">
        <w:rPr>
          <w:rFonts w:cs="Times New Roman"/>
        </w:rPr>
        <w:t xml:space="preserve"> </w:t>
      </w:r>
      <w:r w:rsidR="00337182" w:rsidRPr="001C2C36">
        <w:rPr>
          <w:rFonts w:cs="Times New Roman"/>
        </w:rPr>
        <w:t>were argued</w:t>
      </w:r>
      <w:r w:rsidR="00AD3C29" w:rsidRPr="001C2C36">
        <w:rPr>
          <w:rFonts w:cs="Times New Roman"/>
        </w:rPr>
        <w:t xml:space="preserve"> </w:t>
      </w:r>
      <w:r w:rsidR="00AD3C29" w:rsidRPr="001C2C36">
        <w:rPr>
          <w:rFonts w:cs="Times New Roman"/>
        </w:rPr>
        <w:fldChar w:fldCharType="begin" w:fldLock="1"/>
      </w:r>
      <w:r w:rsidR="007E0935" w:rsidRPr="001C2C36">
        <w:rPr>
          <w:rFonts w:cs="Times New Roman"/>
        </w:rPr>
        <w:instrText>ADDIN CSL_CITATION {"citationItems":[{"id":"ITEM-1","itemData":{"author":[{"dropping-particle":"","family":"Matikonis","given":"Karolis","non-dropping-particle":"","parse-names":false,"suffix":""}],"container-title":"British Tax Review","id":"ITEM-1","issue":"2","issued":{"date-parts":[["2022"]]},"page":"115-125","title":"Fundamental Review of Business Rates : Proposed and anticipated changes , including online sales tax","type":"article-journal","volume":"2022"},"uris":["http://www.mendeley.com/documents/?uuid=9003e4b2-a269-408f-bc8e-368ab8f15099"]},{"id":"ITEM-2","itemData":{"author":[{"dropping-particle":"","family":"Matikonis","given":"Karolis","non-dropping-particle":"","parse-names":false,"suffix":""}],"container-title":"British Tax Review","id":"ITEM-2","issue":"2","issued":{"date-parts":[["2020"]]},"page":"143-150","title":"Unintended recipients of rising UK non-domestic property tax reliefs","type":"article-journal","volume":"2020"},"uris":["http://www.mendeley.com/documents/?uuid=69a5aac1-9e18-4fdd-aa20-f0fceb52e602"]}],"mendeley":{"formattedCitation":"(Matikonis, 2020, 2022)","plainTextFormattedCitation":"(Matikonis, 2020, 2022)","previouslyFormattedCitation":"(Matikonis, 2020, 2022)"},"properties":{"noteIndex":0},"schema":"https://github.com/citation-style-language/schema/raw/master/csl-citation.json"}</w:instrText>
      </w:r>
      <w:r w:rsidR="00AD3C29" w:rsidRPr="001C2C36">
        <w:rPr>
          <w:rFonts w:cs="Times New Roman"/>
        </w:rPr>
        <w:fldChar w:fldCharType="separate"/>
      </w:r>
      <w:r w:rsidR="00AD3C29" w:rsidRPr="001C2C36">
        <w:rPr>
          <w:rFonts w:cs="Times New Roman"/>
          <w:noProof/>
        </w:rPr>
        <w:t>(Matikonis, 2020, 2022)</w:t>
      </w:r>
      <w:r w:rsidR="00AD3C29" w:rsidRPr="001C2C36">
        <w:rPr>
          <w:rFonts w:cs="Times New Roman"/>
        </w:rPr>
        <w:fldChar w:fldCharType="end"/>
      </w:r>
      <w:r w:rsidR="00337182" w:rsidRPr="001C2C36">
        <w:rPr>
          <w:rFonts w:cs="Times New Roman"/>
        </w:rPr>
        <w:t xml:space="preserve"> to </w:t>
      </w:r>
      <w:r w:rsidR="00AD3C29" w:rsidRPr="001C2C36">
        <w:rPr>
          <w:rFonts w:cs="Times New Roman"/>
        </w:rPr>
        <w:t xml:space="preserve">be distortive and </w:t>
      </w:r>
      <w:r w:rsidR="00A97BB8" w:rsidRPr="001C2C36">
        <w:rPr>
          <w:rFonts w:cs="Times New Roman"/>
        </w:rPr>
        <w:t xml:space="preserve">suffer from </w:t>
      </w:r>
      <w:r w:rsidR="00A028E3" w:rsidRPr="001C2C36">
        <w:rPr>
          <w:rFonts w:cs="Times New Roman"/>
        </w:rPr>
        <w:t>mistargeting.</w:t>
      </w:r>
      <w:r w:rsidR="00DC6BB3" w:rsidRPr="001C2C36">
        <w:rPr>
          <w:rFonts w:cs="Times New Roman"/>
        </w:rPr>
        <w:t xml:space="preserve"> </w:t>
      </w:r>
      <w:r w:rsidRPr="001C2C36">
        <w:rPr>
          <w:rFonts w:cs="Times New Roman"/>
        </w:rPr>
        <w:t>For SMEs</w:t>
      </w:r>
      <w:r w:rsidR="00632ADE" w:rsidRPr="001C2C36">
        <w:rPr>
          <w:rFonts w:cs="Times New Roman"/>
        </w:rPr>
        <w:t xml:space="preserve"> </w:t>
      </w:r>
      <w:r w:rsidR="00117586" w:rsidRPr="001C2C36">
        <w:rPr>
          <w:rFonts w:cs="Times New Roman"/>
        </w:rPr>
        <w:t xml:space="preserve">that receive funds from </w:t>
      </w:r>
      <w:r w:rsidR="001E3BD8" w:rsidRPr="001C2C36">
        <w:rPr>
          <w:rFonts w:cs="Times New Roman"/>
        </w:rPr>
        <w:t>several</w:t>
      </w:r>
      <w:r w:rsidR="00117586" w:rsidRPr="001C2C36">
        <w:rPr>
          <w:rFonts w:cs="Times New Roman"/>
        </w:rPr>
        <w:t xml:space="preserve"> Covid-19 schemes</w:t>
      </w:r>
      <w:r w:rsidRPr="001C2C36">
        <w:rPr>
          <w:rFonts w:cs="Times New Roman"/>
        </w:rPr>
        <w:t>,</w:t>
      </w:r>
      <w:r w:rsidR="00C639F4" w:rsidRPr="001C2C36">
        <w:rPr>
          <w:rFonts w:cs="Times New Roman"/>
        </w:rPr>
        <w:t xml:space="preserve"> the negative relationship </w:t>
      </w:r>
      <w:r w:rsidR="00BB7E90" w:rsidRPr="001C2C36">
        <w:rPr>
          <w:rFonts w:cs="Times New Roman"/>
        </w:rPr>
        <w:t>could</w:t>
      </w:r>
      <w:r w:rsidR="00A735DB" w:rsidRPr="001C2C36">
        <w:rPr>
          <w:rFonts w:cs="Times New Roman"/>
        </w:rPr>
        <w:t xml:space="preserve"> also</w:t>
      </w:r>
      <w:r w:rsidR="00BB7E90" w:rsidRPr="001C2C36">
        <w:rPr>
          <w:rFonts w:cs="Times New Roman"/>
        </w:rPr>
        <w:t xml:space="preserve"> </w:t>
      </w:r>
      <w:r w:rsidR="00EA60E8" w:rsidRPr="001C2C36">
        <w:rPr>
          <w:rFonts w:cs="Times New Roman"/>
        </w:rPr>
        <w:t xml:space="preserve">arise because </w:t>
      </w:r>
      <w:r w:rsidR="00CC7166" w:rsidRPr="001C2C36">
        <w:rPr>
          <w:rFonts w:cs="Times New Roman"/>
        </w:rPr>
        <w:t xml:space="preserve">of opportunity costs associated </w:t>
      </w:r>
      <w:r w:rsidR="00090D11" w:rsidRPr="001C2C36">
        <w:rPr>
          <w:rFonts w:cs="Times New Roman"/>
        </w:rPr>
        <w:t xml:space="preserve">with </w:t>
      </w:r>
      <w:r w:rsidR="00CC7166" w:rsidRPr="001C2C36">
        <w:rPr>
          <w:rFonts w:cs="Times New Roman"/>
        </w:rPr>
        <w:t>a shift towards developing political management capabilities</w:t>
      </w:r>
      <w:r w:rsidR="009E15A4" w:rsidRPr="001C2C36">
        <w:rPr>
          <w:rFonts w:cs="Times New Roman"/>
        </w:rPr>
        <w:t xml:space="preserve"> </w:t>
      </w:r>
      <w:r w:rsidR="009E15A4" w:rsidRPr="001C2C36">
        <w:rPr>
          <w:rFonts w:cs="Times New Roman"/>
        </w:rPr>
        <w:fldChar w:fldCharType="begin" w:fldLock="1"/>
      </w:r>
      <w:r w:rsidR="00490EC6" w:rsidRPr="001C2C36">
        <w:rPr>
          <w:rFonts w:cs="Times New Roman"/>
        </w:rPr>
        <w:instrText>ADDIN CSL_CITATION {"citationItems":[{"id":"ITEM-1","itemData":{"DOI":"10.5465/AMR.2008.31193538","ISSN":"03637425","abstract":"We present a dynamic capabilities framework to explain the effective strategic management of the political environment. We argue that the effectiveness of political strategies will be a function of firms' dynamic political management capabilities and propose four firm-level strategies - proactive, defensive, anticipatory, and reactive - for managing the political environment effectively. We develop propositions to explain how particular dynamic capabilities are associated with the effectiveness of alternative political strategies and conclude with suggestions for future research into effective strategic political management. Copyright of the Academy of Management, all rights reserved.","author":[{"dropping-particle":"","family":"Oliver","given":"Christine","non-dropping-particle":"","parse-names":false,"suffix":""},{"dropping-particle":"","family":"Holzinger","given":"Ingo","non-dropping-particle":"","parse-names":false,"suffix":""}],"container-title":"Academy of Management Review","id":"ITEM-1","issue":"2","issued":{"date-parts":[["2008"]]},"page":"496-520","title":"The effectiveness of strategic political management: A dynamic capabilities framework","type":"article-journal","volume":"33"},"uris":["http://www.mendeley.com/documents/?uuid=a3022fd9-a3d1-47d0-945a-306a296b5f3c","http://www.mendeley.com/documents/?uuid=59933bc2-e447-4ae0-82aa-cb5ab70b8fae"]}],"mendeley":{"formattedCitation":"(Oliver and Holzinger, 2008)","plainTextFormattedCitation":"(Oliver and Holzinger, 2008)","previouslyFormattedCitation":"(Oliver and Holzinger, 2008)"},"properties":{"noteIndex":0},"schema":"https://github.com/citation-style-language/schema/raw/master/csl-citation.json"}</w:instrText>
      </w:r>
      <w:r w:rsidR="009E15A4" w:rsidRPr="001C2C36">
        <w:rPr>
          <w:rFonts w:cs="Times New Roman"/>
        </w:rPr>
        <w:fldChar w:fldCharType="separate"/>
      </w:r>
      <w:r w:rsidR="009E15A4" w:rsidRPr="001C2C36">
        <w:rPr>
          <w:rFonts w:cs="Times New Roman"/>
          <w:noProof/>
        </w:rPr>
        <w:t>(Oliver and Holzinger, 2008)</w:t>
      </w:r>
      <w:r w:rsidR="009E15A4" w:rsidRPr="001C2C36">
        <w:rPr>
          <w:rFonts w:cs="Times New Roman"/>
        </w:rPr>
        <w:fldChar w:fldCharType="end"/>
      </w:r>
      <w:r w:rsidR="00CC7166" w:rsidRPr="001C2C36">
        <w:rPr>
          <w:rFonts w:cs="Times New Roman"/>
        </w:rPr>
        <w:t xml:space="preserve"> through the increasingly dynamic political environment with changing support mechanisms</w:t>
      </w:r>
      <w:r w:rsidR="004627F5" w:rsidRPr="001C2C36">
        <w:rPr>
          <w:rFonts w:cs="Times New Roman"/>
        </w:rPr>
        <w:t xml:space="preserve"> </w:t>
      </w:r>
      <w:r w:rsidR="00497E89" w:rsidRPr="001C2C36">
        <w:rPr>
          <w:rFonts w:cs="Times New Roman"/>
        </w:rPr>
        <w:t>at</w:t>
      </w:r>
      <w:r w:rsidR="005A1BD6" w:rsidRPr="001C2C36">
        <w:rPr>
          <w:rFonts w:cs="Times New Roman"/>
        </w:rPr>
        <w:t xml:space="preserve"> </w:t>
      </w:r>
      <w:r w:rsidR="00497E89" w:rsidRPr="001C2C36">
        <w:rPr>
          <w:rFonts w:cs="Times New Roman"/>
        </w:rPr>
        <w:t>the</w:t>
      </w:r>
      <w:r w:rsidR="005A1BD6" w:rsidRPr="001C2C36">
        <w:rPr>
          <w:rFonts w:cs="Times New Roman"/>
        </w:rPr>
        <w:t xml:space="preserve"> expense of developing </w:t>
      </w:r>
      <w:r w:rsidR="00B81FE9" w:rsidRPr="001C2C36">
        <w:rPr>
          <w:rFonts w:cs="Times New Roman"/>
        </w:rPr>
        <w:t>high</w:t>
      </w:r>
      <w:r w:rsidR="00CF7763" w:rsidRPr="001C2C36">
        <w:rPr>
          <w:rFonts w:cs="Times New Roman"/>
        </w:rPr>
        <w:t xml:space="preserve">er </w:t>
      </w:r>
      <w:r w:rsidR="00B81FE9" w:rsidRPr="001C2C36">
        <w:rPr>
          <w:rFonts w:cs="Times New Roman"/>
        </w:rPr>
        <w:t xml:space="preserve">quality </w:t>
      </w:r>
      <w:r w:rsidR="005A1BD6" w:rsidRPr="001C2C36">
        <w:rPr>
          <w:rFonts w:cs="Times New Roman"/>
        </w:rPr>
        <w:t xml:space="preserve">DCs that could </w:t>
      </w:r>
      <w:r w:rsidR="00C639F4" w:rsidRPr="001C2C36">
        <w:rPr>
          <w:rFonts w:cs="Times New Roman"/>
        </w:rPr>
        <w:t>benefit</w:t>
      </w:r>
      <w:r w:rsidR="005A1BD6" w:rsidRPr="001C2C36">
        <w:rPr>
          <w:rFonts w:cs="Times New Roman"/>
        </w:rPr>
        <w:t xml:space="preserve"> long</w:t>
      </w:r>
      <w:r w:rsidR="00FF2680" w:rsidRPr="001C2C36">
        <w:rPr>
          <w:rFonts w:cs="Times New Roman"/>
        </w:rPr>
        <w:t>er</w:t>
      </w:r>
      <w:r w:rsidR="00E37AE4" w:rsidRPr="001C2C36">
        <w:rPr>
          <w:rFonts w:cs="Times New Roman"/>
        </w:rPr>
        <w:t>-</w:t>
      </w:r>
      <w:r w:rsidR="005A1BD6" w:rsidRPr="001C2C36">
        <w:rPr>
          <w:rFonts w:cs="Times New Roman"/>
        </w:rPr>
        <w:t>term</w:t>
      </w:r>
      <w:r w:rsidR="007319E5" w:rsidRPr="001C2C36">
        <w:rPr>
          <w:rFonts w:cs="Times New Roman"/>
        </w:rPr>
        <w:t xml:space="preserve"> employment growth</w:t>
      </w:r>
      <w:r w:rsidR="005A1BD6" w:rsidRPr="001C2C36">
        <w:rPr>
          <w:rFonts w:cs="Times New Roman"/>
        </w:rPr>
        <w:t>.</w:t>
      </w:r>
      <w:r w:rsidR="00FF2680" w:rsidRPr="001C2C36">
        <w:rPr>
          <w:rFonts w:cs="Times New Roman"/>
        </w:rPr>
        <w:t xml:space="preserve"> </w:t>
      </w:r>
    </w:p>
    <w:p w14:paraId="209BE218" w14:textId="61AC87EE" w:rsidR="00C60B91" w:rsidRPr="001C2C36" w:rsidRDefault="001715DD" w:rsidP="00C60B91">
      <w:pPr>
        <w:rPr>
          <w:rFonts w:cs="Times New Roman"/>
        </w:rPr>
      </w:pPr>
      <w:r w:rsidRPr="001C2C36">
        <w:rPr>
          <w:rFonts w:cs="Times New Roman"/>
          <w:szCs w:val="24"/>
        </w:rPr>
        <w:t xml:space="preserve">On the other hand, </w:t>
      </w:r>
      <w:r w:rsidR="00D32A9B" w:rsidRPr="001C2C36">
        <w:rPr>
          <w:rFonts w:cs="Times New Roman"/>
          <w:szCs w:val="24"/>
        </w:rPr>
        <w:t>SMEs</w:t>
      </w:r>
      <w:r w:rsidR="0090238C" w:rsidRPr="001C2C36">
        <w:rPr>
          <w:rFonts w:cs="Times New Roman"/>
          <w:szCs w:val="24"/>
        </w:rPr>
        <w:t xml:space="preserve"> with higher </w:t>
      </w:r>
      <w:r w:rsidR="348F2DB9" w:rsidRPr="001C2C36">
        <w:rPr>
          <w:rFonts w:cs="Times New Roman"/>
          <w:szCs w:val="24"/>
        </w:rPr>
        <w:t xml:space="preserve">levels of dynamic capabilities </w:t>
      </w:r>
      <w:r w:rsidR="005C7096" w:rsidRPr="001C2C36">
        <w:rPr>
          <w:rFonts w:cs="Times New Roman"/>
          <w:szCs w:val="24"/>
        </w:rPr>
        <w:t>seem to</w:t>
      </w:r>
      <w:r w:rsidR="00D932E8" w:rsidRPr="001C2C36">
        <w:rPr>
          <w:rFonts w:cs="Times New Roman"/>
          <w:szCs w:val="24"/>
        </w:rPr>
        <w:t xml:space="preserve"> receive less</w:t>
      </w:r>
      <w:r w:rsidR="348F2DB9" w:rsidRPr="001C2C36">
        <w:rPr>
          <w:rFonts w:cs="Times New Roman"/>
          <w:szCs w:val="24"/>
        </w:rPr>
        <w:t xml:space="preserve"> benefit from government support in terms of</w:t>
      </w:r>
      <w:r w:rsidR="008C305D" w:rsidRPr="001C2C36">
        <w:rPr>
          <w:rFonts w:cs="Times New Roman"/>
          <w:szCs w:val="24"/>
        </w:rPr>
        <w:t xml:space="preserve"> future</w:t>
      </w:r>
      <w:r w:rsidR="348F2DB9" w:rsidRPr="001C2C36">
        <w:rPr>
          <w:rFonts w:cs="Times New Roman"/>
          <w:szCs w:val="24"/>
        </w:rPr>
        <w:t xml:space="preserve"> employment growth</w:t>
      </w:r>
      <w:r w:rsidR="00DD1C60" w:rsidRPr="001C2C36">
        <w:rPr>
          <w:rFonts w:cs="Times New Roman"/>
          <w:szCs w:val="24"/>
        </w:rPr>
        <w:t>, possibly because</w:t>
      </w:r>
      <w:r w:rsidR="000A7990" w:rsidRPr="001C2C36">
        <w:rPr>
          <w:rFonts w:cs="Times New Roman"/>
          <w:szCs w:val="24"/>
        </w:rPr>
        <w:t xml:space="preserve"> they are already</w:t>
      </w:r>
      <w:r w:rsidR="00B21248" w:rsidRPr="001C2C36">
        <w:rPr>
          <w:rFonts w:cs="Times New Roman"/>
          <w:szCs w:val="24"/>
        </w:rPr>
        <w:t xml:space="preserve"> more</w:t>
      </w:r>
      <w:r w:rsidR="000A7990" w:rsidRPr="001C2C36">
        <w:rPr>
          <w:rFonts w:cs="Times New Roman"/>
          <w:szCs w:val="24"/>
        </w:rPr>
        <w:t xml:space="preserve"> resilient to </w:t>
      </w:r>
      <w:r w:rsidR="00C50DD5" w:rsidRPr="001C2C36">
        <w:rPr>
          <w:rFonts w:cs="Times New Roman"/>
          <w:szCs w:val="24"/>
        </w:rPr>
        <w:t xml:space="preserve">shocks </w:t>
      </w:r>
      <w:r w:rsidR="00C50DD5" w:rsidRPr="001C2C36">
        <w:rPr>
          <w:rFonts w:cs="Times New Roman"/>
          <w:szCs w:val="24"/>
        </w:rPr>
        <w:fldChar w:fldCharType="begin" w:fldLock="1"/>
      </w:r>
      <w:r w:rsidR="00AB3E71" w:rsidRPr="001C2C36">
        <w:rPr>
          <w:rFonts w:cs="Times New Roman"/>
          <w:szCs w:val="24"/>
        </w:rPr>
        <w:instrText>ADDIN CSL_CITATION {"citationItems":[{"id":"ITEM-1","itemData":{"DOI":"10.1108/IJLM-01-2021-0059","ISSN":"0957-4093","abstract":"Purpose: The purpose of this paper is to use a theoretical framework to investigate the relationships between different innovation-oriented dynamic capabilities, dynamic resilience and firm performance among logistics service providers (LSPs) and in-house logistics departments of industrial companies during the coronavirus disease 2019 (COVID-19) pandemic. Design/methodology/approach: The conceptual theoretical framework relies on the dynamic capabilities framework (DCF) and the relational view (RV), which are rooted in the resource-based view (RBV). It is hypothesized that the dynamic capability to innovate reinforces the dynamic capability to adapt and to recover in highly dynamic and vulnerable environments during the pandemic. This allows LSPs to successfully create new services and respond to the changing market circumstances in terms of logistics service quality (LSQ) and firm performance. Data were collected from 83 LSPs and 30 in-house logistics departments via an online survey. The study determined the general strength and direction of the relationships between latent variables. A correlation analysis was utilized to establish statistical significance of the results. Findings: In this study, a range of innovation-oriented capabilities for achieving more dynamic resilience were bundled in a conceptual framework and were found to be statistically significant for LSQ and firm performance. They are the capability to distribute new knowledge, to train employees effectively, to develop cross-functional collaboration within the firm, to develop inter-firm relationships with business partners on a long-term basis as well as to learn from rivals, and to pursue a win-win relationship with them. Research limitations/implications: The results of the study do not imply that the identified capabilities are the only ones relevant to increasing dynamic resilience during the pandemic. In October 2020, the COVID-19 pandemic was at different stages in different countries, so that the level to which firms were affected varied, and although the data were collected during one month only, due to the high dynamics of the pandemic, data were collected during different stages of disruptions, even among respondents in the same country. This study was set in the context of COVID-19, and it could not be proved whether the conceptual framework is generalizable to other crises or particular industries, but it would be worthwhile to examine this in the future. Finally, it was…","author":[{"dropping-particle":"","family":"Dovbischuk","given":"Irina","non-dropping-particle":"","parse-names":false,"suffix":""}],"container-title":"The International Journal of Logistics Management","id":"ITEM-1","issue":"2","issued":{"date-parts":[["2022","4","19"]]},"page":"499-519","title":"Innovation-oriented dynamic capabilities of logistics service providers, dynamic resilience and firm performance during the COVID-19 pandemic","type":"article-journal","volume":"33"},"uris":["http://www.mendeley.com/documents/?uuid=0680302c-58a2-42cc-b22a-2a69487a0734","http://www.mendeley.com/documents/?uuid=1a1eccb3-6c5d-4701-a7c6-bef107533348"]},{"id":"ITEM-2","itemData":{"DOI":"10.1016/j.indmarman.2022.04.009","ISSN":"00198501","abstract":"Building the resilience capacity of businesses is important for economic, social and community recovery during the COVID-19 pandemic, yet organizational resilience is under-examined in the marketing literature. Crises and disasters can significantly impact small and medium enterprises (SMEs), affecting their ability to mitigate, respond and recover. Social capital (SC) is a key resource that can be mobilized by SMEs to tap the resources embedded in internal and external relationships to respond to disruptions, yet the mechanism through which SC facilitates organizational resilience is not clear. Using middle-range theorizing, we propose dynamic capabilities (DC) as the key sensing, seizing and reconfiguration resources that transform SC into organizational resilience. The results from a sample of SMEs (n = 419) in Australia and New Zealand demonstrate that internal SC has a positive effect on external SC (customer-focused). Only internal SC has a direct effect on organizational resilience. DC partially and fully mediates the relationship between internal and external SC and organizational resilience respectively. Implications for theory and practice are offered.","author":[{"dropping-particle":"","family":"Ozanne","given":"Lucie K.","non-dropping-particle":"","parse-names":false,"suffix":""},{"dropping-particle":"","family":"Chowdhury","given":"Mesbahuddin","non-dropping-particle":"","parse-names":false,"suffix":""},{"dropping-particle":"","family":"Prayag","given":"Girish","non-dropping-particle":"","parse-names":false,"suffix":""},{"dropping-particle":"","family":"Mollenkopf","given":"Diane A.","non-dropping-particle":"","parse-names":false,"suffix":""}],"container-title":"Industrial Marketing Management","id":"ITEM-2","issued":{"date-parts":[["2022"]]},"page":"116-135","title":"SMEs navigating COVID-19: The influence of social capital and dynamic capabilities on organizational resilience","type":"article-journal","volume":"104"},"uris":["http://www.mendeley.com/documents/?uuid=33218c3f-0826-4c24-a546-0638d7276e56"]}],"mendeley":{"formattedCitation":"(Dovbischuk, 2022; Ozanne et al., 2022)","plainTextFormattedCitation":"(Dovbischuk, 2022; Ozanne et al., 2022)","previouslyFormattedCitation":"(Dovbischuk, 2022; Ozanne et al., 2022)"},"properties":{"noteIndex":0},"schema":"https://github.com/citation-style-language/schema/raw/master/csl-citation.json"}</w:instrText>
      </w:r>
      <w:r w:rsidR="00C50DD5" w:rsidRPr="001C2C36">
        <w:rPr>
          <w:rFonts w:cs="Times New Roman"/>
          <w:szCs w:val="24"/>
        </w:rPr>
        <w:fldChar w:fldCharType="separate"/>
      </w:r>
      <w:r w:rsidR="00C50DD5" w:rsidRPr="001C2C36">
        <w:rPr>
          <w:rFonts w:cs="Times New Roman"/>
          <w:noProof/>
          <w:szCs w:val="24"/>
        </w:rPr>
        <w:t>(Dovbischuk, 2022; Ozanne et al., 2022)</w:t>
      </w:r>
      <w:r w:rsidR="00C50DD5" w:rsidRPr="001C2C36">
        <w:rPr>
          <w:rFonts w:cs="Times New Roman"/>
          <w:szCs w:val="24"/>
        </w:rPr>
        <w:fldChar w:fldCharType="end"/>
      </w:r>
      <w:r w:rsidR="348F2DB9" w:rsidRPr="001C2C36">
        <w:rPr>
          <w:rFonts w:cs="Times New Roman"/>
          <w:szCs w:val="24"/>
        </w:rPr>
        <w:t xml:space="preserve">. </w:t>
      </w:r>
      <w:r w:rsidR="007E37BC" w:rsidRPr="001C2C36">
        <w:rPr>
          <w:rFonts w:cs="Times New Roman"/>
          <w:szCs w:val="24"/>
        </w:rPr>
        <w:t>Some firms might also choose to rely on government support rather than drawing on their DCs, in effect wasting any opportunity to</w:t>
      </w:r>
      <w:r w:rsidR="00816D3A" w:rsidRPr="001C2C36">
        <w:rPr>
          <w:rFonts w:cs="Times New Roman"/>
          <w:szCs w:val="24"/>
        </w:rPr>
        <w:t xml:space="preserve"> learn from adapting</w:t>
      </w:r>
      <w:r w:rsidR="007E37BC" w:rsidRPr="001C2C36">
        <w:rPr>
          <w:rFonts w:cs="Times New Roman"/>
          <w:szCs w:val="24"/>
        </w:rPr>
        <w:t xml:space="preserve"> to the new market conditions. </w:t>
      </w:r>
      <w:r w:rsidR="00E90A85" w:rsidRPr="001C2C36">
        <w:rPr>
          <w:rFonts w:cs="Times New Roman"/>
        </w:rPr>
        <w:t xml:space="preserve">DCs are known to be developed through experience </w:t>
      </w:r>
      <w:r w:rsidR="00E90A85" w:rsidRPr="001C2C36">
        <w:rPr>
          <w:rFonts w:cs="Times New Roman"/>
        </w:rPr>
        <w:fldChar w:fldCharType="begin" w:fldLock="1"/>
      </w:r>
      <w:r w:rsidR="00E90A85" w:rsidRPr="001C2C36">
        <w:rPr>
          <w:rFonts w:cs="Times New Roman"/>
        </w:rPr>
        <w:instrText>ADDIN CSL_CITATION {"citationItems":[{"id":"ITEM-1","itemData":{"DOI":"10.1002/smj.2347","ISBN":"1097-0266","ISSN":"01432095","abstract":"Examining how compensation structure affects mobility and entrepreneurship decisions of employees, particularly those at the extreme ends of the performance distribution, we find that employees with high performance are less likely to leave firms with highly dispersed compensation. However, if these “high performers” do leave these employers, they are more likely to create or join new firms. Employees with lower performance are more likely to leave firms with high pay dispersion, but less likely to move to new ventures. Additionally, we show that mobility and entrepreneurship result in employees’ receiving higher compensation, regardless of their performance level.","author":[{"dropping-particle":"","family":"Bingham","given":"Christopher B.","non-dropping-particle":"","parse-names":false,"suffix":""},{"dropping-particle":"","family":"Heimeriks","given":"Koen H.","non-dropping-particle":"","parse-names":false,"suffix":""},{"dropping-particle":"","family":"Schijven","given":"Mario","non-dropping-particle":"","parse-names":false,"suffix":""},{"dropping-particle":"","family":"Gates","given":"Stephen","non-dropping-particle":"","parse-names":false,"suffix":""}],"container-title":"Strategic Management Journal","id":"ITEM-1","issue":"12","issued":{"date-parts":[["2015","12"]]},"page":"1802-1825","title":"Concurrent learning: How firms develop multiple dynamic capabilities in parallel","type":"article-journal","volume":"36"},"uris":["http://www.mendeley.com/documents/?uuid=27dbd94f-e881-4d86-ac1b-2d5d15958e95"]}],"mendeley":{"formattedCitation":"(Bingham et al., 2015)","plainTextFormattedCitation":"(Bingham et al., 2015)","previouslyFormattedCitation":"(Bingham et al., 2015)"},"properties":{"noteIndex":0},"schema":"https://github.com/citation-style-language/schema/raw/master/csl-citation.json"}</w:instrText>
      </w:r>
      <w:r w:rsidR="00E90A85" w:rsidRPr="001C2C36">
        <w:rPr>
          <w:rFonts w:cs="Times New Roman"/>
        </w:rPr>
        <w:fldChar w:fldCharType="separate"/>
      </w:r>
      <w:r w:rsidR="00E90A85" w:rsidRPr="001C2C36">
        <w:rPr>
          <w:rFonts w:cs="Times New Roman"/>
          <w:noProof/>
        </w:rPr>
        <w:t>(Bingham et al., 2015)</w:t>
      </w:r>
      <w:r w:rsidR="00E90A85" w:rsidRPr="001C2C36">
        <w:rPr>
          <w:rFonts w:cs="Times New Roman"/>
        </w:rPr>
        <w:fldChar w:fldCharType="end"/>
      </w:r>
      <w:r w:rsidR="00703694">
        <w:rPr>
          <w:rFonts w:cs="Times New Roman"/>
        </w:rPr>
        <w:t>, so</w:t>
      </w:r>
      <w:r w:rsidR="007E37BC" w:rsidRPr="001C2C36">
        <w:rPr>
          <w:rFonts w:cs="Times New Roman"/>
          <w:szCs w:val="24"/>
        </w:rPr>
        <w:t xml:space="preserve"> this could have a negative impact on these </w:t>
      </w:r>
      <w:r w:rsidR="00011DB0" w:rsidRPr="001C2C36">
        <w:rPr>
          <w:rFonts w:cs="Times New Roman"/>
          <w:szCs w:val="24"/>
        </w:rPr>
        <w:t>SMEs</w:t>
      </w:r>
      <w:r w:rsidR="007E37BC" w:rsidRPr="001C2C36">
        <w:rPr>
          <w:rFonts w:cs="Times New Roman"/>
          <w:szCs w:val="24"/>
        </w:rPr>
        <w:t xml:space="preserve"> </w:t>
      </w:r>
      <w:r w:rsidR="00D75729">
        <w:rPr>
          <w:rFonts w:cs="Times New Roman"/>
          <w:szCs w:val="24"/>
        </w:rPr>
        <w:t>i</w:t>
      </w:r>
      <w:r w:rsidR="00703694" w:rsidRPr="001C2C36">
        <w:rPr>
          <w:rFonts w:cs="Times New Roman"/>
          <w:szCs w:val="24"/>
        </w:rPr>
        <w:t xml:space="preserve">n the long term </w:t>
      </w:r>
      <w:r w:rsidR="007E37BC" w:rsidRPr="001C2C36">
        <w:rPr>
          <w:rFonts w:cs="Times New Roman"/>
          <w:szCs w:val="24"/>
        </w:rPr>
        <w:t>as they may be unable to catch up with competitors who successfully adapted to the pandemic,</w:t>
      </w:r>
      <w:r w:rsidR="00A662EF" w:rsidRPr="001C2C36">
        <w:rPr>
          <w:rFonts w:cs="Times New Roman"/>
        </w:rPr>
        <w:t xml:space="preserve"> of which we already have numerous examples</w:t>
      </w:r>
      <w:r w:rsidR="00A662EF" w:rsidRPr="001C2C36">
        <w:rPr>
          <w:rFonts w:cs="Times New Roman"/>
          <w:szCs w:val="24"/>
        </w:rPr>
        <w:t xml:space="preserve"> </w:t>
      </w:r>
      <w:r w:rsidR="00A662EF" w:rsidRPr="001C2C36">
        <w:rPr>
          <w:rFonts w:cs="Times New Roman"/>
          <w:szCs w:val="24"/>
        </w:rPr>
        <w:fldChar w:fldCharType="begin" w:fldLock="1"/>
      </w:r>
      <w:r w:rsidR="00A662EF" w:rsidRPr="001C2C36">
        <w:rPr>
          <w:rFonts w:cs="Times New Roman"/>
          <w:szCs w:val="24"/>
        </w:rPr>
        <w:instrText>ADDIN CSL_CITATION {"citationItems":[{"id":"ITEM-1","itemData":{"DOI":"10.1177/23409444211008902","ISSN":"23409444","abstract":"For decades, entrepreneurship and strategy research has been dominated by agent-centric and inward-looking theoretical perspectives. The ongoing COVID-19 pandemic demonstrates the limits of this stance, as its influence on business has been both enormous and palpable. For the most part, the effects of the pandemic are no doubt negative. Business research—and presumably business practice—typically address such influence in terms of failure, resilience, and crisis management among existing businesses. Contrasting this prevalent discourse, we focus instead on positive influence of the pandemic for some emerging and new ventures. We analyze the many possible positive effects on entrepreneurship practice and highlight also positive effects on entrepreneurship research. We illustrate both positives by applying the External Enabler framework. JEL CLASSIFICATION: L26, M13, O3, R11","author":[{"dropping-particle":"","family":"Davidsson","given":"Per","non-dropping-particle":"","parse-names":false,"suffix":""},{"dropping-particle":"","family":"Recker","given":"Jan","non-dropping-particle":"","parse-names":false,"suffix":""},{"dropping-particle":"","family":"Briel","given":"Frederik","non-dropping-particle":"von","parse-names":false,"suffix":""}],"container-title":"BRQ Business Research Quarterly","id":"ITEM-1","issue":"3","issued":{"date-parts":[["2021"]]},"page":"214-223","title":"COVID-19 as External Enabler of entrepreneurship practice and research","type":"article-journal","volume":"24"},"uris":["http://www.mendeley.com/documents/?uuid=f8e88eeb-ce0f-40dc-bc2e-fba4101e3a82","http://www.mendeley.com/documents/?uuid=329134f2-d98f-4694-9756-362fe8975c84"]},{"id":"ITEM-2","itemData":{"DOI":"10.1016/j.jbvi.2021.e00273","ISSN":"23526734","abstract":"We investigate COVID-19 as a disabling and an enabling mechanism for small and mid-size enterprises (SMEs), particularly how SMEs’ crisis strategies might help them through the crisis. SMEs can follow a retrenchment strategy, a persevering strategy, or an innovation strategy, and they can do so narrowly or broadly. Using a representative sample of Danish SMEs, we test how crisis strategies are associated with turnover expectations. We find distinct differences in how effective crisis strategies are linked to turnover expectations, depending on how the crisis affected the SMEs in the first place (i.e., the SMEs were crisis victims, crisis immunes, or crisis exploiters).","author":[{"dropping-particle":"","family":"Klyver","given":"Kim","non-dropping-particle":"","parse-names":false,"suffix":""},{"dropping-particle":"","family":"Nielsen","given":"Suna Løwe","non-dropping-particle":"","parse-names":false,"suffix":""}],"container-title":"Journal of Business Venturing Insights","id":"ITEM-2","issued":{"date-parts":[["2021"]]},"page":"e00273","title":"Which crisis strategies are (expectedly) effective among SMEs during COVID-19?","type":"article-journal","volume":"16"},"uris":["http://www.mendeley.com/documents/?uuid=e5ef02c7-a07c-463d-b40f-72700ae4e6c7","http://www.mendeley.com/documents/?uuid=dc33886a-b4c1-47f2-954e-b96a3e22774e"]},{"id":"ITEM-3","itemData":{"DOI":"10.1177/02662426211055447","ISSN":"17412870","abstract":"This article investigates how start-ups have been affected by, and have responded to, the COVID-19 pandemic by analysing interview data from 32 Australian start-ups during Australia’s second wave of COVID-19. A framework and visualisation were developed, capturing unexplored heterogeneity within these start-ups, depending whether the emphasis was upon opportunities or adversity, and the type and extent of business model changes. Six start-up types were identified: stable beneficiaries, business-as-usual continuers, digital adjusters, adversity survivors, opportunity graspers and lemonade makers. The findings suggest that most start-ups responded to the crisis through business model changes because of crisis-induced opportunities and crisis-induced adversity The anaysis found that the interplay between firm size and crisis influences whether start-ups focus on business model adaptation or business model innovation or a combination of both We thus contribute to the literature on business models, crisis management and a newly emerging field focusing on the implications of the COVID-19 pandemic for start-ups.","author":[{"dropping-particle":"","family":"Guckenbiehl","given":"Peter","non-dropping-particle":"","parse-names":false,"suffix":""},{"dropping-particle":"","family":"Corral de Zubielqui","given":"Graciela","non-dropping-particle":"","parse-names":false,"suffix":""}],"container-title":"International Small Business Journal: Researching Entrepreneurship","id":"ITEM-3","issue":"2","issued":{"date-parts":[["2022"]]},"page":"150-177","title":"Start-ups’ business model changes during the COVID-19 pandemic: Counteracting adversities and pursuing opportunities","type":"article-journal","volume":"40"},"uris":["http://www.mendeley.com/documents/?uuid=7c907787-92a7-4edc-becb-913b273f0e0c"]}],"mendeley":{"formattedCitation":"(Davidsson et al., 2021; Guckenbiehl and Corral de Zubielqui, 2022; Klyver and Nielsen, 2021)","plainTextFormattedCitation":"(Davidsson et al., 2021; Guckenbiehl and Corral de Zubielqui, 2022; Klyver and Nielsen, 2021)","previouslyFormattedCitation":"(Davidsson et al., 2021; Guckenbiehl and Corral de Zubielqui, 2022; Klyver and Nielsen, 2021)"},"properties":{"noteIndex":0},"schema":"https://github.com/citation-style-language/schema/raw/master/csl-citation.json"}</w:instrText>
      </w:r>
      <w:r w:rsidR="00A662EF" w:rsidRPr="001C2C36">
        <w:rPr>
          <w:rFonts w:cs="Times New Roman"/>
          <w:szCs w:val="24"/>
        </w:rPr>
        <w:fldChar w:fldCharType="separate"/>
      </w:r>
      <w:r w:rsidR="00A662EF" w:rsidRPr="001C2C36">
        <w:rPr>
          <w:rFonts w:cs="Times New Roman"/>
          <w:noProof/>
          <w:szCs w:val="24"/>
        </w:rPr>
        <w:t>(Davidsson et al., 2021; Guckenbiehl and Corral de Zubielqui, 2022; Klyver and Nielsen, 2021)</w:t>
      </w:r>
      <w:r w:rsidR="00A662EF" w:rsidRPr="001C2C36">
        <w:rPr>
          <w:rFonts w:cs="Times New Roman"/>
          <w:szCs w:val="24"/>
        </w:rPr>
        <w:fldChar w:fldCharType="end"/>
      </w:r>
      <w:r w:rsidR="007E37BC" w:rsidRPr="001C2C36">
        <w:rPr>
          <w:rFonts w:cs="Times New Roman"/>
          <w:szCs w:val="24"/>
        </w:rPr>
        <w:t xml:space="preserve">. </w:t>
      </w:r>
      <w:r w:rsidR="348F2DB9" w:rsidRPr="001C2C36">
        <w:rPr>
          <w:rFonts w:cs="Times New Roman"/>
          <w:szCs w:val="24"/>
        </w:rPr>
        <w:t>Th</w:t>
      </w:r>
      <w:r w:rsidR="00C95FEB" w:rsidRPr="001C2C36">
        <w:rPr>
          <w:rFonts w:cs="Times New Roman"/>
          <w:szCs w:val="24"/>
        </w:rPr>
        <w:t>e findings</w:t>
      </w:r>
      <w:r w:rsidR="348F2DB9" w:rsidRPr="001C2C36">
        <w:rPr>
          <w:rFonts w:cs="Times New Roman"/>
          <w:szCs w:val="24"/>
        </w:rPr>
        <w:t xml:space="preserve"> </w:t>
      </w:r>
      <w:r w:rsidR="00DF7821" w:rsidRPr="001C2C36">
        <w:rPr>
          <w:rFonts w:cs="Times New Roman"/>
          <w:szCs w:val="24"/>
        </w:rPr>
        <w:t>also</w:t>
      </w:r>
      <w:r w:rsidR="348F2DB9" w:rsidRPr="001C2C36">
        <w:rPr>
          <w:rFonts w:cs="Times New Roman"/>
          <w:szCs w:val="24"/>
        </w:rPr>
        <w:t xml:space="preserve"> suggest that government support is more </w:t>
      </w:r>
      <w:r w:rsidR="00F32E01" w:rsidRPr="001C2C36">
        <w:rPr>
          <w:rFonts w:cs="Times New Roman"/>
          <w:szCs w:val="24"/>
        </w:rPr>
        <w:t>critical</w:t>
      </w:r>
      <w:r w:rsidR="348F2DB9" w:rsidRPr="001C2C36">
        <w:rPr>
          <w:rFonts w:cs="Times New Roman"/>
          <w:szCs w:val="24"/>
        </w:rPr>
        <w:t xml:space="preserve"> in maintaining or increasing employment levels in </w:t>
      </w:r>
      <w:r w:rsidR="00E21190" w:rsidRPr="001C2C36">
        <w:rPr>
          <w:rFonts w:cs="Times New Roman"/>
          <w:szCs w:val="24"/>
        </w:rPr>
        <w:t>SME</w:t>
      </w:r>
      <w:r w:rsidR="348F2DB9" w:rsidRPr="001C2C36">
        <w:rPr>
          <w:rFonts w:cs="Times New Roman"/>
          <w:szCs w:val="24"/>
        </w:rPr>
        <w:t>s that are unable to draw on their own DCs to adapt to the pandemic.</w:t>
      </w:r>
      <w:r w:rsidR="00D40821" w:rsidRPr="001C2C36">
        <w:rPr>
          <w:rFonts w:cs="Times New Roman"/>
          <w:szCs w:val="24"/>
        </w:rPr>
        <w:t xml:space="preserve"> </w:t>
      </w:r>
    </w:p>
    <w:p w14:paraId="2C1B8018" w14:textId="253DB4D6" w:rsidR="00C60B91" w:rsidRPr="001C2C36" w:rsidRDefault="006A3E47" w:rsidP="00526BA4">
      <w:pPr>
        <w:pStyle w:val="Heading2"/>
        <w:rPr>
          <w:rFonts w:ascii="Times New Roman" w:hAnsi="Times New Roman" w:cs="Times New Roman"/>
        </w:rPr>
      </w:pPr>
      <w:r w:rsidRPr="001C2C36">
        <w:rPr>
          <w:rFonts w:ascii="Times New Roman" w:hAnsi="Times New Roman" w:cs="Times New Roman"/>
        </w:rPr>
        <w:lastRenderedPageBreak/>
        <w:t>Implications for managers and policymakers</w:t>
      </w:r>
    </w:p>
    <w:p w14:paraId="5FB898C5" w14:textId="7C651937" w:rsidR="00174BBA" w:rsidRPr="001C2C36" w:rsidRDefault="00E21190">
      <w:pPr>
        <w:rPr>
          <w:rFonts w:eastAsia="Calibri" w:cs="Times New Roman"/>
          <w:szCs w:val="24"/>
        </w:rPr>
      </w:pPr>
      <w:r w:rsidRPr="001C2C36">
        <w:rPr>
          <w:rFonts w:cs="Times New Roman"/>
          <w:szCs w:val="24"/>
        </w:rPr>
        <w:t>Our findings have implications for managers and policymakers.</w:t>
      </w:r>
      <w:r w:rsidR="00531328" w:rsidRPr="001C2C36">
        <w:rPr>
          <w:rFonts w:cs="Times New Roman"/>
          <w:szCs w:val="24"/>
        </w:rPr>
        <w:t xml:space="preserve"> T</w:t>
      </w:r>
      <w:r w:rsidRPr="001C2C36">
        <w:rPr>
          <w:rFonts w:cs="Times New Roman"/>
          <w:szCs w:val="24"/>
        </w:rPr>
        <w:t xml:space="preserve">he findings direct to strategies that the former could apply depending on the resources available to SMEs. Attaining all available government support could be most beneficial in instances where SMEs do not have sufficient resources to cope with crises themselves and are likely to shrink or close. Immediately once the support is received, managers need to evaluate and consider how to create, extend, or modify their resource base, keeping in mind that over-relying on this short-term support </w:t>
      </w:r>
      <w:r w:rsidR="006B44A0" w:rsidRPr="001C2C36">
        <w:rPr>
          <w:rFonts w:cs="Times New Roman"/>
          <w:szCs w:val="24"/>
        </w:rPr>
        <w:t xml:space="preserve">may </w:t>
      </w:r>
      <w:r w:rsidRPr="001C2C36">
        <w:rPr>
          <w:rFonts w:cs="Times New Roman"/>
          <w:szCs w:val="24"/>
        </w:rPr>
        <w:t xml:space="preserve">not sustain competitive advantage in the longer term. </w:t>
      </w:r>
      <w:r w:rsidR="006B44A0" w:rsidRPr="001C2C36">
        <w:rPr>
          <w:rFonts w:cs="Times New Roman"/>
          <w:szCs w:val="24"/>
        </w:rPr>
        <w:t>SMEs that</w:t>
      </w:r>
      <w:r w:rsidRPr="001C2C36">
        <w:rPr>
          <w:rFonts w:cs="Times New Roman"/>
          <w:szCs w:val="24"/>
        </w:rPr>
        <w:t xml:space="preserve"> c</w:t>
      </w:r>
      <w:r w:rsidR="006B44A0" w:rsidRPr="001C2C36">
        <w:rPr>
          <w:rFonts w:cs="Times New Roman"/>
          <w:szCs w:val="24"/>
        </w:rPr>
        <w:t>an</w:t>
      </w:r>
      <w:r w:rsidRPr="001C2C36">
        <w:rPr>
          <w:rFonts w:cs="Times New Roman"/>
          <w:szCs w:val="24"/>
        </w:rPr>
        <w:t xml:space="preserve"> survive should not spend extensive time and resources researching and applying for government assistance programmes but favour moving beyond tactical adaptions to the development of DCs that</w:t>
      </w:r>
      <w:r w:rsidRPr="001C2C36">
        <w:rPr>
          <w:rFonts w:eastAsia="Calibri" w:cs="Times New Roman"/>
          <w:szCs w:val="24"/>
        </w:rPr>
        <w:t xml:space="preserve"> will enable resilience toward external shocks</w:t>
      </w:r>
      <w:r w:rsidR="006D0CFB" w:rsidRPr="001C2C36">
        <w:rPr>
          <w:rFonts w:eastAsia="Calibri" w:cs="Times New Roman"/>
          <w:szCs w:val="24"/>
        </w:rPr>
        <w:t xml:space="preserve"> </w:t>
      </w:r>
      <w:r w:rsidR="006D0CFB" w:rsidRPr="001C2C36">
        <w:rPr>
          <w:rFonts w:cs="Times New Roman"/>
          <w:szCs w:val="24"/>
        </w:rPr>
        <w:fldChar w:fldCharType="begin" w:fldLock="1"/>
      </w:r>
      <w:r w:rsidR="006D0CFB" w:rsidRPr="001C2C36">
        <w:rPr>
          <w:rFonts w:cs="Times New Roman"/>
          <w:szCs w:val="24"/>
        </w:rPr>
        <w:instrText>ADDIN CSL_CITATION {"citationItems":[{"id":"ITEM-1","itemData":{"DOI":"10.1016/j.jbusres.2021.12.006","ISSN":"01482963","abstract":"The restructuring of global value/supply chains gained increasing attention as the unprecedented COVID-19 echoed around the world. Yet, the COVID-19 related theory-driven, large scale quantitative, and empirical studies are relatively scarce. This study advances the extant literature by empirically investigating how do firms in the global food value chains (GFVCs) re-imagine their businesses structure in response to the COVID-19—becoming more resilient and competitive to the current pandemic and similar future events. We leverage a unique data of 231 senior managers of the Australian GFVCs and examine their firms’ response strategies. Drawing upon key insights from the dynamic capability view, we find that GFVCs’ competitiveness is achieved when exposure to COVID-19 shocks elicits dynamic capabilities—readiness, response, recovery—and these capabilities work jointly and sequentially to cultivate resilience. A key finding of this study is that firms with domestic plus global value chain partners are more resilient than those having only global business partners. This finding implies that excessive reliance on offshoring sometimes becomes lethal, especially amid unexpected and prolonged global shocks and, therefore, companies should strike a balance between domestic and global business partners to remain competitive. These findings offer important contributions to theory, practice, and UN sustainable development goals.","author":[{"dropping-particle":"","family":"Ali","given":"Imran","non-dropping-particle":"","parse-names":false,"suffix":""},{"dropping-particle":"","family":"Arslan","given":"Ahmad","non-dropping-particle":"","parse-names":false,"suffix":""},{"dropping-particle":"","family":"Chowdhury","given":"Maruf","non-dropping-particle":"","parse-names":false,"suffix":""},{"dropping-particle":"","family":"Khan","given":"Zaheer","non-dropping-particle":"","parse-names":false,"suffix":""},{"dropping-particle":"","family":"Tarba","given":"Shlomo Y.","non-dropping-particle":"","parse-names":false,"suffix":""}],"container-title":"Journal of Business Research","id":"ITEM-1","issued":{"date-parts":[["2022"]]},"page":"1-12","title":"Reimagining global food value chains through effective resilience to COVID-19 shocks and similar future events: A dynamic capability perspective","type":"article-journal","volume":"141"},"uris":["http://www.mendeley.com/documents/?uuid=6bd1da5c-f858-44a4-b862-b1609b6f595b","http://www.mendeley.com/documents/?uuid=b0ae3f3c-08b5-43a6-bd1a-375706a7d269"]}],"mendeley":{"formattedCitation":"(Ali et al., 2022)","plainTextFormattedCitation":"(Ali et al., 2022)","previouslyFormattedCitation":"(Ali et al., 2022)"},"properties":{"noteIndex":0},"schema":"https://github.com/citation-style-language/schema/raw/master/csl-citation.json"}</w:instrText>
      </w:r>
      <w:r w:rsidR="006D0CFB" w:rsidRPr="001C2C36">
        <w:rPr>
          <w:rFonts w:cs="Times New Roman"/>
          <w:szCs w:val="24"/>
        </w:rPr>
        <w:fldChar w:fldCharType="separate"/>
      </w:r>
      <w:r w:rsidR="006D0CFB" w:rsidRPr="001C2C36">
        <w:rPr>
          <w:rFonts w:cs="Times New Roman"/>
          <w:noProof/>
          <w:szCs w:val="24"/>
        </w:rPr>
        <w:t>(Ali et al., 2022)</w:t>
      </w:r>
      <w:r w:rsidR="006D0CFB" w:rsidRPr="001C2C36">
        <w:rPr>
          <w:rFonts w:cs="Times New Roman"/>
          <w:szCs w:val="24"/>
        </w:rPr>
        <w:fldChar w:fldCharType="end"/>
      </w:r>
      <w:r w:rsidRPr="001C2C36">
        <w:rPr>
          <w:rFonts w:eastAsia="Calibri" w:cs="Times New Roman"/>
          <w:szCs w:val="24"/>
        </w:rPr>
        <w:t xml:space="preserve">. </w:t>
      </w:r>
    </w:p>
    <w:p w14:paraId="7559A8AE" w14:textId="7D3CA058" w:rsidR="00A24741" w:rsidRPr="001C2C36" w:rsidRDefault="00506553">
      <w:pPr>
        <w:rPr>
          <w:rFonts w:eastAsia="Calibri" w:cs="Times New Roman"/>
          <w:szCs w:val="24"/>
        </w:rPr>
      </w:pPr>
      <w:r w:rsidRPr="001C2C36">
        <w:rPr>
          <w:rFonts w:cs="Times New Roman"/>
          <w:szCs w:val="24"/>
        </w:rPr>
        <w:t xml:space="preserve">This study also provides evidence for policymakers of the </w:t>
      </w:r>
      <w:proofErr w:type="gramStart"/>
      <w:r w:rsidRPr="001C2C36">
        <w:rPr>
          <w:rFonts w:cs="Times New Roman"/>
          <w:szCs w:val="24"/>
        </w:rPr>
        <w:t>longer term</w:t>
      </w:r>
      <w:proofErr w:type="gramEnd"/>
      <w:r w:rsidRPr="001C2C36">
        <w:rPr>
          <w:rFonts w:cs="Times New Roman"/>
          <w:szCs w:val="24"/>
        </w:rPr>
        <w:t xml:space="preserve"> effects of expansive support programmes</w:t>
      </w:r>
      <w:r w:rsidR="001D2068" w:rsidRPr="001C2C36">
        <w:rPr>
          <w:rFonts w:cs="Times New Roman"/>
          <w:szCs w:val="24"/>
        </w:rPr>
        <w:t xml:space="preserve"> during a crisis</w:t>
      </w:r>
      <w:r w:rsidRPr="001C2C36">
        <w:rPr>
          <w:rFonts w:cs="Times New Roman"/>
          <w:szCs w:val="24"/>
        </w:rPr>
        <w:t xml:space="preserve">. </w:t>
      </w:r>
      <w:r w:rsidR="00B76AEE" w:rsidRPr="001C2C36">
        <w:rPr>
          <w:rFonts w:cs="Times New Roman"/>
          <w:szCs w:val="24"/>
        </w:rPr>
        <w:t xml:space="preserve">Although government assistance </w:t>
      </w:r>
      <w:r w:rsidR="0013768D" w:rsidRPr="001C2C36">
        <w:rPr>
          <w:rFonts w:cs="Times New Roman"/>
          <w:szCs w:val="24"/>
        </w:rPr>
        <w:t>contribute</w:t>
      </w:r>
      <w:r w:rsidR="006E0CBE" w:rsidRPr="001C2C36">
        <w:rPr>
          <w:rFonts w:cs="Times New Roman"/>
          <w:szCs w:val="24"/>
        </w:rPr>
        <w:t>s</w:t>
      </w:r>
      <w:r w:rsidR="0013768D" w:rsidRPr="001C2C36">
        <w:rPr>
          <w:rFonts w:cs="Times New Roman"/>
          <w:szCs w:val="24"/>
        </w:rPr>
        <w:t xml:space="preserve"> to </w:t>
      </w:r>
      <w:r w:rsidR="008E5A9A" w:rsidRPr="001C2C36">
        <w:rPr>
          <w:rFonts w:cs="Times New Roman"/>
          <w:szCs w:val="24"/>
        </w:rPr>
        <w:t>reducing short-term unemployment during Covid-19</w:t>
      </w:r>
      <w:r w:rsidR="003F2FCE" w:rsidRPr="001C2C36">
        <w:rPr>
          <w:rFonts w:cs="Times New Roman"/>
          <w:szCs w:val="24"/>
        </w:rPr>
        <w:t xml:space="preserve">, </w:t>
      </w:r>
      <w:r w:rsidR="00C4562B" w:rsidRPr="001C2C36">
        <w:rPr>
          <w:rFonts w:cs="Times New Roman"/>
          <w:szCs w:val="24"/>
        </w:rPr>
        <w:t xml:space="preserve">the support instruments </w:t>
      </w:r>
      <w:r w:rsidR="00CE43F8" w:rsidRPr="001C2C36">
        <w:rPr>
          <w:rFonts w:cs="Times New Roman"/>
          <w:szCs w:val="24"/>
        </w:rPr>
        <w:t xml:space="preserve">also distort the </w:t>
      </w:r>
      <w:r w:rsidR="001C1DF7" w:rsidRPr="001C2C36">
        <w:rPr>
          <w:rFonts w:cs="Times New Roman"/>
          <w:szCs w:val="24"/>
        </w:rPr>
        <w:t xml:space="preserve">overall </w:t>
      </w:r>
      <w:r w:rsidR="00CE43F8" w:rsidRPr="001C2C36">
        <w:rPr>
          <w:rFonts w:cs="Times New Roman"/>
          <w:szCs w:val="24"/>
        </w:rPr>
        <w:t>efficiency of DCs</w:t>
      </w:r>
      <w:r w:rsidR="001C1DF7" w:rsidRPr="001C2C36">
        <w:rPr>
          <w:rFonts w:cs="Times New Roman"/>
          <w:szCs w:val="24"/>
        </w:rPr>
        <w:t xml:space="preserve"> and</w:t>
      </w:r>
      <w:r w:rsidR="00722E76" w:rsidRPr="001C2C36">
        <w:rPr>
          <w:rFonts w:cs="Times New Roman"/>
          <w:szCs w:val="24"/>
        </w:rPr>
        <w:t xml:space="preserve">, in this way, </w:t>
      </w:r>
      <w:r w:rsidR="00AA716B" w:rsidRPr="001C2C36">
        <w:rPr>
          <w:rFonts w:cs="Times New Roman"/>
          <w:szCs w:val="24"/>
        </w:rPr>
        <w:t xml:space="preserve">contribute to lowering employment </w:t>
      </w:r>
      <w:r w:rsidR="00722E76" w:rsidRPr="001C2C36">
        <w:rPr>
          <w:rFonts w:cs="Times New Roman"/>
          <w:szCs w:val="24"/>
        </w:rPr>
        <w:t xml:space="preserve">growth </w:t>
      </w:r>
      <w:r w:rsidR="00AA716B" w:rsidRPr="001C2C36">
        <w:rPr>
          <w:rFonts w:cs="Times New Roman"/>
          <w:szCs w:val="24"/>
        </w:rPr>
        <w:t xml:space="preserve">in </w:t>
      </w:r>
      <w:r w:rsidR="00511ADD" w:rsidRPr="001C2C36">
        <w:rPr>
          <w:rFonts w:cs="Times New Roman"/>
          <w:szCs w:val="24"/>
        </w:rPr>
        <w:t xml:space="preserve">the </w:t>
      </w:r>
      <w:r w:rsidR="00AA716B" w:rsidRPr="001C2C36">
        <w:rPr>
          <w:rFonts w:cs="Times New Roman"/>
          <w:szCs w:val="24"/>
        </w:rPr>
        <w:t>longer term</w:t>
      </w:r>
      <w:r w:rsidR="00CE43F8" w:rsidRPr="001C2C36">
        <w:rPr>
          <w:rFonts w:cs="Times New Roman"/>
          <w:szCs w:val="24"/>
        </w:rPr>
        <w:t xml:space="preserve">. </w:t>
      </w:r>
      <w:r w:rsidR="00E21190" w:rsidRPr="001C2C36">
        <w:rPr>
          <w:rFonts w:cs="Times New Roman"/>
          <w:szCs w:val="24"/>
        </w:rPr>
        <w:t xml:space="preserve">From the </w:t>
      </w:r>
      <w:r w:rsidR="006B44A0" w:rsidRPr="001C2C36">
        <w:rPr>
          <w:rFonts w:cs="Times New Roman"/>
          <w:szCs w:val="24"/>
        </w:rPr>
        <w:t xml:space="preserve">results presented </w:t>
      </w:r>
      <w:r w:rsidR="00E21190" w:rsidRPr="001C2C36">
        <w:rPr>
          <w:rFonts w:cs="Times New Roman"/>
          <w:szCs w:val="24"/>
        </w:rPr>
        <w:t>above</w:t>
      </w:r>
      <w:r w:rsidR="006B44A0" w:rsidRPr="001C2C36">
        <w:rPr>
          <w:rFonts w:cs="Times New Roman"/>
          <w:szCs w:val="24"/>
        </w:rPr>
        <w:t>,</w:t>
      </w:r>
      <w:r w:rsidR="00E21190" w:rsidRPr="001C2C36">
        <w:rPr>
          <w:rFonts w:cs="Times New Roman"/>
          <w:szCs w:val="24"/>
        </w:rPr>
        <w:t xml:space="preserve"> and in line with the previous criticism of other support programmes (Matikonis, </w:t>
      </w:r>
      <w:r w:rsidR="00E21190" w:rsidRPr="001C2C36">
        <w:rPr>
          <w:rFonts w:cs="Times New Roman"/>
          <w:szCs w:val="24"/>
        </w:rPr>
        <w:fldChar w:fldCharType="begin" w:fldLock="1"/>
      </w:r>
      <w:r w:rsidR="007E0935" w:rsidRPr="001C2C36">
        <w:rPr>
          <w:rFonts w:cs="Times New Roman"/>
          <w:szCs w:val="24"/>
        </w:rPr>
        <w:instrText>ADDIN CSL_CITATION {"citationItems":[{"id":"ITEM-1","itemData":{"author":[{"dropping-particle":"","family":"Matikonis","given":"Karolis","non-dropping-particle":"","parse-names":false,"suffix":""}],"container-title":"British Tax Review","id":"ITEM-1","issue":"2","issued":{"date-parts":[["2020"]]},"page":"143-150","title":"Unintended recipients of rising UK non-domestic property tax reliefs","type":"article-journal","volume":"2020"},"uris":["http://www.mendeley.com/documents/?uuid=69a5aac1-9e18-4fdd-aa20-f0fceb52e602"]}],"mendeley":{"formattedCitation":"(Matikonis, 2020)","manualFormatting":"2020)","plainTextFormattedCitation":"(Matikonis, 2020)","previouslyFormattedCitation":"(Matikonis, 2020)"},"properties":{"noteIndex":0},"schema":"https://github.com/citation-style-language/schema/raw/master/csl-citation.json"}</w:instrText>
      </w:r>
      <w:r w:rsidR="00E21190" w:rsidRPr="001C2C36">
        <w:rPr>
          <w:rFonts w:cs="Times New Roman"/>
          <w:szCs w:val="24"/>
        </w:rPr>
        <w:fldChar w:fldCharType="separate"/>
      </w:r>
      <w:r w:rsidR="00E21190" w:rsidRPr="001C2C36">
        <w:rPr>
          <w:rFonts w:cs="Times New Roman"/>
          <w:noProof/>
          <w:szCs w:val="24"/>
        </w:rPr>
        <w:t>2020)</w:t>
      </w:r>
      <w:r w:rsidR="00E21190" w:rsidRPr="001C2C36">
        <w:rPr>
          <w:rFonts w:cs="Times New Roman"/>
          <w:szCs w:val="24"/>
        </w:rPr>
        <w:fldChar w:fldCharType="end"/>
      </w:r>
      <w:r w:rsidR="00E21190" w:rsidRPr="001C2C36">
        <w:rPr>
          <w:rFonts w:cs="Times New Roman"/>
          <w:szCs w:val="24"/>
        </w:rPr>
        <w:t xml:space="preserve">, </w:t>
      </w:r>
      <w:r w:rsidR="00E21190" w:rsidRPr="001C2C36">
        <w:rPr>
          <w:rFonts w:eastAsia="Calibri" w:cs="Times New Roman"/>
          <w:szCs w:val="24"/>
        </w:rPr>
        <w:t>th</w:t>
      </w:r>
      <w:r w:rsidR="00204230" w:rsidRPr="001C2C36">
        <w:rPr>
          <w:rFonts w:eastAsia="Calibri" w:cs="Times New Roman"/>
          <w:szCs w:val="24"/>
        </w:rPr>
        <w:t>is</w:t>
      </w:r>
      <w:r w:rsidR="00E21190" w:rsidRPr="001C2C36">
        <w:rPr>
          <w:rFonts w:eastAsia="Calibri" w:cs="Times New Roman"/>
          <w:szCs w:val="24"/>
        </w:rPr>
        <w:t xml:space="preserve"> differential impact of government support mechanisms highlights the importance of targeting interventions toward the firms most likely to benefit. </w:t>
      </w:r>
      <w:r w:rsidR="00E21190" w:rsidRPr="001C2C36">
        <w:rPr>
          <w:rFonts w:cs="Times New Roman"/>
          <w:szCs w:val="24"/>
        </w:rPr>
        <w:t>More effort should also be made by policymakers to tackle the complexity of the increasingly expansive relief packages that are disjoint, quickly changing and challenging to navigate. This could potentially reduce the unintended negative consequences of the support.</w:t>
      </w:r>
    </w:p>
    <w:p w14:paraId="6019407D" w14:textId="5C483196" w:rsidR="00FD73D6" w:rsidRPr="001C2C36" w:rsidRDefault="00FD73D6" w:rsidP="00FD73D6">
      <w:pPr>
        <w:pStyle w:val="Heading1"/>
        <w:rPr>
          <w:rFonts w:cs="Times New Roman"/>
        </w:rPr>
      </w:pPr>
      <w:r w:rsidRPr="001C2C36">
        <w:rPr>
          <w:rFonts w:cs="Times New Roman"/>
        </w:rPr>
        <w:t xml:space="preserve">Conclusions </w:t>
      </w:r>
    </w:p>
    <w:p w14:paraId="4F461C6A" w14:textId="466CEC41" w:rsidR="00081075" w:rsidRPr="001C2C36" w:rsidRDefault="00FD73D6" w:rsidP="002846E0">
      <w:pPr>
        <w:rPr>
          <w:rFonts w:cs="Times New Roman"/>
        </w:rPr>
      </w:pPr>
      <w:r w:rsidRPr="001C2C36">
        <w:rPr>
          <w:rFonts w:cs="Times New Roman"/>
          <w:szCs w:val="24"/>
        </w:rPr>
        <w:t xml:space="preserve">This study calls attention to the role </w:t>
      </w:r>
      <w:r w:rsidR="00E54874" w:rsidRPr="001C2C36">
        <w:rPr>
          <w:rFonts w:cs="Times New Roman"/>
        </w:rPr>
        <w:t xml:space="preserve">of government policy intervention in discouraging SMEs from effectively exercising dynamic capabilities during a crisis. </w:t>
      </w:r>
      <w:r w:rsidR="004E7C1C" w:rsidRPr="001C2C36">
        <w:rPr>
          <w:rFonts w:cs="Times New Roman"/>
        </w:rPr>
        <w:t xml:space="preserve">We observe </w:t>
      </w:r>
      <w:r w:rsidR="00C76237" w:rsidRPr="001C2C36">
        <w:rPr>
          <w:rFonts w:cs="Times New Roman"/>
          <w:szCs w:val="24"/>
        </w:rPr>
        <w:t>the positive impact of government support on employment</w:t>
      </w:r>
      <w:r w:rsidR="00D73E24" w:rsidRPr="001C2C36">
        <w:rPr>
          <w:rFonts w:cs="Times New Roman"/>
          <w:szCs w:val="24"/>
        </w:rPr>
        <w:t xml:space="preserve"> in the early stages of the Covid-19 pandemic</w:t>
      </w:r>
      <w:r w:rsidR="005B3BFD" w:rsidRPr="001C2C36">
        <w:rPr>
          <w:rFonts w:cs="Times New Roman"/>
        </w:rPr>
        <w:t xml:space="preserve">, contributing to the existing literature that investigated </w:t>
      </w:r>
      <w:r w:rsidR="00D868F3" w:rsidRPr="001C2C36">
        <w:rPr>
          <w:rFonts w:cs="Times New Roman"/>
        </w:rPr>
        <w:t xml:space="preserve">individual </w:t>
      </w:r>
      <w:r w:rsidR="00741AE7" w:rsidRPr="001C2C36">
        <w:rPr>
          <w:rFonts w:cs="Times New Roman"/>
        </w:rPr>
        <w:t xml:space="preserve">support </w:t>
      </w:r>
      <w:r w:rsidR="00D868F3" w:rsidRPr="001C2C36">
        <w:rPr>
          <w:rFonts w:cs="Times New Roman"/>
        </w:rPr>
        <w:t>schemes</w:t>
      </w:r>
      <w:r w:rsidR="00741AE7" w:rsidRPr="001C2C36">
        <w:rPr>
          <w:rFonts w:cs="Times New Roman"/>
        </w:rPr>
        <w:t xml:space="preserve"> </w:t>
      </w:r>
      <w:r w:rsidR="00DF17FF" w:rsidRPr="001C2C36">
        <w:rPr>
          <w:rFonts w:cs="Times New Roman"/>
          <w:szCs w:val="24"/>
        </w:rPr>
        <w:fldChar w:fldCharType="begin" w:fldLock="1"/>
      </w:r>
      <w:r w:rsidR="00DF17FF" w:rsidRPr="001C2C36">
        <w:rPr>
          <w:rFonts w:cs="Times New Roman"/>
          <w:szCs w:val="24"/>
        </w:rPr>
        <w:instrText>ADDIN CSL_CITATION {"citationItems":[{"id":"ITEM-1","itemData":{"DOI":"10.1177/02662426211058050","ISSN":"17412870","abstract":"The UK has had a commitment to loan guarantee schemes since 1981 when it introduced the Small Firms Loan Guarantee (SFLG) scheme to address access to debt finance issues for smaller firms. Over the last 40 years, its support has been unwavering, and in the Covid-19 crisis, it once again turned to loan guarantees as a means of supporting smaller firms through the crisis-induced slump in trading activities. Of its three core Covid-19 guarantee schemes, the Bounce Back Loan (BBL) scheme was the most numerous with 1,531,095 loans issued amounting to a total of £46.5bn in lending. The BBL scheme provided a 100% capital guarantee on loans between £2,000 and £50,000, and firms were allowed to borrow up to 25% of their trading income, with a fixed interest rate of 2.5% of which the first years interest was paid by the government to the lending bank. Our findings suggest that the government losses may range between £7bn and £12bn depending on the underlying assumptions; however, we estimate Covid-19 guarantee schemes may have protected 118,639 businesses and 1,117,849 jobs. Looking to the future, we suggest that a new loan guarantee is justified that more resembles the former SFLG than the restrictive Enterprise Finance Guarantee (EFG) as more than one million small businesses will be heavily indebted and unable to borrow to invest in future growth opportunities. This would support the ‘levelling-up’ agenda and help prevent a post-Covid-19 low investment–low growth scenario.","author":[{"dropping-particle":"","family":"Cowling","given":"Marc","non-dropping-particle":"","parse-names":false,"suffix":""},{"dropping-particle":"","family":"Wilson","given":"Nick","non-dropping-particle":"","parse-names":false,"suffix":""},{"dropping-particle":"","family":"Nightingale","given":"Paul","non-dropping-particle":"","parse-names":false,"suffix":""},{"dropping-particle":"","family":"Kacer","given":"Marek","non-dropping-particle":"","parse-names":false,"suffix":""}],"container-title":"International Small Business Journal: Researching Entrepreneurship","id":"ITEM-1","issue":"5","issued":{"date-parts":[["2022"]]},"page":"650-666","title":"Predicting future default on the Covid-19 bounce back loan scheme: The £46.5 billion question","type":"article-journal","volume":"40"},"uris":["http://www.mendeley.com/documents/?uuid=a8b4bd6b-83fe-4122-86a4-1c8b2c9a0907","http://www.mendeley.com/documents/?uuid=865ca792-3d4f-4aa3-aed2-0c1459288f3c"]},{"id":"ITEM-2","itemData":{"DOI":"10.1007/s11846-022-00569-x","ISBN":"1184602200569","ISSN":"1863-6683","abstract":"This paper addresses the debate on the ability/inability of SMEs to balance social, environmental and economic objectives by integrating insights from the dynamic capabilities literature. Using unique survey data from 297 Dutch SMEs, we propose that integrative dynamic capabilities simultaneously drive all three pillars of sustainability in SMEs.","author":[{"dropping-particle":"","family":"Dejardin","given":"Marcus","non-dropping-particle":"","parse-names":false,"suffix":""},{"dropping-particle":"","family":"Raposo","given":"Mario L.","non-dropping-particle":"","parse-names":false,"suffix":""},{"dropping-particle":"","family":"Ferreira","given":"João J.","non-dropping-particle":"","parse-names":false,"suffix":""},{"dropping-particle":"","family":"Fernandes","given":"Cristina I.","non-dropping-particle":"","parse-names":false,"suffix":""},{"dropping-particle":"","family":"Veiga","given":"Pedro M.","non-dropping-particle":"","parse-names":false,"suffix":""},{"dropping-particle":"","family":"Farinha","given":"Luís","non-dropping-particle":"","parse-names":false,"suffix":""}],"container-title":"Review of Managerial Science","id":"ITEM-2","issue":"1","issued":{"date-parts":[["2022","7","18"]]},"page":"11482","publisher":"Springer Berlin Heidelberg","title":"The impact of dynamic capabilities on SME performance during COVID-19","type":"article-journal","volume":"2018"},"uris":["http://www.mendeley.com/documents/?uuid=a6794bab-f252-46a3-8e62-ecbd672b19b3","http://www.mendeley.com/documents/?uuid=1449dbde-85ad-478b-8a5c-6d9844d29b28","http://www.mendeley.com/documents/?uuid=1f827ea8-45a9-441d-a281-9194ad6f926e"]},{"id":"ITEM-3","itemData":{"DOI":"10.1177/0266242620986763","ISSN":"17412870","abstract":"It is well documented that the self-employed experience higher levels of happiness than waged employees even when their incomes are lower. Given the UK government’s asymmetric treatment of waged workers and the self-employed, we use a unique Covid-19 period data set which covers the months leading up to the March lockdown and the months just after to assess three aspects of the Covid-19 crisis on the self-employed: hours of work reductions, the associated income reductions and the effects of both on subjective well-being. Our findings show the large and disproportionate reductions in hours and income for the self-employed directly contributed to a deterioration in their levels of subjective well-being compared to waged workers. It appears that their resilience was broken when faced with the reality of dealing with rare events, particularly when the UK welfare support response was asymmetric and favouring waged employees.","author":[{"dropping-particle":"","family":"Yue","given":"Wei","non-dropping-particle":"","parse-names":false,"suffix":""},{"dropping-particle":"","family":"Cowling","given":"Marc","non-dropping-particle":"","parse-names":false,"suffix":""}],"container-title":"International Small Business Journal: Researching Entrepreneurship","id":"ITEM-3","issue":"2","issued":{"date-parts":[["2021"]]},"page":"93-108","title":"The Covid-19 lockdown in the United Kingdom and subjective well-being: Have the self-employed suffered more due to hours and income reductions?","type":"article-journal","volume":"39"},"uris":["http://www.mendeley.com/documents/?uuid=72c80b3a-29c1-4cba-81fc-71657a96e42d"]},{"id":"ITEM-4","itemData":{"DOI":"10.1177/02662426211033270","ISSN":"17412870","abstract":"COVID-19 wreaked havoc on public health and the global economy. Small and medium-sized enterprises (SMEs) were hit especially hard. In this research note, we test the ability of dynamic capabilities (DCs) to predict SME performance during the pandemic. Based on our analysis of data from a survey conducted in the United States, we find that DCs meaningfully predicted both operational levels and revenue. Furthermore, while the empirical literature suggests that SME size is positively related to DC efficacy, we found that this effect was reversed during COVID-19, as the positive link between DCs and performance was stronger for smaller SMEs.","author":[{"dropping-particle":"","family":"Clampit","given":"Jack A.","non-dropping-particle":"","parse-names":false,"suffix":""},{"dropping-particle":"","family":"Lorenz","given":"Melanie P.","non-dropping-particle":"","parse-names":false,"suffix":""},{"dropping-particle":"","family":"Gamble","given":"John E.","non-dropping-particle":"","parse-names":false,"suffix":""},{"dropping-particle":"","family":"Lee","given":"Jim","non-dropping-particle":"","parse-names":false,"suffix":""}],"container-title":"International Small Business Journal: Researching Entrepreneurship","id":"ITEM-4","issue":"3","issued":{"date-parts":[["2021"]]},"page":"403 –419","title":"Performance stability among small and medium-sized enterprises during COVID-19: A test of the efficacy of dynamic capabilities","type":"article-journal","volume":"40"},"uris":["http://www.mendeley.com/documents/?uuid=91c45b80-89c5-4e6b-aaea-066b44b12e58"]}],"mendeley":{"formattedCitation":"(Clampit et al., 2021; Cowling et al., 2022; Dejardin et al., 2022; Yue and Cowling, 2021)","plainTextFormattedCitation":"(Clampit et al., 2021; Cowling et al., 2022; Dejardin et al., 2022; Yue and Cowling, 2021)","previouslyFormattedCitation":"(Clampit et al., 2021; Cowling et al., 2022; Dejardin et al., 2022; Yue and Cowling, 2021)"},"properties":{"noteIndex":0},"schema":"https://github.com/citation-style-language/schema/raw/master/csl-citation.json"}</w:instrText>
      </w:r>
      <w:r w:rsidR="00DF17FF" w:rsidRPr="001C2C36">
        <w:rPr>
          <w:rFonts w:cs="Times New Roman"/>
          <w:szCs w:val="24"/>
        </w:rPr>
        <w:fldChar w:fldCharType="separate"/>
      </w:r>
      <w:r w:rsidR="00DF17FF" w:rsidRPr="001C2C36">
        <w:rPr>
          <w:rFonts w:cs="Times New Roman"/>
          <w:noProof/>
          <w:szCs w:val="24"/>
        </w:rPr>
        <w:t>(Clampit et al., 2021; Cowling et al., 2022; Dejardin et al., 2022; Yue and Cowling, 2021)</w:t>
      </w:r>
      <w:r w:rsidR="00DF17FF" w:rsidRPr="001C2C36">
        <w:rPr>
          <w:rFonts w:cs="Times New Roman"/>
          <w:szCs w:val="24"/>
        </w:rPr>
        <w:fldChar w:fldCharType="end"/>
      </w:r>
      <w:r w:rsidR="00E975C0" w:rsidRPr="001C2C36">
        <w:rPr>
          <w:rFonts w:cs="Times New Roman"/>
          <w:szCs w:val="24"/>
        </w:rPr>
        <w:t xml:space="preserve">. We also </w:t>
      </w:r>
      <w:r w:rsidR="00705636" w:rsidRPr="001C2C36">
        <w:rPr>
          <w:rFonts w:cs="Times New Roman"/>
          <w:szCs w:val="24"/>
        </w:rPr>
        <w:t xml:space="preserve">find </w:t>
      </w:r>
      <w:r w:rsidR="003201D3" w:rsidRPr="001C2C36">
        <w:rPr>
          <w:rFonts w:cs="Times New Roman"/>
          <w:szCs w:val="24"/>
        </w:rPr>
        <w:t>that DCs positively im</w:t>
      </w:r>
      <w:r w:rsidR="002061BA" w:rsidRPr="001C2C36">
        <w:rPr>
          <w:rFonts w:cs="Times New Roman"/>
          <w:szCs w:val="24"/>
        </w:rPr>
        <w:t xml:space="preserve">pact employment after the early </w:t>
      </w:r>
      <w:r w:rsidR="003235B9" w:rsidRPr="001C2C36">
        <w:rPr>
          <w:rFonts w:cs="Times New Roman"/>
        </w:rPr>
        <w:t>stages of the Covid-19 pandemic</w:t>
      </w:r>
      <w:r w:rsidR="005A48D7" w:rsidRPr="001C2C36">
        <w:rPr>
          <w:rFonts w:cs="Times New Roman"/>
        </w:rPr>
        <w:t xml:space="preserve">, further </w:t>
      </w:r>
      <w:r w:rsidR="00C8691E" w:rsidRPr="001C2C36">
        <w:rPr>
          <w:rFonts w:cs="Times New Roman"/>
        </w:rPr>
        <w:t xml:space="preserve">supplementing insights </w:t>
      </w:r>
      <w:r w:rsidR="006F1F84" w:rsidRPr="001C2C36">
        <w:rPr>
          <w:rFonts w:cs="Times New Roman"/>
        </w:rPr>
        <w:t>from previous studies that used other</w:t>
      </w:r>
      <w:r w:rsidR="00C8691E" w:rsidRPr="001C2C36">
        <w:rPr>
          <w:rFonts w:cs="Times New Roman"/>
        </w:rPr>
        <w:t xml:space="preserve"> performance </w:t>
      </w:r>
      <w:r w:rsidR="006F1F84" w:rsidRPr="001C2C36">
        <w:rPr>
          <w:rFonts w:cs="Times New Roman"/>
        </w:rPr>
        <w:t xml:space="preserve">indicators </w:t>
      </w:r>
      <w:r w:rsidR="006F1F84" w:rsidRPr="001C2C36">
        <w:rPr>
          <w:rFonts w:cs="Times New Roman"/>
        </w:rPr>
        <w:fldChar w:fldCharType="begin" w:fldLock="1"/>
      </w:r>
      <w:r w:rsidR="00CA5E1B" w:rsidRPr="001C2C36">
        <w:rPr>
          <w:rFonts w:cs="Times New Roman"/>
        </w:rPr>
        <w:instrText>ADDIN CSL_CITATION {"citationItems":[{"id":"ITEM-1","itemData":{"DOI":"10.1007/s11846-022-00569-x","ISBN":"1184602200569","ISSN":"1863-6683","abstract":"This paper addresses the debate on the ability/inability of SMEs to balance social, environmental and economic objectives by integrating insights from the dynamic capabilities literature. Using unique survey data from 297 Dutch SMEs, we propose that integrative dynamic capabilities simultaneously drive all three pillars of sustainability in SMEs.","author":[{"dropping-particle":"","family":"Dejardin","given":"Marcus","non-dropping-particle":"","parse-names":false,"suffix":""},{"dropping-particle":"","family":"Raposo","given":"Mario L.","non-dropping-particle":"","parse-names":false,"suffix":""},{"dropping-particle":"","family":"Ferreira","given":"João J.","non-dropping-particle":"","parse-names":false,"suffix":""},{"dropping-particle":"","family":"Fernandes","given":"Cristina I.","non-dropping-particle":"","parse-names":false,"suffix":""},{"dropping-particle":"","family":"Veiga","given":"Pedro M.","non-dropping-particle":"","parse-names":false,"suffix":""},{"dropping-particle":"","family":"Farinha","given":"Luís","non-dropping-particle":"","parse-names":false,"suffix":""}],"container-title":"Review of Managerial Science","id":"ITEM-1","issue":"1","issued":{"date-parts":[["2022","7","18"]]},"page":"11482","publisher":"Springer Berlin Heidelberg","title":"The impact of dynamic capabilities on SME performance during COVID-19","type":"article-journal","volume":"2018"},"uris":["http://www.mendeley.com/documents/?uuid=a6794bab-f252-46a3-8e62-ecbd672b19b3","http://www.mendeley.com/documents/?uuid=1449dbde-85ad-478b-8a5c-6d9844d29b28","http://www.mendeley.com/documents/?uuid=e4d87ab1-9a9b-4209-9b1c-bd8bf2d5b79d"]},{"id":"ITEM-2","itemData":{"DOI":"10.1177/02662426211033270","ISSN":"17412870","abstract":"COVID-19 wreaked havoc on public health and the global economy. Small and medium-sized enterprises (SMEs) were hit especially hard. In this research note, we test the ability of dynamic capabilities (DCs) to predict SME performance during the pandemic. Based on our analysis of data from a survey conducted in the United States, we find that DCs meaningfully predicted both operational levels and revenue. Furthermore, while the empirical literature suggests that SME size is positively related to DC efficacy, we found that this effect was reversed during COVID-19, as the positive link between DCs and performance was stronger for smaller SMEs.","author":[{"dropping-particle":"","family":"Clampit","given":"Jack A.","non-dropping-particle":"","parse-names":false,"suffix":""},{"dropping-particle":"","family":"Lorenz","given":"Melanie P.","non-dropping-particle":"","parse-names":false,"suffix":""},{"dropping-particle":"","family":"Gamble","given":"John E.","non-dropping-particle":"","parse-names":false,"suffix":""},{"dropping-particle":"","family":"Lee","given":"Jim","non-dropping-particle":"","parse-names":false,"suffix":""}],"container-title":"International Small Business Journal: Researching Entrepreneurship","id":"ITEM-2","issue":"3","issued":{"date-parts":[["2021"]]},"page":"403 –419","title":"Performance stability among small and medium-sized enterprises during COVID-19: A test of the efficacy of dynamic capabilities","type":"article-journal","volume":"40"},"uris":["http://www.mendeley.com/documents/?uuid=91c45b80-89c5-4e6b-aaea-066b44b12e58"]},{"id":"ITEM-3","itemData":{"DOI":"10.1111/joms.12213","ISSN":"14676486","abstract":"We move the dynamic capabilities view (DCV) forward in two important ways by meta-analysing prior empirical studies. First, we evaluate the two core theoretical tenets of the DCV: (1) Dynamic capabilities are positively related to performance, and (2) this relationship is stronger in industries with higher levels of technological dynamism. We find support for the former (rc = 0.296) but not for the latter, though results suggest the existence of moderators. Second, we theorize and demonstrate empirically that higher-order dynamic capabilities are more strongly related to performance than lower-order dynamic capabilities, lower-order dynamic capabilities partially mediate the relationship between higher-order dynamic capabilities and performance, and dynamic capabilities contribute more to performance in developing economies than in developed economies. These findings illustrate how the nature of the dynamic capability and the economic context in which it is utilized shape its value, thus offering a more nuanced conceptualization of the dynamic capabilities-performance relationship.","author":[{"dropping-particle":"","family":"Fainshmidt","given":"Stav","non-dropping-particle":"","parse-names":false,"suffix":""},{"dropping-particle":"","family":"Pezeshkan","given":"Amir","non-dropping-particle":"","parse-names":false,"suffix":""},{"dropping-particle":"","family":"Lance Frazier","given":"M.","non-dropping-particle":"","parse-names":false,"suffix":""},{"dropping-particle":"","family":"Nair","given":"Anil","non-dropping-particle":"","parse-names":false,"suffix":""},{"dropping-particle":"","family":"Markowski","given":"Edward","non-dropping-particle":"","parse-names":false,"suffix":""}],"container-title":"Journal of Management Studies","id":"ITEM-3","issue":"8","issued":{"date-parts":[["2016"]]},"page":"1348-1380","title":"Dynamic Capabilities and Organizational Performance: A Meta-Analytic Evaluation and Extension","type":"article-journal","volume":"53"},"uris":["http://www.mendeley.com/documents/?uuid=e968b60b-618a-4081-bd31-09f367b66b9d"]},{"id":"ITEM-4","itemData":{"DOI":"10.1080/13032917.2021.1969960","ISSN":"1303-2917","abstract":"The aim of this research is to explore the positive effect of dynamic capabilities on firm performance in Spanish hotels to further expand the ongoing knowledge of management strategies in a dynamic environment. It also embraces novel issues by linking uncertain changes with the current literature on the COVID-19 crisis. This study also emphasizes the mediation effect of innovation capability as a key hotel strategy in today’s world. The final sample is composed of 212 hotels in Spain. The results reveal a positive and significant influence of dynamic capabilities on hotel performance, which is mediated by innovation capability (partial mediation effect). Both theoretical and practical implication of this research can help navigate the economic consequences of the COVID-19 pandemic.","author":[{"dropping-particle":"","family":"Marco-Lajara","given":"Bartolomé","non-dropping-particle":"","parse-names":false,"suffix":""},{"dropping-particle":"","family":"Ruiz-Fernández","given":"Lorena","non-dropping-particle":"","parse-names":false,"suffix":""},{"dropping-particle":"","family":"Seva-Larrosa","given":"Pedro","non-dropping-particle":"","parse-names":false,"suffix":""},{"dropping-particle":"","family":"Sánchez-García","given":"Eduardo","non-dropping-particle":"","parse-names":false,"suffix":""}],"container-title":"Anatolia","id":"ITEM-4","issued":{"date-parts":[["2021","8","26"]]},"publisher":"Routledge","title":"Hotel strategies in times of COVID-19: a dynamic capabilities approach","type":"article-journal"},"uris":["http://www.mendeley.com/documents/?uuid=7ed69180-28b8-41b8-908e-20cf14ba3db7"]}],"mendeley":{"formattedCitation":"(Clampit et al., 2021; Dejardin et al., 2022; Fainshmidt et al., 2016; Marco-Lajara et al., 2021)","plainTextFormattedCitation":"(Clampit et al., 2021; Dejardin et al., 2022; Fainshmidt et al., 2016; Marco-Lajara et al., 2021)","previouslyFormattedCitation":"(Clampit et al., 2021; Dejardin et al., 2022; Fainshmidt et al., 2016; Marco-Lajara et al., 2021)"},"properties":{"noteIndex":0},"schema":"https://github.com/citation-style-language/schema/raw/master/csl-citation.json"}</w:instrText>
      </w:r>
      <w:r w:rsidR="006F1F84" w:rsidRPr="001C2C36">
        <w:rPr>
          <w:rFonts w:cs="Times New Roman"/>
        </w:rPr>
        <w:fldChar w:fldCharType="separate"/>
      </w:r>
      <w:r w:rsidR="006F1F84" w:rsidRPr="001C2C36">
        <w:rPr>
          <w:rFonts w:cs="Times New Roman"/>
          <w:noProof/>
        </w:rPr>
        <w:t>(Clampit et al., 2021; Dejardin et al., 2022; Fainshmidt et al., 2016; Marco-Lajara et al., 2021)</w:t>
      </w:r>
      <w:r w:rsidR="006F1F84" w:rsidRPr="001C2C36">
        <w:rPr>
          <w:rFonts w:cs="Times New Roman"/>
        </w:rPr>
        <w:fldChar w:fldCharType="end"/>
      </w:r>
      <w:r w:rsidR="007031BF" w:rsidRPr="001C2C36">
        <w:rPr>
          <w:rFonts w:cs="Times New Roman"/>
        </w:rPr>
        <w:t>.</w:t>
      </w:r>
      <w:r w:rsidR="003248BC" w:rsidRPr="001C2C36">
        <w:rPr>
          <w:rFonts w:cs="Times New Roman"/>
          <w:szCs w:val="24"/>
        </w:rPr>
        <w:t xml:space="preserve"> </w:t>
      </w:r>
      <w:r w:rsidR="00147EC3" w:rsidRPr="001C2C36">
        <w:rPr>
          <w:rFonts w:cs="Times New Roman"/>
          <w:szCs w:val="24"/>
        </w:rPr>
        <w:t>Most importantly</w:t>
      </w:r>
      <w:r w:rsidR="00362C33" w:rsidRPr="001C2C36">
        <w:rPr>
          <w:rFonts w:cs="Times New Roman"/>
          <w:szCs w:val="24"/>
        </w:rPr>
        <w:t>,</w:t>
      </w:r>
      <w:r w:rsidR="00A54CE2" w:rsidRPr="001C2C36">
        <w:rPr>
          <w:rFonts w:cs="Times New Roman"/>
          <w:szCs w:val="24"/>
        </w:rPr>
        <w:t xml:space="preserve"> we find </w:t>
      </w:r>
      <w:r w:rsidR="00C17A16" w:rsidRPr="001C2C36">
        <w:rPr>
          <w:rFonts w:cs="Times New Roman"/>
          <w:szCs w:val="24"/>
        </w:rPr>
        <w:t xml:space="preserve">that </w:t>
      </w:r>
      <w:r w:rsidR="0091377B" w:rsidRPr="001C2C36">
        <w:rPr>
          <w:rFonts w:cs="Times New Roman"/>
        </w:rPr>
        <w:t xml:space="preserve">government support </w:t>
      </w:r>
      <w:r w:rsidR="00C72795" w:rsidRPr="001C2C36">
        <w:rPr>
          <w:rFonts w:cs="Times New Roman"/>
        </w:rPr>
        <w:t xml:space="preserve">negatively </w:t>
      </w:r>
      <w:r w:rsidR="0091377B" w:rsidRPr="001C2C36">
        <w:rPr>
          <w:rFonts w:cs="Times New Roman"/>
        </w:rPr>
        <w:t xml:space="preserve">moderates </w:t>
      </w:r>
      <w:r w:rsidR="00E06AE1" w:rsidRPr="001C2C36">
        <w:rPr>
          <w:rFonts w:cs="Times New Roman"/>
        </w:rPr>
        <w:t>the</w:t>
      </w:r>
      <w:r w:rsidR="0091377B" w:rsidRPr="001C2C36">
        <w:rPr>
          <w:rFonts w:cs="Times New Roman"/>
        </w:rPr>
        <w:t xml:space="preserve"> link between dynamic capabilities and employment</w:t>
      </w:r>
      <w:r w:rsidR="00C110B1" w:rsidRPr="001C2C36">
        <w:rPr>
          <w:rFonts w:cs="Times New Roman"/>
        </w:rPr>
        <w:t xml:space="preserve"> growth aspirations</w:t>
      </w:r>
      <w:r w:rsidR="00362C33" w:rsidRPr="001C2C36">
        <w:rPr>
          <w:rFonts w:cs="Times New Roman"/>
        </w:rPr>
        <w:t>, further extending the DC theory</w:t>
      </w:r>
      <w:r w:rsidR="00102237" w:rsidRPr="001C2C36">
        <w:rPr>
          <w:rFonts w:cs="Times New Roman"/>
        </w:rPr>
        <w:t xml:space="preserve">. We </w:t>
      </w:r>
      <w:r w:rsidR="00ED51D6" w:rsidRPr="001C2C36">
        <w:rPr>
          <w:rFonts w:cs="Times New Roman"/>
        </w:rPr>
        <w:t xml:space="preserve">suggest that this </w:t>
      </w:r>
      <w:r w:rsidR="002846E0" w:rsidRPr="001C2C36">
        <w:rPr>
          <w:rFonts w:cs="Times New Roman"/>
        </w:rPr>
        <w:t>relationship</w:t>
      </w:r>
      <w:r w:rsidR="00ED51D6" w:rsidRPr="001C2C36">
        <w:rPr>
          <w:rFonts w:cs="Times New Roman"/>
        </w:rPr>
        <w:t xml:space="preserve"> is likely </w:t>
      </w:r>
      <w:r w:rsidR="00405D97" w:rsidRPr="001C2C36">
        <w:rPr>
          <w:rFonts w:cs="Times New Roman"/>
        </w:rPr>
        <w:t xml:space="preserve">to be an </w:t>
      </w:r>
      <w:r w:rsidR="00405D97" w:rsidRPr="001C2C36">
        <w:rPr>
          <w:rFonts w:cs="Times New Roman"/>
        </w:rPr>
        <w:lastRenderedPageBreak/>
        <w:t>effect of</w:t>
      </w:r>
      <w:r w:rsidR="009E21E5" w:rsidRPr="001C2C36">
        <w:rPr>
          <w:rFonts w:cs="Times New Roman"/>
        </w:rPr>
        <w:t xml:space="preserve"> poorly designed Covid-19 support instruments subsidising</w:t>
      </w:r>
      <w:r w:rsidR="002846E0" w:rsidRPr="001C2C36">
        <w:rPr>
          <w:rFonts w:cs="Times New Roman"/>
        </w:rPr>
        <w:t xml:space="preserve"> </w:t>
      </w:r>
      <w:r w:rsidR="00736013" w:rsidRPr="001C2C36">
        <w:rPr>
          <w:rFonts w:cs="Times New Roman"/>
        </w:rPr>
        <w:t xml:space="preserve">less </w:t>
      </w:r>
      <w:r w:rsidR="00D36DBC" w:rsidRPr="001C2C36">
        <w:rPr>
          <w:rFonts w:cs="Times New Roman"/>
        </w:rPr>
        <w:t xml:space="preserve">viable </w:t>
      </w:r>
      <w:r w:rsidR="009E21E5" w:rsidRPr="001C2C36">
        <w:rPr>
          <w:rFonts w:cs="Times New Roman"/>
        </w:rPr>
        <w:t>SMEs</w:t>
      </w:r>
      <w:r w:rsidR="00D36DBC" w:rsidRPr="001C2C36">
        <w:rPr>
          <w:rFonts w:cs="Times New Roman"/>
        </w:rPr>
        <w:t xml:space="preserve"> </w:t>
      </w:r>
      <w:r w:rsidR="00740DC1" w:rsidRPr="001C2C36">
        <w:rPr>
          <w:rFonts w:cs="Times New Roman"/>
        </w:rPr>
        <w:t>and</w:t>
      </w:r>
      <w:r w:rsidR="00E6565F" w:rsidRPr="001C2C36">
        <w:rPr>
          <w:rFonts w:cs="Times New Roman"/>
        </w:rPr>
        <w:t>,</w:t>
      </w:r>
      <w:r w:rsidR="00152E35" w:rsidRPr="001C2C36">
        <w:rPr>
          <w:rFonts w:cs="Times New Roman"/>
        </w:rPr>
        <w:t xml:space="preserve"> in this way</w:t>
      </w:r>
      <w:r w:rsidR="00E6565F" w:rsidRPr="001C2C36">
        <w:rPr>
          <w:rFonts w:cs="Times New Roman"/>
        </w:rPr>
        <w:t>,</w:t>
      </w:r>
      <w:r w:rsidR="009E21E5" w:rsidRPr="001C2C36">
        <w:rPr>
          <w:rFonts w:cs="Times New Roman"/>
        </w:rPr>
        <w:t xml:space="preserve"> contributing to</w:t>
      </w:r>
      <w:r w:rsidR="00FD2312" w:rsidRPr="001C2C36">
        <w:rPr>
          <w:rFonts w:cs="Times New Roman"/>
        </w:rPr>
        <w:t xml:space="preserve"> </w:t>
      </w:r>
      <w:r w:rsidR="00FB4F45" w:rsidRPr="001C2C36">
        <w:rPr>
          <w:rFonts w:cs="Times New Roman"/>
        </w:rPr>
        <w:t xml:space="preserve">the shift </w:t>
      </w:r>
      <w:r w:rsidR="00D9087F" w:rsidRPr="001C2C36">
        <w:rPr>
          <w:rFonts w:cs="Times New Roman"/>
        </w:rPr>
        <w:t xml:space="preserve">away from </w:t>
      </w:r>
      <w:r w:rsidR="00FA1798" w:rsidRPr="001C2C36">
        <w:rPr>
          <w:rFonts w:cs="Times New Roman"/>
        </w:rPr>
        <w:t xml:space="preserve">effectively employing DCs </w:t>
      </w:r>
      <w:r w:rsidR="00FB4F45" w:rsidRPr="001C2C36">
        <w:rPr>
          <w:rFonts w:cs="Times New Roman"/>
        </w:rPr>
        <w:t xml:space="preserve">towards </w:t>
      </w:r>
      <w:r w:rsidR="009E21E5" w:rsidRPr="001C2C36">
        <w:rPr>
          <w:rFonts w:cs="Times New Roman"/>
          <w:szCs w:val="24"/>
        </w:rPr>
        <w:t>alternative</w:t>
      </w:r>
      <w:r w:rsidR="00932E83" w:rsidRPr="001C2C36">
        <w:rPr>
          <w:rFonts w:cs="Times New Roman"/>
          <w:szCs w:val="24"/>
        </w:rPr>
        <w:t>s</w:t>
      </w:r>
      <w:r w:rsidR="00FA1798" w:rsidRPr="001C2C36">
        <w:rPr>
          <w:rFonts w:cs="Times New Roman"/>
          <w:szCs w:val="24"/>
        </w:rPr>
        <w:t xml:space="preserve">, including political </w:t>
      </w:r>
      <w:r w:rsidR="00A016D9" w:rsidRPr="001C2C36">
        <w:rPr>
          <w:rFonts w:cs="Times New Roman"/>
          <w:szCs w:val="24"/>
        </w:rPr>
        <w:t>management</w:t>
      </w:r>
      <w:r w:rsidR="00FA1798" w:rsidRPr="001C2C36">
        <w:rPr>
          <w:rFonts w:cs="Times New Roman"/>
          <w:szCs w:val="24"/>
        </w:rPr>
        <w:t xml:space="preserve"> capabilities</w:t>
      </w:r>
      <w:r w:rsidR="006B626D" w:rsidRPr="001C2C36">
        <w:rPr>
          <w:rFonts w:cs="Times New Roman"/>
        </w:rPr>
        <w:t>.</w:t>
      </w:r>
      <w:r w:rsidR="007764D1" w:rsidRPr="001C2C36">
        <w:rPr>
          <w:rFonts w:cs="Times New Roman"/>
        </w:rPr>
        <w:t xml:space="preserve"> </w:t>
      </w:r>
    </w:p>
    <w:p w14:paraId="6F403DD7" w14:textId="0CF9B713" w:rsidR="00A24741" w:rsidRPr="001C2C36" w:rsidRDefault="00A24741" w:rsidP="00A24741">
      <w:pPr>
        <w:pStyle w:val="Heading2"/>
        <w:rPr>
          <w:rFonts w:ascii="Times New Roman" w:hAnsi="Times New Roman" w:cs="Times New Roman"/>
        </w:rPr>
      </w:pPr>
      <w:r w:rsidRPr="001C2C36">
        <w:rPr>
          <w:rFonts w:ascii="Times New Roman" w:hAnsi="Times New Roman" w:cs="Times New Roman"/>
        </w:rPr>
        <w:t>Limitations</w:t>
      </w:r>
      <w:r w:rsidR="00805458" w:rsidRPr="001C2C36">
        <w:rPr>
          <w:rFonts w:ascii="Times New Roman" w:hAnsi="Times New Roman" w:cs="Times New Roman"/>
        </w:rPr>
        <w:t xml:space="preserve"> and future research</w:t>
      </w:r>
    </w:p>
    <w:p w14:paraId="4B565F90" w14:textId="38CEFF39" w:rsidR="00A31D38" w:rsidRPr="001C2C36" w:rsidRDefault="00A016D9" w:rsidP="00A546F0">
      <w:pPr>
        <w:rPr>
          <w:rFonts w:cs="Times New Roman"/>
          <w:szCs w:val="24"/>
        </w:rPr>
      </w:pPr>
      <w:r w:rsidRPr="001C2C36">
        <w:rPr>
          <w:rFonts w:cs="Times New Roman"/>
        </w:rPr>
        <w:t xml:space="preserve">Future studies </w:t>
      </w:r>
      <w:r w:rsidR="000B0327" w:rsidRPr="001C2C36">
        <w:rPr>
          <w:rFonts w:cs="Times New Roman"/>
        </w:rPr>
        <w:t xml:space="preserve">could </w:t>
      </w:r>
      <w:r w:rsidR="00E6565F" w:rsidRPr="001C2C36">
        <w:rPr>
          <w:rFonts w:cs="Times New Roman"/>
        </w:rPr>
        <w:t>empirically</w:t>
      </w:r>
      <w:r w:rsidR="0023422D" w:rsidRPr="001C2C36">
        <w:rPr>
          <w:rFonts w:cs="Times New Roman"/>
        </w:rPr>
        <w:t xml:space="preserve"> explore </w:t>
      </w:r>
      <w:r w:rsidR="00BF25FC" w:rsidRPr="001C2C36">
        <w:rPr>
          <w:rFonts w:cs="Times New Roman"/>
        </w:rPr>
        <w:t>the a</w:t>
      </w:r>
      <w:r w:rsidR="009933B0" w:rsidRPr="001C2C36">
        <w:rPr>
          <w:rFonts w:cs="Times New Roman"/>
        </w:rPr>
        <w:t>ven</w:t>
      </w:r>
      <w:r w:rsidR="00BF25FC" w:rsidRPr="001C2C36">
        <w:rPr>
          <w:rFonts w:cs="Times New Roman"/>
        </w:rPr>
        <w:t>ues for this</w:t>
      </w:r>
      <w:r w:rsidR="0023422D" w:rsidRPr="001C2C36">
        <w:rPr>
          <w:rFonts w:cs="Times New Roman"/>
        </w:rPr>
        <w:t xml:space="preserve"> </w:t>
      </w:r>
      <w:r w:rsidR="005C031E" w:rsidRPr="001C2C36">
        <w:rPr>
          <w:rFonts w:cs="Times New Roman"/>
        </w:rPr>
        <w:t xml:space="preserve">negative </w:t>
      </w:r>
      <w:r w:rsidR="00EE53FF" w:rsidRPr="001C2C36">
        <w:rPr>
          <w:rFonts w:cs="Times New Roman"/>
        </w:rPr>
        <w:t xml:space="preserve">relationship. </w:t>
      </w:r>
      <w:r w:rsidR="00FE2C64" w:rsidRPr="001C2C36">
        <w:rPr>
          <w:rFonts w:cs="Times New Roman"/>
          <w:szCs w:val="24"/>
        </w:rPr>
        <w:t xml:space="preserve">A more qualitative study could better inform us of the reasons behind the negative longer-term impact of government assistance on the effectiveness of DCs. The wider literature also highlights a lack of understanding </w:t>
      </w:r>
      <w:r w:rsidR="006A3B05" w:rsidRPr="001C2C36">
        <w:rPr>
          <w:rFonts w:cs="Times New Roman"/>
          <w:szCs w:val="24"/>
        </w:rPr>
        <w:t>of</w:t>
      </w:r>
      <w:r w:rsidR="00FE2C64" w:rsidRPr="001C2C36">
        <w:rPr>
          <w:rFonts w:cs="Times New Roman"/>
          <w:szCs w:val="24"/>
        </w:rPr>
        <w:t xml:space="preserve"> the mechanisms by which DCs lead to performance outcomes during the pandemic </w:t>
      </w:r>
      <w:r w:rsidR="00FE2C64" w:rsidRPr="001C2C36">
        <w:rPr>
          <w:rFonts w:cs="Times New Roman"/>
          <w:szCs w:val="24"/>
        </w:rPr>
        <w:fldChar w:fldCharType="begin" w:fldLock="1"/>
      </w:r>
      <w:r w:rsidR="00AB3E71" w:rsidRPr="001C2C36">
        <w:rPr>
          <w:rFonts w:cs="Times New Roman"/>
          <w:szCs w:val="24"/>
        </w:rPr>
        <w:instrText>ADDIN CSL_CITATION {"citationItems":[{"id":"ITEM-1","itemData":{"DOI":"10.1016/j.indmarman.2022.04.009","ISSN":"00198501","abstract":"Building the resilience capacity of businesses is important for economic, social and community recovery during the COVID-19 pandemic, yet organizational resilience is under-examined in the marketing literature. Crises and disasters can significantly impact small and medium enterprises (SMEs), affecting their ability to mitigate, respond and recover. Social capital (SC) is a key resource that can be mobilized by SMEs to tap the resources embedded in internal and external relationships to respond to disruptions, yet the mechanism through which SC facilitates organizational resilience is not clear. Using middle-range theorizing, we propose dynamic capabilities (DC) as the key sensing, seizing and reconfiguration resources that transform SC into organizational resilience. The results from a sample of SMEs (n = 419) in Australia and New Zealand demonstrate that internal SC has a positive effect on external SC (customer-focused). Only internal SC has a direct effect on organizational resilience. DC partially and fully mediates the relationship between internal and external SC and organizational resilience respectively. Implications for theory and practice are offered.","author":[{"dropping-particle":"","family":"Ozanne","given":"Lucie K.","non-dropping-particle":"","parse-names":false,"suffix":""},{"dropping-particle":"","family":"Chowdhury","given":"Mesbahuddin","non-dropping-particle":"","parse-names":false,"suffix":""},{"dropping-particle":"","family":"Prayag","given":"Girish","non-dropping-particle":"","parse-names":false,"suffix":""},{"dropping-particle":"","family":"Mollenkopf","given":"Diane A.","non-dropping-particle":"","parse-names":false,"suffix":""}],"container-title":"Industrial Marketing Management","id":"ITEM-1","issued":{"date-parts":[["2022"]]},"page":"116-135","title":"SMEs navigating COVID-19: The influence of social capital and dynamic capabilities on organizational resilience","type":"article-journal","volume":"104"},"uris":["http://www.mendeley.com/documents/?uuid=6eba759e-ddcb-42a7-9248-53bfe015df89","http://www.mendeley.com/documents/?uuid=33218c3f-0826-4c24-a546-0638d7276e56"]}],"mendeley":{"formattedCitation":"(Ozanne et al., 2022)","plainTextFormattedCitation":"(Ozanne et al., 2022)","previouslyFormattedCitation":"(Ozanne et al., 2022)"},"properties":{"noteIndex":0},"schema":"https://github.com/citation-style-language/schema/raw/master/csl-citation.json"}</w:instrText>
      </w:r>
      <w:r w:rsidR="00FE2C64" w:rsidRPr="001C2C36">
        <w:rPr>
          <w:rFonts w:cs="Times New Roman"/>
          <w:szCs w:val="24"/>
        </w:rPr>
        <w:fldChar w:fldCharType="separate"/>
      </w:r>
      <w:r w:rsidR="00FE2C64" w:rsidRPr="001C2C36">
        <w:rPr>
          <w:rFonts w:cs="Times New Roman"/>
          <w:noProof/>
          <w:szCs w:val="24"/>
        </w:rPr>
        <w:t>(Ozanne et al., 2022)</w:t>
      </w:r>
      <w:r w:rsidR="00FE2C64" w:rsidRPr="001C2C36">
        <w:rPr>
          <w:rFonts w:cs="Times New Roman"/>
          <w:szCs w:val="24"/>
        </w:rPr>
        <w:fldChar w:fldCharType="end"/>
      </w:r>
      <w:r w:rsidR="00FE2C64" w:rsidRPr="001C2C36">
        <w:rPr>
          <w:rFonts w:cs="Times New Roman"/>
          <w:szCs w:val="24"/>
        </w:rPr>
        <w:t xml:space="preserve">. Although we contribute to this understanding, future studies could consider the role of additional </w:t>
      </w:r>
      <w:r w:rsidR="00AB1A4D" w:rsidRPr="001C2C36">
        <w:rPr>
          <w:rFonts w:cs="Times New Roman"/>
          <w:szCs w:val="24"/>
        </w:rPr>
        <w:t>constructions</w:t>
      </w:r>
      <w:r w:rsidR="0022518D" w:rsidRPr="001C2C36">
        <w:rPr>
          <w:rFonts w:cs="Times New Roman"/>
          <w:szCs w:val="24"/>
        </w:rPr>
        <w:t xml:space="preserve">, such as </w:t>
      </w:r>
      <w:r w:rsidR="00CC6AC8" w:rsidRPr="001C2C36">
        <w:rPr>
          <w:rFonts w:cs="Times New Roman"/>
          <w:szCs w:val="24"/>
        </w:rPr>
        <w:t>SME size differentials</w:t>
      </w:r>
      <w:r w:rsidR="003264B8" w:rsidRPr="001C2C36">
        <w:rPr>
          <w:rFonts w:cs="Times New Roman"/>
          <w:szCs w:val="24"/>
        </w:rPr>
        <w:t xml:space="preserve"> and more detailed time effects</w:t>
      </w:r>
      <w:r w:rsidR="00CC6AC8" w:rsidRPr="001C2C36">
        <w:rPr>
          <w:rFonts w:cs="Times New Roman"/>
          <w:szCs w:val="24"/>
        </w:rPr>
        <w:t>,</w:t>
      </w:r>
      <w:r w:rsidR="00FE2C64" w:rsidRPr="001C2C36">
        <w:rPr>
          <w:rFonts w:cs="Times New Roman"/>
          <w:szCs w:val="24"/>
        </w:rPr>
        <w:t xml:space="preserve"> alongside government support.</w:t>
      </w:r>
      <w:r w:rsidR="00A546F0" w:rsidRPr="001C2C36">
        <w:rPr>
          <w:rFonts w:cs="Times New Roman"/>
          <w:szCs w:val="24"/>
        </w:rPr>
        <w:t xml:space="preserve"> </w:t>
      </w:r>
    </w:p>
    <w:p w14:paraId="0C65DDF1" w14:textId="0A7520E2" w:rsidR="00431AAA" w:rsidRPr="001C2C36" w:rsidRDefault="7565E83D" w:rsidP="2932DC5C">
      <w:pPr>
        <w:rPr>
          <w:rFonts w:cs="Times New Roman"/>
        </w:rPr>
      </w:pPr>
      <w:r w:rsidRPr="001C2C36">
        <w:rPr>
          <w:rFonts w:cs="Times New Roman"/>
        </w:rPr>
        <w:t>Although the large-scale microdata brought many benefits to our analysis, including representative sample size, the usage of this secondary quantitative data also has inherent limitations.</w:t>
      </w:r>
      <w:r w:rsidR="102D5660" w:rsidRPr="001C2C36">
        <w:rPr>
          <w:rFonts w:cs="Times New Roman"/>
        </w:rPr>
        <w:t xml:space="preserve"> </w:t>
      </w:r>
      <w:r w:rsidR="627B977F" w:rsidRPr="001C2C36">
        <w:rPr>
          <w:rFonts w:cs="Times New Roman"/>
        </w:rPr>
        <w:t>Firstly, o</w:t>
      </w:r>
      <w:r w:rsidR="2FD60400" w:rsidRPr="001C2C36">
        <w:rPr>
          <w:rFonts w:cs="Times New Roman"/>
        </w:rPr>
        <w:t xml:space="preserve">ur dependent variable </w:t>
      </w:r>
      <w:r w:rsidR="336BB7A9" w:rsidRPr="001C2C36">
        <w:rPr>
          <w:rFonts w:cs="Times New Roman"/>
        </w:rPr>
        <w:t>covers</w:t>
      </w:r>
      <w:r w:rsidR="1F22DAE2" w:rsidRPr="001C2C36">
        <w:rPr>
          <w:rFonts w:cs="Times New Roman"/>
        </w:rPr>
        <w:t xml:space="preserve"> employment changes between </w:t>
      </w:r>
      <w:r w:rsidR="336BB7A9" w:rsidRPr="001C2C36">
        <w:rPr>
          <w:rFonts w:cs="Times New Roman"/>
        </w:rPr>
        <w:t>September/October 2020</w:t>
      </w:r>
      <w:r w:rsidR="1F22DAE2" w:rsidRPr="001C2C36">
        <w:rPr>
          <w:rFonts w:cs="Times New Roman"/>
        </w:rPr>
        <w:t xml:space="preserve"> and 12 months prior</w:t>
      </w:r>
      <w:r w:rsidR="336BB7A9" w:rsidRPr="001C2C36">
        <w:rPr>
          <w:rFonts w:cs="Times New Roman"/>
        </w:rPr>
        <w:t xml:space="preserve">, </w:t>
      </w:r>
      <w:r w:rsidR="5366C21B" w:rsidRPr="001C2C36">
        <w:rPr>
          <w:rFonts w:cs="Times New Roman"/>
        </w:rPr>
        <w:t>including</w:t>
      </w:r>
      <w:r w:rsidR="336BB7A9" w:rsidRPr="001C2C36">
        <w:rPr>
          <w:rFonts w:cs="Times New Roman"/>
        </w:rPr>
        <w:t xml:space="preserve"> </w:t>
      </w:r>
      <w:r w:rsidR="5FF6EDFD" w:rsidRPr="001C2C36">
        <w:rPr>
          <w:rFonts w:cs="Times New Roman"/>
        </w:rPr>
        <w:t xml:space="preserve">some employment </w:t>
      </w:r>
      <w:r w:rsidR="7E9677E7" w:rsidRPr="001C2C36">
        <w:rPr>
          <w:rFonts w:cs="Times New Roman"/>
        </w:rPr>
        <w:t>movement</w:t>
      </w:r>
      <w:r w:rsidR="5FF6EDFD" w:rsidRPr="001C2C36">
        <w:rPr>
          <w:rFonts w:cs="Times New Roman"/>
        </w:rPr>
        <w:t xml:space="preserve"> </w:t>
      </w:r>
      <w:r w:rsidR="6575D484" w:rsidRPr="001C2C36">
        <w:rPr>
          <w:rFonts w:cs="Times New Roman"/>
        </w:rPr>
        <w:t>before</w:t>
      </w:r>
      <w:r w:rsidR="5FF6EDFD" w:rsidRPr="001C2C36">
        <w:rPr>
          <w:rFonts w:cs="Times New Roman"/>
        </w:rPr>
        <w:t xml:space="preserve"> the Covid-19 pandemic.</w:t>
      </w:r>
      <w:r w:rsidR="2BB2C2C6" w:rsidRPr="001C2C36">
        <w:rPr>
          <w:rFonts w:cs="Times New Roman"/>
        </w:rPr>
        <w:t xml:space="preserve"> </w:t>
      </w:r>
      <w:r w:rsidR="721F23FC" w:rsidRPr="001C2C36">
        <w:rPr>
          <w:rFonts w:cs="Times New Roman"/>
        </w:rPr>
        <w:t>However, t</w:t>
      </w:r>
      <w:r w:rsidR="7705A2EB" w:rsidRPr="001C2C36">
        <w:rPr>
          <w:rFonts w:cs="Times New Roman"/>
        </w:rPr>
        <w:t>his limitation</w:t>
      </w:r>
      <w:r w:rsidR="721F23FC" w:rsidRPr="001C2C36">
        <w:rPr>
          <w:rFonts w:cs="Times New Roman"/>
        </w:rPr>
        <w:t>,</w:t>
      </w:r>
      <w:r w:rsidR="7705A2EB" w:rsidRPr="001C2C36">
        <w:rPr>
          <w:rFonts w:cs="Times New Roman"/>
        </w:rPr>
        <w:t xml:space="preserve"> to some extent</w:t>
      </w:r>
      <w:r w:rsidR="721F23FC" w:rsidRPr="001C2C36">
        <w:rPr>
          <w:rFonts w:cs="Times New Roman"/>
        </w:rPr>
        <w:t>,</w:t>
      </w:r>
      <w:r w:rsidR="7705A2EB" w:rsidRPr="001C2C36">
        <w:rPr>
          <w:rFonts w:cs="Times New Roman"/>
        </w:rPr>
        <w:t xml:space="preserve"> </w:t>
      </w:r>
      <w:r w:rsidR="721F23FC" w:rsidRPr="001C2C36">
        <w:rPr>
          <w:rFonts w:cs="Times New Roman"/>
        </w:rPr>
        <w:t>is lessened once we consider</w:t>
      </w:r>
      <w:r w:rsidR="17C04086" w:rsidRPr="001C2C36">
        <w:rPr>
          <w:rFonts w:cs="Times New Roman"/>
        </w:rPr>
        <w:t xml:space="preserve"> </w:t>
      </w:r>
      <w:r w:rsidR="721F23FC" w:rsidRPr="001C2C36">
        <w:rPr>
          <w:rFonts w:cs="Times New Roman"/>
        </w:rPr>
        <w:t>that looking at a change over 12 months allows us to control</w:t>
      </w:r>
      <w:r w:rsidR="508E6CFF" w:rsidRPr="001C2C36">
        <w:rPr>
          <w:rFonts w:cs="Times New Roman"/>
        </w:rPr>
        <w:t xml:space="preserve"> </w:t>
      </w:r>
      <w:r w:rsidR="2A01EA72" w:rsidRPr="001C2C36">
        <w:rPr>
          <w:rFonts w:cs="Times New Roman"/>
        </w:rPr>
        <w:t xml:space="preserve">for </w:t>
      </w:r>
      <w:r w:rsidR="307815D4" w:rsidRPr="001C2C36">
        <w:rPr>
          <w:rFonts w:cs="Times New Roman"/>
        </w:rPr>
        <w:t>seasonal changes in employment</w:t>
      </w:r>
      <w:r w:rsidR="23C0180C" w:rsidRPr="001C2C36">
        <w:rPr>
          <w:rFonts w:cs="Times New Roman"/>
        </w:rPr>
        <w:t>.</w:t>
      </w:r>
      <w:r w:rsidR="58E2E10F" w:rsidRPr="001C2C36">
        <w:rPr>
          <w:rFonts w:cs="Times New Roman"/>
        </w:rPr>
        <w:t xml:space="preserve"> T</w:t>
      </w:r>
      <w:r w:rsidR="3FCE71E0" w:rsidRPr="001C2C36">
        <w:rPr>
          <w:rFonts w:cs="Times New Roman"/>
        </w:rPr>
        <w:t>he magnitude of Covid-19 and its associated restrictions are</w:t>
      </w:r>
      <w:r w:rsidR="58E2E10F" w:rsidRPr="001C2C36">
        <w:rPr>
          <w:rFonts w:cs="Times New Roman"/>
        </w:rPr>
        <w:t xml:space="preserve"> also</w:t>
      </w:r>
      <w:r w:rsidR="3FCE71E0" w:rsidRPr="001C2C36">
        <w:rPr>
          <w:rFonts w:cs="Times New Roman"/>
        </w:rPr>
        <w:t xml:space="preserve"> likely to be the primary driver of employment change in that period, which we </w:t>
      </w:r>
      <w:r w:rsidR="3CBB61B2" w:rsidRPr="001C2C36">
        <w:rPr>
          <w:rFonts w:cs="Times New Roman"/>
        </w:rPr>
        <w:t xml:space="preserve">also </w:t>
      </w:r>
      <w:r w:rsidR="56BF9EA6" w:rsidRPr="001C2C36">
        <w:rPr>
          <w:rFonts w:cs="Times New Roman"/>
        </w:rPr>
        <w:t>observe</w:t>
      </w:r>
      <w:r w:rsidR="3CBB61B2" w:rsidRPr="001C2C36">
        <w:rPr>
          <w:rFonts w:cs="Times New Roman"/>
        </w:rPr>
        <w:t xml:space="preserve"> t</w:t>
      </w:r>
      <w:r w:rsidR="6D0CBE9D" w:rsidRPr="001C2C36">
        <w:rPr>
          <w:rFonts w:cs="Times New Roman"/>
        </w:rPr>
        <w:t>hrough sensitivity analyses</w:t>
      </w:r>
      <w:r w:rsidR="59D9537B" w:rsidRPr="001C2C36">
        <w:rPr>
          <w:rFonts w:cs="Times New Roman"/>
        </w:rPr>
        <w:t xml:space="preserve"> in Appendix 2 when</w:t>
      </w:r>
      <w:r w:rsidR="70D806C6" w:rsidRPr="001C2C36">
        <w:rPr>
          <w:rFonts w:cs="Times New Roman"/>
        </w:rPr>
        <w:t xml:space="preserve"> </w:t>
      </w:r>
      <w:r w:rsidR="136948D1" w:rsidRPr="001C2C36">
        <w:rPr>
          <w:rFonts w:cs="Times New Roman"/>
        </w:rPr>
        <w:t>adjust</w:t>
      </w:r>
      <w:r w:rsidR="70D806C6" w:rsidRPr="001C2C36">
        <w:rPr>
          <w:rFonts w:cs="Times New Roman"/>
        </w:rPr>
        <w:t>ments to</w:t>
      </w:r>
      <w:r w:rsidR="4342861C" w:rsidRPr="001C2C36">
        <w:rPr>
          <w:rFonts w:cs="Times New Roman"/>
        </w:rPr>
        <w:t xml:space="preserve"> the </w:t>
      </w:r>
      <w:r w:rsidR="6D0CBE9D" w:rsidRPr="001C2C36">
        <w:rPr>
          <w:rFonts w:cs="Times New Roman"/>
        </w:rPr>
        <w:t>data collection period</w:t>
      </w:r>
      <w:r w:rsidR="4342861C" w:rsidRPr="001C2C36">
        <w:rPr>
          <w:rFonts w:cs="Times New Roman"/>
        </w:rPr>
        <w:t xml:space="preserve"> </w:t>
      </w:r>
      <w:r w:rsidR="32106BED" w:rsidRPr="001C2C36">
        <w:rPr>
          <w:rFonts w:cs="Times New Roman"/>
        </w:rPr>
        <w:t xml:space="preserve">do not </w:t>
      </w:r>
      <w:r w:rsidR="61539EC2" w:rsidRPr="001C2C36">
        <w:rPr>
          <w:rFonts w:cs="Times New Roman"/>
        </w:rPr>
        <w:t>result in substantial change</w:t>
      </w:r>
      <w:r w:rsidR="00ED1AB6">
        <w:rPr>
          <w:rFonts w:cs="Times New Roman"/>
        </w:rPr>
        <w:t>s</w:t>
      </w:r>
      <w:r w:rsidR="3E69208F" w:rsidRPr="001C2C36">
        <w:rPr>
          <w:rFonts w:cs="Times New Roman"/>
        </w:rPr>
        <w:t xml:space="preserve"> in relationships</w:t>
      </w:r>
      <w:r w:rsidR="3BB6BEBD" w:rsidRPr="001C2C36">
        <w:rPr>
          <w:rFonts w:cs="Times New Roman"/>
        </w:rPr>
        <w:t xml:space="preserve">. </w:t>
      </w:r>
      <w:r w:rsidR="3248417C" w:rsidRPr="001C2C36">
        <w:rPr>
          <w:rFonts w:cs="Times New Roman"/>
        </w:rPr>
        <w:t xml:space="preserve">Whilst </w:t>
      </w:r>
      <w:r w:rsidR="1B2E3578" w:rsidRPr="001C2C36">
        <w:rPr>
          <w:rFonts w:cs="Times New Roman"/>
        </w:rPr>
        <w:t>another dependent variable</w:t>
      </w:r>
      <w:r w:rsidR="3248417C" w:rsidRPr="001C2C36">
        <w:rPr>
          <w:rFonts w:cs="Times New Roman"/>
        </w:rPr>
        <w:t xml:space="preserve"> focuses on employment growth aspirations. E</w:t>
      </w:r>
      <w:r w:rsidR="2072787F" w:rsidRPr="001C2C36">
        <w:rPr>
          <w:rFonts w:cs="Times New Roman"/>
        </w:rPr>
        <w:t>ven though</w:t>
      </w:r>
      <w:r w:rsidR="72A520DE" w:rsidRPr="001C2C36">
        <w:rPr>
          <w:rFonts w:cs="Times New Roman"/>
        </w:rPr>
        <w:t xml:space="preserve"> measures of growth aspirations are commonly applied in the wider entrepreneurship literature </w:t>
      </w:r>
      <w:r w:rsidR="00BA568F" w:rsidRPr="001C2C36">
        <w:rPr>
          <w:rFonts w:cs="Times New Roman"/>
        </w:rPr>
        <w:fldChar w:fldCharType="begin" w:fldLock="1"/>
      </w:r>
      <w:r w:rsidR="00BA568F" w:rsidRPr="001C2C36">
        <w:rPr>
          <w:rFonts w:cs="Times New Roman"/>
        </w:rPr>
        <w:instrText>ADDIN CSL_CITATION {"citationItems":[{"id":"ITEM-1","itemData":{"DOI":"10.1111/j.1540-6520.2012.00508.x","ISSN":"10422587","abstract":"This article investigates differences in growth intentions of men and women entrepreneurs. Using data from the U.S. Panel Study of Entrepreneurial Dynamics I and II, we test hypotheses informed by life course theory regarding the influence of career stage and family status on high growth intentions of men and women entrepreneurs. Results show that young men are especially likely to express high growth intentions, while mothers expressed high growth intentions more frequently than did other women. © 2012 Baylor University.","author":[{"dropping-particle":"","family":"Davis","given":"Amy E.","non-dropping-particle":"","parse-names":false,"suffix":""},{"dropping-particle":"","family":"Shaver","given":"Kelly G.","non-dropping-particle":"","parse-names":false,"suffix":""}],"container-title":"Entrepreneurship: Theory and Practice","id":"ITEM-1","issue":"3","issued":{"date-parts":[["2012"]]},"page":"495-512","title":"Understanding Gendered Variations in Business Growth Intentions Across the Life Course","type":"article-journal","volume":"36"},"uris":["http://www.mendeley.com/documents/?uuid=3357da9b-83fb-45a0-a56a-9b11f298ca92","http://www.mendeley.com/documents/?uuid=7617308e-6c61-419d-be56-72564460ae1e"]},{"id":"ITEM-2","itemData":{"DOI":"10.1007/s11187-020-00405-0","ISSN":"15730913","abstract":"Entrepreneurs start and grow their ventures in a widely varying set of institutional contexts. One differentiator is a country’s regulatory efficiency which encompasses the freedom to start and to run a business without excessive government interventions around registering, hiring, and firing employees, and price controls on currency. The efficiency of regulations varies substantially among countries and imposes additional costs and risks on entrepreneurs’ activities. We integrate insights from institutional theory and recent literature on gender and entrepreneurship to better understand how a country’s regulatory efficiency affects male and female entrepreneurs’ employment growth ambitions. We explore three aspects of regulatory efficiency: business freedom (e.g., to start, operate, and close a venture), labor freedom (e.g., laws around minimum wage, layoffs, severance), and monetary freedom (e.g., price stability) using data from over 47,000 entrepreneurs in 68 countries. We find that entrepreneurs’ growth ambitions are higher in countries with more efficient regulations, particularly those countries characterized by fewer labor law restrictions and greater monetary freedoms. These findings are further exacerbated by gender by such that, relative to their female counterparts, male entrepreneurs have significantly greater venture growth ambitions. Our paper contributes to the discussion on how formal institutions influence women and men entrepreneurs in distinct ways.","author":[{"dropping-particle":"","family":"Darnihamedani","given":"Pourya","non-dropping-particle":"","parse-names":false,"suffix":""},{"dropping-particle":"","family":"Terjesen","given":"Siri","non-dropping-particle":"","parse-names":false,"suffix":""}],"container-title":"Small Business Economics","id":"ITEM-2","issue":"1","issued":{"date-parts":[["2022"]]},"page":"185-204","title":"Male and female entrepreneurs’ employment growth ambitions: the contingent role of regulatory efficiency","type":"article-journal","volume":"58"},"uris":["http://www.mendeley.com/documents/?uuid=c0510708-5484-4b32-b4fb-dcece376aac1","http://www.mendeley.com/documents/?uuid=d0c7f209-8f08-421b-a55e-7d546f73a44a"]},{"id":"ITEM-3","itemData":{"DOI":"10.1177/0266242613516987","ISSN":"17412870","abstract":"This article explores the growth aspirations of owners and managers of young firms in a post-conflict economy by focusing on social capital. It treats social capital as a multidimensional, multilevel phenomenon, studying the effects of discussion network characteristics, trust in institutions, generalised trust in people and local ethnic pluralism. We argue that in a post-conflict country, ethnic pluralism is indicative of local norms of tolerance towards experimentation and risk taking which support growth aspirations. It also distinguishes between the aspirations of hired managers and owners-managers. The empirical counterpart and hypotheses testing rely on survey evidence drawn from young businesses in Bosnia and Herzegovina.","author":[{"dropping-particle":"","family":"Efendic","given":"Adnan","non-dropping-particle":"","parse-names":false,"suffix":""},{"dropping-particle":"","family":"Mickiewicz","given":"Tomasz","non-dropping-particle":"","parse-names":false,"suffix":""},{"dropping-particle":"","family":"Rebmann","given":"Anna","non-dropping-particle":"","parse-names":false,"suffix":""}],"container-title":"International Small Business Journal: Researching Entrepreneurship","id":"ITEM-3","issue":"5","issued":{"date-parts":[["2015"]]},"page":"537-561","title":"Growth aspirations and social capital: Young firms in a post-conflict environment","type":"article-journal","volume":"33"},"uris":["http://www.mendeley.com/documents/?uuid=2148aec0-e97b-4994-9316-3cf6eadbe503","http://www.mendeley.com/documents/?uuid=5b6baa6b-d672-482f-8c92-62a14a538b1b"]}],"mendeley":{"formattedCitation":"(Darnihamedani and Terjesen, 2022; Davis and Shaver, 2012; Efendic et al., 2015)","plainTextFormattedCitation":"(Darnihamedani and Terjesen, 2022; Davis and Shaver, 2012; Efendic et al., 2015)","previouslyFormattedCitation":"(Darnihamedani and Terjesen, 2022; Davis and Shaver, 2012; Efendic et al., 2015)"},"properties":{"noteIndex":0},"schema":"https://github.com/citation-style-language/schema/raw/master/csl-citation.json"}</w:instrText>
      </w:r>
      <w:r w:rsidR="00BA568F" w:rsidRPr="001C2C36">
        <w:rPr>
          <w:rFonts w:cs="Times New Roman"/>
        </w:rPr>
        <w:fldChar w:fldCharType="separate"/>
      </w:r>
      <w:r w:rsidR="72A520DE" w:rsidRPr="001C2C36">
        <w:rPr>
          <w:rFonts w:cs="Times New Roman"/>
          <w:noProof/>
        </w:rPr>
        <w:t>(Darnihamedani and Terjesen, 2022; Davis and Shaver, 2012; Efendic et al., 2015)</w:t>
      </w:r>
      <w:r w:rsidR="00BA568F" w:rsidRPr="001C2C36">
        <w:rPr>
          <w:rFonts w:cs="Times New Roman"/>
        </w:rPr>
        <w:fldChar w:fldCharType="end"/>
      </w:r>
      <w:r w:rsidR="72A520DE" w:rsidRPr="001C2C36">
        <w:rPr>
          <w:rFonts w:cs="Times New Roman"/>
        </w:rPr>
        <w:t xml:space="preserve">, it suffers from </w:t>
      </w:r>
      <w:r w:rsidR="4121E820" w:rsidRPr="001C2C36">
        <w:rPr>
          <w:rFonts w:cs="Times New Roman"/>
        </w:rPr>
        <w:t xml:space="preserve">relying on </w:t>
      </w:r>
      <w:r w:rsidR="25F2A73A" w:rsidRPr="001C2C36">
        <w:rPr>
          <w:rFonts w:cs="Times New Roman"/>
        </w:rPr>
        <w:t>the projection</w:t>
      </w:r>
      <w:r w:rsidR="6F6E76BA" w:rsidRPr="001C2C36">
        <w:rPr>
          <w:rFonts w:cs="Times New Roman"/>
        </w:rPr>
        <w:t>, which future studies</w:t>
      </w:r>
      <w:r w:rsidR="0226DF43" w:rsidRPr="001C2C36">
        <w:rPr>
          <w:rFonts w:cs="Times New Roman"/>
        </w:rPr>
        <w:t xml:space="preserve"> </w:t>
      </w:r>
      <w:r w:rsidR="0B0F3CA3" w:rsidRPr="001C2C36">
        <w:rPr>
          <w:rFonts w:cs="Times New Roman"/>
        </w:rPr>
        <w:t>could</w:t>
      </w:r>
      <w:r w:rsidR="6F6E76BA" w:rsidRPr="001C2C36">
        <w:rPr>
          <w:rFonts w:cs="Times New Roman"/>
        </w:rPr>
        <w:t xml:space="preserve"> test</w:t>
      </w:r>
      <w:r w:rsidR="25F2A73A" w:rsidRPr="001C2C36">
        <w:rPr>
          <w:rFonts w:cs="Times New Roman"/>
        </w:rPr>
        <w:t xml:space="preserve">. </w:t>
      </w:r>
      <w:r w:rsidRPr="001C2C36">
        <w:rPr>
          <w:rFonts w:cs="Times New Roman"/>
        </w:rPr>
        <w:t>The cross-sectional survey design</w:t>
      </w:r>
      <w:r w:rsidR="25F2A73A" w:rsidRPr="001C2C36">
        <w:rPr>
          <w:rFonts w:cs="Times New Roman"/>
        </w:rPr>
        <w:t xml:space="preserve"> also</w:t>
      </w:r>
      <w:r w:rsidRPr="001C2C36">
        <w:rPr>
          <w:rFonts w:cs="Times New Roman"/>
        </w:rPr>
        <w:t xml:space="preserve"> has its standard limitations, including measurement, </w:t>
      </w:r>
      <w:proofErr w:type="gramStart"/>
      <w:r w:rsidRPr="001C2C36">
        <w:rPr>
          <w:rFonts w:cs="Times New Roman"/>
        </w:rPr>
        <w:t>causality</w:t>
      </w:r>
      <w:proofErr w:type="gramEnd"/>
      <w:r w:rsidRPr="001C2C36">
        <w:rPr>
          <w:rFonts w:cs="Times New Roman"/>
        </w:rPr>
        <w:t xml:space="preserve"> and respondents’ interpretations of survey questions</w:t>
      </w:r>
      <w:r w:rsidR="35F49D17" w:rsidRPr="001C2C36">
        <w:rPr>
          <w:rFonts w:cs="Times New Roman"/>
        </w:rPr>
        <w:t>, which we at least partly mitigate through extensive sensitivity analyses, including various specifications and samples, as reported in Appendix 2</w:t>
      </w:r>
      <w:r w:rsidR="40A201E2" w:rsidRPr="001C2C36">
        <w:rPr>
          <w:rFonts w:cs="Times New Roman"/>
        </w:rPr>
        <w:t xml:space="preserve">. </w:t>
      </w:r>
    </w:p>
    <w:p w14:paraId="26F7FE35" w14:textId="4EA0EB82" w:rsidR="00CA100C" w:rsidRPr="001C2C36" w:rsidRDefault="6AC0671E" w:rsidP="2932DC5C">
      <w:pPr>
        <w:rPr>
          <w:rFonts w:cs="Times New Roman"/>
        </w:rPr>
      </w:pPr>
      <w:r w:rsidRPr="001C2C36">
        <w:rPr>
          <w:rFonts w:cs="Times New Roman"/>
        </w:rPr>
        <w:t xml:space="preserve">The ideal data would precisely capture historical monetary and non-monetary contributions towards the development of particular DCs up to Covid-19, in the notion of </w:t>
      </w:r>
      <w:proofErr w:type="spellStart"/>
      <w:r w:rsidRPr="001C2C36">
        <w:rPr>
          <w:rFonts w:cs="Times New Roman"/>
        </w:rPr>
        <w:t>Helfat</w:t>
      </w:r>
      <w:proofErr w:type="spellEnd"/>
      <w:r w:rsidRPr="001C2C36">
        <w:rPr>
          <w:rFonts w:cs="Times New Roman"/>
        </w:rPr>
        <w:t xml:space="preserve"> et al. </w:t>
      </w:r>
      <w:r w:rsidR="00CA100C" w:rsidRPr="001C2C36">
        <w:rPr>
          <w:rFonts w:cs="Times New Roman"/>
        </w:rPr>
        <w:fldChar w:fldCharType="begin" w:fldLock="1"/>
      </w:r>
      <w:r w:rsidR="00CA100C" w:rsidRPr="001C2C36">
        <w:rPr>
          <w:rFonts w:cs="Times New Roman"/>
        </w:rPr>
        <w:instrText>ADDIN CSL_CITATION {"citationItems":[{"id":"ITEM-1","itemData":{"ISBN":"1405182067","abstract":"Creating, adapting to, and exploiting change is inherently entrepreneurial. To survive and prosper under conditions of change, firms must develop the dynamic capabilities to create, extend, and modify the ways in which they operate. The capacity of an organization to create, extend, or modify its resource base is vital. Since the concept of dynamic capabilities was first introduced, much research has elaborated the initial idea. This important book by Constance Helfat and her team of leading scholars provides a timely focus on in-depth examples of corporate dynamic capabilities. Examining these in the different contexts of alliances, acquisitions, and management, the book gives students and researchers a succinct, up-to-date definition of dynamic capabilities and the strategic management theories around them.","author":[{"dropping-particle":"","family":"Helfat","given":"C E","non-dropping-particle":"","parse-names":false,"suffix":""},{"dropping-particle":"","family":"Finkelstein","given":"S","non-dropping-particle":"","parse-names":false,"suffix":""},{"dropping-particle":"","family":"Mitchell","given":"W","non-dropping-particle":"","parse-names":false,"suffix":""},{"dropping-particle":"","family":"Peteraf","given":"M","non-dropping-particle":"","parse-names":false,"suffix":""},{"dropping-particle":"","family":"Singh","given":"H","non-dropping-particle":"","parse-names":false,"suffix":""},{"dropping-particle":"","family":"Teece","given":"D J","non-dropping-particle":"","parse-names":false,"suffix":""},{"dropping-particle":"","family":"Winter","given":"Sidney G","non-dropping-particle":"","parse-names":false,"suffix":""}],"id":"ITEM-1","issued":{"date-parts":[["2007"]]},"number-of-pages":"147","publisher":"Blackwell Pub","publisher-place":"Malden","title":"Dynamic Capabilities: Understanding Strategic Change in Organizations","type":"book"},"suppress-author":1,"uris":["http://www.mendeley.com/documents/?uuid=078e8063-28fc-430b-afd3-7df0d27e9ee8","http://www.mendeley.com/documents/?uuid=bd4b356c-40bf-3a3a-a95c-677b14673ff3"]}],"mendeley":{"formattedCitation":"(2007)","plainTextFormattedCitation":"(2007)","previouslyFormattedCitation":"(2007)"},"properties":{"noteIndex":0},"schema":"https://github.com/citation-style-language/schema/raw/master/csl-citation.json"}</w:instrText>
      </w:r>
      <w:r w:rsidR="00CA100C" w:rsidRPr="001C2C36">
        <w:rPr>
          <w:rFonts w:cs="Times New Roman"/>
        </w:rPr>
        <w:fldChar w:fldCharType="separate"/>
      </w:r>
      <w:r w:rsidRPr="001C2C36">
        <w:rPr>
          <w:rFonts w:cs="Times New Roman"/>
          <w:noProof/>
        </w:rPr>
        <w:t>(2007)</w:t>
      </w:r>
      <w:r w:rsidR="00CA100C" w:rsidRPr="001C2C36">
        <w:rPr>
          <w:rFonts w:cs="Times New Roman"/>
        </w:rPr>
        <w:fldChar w:fldCharType="end"/>
      </w:r>
      <w:r w:rsidRPr="001C2C36">
        <w:rPr>
          <w:rFonts w:cs="Times New Roman"/>
        </w:rPr>
        <w:t>, to what extent and at what pace these then trigged the change during Covid-19 and how this change affected their outcomes during and post-Covid-19. More realistically, our study could be supplemented by a similar analysis of purpose-made surveys</w:t>
      </w:r>
      <w:r w:rsidR="123D552E" w:rsidRPr="001C2C36">
        <w:rPr>
          <w:rFonts w:cs="Times New Roman"/>
        </w:rPr>
        <w:t xml:space="preserve"> during other crises</w:t>
      </w:r>
      <w:r w:rsidRPr="001C2C36">
        <w:rPr>
          <w:rFonts w:cs="Times New Roman"/>
        </w:rPr>
        <w:t xml:space="preserve">, with alternative conceptualisations of </w:t>
      </w:r>
      <w:r w:rsidRPr="001C2C36">
        <w:rPr>
          <w:rFonts w:cs="Times New Roman"/>
        </w:rPr>
        <w:lastRenderedPageBreak/>
        <w:t>the DCs, for instance, through the adoption of a more gradual scale when estimating DCs, as explained by Teece et al. (2016)</w:t>
      </w:r>
      <w:r w:rsidR="6C640B73" w:rsidRPr="001C2C36">
        <w:rPr>
          <w:rFonts w:cs="Times New Roman"/>
        </w:rPr>
        <w:t xml:space="preserve">, and </w:t>
      </w:r>
      <w:r w:rsidR="0867B220" w:rsidRPr="001C2C36">
        <w:rPr>
          <w:rFonts w:cs="Times New Roman"/>
        </w:rPr>
        <w:t xml:space="preserve">data </w:t>
      </w:r>
      <w:r w:rsidR="6C640B73" w:rsidRPr="001C2C36">
        <w:rPr>
          <w:rFonts w:cs="Times New Roman"/>
        </w:rPr>
        <w:t>collections at different timeframes</w:t>
      </w:r>
      <w:r w:rsidRPr="001C2C36">
        <w:rPr>
          <w:rFonts w:cs="Times New Roman"/>
        </w:rPr>
        <w:t>.</w:t>
      </w:r>
    </w:p>
    <w:p w14:paraId="4F89C4D4" w14:textId="20996D93" w:rsidR="0031710D" w:rsidRPr="001C2C36" w:rsidRDefault="0031710D" w:rsidP="0031710D">
      <w:pPr>
        <w:pStyle w:val="Heading1"/>
        <w:rPr>
          <w:rFonts w:cs="Times New Roman"/>
          <w:szCs w:val="24"/>
        </w:rPr>
      </w:pPr>
      <w:r w:rsidRPr="001C2C36">
        <w:rPr>
          <w:rFonts w:cs="Times New Roman"/>
          <w:szCs w:val="24"/>
        </w:rPr>
        <w:t>References</w:t>
      </w:r>
    </w:p>
    <w:p w14:paraId="401C72E1" w14:textId="42F32A86" w:rsidR="003C18D8" w:rsidRPr="003C18D8" w:rsidRDefault="0031710D" w:rsidP="003C18D8">
      <w:pPr>
        <w:widowControl w:val="0"/>
        <w:autoSpaceDE w:val="0"/>
        <w:autoSpaceDN w:val="0"/>
        <w:adjustRightInd w:val="0"/>
        <w:spacing w:after="0"/>
        <w:ind w:left="480" w:hanging="480"/>
        <w:rPr>
          <w:rFonts w:cs="Times New Roman"/>
          <w:noProof/>
          <w:szCs w:val="24"/>
        </w:rPr>
      </w:pPr>
      <w:r w:rsidRPr="001C2C36">
        <w:rPr>
          <w:rFonts w:cs="Times New Roman"/>
          <w:szCs w:val="24"/>
        </w:rPr>
        <w:fldChar w:fldCharType="begin" w:fldLock="1"/>
      </w:r>
      <w:r w:rsidRPr="001C2C36">
        <w:rPr>
          <w:rFonts w:cs="Times New Roman"/>
          <w:szCs w:val="24"/>
        </w:rPr>
        <w:instrText xml:space="preserve">ADDIN Mendeley Bibliography CSL_BIBLIOGRAPHY </w:instrText>
      </w:r>
      <w:r w:rsidRPr="001C2C36">
        <w:rPr>
          <w:rFonts w:cs="Times New Roman"/>
          <w:szCs w:val="24"/>
        </w:rPr>
        <w:fldChar w:fldCharType="separate"/>
      </w:r>
      <w:r w:rsidR="003C18D8" w:rsidRPr="003C18D8">
        <w:rPr>
          <w:rFonts w:cs="Times New Roman"/>
          <w:noProof/>
          <w:szCs w:val="24"/>
        </w:rPr>
        <w:t xml:space="preserve">Acharya V V., Crosignani M, Eisert T, et al. (2020) </w:t>
      </w:r>
      <w:r w:rsidR="003C18D8" w:rsidRPr="003C18D8">
        <w:rPr>
          <w:rFonts w:cs="Times New Roman"/>
          <w:i/>
          <w:iCs/>
          <w:noProof/>
          <w:szCs w:val="24"/>
        </w:rPr>
        <w:t>Zombie Credit and (Dis-)Inflation: Evidence from Europe</w:t>
      </w:r>
      <w:r w:rsidR="003C18D8" w:rsidRPr="003C18D8">
        <w:rPr>
          <w:rFonts w:cs="Times New Roman"/>
          <w:noProof/>
          <w:szCs w:val="24"/>
        </w:rPr>
        <w:t xml:space="preserve">. </w:t>
      </w:r>
      <w:r w:rsidR="003C18D8" w:rsidRPr="003C18D8">
        <w:rPr>
          <w:rFonts w:cs="Times New Roman"/>
          <w:i/>
          <w:iCs/>
          <w:noProof/>
          <w:szCs w:val="24"/>
        </w:rPr>
        <w:t>NBER Working Paper No. w27158</w:t>
      </w:r>
      <w:r w:rsidR="003C18D8" w:rsidRPr="003C18D8">
        <w:rPr>
          <w:rFonts w:cs="Times New Roman"/>
          <w:noProof/>
          <w:szCs w:val="24"/>
        </w:rPr>
        <w:t>. DOI: 10.2139/ssrn.3760126.</w:t>
      </w:r>
    </w:p>
    <w:p w14:paraId="1E6FE94C"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Acharya V V., Crosignani M, Eisert T, et al. (2022) Zombie Lending: Theoretical, International, and Historical Perspectives. </w:t>
      </w:r>
      <w:r w:rsidRPr="003C18D8">
        <w:rPr>
          <w:rFonts w:cs="Times New Roman"/>
          <w:i/>
          <w:iCs/>
          <w:noProof/>
          <w:szCs w:val="24"/>
        </w:rPr>
        <w:t>Annual Review of Financial Economics</w:t>
      </w:r>
      <w:r w:rsidRPr="003C18D8">
        <w:rPr>
          <w:rFonts w:cs="Times New Roman"/>
          <w:noProof/>
          <w:szCs w:val="24"/>
        </w:rPr>
        <w:t xml:space="preserve"> 14(1): 21–38. DOI: 10.1146/annurev-financial-111620-114424.</w:t>
      </w:r>
    </w:p>
    <w:p w14:paraId="4655CDFE"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Albonico M, Mladenov Z and Sharma R (2020) How the COVID-19 crisis is affecting UK small and medium-size enterprises. Available at: https://www.mckinsey.com/~/media/McKinsey/Industries/Public and Social Sector/Our Insights/How the COVID 19 crisis is affecting UK small and medium size enterprises/How-the-COVID-19-crisis-is-affecting-UK-small-and-medium-size enterprises.pdf (accessed 2 September 2022).</w:t>
      </w:r>
    </w:p>
    <w:p w14:paraId="64CC6AC1"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Ali I, Arslan A, Chowdhury M, et al. (2022) Reimagining global food value chains through effective resilience to COVID-19 shocks and similar future events: A dynamic capability perspective. </w:t>
      </w:r>
      <w:r w:rsidRPr="003C18D8">
        <w:rPr>
          <w:rFonts w:cs="Times New Roman"/>
          <w:i/>
          <w:iCs/>
          <w:noProof/>
          <w:szCs w:val="24"/>
        </w:rPr>
        <w:t>Journal of Business Research</w:t>
      </w:r>
      <w:r w:rsidRPr="003C18D8">
        <w:rPr>
          <w:rFonts w:cs="Times New Roman"/>
          <w:noProof/>
          <w:szCs w:val="24"/>
        </w:rPr>
        <w:t xml:space="preserve"> 141: 1–12. DOI: 10.1016/j.jbusres.2021.12.006.</w:t>
      </w:r>
    </w:p>
    <w:p w14:paraId="11285405"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Andersen TCK, Aagaard A and Magnusson M (2022) Exploring business model innovation in SMEs in a digital context: Organizing search behaviours, experimentation and decision‐making. </w:t>
      </w:r>
      <w:r w:rsidRPr="003C18D8">
        <w:rPr>
          <w:rFonts w:cs="Times New Roman"/>
          <w:i/>
          <w:iCs/>
          <w:noProof/>
          <w:szCs w:val="24"/>
        </w:rPr>
        <w:t>Creativity and Innovation Management</w:t>
      </w:r>
      <w:r w:rsidRPr="003C18D8">
        <w:rPr>
          <w:rFonts w:cs="Times New Roman"/>
          <w:noProof/>
          <w:szCs w:val="24"/>
        </w:rPr>
        <w:t xml:space="preserve"> 31(1): 19–34. DOI: 10.1111/caim.12474.</w:t>
      </w:r>
    </w:p>
    <w:p w14:paraId="532BF87D"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Arend RJ (2014) Entrepreneurship and dynamic capabilities: How firm age and size affect the ‘capability enhancement-SME performance’ relationship. </w:t>
      </w:r>
      <w:r w:rsidRPr="003C18D8">
        <w:rPr>
          <w:rFonts w:cs="Times New Roman"/>
          <w:i/>
          <w:iCs/>
          <w:noProof/>
          <w:szCs w:val="24"/>
        </w:rPr>
        <w:t>Small Business Economics</w:t>
      </w:r>
      <w:r w:rsidRPr="003C18D8">
        <w:rPr>
          <w:rFonts w:cs="Times New Roman"/>
          <w:noProof/>
          <w:szCs w:val="24"/>
        </w:rPr>
        <w:t xml:space="preserve"> 42(1): 33–57. DOI: 10.1007/s11187-012-9461-9.</w:t>
      </w:r>
    </w:p>
    <w:p w14:paraId="58E8C7D9"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Arend RJ and Bromiley P (2009) Assessing the dynamic capabilities view: Spare change, everyone? </w:t>
      </w:r>
      <w:r w:rsidRPr="003C18D8">
        <w:rPr>
          <w:rFonts w:cs="Times New Roman"/>
          <w:i/>
          <w:iCs/>
          <w:noProof/>
          <w:szCs w:val="24"/>
        </w:rPr>
        <w:t>Strategic Organization</w:t>
      </w:r>
      <w:r w:rsidRPr="003C18D8">
        <w:rPr>
          <w:rFonts w:cs="Times New Roman"/>
          <w:noProof/>
          <w:szCs w:val="24"/>
        </w:rPr>
        <w:t xml:space="preserve"> 7(1): 75–90. DOI: 10.1177/1476127008100132.</w:t>
      </w:r>
    </w:p>
    <w:p w14:paraId="7547B402"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Baia E, Ferreira JJ and Rodrigues R (2020) Value and rareness of resources and capabilities as sources of competitive advantage and superior performance. </w:t>
      </w:r>
      <w:r w:rsidRPr="003C18D8">
        <w:rPr>
          <w:rFonts w:cs="Times New Roman"/>
          <w:i/>
          <w:iCs/>
          <w:noProof/>
          <w:szCs w:val="24"/>
        </w:rPr>
        <w:t>Knowledge Management Research and Practice</w:t>
      </w:r>
      <w:r w:rsidRPr="003C18D8">
        <w:rPr>
          <w:rFonts w:cs="Times New Roman"/>
          <w:noProof/>
          <w:szCs w:val="24"/>
        </w:rPr>
        <w:t xml:space="preserve"> 18(3). Taylor &amp; Francis: 249–262. DOI: 10.1080/14778238.2019.1599308.</w:t>
      </w:r>
    </w:p>
    <w:p w14:paraId="5AD1AB4F"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Balyuk T, Prabhala N, Puri M, et al. (2021) Small Bank Financing and Funding Hesitancy in a Crisis: Evidence from the Paycheck Protection Program. </w:t>
      </w:r>
      <w:r w:rsidRPr="003C18D8">
        <w:rPr>
          <w:rFonts w:cs="Times New Roman"/>
          <w:i/>
          <w:iCs/>
          <w:noProof/>
          <w:szCs w:val="24"/>
        </w:rPr>
        <w:t>NBER Working Paper No. w28114</w:t>
      </w:r>
      <w:r w:rsidRPr="003C18D8">
        <w:rPr>
          <w:rFonts w:cs="Times New Roman"/>
          <w:noProof/>
          <w:szCs w:val="24"/>
        </w:rPr>
        <w:t>. Available at: https://ssrn.com/abstract=3735682.</w:t>
      </w:r>
    </w:p>
    <w:p w14:paraId="38A5D5D5"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Barber S, Brown J and Ferguson D (2022) Coronavirus: lockdown laws. Available at: </w:t>
      </w:r>
      <w:r w:rsidRPr="003C18D8">
        <w:rPr>
          <w:rFonts w:cs="Times New Roman"/>
          <w:noProof/>
          <w:szCs w:val="24"/>
        </w:rPr>
        <w:lastRenderedPageBreak/>
        <w:t>https://researchbriefings.files.parliament.uk/documents/CBP-8875/CBP-8875.pdf.</w:t>
      </w:r>
    </w:p>
    <w:p w14:paraId="4D0927F1"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Barreto I (2010) Dynamic Capabilities: A review of past research and an agenda for the future. </w:t>
      </w:r>
      <w:r w:rsidRPr="003C18D8">
        <w:rPr>
          <w:rFonts w:cs="Times New Roman"/>
          <w:i/>
          <w:iCs/>
          <w:noProof/>
          <w:szCs w:val="24"/>
        </w:rPr>
        <w:t>Journal of Management</w:t>
      </w:r>
      <w:r w:rsidRPr="003C18D8">
        <w:rPr>
          <w:rFonts w:cs="Times New Roman"/>
          <w:noProof/>
          <w:szCs w:val="24"/>
        </w:rPr>
        <w:t xml:space="preserve"> 36(1): 256–280. DOI: 10.1177/0149206309350776.</w:t>
      </w:r>
    </w:p>
    <w:p w14:paraId="734E210A" w14:textId="787258D8"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Bartik AW, Bertrand M, Cullen Z, et al. (2020) How Are Small Businesses Adjusting to COVID-19? Early Evidence From a Survey. </w:t>
      </w:r>
      <w:r w:rsidRPr="003C18D8">
        <w:rPr>
          <w:rFonts w:cs="Times New Roman"/>
          <w:i/>
          <w:iCs/>
          <w:noProof/>
          <w:szCs w:val="24"/>
        </w:rPr>
        <w:t>NBER Working Paper No. w26989</w:t>
      </w:r>
      <w:r w:rsidRPr="003C18D8">
        <w:rPr>
          <w:rFonts w:cs="Times New Roman"/>
          <w:noProof/>
          <w:szCs w:val="24"/>
        </w:rPr>
        <w:t>. DOI: 10.2139/ssrn.3570896.</w:t>
      </w:r>
    </w:p>
    <w:p w14:paraId="17566A55" w14:textId="55C75D44"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Bartik AW, Cullen ZB, Glaeser EL, et al. (2020) The Targeting and Impact of Paycheck Protection Program Loans to Small Businesses. </w:t>
      </w:r>
      <w:r w:rsidRPr="003C18D8">
        <w:rPr>
          <w:rFonts w:cs="Times New Roman"/>
          <w:i/>
          <w:iCs/>
          <w:noProof/>
          <w:szCs w:val="24"/>
        </w:rPr>
        <w:t>National Bureau of Economic Research Working Paper Series No. 27623</w:t>
      </w:r>
      <w:r w:rsidRPr="003C18D8">
        <w:rPr>
          <w:rFonts w:cs="Times New Roman"/>
          <w:noProof/>
          <w:szCs w:val="24"/>
        </w:rPr>
        <w:t xml:space="preserve"> No. 27623. DOI: 10.3386/w27623.</w:t>
      </w:r>
    </w:p>
    <w:p w14:paraId="6939EF5B"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Battisti M and Deakins D (2017) The relationship between dynamic capabilities, the firm’s resource base and performance in a post-disaster environment. </w:t>
      </w:r>
      <w:r w:rsidRPr="003C18D8">
        <w:rPr>
          <w:rFonts w:cs="Times New Roman"/>
          <w:i/>
          <w:iCs/>
          <w:noProof/>
          <w:szCs w:val="24"/>
        </w:rPr>
        <w:t>International Small Business Journal: Researching Entrepreneurship</w:t>
      </w:r>
      <w:r w:rsidRPr="003C18D8">
        <w:rPr>
          <w:rFonts w:cs="Times New Roman"/>
          <w:noProof/>
          <w:szCs w:val="24"/>
        </w:rPr>
        <w:t xml:space="preserve"> 35(1): 78–98. DOI: 10.1177/0266242615611471.</w:t>
      </w:r>
    </w:p>
    <w:p w14:paraId="6EA063E7"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Belghitar Y, Moro A and Radić N (2022) When the rainy day is the worst hurricane ever: the effects of governmental policies on SMEs during COVID-19. </w:t>
      </w:r>
      <w:r w:rsidRPr="003C18D8">
        <w:rPr>
          <w:rFonts w:cs="Times New Roman"/>
          <w:i/>
          <w:iCs/>
          <w:noProof/>
          <w:szCs w:val="24"/>
        </w:rPr>
        <w:t>Small Business Economics</w:t>
      </w:r>
      <w:r w:rsidRPr="003C18D8">
        <w:rPr>
          <w:rFonts w:cs="Times New Roman"/>
          <w:noProof/>
          <w:szCs w:val="24"/>
        </w:rPr>
        <w:t xml:space="preserve"> 58(2): 943–961. DOI: 10.1007/s11187-021-00510-8.</w:t>
      </w:r>
    </w:p>
    <w:p w14:paraId="1A2579B3"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Belitski M, Guenther C, Kritikos AS, et al. (2022) Economic effects of the COVID-19 pandemic on entrepreneurship and small businesses. </w:t>
      </w:r>
      <w:r w:rsidRPr="003C18D8">
        <w:rPr>
          <w:rFonts w:cs="Times New Roman"/>
          <w:i/>
          <w:iCs/>
          <w:noProof/>
          <w:szCs w:val="24"/>
        </w:rPr>
        <w:t>Small Business Economics</w:t>
      </w:r>
      <w:r w:rsidRPr="003C18D8">
        <w:rPr>
          <w:rFonts w:cs="Times New Roman"/>
          <w:noProof/>
          <w:szCs w:val="24"/>
        </w:rPr>
        <w:t xml:space="preserve"> 58(2). Springer US: 593–609. DOI: 10.1007/s11187-021-00544-y.</w:t>
      </w:r>
    </w:p>
    <w:p w14:paraId="2ABA8758"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Biggs D, Hall CM and Stoeckl N (2012) The resilience of formal and informal tourism enterprises to disasters: Reef tourism in Phuket, Thailand. </w:t>
      </w:r>
      <w:r w:rsidRPr="003C18D8">
        <w:rPr>
          <w:rFonts w:cs="Times New Roman"/>
          <w:i/>
          <w:iCs/>
          <w:noProof/>
          <w:szCs w:val="24"/>
        </w:rPr>
        <w:t>Journal of Sustainable Tourism</w:t>
      </w:r>
      <w:r w:rsidRPr="003C18D8">
        <w:rPr>
          <w:rFonts w:cs="Times New Roman"/>
          <w:noProof/>
          <w:szCs w:val="24"/>
        </w:rPr>
        <w:t xml:space="preserve"> 20(5): 645–665. DOI: 10.1080/09669582.2011.630080.</w:t>
      </w:r>
    </w:p>
    <w:p w14:paraId="50E7011A"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Bingham CB, Heimeriks KH, Schijven M, et al. (2015) Concurrent learning: How firms develop multiple dynamic capabilities in parallel. </w:t>
      </w:r>
      <w:r w:rsidRPr="003C18D8">
        <w:rPr>
          <w:rFonts w:cs="Times New Roman"/>
          <w:i/>
          <w:iCs/>
          <w:noProof/>
          <w:szCs w:val="24"/>
        </w:rPr>
        <w:t>Strategic Management Journal</w:t>
      </w:r>
      <w:r w:rsidRPr="003C18D8">
        <w:rPr>
          <w:rFonts w:cs="Times New Roman"/>
          <w:noProof/>
          <w:szCs w:val="24"/>
        </w:rPr>
        <w:t xml:space="preserve"> 36(12): 1802–1825. DOI: 10.1002/smj.2347.</w:t>
      </w:r>
    </w:p>
    <w:p w14:paraId="49221CE2"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Björklund TA, Mikkonen M, Mattila P, et al. (2020) Expanding entrepreneurial solution spaces in times of crisis: Business model experimentation amongst packaged food and beverage ventures. </w:t>
      </w:r>
      <w:r w:rsidRPr="003C18D8">
        <w:rPr>
          <w:rFonts w:cs="Times New Roman"/>
          <w:i/>
          <w:iCs/>
          <w:noProof/>
          <w:szCs w:val="24"/>
        </w:rPr>
        <w:t>Journal of Business Venturing Insights</w:t>
      </w:r>
      <w:r w:rsidRPr="003C18D8">
        <w:rPr>
          <w:rFonts w:cs="Times New Roman"/>
          <w:noProof/>
          <w:szCs w:val="24"/>
        </w:rPr>
        <w:t xml:space="preserve"> 14: e00197. DOI: 10.1016/j.jbvi.2020.e00197.</w:t>
      </w:r>
    </w:p>
    <w:p w14:paraId="3CBAED28"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Breier M, Kallmuenzer A, Clauss T, et al. (2021) The role of business model innovation in the hospitality industry during the COVID-19 crisis. </w:t>
      </w:r>
      <w:r w:rsidRPr="003C18D8">
        <w:rPr>
          <w:rFonts w:cs="Times New Roman"/>
          <w:i/>
          <w:iCs/>
          <w:noProof/>
          <w:szCs w:val="24"/>
        </w:rPr>
        <w:t>International Journal of Hospitality Management</w:t>
      </w:r>
      <w:r w:rsidRPr="003C18D8">
        <w:rPr>
          <w:rFonts w:cs="Times New Roman"/>
          <w:noProof/>
          <w:szCs w:val="24"/>
        </w:rPr>
        <w:t xml:space="preserve"> 92: 102723. DOI: 10.1016/j.ijhm.2020.102723.</w:t>
      </w:r>
    </w:p>
    <w:p w14:paraId="6A28F650"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Brown J and Kirk-Wade E (2021) </w:t>
      </w:r>
      <w:r w:rsidRPr="003C18D8">
        <w:rPr>
          <w:rFonts w:cs="Times New Roman"/>
          <w:i/>
          <w:iCs/>
          <w:noProof/>
          <w:szCs w:val="24"/>
        </w:rPr>
        <w:t>Coronavirus: A history of English lockdown laws - House of Commons Library</w:t>
      </w:r>
      <w:r w:rsidRPr="003C18D8">
        <w:rPr>
          <w:rFonts w:cs="Times New Roman"/>
          <w:noProof/>
          <w:szCs w:val="24"/>
        </w:rPr>
        <w:t xml:space="preserve">. </w:t>
      </w:r>
      <w:r w:rsidRPr="003C18D8">
        <w:rPr>
          <w:rFonts w:cs="Times New Roman"/>
          <w:i/>
          <w:iCs/>
          <w:noProof/>
          <w:szCs w:val="24"/>
        </w:rPr>
        <w:t>UK Parliament</w:t>
      </w:r>
      <w:r w:rsidRPr="003C18D8">
        <w:rPr>
          <w:rFonts w:cs="Times New Roman"/>
          <w:noProof/>
          <w:szCs w:val="24"/>
        </w:rPr>
        <w:t>. Available at: https://commonslibrary.parliament.uk/research-briefings/cbp-9068/.</w:t>
      </w:r>
    </w:p>
    <w:p w14:paraId="407E52A6"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Brown R and Cowling M (2021) The geographical impact of the Covid-19 crisis on precautionary </w:t>
      </w:r>
      <w:r w:rsidRPr="003C18D8">
        <w:rPr>
          <w:rFonts w:cs="Times New Roman"/>
          <w:noProof/>
          <w:szCs w:val="24"/>
        </w:rPr>
        <w:lastRenderedPageBreak/>
        <w:t xml:space="preserve">savings, firm survival and jobs: Evidence from the United Kingdom’s 100 largest towns and cities. </w:t>
      </w:r>
      <w:r w:rsidRPr="003C18D8">
        <w:rPr>
          <w:rFonts w:cs="Times New Roman"/>
          <w:i/>
          <w:iCs/>
          <w:noProof/>
          <w:szCs w:val="24"/>
        </w:rPr>
        <w:t>International Small Business Journal: Researching Entrepreneurship</w:t>
      </w:r>
      <w:r w:rsidRPr="003C18D8">
        <w:rPr>
          <w:rFonts w:cs="Times New Roman"/>
          <w:noProof/>
          <w:szCs w:val="24"/>
        </w:rPr>
        <w:t xml:space="preserve"> 39(4): 319–329. DOI: 10.1177/0266242621989326.</w:t>
      </w:r>
    </w:p>
    <w:p w14:paraId="4935803F"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Brown R, Rocha A and Cowling M (2020) Financing entrepreneurship in times of crisis: Exploring the impact of COVID-19 on the market for entrepreneurial finance in the United Kingdom. </w:t>
      </w:r>
      <w:r w:rsidRPr="003C18D8">
        <w:rPr>
          <w:rFonts w:cs="Times New Roman"/>
          <w:i/>
          <w:iCs/>
          <w:noProof/>
          <w:szCs w:val="24"/>
        </w:rPr>
        <w:t>International Small Business Journal: Researching Entrepreneurship</w:t>
      </w:r>
      <w:r w:rsidRPr="003C18D8">
        <w:rPr>
          <w:rFonts w:cs="Times New Roman"/>
          <w:noProof/>
          <w:szCs w:val="24"/>
        </w:rPr>
        <w:t xml:space="preserve"> 38(5): 380–390. DOI: 10.1177/0266242620937464.</w:t>
      </w:r>
    </w:p>
    <w:p w14:paraId="2485D7D7"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Caballero RJ, Hoshi T and Kashyap AK (2008) Zombie Lending and Depressed Restructuring in Japan. </w:t>
      </w:r>
      <w:r w:rsidRPr="003C18D8">
        <w:rPr>
          <w:rFonts w:cs="Times New Roman"/>
          <w:i/>
          <w:iCs/>
          <w:noProof/>
          <w:szCs w:val="24"/>
        </w:rPr>
        <w:t>American Economic Review</w:t>
      </w:r>
      <w:r w:rsidRPr="003C18D8">
        <w:rPr>
          <w:rFonts w:cs="Times New Roman"/>
          <w:noProof/>
          <w:szCs w:val="24"/>
        </w:rPr>
        <w:t xml:space="preserve"> 98(5): 1943–1977. DOI: 10.1257/aer.98.5.1943.</w:t>
      </w:r>
    </w:p>
    <w:p w14:paraId="3DB61C9C"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Calabrese R, Cowling M and Liu W (2022) Understanding the Dynamics of UK Covid-19 SME Financing. </w:t>
      </w:r>
      <w:r w:rsidRPr="003C18D8">
        <w:rPr>
          <w:rFonts w:cs="Times New Roman"/>
          <w:i/>
          <w:iCs/>
          <w:noProof/>
          <w:szCs w:val="24"/>
        </w:rPr>
        <w:t>British Journal of Management</w:t>
      </w:r>
      <w:r w:rsidRPr="003C18D8">
        <w:rPr>
          <w:rFonts w:cs="Times New Roman"/>
          <w:noProof/>
          <w:szCs w:val="24"/>
        </w:rPr>
        <w:t xml:space="preserve"> 33(2): 657–677. DOI: 10.1111/1467-8551.12576.</w:t>
      </w:r>
    </w:p>
    <w:p w14:paraId="0E746DC8"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Clampit JA, Lorenz MP, Gamble JE, et al. (2021) Performance stability among small and medium-sized enterprises during COVID-19: A test of the efficacy of dynamic capabilities. </w:t>
      </w:r>
      <w:r w:rsidRPr="003C18D8">
        <w:rPr>
          <w:rFonts w:cs="Times New Roman"/>
          <w:i/>
          <w:iCs/>
          <w:noProof/>
          <w:szCs w:val="24"/>
        </w:rPr>
        <w:t>International Small Business Journal: Researching Entrepreneurship</w:t>
      </w:r>
      <w:r w:rsidRPr="003C18D8">
        <w:rPr>
          <w:rFonts w:cs="Times New Roman"/>
          <w:noProof/>
          <w:szCs w:val="24"/>
        </w:rPr>
        <w:t xml:space="preserve"> 40(3): 403 –419. DOI: 10.1177/02662426211033270.</w:t>
      </w:r>
    </w:p>
    <w:p w14:paraId="23A454B8"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Cowling M and Dvouletý O (2022) UK government-backed start-up loans: Tackling disadvantage and credit rationing of new entrepreneurs. </w:t>
      </w:r>
      <w:r w:rsidRPr="003C18D8">
        <w:rPr>
          <w:rFonts w:cs="Times New Roman"/>
          <w:i/>
          <w:iCs/>
          <w:noProof/>
          <w:szCs w:val="24"/>
        </w:rPr>
        <w:t>International Small Business Journal: Researching Entrepreneurship</w:t>
      </w:r>
      <w:r w:rsidRPr="003C18D8">
        <w:rPr>
          <w:rFonts w:cs="Times New Roman"/>
          <w:noProof/>
          <w:szCs w:val="24"/>
        </w:rPr>
        <w:t>. DOI: 10.1177/02662426221124733.</w:t>
      </w:r>
    </w:p>
    <w:p w14:paraId="7252E01F"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Cowling M, Brown R and Rocha A (2020) Did you save some cash for a rainy COVID-19 day? The crisis and SMEs. </w:t>
      </w:r>
      <w:r w:rsidRPr="003C18D8">
        <w:rPr>
          <w:rFonts w:cs="Times New Roman"/>
          <w:i/>
          <w:iCs/>
          <w:noProof/>
          <w:szCs w:val="24"/>
        </w:rPr>
        <w:t>International Small Business Journal: Researching Entrepreneurship</w:t>
      </w:r>
      <w:r w:rsidRPr="003C18D8">
        <w:rPr>
          <w:rFonts w:cs="Times New Roman"/>
          <w:noProof/>
          <w:szCs w:val="24"/>
        </w:rPr>
        <w:t xml:space="preserve"> 38(7): 593–604. DOI: 10.1177/0266242620945102.</w:t>
      </w:r>
    </w:p>
    <w:p w14:paraId="706CF7D3"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Cowling M, Wilson N, Nightingale P, et al. (2022) Predicting future default on the Covid-19 bounce back loan scheme: The £46.5 billion question. </w:t>
      </w:r>
      <w:r w:rsidRPr="003C18D8">
        <w:rPr>
          <w:rFonts w:cs="Times New Roman"/>
          <w:i/>
          <w:iCs/>
          <w:noProof/>
          <w:szCs w:val="24"/>
        </w:rPr>
        <w:t>International Small Business Journal: Researching Entrepreneurship</w:t>
      </w:r>
      <w:r w:rsidRPr="003C18D8">
        <w:rPr>
          <w:rFonts w:cs="Times New Roman"/>
          <w:noProof/>
          <w:szCs w:val="24"/>
        </w:rPr>
        <w:t xml:space="preserve"> 40(5): 650–666. DOI: 10.1177/02662426211058050.</w:t>
      </w:r>
    </w:p>
    <w:p w14:paraId="1F6C4F84"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Dannenberg P, Fuchs M, Riedler T, et al. (2020) Digital Transition by COVID-19 Pandemic? The German Food Online Retail. </w:t>
      </w:r>
      <w:r w:rsidRPr="003C18D8">
        <w:rPr>
          <w:rFonts w:cs="Times New Roman"/>
          <w:i/>
          <w:iCs/>
          <w:noProof/>
          <w:szCs w:val="24"/>
        </w:rPr>
        <w:t>Tijdschrift voor Economische en Sociale Geografie</w:t>
      </w:r>
      <w:r w:rsidRPr="003C18D8">
        <w:rPr>
          <w:rFonts w:cs="Times New Roman"/>
          <w:noProof/>
          <w:szCs w:val="24"/>
        </w:rPr>
        <w:t xml:space="preserve"> 111(3): 543–560. DOI: 10.1111/tesg.12453.</w:t>
      </w:r>
    </w:p>
    <w:p w14:paraId="19334A28"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Darnihamedani P and Terjesen S (2022) Male and female entrepreneurs’ employment growth ambitions: the contingent role of regulatory efficiency. </w:t>
      </w:r>
      <w:r w:rsidRPr="003C18D8">
        <w:rPr>
          <w:rFonts w:cs="Times New Roman"/>
          <w:i/>
          <w:iCs/>
          <w:noProof/>
          <w:szCs w:val="24"/>
        </w:rPr>
        <w:t>Small Business Economics</w:t>
      </w:r>
      <w:r w:rsidRPr="003C18D8">
        <w:rPr>
          <w:rFonts w:cs="Times New Roman"/>
          <w:noProof/>
          <w:szCs w:val="24"/>
        </w:rPr>
        <w:t xml:space="preserve"> 58(1): 185–204. DOI: 10.1007/s11187-020-00405-0.</w:t>
      </w:r>
    </w:p>
    <w:p w14:paraId="5FB093C8"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Davidsson P, Recker J and von Briel F (2021) COVID-19 as External Enabler of entrepreneurship practice and research. </w:t>
      </w:r>
      <w:r w:rsidRPr="003C18D8">
        <w:rPr>
          <w:rFonts w:cs="Times New Roman"/>
          <w:i/>
          <w:iCs/>
          <w:noProof/>
          <w:szCs w:val="24"/>
        </w:rPr>
        <w:t>BRQ Business Research Quarterly</w:t>
      </w:r>
      <w:r w:rsidRPr="003C18D8">
        <w:rPr>
          <w:rFonts w:cs="Times New Roman"/>
          <w:noProof/>
          <w:szCs w:val="24"/>
        </w:rPr>
        <w:t xml:space="preserve"> 24(3): 214–223. DOI: 10.1177/23409444211008902.</w:t>
      </w:r>
    </w:p>
    <w:p w14:paraId="142242CA"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Davis AE and Shaver KG (2012) Understanding Gendered Variations in Business Growth Intentions Across the Life Course. </w:t>
      </w:r>
      <w:r w:rsidRPr="003C18D8">
        <w:rPr>
          <w:rFonts w:cs="Times New Roman"/>
          <w:i/>
          <w:iCs/>
          <w:noProof/>
          <w:szCs w:val="24"/>
        </w:rPr>
        <w:t>Entrepreneurship: Theory and Practice</w:t>
      </w:r>
      <w:r w:rsidRPr="003C18D8">
        <w:rPr>
          <w:rFonts w:cs="Times New Roman"/>
          <w:noProof/>
          <w:szCs w:val="24"/>
        </w:rPr>
        <w:t xml:space="preserve"> 36(3): 495–512. </w:t>
      </w:r>
      <w:r w:rsidRPr="003C18D8">
        <w:rPr>
          <w:rFonts w:cs="Times New Roman"/>
          <w:noProof/>
          <w:szCs w:val="24"/>
        </w:rPr>
        <w:lastRenderedPageBreak/>
        <w:t>DOI: 10.1111/j.1540-6520.2012.00508.x.</w:t>
      </w:r>
    </w:p>
    <w:p w14:paraId="0168FEC7"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Dejardin M, Raposo ML, Ferreira JJ, et al. (2022) The impact of dynamic capabilities on SME performance during COVID-19. </w:t>
      </w:r>
      <w:r w:rsidRPr="003C18D8">
        <w:rPr>
          <w:rFonts w:cs="Times New Roman"/>
          <w:i/>
          <w:iCs/>
          <w:noProof/>
          <w:szCs w:val="24"/>
        </w:rPr>
        <w:t>Review of Managerial Science</w:t>
      </w:r>
      <w:r w:rsidRPr="003C18D8">
        <w:rPr>
          <w:rFonts w:cs="Times New Roman"/>
          <w:noProof/>
          <w:szCs w:val="24"/>
        </w:rPr>
        <w:t xml:space="preserve"> 2018(1). Springer Berlin Heidelberg: 11482. DOI: 10.1007/s11846-022-00569-x.</w:t>
      </w:r>
    </w:p>
    <w:p w14:paraId="3402BF08"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Dettmann LM, Adams S and Taylor G (2022) Investigating the prevalence of anxiety and depression during the first COVID-19 lockdown in the United Kingdom: Systematic review and meta-analyses. </w:t>
      </w:r>
      <w:r w:rsidRPr="003C18D8">
        <w:rPr>
          <w:rFonts w:cs="Times New Roman"/>
          <w:i/>
          <w:iCs/>
          <w:noProof/>
          <w:szCs w:val="24"/>
        </w:rPr>
        <w:t>British Journal of Clinical Psychology</w:t>
      </w:r>
      <w:r w:rsidRPr="003C18D8">
        <w:rPr>
          <w:rFonts w:cs="Times New Roman"/>
          <w:noProof/>
          <w:szCs w:val="24"/>
        </w:rPr>
        <w:t xml:space="preserve"> 61(3): 757–780. DOI: 10.1111/bjc.12360.</w:t>
      </w:r>
    </w:p>
    <w:p w14:paraId="68676C39"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Dhawan S (2020) Online Learning: A Panacea in the Time of COVID-19 Crisis. </w:t>
      </w:r>
      <w:r w:rsidRPr="003C18D8">
        <w:rPr>
          <w:rFonts w:cs="Times New Roman"/>
          <w:i/>
          <w:iCs/>
          <w:noProof/>
          <w:szCs w:val="24"/>
        </w:rPr>
        <w:t>Journal of Educational Technology Systems</w:t>
      </w:r>
      <w:r w:rsidRPr="003C18D8">
        <w:rPr>
          <w:rFonts w:cs="Times New Roman"/>
          <w:noProof/>
          <w:szCs w:val="24"/>
        </w:rPr>
        <w:t xml:space="preserve"> 49(1): 5–22. DOI: 10.1177/0047239520934018.</w:t>
      </w:r>
    </w:p>
    <w:p w14:paraId="62AFB5A3"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Doniger CL and Kay B (2021) Ten Days Late and Billions of Dollars Short: The Employment Effects of Delays in Paycheck Protection Program Financing. </w:t>
      </w:r>
      <w:r w:rsidRPr="003C18D8">
        <w:rPr>
          <w:rFonts w:cs="Times New Roman"/>
          <w:i/>
          <w:iCs/>
          <w:noProof/>
          <w:szCs w:val="24"/>
        </w:rPr>
        <w:t>Finance and Economics Discussion Series No. 2021-3</w:t>
      </w:r>
      <w:r w:rsidRPr="003C18D8">
        <w:rPr>
          <w:rFonts w:cs="Times New Roman"/>
          <w:noProof/>
          <w:szCs w:val="24"/>
        </w:rPr>
        <w:t>. DOI: http://dx.doi.org/10.17016/FEDS.2021.003.</w:t>
      </w:r>
    </w:p>
    <w:p w14:paraId="09D8182B"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Donthu N and Gustafsson A (2020) Effects of COVID-19 on business and research. </w:t>
      </w:r>
      <w:r w:rsidRPr="003C18D8">
        <w:rPr>
          <w:rFonts w:cs="Times New Roman"/>
          <w:i/>
          <w:iCs/>
          <w:noProof/>
          <w:szCs w:val="24"/>
        </w:rPr>
        <w:t>Journal of Business Research</w:t>
      </w:r>
      <w:r w:rsidRPr="003C18D8">
        <w:rPr>
          <w:rFonts w:cs="Times New Roman"/>
          <w:noProof/>
          <w:szCs w:val="24"/>
        </w:rPr>
        <w:t xml:space="preserve"> 117(284–289): 284–289. DOI: 10.1016/j.jbusres.2020.06.008.</w:t>
      </w:r>
    </w:p>
    <w:p w14:paraId="4223D6F4"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Dovbischuk I (2022) Innovation-oriented dynamic capabilities of logistics service providers, dynamic resilience and firm performance during the COVID-19 pandemic. </w:t>
      </w:r>
      <w:r w:rsidRPr="003C18D8">
        <w:rPr>
          <w:rFonts w:cs="Times New Roman"/>
          <w:i/>
          <w:iCs/>
          <w:noProof/>
          <w:szCs w:val="24"/>
        </w:rPr>
        <w:t>The International Journal of Logistics Management</w:t>
      </w:r>
      <w:r w:rsidRPr="003C18D8">
        <w:rPr>
          <w:rFonts w:cs="Times New Roman"/>
          <w:noProof/>
          <w:szCs w:val="24"/>
        </w:rPr>
        <w:t xml:space="preserve"> 33(2): 499–519. DOI: 10.1108/IJLM-01-2021-0059.</w:t>
      </w:r>
    </w:p>
    <w:p w14:paraId="73FA245B"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Døving E and Gooderham PN (2008) Dynamic capabilities as antecedents of the scope of related diversification: the case of small firm accountancy practices. </w:t>
      </w:r>
      <w:r w:rsidRPr="003C18D8">
        <w:rPr>
          <w:rFonts w:cs="Times New Roman"/>
          <w:i/>
          <w:iCs/>
          <w:noProof/>
          <w:szCs w:val="24"/>
        </w:rPr>
        <w:t>Strategic Management Journal</w:t>
      </w:r>
      <w:r w:rsidRPr="003C18D8">
        <w:rPr>
          <w:rFonts w:cs="Times New Roman"/>
          <w:noProof/>
          <w:szCs w:val="24"/>
        </w:rPr>
        <w:t xml:space="preserve"> 29(8): 841–857. DOI: 10.1002/smj.</w:t>
      </w:r>
    </w:p>
    <w:p w14:paraId="5E51AF78"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Dyduch W, Chudziński P, Cyfert S, et al. (2021) Dynamic capabilities, value creation and value capture: Evidence from SMEs under Covid-19 lockdown in Poland. </w:t>
      </w:r>
      <w:r w:rsidRPr="003C18D8">
        <w:rPr>
          <w:rFonts w:cs="Times New Roman"/>
          <w:i/>
          <w:iCs/>
          <w:noProof/>
          <w:szCs w:val="24"/>
        </w:rPr>
        <w:t>PLoS ONE</w:t>
      </w:r>
      <w:r w:rsidRPr="003C18D8">
        <w:rPr>
          <w:rFonts w:cs="Times New Roman"/>
          <w:noProof/>
          <w:szCs w:val="24"/>
        </w:rPr>
        <w:t xml:space="preserve"> 16: 1–28. DOI: https://doi.org/10.1371/journal.pone.0252423.</w:t>
      </w:r>
    </w:p>
    <w:p w14:paraId="7EC56488"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Efendic A, Mickiewicz T and Rebmann A (2015) Growth aspirations and social capital: Young firms in a post-conflict environment. </w:t>
      </w:r>
      <w:r w:rsidRPr="003C18D8">
        <w:rPr>
          <w:rFonts w:cs="Times New Roman"/>
          <w:i/>
          <w:iCs/>
          <w:noProof/>
          <w:szCs w:val="24"/>
        </w:rPr>
        <w:t>International Small Business Journal: Researching Entrepreneurship</w:t>
      </w:r>
      <w:r w:rsidRPr="003C18D8">
        <w:rPr>
          <w:rFonts w:cs="Times New Roman"/>
          <w:noProof/>
          <w:szCs w:val="24"/>
        </w:rPr>
        <w:t xml:space="preserve"> 33(5): 537–561. DOI: 10.1177/0266242613516987.</w:t>
      </w:r>
    </w:p>
    <w:p w14:paraId="75AEC2B8"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Eggers F (2020) Masters of disasters? Challenges and opportunities for SMEs in times of crisis. </w:t>
      </w:r>
      <w:r w:rsidRPr="003C18D8">
        <w:rPr>
          <w:rFonts w:cs="Times New Roman"/>
          <w:i/>
          <w:iCs/>
          <w:noProof/>
          <w:szCs w:val="24"/>
        </w:rPr>
        <w:t>Journal of Business Research</w:t>
      </w:r>
      <w:r w:rsidRPr="003C18D8">
        <w:rPr>
          <w:rFonts w:cs="Times New Roman"/>
          <w:noProof/>
          <w:szCs w:val="24"/>
        </w:rPr>
        <w:t xml:space="preserve"> 116: 199–208. DOI: 10.1016/j.jbusres.2020.05.025.</w:t>
      </w:r>
    </w:p>
    <w:p w14:paraId="4C70FCDC"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Eisenhardt KM and Martin JA (2000) Dynamic Capabilities: What Are They? </w:t>
      </w:r>
      <w:r w:rsidRPr="003C18D8">
        <w:rPr>
          <w:rFonts w:cs="Times New Roman"/>
          <w:i/>
          <w:iCs/>
          <w:noProof/>
          <w:szCs w:val="24"/>
        </w:rPr>
        <w:t>Strategic Management Journal</w:t>
      </w:r>
      <w:r w:rsidRPr="003C18D8">
        <w:rPr>
          <w:rFonts w:cs="Times New Roman"/>
          <w:noProof/>
          <w:szCs w:val="24"/>
        </w:rPr>
        <w:t xml:space="preserve"> 21(10/11): 1105–1121.</w:t>
      </w:r>
    </w:p>
    <w:p w14:paraId="25A1730B"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Fainshmidt S, Pezeshkan A, Lance Frazier M, et al. (2016) Dynamic Capabilities and Organizational Performance: A Meta-Analytic Evaluation and Extension. </w:t>
      </w:r>
      <w:r w:rsidRPr="003C18D8">
        <w:rPr>
          <w:rFonts w:cs="Times New Roman"/>
          <w:i/>
          <w:iCs/>
          <w:noProof/>
          <w:szCs w:val="24"/>
        </w:rPr>
        <w:t>Journal of Management Studies</w:t>
      </w:r>
      <w:r w:rsidRPr="003C18D8">
        <w:rPr>
          <w:rFonts w:cs="Times New Roman"/>
          <w:noProof/>
          <w:szCs w:val="24"/>
        </w:rPr>
        <w:t xml:space="preserve"> 53(8): 1348–1380. DOI: 10.1111/joms.12213.</w:t>
      </w:r>
    </w:p>
    <w:p w14:paraId="3DC72EC9"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Fairlie R and Fossen FM (2022) The early impacts of the COVID-19 pandemic on business sales. </w:t>
      </w:r>
      <w:r w:rsidRPr="003C18D8">
        <w:rPr>
          <w:rFonts w:cs="Times New Roman"/>
          <w:i/>
          <w:iCs/>
          <w:noProof/>
          <w:szCs w:val="24"/>
        </w:rPr>
        <w:lastRenderedPageBreak/>
        <w:t>Small Business Economics</w:t>
      </w:r>
      <w:r w:rsidRPr="003C18D8">
        <w:rPr>
          <w:rFonts w:cs="Times New Roman"/>
          <w:noProof/>
          <w:szCs w:val="24"/>
        </w:rPr>
        <w:t xml:space="preserve"> 58(4): 1853–1864. DOI: 10.1007/s11187-021-00479-4.</w:t>
      </w:r>
    </w:p>
    <w:p w14:paraId="1D5A9AEE"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Freel MS and Robson PJA (2004) Small Firm Innovation, Growth and Performance: Evidence from Scotland and Northern England. </w:t>
      </w:r>
      <w:r w:rsidRPr="003C18D8">
        <w:rPr>
          <w:rFonts w:cs="Times New Roman"/>
          <w:i/>
          <w:iCs/>
          <w:noProof/>
          <w:szCs w:val="24"/>
        </w:rPr>
        <w:t>International Small Business Journal</w:t>
      </w:r>
      <w:r w:rsidRPr="003C18D8">
        <w:rPr>
          <w:rFonts w:cs="Times New Roman"/>
          <w:noProof/>
          <w:szCs w:val="24"/>
        </w:rPr>
        <w:t xml:space="preserve"> 22(6). SAGE Publications Ltd: 561–575. DOI: 10.1177/0266242604047410.</w:t>
      </w:r>
    </w:p>
    <w:p w14:paraId="37F661FF"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Gobey M and Matikonis K (2021) Small business property tax reductions and job growth. </w:t>
      </w:r>
      <w:r w:rsidRPr="003C18D8">
        <w:rPr>
          <w:rFonts w:cs="Times New Roman"/>
          <w:i/>
          <w:iCs/>
          <w:noProof/>
          <w:szCs w:val="24"/>
        </w:rPr>
        <w:t>Small Business Economics</w:t>
      </w:r>
      <w:r w:rsidRPr="003C18D8">
        <w:rPr>
          <w:rFonts w:cs="Times New Roman"/>
          <w:noProof/>
          <w:szCs w:val="24"/>
        </w:rPr>
        <w:t xml:space="preserve"> 56. Small Business Economics: 277–292. DOI: https://doi.org/10.1007/s11187-019-00219-9 Small.</w:t>
      </w:r>
    </w:p>
    <w:p w14:paraId="021A3CB2"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Gourinchas P-O, Kalemli-Özcan Ṣebnem, Penciakova V, et al. (2020) Estimating SME Failures in Real Time: An Application to the COVID-19 Crisis. </w:t>
      </w:r>
      <w:r w:rsidRPr="003C18D8">
        <w:rPr>
          <w:rFonts w:cs="Times New Roman"/>
          <w:i/>
          <w:iCs/>
          <w:noProof/>
          <w:szCs w:val="24"/>
        </w:rPr>
        <w:t>National Bureau of Economic Research Working Paper Series No. 27877</w:t>
      </w:r>
      <w:r w:rsidRPr="003C18D8">
        <w:rPr>
          <w:rFonts w:cs="Times New Roman"/>
          <w:noProof/>
          <w:szCs w:val="24"/>
        </w:rPr>
        <w:t>. DOI: 10.3386/w27877.</w:t>
      </w:r>
    </w:p>
    <w:p w14:paraId="43972FF6"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Granja J, Makridis C, Yannelis C, et al. (2022) Did the paycheck protection program hit the target ? </w:t>
      </w:r>
      <w:r w:rsidRPr="003C18D8">
        <w:rPr>
          <w:rFonts w:cs="Times New Roman"/>
          <w:i/>
          <w:iCs/>
          <w:noProof/>
          <w:szCs w:val="24"/>
        </w:rPr>
        <w:t>Journal of Financial Economics</w:t>
      </w:r>
      <w:r w:rsidRPr="003C18D8">
        <w:rPr>
          <w:rFonts w:cs="Times New Roman"/>
          <w:noProof/>
          <w:szCs w:val="24"/>
        </w:rPr>
        <w:t xml:space="preserve"> 145(3). Elsevier B.V.: 725–761. DOI: 10.1016/j.jfineco.2022.05.006.</w:t>
      </w:r>
    </w:p>
    <w:p w14:paraId="1A17CC29"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Guckenbiehl P and Corral de Zubielqui G (2022) Start-ups’ business model changes during the COVID-19 pandemic: Counteracting adversities and pursuing opportunities. </w:t>
      </w:r>
      <w:r w:rsidRPr="003C18D8">
        <w:rPr>
          <w:rFonts w:cs="Times New Roman"/>
          <w:i/>
          <w:iCs/>
          <w:noProof/>
          <w:szCs w:val="24"/>
        </w:rPr>
        <w:t>International Small Business Journal: Researching Entrepreneurship</w:t>
      </w:r>
      <w:r w:rsidRPr="003C18D8">
        <w:rPr>
          <w:rFonts w:cs="Times New Roman"/>
          <w:noProof/>
          <w:szCs w:val="24"/>
        </w:rPr>
        <w:t xml:space="preserve"> 40(2): 150–177. DOI: 10.1177/02662426211055447.</w:t>
      </w:r>
    </w:p>
    <w:p w14:paraId="1DFFF892"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Helfat CE and Peteraf MA (2009) Understanding dynamic capabilities: Progress along a developmental path. </w:t>
      </w:r>
      <w:r w:rsidRPr="003C18D8">
        <w:rPr>
          <w:rFonts w:cs="Times New Roman"/>
          <w:i/>
          <w:iCs/>
          <w:noProof/>
          <w:szCs w:val="24"/>
        </w:rPr>
        <w:t>Strategic Organization</w:t>
      </w:r>
      <w:r w:rsidRPr="003C18D8">
        <w:rPr>
          <w:rFonts w:cs="Times New Roman"/>
          <w:noProof/>
          <w:szCs w:val="24"/>
        </w:rPr>
        <w:t xml:space="preserve"> 7(1): 91–102. DOI: 10.1177/1476127008100133.</w:t>
      </w:r>
    </w:p>
    <w:p w14:paraId="7FEFAAF0"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Helfat CE and Winter SG (2011) Untangling Dynamic and Operational Capabilities: Strategy for the (N)ever-Changing World. </w:t>
      </w:r>
      <w:r w:rsidRPr="003C18D8">
        <w:rPr>
          <w:rFonts w:cs="Times New Roman"/>
          <w:i/>
          <w:iCs/>
          <w:noProof/>
          <w:szCs w:val="24"/>
        </w:rPr>
        <w:t>Strategic Management Journal</w:t>
      </w:r>
      <w:r w:rsidRPr="003C18D8">
        <w:rPr>
          <w:rFonts w:cs="Times New Roman"/>
          <w:noProof/>
          <w:szCs w:val="24"/>
        </w:rPr>
        <w:t xml:space="preserve"> 32(11): 1243–1250. DOI: https://doi.org/10.1002/smj.955.</w:t>
      </w:r>
    </w:p>
    <w:p w14:paraId="287DB858"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Helfat CE, Finkelstein S, Mitchell W, et al. (2007) </w:t>
      </w:r>
      <w:r w:rsidRPr="003C18D8">
        <w:rPr>
          <w:rFonts w:cs="Times New Roman"/>
          <w:i/>
          <w:iCs/>
          <w:noProof/>
          <w:szCs w:val="24"/>
        </w:rPr>
        <w:t>Dynamic Capabilities: Understanding Strategic Change in Organizations</w:t>
      </w:r>
      <w:r w:rsidRPr="003C18D8">
        <w:rPr>
          <w:rFonts w:cs="Times New Roman"/>
          <w:noProof/>
          <w:szCs w:val="24"/>
        </w:rPr>
        <w:t>. Malden: Blackwell Pub.</w:t>
      </w:r>
    </w:p>
    <w:p w14:paraId="7A15C4E2"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HM Treasury (2020a) A Plan for Jobs 2020. Available at: https://www.gov.uk/government/publications/a-plan-for-jobs-documents/a-plan-for-jobs-2020 (accessed 2 September 2022).</w:t>
      </w:r>
    </w:p>
    <w:p w14:paraId="302F05CB"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HM Treasury (2020b) The Chancellor Rishi Sunak provides an updated statement on coronavirus. Available at: https://www.gov.uk/government/speeches/the-chancellor-rishi-sunak-provides-an-updated-statement-on-coronavirus#:~:text=I have a responsibility to,new Coronavirus Job Retention Scheme. (accessed 16 February 2023).</w:t>
      </w:r>
    </w:p>
    <w:p w14:paraId="16FE019C"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Hoshi T, Kawaguchi D and Ueda K (2023) Zombies, again? The COVID-19 business support programs in Japan. </w:t>
      </w:r>
      <w:r w:rsidRPr="003C18D8">
        <w:rPr>
          <w:rFonts w:cs="Times New Roman"/>
          <w:i/>
          <w:iCs/>
          <w:noProof/>
          <w:szCs w:val="24"/>
        </w:rPr>
        <w:t>Journal of Banking &amp; Finance</w:t>
      </w:r>
      <w:r w:rsidRPr="003C18D8">
        <w:rPr>
          <w:rFonts w:cs="Times New Roman"/>
          <w:noProof/>
          <w:szCs w:val="24"/>
        </w:rPr>
        <w:t xml:space="preserve"> 147: 106421. DOI: 10.1016/j.jbankfin.2022.106421.</w:t>
      </w:r>
    </w:p>
    <w:p w14:paraId="29906E61"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Huang Q, Jackson S, Derakhshan S, et al. (2021) Urban-rural differences in COVID-19 exposures </w:t>
      </w:r>
      <w:r w:rsidRPr="003C18D8">
        <w:rPr>
          <w:rFonts w:cs="Times New Roman"/>
          <w:noProof/>
          <w:szCs w:val="24"/>
        </w:rPr>
        <w:lastRenderedPageBreak/>
        <w:t xml:space="preserve">and outcomes in the South: A preliminary analysis of South Carolina. </w:t>
      </w:r>
      <w:r w:rsidRPr="003C18D8">
        <w:rPr>
          <w:rFonts w:cs="Times New Roman"/>
          <w:i/>
          <w:iCs/>
          <w:noProof/>
          <w:szCs w:val="24"/>
        </w:rPr>
        <w:t>PLoS ONE</w:t>
      </w:r>
      <w:r w:rsidRPr="003C18D8">
        <w:rPr>
          <w:rFonts w:cs="Times New Roman"/>
          <w:noProof/>
          <w:szCs w:val="24"/>
        </w:rPr>
        <w:t xml:space="preserve"> 16(2): e0246548. DOI: 10.1371/journal.pone.0246548.</w:t>
      </w:r>
    </w:p>
    <w:p w14:paraId="24E73543"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Jarzabkowski P and Wilson DC (2006) Actionable Strategy Knowledge:. A Practice Perspective. </w:t>
      </w:r>
      <w:r w:rsidRPr="003C18D8">
        <w:rPr>
          <w:rFonts w:cs="Times New Roman"/>
          <w:i/>
          <w:iCs/>
          <w:noProof/>
          <w:szCs w:val="24"/>
        </w:rPr>
        <w:t>European Management Journal</w:t>
      </w:r>
      <w:r w:rsidRPr="003C18D8">
        <w:rPr>
          <w:rFonts w:cs="Times New Roman"/>
          <w:noProof/>
          <w:szCs w:val="24"/>
        </w:rPr>
        <w:t xml:space="preserve"> 24(5): 348–367. DOI: 10.1016/j.emj.2006.05.009.</w:t>
      </w:r>
    </w:p>
    <w:p w14:paraId="54F323C1"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Joaquim G and Netto F (2020) Bank Incentives and the Impact of the Paycheck Protection Program. </w:t>
      </w:r>
      <w:r w:rsidRPr="003C18D8">
        <w:rPr>
          <w:rFonts w:cs="Times New Roman"/>
          <w:i/>
          <w:iCs/>
          <w:noProof/>
          <w:szCs w:val="24"/>
        </w:rPr>
        <w:t>SSRN Electronic Journal</w:t>
      </w:r>
      <w:r w:rsidRPr="003C18D8">
        <w:rPr>
          <w:rFonts w:cs="Times New Roman"/>
          <w:noProof/>
          <w:szCs w:val="24"/>
        </w:rPr>
        <w:t xml:space="preserve"> (21). DOI: 10.2139/ssrn.3704518.</w:t>
      </w:r>
    </w:p>
    <w:p w14:paraId="0EAF89D8"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Kammerlander N (2016) ‘I want this firm to be in good hands’: Emotional pricing of resigning entrepreneurs. </w:t>
      </w:r>
      <w:r w:rsidRPr="003C18D8">
        <w:rPr>
          <w:rFonts w:cs="Times New Roman"/>
          <w:i/>
          <w:iCs/>
          <w:noProof/>
          <w:szCs w:val="24"/>
        </w:rPr>
        <w:t>International Small Business Journal: Researching Entrepreneurship</w:t>
      </w:r>
      <w:r w:rsidRPr="003C18D8">
        <w:rPr>
          <w:rFonts w:cs="Times New Roman"/>
          <w:noProof/>
          <w:szCs w:val="24"/>
        </w:rPr>
        <w:t xml:space="preserve"> 34(2): 189–214. DOI: 10.1177/0266242614541287.</w:t>
      </w:r>
    </w:p>
    <w:p w14:paraId="7F47D811"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Kersten R, Harms J, Liket K, et al. (2017) Small Firms, large Impact? A systematic review of the SME Finance Literature. </w:t>
      </w:r>
      <w:r w:rsidRPr="003C18D8">
        <w:rPr>
          <w:rFonts w:cs="Times New Roman"/>
          <w:i/>
          <w:iCs/>
          <w:noProof/>
          <w:szCs w:val="24"/>
        </w:rPr>
        <w:t>World Development</w:t>
      </w:r>
      <w:r w:rsidRPr="003C18D8">
        <w:rPr>
          <w:rFonts w:cs="Times New Roman"/>
          <w:noProof/>
          <w:szCs w:val="24"/>
        </w:rPr>
        <w:t xml:space="preserve"> 97(2016). Elsevier Ltd: 330–348. DOI: 10.1016/j.worlddev.2017.04.012.</w:t>
      </w:r>
    </w:p>
    <w:p w14:paraId="0238F1A6"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Khan MAU and Sayem MA (2013) Understanding recovery of small enterprises from natural disaster. </w:t>
      </w:r>
      <w:r w:rsidRPr="003C18D8">
        <w:rPr>
          <w:rFonts w:cs="Times New Roman"/>
          <w:i/>
          <w:iCs/>
          <w:noProof/>
          <w:szCs w:val="24"/>
        </w:rPr>
        <w:t>Environmental Hazards</w:t>
      </w:r>
      <w:r w:rsidRPr="003C18D8">
        <w:rPr>
          <w:rFonts w:cs="Times New Roman"/>
          <w:noProof/>
          <w:szCs w:val="24"/>
        </w:rPr>
        <w:t xml:space="preserve"> 12(3–4): 218–239. DOI: 10.1080/17477891.2012.761593.</w:t>
      </w:r>
    </w:p>
    <w:p w14:paraId="5D9B2F51"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Khlystova O, Kalyuzhnova Y and Belitski M (2022) The impact of the COVID-19 pandemic on the creative industries: A literature review and future research agenda. </w:t>
      </w:r>
      <w:r w:rsidRPr="003C18D8">
        <w:rPr>
          <w:rFonts w:cs="Times New Roman"/>
          <w:i/>
          <w:iCs/>
          <w:noProof/>
          <w:szCs w:val="24"/>
        </w:rPr>
        <w:t>Journal of Business Research</w:t>
      </w:r>
      <w:r w:rsidRPr="003C18D8">
        <w:rPr>
          <w:rFonts w:cs="Times New Roman"/>
          <w:noProof/>
          <w:szCs w:val="24"/>
        </w:rPr>
        <w:t xml:space="preserve"> 139: 1192–1210. DOI: 10.1016/j.jbusres.2021.09.062.</w:t>
      </w:r>
    </w:p>
    <w:p w14:paraId="2573113E"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Kim LE and Asbury K (2020) ‘Like a rug had been pulled from under you’: The impact of COVID-19 on teachers in England during the first six weeks of the UK lockdown. </w:t>
      </w:r>
      <w:r w:rsidRPr="003C18D8">
        <w:rPr>
          <w:rFonts w:cs="Times New Roman"/>
          <w:i/>
          <w:iCs/>
          <w:noProof/>
          <w:szCs w:val="24"/>
        </w:rPr>
        <w:t>British Journal of Educational Psychology</w:t>
      </w:r>
      <w:r w:rsidRPr="003C18D8">
        <w:rPr>
          <w:rFonts w:cs="Times New Roman"/>
          <w:noProof/>
          <w:szCs w:val="24"/>
        </w:rPr>
        <w:t xml:space="preserve"> 90(4): 1062–1083. DOI: 10.1111/bjep.12381.</w:t>
      </w:r>
    </w:p>
    <w:p w14:paraId="4A6947B2"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Klyver K and Nielsen SL (2021) Which crisis strategies are (expectedly) effective among SMEs during COVID-19? </w:t>
      </w:r>
      <w:r w:rsidRPr="003C18D8">
        <w:rPr>
          <w:rFonts w:cs="Times New Roman"/>
          <w:i/>
          <w:iCs/>
          <w:noProof/>
          <w:szCs w:val="24"/>
        </w:rPr>
        <w:t>Journal of Business Venturing Insights</w:t>
      </w:r>
      <w:r w:rsidRPr="003C18D8">
        <w:rPr>
          <w:rFonts w:cs="Times New Roman"/>
          <w:noProof/>
          <w:szCs w:val="24"/>
        </w:rPr>
        <w:t xml:space="preserve"> 16: e00273. DOI: 10.1016/j.jbvi.2021.e00273.</w:t>
      </w:r>
    </w:p>
    <w:p w14:paraId="43F05F24"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Korede T, Al Mamun A, Lassalle P, et al. (2023) Exploring innovation in challenging contexts: The experiences of ethnic minority restaurant owners during COVID-19. </w:t>
      </w:r>
      <w:r w:rsidRPr="003C18D8">
        <w:rPr>
          <w:rFonts w:cs="Times New Roman"/>
          <w:i/>
          <w:iCs/>
          <w:noProof/>
          <w:szCs w:val="24"/>
        </w:rPr>
        <w:t>The International Journal of Entrepreneurship and Innovation</w:t>
      </w:r>
      <w:r w:rsidRPr="003C18D8">
        <w:rPr>
          <w:rFonts w:cs="Times New Roman"/>
          <w:noProof/>
          <w:szCs w:val="24"/>
        </w:rPr>
        <w:t xml:space="preserve"> 24(1): 19–31. DOI: 10.1177/14657503211051219.</w:t>
      </w:r>
    </w:p>
    <w:p w14:paraId="777EBBFF"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Kump B, Engelmann A, Kessler A, et al. (2019) Toward a dynamic capabilities scale: Measuring organizational sensing, seizing, and transforming capacities. </w:t>
      </w:r>
      <w:r w:rsidRPr="003C18D8">
        <w:rPr>
          <w:rFonts w:cs="Times New Roman"/>
          <w:i/>
          <w:iCs/>
          <w:noProof/>
          <w:szCs w:val="24"/>
        </w:rPr>
        <w:t>Industrial and Corporate Change</w:t>
      </w:r>
      <w:r w:rsidRPr="003C18D8">
        <w:rPr>
          <w:rFonts w:cs="Times New Roman"/>
          <w:noProof/>
          <w:szCs w:val="24"/>
        </w:rPr>
        <w:t xml:space="preserve"> 28(5): 1149–1172. DOI: 10.1093/icc/dty054.</w:t>
      </w:r>
    </w:p>
    <w:p w14:paraId="53FF1042"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Li L, Tong Y, Wei L, et al. (2022) Digital technology-enabled dynamic capabilities and their impacts on firm performance: Evidence from the COVID-19 pandemic. </w:t>
      </w:r>
      <w:r w:rsidRPr="003C18D8">
        <w:rPr>
          <w:rFonts w:cs="Times New Roman"/>
          <w:i/>
          <w:iCs/>
          <w:noProof/>
          <w:szCs w:val="24"/>
        </w:rPr>
        <w:t>Information &amp; Management</w:t>
      </w:r>
      <w:r w:rsidRPr="003C18D8">
        <w:rPr>
          <w:rFonts w:cs="Times New Roman"/>
          <w:noProof/>
          <w:szCs w:val="24"/>
        </w:rPr>
        <w:t xml:space="preserve"> 59(8). Elsevier B.V.: 103689. DOI: 10.1016/j.im.2022.103689.</w:t>
      </w:r>
    </w:p>
    <w:p w14:paraId="7B1FA018"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Liu Z, Wu H and Wu J (2019) Location-based tax incentives and entrepreneurial activities: evidence from Western Regional Development Strategy in China. </w:t>
      </w:r>
      <w:r w:rsidRPr="003C18D8">
        <w:rPr>
          <w:rFonts w:cs="Times New Roman"/>
          <w:i/>
          <w:iCs/>
          <w:noProof/>
          <w:szCs w:val="24"/>
        </w:rPr>
        <w:t>Small Business Economics</w:t>
      </w:r>
      <w:r w:rsidRPr="003C18D8">
        <w:rPr>
          <w:rFonts w:cs="Times New Roman"/>
          <w:noProof/>
          <w:szCs w:val="24"/>
        </w:rPr>
        <w:t xml:space="preserve"> 52(3). Small Business Economics: 729–742. DOI: 10.1007/s11187-017-9982-3.</w:t>
      </w:r>
    </w:p>
    <w:p w14:paraId="074DBD0C"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lastRenderedPageBreak/>
        <w:t xml:space="preserve">Mahto R V., Llanos-Contreras O and Hebles M (2022) Post-disaster recovery for family firms: The role of owner motivations, firm resources, and dynamic capabilities. </w:t>
      </w:r>
      <w:r w:rsidRPr="003C18D8">
        <w:rPr>
          <w:rFonts w:cs="Times New Roman"/>
          <w:i/>
          <w:iCs/>
          <w:noProof/>
          <w:szCs w:val="24"/>
        </w:rPr>
        <w:t>Journal of Business Research</w:t>
      </w:r>
      <w:r w:rsidRPr="003C18D8">
        <w:rPr>
          <w:rFonts w:cs="Times New Roman"/>
          <w:noProof/>
          <w:szCs w:val="24"/>
        </w:rPr>
        <w:t xml:space="preserve"> 145(June 2021): 117–129. DOI: 10.1016/j.jbusres.2022.02.089.</w:t>
      </w:r>
    </w:p>
    <w:p w14:paraId="4C5A2071"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Makkonen H, Pohjola M, Olkkonen R, et al. (2014) Dynamic capabilities and firm performance in a financial crisis. </w:t>
      </w:r>
      <w:r w:rsidRPr="003C18D8">
        <w:rPr>
          <w:rFonts w:cs="Times New Roman"/>
          <w:i/>
          <w:iCs/>
          <w:noProof/>
          <w:szCs w:val="24"/>
        </w:rPr>
        <w:t>Journal of Business Research</w:t>
      </w:r>
      <w:r w:rsidRPr="003C18D8">
        <w:rPr>
          <w:rFonts w:cs="Times New Roman"/>
          <w:noProof/>
          <w:szCs w:val="24"/>
        </w:rPr>
        <w:t xml:space="preserve"> 67(1): 2707–2719. DOI: 10.1016/j.jbusres.2013.03.020.</w:t>
      </w:r>
    </w:p>
    <w:p w14:paraId="389B79E6"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Mansour HEL, Holmes K, Butler B, et al. (2019) Developing dynamic capabilities to survive a crisis: Tourism organizations’ responses to continued turbulence in Libya. </w:t>
      </w:r>
      <w:r w:rsidRPr="003C18D8">
        <w:rPr>
          <w:rFonts w:cs="Times New Roman"/>
          <w:i/>
          <w:iCs/>
          <w:noProof/>
          <w:szCs w:val="24"/>
        </w:rPr>
        <w:t>International Journal of Tourism Research</w:t>
      </w:r>
      <w:r w:rsidRPr="003C18D8">
        <w:rPr>
          <w:rFonts w:cs="Times New Roman"/>
          <w:noProof/>
          <w:szCs w:val="24"/>
        </w:rPr>
        <w:t xml:space="preserve"> 21(4): 493–503. DOI: 10.1002/jtr.2277.</w:t>
      </w:r>
    </w:p>
    <w:p w14:paraId="3FA04725"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Marco-Lajara B, Ruiz-Fernández L, Seva-Larrosa P, et al. (2021) Hotel strategies in times of COVID-19: a dynamic capabilities approach. </w:t>
      </w:r>
      <w:r w:rsidRPr="003C18D8">
        <w:rPr>
          <w:rFonts w:cs="Times New Roman"/>
          <w:i/>
          <w:iCs/>
          <w:noProof/>
          <w:szCs w:val="24"/>
        </w:rPr>
        <w:t>Anatolia</w:t>
      </w:r>
      <w:r w:rsidRPr="003C18D8">
        <w:rPr>
          <w:rFonts w:cs="Times New Roman"/>
          <w:noProof/>
          <w:szCs w:val="24"/>
        </w:rPr>
        <w:t>. Routledge. DOI: 10.1080/13032917.2021.1969960.</w:t>
      </w:r>
    </w:p>
    <w:p w14:paraId="02D62113"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Martin L, Hauret L and Fuhrer C (2022) Digitally transformed home office impacts on job satisfaction, job stress and job productivity. COVID-19 findings. </w:t>
      </w:r>
      <w:r w:rsidRPr="003C18D8">
        <w:rPr>
          <w:rFonts w:cs="Times New Roman"/>
          <w:i/>
          <w:iCs/>
          <w:noProof/>
          <w:szCs w:val="24"/>
        </w:rPr>
        <w:t>PLoS ONE</w:t>
      </w:r>
      <w:r w:rsidRPr="003C18D8">
        <w:rPr>
          <w:rFonts w:cs="Times New Roman"/>
          <w:noProof/>
          <w:szCs w:val="24"/>
        </w:rPr>
        <w:t xml:space="preserve"> 17: 1–23. DOI: 10.1371/journal.pone.0265131.</w:t>
      </w:r>
    </w:p>
    <w:p w14:paraId="6BBF8614"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Martinez Dy A and Jayawarna D (2020) Bios, mythoi and women entrepreneurs: A Wynterian analysis of the intersectional impacts of the COVID-19 pandemic on self-employed women and women-owned businesses. </w:t>
      </w:r>
      <w:r w:rsidRPr="003C18D8">
        <w:rPr>
          <w:rFonts w:cs="Times New Roman"/>
          <w:i/>
          <w:iCs/>
          <w:noProof/>
          <w:szCs w:val="24"/>
        </w:rPr>
        <w:t>International Small Business Journal: Researching Entrepreneurship</w:t>
      </w:r>
      <w:r w:rsidRPr="003C18D8">
        <w:rPr>
          <w:rFonts w:cs="Times New Roman"/>
          <w:noProof/>
          <w:szCs w:val="24"/>
        </w:rPr>
        <w:t xml:space="preserve"> 38(5): 391–403. DOI: 10.1177/0266242620939935.</w:t>
      </w:r>
    </w:p>
    <w:p w14:paraId="2D87A59B"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Matikonis K (2020) Unintended recipients of rising UK non-domestic property tax reliefs. </w:t>
      </w:r>
      <w:r w:rsidRPr="003C18D8">
        <w:rPr>
          <w:rFonts w:cs="Times New Roman"/>
          <w:i/>
          <w:iCs/>
          <w:noProof/>
          <w:szCs w:val="24"/>
        </w:rPr>
        <w:t>British Tax Review</w:t>
      </w:r>
      <w:r w:rsidRPr="003C18D8">
        <w:rPr>
          <w:rFonts w:cs="Times New Roman"/>
          <w:noProof/>
          <w:szCs w:val="24"/>
        </w:rPr>
        <w:t xml:space="preserve"> 2020(2): 143–150.</w:t>
      </w:r>
    </w:p>
    <w:p w14:paraId="47E8EAEC"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Matikonis K (2022) Fundamental Review of Business Rates : Proposed and anticipated changes , including online sales tax. </w:t>
      </w:r>
      <w:r w:rsidRPr="003C18D8">
        <w:rPr>
          <w:rFonts w:cs="Times New Roman"/>
          <w:i/>
          <w:iCs/>
          <w:noProof/>
          <w:szCs w:val="24"/>
        </w:rPr>
        <w:t>British Tax Review</w:t>
      </w:r>
      <w:r w:rsidRPr="003C18D8">
        <w:rPr>
          <w:rFonts w:cs="Times New Roman"/>
          <w:noProof/>
          <w:szCs w:val="24"/>
        </w:rPr>
        <w:t xml:space="preserve"> 2022(2): 115–125.</w:t>
      </w:r>
    </w:p>
    <w:p w14:paraId="4D8941BD"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McGowan M dalet, Andrews D and Millot V (2018) The walking dead? Zombie firms and productivity performance in OECD countries. </w:t>
      </w:r>
      <w:r w:rsidRPr="003C18D8">
        <w:rPr>
          <w:rFonts w:cs="Times New Roman"/>
          <w:i/>
          <w:iCs/>
          <w:noProof/>
          <w:szCs w:val="24"/>
        </w:rPr>
        <w:t>Economic Policy</w:t>
      </w:r>
      <w:r w:rsidRPr="003C18D8">
        <w:rPr>
          <w:rFonts w:cs="Times New Roman"/>
          <w:noProof/>
          <w:szCs w:val="24"/>
        </w:rPr>
        <w:t xml:space="preserve"> 33(96): 685–736. DOI: 10.1093/epolic/eiy012.</w:t>
      </w:r>
    </w:p>
    <w:p w14:paraId="25ABDFFB"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McGrath RG (2010) Business Models: A Discovery Driven Approach. </w:t>
      </w:r>
      <w:r w:rsidRPr="003C18D8">
        <w:rPr>
          <w:rFonts w:cs="Times New Roman"/>
          <w:i/>
          <w:iCs/>
          <w:noProof/>
          <w:szCs w:val="24"/>
        </w:rPr>
        <w:t>Long Range Planning</w:t>
      </w:r>
      <w:r w:rsidRPr="003C18D8">
        <w:rPr>
          <w:rFonts w:cs="Times New Roman"/>
          <w:noProof/>
          <w:szCs w:val="24"/>
        </w:rPr>
        <w:t xml:space="preserve"> 43(2–3): 247–261. DOI: 10.1016/j.lrp.2009.07.005.</w:t>
      </w:r>
    </w:p>
    <w:p w14:paraId="4DBC5E60"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Morikawa M (2021) Productivity of firms using relief policies during the COVID-19 crisis. </w:t>
      </w:r>
      <w:r w:rsidRPr="003C18D8">
        <w:rPr>
          <w:rFonts w:cs="Times New Roman"/>
          <w:i/>
          <w:iCs/>
          <w:noProof/>
          <w:szCs w:val="24"/>
        </w:rPr>
        <w:t>Economics Letters</w:t>
      </w:r>
      <w:r w:rsidRPr="003C18D8">
        <w:rPr>
          <w:rFonts w:cs="Times New Roman"/>
          <w:noProof/>
          <w:szCs w:val="24"/>
        </w:rPr>
        <w:t xml:space="preserve"> 203: 109869. DOI: 10.1016/j.econlet.2021.109869.</w:t>
      </w:r>
    </w:p>
    <w:p w14:paraId="4E7D5992"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National Audit Office (2022) COVID-19 cost tracker. Available at: https://www.nao.org.uk/overviews/covid-19-cost-tracker/ (accessed 2 September 2022).</w:t>
      </w:r>
    </w:p>
    <w:p w14:paraId="39E227EE"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Office for Budget Responsibility (2021) Economic and Fiscal Outlook—March 2021. Available at: https://obr.uk/efo/economic-and-fiscal-outlook-march-2021/ (accessed 3 May 2022).</w:t>
      </w:r>
    </w:p>
    <w:p w14:paraId="3422B2E6"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Office for National Statistics (2022a) How furlough and changes in the employee workforce have </w:t>
      </w:r>
      <w:r w:rsidRPr="003C18D8">
        <w:rPr>
          <w:rFonts w:cs="Times New Roman"/>
          <w:noProof/>
          <w:szCs w:val="24"/>
        </w:rPr>
        <w:lastRenderedPageBreak/>
        <w:t>affected earnings growth during the coronavirus (COVID-19) pandemic, UK: 2020 to 2021. Available at: https://www.ons.gov.uk/employmentandlabourmarket/peopleinwork/earningsandworkinghours/articles/howfurloughandchangesintheemployeeworkforcehaveaffectedearningsgrowthduringthecoronaviruscovid19pandemicuk2020to2021/2022-04-29 (accessed 2 September 2022).</w:t>
      </w:r>
    </w:p>
    <w:p w14:paraId="3235E870"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Office for National Statistics (2022b) Unemployment rate (aged 16 and over, seasonally adjusted): %. Available at: https://www.ons.gov.uk/employmentandlabourmarket/peoplenotinwork/unemployment/timeseries/mgsx/lms (accessed 2 September 2022).</w:t>
      </w:r>
    </w:p>
    <w:p w14:paraId="5922E415"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Oliver C and Holzinger I (2008) The effectiveness of strategic political management: A dynamic capabilities framework. </w:t>
      </w:r>
      <w:r w:rsidRPr="003C18D8">
        <w:rPr>
          <w:rFonts w:cs="Times New Roman"/>
          <w:i/>
          <w:iCs/>
          <w:noProof/>
          <w:szCs w:val="24"/>
        </w:rPr>
        <w:t>Academy of Management Review</w:t>
      </w:r>
      <w:r w:rsidRPr="003C18D8">
        <w:rPr>
          <w:rFonts w:cs="Times New Roman"/>
          <w:noProof/>
          <w:szCs w:val="24"/>
        </w:rPr>
        <w:t xml:space="preserve"> 33(2): 496–520. DOI: 10.5465/AMR.2008.31193538.</w:t>
      </w:r>
    </w:p>
    <w:p w14:paraId="2A94D9D7"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Ozanne LK, Chowdhury M, Prayag G, et al. (2022) SMEs navigating COVID-19: The influence of social capital and dynamic capabilities on organizational resilience. </w:t>
      </w:r>
      <w:r w:rsidRPr="003C18D8">
        <w:rPr>
          <w:rFonts w:cs="Times New Roman"/>
          <w:i/>
          <w:iCs/>
          <w:noProof/>
          <w:szCs w:val="24"/>
        </w:rPr>
        <w:t>Industrial Marketing Management</w:t>
      </w:r>
      <w:r w:rsidRPr="003C18D8">
        <w:rPr>
          <w:rFonts w:cs="Times New Roman"/>
          <w:noProof/>
          <w:szCs w:val="24"/>
        </w:rPr>
        <w:t xml:space="preserve"> 104: 116–135. DOI: 10.1016/j.indmarman.2022.04.009.</w:t>
      </w:r>
    </w:p>
    <w:p w14:paraId="2B75C946"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Panzone LA, Larcom S and She PW (2021) Estimating the impact of the first COVID-19 lockdown on UK food retailers and the restaurant sector. </w:t>
      </w:r>
      <w:r w:rsidRPr="003C18D8">
        <w:rPr>
          <w:rFonts w:cs="Times New Roman"/>
          <w:i/>
          <w:iCs/>
          <w:noProof/>
          <w:szCs w:val="24"/>
        </w:rPr>
        <w:t>Global Food Security</w:t>
      </w:r>
      <w:r w:rsidRPr="003C18D8">
        <w:rPr>
          <w:rFonts w:cs="Times New Roman"/>
          <w:noProof/>
          <w:szCs w:val="24"/>
        </w:rPr>
        <w:t xml:space="preserve"> 28. Elsevier B.V. DOI: 10.1016/j.gfs.2021.100495.</w:t>
      </w:r>
    </w:p>
    <w:p w14:paraId="60B756CC"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Pavlou PA and Sawy OAE (2010) The ‘third hand’: IT-enabled competitive advantage in turbulence through improvisational capabilities. </w:t>
      </w:r>
      <w:r w:rsidRPr="003C18D8">
        <w:rPr>
          <w:rFonts w:cs="Times New Roman"/>
          <w:i/>
          <w:iCs/>
          <w:noProof/>
          <w:szCs w:val="24"/>
        </w:rPr>
        <w:t>Information Systems Research</w:t>
      </w:r>
      <w:r w:rsidRPr="003C18D8">
        <w:rPr>
          <w:rFonts w:cs="Times New Roman"/>
          <w:noProof/>
          <w:szCs w:val="24"/>
        </w:rPr>
        <w:t xml:space="preserve"> 21(3): 443–471. DOI: 10.1287/isre.1100.0280.</w:t>
      </w:r>
    </w:p>
    <w:p w14:paraId="7489BE2D"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Phillipson J, Tiwasing P, Gorton M, et al. (2019) Shining a spotlight on small rural businesses: How does their performance compare with urban? </w:t>
      </w:r>
      <w:r w:rsidRPr="003C18D8">
        <w:rPr>
          <w:rFonts w:cs="Times New Roman"/>
          <w:i/>
          <w:iCs/>
          <w:noProof/>
          <w:szCs w:val="24"/>
        </w:rPr>
        <w:t>Journal of Rural Studies</w:t>
      </w:r>
      <w:r w:rsidRPr="003C18D8">
        <w:rPr>
          <w:rFonts w:cs="Times New Roman"/>
          <w:noProof/>
          <w:szCs w:val="24"/>
        </w:rPr>
        <w:t xml:space="preserve"> 68. Elsevier: 230–239. DOI: 10.1016/j.jrurstud.2018.09.017.</w:t>
      </w:r>
    </w:p>
    <w:p w14:paraId="6351BE08"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Powell A, Francis-Devine B and Clark H (2021) Coronavirus Job Retention Scheme: statistics. Available at: https://commonslibrary.parliament.uk/research-briefings/cbp-9152/#:~:text=11.7 million employee jobs were,was 4%25 of eligible jobs. (accessed 2 September 2022).</w:t>
      </w:r>
    </w:p>
    <w:p w14:paraId="51F41225"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Rietveld JR, Hiemstra D, Brouwer AE, et al. (2022) Motivation and productivity of employees in higher education during the first lockdown. </w:t>
      </w:r>
      <w:r w:rsidRPr="003C18D8">
        <w:rPr>
          <w:rFonts w:cs="Times New Roman"/>
          <w:i/>
          <w:iCs/>
          <w:noProof/>
          <w:szCs w:val="24"/>
        </w:rPr>
        <w:t>Administrative Sciences</w:t>
      </w:r>
      <w:r w:rsidRPr="003C18D8">
        <w:rPr>
          <w:rFonts w:cs="Times New Roman"/>
          <w:noProof/>
          <w:szCs w:val="24"/>
        </w:rPr>
        <w:t xml:space="preserve"> 12(1): 1–11. DOI: 10.3390/admsci12010001.</w:t>
      </w:r>
    </w:p>
    <w:p w14:paraId="1B68FC19"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Roper S and Turner J (2020) R&amp;D and innovation after COVID-19: What can we expect? A review of prior research and data trends after the great financial crisis. </w:t>
      </w:r>
      <w:r w:rsidRPr="003C18D8">
        <w:rPr>
          <w:rFonts w:cs="Times New Roman"/>
          <w:i/>
          <w:iCs/>
          <w:noProof/>
          <w:szCs w:val="24"/>
        </w:rPr>
        <w:t>International Small Business Journal: Researching Entrepreneurship</w:t>
      </w:r>
      <w:r w:rsidRPr="003C18D8">
        <w:rPr>
          <w:rFonts w:cs="Times New Roman"/>
          <w:noProof/>
          <w:szCs w:val="24"/>
        </w:rPr>
        <w:t xml:space="preserve"> 38(6): 504–514. DOI: 10.1177/0266242620947946.</w:t>
      </w:r>
    </w:p>
    <w:p w14:paraId="259BF8B7"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Rowan NJ and Galanakis CM (2020) Unlocking challenges and opportunities presented by COVID-19 pandemic for cross-cutting disruption in agri-food and green deal innovations: Quo Vadis? </w:t>
      </w:r>
      <w:r w:rsidRPr="003C18D8">
        <w:rPr>
          <w:rFonts w:cs="Times New Roman"/>
          <w:i/>
          <w:iCs/>
          <w:noProof/>
          <w:szCs w:val="24"/>
        </w:rPr>
        <w:lastRenderedPageBreak/>
        <w:t>Science of The Total Environment</w:t>
      </w:r>
      <w:r w:rsidRPr="003C18D8">
        <w:rPr>
          <w:rFonts w:cs="Times New Roman"/>
          <w:noProof/>
          <w:szCs w:val="24"/>
        </w:rPr>
        <w:t xml:space="preserve"> 748: 141362. DOI: 10.1016/j.scitotenv.2020.141362.</w:t>
      </w:r>
    </w:p>
    <w:p w14:paraId="6BA14FB5"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Schilke O (2014) On the contingent value of dynamic capabilities for competitive advantage: The nonlinear moderating effect of environmental dynamism. </w:t>
      </w:r>
      <w:r w:rsidRPr="003C18D8">
        <w:rPr>
          <w:rFonts w:cs="Times New Roman"/>
          <w:i/>
          <w:iCs/>
          <w:noProof/>
          <w:szCs w:val="24"/>
        </w:rPr>
        <w:t>Strategic Management Journal</w:t>
      </w:r>
      <w:r w:rsidRPr="003C18D8">
        <w:rPr>
          <w:rFonts w:cs="Times New Roman"/>
          <w:noProof/>
          <w:szCs w:val="24"/>
        </w:rPr>
        <w:t xml:space="preserve"> 35(2): 179–203. DOI: 10.1002/smj.2099.</w:t>
      </w:r>
    </w:p>
    <w:p w14:paraId="267BBAAE"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Seetharaman P (2020) Business models shifts: Impact of Covid-19. </w:t>
      </w:r>
      <w:r w:rsidRPr="003C18D8">
        <w:rPr>
          <w:rFonts w:cs="Times New Roman"/>
          <w:i/>
          <w:iCs/>
          <w:noProof/>
          <w:szCs w:val="24"/>
        </w:rPr>
        <w:t>International Journal of Information Management</w:t>
      </w:r>
      <w:r w:rsidRPr="003C18D8">
        <w:rPr>
          <w:rFonts w:cs="Times New Roman"/>
          <w:noProof/>
          <w:szCs w:val="24"/>
        </w:rPr>
        <w:t xml:space="preserve"> 54: 102173. DOI: 10.1016/j.ijinfomgt.2020.102173.</w:t>
      </w:r>
    </w:p>
    <w:p w14:paraId="73B57CA6"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Smallbone D, Baldock R and North D (2003) Policy Support for Small Firms in Rural Areas: The English Experience. </w:t>
      </w:r>
      <w:r w:rsidRPr="003C18D8">
        <w:rPr>
          <w:rFonts w:cs="Times New Roman"/>
          <w:i/>
          <w:iCs/>
          <w:noProof/>
          <w:szCs w:val="24"/>
        </w:rPr>
        <w:t>Environment and Planning C: Government and Policy</w:t>
      </w:r>
      <w:r w:rsidRPr="003C18D8">
        <w:rPr>
          <w:rFonts w:cs="Times New Roman"/>
          <w:noProof/>
          <w:szCs w:val="24"/>
        </w:rPr>
        <w:t xml:space="preserve"> 21(6): 825–841. DOI: 10.1068/c0316.</w:t>
      </w:r>
    </w:p>
    <w:p w14:paraId="147BEB89"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Sosna M, Trevinyo-Rodríguez RN and Velamuri SR (2010) Business Model Innovation through Trial-and-Error Learning. </w:t>
      </w:r>
      <w:r w:rsidRPr="003C18D8">
        <w:rPr>
          <w:rFonts w:cs="Times New Roman"/>
          <w:i/>
          <w:iCs/>
          <w:noProof/>
          <w:szCs w:val="24"/>
        </w:rPr>
        <w:t>Long Range Planning</w:t>
      </w:r>
      <w:r w:rsidRPr="003C18D8">
        <w:rPr>
          <w:rFonts w:cs="Times New Roman"/>
          <w:noProof/>
          <w:szCs w:val="24"/>
        </w:rPr>
        <w:t xml:space="preserve"> 43(2–3): 383–407. DOI: 10.1016/j.lrp.2010.02.003.</w:t>
      </w:r>
    </w:p>
    <w:p w14:paraId="7107AABA"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Sterlacchini A and Venturini F (2019) R&amp;D tax incentives in EU countries: does the impact vary with firm size? </w:t>
      </w:r>
      <w:r w:rsidRPr="003C18D8">
        <w:rPr>
          <w:rFonts w:cs="Times New Roman"/>
          <w:i/>
          <w:iCs/>
          <w:noProof/>
          <w:szCs w:val="24"/>
        </w:rPr>
        <w:t>Small Business Economics</w:t>
      </w:r>
      <w:r w:rsidRPr="003C18D8">
        <w:rPr>
          <w:rFonts w:cs="Times New Roman"/>
          <w:noProof/>
          <w:szCs w:val="24"/>
        </w:rPr>
        <w:t xml:space="preserve"> 53(3). Small Business Economics: 687–708. DOI: 10.1007/s11187-018-0074-9.</w:t>
      </w:r>
    </w:p>
    <w:p w14:paraId="4E2D981B"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Teece DJ (2007) Explicating dynamic capabilities: The nature and microfoundations of (sustainable) enterprise performance. </w:t>
      </w:r>
      <w:r w:rsidRPr="003C18D8">
        <w:rPr>
          <w:rFonts w:cs="Times New Roman"/>
          <w:i/>
          <w:iCs/>
          <w:noProof/>
          <w:szCs w:val="24"/>
        </w:rPr>
        <w:t>Strategic Management Journal</w:t>
      </w:r>
      <w:r w:rsidRPr="003C18D8">
        <w:rPr>
          <w:rFonts w:cs="Times New Roman"/>
          <w:noProof/>
          <w:szCs w:val="24"/>
        </w:rPr>
        <w:t xml:space="preserve"> 28(13): 1319–1350. DOI: 10.1002/smj.</w:t>
      </w:r>
    </w:p>
    <w:p w14:paraId="46312B6F"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Teece DJ (2018) Business models and dynamic capabilities. </w:t>
      </w:r>
      <w:r w:rsidRPr="003C18D8">
        <w:rPr>
          <w:rFonts w:cs="Times New Roman"/>
          <w:i/>
          <w:iCs/>
          <w:noProof/>
          <w:szCs w:val="24"/>
        </w:rPr>
        <w:t>Long Range Planning</w:t>
      </w:r>
      <w:r w:rsidRPr="003C18D8">
        <w:rPr>
          <w:rFonts w:cs="Times New Roman"/>
          <w:noProof/>
          <w:szCs w:val="24"/>
        </w:rPr>
        <w:t xml:space="preserve"> 51(1): 40–49. DOI: 10.1016/j.lrp.2017.06.007.</w:t>
      </w:r>
    </w:p>
    <w:p w14:paraId="675C232E"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Teece DJ and Pisano G (1994) The dynamic capabilities of firms: An introduction. </w:t>
      </w:r>
      <w:r w:rsidRPr="003C18D8">
        <w:rPr>
          <w:rFonts w:cs="Times New Roman"/>
          <w:i/>
          <w:iCs/>
          <w:noProof/>
          <w:szCs w:val="24"/>
        </w:rPr>
        <w:t>Industrial and Corporate Change</w:t>
      </w:r>
      <w:r w:rsidRPr="003C18D8">
        <w:rPr>
          <w:rFonts w:cs="Times New Roman"/>
          <w:noProof/>
          <w:szCs w:val="24"/>
        </w:rPr>
        <w:t xml:space="preserve"> 3(3). Oxford University Press: 537–556. DOI: 10.1093/icc/3.3.537-a.</w:t>
      </w:r>
    </w:p>
    <w:p w14:paraId="54BE7E17"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Teece DJ, Pisano G and Shuen A (1997) Dynamic capabilities and strategic management. </w:t>
      </w:r>
      <w:r w:rsidRPr="003C18D8">
        <w:rPr>
          <w:rFonts w:cs="Times New Roman"/>
          <w:i/>
          <w:iCs/>
          <w:noProof/>
          <w:szCs w:val="24"/>
        </w:rPr>
        <w:t>Strategic Management Journal</w:t>
      </w:r>
      <w:r w:rsidRPr="003C18D8">
        <w:rPr>
          <w:rFonts w:cs="Times New Roman"/>
          <w:noProof/>
          <w:szCs w:val="24"/>
        </w:rPr>
        <w:t xml:space="preserve"> 18(7): 509–533.</w:t>
      </w:r>
    </w:p>
    <w:p w14:paraId="2AF82527"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Venâncio A, Barros V and Raposo C (2022) Corporate taxes and high-quality entrepreneurship. </w:t>
      </w:r>
      <w:r w:rsidRPr="003C18D8">
        <w:rPr>
          <w:rFonts w:cs="Times New Roman"/>
          <w:i/>
          <w:iCs/>
          <w:noProof/>
          <w:szCs w:val="24"/>
        </w:rPr>
        <w:t>Small Business Economics</w:t>
      </w:r>
      <w:r w:rsidRPr="003C18D8">
        <w:rPr>
          <w:rFonts w:cs="Times New Roman"/>
          <w:noProof/>
          <w:szCs w:val="24"/>
        </w:rPr>
        <w:t xml:space="preserve"> 58(1). Small Business Economics: 353–382. DOI: 10.1007/s11187-020-00413-0.</w:t>
      </w:r>
    </w:p>
    <w:p w14:paraId="0CB6191F"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Wiklund J and Shepherd D (2003) Aspiring for, and Achieving Growth: The Moderating Role of Resources and Opportunities*. </w:t>
      </w:r>
      <w:r w:rsidRPr="003C18D8">
        <w:rPr>
          <w:rFonts w:cs="Times New Roman"/>
          <w:i/>
          <w:iCs/>
          <w:noProof/>
          <w:szCs w:val="24"/>
        </w:rPr>
        <w:t>Journal of Management Studies</w:t>
      </w:r>
      <w:r w:rsidRPr="003C18D8">
        <w:rPr>
          <w:rFonts w:cs="Times New Roman"/>
          <w:noProof/>
          <w:szCs w:val="24"/>
        </w:rPr>
        <w:t xml:space="preserve"> 40(8). Edward Elgar Publishing: 1919–1941. DOI: 10.1046/j.1467-6486.2003.00406.x.</w:t>
      </w:r>
    </w:p>
    <w:p w14:paraId="40EE6678"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Wilden R, Devinney TM and Dowling GR (2016) The Architecture of Dynamic Capability Research Identifying the Building Blocks of a Configurational Approach. </w:t>
      </w:r>
      <w:r w:rsidRPr="003C18D8">
        <w:rPr>
          <w:rFonts w:cs="Times New Roman"/>
          <w:i/>
          <w:iCs/>
          <w:noProof/>
          <w:szCs w:val="24"/>
        </w:rPr>
        <w:t>Academy of Management Annals</w:t>
      </w:r>
      <w:r w:rsidRPr="003C18D8">
        <w:rPr>
          <w:rFonts w:cs="Times New Roman"/>
          <w:noProof/>
          <w:szCs w:val="24"/>
        </w:rPr>
        <w:t xml:space="preserve"> 10(1): 997–1076. DOI: 10.1080/19416520.2016.1161966.</w:t>
      </w:r>
    </w:p>
    <w:p w14:paraId="14DDE9E1"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Wilhelm H, Schlömer M and Maurer I (2015) How dynamic capabilities affect the effectiveness and efficiency of operating routines under high and low levels of environmental dynamism. </w:t>
      </w:r>
      <w:r w:rsidRPr="003C18D8">
        <w:rPr>
          <w:rFonts w:cs="Times New Roman"/>
          <w:i/>
          <w:iCs/>
          <w:noProof/>
          <w:szCs w:val="24"/>
        </w:rPr>
        <w:lastRenderedPageBreak/>
        <w:t>British Journal of Management</w:t>
      </w:r>
      <w:r w:rsidRPr="003C18D8">
        <w:rPr>
          <w:rFonts w:cs="Times New Roman"/>
          <w:noProof/>
          <w:szCs w:val="24"/>
        </w:rPr>
        <w:t xml:space="preserve"> 26(2): 327–345. DOI: 10.1111/1467-8551.12085.</w:t>
      </w:r>
    </w:p>
    <w:p w14:paraId="20621FE0"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Winter SG (2000) The Satisficing Principle in Capability Learning. </w:t>
      </w:r>
      <w:r w:rsidRPr="003C18D8">
        <w:rPr>
          <w:rFonts w:cs="Times New Roman"/>
          <w:i/>
          <w:iCs/>
          <w:noProof/>
          <w:szCs w:val="24"/>
        </w:rPr>
        <w:t>Strategic Management Journal</w:t>
      </w:r>
      <w:r w:rsidRPr="003C18D8">
        <w:rPr>
          <w:rFonts w:cs="Times New Roman"/>
          <w:noProof/>
          <w:szCs w:val="24"/>
        </w:rPr>
        <w:t xml:space="preserve"> 21: 981–996. DOI: https://doi.org/10.1002/1097-0266.</w:t>
      </w:r>
    </w:p>
    <w:p w14:paraId="6F6DA49F"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Winter SG (2003) Understanding Dynamic Capabilities. </w:t>
      </w:r>
      <w:r w:rsidRPr="003C18D8">
        <w:rPr>
          <w:rFonts w:cs="Times New Roman"/>
          <w:i/>
          <w:iCs/>
          <w:noProof/>
          <w:szCs w:val="24"/>
        </w:rPr>
        <w:t>Strategic Management Journal</w:t>
      </w:r>
      <w:r w:rsidRPr="003C18D8">
        <w:rPr>
          <w:rFonts w:cs="Times New Roman"/>
          <w:noProof/>
          <w:szCs w:val="24"/>
        </w:rPr>
        <w:t xml:space="preserve"> 24(10): 991–995. DOI: 10.1002/smj.318.</w:t>
      </w:r>
    </w:p>
    <w:p w14:paraId="5C515634" w14:textId="77777777" w:rsidR="003C18D8" w:rsidRPr="003C18D8" w:rsidRDefault="003C18D8" w:rsidP="003C18D8">
      <w:pPr>
        <w:widowControl w:val="0"/>
        <w:autoSpaceDE w:val="0"/>
        <w:autoSpaceDN w:val="0"/>
        <w:adjustRightInd w:val="0"/>
        <w:spacing w:after="0"/>
        <w:ind w:left="480" w:hanging="480"/>
        <w:rPr>
          <w:rFonts w:cs="Times New Roman"/>
          <w:noProof/>
          <w:szCs w:val="24"/>
        </w:rPr>
      </w:pPr>
      <w:r w:rsidRPr="003C18D8">
        <w:rPr>
          <w:rFonts w:cs="Times New Roman"/>
          <w:noProof/>
          <w:szCs w:val="24"/>
        </w:rPr>
        <w:t xml:space="preserve">Yue W and Cowling M (2021) The Covid-19 lockdown in the United Kingdom and subjective well-being: Have the self-employed suffered more due to hours and income reductions? </w:t>
      </w:r>
      <w:r w:rsidRPr="003C18D8">
        <w:rPr>
          <w:rFonts w:cs="Times New Roman"/>
          <w:i/>
          <w:iCs/>
          <w:noProof/>
          <w:szCs w:val="24"/>
        </w:rPr>
        <w:t>International Small Business Journal: Researching Entrepreneurship</w:t>
      </w:r>
      <w:r w:rsidRPr="003C18D8">
        <w:rPr>
          <w:rFonts w:cs="Times New Roman"/>
          <w:noProof/>
          <w:szCs w:val="24"/>
        </w:rPr>
        <w:t xml:space="preserve"> 39(2): 93–108. DOI: 10.1177/0266242620986763.</w:t>
      </w:r>
    </w:p>
    <w:p w14:paraId="3764FF34" w14:textId="77777777" w:rsidR="003C18D8" w:rsidRPr="003C18D8" w:rsidRDefault="003C18D8" w:rsidP="003C18D8">
      <w:pPr>
        <w:widowControl w:val="0"/>
        <w:autoSpaceDE w:val="0"/>
        <w:autoSpaceDN w:val="0"/>
        <w:adjustRightInd w:val="0"/>
        <w:spacing w:after="0"/>
        <w:ind w:left="480" w:hanging="480"/>
        <w:rPr>
          <w:rFonts w:cs="Times New Roman"/>
          <w:noProof/>
        </w:rPr>
      </w:pPr>
      <w:r w:rsidRPr="003C18D8">
        <w:rPr>
          <w:rFonts w:cs="Times New Roman"/>
          <w:noProof/>
          <w:szCs w:val="24"/>
        </w:rPr>
        <w:t xml:space="preserve">Zahra SA, Sapienza HJ and Davidsson P (2006) Entrepreneurship and dynamic capabilities: A review, model and research agenda. </w:t>
      </w:r>
      <w:r w:rsidRPr="003C18D8">
        <w:rPr>
          <w:rFonts w:cs="Times New Roman"/>
          <w:i/>
          <w:iCs/>
          <w:noProof/>
          <w:szCs w:val="24"/>
        </w:rPr>
        <w:t>Journal of Management Studies</w:t>
      </w:r>
      <w:r w:rsidRPr="003C18D8">
        <w:rPr>
          <w:rFonts w:cs="Times New Roman"/>
          <w:noProof/>
          <w:szCs w:val="24"/>
        </w:rPr>
        <w:t xml:space="preserve"> 43(4): 917–955. DOI: 10.1111/j.1467-6486.2006.00616.x.</w:t>
      </w:r>
    </w:p>
    <w:p w14:paraId="4B15D578" w14:textId="3654144F" w:rsidR="00973ACA" w:rsidRPr="001C2C36" w:rsidRDefault="0031710D" w:rsidP="00973ACA">
      <w:pPr>
        <w:spacing w:after="0"/>
        <w:rPr>
          <w:rFonts w:cs="Times New Roman"/>
          <w:szCs w:val="24"/>
        </w:rPr>
      </w:pPr>
      <w:r w:rsidRPr="001C2C36">
        <w:rPr>
          <w:rFonts w:cs="Times New Roman"/>
          <w:szCs w:val="24"/>
        </w:rPr>
        <w:fldChar w:fldCharType="end"/>
      </w:r>
    </w:p>
    <w:p w14:paraId="7B157D1A" w14:textId="026D3D6B" w:rsidR="006F6A4C" w:rsidRPr="001C2C36" w:rsidRDefault="006F6A4C">
      <w:pPr>
        <w:spacing w:line="259" w:lineRule="auto"/>
        <w:rPr>
          <w:rFonts w:cs="Times New Roman"/>
          <w:szCs w:val="24"/>
        </w:rPr>
      </w:pPr>
      <w:r w:rsidRPr="001C2C36">
        <w:rPr>
          <w:rFonts w:cs="Times New Roman"/>
          <w:szCs w:val="24"/>
        </w:rPr>
        <w:br w:type="page"/>
      </w:r>
    </w:p>
    <w:p w14:paraId="71BB710D" w14:textId="77058CB4" w:rsidR="00FB4926" w:rsidRPr="001C2C36" w:rsidRDefault="00A92D5F" w:rsidP="00A92D5F">
      <w:pPr>
        <w:pStyle w:val="Heading1"/>
        <w:rPr>
          <w:rFonts w:cs="Times New Roman"/>
        </w:rPr>
        <w:sectPr w:rsidR="00FB4926" w:rsidRPr="001C2C36" w:rsidSect="007C6248">
          <w:footerReference w:type="default" r:id="rId12"/>
          <w:endnotePr>
            <w:numFmt w:val="decimal"/>
          </w:endnotePr>
          <w:pgSz w:w="11906" w:h="16838"/>
          <w:pgMar w:top="1134" w:right="1134" w:bottom="1134" w:left="1134" w:header="709" w:footer="709" w:gutter="0"/>
          <w:cols w:space="708"/>
          <w:docGrid w:linePitch="360"/>
        </w:sectPr>
      </w:pPr>
      <w:r w:rsidRPr="001C2C36">
        <w:rPr>
          <w:rFonts w:cs="Times New Roman"/>
        </w:rPr>
        <w:lastRenderedPageBreak/>
        <w:t>Endnotes</w:t>
      </w:r>
    </w:p>
    <w:p w14:paraId="252DB38F" w14:textId="77777777" w:rsidR="006643BE" w:rsidRPr="001C2C36" w:rsidRDefault="00E37DB1" w:rsidP="00CF7A5E">
      <w:pPr>
        <w:pStyle w:val="Heading2"/>
        <w:rPr>
          <w:rFonts w:ascii="Times New Roman" w:hAnsi="Times New Roman" w:cs="Times New Roman"/>
          <w:szCs w:val="24"/>
        </w:rPr>
      </w:pPr>
      <w:r w:rsidRPr="001C2C36">
        <w:rPr>
          <w:rFonts w:ascii="Times New Roman" w:hAnsi="Times New Roman" w:cs="Times New Roman"/>
          <w:szCs w:val="24"/>
        </w:rPr>
        <w:lastRenderedPageBreak/>
        <w:t xml:space="preserve">Appendix </w:t>
      </w:r>
      <w:r w:rsidR="000C6D3B" w:rsidRPr="001C2C36">
        <w:rPr>
          <w:rFonts w:ascii="Times New Roman" w:hAnsi="Times New Roman" w:cs="Times New Roman"/>
          <w:szCs w:val="24"/>
        </w:rPr>
        <w:t>One</w:t>
      </w:r>
    </w:p>
    <w:p w14:paraId="7B67429A" w14:textId="71AE807A" w:rsidR="00E37DB1" w:rsidRPr="001C2C36" w:rsidRDefault="00E37DB1" w:rsidP="006643BE">
      <w:pPr>
        <w:pStyle w:val="Caption"/>
        <w:rPr>
          <w:rFonts w:ascii="Times New Roman" w:hAnsi="Times New Roman"/>
        </w:rPr>
      </w:pPr>
      <w:r w:rsidRPr="001C2C36">
        <w:rPr>
          <w:rFonts w:ascii="Times New Roman" w:hAnsi="Times New Roman"/>
        </w:rPr>
        <w:t xml:space="preserve">Table </w:t>
      </w:r>
      <w:r w:rsidRPr="001C2C36">
        <w:rPr>
          <w:rFonts w:ascii="Times New Roman" w:hAnsi="Times New Roman"/>
        </w:rPr>
        <w:fldChar w:fldCharType="begin"/>
      </w:r>
      <w:r w:rsidRPr="001C2C36">
        <w:rPr>
          <w:rFonts w:ascii="Times New Roman" w:hAnsi="Times New Roman"/>
        </w:rPr>
        <w:instrText xml:space="preserve"> SEQ Table \* ARABIC </w:instrText>
      </w:r>
      <w:r w:rsidRPr="001C2C36">
        <w:rPr>
          <w:rFonts w:ascii="Times New Roman" w:hAnsi="Times New Roman"/>
        </w:rPr>
        <w:fldChar w:fldCharType="separate"/>
      </w:r>
      <w:r w:rsidR="00A43FC5">
        <w:rPr>
          <w:rFonts w:ascii="Times New Roman" w:hAnsi="Times New Roman"/>
          <w:noProof/>
        </w:rPr>
        <w:t>4</w:t>
      </w:r>
      <w:r w:rsidRPr="001C2C36">
        <w:rPr>
          <w:rFonts w:ascii="Times New Roman" w:hAnsi="Times New Roman"/>
        </w:rPr>
        <w:fldChar w:fldCharType="end"/>
      </w:r>
      <w:r w:rsidRPr="001C2C36">
        <w:rPr>
          <w:rFonts w:ascii="Times New Roman" w:hAnsi="Times New Roman"/>
        </w:rPr>
        <w:t xml:space="preserve"> Descriptive statistics </w:t>
      </w:r>
      <w:r w:rsidR="003572E4" w:rsidRPr="001C2C36">
        <w:rPr>
          <w:rFonts w:ascii="Times New Roman" w:hAnsi="Times New Roman"/>
        </w:rPr>
        <w:t>–</w:t>
      </w:r>
      <w:r w:rsidRPr="001C2C36">
        <w:rPr>
          <w:rFonts w:ascii="Times New Roman" w:hAnsi="Times New Roman"/>
        </w:rPr>
        <w:t xml:space="preserve"> </w:t>
      </w:r>
      <w:r w:rsidR="003572E4" w:rsidRPr="001C2C36">
        <w:rPr>
          <w:rFonts w:ascii="Times New Roman" w:hAnsi="Times New Roman"/>
        </w:rPr>
        <w:t>full data</w:t>
      </w:r>
      <w:r w:rsidRPr="001C2C36">
        <w:rPr>
          <w:rFonts w:ascii="Times New Roman" w:hAnsi="Times New Roman"/>
        </w:rPr>
        <w:t>.</w:t>
      </w:r>
    </w:p>
    <w:tbl>
      <w:tblPr>
        <w:tblStyle w:val="TableGridLight"/>
        <w:tblW w:w="6368" w:type="dxa"/>
        <w:jc w:val="center"/>
        <w:tblLook w:val="04A0" w:firstRow="1" w:lastRow="0" w:firstColumn="1" w:lastColumn="0" w:noHBand="0" w:noVBand="1"/>
      </w:tblPr>
      <w:tblGrid>
        <w:gridCol w:w="2798"/>
        <w:gridCol w:w="960"/>
        <w:gridCol w:w="960"/>
        <w:gridCol w:w="1650"/>
      </w:tblGrid>
      <w:tr w:rsidR="003572E4" w:rsidRPr="001C2C36" w14:paraId="3A82FF58" w14:textId="77777777" w:rsidTr="003572E4">
        <w:trPr>
          <w:trHeight w:val="324"/>
          <w:jc w:val="center"/>
        </w:trPr>
        <w:tc>
          <w:tcPr>
            <w:tcW w:w="2798" w:type="dxa"/>
            <w:tcBorders>
              <w:top w:val="single" w:sz="4" w:space="0" w:color="auto"/>
              <w:left w:val="single" w:sz="4" w:space="0" w:color="auto"/>
              <w:bottom w:val="single" w:sz="4" w:space="0" w:color="auto"/>
            </w:tcBorders>
            <w:noWrap/>
            <w:hideMark/>
          </w:tcPr>
          <w:p w14:paraId="6E7244E0" w14:textId="77777777" w:rsidR="003572E4" w:rsidRPr="001C2C36" w:rsidRDefault="003572E4" w:rsidP="00123D74">
            <w:pPr>
              <w:spacing w:line="240" w:lineRule="auto"/>
              <w:rPr>
                <w:rFonts w:eastAsia="Times New Roman" w:cs="Times New Roman"/>
                <w:b/>
                <w:bCs/>
                <w:szCs w:val="24"/>
                <w:lang w:eastAsia="en-GB"/>
              </w:rPr>
            </w:pPr>
          </w:p>
        </w:tc>
        <w:tc>
          <w:tcPr>
            <w:tcW w:w="960" w:type="dxa"/>
            <w:tcBorders>
              <w:top w:val="single" w:sz="4" w:space="0" w:color="auto"/>
              <w:bottom w:val="single" w:sz="4" w:space="0" w:color="auto"/>
            </w:tcBorders>
            <w:noWrap/>
            <w:hideMark/>
          </w:tcPr>
          <w:p w14:paraId="30C92762" w14:textId="77777777" w:rsidR="003572E4" w:rsidRPr="001C2C36" w:rsidRDefault="003572E4" w:rsidP="00123D74">
            <w:pPr>
              <w:spacing w:line="240" w:lineRule="auto"/>
              <w:rPr>
                <w:rFonts w:eastAsia="Times New Roman" w:cs="Times New Roman"/>
                <w:b/>
                <w:bCs/>
                <w:color w:val="000000"/>
                <w:szCs w:val="24"/>
                <w:lang w:eastAsia="en-GB"/>
              </w:rPr>
            </w:pPr>
            <w:r w:rsidRPr="001C2C36">
              <w:rPr>
                <w:rFonts w:eastAsia="Times New Roman" w:cs="Times New Roman"/>
                <w:b/>
                <w:bCs/>
                <w:color w:val="000000"/>
                <w:szCs w:val="24"/>
                <w:lang w:eastAsia="en-GB"/>
              </w:rPr>
              <w:t>Count</w:t>
            </w:r>
          </w:p>
        </w:tc>
        <w:tc>
          <w:tcPr>
            <w:tcW w:w="960" w:type="dxa"/>
            <w:tcBorders>
              <w:top w:val="single" w:sz="4" w:space="0" w:color="auto"/>
              <w:bottom w:val="single" w:sz="4" w:space="0" w:color="auto"/>
            </w:tcBorders>
            <w:noWrap/>
            <w:hideMark/>
          </w:tcPr>
          <w:p w14:paraId="2FF8A48F" w14:textId="77777777" w:rsidR="003572E4" w:rsidRPr="001C2C36" w:rsidRDefault="003572E4" w:rsidP="00123D74">
            <w:pPr>
              <w:spacing w:line="240" w:lineRule="auto"/>
              <w:rPr>
                <w:rFonts w:eastAsia="Times New Roman" w:cs="Times New Roman"/>
                <w:b/>
                <w:bCs/>
                <w:color w:val="000000"/>
                <w:szCs w:val="24"/>
                <w:lang w:eastAsia="en-GB"/>
              </w:rPr>
            </w:pPr>
            <w:r w:rsidRPr="001C2C36">
              <w:rPr>
                <w:rFonts w:eastAsia="Times New Roman" w:cs="Times New Roman"/>
                <w:b/>
                <w:bCs/>
                <w:color w:val="000000"/>
                <w:szCs w:val="24"/>
                <w:lang w:eastAsia="en-GB"/>
              </w:rPr>
              <w:t>Mean</w:t>
            </w:r>
          </w:p>
        </w:tc>
        <w:tc>
          <w:tcPr>
            <w:tcW w:w="1650" w:type="dxa"/>
            <w:tcBorders>
              <w:top w:val="single" w:sz="4" w:space="0" w:color="auto"/>
              <w:bottom w:val="single" w:sz="4" w:space="0" w:color="auto"/>
              <w:right w:val="single" w:sz="4" w:space="0" w:color="auto"/>
            </w:tcBorders>
            <w:noWrap/>
            <w:hideMark/>
          </w:tcPr>
          <w:p w14:paraId="70CDC023" w14:textId="77777777" w:rsidR="003572E4" w:rsidRPr="001C2C36" w:rsidRDefault="003572E4" w:rsidP="00123D74">
            <w:pPr>
              <w:spacing w:line="240" w:lineRule="auto"/>
              <w:rPr>
                <w:rFonts w:eastAsia="Times New Roman" w:cs="Times New Roman"/>
                <w:b/>
                <w:bCs/>
                <w:color w:val="000000"/>
                <w:szCs w:val="24"/>
                <w:lang w:eastAsia="en-GB"/>
              </w:rPr>
            </w:pPr>
            <w:r w:rsidRPr="001C2C36">
              <w:rPr>
                <w:rFonts w:eastAsia="Times New Roman" w:cs="Times New Roman"/>
                <w:b/>
                <w:bCs/>
                <w:color w:val="000000"/>
                <w:szCs w:val="24"/>
                <w:lang w:eastAsia="en-GB"/>
              </w:rPr>
              <w:t>St. Dev.</w:t>
            </w:r>
          </w:p>
        </w:tc>
      </w:tr>
      <w:tr w:rsidR="003572E4" w:rsidRPr="001C2C36" w14:paraId="5B8E87E1" w14:textId="77777777" w:rsidTr="003572E4">
        <w:trPr>
          <w:trHeight w:val="324"/>
          <w:jc w:val="center"/>
        </w:trPr>
        <w:tc>
          <w:tcPr>
            <w:tcW w:w="6368" w:type="dxa"/>
            <w:gridSpan w:val="4"/>
            <w:tcBorders>
              <w:top w:val="single" w:sz="4" w:space="0" w:color="auto"/>
              <w:left w:val="single" w:sz="4" w:space="0" w:color="auto"/>
              <w:bottom w:val="single" w:sz="4" w:space="0" w:color="auto"/>
              <w:right w:val="single" w:sz="4" w:space="0" w:color="auto"/>
            </w:tcBorders>
            <w:hideMark/>
          </w:tcPr>
          <w:p w14:paraId="4E8AA6BD" w14:textId="77777777" w:rsidR="003572E4" w:rsidRPr="001C2C36" w:rsidRDefault="003572E4" w:rsidP="00123D74">
            <w:pPr>
              <w:spacing w:line="240" w:lineRule="auto"/>
              <w:rPr>
                <w:rFonts w:eastAsia="Times New Roman" w:cs="Times New Roman"/>
                <w:b/>
                <w:bCs/>
                <w:color w:val="000000"/>
                <w:szCs w:val="24"/>
                <w:lang w:eastAsia="en-GB"/>
              </w:rPr>
            </w:pPr>
            <w:r w:rsidRPr="001C2C36">
              <w:rPr>
                <w:rFonts w:eastAsia="Times New Roman" w:cs="Times New Roman"/>
                <w:b/>
                <w:bCs/>
                <w:color w:val="000000"/>
                <w:szCs w:val="24"/>
                <w:lang w:eastAsia="en-GB"/>
              </w:rPr>
              <w:t>Change in employment</w:t>
            </w:r>
          </w:p>
        </w:tc>
      </w:tr>
      <w:tr w:rsidR="003572E4" w:rsidRPr="001C2C36" w14:paraId="2E765F94" w14:textId="77777777" w:rsidTr="003572E4">
        <w:trPr>
          <w:trHeight w:val="324"/>
          <w:jc w:val="center"/>
        </w:trPr>
        <w:tc>
          <w:tcPr>
            <w:tcW w:w="2798" w:type="dxa"/>
            <w:tcBorders>
              <w:top w:val="single" w:sz="4" w:space="0" w:color="auto"/>
              <w:left w:val="single" w:sz="4" w:space="0" w:color="auto"/>
            </w:tcBorders>
            <w:noWrap/>
            <w:hideMark/>
          </w:tcPr>
          <w:p w14:paraId="05FFA918" w14:textId="1CB91924" w:rsidR="003572E4" w:rsidRPr="001C2C36" w:rsidRDefault="00AB6484" w:rsidP="00123D74">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2019-2020</w:t>
            </w:r>
          </w:p>
        </w:tc>
        <w:tc>
          <w:tcPr>
            <w:tcW w:w="960" w:type="dxa"/>
            <w:tcBorders>
              <w:top w:val="single" w:sz="4" w:space="0" w:color="auto"/>
            </w:tcBorders>
            <w:noWrap/>
            <w:hideMark/>
          </w:tcPr>
          <w:p w14:paraId="3C06B5D7"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7,625</w:t>
            </w:r>
          </w:p>
        </w:tc>
        <w:tc>
          <w:tcPr>
            <w:tcW w:w="960" w:type="dxa"/>
            <w:tcBorders>
              <w:top w:val="single" w:sz="4" w:space="0" w:color="auto"/>
            </w:tcBorders>
            <w:noWrap/>
            <w:hideMark/>
          </w:tcPr>
          <w:p w14:paraId="687AD4D1"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2.12</w:t>
            </w:r>
          </w:p>
        </w:tc>
        <w:tc>
          <w:tcPr>
            <w:tcW w:w="1650" w:type="dxa"/>
            <w:tcBorders>
              <w:top w:val="single" w:sz="4" w:space="0" w:color="auto"/>
              <w:right w:val="single" w:sz="4" w:space="0" w:color="auto"/>
            </w:tcBorders>
            <w:noWrap/>
            <w:hideMark/>
          </w:tcPr>
          <w:p w14:paraId="4B433C5A"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0.72</w:t>
            </w:r>
          </w:p>
        </w:tc>
      </w:tr>
      <w:tr w:rsidR="003572E4" w:rsidRPr="001C2C36" w14:paraId="153734E2" w14:textId="77777777" w:rsidTr="003572E4">
        <w:trPr>
          <w:trHeight w:val="324"/>
          <w:jc w:val="center"/>
        </w:trPr>
        <w:tc>
          <w:tcPr>
            <w:tcW w:w="2798" w:type="dxa"/>
            <w:tcBorders>
              <w:left w:val="single" w:sz="4" w:space="0" w:color="auto"/>
              <w:bottom w:val="single" w:sz="4" w:space="0" w:color="auto"/>
            </w:tcBorders>
            <w:noWrap/>
            <w:hideMark/>
          </w:tcPr>
          <w:p w14:paraId="0E3D6FA2" w14:textId="714F7F75" w:rsidR="003572E4" w:rsidRPr="001C2C36" w:rsidRDefault="00AB6484" w:rsidP="00123D74">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2020-2021</w:t>
            </w:r>
          </w:p>
        </w:tc>
        <w:tc>
          <w:tcPr>
            <w:tcW w:w="960" w:type="dxa"/>
            <w:tcBorders>
              <w:bottom w:val="single" w:sz="4" w:space="0" w:color="auto"/>
            </w:tcBorders>
            <w:noWrap/>
            <w:hideMark/>
          </w:tcPr>
          <w:p w14:paraId="65F05C89"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7,152</w:t>
            </w:r>
          </w:p>
        </w:tc>
        <w:tc>
          <w:tcPr>
            <w:tcW w:w="960" w:type="dxa"/>
            <w:tcBorders>
              <w:bottom w:val="single" w:sz="4" w:space="0" w:color="auto"/>
            </w:tcBorders>
            <w:noWrap/>
            <w:hideMark/>
          </w:tcPr>
          <w:p w14:paraId="511AE6EF"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2.19</w:t>
            </w:r>
          </w:p>
        </w:tc>
        <w:tc>
          <w:tcPr>
            <w:tcW w:w="1650" w:type="dxa"/>
            <w:tcBorders>
              <w:bottom w:val="single" w:sz="4" w:space="0" w:color="auto"/>
              <w:right w:val="single" w:sz="4" w:space="0" w:color="auto"/>
            </w:tcBorders>
            <w:noWrap/>
            <w:hideMark/>
          </w:tcPr>
          <w:p w14:paraId="101A3FA3"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0.55</w:t>
            </w:r>
          </w:p>
        </w:tc>
      </w:tr>
      <w:tr w:rsidR="003572E4" w:rsidRPr="001C2C36" w14:paraId="2C95215A" w14:textId="77777777" w:rsidTr="003572E4">
        <w:trPr>
          <w:trHeight w:val="372"/>
          <w:jc w:val="center"/>
        </w:trPr>
        <w:tc>
          <w:tcPr>
            <w:tcW w:w="6368" w:type="dxa"/>
            <w:gridSpan w:val="4"/>
            <w:tcBorders>
              <w:top w:val="single" w:sz="4" w:space="0" w:color="auto"/>
              <w:left w:val="single" w:sz="4" w:space="0" w:color="auto"/>
              <w:bottom w:val="single" w:sz="4" w:space="0" w:color="auto"/>
              <w:right w:val="single" w:sz="4" w:space="0" w:color="auto"/>
            </w:tcBorders>
            <w:noWrap/>
            <w:hideMark/>
          </w:tcPr>
          <w:p w14:paraId="01F47090" w14:textId="77777777" w:rsidR="003572E4" w:rsidRPr="001C2C36" w:rsidRDefault="003572E4" w:rsidP="00123D74">
            <w:pPr>
              <w:spacing w:line="240" w:lineRule="auto"/>
              <w:rPr>
                <w:rFonts w:eastAsia="Times New Roman" w:cs="Times New Roman"/>
                <w:b/>
                <w:bCs/>
                <w:color w:val="000000"/>
                <w:szCs w:val="24"/>
                <w:lang w:eastAsia="en-GB"/>
              </w:rPr>
            </w:pPr>
            <w:r w:rsidRPr="001C2C36">
              <w:rPr>
                <w:rFonts w:eastAsia="Times New Roman" w:cs="Times New Roman"/>
                <w:b/>
                <w:bCs/>
                <w:color w:val="000000"/>
                <w:szCs w:val="24"/>
                <w:lang w:eastAsia="en-GB"/>
              </w:rPr>
              <w:t>Controls</w:t>
            </w:r>
          </w:p>
        </w:tc>
      </w:tr>
      <w:tr w:rsidR="003572E4" w:rsidRPr="001C2C36" w14:paraId="692839B6" w14:textId="77777777" w:rsidTr="003572E4">
        <w:trPr>
          <w:trHeight w:val="372"/>
          <w:jc w:val="center"/>
        </w:trPr>
        <w:tc>
          <w:tcPr>
            <w:tcW w:w="2798" w:type="dxa"/>
            <w:tcBorders>
              <w:top w:val="single" w:sz="4" w:space="0" w:color="auto"/>
              <w:left w:val="single" w:sz="4" w:space="0" w:color="auto"/>
            </w:tcBorders>
            <w:noWrap/>
            <w:hideMark/>
          </w:tcPr>
          <w:p w14:paraId="702D3F00" w14:textId="77777777" w:rsidR="003572E4" w:rsidRPr="001C2C36" w:rsidRDefault="003572E4" w:rsidP="00123D74">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Urban dummy</w:t>
            </w:r>
          </w:p>
        </w:tc>
        <w:tc>
          <w:tcPr>
            <w:tcW w:w="960" w:type="dxa"/>
            <w:tcBorders>
              <w:top w:val="single" w:sz="4" w:space="0" w:color="auto"/>
            </w:tcBorders>
            <w:noWrap/>
            <w:hideMark/>
          </w:tcPr>
          <w:p w14:paraId="12D6E3E1"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7,625</w:t>
            </w:r>
          </w:p>
        </w:tc>
        <w:tc>
          <w:tcPr>
            <w:tcW w:w="960" w:type="dxa"/>
            <w:tcBorders>
              <w:top w:val="single" w:sz="4" w:space="0" w:color="auto"/>
            </w:tcBorders>
            <w:noWrap/>
            <w:hideMark/>
          </w:tcPr>
          <w:p w14:paraId="58F0F266"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0.65</w:t>
            </w:r>
          </w:p>
        </w:tc>
        <w:tc>
          <w:tcPr>
            <w:tcW w:w="1650" w:type="dxa"/>
            <w:tcBorders>
              <w:top w:val="single" w:sz="4" w:space="0" w:color="auto"/>
              <w:right w:val="single" w:sz="4" w:space="0" w:color="auto"/>
            </w:tcBorders>
            <w:noWrap/>
            <w:hideMark/>
          </w:tcPr>
          <w:p w14:paraId="2E900DB8"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0.48</w:t>
            </w:r>
          </w:p>
        </w:tc>
      </w:tr>
      <w:tr w:rsidR="003572E4" w:rsidRPr="001C2C36" w14:paraId="407A8226" w14:textId="77777777" w:rsidTr="003572E4">
        <w:trPr>
          <w:trHeight w:val="372"/>
          <w:jc w:val="center"/>
        </w:trPr>
        <w:tc>
          <w:tcPr>
            <w:tcW w:w="2798" w:type="dxa"/>
            <w:tcBorders>
              <w:left w:val="single" w:sz="4" w:space="0" w:color="auto"/>
            </w:tcBorders>
            <w:noWrap/>
            <w:hideMark/>
          </w:tcPr>
          <w:p w14:paraId="473AF0FB" w14:textId="77777777" w:rsidR="003572E4" w:rsidRPr="001C2C36" w:rsidRDefault="003572E4" w:rsidP="00123D74">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Sector dummy</w:t>
            </w:r>
          </w:p>
        </w:tc>
        <w:tc>
          <w:tcPr>
            <w:tcW w:w="960" w:type="dxa"/>
            <w:noWrap/>
            <w:hideMark/>
          </w:tcPr>
          <w:p w14:paraId="3B3B9C4F"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7,625</w:t>
            </w:r>
          </w:p>
        </w:tc>
        <w:tc>
          <w:tcPr>
            <w:tcW w:w="960" w:type="dxa"/>
            <w:noWrap/>
            <w:hideMark/>
          </w:tcPr>
          <w:p w14:paraId="78E85558"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0.27</w:t>
            </w:r>
          </w:p>
        </w:tc>
        <w:tc>
          <w:tcPr>
            <w:tcW w:w="1650" w:type="dxa"/>
            <w:tcBorders>
              <w:right w:val="single" w:sz="4" w:space="0" w:color="auto"/>
            </w:tcBorders>
            <w:noWrap/>
            <w:hideMark/>
          </w:tcPr>
          <w:p w14:paraId="041EF839"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0.45</w:t>
            </w:r>
          </w:p>
        </w:tc>
      </w:tr>
      <w:tr w:rsidR="003572E4" w:rsidRPr="001C2C36" w14:paraId="7FDBCCAD" w14:textId="77777777" w:rsidTr="003572E4">
        <w:trPr>
          <w:trHeight w:val="372"/>
          <w:jc w:val="center"/>
        </w:trPr>
        <w:tc>
          <w:tcPr>
            <w:tcW w:w="2798" w:type="dxa"/>
            <w:tcBorders>
              <w:left w:val="single" w:sz="4" w:space="0" w:color="auto"/>
            </w:tcBorders>
            <w:noWrap/>
            <w:hideMark/>
          </w:tcPr>
          <w:p w14:paraId="36DFD1A2" w14:textId="77777777" w:rsidR="003572E4" w:rsidRPr="001C2C36" w:rsidRDefault="003572E4" w:rsidP="00123D74">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Ethnic minority lead dummy</w:t>
            </w:r>
          </w:p>
        </w:tc>
        <w:tc>
          <w:tcPr>
            <w:tcW w:w="960" w:type="dxa"/>
            <w:noWrap/>
            <w:hideMark/>
          </w:tcPr>
          <w:p w14:paraId="437A07EC"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7,625</w:t>
            </w:r>
          </w:p>
        </w:tc>
        <w:tc>
          <w:tcPr>
            <w:tcW w:w="960" w:type="dxa"/>
            <w:noWrap/>
            <w:hideMark/>
          </w:tcPr>
          <w:p w14:paraId="3B8EBAEE"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0.05</w:t>
            </w:r>
          </w:p>
        </w:tc>
        <w:tc>
          <w:tcPr>
            <w:tcW w:w="1650" w:type="dxa"/>
            <w:tcBorders>
              <w:right w:val="single" w:sz="4" w:space="0" w:color="auto"/>
            </w:tcBorders>
            <w:noWrap/>
            <w:hideMark/>
          </w:tcPr>
          <w:p w14:paraId="6DA62043"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0.21</w:t>
            </w:r>
          </w:p>
        </w:tc>
      </w:tr>
      <w:tr w:rsidR="003572E4" w:rsidRPr="001C2C36" w14:paraId="21FEC73D" w14:textId="77777777" w:rsidTr="003572E4">
        <w:trPr>
          <w:trHeight w:val="372"/>
          <w:jc w:val="center"/>
        </w:trPr>
        <w:tc>
          <w:tcPr>
            <w:tcW w:w="2798" w:type="dxa"/>
            <w:tcBorders>
              <w:left w:val="single" w:sz="4" w:space="0" w:color="auto"/>
              <w:bottom w:val="single" w:sz="4" w:space="0" w:color="auto"/>
            </w:tcBorders>
            <w:noWrap/>
            <w:hideMark/>
          </w:tcPr>
          <w:p w14:paraId="2E47F8DE" w14:textId="77777777" w:rsidR="003572E4" w:rsidRPr="001C2C36" w:rsidRDefault="003572E4" w:rsidP="00123D74">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Size (log)</w:t>
            </w:r>
          </w:p>
        </w:tc>
        <w:tc>
          <w:tcPr>
            <w:tcW w:w="960" w:type="dxa"/>
            <w:tcBorders>
              <w:bottom w:val="single" w:sz="4" w:space="0" w:color="auto"/>
            </w:tcBorders>
            <w:noWrap/>
            <w:hideMark/>
          </w:tcPr>
          <w:p w14:paraId="1A232568"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7,625</w:t>
            </w:r>
          </w:p>
        </w:tc>
        <w:tc>
          <w:tcPr>
            <w:tcW w:w="960" w:type="dxa"/>
            <w:tcBorders>
              <w:bottom w:val="single" w:sz="4" w:space="0" w:color="auto"/>
            </w:tcBorders>
            <w:noWrap/>
            <w:hideMark/>
          </w:tcPr>
          <w:p w14:paraId="515EC891"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1.82</w:t>
            </w:r>
          </w:p>
        </w:tc>
        <w:tc>
          <w:tcPr>
            <w:tcW w:w="1650" w:type="dxa"/>
            <w:tcBorders>
              <w:bottom w:val="single" w:sz="4" w:space="0" w:color="auto"/>
              <w:right w:val="single" w:sz="4" w:space="0" w:color="auto"/>
            </w:tcBorders>
            <w:noWrap/>
            <w:hideMark/>
          </w:tcPr>
          <w:p w14:paraId="3C414EF3"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1.52</w:t>
            </w:r>
          </w:p>
        </w:tc>
      </w:tr>
      <w:tr w:rsidR="003572E4" w:rsidRPr="001C2C36" w14:paraId="7402EA4F" w14:textId="77777777" w:rsidTr="003572E4">
        <w:trPr>
          <w:trHeight w:val="324"/>
          <w:jc w:val="center"/>
        </w:trPr>
        <w:tc>
          <w:tcPr>
            <w:tcW w:w="3758" w:type="dxa"/>
            <w:gridSpan w:val="2"/>
            <w:tcBorders>
              <w:top w:val="single" w:sz="4" w:space="0" w:color="auto"/>
              <w:left w:val="single" w:sz="4" w:space="0" w:color="auto"/>
              <w:bottom w:val="single" w:sz="4" w:space="0" w:color="auto"/>
            </w:tcBorders>
            <w:noWrap/>
            <w:hideMark/>
          </w:tcPr>
          <w:p w14:paraId="462E41A8" w14:textId="77777777" w:rsidR="003572E4" w:rsidRPr="001C2C36" w:rsidRDefault="003572E4" w:rsidP="00123D74">
            <w:pPr>
              <w:spacing w:line="240" w:lineRule="auto"/>
              <w:rPr>
                <w:rFonts w:eastAsia="Times New Roman" w:cs="Times New Roman"/>
                <w:b/>
                <w:bCs/>
                <w:color w:val="000000"/>
                <w:szCs w:val="24"/>
                <w:lang w:eastAsia="en-GB"/>
              </w:rPr>
            </w:pPr>
            <w:r w:rsidRPr="001C2C36">
              <w:rPr>
                <w:rFonts w:eastAsia="Times New Roman" w:cs="Times New Roman"/>
                <w:b/>
                <w:bCs/>
                <w:color w:val="000000"/>
                <w:szCs w:val="24"/>
                <w:lang w:eastAsia="en-GB"/>
              </w:rPr>
              <w:t>Study variables</w:t>
            </w:r>
          </w:p>
        </w:tc>
        <w:tc>
          <w:tcPr>
            <w:tcW w:w="960" w:type="dxa"/>
            <w:tcBorders>
              <w:top w:val="single" w:sz="4" w:space="0" w:color="auto"/>
              <w:bottom w:val="single" w:sz="4" w:space="0" w:color="auto"/>
            </w:tcBorders>
            <w:noWrap/>
            <w:hideMark/>
          </w:tcPr>
          <w:p w14:paraId="7799A358" w14:textId="77777777" w:rsidR="003572E4" w:rsidRPr="001C2C36" w:rsidRDefault="003572E4" w:rsidP="00123D74">
            <w:pPr>
              <w:spacing w:line="240" w:lineRule="auto"/>
              <w:rPr>
                <w:rFonts w:eastAsia="Times New Roman" w:cs="Times New Roman"/>
                <w:b/>
                <w:bCs/>
                <w:color w:val="000000"/>
                <w:szCs w:val="24"/>
                <w:lang w:eastAsia="en-GB"/>
              </w:rPr>
            </w:pPr>
          </w:p>
        </w:tc>
        <w:tc>
          <w:tcPr>
            <w:tcW w:w="1650" w:type="dxa"/>
            <w:tcBorders>
              <w:top w:val="single" w:sz="4" w:space="0" w:color="auto"/>
              <w:bottom w:val="single" w:sz="4" w:space="0" w:color="auto"/>
              <w:right w:val="single" w:sz="4" w:space="0" w:color="auto"/>
            </w:tcBorders>
            <w:noWrap/>
            <w:hideMark/>
          </w:tcPr>
          <w:p w14:paraId="5C1C5496" w14:textId="77777777" w:rsidR="003572E4" w:rsidRPr="001C2C36" w:rsidRDefault="003572E4" w:rsidP="00123D74">
            <w:pPr>
              <w:spacing w:line="240" w:lineRule="auto"/>
              <w:rPr>
                <w:rFonts w:eastAsia="Times New Roman" w:cs="Times New Roman"/>
                <w:szCs w:val="24"/>
                <w:lang w:eastAsia="en-GB"/>
              </w:rPr>
            </w:pPr>
          </w:p>
        </w:tc>
      </w:tr>
      <w:tr w:rsidR="003572E4" w:rsidRPr="001C2C36" w14:paraId="759319F5" w14:textId="77777777" w:rsidTr="003572E4">
        <w:trPr>
          <w:trHeight w:val="324"/>
          <w:jc w:val="center"/>
        </w:trPr>
        <w:tc>
          <w:tcPr>
            <w:tcW w:w="2798" w:type="dxa"/>
            <w:tcBorders>
              <w:top w:val="single" w:sz="4" w:space="0" w:color="auto"/>
              <w:left w:val="single" w:sz="4" w:space="0" w:color="auto"/>
            </w:tcBorders>
            <w:noWrap/>
            <w:hideMark/>
          </w:tcPr>
          <w:p w14:paraId="2EE3CF50" w14:textId="77777777" w:rsidR="003572E4" w:rsidRPr="001C2C36" w:rsidRDefault="003572E4" w:rsidP="00123D74">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Dynamic capabilities</w:t>
            </w:r>
          </w:p>
        </w:tc>
        <w:tc>
          <w:tcPr>
            <w:tcW w:w="960" w:type="dxa"/>
            <w:tcBorders>
              <w:top w:val="single" w:sz="4" w:space="0" w:color="auto"/>
            </w:tcBorders>
            <w:noWrap/>
            <w:hideMark/>
          </w:tcPr>
          <w:p w14:paraId="7494F837"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7,625</w:t>
            </w:r>
          </w:p>
        </w:tc>
        <w:tc>
          <w:tcPr>
            <w:tcW w:w="960" w:type="dxa"/>
            <w:tcBorders>
              <w:top w:val="single" w:sz="4" w:space="0" w:color="auto"/>
            </w:tcBorders>
            <w:noWrap/>
            <w:hideMark/>
          </w:tcPr>
          <w:p w14:paraId="1203531D"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1.22</w:t>
            </w:r>
          </w:p>
        </w:tc>
        <w:tc>
          <w:tcPr>
            <w:tcW w:w="1650" w:type="dxa"/>
            <w:tcBorders>
              <w:top w:val="single" w:sz="4" w:space="0" w:color="auto"/>
              <w:right w:val="single" w:sz="4" w:space="0" w:color="auto"/>
            </w:tcBorders>
            <w:noWrap/>
            <w:hideMark/>
          </w:tcPr>
          <w:p w14:paraId="24984033"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1.05</w:t>
            </w:r>
          </w:p>
        </w:tc>
      </w:tr>
      <w:tr w:rsidR="003572E4" w:rsidRPr="001C2C36" w14:paraId="3D9171BD" w14:textId="77777777" w:rsidTr="003572E4">
        <w:trPr>
          <w:trHeight w:val="324"/>
          <w:jc w:val="center"/>
        </w:trPr>
        <w:tc>
          <w:tcPr>
            <w:tcW w:w="2798" w:type="dxa"/>
            <w:tcBorders>
              <w:left w:val="single" w:sz="4" w:space="0" w:color="auto"/>
              <w:bottom w:val="single" w:sz="4" w:space="0" w:color="auto"/>
            </w:tcBorders>
            <w:noWrap/>
            <w:hideMark/>
          </w:tcPr>
          <w:p w14:paraId="2757CC35" w14:textId="77777777" w:rsidR="003572E4" w:rsidRPr="001C2C36" w:rsidRDefault="003572E4" w:rsidP="00123D74">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Government support</w:t>
            </w:r>
          </w:p>
        </w:tc>
        <w:tc>
          <w:tcPr>
            <w:tcW w:w="960" w:type="dxa"/>
            <w:tcBorders>
              <w:bottom w:val="single" w:sz="4" w:space="0" w:color="auto"/>
            </w:tcBorders>
            <w:noWrap/>
            <w:hideMark/>
          </w:tcPr>
          <w:p w14:paraId="6E41DF00"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7,625</w:t>
            </w:r>
          </w:p>
        </w:tc>
        <w:tc>
          <w:tcPr>
            <w:tcW w:w="960" w:type="dxa"/>
            <w:tcBorders>
              <w:bottom w:val="single" w:sz="4" w:space="0" w:color="auto"/>
            </w:tcBorders>
            <w:noWrap/>
            <w:hideMark/>
          </w:tcPr>
          <w:p w14:paraId="7014E35B"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1.17</w:t>
            </w:r>
          </w:p>
        </w:tc>
        <w:tc>
          <w:tcPr>
            <w:tcW w:w="1650" w:type="dxa"/>
            <w:tcBorders>
              <w:bottom w:val="single" w:sz="4" w:space="0" w:color="auto"/>
              <w:right w:val="single" w:sz="4" w:space="0" w:color="auto"/>
            </w:tcBorders>
            <w:noWrap/>
            <w:hideMark/>
          </w:tcPr>
          <w:p w14:paraId="6C630AAC"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1.08</w:t>
            </w:r>
          </w:p>
        </w:tc>
      </w:tr>
      <w:tr w:rsidR="003572E4" w:rsidRPr="001C2C36" w14:paraId="71115F4C" w14:textId="77777777" w:rsidTr="003572E4">
        <w:trPr>
          <w:trHeight w:val="324"/>
          <w:jc w:val="center"/>
        </w:trPr>
        <w:tc>
          <w:tcPr>
            <w:tcW w:w="6368" w:type="dxa"/>
            <w:gridSpan w:val="4"/>
            <w:tcBorders>
              <w:top w:val="single" w:sz="4" w:space="0" w:color="auto"/>
              <w:left w:val="single" w:sz="4" w:space="0" w:color="auto"/>
              <w:bottom w:val="single" w:sz="4" w:space="0" w:color="auto"/>
              <w:right w:val="single" w:sz="4" w:space="0" w:color="auto"/>
            </w:tcBorders>
            <w:noWrap/>
            <w:hideMark/>
          </w:tcPr>
          <w:p w14:paraId="0FC54411" w14:textId="77777777" w:rsidR="003572E4" w:rsidRPr="001C2C36" w:rsidRDefault="003572E4" w:rsidP="00123D74">
            <w:pPr>
              <w:spacing w:line="240" w:lineRule="auto"/>
              <w:rPr>
                <w:rFonts w:eastAsia="Times New Roman" w:cs="Times New Roman"/>
                <w:b/>
                <w:bCs/>
                <w:color w:val="000000"/>
                <w:szCs w:val="24"/>
                <w:lang w:eastAsia="en-GB"/>
              </w:rPr>
            </w:pPr>
            <w:r w:rsidRPr="001C2C36">
              <w:rPr>
                <w:rFonts w:eastAsia="Times New Roman" w:cs="Times New Roman"/>
                <w:b/>
                <w:bCs/>
                <w:color w:val="000000"/>
                <w:szCs w:val="24"/>
                <w:lang w:eastAsia="en-GB"/>
              </w:rPr>
              <w:t>Other variables</w:t>
            </w:r>
          </w:p>
        </w:tc>
      </w:tr>
      <w:tr w:rsidR="003572E4" w:rsidRPr="001C2C36" w14:paraId="14B81F17" w14:textId="77777777" w:rsidTr="003572E4">
        <w:trPr>
          <w:trHeight w:val="324"/>
          <w:jc w:val="center"/>
        </w:trPr>
        <w:tc>
          <w:tcPr>
            <w:tcW w:w="2798" w:type="dxa"/>
            <w:tcBorders>
              <w:top w:val="single" w:sz="4" w:space="0" w:color="auto"/>
              <w:left w:val="single" w:sz="4" w:space="0" w:color="auto"/>
            </w:tcBorders>
            <w:noWrap/>
            <w:hideMark/>
          </w:tcPr>
          <w:p w14:paraId="4281EA42" w14:textId="77777777" w:rsidR="003572E4" w:rsidRPr="001C2C36" w:rsidRDefault="003572E4" w:rsidP="00123D74">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CJRS</w:t>
            </w:r>
          </w:p>
        </w:tc>
        <w:tc>
          <w:tcPr>
            <w:tcW w:w="960" w:type="dxa"/>
            <w:tcBorders>
              <w:top w:val="single" w:sz="4" w:space="0" w:color="auto"/>
            </w:tcBorders>
            <w:noWrap/>
            <w:hideMark/>
          </w:tcPr>
          <w:p w14:paraId="0D04C55D"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7,625</w:t>
            </w:r>
          </w:p>
        </w:tc>
        <w:tc>
          <w:tcPr>
            <w:tcW w:w="960" w:type="dxa"/>
            <w:tcBorders>
              <w:top w:val="single" w:sz="4" w:space="0" w:color="auto"/>
            </w:tcBorders>
            <w:noWrap/>
            <w:hideMark/>
          </w:tcPr>
          <w:p w14:paraId="0B143D08"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0.53</w:t>
            </w:r>
          </w:p>
        </w:tc>
        <w:tc>
          <w:tcPr>
            <w:tcW w:w="1650" w:type="dxa"/>
            <w:tcBorders>
              <w:top w:val="single" w:sz="4" w:space="0" w:color="auto"/>
              <w:right w:val="single" w:sz="4" w:space="0" w:color="auto"/>
            </w:tcBorders>
            <w:noWrap/>
            <w:hideMark/>
          </w:tcPr>
          <w:p w14:paraId="227610E2"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0.5</w:t>
            </w:r>
          </w:p>
        </w:tc>
      </w:tr>
      <w:tr w:rsidR="003572E4" w:rsidRPr="001C2C36" w14:paraId="7C8AF7DB" w14:textId="77777777" w:rsidTr="003572E4">
        <w:trPr>
          <w:trHeight w:val="324"/>
          <w:jc w:val="center"/>
        </w:trPr>
        <w:tc>
          <w:tcPr>
            <w:tcW w:w="2798" w:type="dxa"/>
            <w:tcBorders>
              <w:left w:val="single" w:sz="4" w:space="0" w:color="auto"/>
            </w:tcBorders>
            <w:noWrap/>
            <w:hideMark/>
          </w:tcPr>
          <w:p w14:paraId="768D64DB" w14:textId="77777777" w:rsidR="003572E4" w:rsidRPr="001C2C36" w:rsidRDefault="003572E4" w:rsidP="00123D74">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SEISS</w:t>
            </w:r>
          </w:p>
        </w:tc>
        <w:tc>
          <w:tcPr>
            <w:tcW w:w="960" w:type="dxa"/>
            <w:noWrap/>
            <w:hideMark/>
          </w:tcPr>
          <w:p w14:paraId="29632BE8"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7,625</w:t>
            </w:r>
          </w:p>
        </w:tc>
        <w:tc>
          <w:tcPr>
            <w:tcW w:w="960" w:type="dxa"/>
            <w:noWrap/>
            <w:hideMark/>
          </w:tcPr>
          <w:p w14:paraId="5C9830FB"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0.12</w:t>
            </w:r>
          </w:p>
        </w:tc>
        <w:tc>
          <w:tcPr>
            <w:tcW w:w="1650" w:type="dxa"/>
            <w:tcBorders>
              <w:right w:val="single" w:sz="4" w:space="0" w:color="auto"/>
            </w:tcBorders>
            <w:noWrap/>
            <w:hideMark/>
          </w:tcPr>
          <w:p w14:paraId="559BF4E2"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0.32</w:t>
            </w:r>
          </w:p>
        </w:tc>
      </w:tr>
      <w:tr w:rsidR="003572E4" w:rsidRPr="001C2C36" w14:paraId="1E6C31F0" w14:textId="77777777" w:rsidTr="003572E4">
        <w:trPr>
          <w:trHeight w:val="324"/>
          <w:jc w:val="center"/>
        </w:trPr>
        <w:tc>
          <w:tcPr>
            <w:tcW w:w="2798" w:type="dxa"/>
            <w:tcBorders>
              <w:left w:val="single" w:sz="4" w:space="0" w:color="auto"/>
            </w:tcBorders>
            <w:noWrap/>
            <w:hideMark/>
          </w:tcPr>
          <w:p w14:paraId="7A53973F" w14:textId="77777777" w:rsidR="003572E4" w:rsidRPr="001C2C36" w:rsidRDefault="003572E4" w:rsidP="00123D74">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BRH</w:t>
            </w:r>
          </w:p>
        </w:tc>
        <w:tc>
          <w:tcPr>
            <w:tcW w:w="960" w:type="dxa"/>
            <w:noWrap/>
            <w:hideMark/>
          </w:tcPr>
          <w:p w14:paraId="73DE547A"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7,625</w:t>
            </w:r>
          </w:p>
        </w:tc>
        <w:tc>
          <w:tcPr>
            <w:tcW w:w="960" w:type="dxa"/>
            <w:noWrap/>
            <w:hideMark/>
          </w:tcPr>
          <w:p w14:paraId="335BD19E"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0.17</w:t>
            </w:r>
          </w:p>
        </w:tc>
        <w:tc>
          <w:tcPr>
            <w:tcW w:w="1650" w:type="dxa"/>
            <w:tcBorders>
              <w:right w:val="single" w:sz="4" w:space="0" w:color="auto"/>
            </w:tcBorders>
            <w:noWrap/>
            <w:hideMark/>
          </w:tcPr>
          <w:p w14:paraId="648579A1"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0.37</w:t>
            </w:r>
          </w:p>
        </w:tc>
      </w:tr>
      <w:tr w:rsidR="003572E4" w:rsidRPr="001C2C36" w14:paraId="1FECAA85" w14:textId="77777777" w:rsidTr="003572E4">
        <w:trPr>
          <w:trHeight w:val="324"/>
          <w:jc w:val="center"/>
        </w:trPr>
        <w:tc>
          <w:tcPr>
            <w:tcW w:w="2798" w:type="dxa"/>
            <w:tcBorders>
              <w:left w:val="single" w:sz="4" w:space="0" w:color="auto"/>
            </w:tcBorders>
            <w:noWrap/>
            <w:hideMark/>
          </w:tcPr>
          <w:p w14:paraId="37C498A2" w14:textId="77777777" w:rsidR="003572E4" w:rsidRPr="001C2C36" w:rsidRDefault="003572E4" w:rsidP="00123D74">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VAT Deferrals</w:t>
            </w:r>
          </w:p>
        </w:tc>
        <w:tc>
          <w:tcPr>
            <w:tcW w:w="960" w:type="dxa"/>
            <w:noWrap/>
            <w:hideMark/>
          </w:tcPr>
          <w:p w14:paraId="0C204D88"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7,625</w:t>
            </w:r>
          </w:p>
        </w:tc>
        <w:tc>
          <w:tcPr>
            <w:tcW w:w="960" w:type="dxa"/>
            <w:noWrap/>
            <w:hideMark/>
          </w:tcPr>
          <w:p w14:paraId="4E4B033E"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0.27</w:t>
            </w:r>
          </w:p>
        </w:tc>
        <w:tc>
          <w:tcPr>
            <w:tcW w:w="1650" w:type="dxa"/>
            <w:tcBorders>
              <w:right w:val="single" w:sz="4" w:space="0" w:color="auto"/>
            </w:tcBorders>
            <w:noWrap/>
            <w:hideMark/>
          </w:tcPr>
          <w:p w14:paraId="2EC83B24"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0.44</w:t>
            </w:r>
          </w:p>
        </w:tc>
      </w:tr>
      <w:tr w:rsidR="003572E4" w:rsidRPr="001C2C36" w14:paraId="79C94F95" w14:textId="77777777" w:rsidTr="003572E4">
        <w:trPr>
          <w:trHeight w:val="324"/>
          <w:jc w:val="center"/>
        </w:trPr>
        <w:tc>
          <w:tcPr>
            <w:tcW w:w="2798" w:type="dxa"/>
            <w:tcBorders>
              <w:left w:val="single" w:sz="4" w:space="0" w:color="auto"/>
              <w:bottom w:val="single" w:sz="4" w:space="0" w:color="auto"/>
            </w:tcBorders>
            <w:noWrap/>
            <w:hideMark/>
          </w:tcPr>
          <w:p w14:paraId="55566D62" w14:textId="77777777" w:rsidR="003572E4" w:rsidRPr="001C2C36" w:rsidRDefault="003572E4" w:rsidP="00123D74">
            <w:pPr>
              <w:spacing w:line="240" w:lineRule="auto"/>
              <w:rPr>
                <w:rFonts w:eastAsia="Times New Roman" w:cs="Times New Roman"/>
                <w:color w:val="000000"/>
                <w:szCs w:val="24"/>
                <w:lang w:eastAsia="en-GB"/>
              </w:rPr>
            </w:pPr>
            <w:r w:rsidRPr="001C2C36">
              <w:rPr>
                <w:rFonts w:eastAsia="Times New Roman" w:cs="Times New Roman"/>
                <w:color w:val="000000"/>
                <w:szCs w:val="24"/>
                <w:lang w:eastAsia="en-GB"/>
              </w:rPr>
              <w:t>Time to Pay</w:t>
            </w:r>
          </w:p>
        </w:tc>
        <w:tc>
          <w:tcPr>
            <w:tcW w:w="960" w:type="dxa"/>
            <w:tcBorders>
              <w:bottom w:val="single" w:sz="4" w:space="0" w:color="auto"/>
            </w:tcBorders>
            <w:noWrap/>
            <w:hideMark/>
          </w:tcPr>
          <w:p w14:paraId="6FAF23DD"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7,625</w:t>
            </w:r>
          </w:p>
        </w:tc>
        <w:tc>
          <w:tcPr>
            <w:tcW w:w="960" w:type="dxa"/>
            <w:tcBorders>
              <w:bottom w:val="single" w:sz="4" w:space="0" w:color="auto"/>
            </w:tcBorders>
            <w:noWrap/>
            <w:hideMark/>
          </w:tcPr>
          <w:p w14:paraId="2CFFB844"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0.09</w:t>
            </w:r>
          </w:p>
        </w:tc>
        <w:tc>
          <w:tcPr>
            <w:tcW w:w="1650" w:type="dxa"/>
            <w:tcBorders>
              <w:bottom w:val="single" w:sz="4" w:space="0" w:color="auto"/>
              <w:right w:val="single" w:sz="4" w:space="0" w:color="auto"/>
            </w:tcBorders>
            <w:noWrap/>
            <w:hideMark/>
          </w:tcPr>
          <w:p w14:paraId="694CE098" w14:textId="77777777" w:rsidR="003572E4" w:rsidRPr="001C2C36" w:rsidRDefault="003572E4" w:rsidP="00123D74">
            <w:pPr>
              <w:spacing w:line="240" w:lineRule="auto"/>
              <w:jc w:val="right"/>
              <w:rPr>
                <w:rFonts w:eastAsia="Times New Roman" w:cs="Times New Roman"/>
                <w:color w:val="000000"/>
                <w:szCs w:val="24"/>
                <w:lang w:eastAsia="en-GB"/>
              </w:rPr>
            </w:pPr>
            <w:r w:rsidRPr="001C2C36">
              <w:rPr>
                <w:rFonts w:eastAsia="Times New Roman" w:cs="Times New Roman"/>
                <w:color w:val="000000"/>
                <w:szCs w:val="24"/>
                <w:lang w:eastAsia="en-GB"/>
              </w:rPr>
              <w:t>0.29</w:t>
            </w:r>
          </w:p>
        </w:tc>
      </w:tr>
    </w:tbl>
    <w:p w14:paraId="293F170D" w14:textId="77777777" w:rsidR="003572E4" w:rsidRPr="001C2C36" w:rsidRDefault="003572E4" w:rsidP="003572E4">
      <w:pPr>
        <w:rPr>
          <w:rFonts w:cs="Times New Roman"/>
          <w:szCs w:val="24"/>
        </w:rPr>
      </w:pPr>
    </w:p>
    <w:p w14:paraId="2D7B0945" w14:textId="32BB8813" w:rsidR="00967E22" w:rsidRPr="001C2C36" w:rsidRDefault="00967E22">
      <w:pPr>
        <w:spacing w:line="259" w:lineRule="auto"/>
        <w:rPr>
          <w:rFonts w:cs="Times New Roman"/>
          <w:szCs w:val="24"/>
        </w:rPr>
      </w:pPr>
      <w:r w:rsidRPr="001C2C36">
        <w:rPr>
          <w:rFonts w:cs="Times New Roman"/>
          <w:szCs w:val="24"/>
        </w:rPr>
        <w:br w:type="page"/>
      </w:r>
    </w:p>
    <w:p w14:paraId="00E4F9AA" w14:textId="77777777" w:rsidR="001552B7" w:rsidRPr="001C2C36" w:rsidRDefault="00E37DB1" w:rsidP="00D41D72">
      <w:pPr>
        <w:pStyle w:val="Heading2"/>
        <w:rPr>
          <w:rFonts w:ascii="Times New Roman" w:hAnsi="Times New Roman" w:cs="Times New Roman"/>
          <w:szCs w:val="24"/>
        </w:rPr>
      </w:pPr>
      <w:r w:rsidRPr="001C2C36">
        <w:rPr>
          <w:rFonts w:ascii="Times New Roman" w:hAnsi="Times New Roman" w:cs="Times New Roman"/>
          <w:szCs w:val="24"/>
        </w:rPr>
        <w:lastRenderedPageBreak/>
        <w:t>Appendix Two</w:t>
      </w:r>
    </w:p>
    <w:p w14:paraId="67D98BB7" w14:textId="6D0036A4" w:rsidR="0043731C" w:rsidRPr="001C2C36" w:rsidRDefault="0043731C">
      <w:pPr>
        <w:pStyle w:val="Caption"/>
        <w:keepNext/>
        <w:rPr>
          <w:rFonts w:ascii="Times New Roman" w:hAnsi="Times New Roman"/>
          <w:szCs w:val="24"/>
        </w:rPr>
      </w:pPr>
      <w:bookmarkStart w:id="3" w:name="_Ref126241632"/>
      <w:bookmarkStart w:id="4" w:name="_Hlk125472019"/>
      <w:r w:rsidRPr="001C2C36">
        <w:rPr>
          <w:rFonts w:ascii="Times New Roman" w:hAnsi="Times New Roman"/>
          <w:szCs w:val="24"/>
        </w:rPr>
        <w:t xml:space="preserve">Table </w:t>
      </w:r>
      <w:r w:rsidRPr="001C2C36">
        <w:rPr>
          <w:rFonts w:ascii="Times New Roman" w:hAnsi="Times New Roman"/>
          <w:szCs w:val="24"/>
        </w:rPr>
        <w:fldChar w:fldCharType="begin"/>
      </w:r>
      <w:r w:rsidRPr="001C2C36">
        <w:rPr>
          <w:rFonts w:ascii="Times New Roman" w:hAnsi="Times New Roman"/>
          <w:szCs w:val="24"/>
        </w:rPr>
        <w:instrText>SEQ Table \* ARABIC</w:instrText>
      </w:r>
      <w:r w:rsidRPr="001C2C36">
        <w:rPr>
          <w:rFonts w:ascii="Times New Roman" w:hAnsi="Times New Roman"/>
          <w:szCs w:val="24"/>
        </w:rPr>
        <w:fldChar w:fldCharType="separate"/>
      </w:r>
      <w:r w:rsidR="00A43FC5">
        <w:rPr>
          <w:rFonts w:ascii="Times New Roman" w:hAnsi="Times New Roman"/>
          <w:noProof/>
          <w:szCs w:val="24"/>
        </w:rPr>
        <w:t>5</w:t>
      </w:r>
      <w:r w:rsidRPr="001C2C36">
        <w:rPr>
          <w:rFonts w:ascii="Times New Roman" w:hAnsi="Times New Roman"/>
          <w:szCs w:val="24"/>
        </w:rPr>
        <w:fldChar w:fldCharType="end"/>
      </w:r>
      <w:bookmarkEnd w:id="3"/>
      <w:r w:rsidRPr="001C2C36">
        <w:rPr>
          <w:rFonts w:ascii="Times New Roman" w:hAnsi="Times New Roman"/>
          <w:szCs w:val="24"/>
        </w:rPr>
        <w:t xml:space="preserve"> Ordinal regression results for SMEs with data limited to various collection periods.</w:t>
      </w:r>
    </w:p>
    <w:tbl>
      <w:tblPr>
        <w:tblW w:w="9261" w:type="dxa"/>
        <w:jc w:val="center"/>
        <w:tblCellSpacing w:w="15" w:type="dxa"/>
        <w:tblLayout w:type="fixed"/>
        <w:tblCellMar>
          <w:top w:w="15" w:type="dxa"/>
          <w:left w:w="15" w:type="dxa"/>
          <w:bottom w:w="15" w:type="dxa"/>
          <w:right w:w="15" w:type="dxa"/>
        </w:tblCellMar>
        <w:tblLook w:val="04A0" w:firstRow="1" w:lastRow="0" w:firstColumn="1" w:lastColumn="0" w:noHBand="0" w:noVBand="1"/>
      </w:tblPr>
      <w:tblGrid>
        <w:gridCol w:w="1922"/>
        <w:gridCol w:w="1224"/>
        <w:gridCol w:w="1226"/>
        <w:gridCol w:w="1088"/>
        <w:gridCol w:w="1369"/>
        <w:gridCol w:w="1052"/>
        <w:gridCol w:w="1380"/>
      </w:tblGrid>
      <w:tr w:rsidR="0043731C" w:rsidRPr="001C2C36" w14:paraId="618B0DFB" w14:textId="77777777">
        <w:trPr>
          <w:trHeight w:val="481"/>
          <w:tblCellSpacing w:w="15" w:type="dxa"/>
          <w:jc w:val="center"/>
        </w:trPr>
        <w:tc>
          <w:tcPr>
            <w:tcW w:w="1877" w:type="dxa"/>
            <w:tcBorders>
              <w:top w:val="single" w:sz="4" w:space="0" w:color="auto"/>
              <w:left w:val="single" w:sz="4" w:space="0" w:color="auto"/>
              <w:bottom w:val="single" w:sz="4" w:space="0" w:color="auto"/>
            </w:tcBorders>
            <w:vAlign w:val="center"/>
          </w:tcPr>
          <w:p w14:paraId="1FD1DFD9" w14:textId="77777777" w:rsidR="0043731C" w:rsidRPr="001C2C36" w:rsidRDefault="0043731C" w:rsidP="0043731C">
            <w:pPr>
              <w:pStyle w:val="NoSpacing"/>
              <w:rPr>
                <w:rFonts w:cs="Times New Roman"/>
                <w:b/>
                <w:bCs/>
                <w:szCs w:val="24"/>
                <w:lang w:eastAsia="en-GB"/>
              </w:rPr>
            </w:pPr>
            <w:r w:rsidRPr="001C2C36">
              <w:rPr>
                <w:rFonts w:cs="Times New Roman"/>
                <w:b/>
                <w:bCs/>
                <w:szCs w:val="24"/>
                <w:lang w:eastAsia="en-GB"/>
              </w:rPr>
              <w:t>Dep. Variable</w:t>
            </w:r>
          </w:p>
        </w:tc>
        <w:tc>
          <w:tcPr>
            <w:tcW w:w="3508" w:type="dxa"/>
            <w:gridSpan w:val="3"/>
            <w:tcBorders>
              <w:top w:val="single" w:sz="4" w:space="0" w:color="auto"/>
              <w:left w:val="single" w:sz="4" w:space="0" w:color="auto"/>
              <w:bottom w:val="single" w:sz="4" w:space="0" w:color="auto"/>
              <w:right w:val="single" w:sz="4" w:space="0" w:color="auto"/>
            </w:tcBorders>
            <w:vAlign w:val="center"/>
          </w:tcPr>
          <w:p w14:paraId="51853EAE" w14:textId="77777777" w:rsidR="0043731C" w:rsidRPr="001C2C36" w:rsidRDefault="0043731C" w:rsidP="0043731C">
            <w:pPr>
              <w:pStyle w:val="NoSpacing"/>
              <w:jc w:val="center"/>
              <w:rPr>
                <w:rFonts w:cs="Times New Roman"/>
                <w:szCs w:val="24"/>
              </w:rPr>
            </w:pPr>
            <w:r w:rsidRPr="001C2C36">
              <w:rPr>
                <w:rFonts w:cs="Times New Roman"/>
                <w:b/>
                <w:bCs/>
                <w:szCs w:val="24"/>
              </w:rPr>
              <w:t>Δ Employment 2019 - 2020</w:t>
            </w:r>
          </w:p>
        </w:tc>
        <w:tc>
          <w:tcPr>
            <w:tcW w:w="3756" w:type="dxa"/>
            <w:gridSpan w:val="3"/>
            <w:tcBorders>
              <w:top w:val="single" w:sz="4" w:space="0" w:color="auto"/>
              <w:bottom w:val="single" w:sz="4" w:space="0" w:color="auto"/>
              <w:right w:val="single" w:sz="4" w:space="0" w:color="auto"/>
            </w:tcBorders>
            <w:vAlign w:val="center"/>
          </w:tcPr>
          <w:p w14:paraId="7FC2718C" w14:textId="77777777" w:rsidR="0043731C" w:rsidRPr="001C2C36" w:rsidRDefault="0043731C" w:rsidP="0043731C">
            <w:pPr>
              <w:pStyle w:val="NoSpacing"/>
              <w:jc w:val="center"/>
              <w:rPr>
                <w:rFonts w:cs="Times New Roman"/>
                <w:szCs w:val="24"/>
              </w:rPr>
            </w:pPr>
            <w:r w:rsidRPr="001C2C36">
              <w:rPr>
                <w:rFonts w:cs="Times New Roman"/>
                <w:b/>
                <w:bCs/>
                <w:szCs w:val="24"/>
              </w:rPr>
              <w:t>Δ Employment 2020 - 2021</w:t>
            </w:r>
          </w:p>
        </w:tc>
      </w:tr>
      <w:tr w:rsidR="0043731C" w:rsidRPr="001C2C36" w14:paraId="3656E1DE" w14:textId="77777777">
        <w:trPr>
          <w:trHeight w:val="481"/>
          <w:tblCellSpacing w:w="15" w:type="dxa"/>
          <w:jc w:val="center"/>
        </w:trPr>
        <w:tc>
          <w:tcPr>
            <w:tcW w:w="1877" w:type="dxa"/>
            <w:tcBorders>
              <w:left w:val="single" w:sz="4" w:space="0" w:color="auto"/>
            </w:tcBorders>
            <w:vAlign w:val="center"/>
            <w:hideMark/>
          </w:tcPr>
          <w:p w14:paraId="2EA4356B" w14:textId="77777777" w:rsidR="0043731C" w:rsidRPr="001C2C36" w:rsidRDefault="0043731C" w:rsidP="0043731C">
            <w:pPr>
              <w:pStyle w:val="NoSpacing"/>
              <w:rPr>
                <w:rFonts w:cs="Times New Roman"/>
                <w:b/>
                <w:bCs/>
                <w:szCs w:val="24"/>
                <w:lang w:eastAsia="en-GB"/>
              </w:rPr>
            </w:pPr>
            <w:r w:rsidRPr="001C2C36">
              <w:rPr>
                <w:rFonts w:cs="Times New Roman"/>
                <w:b/>
                <w:bCs/>
                <w:szCs w:val="24"/>
                <w:lang w:eastAsia="en-GB"/>
              </w:rPr>
              <w:t>Notation</w:t>
            </w:r>
          </w:p>
        </w:tc>
        <w:tc>
          <w:tcPr>
            <w:tcW w:w="1194" w:type="dxa"/>
            <w:tcBorders>
              <w:left w:val="single" w:sz="4" w:space="0" w:color="auto"/>
            </w:tcBorders>
            <w:vAlign w:val="center"/>
            <w:hideMark/>
          </w:tcPr>
          <w:p w14:paraId="6CA21E8A" w14:textId="7073E358" w:rsidR="0043731C" w:rsidRPr="001C2C36" w:rsidRDefault="0043731C" w:rsidP="0043731C">
            <w:pPr>
              <w:pStyle w:val="NoSpacing"/>
              <w:jc w:val="center"/>
              <w:rPr>
                <w:rFonts w:cs="Times New Roman"/>
                <w:szCs w:val="24"/>
              </w:rPr>
            </w:pPr>
            <w:r w:rsidRPr="001C2C36">
              <w:rPr>
                <w:rFonts w:cs="Times New Roman"/>
                <w:szCs w:val="24"/>
              </w:rPr>
              <w:t>model 3</w:t>
            </w:r>
          </w:p>
          <w:p w14:paraId="227A77B7" w14:textId="70B72FC7" w:rsidR="0043731C" w:rsidRPr="001C2C36" w:rsidRDefault="0043731C" w:rsidP="0043731C">
            <w:pPr>
              <w:pStyle w:val="NoSpacing"/>
              <w:jc w:val="center"/>
              <w:rPr>
                <w:rFonts w:cs="Times New Roman"/>
                <w:szCs w:val="24"/>
                <w:lang w:eastAsia="en-GB"/>
              </w:rPr>
            </w:pPr>
            <w:r w:rsidRPr="001C2C36">
              <w:rPr>
                <w:rFonts w:cs="Times New Roman"/>
                <w:szCs w:val="24"/>
              </w:rPr>
              <w:t>b</w:t>
            </w:r>
            <w:r w:rsidR="00BF0661" w:rsidRPr="001C2C36">
              <w:rPr>
                <w:rFonts w:cs="Times New Roman"/>
                <w:szCs w:val="24"/>
                <w:vertAlign w:val="subscript"/>
              </w:rPr>
              <w:t>3</w:t>
            </w:r>
            <w:r w:rsidRPr="001C2C36">
              <w:rPr>
                <w:rFonts w:cs="Times New Roman"/>
                <w:szCs w:val="24"/>
              </w:rPr>
              <w:t xml:space="preserve"> (SE)</w:t>
            </w:r>
          </w:p>
        </w:tc>
        <w:tc>
          <w:tcPr>
            <w:tcW w:w="1196" w:type="dxa"/>
            <w:vAlign w:val="center"/>
            <w:hideMark/>
          </w:tcPr>
          <w:p w14:paraId="4F4F6A64" w14:textId="2C79A999" w:rsidR="0043731C" w:rsidRPr="001C2C36" w:rsidRDefault="0043731C" w:rsidP="0043731C">
            <w:pPr>
              <w:pStyle w:val="NoSpacing"/>
              <w:jc w:val="center"/>
              <w:rPr>
                <w:rFonts w:cs="Times New Roman"/>
                <w:szCs w:val="24"/>
              </w:rPr>
            </w:pPr>
            <w:r w:rsidRPr="001C2C36">
              <w:rPr>
                <w:rFonts w:cs="Times New Roman"/>
                <w:szCs w:val="24"/>
              </w:rPr>
              <w:t xml:space="preserve">model </w:t>
            </w:r>
            <w:r w:rsidR="003512CA" w:rsidRPr="001C2C36">
              <w:rPr>
                <w:rFonts w:cs="Times New Roman"/>
                <w:szCs w:val="24"/>
              </w:rPr>
              <w:t>7</w:t>
            </w:r>
          </w:p>
          <w:p w14:paraId="34B16009" w14:textId="245DFF81" w:rsidR="0043731C" w:rsidRPr="001C2C36" w:rsidRDefault="0043731C" w:rsidP="0043731C">
            <w:pPr>
              <w:pStyle w:val="NoSpacing"/>
              <w:jc w:val="center"/>
              <w:rPr>
                <w:rFonts w:cs="Times New Roman"/>
                <w:szCs w:val="24"/>
                <w:lang w:eastAsia="en-GB"/>
              </w:rPr>
            </w:pPr>
            <w:r w:rsidRPr="001C2C36">
              <w:rPr>
                <w:rFonts w:cs="Times New Roman"/>
                <w:szCs w:val="24"/>
              </w:rPr>
              <w:t>b</w:t>
            </w:r>
            <w:r w:rsidR="00BF0661" w:rsidRPr="001C2C36">
              <w:rPr>
                <w:rFonts w:cs="Times New Roman"/>
                <w:szCs w:val="24"/>
                <w:vertAlign w:val="subscript"/>
              </w:rPr>
              <w:t>7</w:t>
            </w:r>
            <w:r w:rsidRPr="001C2C36">
              <w:rPr>
                <w:rFonts w:cs="Times New Roman"/>
                <w:szCs w:val="24"/>
              </w:rPr>
              <w:t xml:space="preserve"> (SE)</w:t>
            </w:r>
          </w:p>
        </w:tc>
        <w:tc>
          <w:tcPr>
            <w:tcW w:w="1058" w:type="dxa"/>
            <w:tcBorders>
              <w:right w:val="single" w:sz="4" w:space="0" w:color="auto"/>
            </w:tcBorders>
            <w:vAlign w:val="center"/>
          </w:tcPr>
          <w:p w14:paraId="13BE0DB7" w14:textId="18F153EE" w:rsidR="0043731C" w:rsidRPr="001C2C36" w:rsidRDefault="0043731C" w:rsidP="0043731C">
            <w:pPr>
              <w:pStyle w:val="NoSpacing"/>
              <w:jc w:val="center"/>
              <w:rPr>
                <w:rFonts w:cs="Times New Roman"/>
                <w:szCs w:val="24"/>
              </w:rPr>
            </w:pPr>
            <w:r w:rsidRPr="001C2C36">
              <w:rPr>
                <w:rFonts w:cs="Times New Roman"/>
                <w:szCs w:val="24"/>
              </w:rPr>
              <w:t xml:space="preserve">model </w:t>
            </w:r>
            <w:r w:rsidR="003512CA" w:rsidRPr="001C2C36">
              <w:rPr>
                <w:rFonts w:cs="Times New Roman"/>
                <w:szCs w:val="24"/>
              </w:rPr>
              <w:t>8</w:t>
            </w:r>
          </w:p>
          <w:p w14:paraId="7D20F427" w14:textId="6F1BEAD0" w:rsidR="0043731C" w:rsidRPr="001C2C36" w:rsidRDefault="0043731C" w:rsidP="0043731C">
            <w:pPr>
              <w:pStyle w:val="NoSpacing"/>
              <w:jc w:val="center"/>
              <w:rPr>
                <w:rFonts w:cs="Times New Roman"/>
                <w:szCs w:val="24"/>
              </w:rPr>
            </w:pPr>
            <w:r w:rsidRPr="001C2C36">
              <w:rPr>
                <w:rFonts w:cs="Times New Roman"/>
                <w:szCs w:val="24"/>
              </w:rPr>
              <w:t>b</w:t>
            </w:r>
            <w:r w:rsidR="00BF0661" w:rsidRPr="001C2C36">
              <w:rPr>
                <w:rFonts w:cs="Times New Roman"/>
                <w:szCs w:val="24"/>
                <w:vertAlign w:val="subscript"/>
              </w:rPr>
              <w:t>8</w:t>
            </w:r>
            <w:r w:rsidRPr="001C2C36">
              <w:rPr>
                <w:rFonts w:cs="Times New Roman"/>
                <w:szCs w:val="24"/>
              </w:rPr>
              <w:t xml:space="preserve"> (SE)</w:t>
            </w:r>
          </w:p>
        </w:tc>
        <w:tc>
          <w:tcPr>
            <w:tcW w:w="1339" w:type="dxa"/>
            <w:vAlign w:val="center"/>
            <w:hideMark/>
          </w:tcPr>
          <w:p w14:paraId="744371BA" w14:textId="335D69D2" w:rsidR="0043731C" w:rsidRPr="001C2C36" w:rsidRDefault="0043731C" w:rsidP="0043731C">
            <w:pPr>
              <w:pStyle w:val="NoSpacing"/>
              <w:jc w:val="center"/>
              <w:rPr>
                <w:rFonts w:cs="Times New Roman"/>
                <w:szCs w:val="24"/>
              </w:rPr>
            </w:pPr>
            <w:r w:rsidRPr="001C2C36">
              <w:rPr>
                <w:rFonts w:cs="Times New Roman"/>
                <w:szCs w:val="24"/>
              </w:rPr>
              <w:t xml:space="preserve">model </w:t>
            </w:r>
            <w:r w:rsidR="003512CA" w:rsidRPr="001C2C36">
              <w:rPr>
                <w:rFonts w:cs="Times New Roman"/>
                <w:szCs w:val="24"/>
              </w:rPr>
              <w:t>6</w:t>
            </w:r>
          </w:p>
          <w:p w14:paraId="5A6EEC9F" w14:textId="74C386B6" w:rsidR="0043731C" w:rsidRPr="001C2C36" w:rsidRDefault="0043731C" w:rsidP="0043731C">
            <w:pPr>
              <w:pStyle w:val="NoSpacing"/>
              <w:jc w:val="center"/>
              <w:rPr>
                <w:rFonts w:cs="Times New Roman"/>
                <w:szCs w:val="24"/>
                <w:lang w:eastAsia="en-GB"/>
              </w:rPr>
            </w:pPr>
            <w:r w:rsidRPr="001C2C36">
              <w:rPr>
                <w:rFonts w:cs="Times New Roman"/>
                <w:szCs w:val="24"/>
              </w:rPr>
              <w:t>b</w:t>
            </w:r>
            <w:r w:rsidR="00BF0661" w:rsidRPr="001C2C36">
              <w:rPr>
                <w:rFonts w:cs="Times New Roman"/>
                <w:szCs w:val="24"/>
                <w:vertAlign w:val="subscript"/>
              </w:rPr>
              <w:t>6</w:t>
            </w:r>
            <w:r w:rsidRPr="001C2C36">
              <w:rPr>
                <w:rFonts w:cs="Times New Roman"/>
                <w:szCs w:val="24"/>
              </w:rPr>
              <w:t xml:space="preserve"> (SE)</w:t>
            </w:r>
          </w:p>
        </w:tc>
        <w:tc>
          <w:tcPr>
            <w:tcW w:w="1022" w:type="dxa"/>
            <w:vAlign w:val="center"/>
            <w:hideMark/>
          </w:tcPr>
          <w:p w14:paraId="6C7879EF" w14:textId="56F2B59E" w:rsidR="0043731C" w:rsidRPr="001C2C36" w:rsidRDefault="0043731C" w:rsidP="0043731C">
            <w:pPr>
              <w:pStyle w:val="NoSpacing"/>
              <w:jc w:val="center"/>
              <w:rPr>
                <w:rFonts w:cs="Times New Roman"/>
                <w:szCs w:val="24"/>
              </w:rPr>
            </w:pPr>
            <w:r w:rsidRPr="001C2C36">
              <w:rPr>
                <w:rFonts w:cs="Times New Roman"/>
                <w:szCs w:val="24"/>
              </w:rPr>
              <w:t xml:space="preserve">model </w:t>
            </w:r>
            <w:r w:rsidR="003512CA" w:rsidRPr="001C2C36">
              <w:rPr>
                <w:rFonts w:cs="Times New Roman"/>
                <w:szCs w:val="24"/>
              </w:rPr>
              <w:t>9</w:t>
            </w:r>
          </w:p>
          <w:p w14:paraId="64EAAE6C" w14:textId="743D635C" w:rsidR="0043731C" w:rsidRPr="001C2C36" w:rsidRDefault="0043731C" w:rsidP="0043731C">
            <w:pPr>
              <w:pStyle w:val="NoSpacing"/>
              <w:jc w:val="center"/>
              <w:rPr>
                <w:rFonts w:cs="Times New Roman"/>
                <w:szCs w:val="24"/>
                <w:lang w:eastAsia="en-GB"/>
              </w:rPr>
            </w:pPr>
            <w:r w:rsidRPr="001C2C36">
              <w:rPr>
                <w:rFonts w:cs="Times New Roman"/>
                <w:szCs w:val="24"/>
              </w:rPr>
              <w:t>b</w:t>
            </w:r>
            <w:r w:rsidR="00BF0661" w:rsidRPr="001C2C36">
              <w:rPr>
                <w:rFonts w:cs="Times New Roman"/>
                <w:szCs w:val="24"/>
                <w:vertAlign w:val="subscript"/>
              </w:rPr>
              <w:t>9</w:t>
            </w:r>
            <w:r w:rsidRPr="001C2C36">
              <w:rPr>
                <w:rFonts w:cs="Times New Roman"/>
                <w:szCs w:val="24"/>
              </w:rPr>
              <w:t xml:space="preserve"> (SE)</w:t>
            </w:r>
          </w:p>
        </w:tc>
        <w:tc>
          <w:tcPr>
            <w:tcW w:w="1335" w:type="dxa"/>
            <w:tcBorders>
              <w:right w:val="single" w:sz="4" w:space="0" w:color="auto"/>
            </w:tcBorders>
            <w:vAlign w:val="center"/>
          </w:tcPr>
          <w:p w14:paraId="1A3254F5" w14:textId="08B65716" w:rsidR="0043731C" w:rsidRPr="001C2C36" w:rsidRDefault="0043731C" w:rsidP="0043731C">
            <w:pPr>
              <w:pStyle w:val="NoSpacing"/>
              <w:jc w:val="center"/>
              <w:rPr>
                <w:rFonts w:cs="Times New Roman"/>
                <w:szCs w:val="24"/>
              </w:rPr>
            </w:pPr>
            <w:r w:rsidRPr="001C2C36">
              <w:rPr>
                <w:rFonts w:cs="Times New Roman"/>
                <w:szCs w:val="24"/>
              </w:rPr>
              <w:t xml:space="preserve">model </w:t>
            </w:r>
            <w:r w:rsidR="003512CA" w:rsidRPr="001C2C36">
              <w:rPr>
                <w:rFonts w:cs="Times New Roman"/>
                <w:szCs w:val="24"/>
              </w:rPr>
              <w:t>10</w:t>
            </w:r>
          </w:p>
          <w:p w14:paraId="17F1E7D0" w14:textId="2D91BE2A" w:rsidR="0043731C" w:rsidRPr="001C2C36" w:rsidRDefault="0043731C" w:rsidP="0043731C">
            <w:pPr>
              <w:pStyle w:val="NoSpacing"/>
              <w:jc w:val="center"/>
              <w:rPr>
                <w:rFonts w:cs="Times New Roman"/>
                <w:szCs w:val="24"/>
              </w:rPr>
            </w:pPr>
            <w:r w:rsidRPr="001C2C36">
              <w:rPr>
                <w:rFonts w:cs="Times New Roman"/>
                <w:szCs w:val="24"/>
              </w:rPr>
              <w:t>b</w:t>
            </w:r>
            <w:r w:rsidR="00BF0661" w:rsidRPr="001C2C36">
              <w:rPr>
                <w:rFonts w:cs="Times New Roman"/>
                <w:szCs w:val="24"/>
                <w:vertAlign w:val="subscript"/>
              </w:rPr>
              <w:t>10</w:t>
            </w:r>
            <w:r w:rsidRPr="001C2C36">
              <w:rPr>
                <w:rFonts w:cs="Times New Roman"/>
                <w:szCs w:val="24"/>
              </w:rPr>
              <w:t xml:space="preserve"> (SE)</w:t>
            </w:r>
          </w:p>
        </w:tc>
      </w:tr>
      <w:tr w:rsidR="004849E9" w:rsidRPr="001C2C36" w14:paraId="627C8238" w14:textId="77777777" w:rsidTr="006458F9">
        <w:trPr>
          <w:trHeight w:val="340"/>
          <w:tblCellSpacing w:w="15" w:type="dxa"/>
          <w:jc w:val="center"/>
        </w:trPr>
        <w:tc>
          <w:tcPr>
            <w:tcW w:w="9201" w:type="dxa"/>
            <w:gridSpan w:val="7"/>
            <w:tcBorders>
              <w:top w:val="single" w:sz="4" w:space="0" w:color="auto"/>
              <w:left w:val="single" w:sz="4" w:space="0" w:color="auto"/>
              <w:bottom w:val="single" w:sz="4" w:space="0" w:color="auto"/>
              <w:right w:val="single" w:sz="4" w:space="0" w:color="auto"/>
            </w:tcBorders>
            <w:vAlign w:val="center"/>
          </w:tcPr>
          <w:p w14:paraId="5C69D0CF" w14:textId="0D2F953C" w:rsidR="004849E9" w:rsidRPr="001C2C36" w:rsidRDefault="004849E9" w:rsidP="004849E9">
            <w:pPr>
              <w:pStyle w:val="NoSpacing"/>
              <w:rPr>
                <w:rFonts w:cs="Times New Roman"/>
                <w:szCs w:val="24"/>
              </w:rPr>
            </w:pPr>
            <w:r w:rsidRPr="001C2C36">
              <w:rPr>
                <w:rFonts w:cs="Times New Roman"/>
                <w:b/>
                <w:bCs/>
                <w:szCs w:val="24"/>
                <w:lang w:eastAsia="en-GB"/>
              </w:rPr>
              <w:t>Study variables</w:t>
            </w:r>
          </w:p>
        </w:tc>
      </w:tr>
      <w:tr w:rsidR="004849E9" w:rsidRPr="001C2C36" w14:paraId="45C15618" w14:textId="77777777" w:rsidTr="00283B7D">
        <w:trPr>
          <w:trHeight w:val="481"/>
          <w:tblCellSpacing w:w="15" w:type="dxa"/>
          <w:jc w:val="center"/>
        </w:trPr>
        <w:tc>
          <w:tcPr>
            <w:tcW w:w="1877" w:type="dxa"/>
            <w:tcBorders>
              <w:left w:val="single" w:sz="4" w:space="0" w:color="auto"/>
            </w:tcBorders>
            <w:vAlign w:val="center"/>
          </w:tcPr>
          <w:p w14:paraId="63B2E1B3" w14:textId="6B1BBFD2" w:rsidR="004849E9" w:rsidRPr="001C2C36" w:rsidRDefault="004849E9" w:rsidP="004849E9">
            <w:pPr>
              <w:pStyle w:val="NoSpacing"/>
              <w:rPr>
                <w:rFonts w:cs="Times New Roman"/>
                <w:b/>
                <w:bCs/>
                <w:szCs w:val="24"/>
                <w:lang w:eastAsia="en-GB"/>
              </w:rPr>
            </w:pPr>
            <w:bookmarkStart w:id="5" w:name="_Hlk127364765"/>
            <w:r w:rsidRPr="001C2C36">
              <w:rPr>
                <w:rFonts w:cs="Times New Roman"/>
                <w:szCs w:val="24"/>
                <w:lang w:eastAsia="en-GB"/>
              </w:rPr>
              <w:t>Dynamic capabilities</w:t>
            </w:r>
          </w:p>
        </w:tc>
        <w:tc>
          <w:tcPr>
            <w:tcW w:w="1194" w:type="dxa"/>
            <w:tcBorders>
              <w:left w:val="single" w:sz="4" w:space="0" w:color="auto"/>
            </w:tcBorders>
            <w:vAlign w:val="center"/>
          </w:tcPr>
          <w:p w14:paraId="229AC9A9" w14:textId="77777777" w:rsidR="004849E9" w:rsidRPr="001C2C36" w:rsidRDefault="004849E9" w:rsidP="004849E9">
            <w:pPr>
              <w:pStyle w:val="NoSpacing"/>
              <w:jc w:val="center"/>
              <w:rPr>
                <w:rFonts w:cs="Times New Roman"/>
                <w:szCs w:val="24"/>
                <w:lang w:eastAsia="en-GB"/>
              </w:rPr>
            </w:pPr>
            <w:r w:rsidRPr="001C2C36">
              <w:rPr>
                <w:rFonts w:eastAsia="Times New Roman" w:cs="Times New Roman"/>
                <w:szCs w:val="24"/>
                <w:lang w:eastAsia="en-GB"/>
              </w:rPr>
              <w:t>0.01</w:t>
            </w:r>
          </w:p>
          <w:p w14:paraId="6089751B" w14:textId="2737214D" w:rsidR="004849E9" w:rsidRPr="001C2C36" w:rsidRDefault="004849E9" w:rsidP="004849E9">
            <w:pPr>
              <w:pStyle w:val="NoSpacing"/>
              <w:jc w:val="center"/>
              <w:rPr>
                <w:rFonts w:cs="Times New Roman"/>
                <w:szCs w:val="24"/>
              </w:rPr>
            </w:pPr>
            <w:r w:rsidRPr="001C2C36">
              <w:rPr>
                <w:rFonts w:eastAsia="Times New Roman" w:cs="Times New Roman"/>
                <w:szCs w:val="24"/>
                <w:lang w:eastAsia="en-GB"/>
              </w:rPr>
              <w:t>(0.07)</w:t>
            </w:r>
          </w:p>
        </w:tc>
        <w:tc>
          <w:tcPr>
            <w:tcW w:w="1196" w:type="dxa"/>
            <w:vAlign w:val="center"/>
          </w:tcPr>
          <w:p w14:paraId="090556B3" w14:textId="77777777" w:rsidR="004849E9" w:rsidRPr="001C2C36" w:rsidRDefault="004849E9" w:rsidP="004849E9">
            <w:pPr>
              <w:pStyle w:val="NoSpacing"/>
              <w:jc w:val="center"/>
              <w:rPr>
                <w:rFonts w:cs="Times New Roman"/>
                <w:szCs w:val="24"/>
                <w:lang w:eastAsia="en-GB"/>
              </w:rPr>
            </w:pPr>
            <w:r w:rsidRPr="001C2C36">
              <w:rPr>
                <w:rFonts w:eastAsia="Times New Roman" w:cs="Times New Roman"/>
                <w:szCs w:val="24"/>
                <w:lang w:eastAsia="en-GB"/>
              </w:rPr>
              <w:t>0.01</w:t>
            </w:r>
          </w:p>
          <w:p w14:paraId="145E67ED" w14:textId="2CDBCEB2" w:rsidR="004849E9" w:rsidRPr="001C2C36" w:rsidRDefault="004849E9" w:rsidP="004849E9">
            <w:pPr>
              <w:pStyle w:val="NoSpacing"/>
              <w:jc w:val="center"/>
              <w:rPr>
                <w:rFonts w:cs="Times New Roman"/>
                <w:szCs w:val="24"/>
              </w:rPr>
            </w:pPr>
            <w:r w:rsidRPr="001C2C36">
              <w:rPr>
                <w:rFonts w:eastAsia="Times New Roman" w:cs="Times New Roman"/>
                <w:szCs w:val="24"/>
                <w:lang w:eastAsia="en-GB"/>
              </w:rPr>
              <w:t>(0.04)</w:t>
            </w:r>
          </w:p>
        </w:tc>
        <w:tc>
          <w:tcPr>
            <w:tcW w:w="1058" w:type="dxa"/>
            <w:tcBorders>
              <w:right w:val="single" w:sz="4" w:space="0" w:color="auto"/>
            </w:tcBorders>
            <w:vAlign w:val="center"/>
          </w:tcPr>
          <w:p w14:paraId="079548F3" w14:textId="77777777" w:rsidR="004849E9" w:rsidRPr="001C2C36" w:rsidRDefault="004849E9" w:rsidP="004849E9">
            <w:pPr>
              <w:pStyle w:val="NoSpacing"/>
              <w:jc w:val="center"/>
              <w:rPr>
                <w:rFonts w:cs="Times New Roman"/>
                <w:szCs w:val="24"/>
                <w:lang w:eastAsia="en-GB"/>
              </w:rPr>
            </w:pPr>
            <w:r w:rsidRPr="001C2C36">
              <w:rPr>
                <w:rFonts w:cs="Times New Roman"/>
                <w:szCs w:val="24"/>
                <w:lang w:eastAsia="en-GB"/>
              </w:rPr>
              <w:t>-0.03</w:t>
            </w:r>
          </w:p>
          <w:p w14:paraId="04C59DC8" w14:textId="051C544B" w:rsidR="004849E9" w:rsidRPr="001C2C36" w:rsidRDefault="004849E9" w:rsidP="004849E9">
            <w:pPr>
              <w:pStyle w:val="NoSpacing"/>
              <w:jc w:val="center"/>
              <w:rPr>
                <w:rFonts w:cs="Times New Roman"/>
                <w:szCs w:val="24"/>
              </w:rPr>
            </w:pPr>
            <w:r w:rsidRPr="001C2C36">
              <w:rPr>
                <w:rFonts w:cs="Times New Roman"/>
                <w:szCs w:val="24"/>
                <w:lang w:eastAsia="en-GB"/>
              </w:rPr>
              <w:t>(0.03)</w:t>
            </w:r>
          </w:p>
        </w:tc>
        <w:tc>
          <w:tcPr>
            <w:tcW w:w="1339" w:type="dxa"/>
            <w:vAlign w:val="center"/>
          </w:tcPr>
          <w:p w14:paraId="2ADA75B3" w14:textId="77777777" w:rsidR="004849E9" w:rsidRPr="001C2C36" w:rsidRDefault="004849E9" w:rsidP="004849E9">
            <w:pPr>
              <w:pStyle w:val="NoSpacing"/>
              <w:jc w:val="center"/>
              <w:rPr>
                <w:rFonts w:cs="Times New Roman"/>
                <w:szCs w:val="24"/>
                <w:lang w:eastAsia="en-GB"/>
              </w:rPr>
            </w:pPr>
            <w:r w:rsidRPr="001C2C36">
              <w:rPr>
                <w:rFonts w:eastAsia="Times New Roman" w:cs="Times New Roman"/>
                <w:szCs w:val="24"/>
                <w:lang w:eastAsia="en-GB"/>
              </w:rPr>
              <w:t>0.44</w:t>
            </w:r>
            <w:r w:rsidRPr="001C2C36">
              <w:rPr>
                <w:rFonts w:eastAsia="Times New Roman" w:cs="Times New Roman"/>
                <w:szCs w:val="24"/>
                <w:vertAlign w:val="superscript"/>
                <w:lang w:eastAsia="en-GB"/>
              </w:rPr>
              <w:t>***</w:t>
            </w:r>
          </w:p>
          <w:p w14:paraId="2C42BB5A" w14:textId="19E20D33" w:rsidR="004849E9" w:rsidRPr="001C2C36" w:rsidRDefault="004849E9" w:rsidP="004849E9">
            <w:pPr>
              <w:pStyle w:val="NoSpacing"/>
              <w:jc w:val="center"/>
              <w:rPr>
                <w:rFonts w:cs="Times New Roman"/>
                <w:szCs w:val="24"/>
              </w:rPr>
            </w:pPr>
            <w:r w:rsidRPr="001C2C36">
              <w:rPr>
                <w:rFonts w:eastAsia="Times New Roman" w:cs="Times New Roman"/>
                <w:szCs w:val="24"/>
                <w:lang w:eastAsia="en-GB"/>
              </w:rPr>
              <w:t>(0.09)</w:t>
            </w:r>
          </w:p>
        </w:tc>
        <w:tc>
          <w:tcPr>
            <w:tcW w:w="1022" w:type="dxa"/>
            <w:vAlign w:val="center"/>
          </w:tcPr>
          <w:p w14:paraId="102127B6" w14:textId="77777777" w:rsidR="004849E9" w:rsidRPr="001C2C36" w:rsidRDefault="004849E9" w:rsidP="004849E9">
            <w:pPr>
              <w:pStyle w:val="NoSpacing"/>
              <w:jc w:val="center"/>
              <w:rPr>
                <w:rFonts w:cs="Times New Roman"/>
                <w:szCs w:val="24"/>
                <w:lang w:eastAsia="en-GB"/>
              </w:rPr>
            </w:pPr>
            <w:r w:rsidRPr="001C2C36">
              <w:rPr>
                <w:rFonts w:eastAsia="Times New Roman" w:cs="Times New Roman"/>
                <w:szCs w:val="24"/>
                <w:lang w:eastAsia="en-GB"/>
              </w:rPr>
              <w:t>0.30</w:t>
            </w:r>
            <w:r w:rsidRPr="001C2C36">
              <w:rPr>
                <w:rFonts w:eastAsia="Times New Roman" w:cs="Times New Roman"/>
                <w:szCs w:val="24"/>
                <w:vertAlign w:val="superscript"/>
                <w:lang w:eastAsia="en-GB"/>
              </w:rPr>
              <w:t>***</w:t>
            </w:r>
          </w:p>
          <w:p w14:paraId="171A404B" w14:textId="62FD1DD9" w:rsidR="004849E9" w:rsidRPr="001C2C36" w:rsidRDefault="004849E9" w:rsidP="004849E9">
            <w:pPr>
              <w:pStyle w:val="NoSpacing"/>
              <w:jc w:val="center"/>
              <w:rPr>
                <w:rFonts w:cs="Times New Roman"/>
                <w:szCs w:val="24"/>
              </w:rPr>
            </w:pPr>
            <w:r w:rsidRPr="001C2C36">
              <w:rPr>
                <w:rFonts w:eastAsia="Times New Roman" w:cs="Times New Roman"/>
                <w:szCs w:val="24"/>
                <w:lang w:eastAsia="en-GB"/>
              </w:rPr>
              <w:t>(0.05)</w:t>
            </w:r>
          </w:p>
        </w:tc>
        <w:tc>
          <w:tcPr>
            <w:tcW w:w="1335" w:type="dxa"/>
            <w:tcBorders>
              <w:right w:val="single" w:sz="4" w:space="0" w:color="auto"/>
            </w:tcBorders>
            <w:vAlign w:val="center"/>
          </w:tcPr>
          <w:p w14:paraId="236EF888" w14:textId="77777777" w:rsidR="004849E9" w:rsidRPr="001C2C36" w:rsidRDefault="004849E9" w:rsidP="004849E9">
            <w:pPr>
              <w:pStyle w:val="NoSpacing"/>
              <w:jc w:val="center"/>
              <w:rPr>
                <w:rFonts w:cs="Times New Roman"/>
                <w:szCs w:val="24"/>
                <w:lang w:eastAsia="en-GB"/>
              </w:rPr>
            </w:pPr>
            <w:r w:rsidRPr="001C2C36">
              <w:rPr>
                <w:rFonts w:cs="Times New Roman"/>
                <w:szCs w:val="24"/>
                <w:lang w:eastAsia="en-GB"/>
              </w:rPr>
              <w:t>0.29</w:t>
            </w:r>
            <w:r w:rsidRPr="001C2C36">
              <w:rPr>
                <w:rFonts w:cs="Times New Roman"/>
                <w:szCs w:val="24"/>
                <w:vertAlign w:val="superscript"/>
                <w:lang w:eastAsia="en-GB"/>
              </w:rPr>
              <w:t>***</w:t>
            </w:r>
          </w:p>
          <w:p w14:paraId="6521337E" w14:textId="7341460E" w:rsidR="004849E9" w:rsidRPr="001C2C36" w:rsidRDefault="004849E9" w:rsidP="004849E9">
            <w:pPr>
              <w:pStyle w:val="NoSpacing"/>
              <w:jc w:val="center"/>
              <w:rPr>
                <w:rFonts w:cs="Times New Roman"/>
                <w:szCs w:val="24"/>
              </w:rPr>
            </w:pPr>
            <w:r w:rsidRPr="001C2C36">
              <w:rPr>
                <w:rFonts w:cs="Times New Roman"/>
                <w:szCs w:val="24"/>
                <w:lang w:eastAsia="en-GB"/>
              </w:rPr>
              <w:t>(0.04)</w:t>
            </w:r>
          </w:p>
        </w:tc>
      </w:tr>
      <w:bookmarkEnd w:id="5"/>
      <w:tr w:rsidR="004849E9" w:rsidRPr="001C2C36" w14:paraId="0A704FF7" w14:textId="77777777" w:rsidTr="00283B7D">
        <w:trPr>
          <w:trHeight w:val="481"/>
          <w:tblCellSpacing w:w="15" w:type="dxa"/>
          <w:jc w:val="center"/>
        </w:trPr>
        <w:tc>
          <w:tcPr>
            <w:tcW w:w="1877" w:type="dxa"/>
            <w:tcBorders>
              <w:left w:val="single" w:sz="4" w:space="0" w:color="auto"/>
            </w:tcBorders>
            <w:vAlign w:val="center"/>
          </w:tcPr>
          <w:p w14:paraId="1516F08E" w14:textId="2A298052" w:rsidR="004849E9" w:rsidRPr="001C2C36" w:rsidRDefault="004849E9" w:rsidP="004849E9">
            <w:pPr>
              <w:pStyle w:val="NoSpacing"/>
              <w:rPr>
                <w:rFonts w:cs="Times New Roman"/>
                <w:b/>
                <w:bCs/>
                <w:szCs w:val="24"/>
                <w:lang w:eastAsia="en-GB"/>
              </w:rPr>
            </w:pPr>
            <w:r w:rsidRPr="001C2C36">
              <w:rPr>
                <w:rFonts w:cs="Times New Roman"/>
                <w:szCs w:val="24"/>
                <w:lang w:eastAsia="en-GB"/>
              </w:rPr>
              <w:t>Government support</w:t>
            </w:r>
          </w:p>
        </w:tc>
        <w:tc>
          <w:tcPr>
            <w:tcW w:w="1194" w:type="dxa"/>
            <w:tcBorders>
              <w:left w:val="single" w:sz="4" w:space="0" w:color="auto"/>
            </w:tcBorders>
            <w:vAlign w:val="center"/>
          </w:tcPr>
          <w:p w14:paraId="152C9FBC" w14:textId="77777777" w:rsidR="004849E9" w:rsidRPr="001C2C36" w:rsidRDefault="004849E9" w:rsidP="004849E9">
            <w:pPr>
              <w:pStyle w:val="NoSpacing"/>
              <w:jc w:val="center"/>
              <w:rPr>
                <w:rFonts w:cs="Times New Roman"/>
                <w:szCs w:val="24"/>
                <w:lang w:eastAsia="en-GB"/>
              </w:rPr>
            </w:pPr>
            <w:r w:rsidRPr="001C2C36">
              <w:rPr>
                <w:rFonts w:eastAsia="Times New Roman" w:cs="Times New Roman"/>
                <w:szCs w:val="24"/>
                <w:lang w:eastAsia="en-GB"/>
              </w:rPr>
              <w:t>0.32</w:t>
            </w:r>
            <w:r w:rsidRPr="001C2C36">
              <w:rPr>
                <w:rFonts w:eastAsia="Times New Roman" w:cs="Times New Roman"/>
                <w:szCs w:val="24"/>
                <w:vertAlign w:val="superscript"/>
                <w:lang w:eastAsia="en-GB"/>
              </w:rPr>
              <w:t>***</w:t>
            </w:r>
          </w:p>
          <w:p w14:paraId="2C17345B" w14:textId="6BF8AFE2" w:rsidR="004849E9" w:rsidRPr="001C2C36" w:rsidRDefault="004849E9" w:rsidP="004849E9">
            <w:pPr>
              <w:pStyle w:val="NoSpacing"/>
              <w:jc w:val="center"/>
              <w:rPr>
                <w:rFonts w:cs="Times New Roman"/>
                <w:szCs w:val="24"/>
              </w:rPr>
            </w:pPr>
            <w:r w:rsidRPr="001C2C36">
              <w:rPr>
                <w:rFonts w:eastAsia="Times New Roman" w:cs="Times New Roman"/>
                <w:szCs w:val="24"/>
                <w:lang w:eastAsia="en-GB"/>
              </w:rPr>
              <w:t>(0.08)</w:t>
            </w:r>
          </w:p>
        </w:tc>
        <w:tc>
          <w:tcPr>
            <w:tcW w:w="1196" w:type="dxa"/>
            <w:vAlign w:val="center"/>
          </w:tcPr>
          <w:p w14:paraId="3E8060F8" w14:textId="77777777" w:rsidR="004849E9" w:rsidRPr="001C2C36" w:rsidRDefault="004849E9" w:rsidP="004849E9">
            <w:pPr>
              <w:pStyle w:val="NoSpacing"/>
              <w:jc w:val="center"/>
              <w:rPr>
                <w:rFonts w:cs="Times New Roman"/>
                <w:szCs w:val="24"/>
                <w:lang w:eastAsia="en-GB"/>
              </w:rPr>
            </w:pPr>
            <w:r w:rsidRPr="001C2C36">
              <w:rPr>
                <w:rFonts w:eastAsia="Times New Roman" w:cs="Times New Roman"/>
                <w:szCs w:val="24"/>
                <w:lang w:eastAsia="en-GB"/>
              </w:rPr>
              <w:t>0.30</w:t>
            </w:r>
            <w:r w:rsidRPr="001C2C36">
              <w:rPr>
                <w:rFonts w:eastAsia="Times New Roman" w:cs="Times New Roman"/>
                <w:szCs w:val="24"/>
                <w:vertAlign w:val="superscript"/>
                <w:lang w:eastAsia="en-GB"/>
              </w:rPr>
              <w:t>***</w:t>
            </w:r>
          </w:p>
          <w:p w14:paraId="11404673" w14:textId="5E14EB46" w:rsidR="004849E9" w:rsidRPr="001C2C36" w:rsidRDefault="004849E9" w:rsidP="004849E9">
            <w:pPr>
              <w:pStyle w:val="NoSpacing"/>
              <w:jc w:val="center"/>
              <w:rPr>
                <w:rFonts w:cs="Times New Roman"/>
                <w:szCs w:val="24"/>
              </w:rPr>
            </w:pPr>
            <w:r w:rsidRPr="001C2C36">
              <w:rPr>
                <w:rFonts w:eastAsia="Times New Roman" w:cs="Times New Roman"/>
                <w:szCs w:val="24"/>
                <w:lang w:eastAsia="en-GB"/>
              </w:rPr>
              <w:t>(0.04)</w:t>
            </w:r>
          </w:p>
        </w:tc>
        <w:tc>
          <w:tcPr>
            <w:tcW w:w="1058" w:type="dxa"/>
            <w:tcBorders>
              <w:right w:val="single" w:sz="4" w:space="0" w:color="auto"/>
            </w:tcBorders>
            <w:vAlign w:val="center"/>
          </w:tcPr>
          <w:p w14:paraId="6392CCD2" w14:textId="77777777" w:rsidR="004849E9" w:rsidRPr="001C2C36" w:rsidRDefault="004849E9" w:rsidP="004849E9">
            <w:pPr>
              <w:pStyle w:val="NoSpacing"/>
              <w:jc w:val="center"/>
              <w:rPr>
                <w:rFonts w:cs="Times New Roman"/>
                <w:szCs w:val="24"/>
                <w:lang w:eastAsia="en-GB"/>
              </w:rPr>
            </w:pPr>
            <w:r w:rsidRPr="001C2C36">
              <w:rPr>
                <w:rFonts w:cs="Times New Roman"/>
                <w:szCs w:val="24"/>
                <w:lang w:eastAsia="en-GB"/>
              </w:rPr>
              <w:t>0.24</w:t>
            </w:r>
            <w:r w:rsidRPr="001C2C36">
              <w:rPr>
                <w:rFonts w:cs="Times New Roman"/>
                <w:szCs w:val="24"/>
                <w:vertAlign w:val="superscript"/>
                <w:lang w:eastAsia="en-GB"/>
              </w:rPr>
              <w:t>***</w:t>
            </w:r>
          </w:p>
          <w:p w14:paraId="69DB76E0" w14:textId="11C87FD0" w:rsidR="004849E9" w:rsidRPr="001C2C36" w:rsidRDefault="004849E9" w:rsidP="004849E9">
            <w:pPr>
              <w:pStyle w:val="NoSpacing"/>
              <w:jc w:val="center"/>
              <w:rPr>
                <w:rFonts w:cs="Times New Roman"/>
                <w:szCs w:val="24"/>
              </w:rPr>
            </w:pPr>
            <w:r w:rsidRPr="001C2C36">
              <w:rPr>
                <w:rFonts w:cs="Times New Roman"/>
                <w:szCs w:val="24"/>
                <w:lang w:eastAsia="en-GB"/>
              </w:rPr>
              <w:t>(0.03)</w:t>
            </w:r>
          </w:p>
        </w:tc>
        <w:tc>
          <w:tcPr>
            <w:tcW w:w="1339" w:type="dxa"/>
            <w:vAlign w:val="center"/>
          </w:tcPr>
          <w:p w14:paraId="53DC1B23" w14:textId="77777777" w:rsidR="004849E9" w:rsidRPr="001C2C36" w:rsidRDefault="004849E9" w:rsidP="004849E9">
            <w:pPr>
              <w:pStyle w:val="NoSpacing"/>
              <w:jc w:val="center"/>
              <w:rPr>
                <w:rFonts w:cs="Times New Roman"/>
                <w:szCs w:val="24"/>
                <w:lang w:eastAsia="en-GB"/>
              </w:rPr>
            </w:pPr>
            <w:r w:rsidRPr="001C2C36">
              <w:rPr>
                <w:rFonts w:eastAsia="Times New Roman" w:cs="Times New Roman"/>
                <w:szCs w:val="24"/>
                <w:lang w:eastAsia="en-GB"/>
              </w:rPr>
              <w:t>0.20</w:t>
            </w:r>
            <w:r w:rsidRPr="001C2C36">
              <w:rPr>
                <w:rFonts w:eastAsia="Times New Roman" w:cs="Times New Roman"/>
                <w:szCs w:val="24"/>
                <w:vertAlign w:val="superscript"/>
                <w:lang w:eastAsia="en-GB"/>
              </w:rPr>
              <w:t>**</w:t>
            </w:r>
          </w:p>
          <w:p w14:paraId="236C6C0F" w14:textId="3E09FFFB" w:rsidR="004849E9" w:rsidRPr="001C2C36" w:rsidRDefault="004849E9" w:rsidP="004849E9">
            <w:pPr>
              <w:pStyle w:val="NoSpacing"/>
              <w:jc w:val="center"/>
              <w:rPr>
                <w:rFonts w:cs="Times New Roman"/>
                <w:szCs w:val="24"/>
              </w:rPr>
            </w:pPr>
            <w:r w:rsidRPr="001C2C36">
              <w:rPr>
                <w:rFonts w:eastAsia="Times New Roman" w:cs="Times New Roman"/>
                <w:szCs w:val="24"/>
                <w:lang w:eastAsia="en-GB"/>
              </w:rPr>
              <w:t>(0.10)</w:t>
            </w:r>
          </w:p>
        </w:tc>
        <w:tc>
          <w:tcPr>
            <w:tcW w:w="1022" w:type="dxa"/>
            <w:vAlign w:val="center"/>
          </w:tcPr>
          <w:p w14:paraId="20AE1A1A" w14:textId="77777777" w:rsidR="004849E9" w:rsidRPr="001C2C36" w:rsidRDefault="004849E9" w:rsidP="004849E9">
            <w:pPr>
              <w:pStyle w:val="NoSpacing"/>
              <w:jc w:val="center"/>
              <w:rPr>
                <w:rFonts w:cs="Times New Roman"/>
                <w:szCs w:val="24"/>
                <w:lang w:eastAsia="en-GB"/>
              </w:rPr>
            </w:pPr>
            <w:r w:rsidRPr="001C2C36">
              <w:rPr>
                <w:rFonts w:eastAsia="Times New Roman" w:cs="Times New Roman"/>
                <w:szCs w:val="24"/>
                <w:lang w:eastAsia="en-GB"/>
              </w:rPr>
              <w:t>0.18</w:t>
            </w:r>
            <w:r w:rsidRPr="001C2C36">
              <w:rPr>
                <w:rFonts w:eastAsia="Times New Roman" w:cs="Times New Roman"/>
                <w:szCs w:val="24"/>
                <w:vertAlign w:val="superscript"/>
                <w:lang w:eastAsia="en-GB"/>
              </w:rPr>
              <w:t>***</w:t>
            </w:r>
          </w:p>
          <w:p w14:paraId="117A3885" w14:textId="522C09B9" w:rsidR="004849E9" w:rsidRPr="001C2C36" w:rsidRDefault="004849E9" w:rsidP="004849E9">
            <w:pPr>
              <w:pStyle w:val="NoSpacing"/>
              <w:jc w:val="center"/>
              <w:rPr>
                <w:rFonts w:cs="Times New Roman"/>
                <w:szCs w:val="24"/>
              </w:rPr>
            </w:pPr>
            <w:r w:rsidRPr="001C2C36">
              <w:rPr>
                <w:rFonts w:eastAsia="Times New Roman" w:cs="Times New Roman"/>
                <w:szCs w:val="24"/>
                <w:lang w:eastAsia="en-GB"/>
              </w:rPr>
              <w:t>(0.05)</w:t>
            </w:r>
          </w:p>
        </w:tc>
        <w:tc>
          <w:tcPr>
            <w:tcW w:w="1335" w:type="dxa"/>
            <w:tcBorders>
              <w:right w:val="single" w:sz="4" w:space="0" w:color="auto"/>
            </w:tcBorders>
            <w:vAlign w:val="center"/>
          </w:tcPr>
          <w:p w14:paraId="7E7DD379" w14:textId="77777777" w:rsidR="004849E9" w:rsidRPr="001C2C36" w:rsidRDefault="004849E9" w:rsidP="004849E9">
            <w:pPr>
              <w:pStyle w:val="NoSpacing"/>
              <w:jc w:val="center"/>
              <w:rPr>
                <w:rFonts w:cs="Times New Roman"/>
                <w:szCs w:val="24"/>
                <w:lang w:eastAsia="en-GB"/>
              </w:rPr>
            </w:pPr>
            <w:r w:rsidRPr="001C2C36">
              <w:rPr>
                <w:rFonts w:cs="Times New Roman"/>
                <w:szCs w:val="24"/>
                <w:lang w:eastAsia="en-GB"/>
              </w:rPr>
              <w:t>0.17</w:t>
            </w:r>
            <w:r w:rsidRPr="001C2C36">
              <w:rPr>
                <w:rFonts w:cs="Times New Roman"/>
                <w:szCs w:val="24"/>
                <w:vertAlign w:val="superscript"/>
                <w:lang w:eastAsia="en-GB"/>
              </w:rPr>
              <w:t>***</w:t>
            </w:r>
          </w:p>
          <w:p w14:paraId="18D6FB38" w14:textId="3C26BDEC" w:rsidR="004849E9" w:rsidRPr="001C2C36" w:rsidRDefault="004849E9" w:rsidP="004849E9">
            <w:pPr>
              <w:pStyle w:val="NoSpacing"/>
              <w:jc w:val="center"/>
              <w:rPr>
                <w:rFonts w:cs="Times New Roman"/>
                <w:szCs w:val="24"/>
              </w:rPr>
            </w:pPr>
            <w:r w:rsidRPr="001C2C36">
              <w:rPr>
                <w:rFonts w:cs="Times New Roman"/>
                <w:szCs w:val="24"/>
                <w:lang w:eastAsia="en-GB"/>
              </w:rPr>
              <w:t>(0.04)</w:t>
            </w:r>
          </w:p>
        </w:tc>
      </w:tr>
      <w:tr w:rsidR="004849E9" w:rsidRPr="001C2C36" w14:paraId="7EA9AF0C" w14:textId="77777777" w:rsidTr="00283B7D">
        <w:trPr>
          <w:trHeight w:val="481"/>
          <w:tblCellSpacing w:w="15" w:type="dxa"/>
          <w:jc w:val="center"/>
        </w:trPr>
        <w:tc>
          <w:tcPr>
            <w:tcW w:w="1877" w:type="dxa"/>
            <w:tcBorders>
              <w:left w:val="single" w:sz="4" w:space="0" w:color="auto"/>
            </w:tcBorders>
            <w:vAlign w:val="center"/>
          </w:tcPr>
          <w:p w14:paraId="6B62BE23" w14:textId="3550CF0B" w:rsidR="004849E9" w:rsidRPr="001C2C36" w:rsidRDefault="004849E9" w:rsidP="004849E9">
            <w:pPr>
              <w:pStyle w:val="NoSpacing"/>
              <w:rPr>
                <w:rFonts w:cs="Times New Roman"/>
                <w:b/>
                <w:bCs/>
                <w:szCs w:val="24"/>
                <w:lang w:eastAsia="en-GB"/>
              </w:rPr>
            </w:pPr>
            <w:r w:rsidRPr="001C2C36">
              <w:rPr>
                <w:rFonts w:cs="Times New Roman"/>
                <w:szCs w:val="24"/>
                <w:lang w:eastAsia="en-GB"/>
              </w:rPr>
              <w:t>Moderating effects</w:t>
            </w:r>
          </w:p>
        </w:tc>
        <w:tc>
          <w:tcPr>
            <w:tcW w:w="1194" w:type="dxa"/>
            <w:tcBorders>
              <w:left w:val="single" w:sz="4" w:space="0" w:color="auto"/>
            </w:tcBorders>
            <w:vAlign w:val="center"/>
          </w:tcPr>
          <w:p w14:paraId="78239755" w14:textId="77777777" w:rsidR="004849E9" w:rsidRPr="001C2C36" w:rsidRDefault="004849E9" w:rsidP="004849E9">
            <w:pPr>
              <w:pStyle w:val="NoSpacing"/>
              <w:jc w:val="center"/>
              <w:rPr>
                <w:rFonts w:cs="Times New Roman"/>
                <w:szCs w:val="24"/>
                <w:lang w:eastAsia="en-GB"/>
              </w:rPr>
            </w:pPr>
            <w:r w:rsidRPr="001C2C36">
              <w:rPr>
                <w:rFonts w:eastAsia="Times New Roman" w:cs="Times New Roman"/>
                <w:szCs w:val="24"/>
                <w:lang w:eastAsia="en-GB"/>
              </w:rPr>
              <w:t>0.005</w:t>
            </w:r>
          </w:p>
          <w:p w14:paraId="46252273" w14:textId="08719CE1" w:rsidR="004849E9" w:rsidRPr="001C2C36" w:rsidRDefault="004849E9" w:rsidP="004849E9">
            <w:pPr>
              <w:pStyle w:val="NoSpacing"/>
              <w:jc w:val="center"/>
              <w:rPr>
                <w:rFonts w:cs="Times New Roman"/>
                <w:szCs w:val="24"/>
              </w:rPr>
            </w:pPr>
            <w:r w:rsidRPr="001C2C36">
              <w:rPr>
                <w:rFonts w:eastAsia="Times New Roman" w:cs="Times New Roman"/>
                <w:szCs w:val="24"/>
                <w:lang w:eastAsia="en-GB"/>
              </w:rPr>
              <w:t>(0.04)</w:t>
            </w:r>
          </w:p>
        </w:tc>
        <w:tc>
          <w:tcPr>
            <w:tcW w:w="1196" w:type="dxa"/>
            <w:vAlign w:val="center"/>
          </w:tcPr>
          <w:p w14:paraId="099C271A" w14:textId="77777777" w:rsidR="004849E9" w:rsidRPr="001C2C36" w:rsidRDefault="004849E9" w:rsidP="004849E9">
            <w:pPr>
              <w:pStyle w:val="NoSpacing"/>
              <w:jc w:val="center"/>
              <w:rPr>
                <w:rFonts w:cs="Times New Roman"/>
                <w:szCs w:val="24"/>
                <w:lang w:eastAsia="en-GB"/>
              </w:rPr>
            </w:pPr>
            <w:r w:rsidRPr="001C2C36">
              <w:rPr>
                <w:rFonts w:eastAsia="Times New Roman" w:cs="Times New Roman"/>
                <w:szCs w:val="24"/>
                <w:lang w:eastAsia="en-GB"/>
              </w:rPr>
              <w:t>0.01</w:t>
            </w:r>
          </w:p>
          <w:p w14:paraId="19A7789C" w14:textId="4694CF3C" w:rsidR="004849E9" w:rsidRPr="001C2C36" w:rsidRDefault="004849E9" w:rsidP="004849E9">
            <w:pPr>
              <w:pStyle w:val="NoSpacing"/>
              <w:jc w:val="center"/>
              <w:rPr>
                <w:rFonts w:cs="Times New Roman"/>
                <w:szCs w:val="24"/>
              </w:rPr>
            </w:pPr>
            <w:r w:rsidRPr="001C2C36">
              <w:rPr>
                <w:rFonts w:eastAsia="Times New Roman" w:cs="Times New Roman"/>
                <w:szCs w:val="24"/>
                <w:lang w:eastAsia="en-GB"/>
              </w:rPr>
              <w:t>(0.02)</w:t>
            </w:r>
          </w:p>
        </w:tc>
        <w:tc>
          <w:tcPr>
            <w:tcW w:w="1058" w:type="dxa"/>
            <w:tcBorders>
              <w:right w:val="single" w:sz="4" w:space="0" w:color="auto"/>
            </w:tcBorders>
            <w:vAlign w:val="center"/>
          </w:tcPr>
          <w:p w14:paraId="55DF12E1" w14:textId="77777777" w:rsidR="004849E9" w:rsidRPr="001C2C36" w:rsidRDefault="004849E9" w:rsidP="004849E9">
            <w:pPr>
              <w:pStyle w:val="NoSpacing"/>
              <w:jc w:val="center"/>
              <w:rPr>
                <w:rFonts w:cs="Times New Roman"/>
                <w:szCs w:val="24"/>
                <w:lang w:eastAsia="en-GB"/>
              </w:rPr>
            </w:pPr>
            <w:r w:rsidRPr="001C2C36">
              <w:rPr>
                <w:rFonts w:cs="Times New Roman"/>
                <w:szCs w:val="24"/>
                <w:lang w:eastAsia="en-GB"/>
              </w:rPr>
              <w:t>0.05</w:t>
            </w:r>
            <w:r w:rsidRPr="001C2C36">
              <w:rPr>
                <w:rFonts w:cs="Times New Roman"/>
                <w:szCs w:val="24"/>
                <w:vertAlign w:val="superscript"/>
                <w:lang w:eastAsia="en-GB"/>
              </w:rPr>
              <w:t>**</w:t>
            </w:r>
          </w:p>
          <w:p w14:paraId="48CAC28D" w14:textId="69E412A9" w:rsidR="004849E9" w:rsidRPr="001C2C36" w:rsidRDefault="004849E9" w:rsidP="004849E9">
            <w:pPr>
              <w:pStyle w:val="NoSpacing"/>
              <w:jc w:val="center"/>
              <w:rPr>
                <w:rFonts w:cs="Times New Roman"/>
                <w:szCs w:val="24"/>
              </w:rPr>
            </w:pPr>
            <w:r w:rsidRPr="001C2C36">
              <w:rPr>
                <w:rFonts w:cs="Times New Roman"/>
                <w:szCs w:val="24"/>
                <w:lang w:eastAsia="en-GB"/>
              </w:rPr>
              <w:t>(0.02)</w:t>
            </w:r>
          </w:p>
        </w:tc>
        <w:tc>
          <w:tcPr>
            <w:tcW w:w="1339" w:type="dxa"/>
            <w:vAlign w:val="center"/>
          </w:tcPr>
          <w:p w14:paraId="6DACBDD3" w14:textId="77777777" w:rsidR="004849E9" w:rsidRPr="001C2C36" w:rsidRDefault="004849E9" w:rsidP="004849E9">
            <w:pPr>
              <w:pStyle w:val="NoSpacing"/>
              <w:jc w:val="center"/>
              <w:rPr>
                <w:rFonts w:cs="Times New Roman"/>
                <w:szCs w:val="24"/>
                <w:lang w:eastAsia="en-GB"/>
              </w:rPr>
            </w:pPr>
            <w:r w:rsidRPr="001C2C36">
              <w:rPr>
                <w:rFonts w:eastAsia="Times New Roman" w:cs="Times New Roman"/>
                <w:szCs w:val="24"/>
                <w:lang w:eastAsia="en-GB"/>
              </w:rPr>
              <w:t>-0.17</w:t>
            </w:r>
            <w:r w:rsidRPr="001C2C36">
              <w:rPr>
                <w:rFonts w:eastAsia="Times New Roman" w:cs="Times New Roman"/>
                <w:szCs w:val="24"/>
                <w:vertAlign w:val="superscript"/>
                <w:lang w:eastAsia="en-GB"/>
              </w:rPr>
              <w:t>***</w:t>
            </w:r>
          </w:p>
          <w:p w14:paraId="259678CF" w14:textId="16FB3F17" w:rsidR="004849E9" w:rsidRPr="001C2C36" w:rsidRDefault="004849E9" w:rsidP="004849E9">
            <w:pPr>
              <w:pStyle w:val="NoSpacing"/>
              <w:jc w:val="center"/>
              <w:rPr>
                <w:rFonts w:cs="Times New Roman"/>
                <w:szCs w:val="24"/>
              </w:rPr>
            </w:pPr>
            <w:r w:rsidRPr="001C2C36">
              <w:rPr>
                <w:rFonts w:eastAsia="Times New Roman" w:cs="Times New Roman"/>
                <w:szCs w:val="24"/>
                <w:lang w:eastAsia="en-GB"/>
              </w:rPr>
              <w:t>(0.05)</w:t>
            </w:r>
          </w:p>
        </w:tc>
        <w:tc>
          <w:tcPr>
            <w:tcW w:w="1022" w:type="dxa"/>
            <w:vAlign w:val="center"/>
          </w:tcPr>
          <w:p w14:paraId="3FB01D83" w14:textId="77777777" w:rsidR="004849E9" w:rsidRPr="001C2C36" w:rsidRDefault="004849E9" w:rsidP="004849E9">
            <w:pPr>
              <w:pStyle w:val="NoSpacing"/>
              <w:jc w:val="center"/>
              <w:rPr>
                <w:rFonts w:cs="Times New Roman"/>
                <w:szCs w:val="24"/>
                <w:lang w:eastAsia="en-GB"/>
              </w:rPr>
            </w:pPr>
            <w:r w:rsidRPr="001C2C36">
              <w:rPr>
                <w:rFonts w:eastAsia="Times New Roman" w:cs="Times New Roman"/>
                <w:szCs w:val="24"/>
                <w:lang w:eastAsia="en-GB"/>
              </w:rPr>
              <w:t>-0.11</w:t>
            </w:r>
            <w:r w:rsidRPr="001C2C36">
              <w:rPr>
                <w:rFonts w:eastAsia="Times New Roman" w:cs="Times New Roman"/>
                <w:szCs w:val="24"/>
                <w:vertAlign w:val="superscript"/>
                <w:lang w:eastAsia="en-GB"/>
              </w:rPr>
              <w:t>***</w:t>
            </w:r>
          </w:p>
          <w:p w14:paraId="18A57205" w14:textId="6269015B" w:rsidR="004849E9" w:rsidRPr="001C2C36" w:rsidRDefault="004849E9" w:rsidP="004849E9">
            <w:pPr>
              <w:pStyle w:val="NoSpacing"/>
              <w:jc w:val="center"/>
              <w:rPr>
                <w:rFonts w:cs="Times New Roman"/>
                <w:szCs w:val="24"/>
              </w:rPr>
            </w:pPr>
            <w:r w:rsidRPr="001C2C36">
              <w:rPr>
                <w:rFonts w:eastAsia="Times New Roman" w:cs="Times New Roman"/>
                <w:szCs w:val="24"/>
                <w:lang w:eastAsia="en-GB"/>
              </w:rPr>
              <w:t>(0.03)</w:t>
            </w:r>
          </w:p>
        </w:tc>
        <w:tc>
          <w:tcPr>
            <w:tcW w:w="1335" w:type="dxa"/>
            <w:tcBorders>
              <w:right w:val="single" w:sz="4" w:space="0" w:color="auto"/>
            </w:tcBorders>
            <w:vAlign w:val="center"/>
          </w:tcPr>
          <w:p w14:paraId="7165E6EF" w14:textId="77777777" w:rsidR="004849E9" w:rsidRPr="001C2C36" w:rsidRDefault="004849E9" w:rsidP="004849E9">
            <w:pPr>
              <w:pStyle w:val="NoSpacing"/>
              <w:jc w:val="center"/>
              <w:rPr>
                <w:rFonts w:cs="Times New Roman"/>
                <w:szCs w:val="24"/>
                <w:lang w:eastAsia="en-GB"/>
              </w:rPr>
            </w:pPr>
            <w:r w:rsidRPr="001C2C36">
              <w:rPr>
                <w:rFonts w:cs="Times New Roman"/>
                <w:szCs w:val="24"/>
                <w:lang w:eastAsia="en-GB"/>
              </w:rPr>
              <w:t>-0.08</w:t>
            </w:r>
            <w:r w:rsidRPr="001C2C36">
              <w:rPr>
                <w:rFonts w:cs="Times New Roman"/>
                <w:szCs w:val="24"/>
                <w:vertAlign w:val="superscript"/>
                <w:lang w:eastAsia="en-GB"/>
              </w:rPr>
              <w:t>***</w:t>
            </w:r>
          </w:p>
          <w:p w14:paraId="1E13F4F9" w14:textId="6D5947B9" w:rsidR="004849E9" w:rsidRPr="001C2C36" w:rsidRDefault="004849E9" w:rsidP="004849E9">
            <w:pPr>
              <w:pStyle w:val="NoSpacing"/>
              <w:jc w:val="center"/>
              <w:rPr>
                <w:rFonts w:cs="Times New Roman"/>
                <w:szCs w:val="24"/>
              </w:rPr>
            </w:pPr>
            <w:r w:rsidRPr="001C2C36">
              <w:rPr>
                <w:rFonts w:cs="Times New Roman"/>
                <w:szCs w:val="24"/>
                <w:lang w:eastAsia="en-GB"/>
              </w:rPr>
              <w:t>(0.02)</w:t>
            </w:r>
          </w:p>
        </w:tc>
      </w:tr>
      <w:tr w:rsidR="0043731C" w:rsidRPr="001C2C36" w14:paraId="7E1019F4" w14:textId="77777777">
        <w:trPr>
          <w:trHeight w:val="16"/>
          <w:tblCellSpacing w:w="15" w:type="dxa"/>
          <w:jc w:val="center"/>
        </w:trPr>
        <w:tc>
          <w:tcPr>
            <w:tcW w:w="9201" w:type="dxa"/>
            <w:gridSpan w:val="7"/>
            <w:tcBorders>
              <w:top w:val="single" w:sz="4" w:space="0" w:color="auto"/>
              <w:left w:val="single" w:sz="4" w:space="0" w:color="auto"/>
              <w:right w:val="single" w:sz="4" w:space="0" w:color="auto"/>
            </w:tcBorders>
            <w:vAlign w:val="center"/>
          </w:tcPr>
          <w:p w14:paraId="3E23CA2E" w14:textId="77777777" w:rsidR="0043731C" w:rsidRPr="001C2C36" w:rsidRDefault="0043731C" w:rsidP="0043731C">
            <w:pPr>
              <w:pStyle w:val="NoSpacing"/>
              <w:rPr>
                <w:rFonts w:cs="Times New Roman"/>
                <w:szCs w:val="24"/>
              </w:rPr>
            </w:pPr>
            <w:r w:rsidRPr="001C2C36">
              <w:rPr>
                <w:rFonts w:cs="Times New Roman"/>
                <w:b/>
                <w:bCs/>
                <w:szCs w:val="24"/>
                <w:lang w:eastAsia="en-GB"/>
              </w:rPr>
              <w:t>Controls</w:t>
            </w:r>
          </w:p>
        </w:tc>
      </w:tr>
      <w:tr w:rsidR="009A3380" w:rsidRPr="001C2C36" w14:paraId="4BE89712" w14:textId="77777777">
        <w:trPr>
          <w:trHeight w:val="622"/>
          <w:tblCellSpacing w:w="15" w:type="dxa"/>
          <w:jc w:val="center"/>
        </w:trPr>
        <w:tc>
          <w:tcPr>
            <w:tcW w:w="1877" w:type="dxa"/>
            <w:tcBorders>
              <w:top w:val="single" w:sz="4" w:space="0" w:color="auto"/>
              <w:left w:val="single" w:sz="4" w:space="0" w:color="auto"/>
            </w:tcBorders>
            <w:vAlign w:val="center"/>
            <w:hideMark/>
          </w:tcPr>
          <w:p w14:paraId="4AC09E46" w14:textId="77777777" w:rsidR="009A3380" w:rsidRPr="001C2C36" w:rsidRDefault="009A3380" w:rsidP="0043731C">
            <w:pPr>
              <w:pStyle w:val="NoSpacing"/>
              <w:rPr>
                <w:rFonts w:cs="Times New Roman"/>
                <w:szCs w:val="24"/>
                <w:lang w:eastAsia="en-GB"/>
              </w:rPr>
            </w:pPr>
            <w:r w:rsidRPr="001C2C36">
              <w:rPr>
                <w:rFonts w:cs="Times New Roman"/>
                <w:szCs w:val="24"/>
                <w:lang w:eastAsia="en-GB"/>
              </w:rPr>
              <w:t>Urban dummy</w:t>
            </w:r>
          </w:p>
        </w:tc>
        <w:tc>
          <w:tcPr>
            <w:tcW w:w="1194" w:type="dxa"/>
            <w:tcBorders>
              <w:top w:val="single" w:sz="4" w:space="0" w:color="auto"/>
              <w:left w:val="single" w:sz="4" w:space="0" w:color="auto"/>
            </w:tcBorders>
            <w:vAlign w:val="center"/>
            <w:hideMark/>
          </w:tcPr>
          <w:p w14:paraId="3F3B971A" w14:textId="77777777"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-0.005</w:t>
            </w:r>
          </w:p>
          <w:p w14:paraId="5A84CE5A" w14:textId="6C209796"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(0.11)</w:t>
            </w:r>
          </w:p>
        </w:tc>
        <w:tc>
          <w:tcPr>
            <w:tcW w:w="1196" w:type="dxa"/>
            <w:tcBorders>
              <w:top w:val="single" w:sz="4" w:space="0" w:color="auto"/>
            </w:tcBorders>
            <w:vAlign w:val="center"/>
            <w:hideMark/>
          </w:tcPr>
          <w:p w14:paraId="5856810F" w14:textId="77777777"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0.06</w:t>
            </w:r>
          </w:p>
          <w:p w14:paraId="33ED3441" w14:textId="09A20F3E"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(0.06)</w:t>
            </w:r>
          </w:p>
        </w:tc>
        <w:tc>
          <w:tcPr>
            <w:tcW w:w="1058" w:type="dxa"/>
            <w:tcBorders>
              <w:top w:val="single" w:sz="4" w:space="0" w:color="auto"/>
              <w:right w:val="single" w:sz="4" w:space="0" w:color="auto"/>
            </w:tcBorders>
            <w:vAlign w:val="center"/>
          </w:tcPr>
          <w:p w14:paraId="238F6A57" w14:textId="77777777" w:rsidR="009A3380" w:rsidRPr="001C2C36" w:rsidRDefault="009A3380" w:rsidP="00CF4F34">
            <w:pPr>
              <w:pStyle w:val="NoSpacing"/>
              <w:jc w:val="center"/>
              <w:rPr>
                <w:rFonts w:cs="Times New Roman"/>
                <w:szCs w:val="24"/>
                <w:lang w:eastAsia="en-GB"/>
              </w:rPr>
            </w:pPr>
            <w:r w:rsidRPr="001C2C36">
              <w:rPr>
                <w:rFonts w:cs="Times New Roman"/>
                <w:szCs w:val="24"/>
                <w:lang w:eastAsia="en-GB"/>
              </w:rPr>
              <w:t>0.11</w:t>
            </w:r>
            <w:r w:rsidRPr="001C2C36">
              <w:rPr>
                <w:rFonts w:cs="Times New Roman"/>
                <w:szCs w:val="24"/>
                <w:vertAlign w:val="superscript"/>
                <w:lang w:eastAsia="en-GB"/>
              </w:rPr>
              <w:t>**</w:t>
            </w:r>
          </w:p>
          <w:p w14:paraId="2DFA681F" w14:textId="4FEF3F3B" w:rsidR="009A3380" w:rsidRPr="001C2C36" w:rsidRDefault="009A3380" w:rsidP="00CF4F34">
            <w:pPr>
              <w:pStyle w:val="NoSpacing"/>
              <w:jc w:val="center"/>
              <w:rPr>
                <w:rFonts w:cs="Times New Roman"/>
                <w:szCs w:val="24"/>
                <w:lang w:eastAsia="en-GB"/>
              </w:rPr>
            </w:pPr>
            <w:r w:rsidRPr="001C2C36">
              <w:rPr>
                <w:rFonts w:cs="Times New Roman"/>
                <w:szCs w:val="24"/>
                <w:lang w:eastAsia="en-GB"/>
              </w:rPr>
              <w:t>(0.05)</w:t>
            </w:r>
          </w:p>
        </w:tc>
        <w:tc>
          <w:tcPr>
            <w:tcW w:w="1339" w:type="dxa"/>
            <w:tcBorders>
              <w:top w:val="single" w:sz="4" w:space="0" w:color="auto"/>
            </w:tcBorders>
            <w:vAlign w:val="center"/>
            <w:hideMark/>
          </w:tcPr>
          <w:p w14:paraId="0498EBA1" w14:textId="77777777"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-0.10</w:t>
            </w:r>
          </w:p>
          <w:p w14:paraId="7A79442D" w14:textId="79943103"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(0.12)</w:t>
            </w:r>
          </w:p>
        </w:tc>
        <w:tc>
          <w:tcPr>
            <w:tcW w:w="1022" w:type="dxa"/>
            <w:tcBorders>
              <w:top w:val="single" w:sz="4" w:space="0" w:color="auto"/>
            </w:tcBorders>
            <w:vAlign w:val="center"/>
            <w:hideMark/>
          </w:tcPr>
          <w:p w14:paraId="181603BA" w14:textId="77777777"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-0.04</w:t>
            </w:r>
          </w:p>
          <w:p w14:paraId="1939672A" w14:textId="1F99B0A4"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(0.07)</w:t>
            </w:r>
          </w:p>
        </w:tc>
        <w:tc>
          <w:tcPr>
            <w:tcW w:w="1335" w:type="dxa"/>
            <w:tcBorders>
              <w:top w:val="single" w:sz="4" w:space="0" w:color="auto"/>
              <w:right w:val="single" w:sz="4" w:space="0" w:color="auto"/>
            </w:tcBorders>
            <w:vAlign w:val="center"/>
          </w:tcPr>
          <w:p w14:paraId="6F88D310" w14:textId="77777777" w:rsidR="009A3380" w:rsidRPr="001C2C36" w:rsidRDefault="009A3380" w:rsidP="00CF4F34">
            <w:pPr>
              <w:pStyle w:val="NoSpacing"/>
              <w:jc w:val="center"/>
              <w:rPr>
                <w:rFonts w:cs="Times New Roman"/>
                <w:szCs w:val="24"/>
                <w:lang w:eastAsia="en-GB"/>
              </w:rPr>
            </w:pPr>
            <w:r w:rsidRPr="001C2C36">
              <w:rPr>
                <w:rFonts w:cs="Times New Roman"/>
                <w:szCs w:val="24"/>
                <w:lang w:eastAsia="en-GB"/>
              </w:rPr>
              <w:t>-0.002</w:t>
            </w:r>
          </w:p>
          <w:p w14:paraId="4A3770A0" w14:textId="6F1611A8" w:rsidR="009A3380" w:rsidRPr="001C2C36" w:rsidRDefault="009A3380" w:rsidP="00CF4F34">
            <w:pPr>
              <w:pStyle w:val="NoSpacing"/>
              <w:jc w:val="center"/>
              <w:rPr>
                <w:rFonts w:cs="Times New Roman"/>
                <w:szCs w:val="24"/>
                <w:lang w:eastAsia="en-GB"/>
              </w:rPr>
            </w:pPr>
            <w:r w:rsidRPr="001C2C36">
              <w:rPr>
                <w:rFonts w:cs="Times New Roman"/>
                <w:szCs w:val="24"/>
                <w:lang w:eastAsia="en-GB"/>
              </w:rPr>
              <w:t>(0.05)</w:t>
            </w:r>
          </w:p>
        </w:tc>
      </w:tr>
      <w:tr w:rsidR="009A3380" w:rsidRPr="001C2C36" w14:paraId="532618E0" w14:textId="77777777">
        <w:trPr>
          <w:trHeight w:val="612"/>
          <w:tblCellSpacing w:w="15" w:type="dxa"/>
          <w:jc w:val="center"/>
        </w:trPr>
        <w:tc>
          <w:tcPr>
            <w:tcW w:w="1877" w:type="dxa"/>
            <w:tcBorders>
              <w:left w:val="single" w:sz="4" w:space="0" w:color="auto"/>
            </w:tcBorders>
            <w:vAlign w:val="center"/>
            <w:hideMark/>
          </w:tcPr>
          <w:p w14:paraId="28D1F962" w14:textId="77777777" w:rsidR="009A3380" w:rsidRPr="001C2C36" w:rsidRDefault="009A3380" w:rsidP="0043731C">
            <w:pPr>
              <w:pStyle w:val="NoSpacing"/>
              <w:rPr>
                <w:rFonts w:cs="Times New Roman"/>
                <w:szCs w:val="24"/>
                <w:lang w:eastAsia="en-GB"/>
              </w:rPr>
            </w:pPr>
            <w:r w:rsidRPr="001C2C36">
              <w:rPr>
                <w:rFonts w:cs="Times New Roman"/>
                <w:szCs w:val="24"/>
                <w:lang w:eastAsia="en-GB"/>
              </w:rPr>
              <w:t>Sector dummy</w:t>
            </w:r>
          </w:p>
        </w:tc>
        <w:tc>
          <w:tcPr>
            <w:tcW w:w="1194" w:type="dxa"/>
            <w:tcBorders>
              <w:left w:val="single" w:sz="4" w:space="0" w:color="auto"/>
            </w:tcBorders>
            <w:vAlign w:val="center"/>
            <w:hideMark/>
          </w:tcPr>
          <w:p w14:paraId="18F92050" w14:textId="77777777"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0.20</w:t>
            </w:r>
            <w:r w:rsidRPr="001C2C36">
              <w:rPr>
                <w:rFonts w:eastAsia="Times New Roman" w:cs="Times New Roman"/>
                <w:szCs w:val="24"/>
                <w:vertAlign w:val="superscript"/>
                <w:lang w:eastAsia="en-GB"/>
              </w:rPr>
              <w:t>*</w:t>
            </w:r>
          </w:p>
          <w:p w14:paraId="1A58F29B" w14:textId="28595449"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(0.12)</w:t>
            </w:r>
          </w:p>
        </w:tc>
        <w:tc>
          <w:tcPr>
            <w:tcW w:w="1196" w:type="dxa"/>
            <w:vAlign w:val="center"/>
            <w:hideMark/>
          </w:tcPr>
          <w:p w14:paraId="0F92B1FD" w14:textId="77777777"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0.17</w:t>
            </w:r>
            <w:r w:rsidRPr="001C2C36">
              <w:rPr>
                <w:rFonts w:eastAsia="Times New Roman" w:cs="Times New Roman"/>
                <w:szCs w:val="24"/>
                <w:vertAlign w:val="superscript"/>
                <w:lang w:eastAsia="en-GB"/>
              </w:rPr>
              <w:t>**</w:t>
            </w:r>
          </w:p>
          <w:p w14:paraId="615FDB28" w14:textId="09C30151"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(0.07)</w:t>
            </w:r>
          </w:p>
        </w:tc>
        <w:tc>
          <w:tcPr>
            <w:tcW w:w="1058" w:type="dxa"/>
            <w:tcBorders>
              <w:right w:val="single" w:sz="4" w:space="0" w:color="auto"/>
            </w:tcBorders>
            <w:vAlign w:val="center"/>
          </w:tcPr>
          <w:p w14:paraId="1C3F29B9" w14:textId="77777777" w:rsidR="009A3380" w:rsidRPr="001C2C36" w:rsidRDefault="009A3380" w:rsidP="00CF4F34">
            <w:pPr>
              <w:pStyle w:val="NoSpacing"/>
              <w:jc w:val="center"/>
              <w:rPr>
                <w:rFonts w:cs="Times New Roman"/>
                <w:szCs w:val="24"/>
                <w:lang w:eastAsia="en-GB"/>
              </w:rPr>
            </w:pPr>
            <w:r w:rsidRPr="001C2C36">
              <w:rPr>
                <w:rFonts w:cs="Times New Roman"/>
                <w:szCs w:val="24"/>
                <w:lang w:eastAsia="en-GB"/>
              </w:rPr>
              <w:t>0.13</w:t>
            </w:r>
            <w:r w:rsidRPr="001C2C36">
              <w:rPr>
                <w:rFonts w:cs="Times New Roman"/>
                <w:szCs w:val="24"/>
                <w:vertAlign w:val="superscript"/>
                <w:lang w:eastAsia="en-GB"/>
              </w:rPr>
              <w:t>***</w:t>
            </w:r>
          </w:p>
          <w:p w14:paraId="356765DF" w14:textId="3E305475" w:rsidR="009A3380" w:rsidRPr="001C2C36" w:rsidRDefault="009A3380" w:rsidP="00CF4F34">
            <w:pPr>
              <w:pStyle w:val="NoSpacing"/>
              <w:jc w:val="center"/>
              <w:rPr>
                <w:rFonts w:cs="Times New Roman"/>
                <w:szCs w:val="24"/>
                <w:lang w:eastAsia="en-GB"/>
              </w:rPr>
            </w:pPr>
            <w:r w:rsidRPr="001C2C36">
              <w:rPr>
                <w:rFonts w:cs="Times New Roman"/>
                <w:szCs w:val="24"/>
                <w:lang w:eastAsia="en-GB"/>
              </w:rPr>
              <w:t>(0.05)</w:t>
            </w:r>
          </w:p>
        </w:tc>
        <w:tc>
          <w:tcPr>
            <w:tcW w:w="1339" w:type="dxa"/>
            <w:vAlign w:val="center"/>
            <w:hideMark/>
          </w:tcPr>
          <w:p w14:paraId="692B1AA8" w14:textId="77777777"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0.13</w:t>
            </w:r>
          </w:p>
          <w:p w14:paraId="5ABBFBC5" w14:textId="35AA9558"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(0.14)</w:t>
            </w:r>
          </w:p>
        </w:tc>
        <w:tc>
          <w:tcPr>
            <w:tcW w:w="1022" w:type="dxa"/>
            <w:vAlign w:val="center"/>
            <w:hideMark/>
          </w:tcPr>
          <w:p w14:paraId="372ABD93" w14:textId="77777777"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0.04</w:t>
            </w:r>
          </w:p>
          <w:p w14:paraId="78B693A6" w14:textId="7DB7733C"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(0.08)</w:t>
            </w:r>
          </w:p>
        </w:tc>
        <w:tc>
          <w:tcPr>
            <w:tcW w:w="1335" w:type="dxa"/>
            <w:tcBorders>
              <w:right w:val="single" w:sz="4" w:space="0" w:color="auto"/>
            </w:tcBorders>
            <w:vAlign w:val="center"/>
          </w:tcPr>
          <w:p w14:paraId="66A7B651" w14:textId="77777777" w:rsidR="009A3380" w:rsidRPr="001C2C36" w:rsidRDefault="009A3380" w:rsidP="00CF4F34">
            <w:pPr>
              <w:pStyle w:val="NoSpacing"/>
              <w:jc w:val="center"/>
              <w:rPr>
                <w:rFonts w:cs="Times New Roman"/>
                <w:szCs w:val="24"/>
                <w:lang w:eastAsia="en-GB"/>
              </w:rPr>
            </w:pPr>
            <w:r w:rsidRPr="001C2C36">
              <w:rPr>
                <w:rFonts w:cs="Times New Roman"/>
                <w:szCs w:val="24"/>
                <w:lang w:eastAsia="en-GB"/>
              </w:rPr>
              <w:t>-0.03</w:t>
            </w:r>
          </w:p>
          <w:p w14:paraId="0F4B3467" w14:textId="4B0A2EE5" w:rsidR="009A3380" w:rsidRPr="001C2C36" w:rsidRDefault="009A3380" w:rsidP="00CF4F34">
            <w:pPr>
              <w:pStyle w:val="NoSpacing"/>
              <w:jc w:val="center"/>
              <w:rPr>
                <w:rFonts w:cs="Times New Roman"/>
                <w:szCs w:val="24"/>
                <w:lang w:eastAsia="en-GB"/>
              </w:rPr>
            </w:pPr>
            <w:r w:rsidRPr="001C2C36">
              <w:rPr>
                <w:rFonts w:cs="Times New Roman"/>
                <w:szCs w:val="24"/>
                <w:lang w:eastAsia="en-GB"/>
              </w:rPr>
              <w:t>(0.06)</w:t>
            </w:r>
          </w:p>
        </w:tc>
      </w:tr>
      <w:tr w:rsidR="009A3380" w:rsidRPr="001C2C36" w14:paraId="29177839" w14:textId="77777777">
        <w:trPr>
          <w:trHeight w:val="612"/>
          <w:tblCellSpacing w:w="15" w:type="dxa"/>
          <w:jc w:val="center"/>
        </w:trPr>
        <w:tc>
          <w:tcPr>
            <w:tcW w:w="1877" w:type="dxa"/>
            <w:tcBorders>
              <w:left w:val="single" w:sz="4" w:space="0" w:color="auto"/>
            </w:tcBorders>
            <w:vAlign w:val="center"/>
            <w:hideMark/>
          </w:tcPr>
          <w:p w14:paraId="69831CBE" w14:textId="77777777" w:rsidR="009A3380" w:rsidRPr="001C2C36" w:rsidRDefault="009A3380" w:rsidP="0043731C">
            <w:pPr>
              <w:pStyle w:val="NoSpacing"/>
              <w:rPr>
                <w:rFonts w:cs="Times New Roman"/>
                <w:szCs w:val="24"/>
                <w:lang w:eastAsia="en-GB"/>
              </w:rPr>
            </w:pPr>
            <w:r w:rsidRPr="001C2C36">
              <w:rPr>
                <w:rFonts w:cs="Times New Roman"/>
                <w:szCs w:val="24"/>
                <w:lang w:eastAsia="en-GB"/>
              </w:rPr>
              <w:t>Ethnic minority lead dummy</w:t>
            </w:r>
          </w:p>
        </w:tc>
        <w:tc>
          <w:tcPr>
            <w:tcW w:w="1194" w:type="dxa"/>
            <w:tcBorders>
              <w:left w:val="single" w:sz="4" w:space="0" w:color="auto"/>
            </w:tcBorders>
            <w:vAlign w:val="center"/>
            <w:hideMark/>
          </w:tcPr>
          <w:p w14:paraId="6FDB7C69" w14:textId="77777777"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0.11</w:t>
            </w:r>
          </w:p>
          <w:p w14:paraId="65F29C28" w14:textId="5240C8CC"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(0.25)</w:t>
            </w:r>
          </w:p>
        </w:tc>
        <w:tc>
          <w:tcPr>
            <w:tcW w:w="1196" w:type="dxa"/>
            <w:vAlign w:val="center"/>
            <w:hideMark/>
          </w:tcPr>
          <w:p w14:paraId="1DFD4FF4" w14:textId="77777777"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0.18</w:t>
            </w:r>
          </w:p>
          <w:p w14:paraId="275DA364" w14:textId="19F0FF70"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(0.14)</w:t>
            </w:r>
          </w:p>
        </w:tc>
        <w:tc>
          <w:tcPr>
            <w:tcW w:w="1058" w:type="dxa"/>
            <w:tcBorders>
              <w:right w:val="single" w:sz="4" w:space="0" w:color="auto"/>
            </w:tcBorders>
            <w:vAlign w:val="center"/>
          </w:tcPr>
          <w:p w14:paraId="372E3B06" w14:textId="77777777" w:rsidR="009A3380" w:rsidRPr="001C2C36" w:rsidRDefault="009A3380" w:rsidP="00CF4F34">
            <w:pPr>
              <w:pStyle w:val="NoSpacing"/>
              <w:jc w:val="center"/>
              <w:rPr>
                <w:rFonts w:cs="Times New Roman"/>
                <w:szCs w:val="24"/>
                <w:lang w:eastAsia="en-GB"/>
              </w:rPr>
            </w:pPr>
            <w:r w:rsidRPr="001C2C36">
              <w:rPr>
                <w:rFonts w:cs="Times New Roman"/>
                <w:szCs w:val="24"/>
                <w:lang w:eastAsia="en-GB"/>
              </w:rPr>
              <w:t>0.28</w:t>
            </w:r>
            <w:r w:rsidRPr="001C2C36">
              <w:rPr>
                <w:rFonts w:cs="Times New Roman"/>
                <w:szCs w:val="24"/>
                <w:vertAlign w:val="superscript"/>
                <w:lang w:eastAsia="en-GB"/>
              </w:rPr>
              <w:t>***</w:t>
            </w:r>
          </w:p>
          <w:p w14:paraId="4E520CA4" w14:textId="039B1433" w:rsidR="009A3380" w:rsidRPr="001C2C36" w:rsidRDefault="009A3380" w:rsidP="00CF4F34">
            <w:pPr>
              <w:pStyle w:val="NoSpacing"/>
              <w:jc w:val="center"/>
              <w:rPr>
                <w:rFonts w:cs="Times New Roman"/>
                <w:szCs w:val="24"/>
                <w:lang w:eastAsia="en-GB"/>
              </w:rPr>
            </w:pPr>
            <w:r w:rsidRPr="001C2C36">
              <w:rPr>
                <w:rFonts w:cs="Times New Roman"/>
                <w:szCs w:val="24"/>
                <w:lang w:eastAsia="en-GB"/>
              </w:rPr>
              <w:t>(0.11)</w:t>
            </w:r>
          </w:p>
        </w:tc>
        <w:tc>
          <w:tcPr>
            <w:tcW w:w="1339" w:type="dxa"/>
            <w:vAlign w:val="center"/>
            <w:hideMark/>
          </w:tcPr>
          <w:p w14:paraId="79B5D4E4" w14:textId="77777777"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0.26</w:t>
            </w:r>
          </w:p>
          <w:p w14:paraId="3CBBDD33" w14:textId="4FB53639"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(0.28)</w:t>
            </w:r>
          </w:p>
        </w:tc>
        <w:tc>
          <w:tcPr>
            <w:tcW w:w="1022" w:type="dxa"/>
            <w:vAlign w:val="center"/>
            <w:hideMark/>
          </w:tcPr>
          <w:p w14:paraId="0DD6AC51" w14:textId="77777777"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0.39</w:t>
            </w:r>
            <w:r w:rsidRPr="001C2C36">
              <w:rPr>
                <w:rFonts w:eastAsia="Times New Roman" w:cs="Times New Roman"/>
                <w:szCs w:val="24"/>
                <w:vertAlign w:val="superscript"/>
                <w:lang w:eastAsia="en-GB"/>
              </w:rPr>
              <w:t>**</w:t>
            </w:r>
          </w:p>
          <w:p w14:paraId="0E21BD67" w14:textId="7F9D57D8"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(0.17)</w:t>
            </w:r>
          </w:p>
        </w:tc>
        <w:tc>
          <w:tcPr>
            <w:tcW w:w="1335" w:type="dxa"/>
            <w:tcBorders>
              <w:right w:val="single" w:sz="4" w:space="0" w:color="auto"/>
            </w:tcBorders>
            <w:vAlign w:val="center"/>
          </w:tcPr>
          <w:p w14:paraId="0EBE6CD8" w14:textId="77777777" w:rsidR="009A3380" w:rsidRPr="001C2C36" w:rsidRDefault="009A3380" w:rsidP="00CF4F34">
            <w:pPr>
              <w:pStyle w:val="NoSpacing"/>
              <w:jc w:val="center"/>
              <w:rPr>
                <w:rFonts w:cs="Times New Roman"/>
                <w:szCs w:val="24"/>
                <w:lang w:eastAsia="en-GB"/>
              </w:rPr>
            </w:pPr>
            <w:r w:rsidRPr="001C2C36">
              <w:rPr>
                <w:rFonts w:cs="Times New Roman"/>
                <w:szCs w:val="24"/>
                <w:lang w:eastAsia="en-GB"/>
              </w:rPr>
              <w:t>0.30</w:t>
            </w:r>
            <w:r w:rsidRPr="001C2C36">
              <w:rPr>
                <w:rFonts w:cs="Times New Roman"/>
                <w:szCs w:val="24"/>
                <w:vertAlign w:val="superscript"/>
                <w:lang w:eastAsia="en-GB"/>
              </w:rPr>
              <w:t>**</w:t>
            </w:r>
          </w:p>
          <w:p w14:paraId="3F6BE405" w14:textId="3A624687" w:rsidR="009A3380" w:rsidRPr="001C2C36" w:rsidRDefault="009A3380" w:rsidP="00CF4F34">
            <w:pPr>
              <w:pStyle w:val="NoSpacing"/>
              <w:jc w:val="center"/>
              <w:rPr>
                <w:rFonts w:cs="Times New Roman"/>
                <w:szCs w:val="24"/>
                <w:lang w:eastAsia="en-GB"/>
              </w:rPr>
            </w:pPr>
            <w:r w:rsidRPr="001C2C36">
              <w:rPr>
                <w:rFonts w:cs="Times New Roman"/>
                <w:szCs w:val="24"/>
                <w:lang w:eastAsia="en-GB"/>
              </w:rPr>
              <w:t>(0.13)</w:t>
            </w:r>
          </w:p>
        </w:tc>
      </w:tr>
      <w:tr w:rsidR="009A3380" w:rsidRPr="001C2C36" w14:paraId="1303981D" w14:textId="77777777">
        <w:trPr>
          <w:trHeight w:val="612"/>
          <w:tblCellSpacing w:w="15" w:type="dxa"/>
          <w:jc w:val="center"/>
        </w:trPr>
        <w:tc>
          <w:tcPr>
            <w:tcW w:w="1877" w:type="dxa"/>
            <w:tcBorders>
              <w:left w:val="single" w:sz="4" w:space="0" w:color="auto"/>
            </w:tcBorders>
            <w:vAlign w:val="center"/>
            <w:hideMark/>
          </w:tcPr>
          <w:p w14:paraId="43F23EBD" w14:textId="77777777" w:rsidR="009A3380" w:rsidRPr="001C2C36" w:rsidRDefault="009A3380" w:rsidP="0043731C">
            <w:pPr>
              <w:pStyle w:val="NoSpacing"/>
              <w:rPr>
                <w:rFonts w:cs="Times New Roman"/>
                <w:szCs w:val="24"/>
                <w:lang w:eastAsia="en-GB"/>
              </w:rPr>
            </w:pPr>
            <w:r w:rsidRPr="001C2C36">
              <w:rPr>
                <w:rFonts w:cs="Times New Roman"/>
                <w:szCs w:val="24"/>
                <w:lang w:eastAsia="en-GB"/>
              </w:rPr>
              <w:t>Size (log)</w:t>
            </w:r>
          </w:p>
        </w:tc>
        <w:tc>
          <w:tcPr>
            <w:tcW w:w="1194" w:type="dxa"/>
            <w:tcBorders>
              <w:left w:val="single" w:sz="4" w:space="0" w:color="auto"/>
            </w:tcBorders>
            <w:vAlign w:val="center"/>
            <w:hideMark/>
          </w:tcPr>
          <w:p w14:paraId="2DEAFC4D" w14:textId="77777777"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-0.13</w:t>
            </w:r>
            <w:r w:rsidRPr="001C2C36">
              <w:rPr>
                <w:rFonts w:eastAsia="Times New Roman" w:cs="Times New Roman"/>
                <w:szCs w:val="24"/>
                <w:vertAlign w:val="superscript"/>
                <w:lang w:eastAsia="en-GB"/>
              </w:rPr>
              <w:t>***</w:t>
            </w:r>
          </w:p>
          <w:p w14:paraId="3F5DC2AF" w14:textId="2ADDD60A"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(0.04)</w:t>
            </w:r>
          </w:p>
        </w:tc>
        <w:tc>
          <w:tcPr>
            <w:tcW w:w="1196" w:type="dxa"/>
            <w:vAlign w:val="center"/>
            <w:hideMark/>
          </w:tcPr>
          <w:p w14:paraId="25BF3D94" w14:textId="77777777"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-0.08</w:t>
            </w:r>
            <w:r w:rsidRPr="001C2C36">
              <w:rPr>
                <w:rFonts w:eastAsia="Times New Roman" w:cs="Times New Roman"/>
                <w:szCs w:val="24"/>
                <w:vertAlign w:val="superscript"/>
                <w:lang w:eastAsia="en-GB"/>
              </w:rPr>
              <w:t>***</w:t>
            </w:r>
          </w:p>
          <w:p w14:paraId="0B028E3E" w14:textId="34AA0B4B"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(0.02)</w:t>
            </w:r>
          </w:p>
        </w:tc>
        <w:tc>
          <w:tcPr>
            <w:tcW w:w="1058" w:type="dxa"/>
            <w:tcBorders>
              <w:right w:val="single" w:sz="4" w:space="0" w:color="auto"/>
            </w:tcBorders>
            <w:vAlign w:val="center"/>
          </w:tcPr>
          <w:p w14:paraId="18667315" w14:textId="77777777" w:rsidR="009A3380" w:rsidRPr="001C2C36" w:rsidRDefault="009A3380" w:rsidP="00CF4F34">
            <w:pPr>
              <w:pStyle w:val="NoSpacing"/>
              <w:jc w:val="center"/>
              <w:rPr>
                <w:rFonts w:cs="Times New Roman"/>
                <w:szCs w:val="24"/>
                <w:lang w:eastAsia="en-GB"/>
              </w:rPr>
            </w:pPr>
            <w:r w:rsidRPr="001C2C36">
              <w:rPr>
                <w:rFonts w:cs="Times New Roman"/>
                <w:szCs w:val="24"/>
                <w:lang w:eastAsia="en-GB"/>
              </w:rPr>
              <w:t>-0.07</w:t>
            </w:r>
            <w:r w:rsidRPr="001C2C36">
              <w:rPr>
                <w:rFonts w:cs="Times New Roman"/>
                <w:szCs w:val="24"/>
                <w:vertAlign w:val="superscript"/>
                <w:lang w:eastAsia="en-GB"/>
              </w:rPr>
              <w:t>***</w:t>
            </w:r>
          </w:p>
          <w:p w14:paraId="7C178BC1" w14:textId="2D59BB61" w:rsidR="009A3380" w:rsidRPr="001C2C36" w:rsidRDefault="009A3380" w:rsidP="00CF4F34">
            <w:pPr>
              <w:pStyle w:val="NoSpacing"/>
              <w:jc w:val="center"/>
              <w:rPr>
                <w:rFonts w:cs="Times New Roman"/>
                <w:szCs w:val="24"/>
                <w:lang w:eastAsia="en-GB"/>
              </w:rPr>
            </w:pPr>
            <w:r w:rsidRPr="001C2C36">
              <w:rPr>
                <w:rFonts w:cs="Times New Roman"/>
                <w:szCs w:val="24"/>
                <w:lang w:eastAsia="en-GB"/>
              </w:rPr>
              <w:t>(0.02)</w:t>
            </w:r>
          </w:p>
        </w:tc>
        <w:tc>
          <w:tcPr>
            <w:tcW w:w="1339" w:type="dxa"/>
            <w:vAlign w:val="center"/>
            <w:hideMark/>
          </w:tcPr>
          <w:p w14:paraId="4CC98731" w14:textId="77777777"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0.08</w:t>
            </w:r>
            <w:r w:rsidRPr="001C2C36">
              <w:rPr>
                <w:rFonts w:eastAsia="Times New Roman" w:cs="Times New Roman"/>
                <w:szCs w:val="24"/>
                <w:vertAlign w:val="superscript"/>
                <w:lang w:eastAsia="en-GB"/>
              </w:rPr>
              <w:t>*</w:t>
            </w:r>
          </w:p>
          <w:p w14:paraId="2E5963E6" w14:textId="6A542EDA"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(0.05)</w:t>
            </w:r>
          </w:p>
        </w:tc>
        <w:tc>
          <w:tcPr>
            <w:tcW w:w="1022" w:type="dxa"/>
            <w:vAlign w:val="center"/>
            <w:hideMark/>
          </w:tcPr>
          <w:p w14:paraId="1F9CEE57" w14:textId="77777777"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0.13</w:t>
            </w:r>
            <w:r w:rsidRPr="001C2C36">
              <w:rPr>
                <w:rFonts w:eastAsia="Times New Roman" w:cs="Times New Roman"/>
                <w:szCs w:val="24"/>
                <w:vertAlign w:val="superscript"/>
                <w:lang w:eastAsia="en-GB"/>
              </w:rPr>
              <w:t>***</w:t>
            </w:r>
          </w:p>
          <w:p w14:paraId="365A40E7" w14:textId="62703900" w:rsidR="009A3380" w:rsidRPr="001C2C36" w:rsidRDefault="009A3380" w:rsidP="00CF4F34">
            <w:pPr>
              <w:pStyle w:val="NoSpacing"/>
              <w:jc w:val="center"/>
              <w:rPr>
                <w:rFonts w:cs="Times New Roman"/>
                <w:szCs w:val="24"/>
                <w:lang w:eastAsia="en-GB"/>
              </w:rPr>
            </w:pPr>
            <w:r w:rsidRPr="001C2C36">
              <w:rPr>
                <w:rFonts w:eastAsia="Times New Roman" w:cs="Times New Roman"/>
                <w:szCs w:val="24"/>
                <w:lang w:eastAsia="en-GB"/>
              </w:rPr>
              <w:t>(0.02)</w:t>
            </w:r>
          </w:p>
        </w:tc>
        <w:tc>
          <w:tcPr>
            <w:tcW w:w="1335" w:type="dxa"/>
            <w:tcBorders>
              <w:right w:val="single" w:sz="4" w:space="0" w:color="auto"/>
            </w:tcBorders>
            <w:vAlign w:val="center"/>
          </w:tcPr>
          <w:p w14:paraId="1E08D5D6" w14:textId="77777777" w:rsidR="009A3380" w:rsidRPr="001C2C36" w:rsidRDefault="009A3380" w:rsidP="00CF4F34">
            <w:pPr>
              <w:pStyle w:val="NoSpacing"/>
              <w:jc w:val="center"/>
              <w:rPr>
                <w:rFonts w:cs="Times New Roman"/>
                <w:szCs w:val="24"/>
                <w:lang w:eastAsia="en-GB"/>
              </w:rPr>
            </w:pPr>
            <w:r w:rsidRPr="001C2C36">
              <w:rPr>
                <w:rFonts w:cs="Times New Roman"/>
                <w:szCs w:val="24"/>
                <w:lang w:eastAsia="en-GB"/>
              </w:rPr>
              <w:t>0.18</w:t>
            </w:r>
            <w:r w:rsidRPr="001C2C36">
              <w:rPr>
                <w:rFonts w:cs="Times New Roman"/>
                <w:szCs w:val="24"/>
                <w:vertAlign w:val="superscript"/>
                <w:lang w:eastAsia="en-GB"/>
              </w:rPr>
              <w:t>***</w:t>
            </w:r>
          </w:p>
          <w:p w14:paraId="3F78A94C" w14:textId="54003414" w:rsidR="009A3380" w:rsidRPr="001C2C36" w:rsidRDefault="009A3380" w:rsidP="00CF4F34">
            <w:pPr>
              <w:pStyle w:val="NoSpacing"/>
              <w:jc w:val="center"/>
              <w:rPr>
                <w:rFonts w:cs="Times New Roman"/>
                <w:szCs w:val="24"/>
                <w:lang w:eastAsia="en-GB"/>
              </w:rPr>
            </w:pPr>
            <w:r w:rsidRPr="001C2C36">
              <w:rPr>
                <w:rFonts w:cs="Times New Roman"/>
                <w:szCs w:val="24"/>
                <w:lang w:eastAsia="en-GB"/>
              </w:rPr>
              <w:t>(0.02)</w:t>
            </w:r>
          </w:p>
        </w:tc>
      </w:tr>
      <w:tr w:rsidR="0043731C" w:rsidRPr="001C2C36" w14:paraId="7CB89201" w14:textId="77777777">
        <w:trPr>
          <w:trHeight w:val="238"/>
          <w:tblCellSpacing w:w="15" w:type="dxa"/>
          <w:jc w:val="center"/>
        </w:trPr>
        <w:tc>
          <w:tcPr>
            <w:tcW w:w="9201" w:type="dxa"/>
            <w:gridSpan w:val="7"/>
            <w:tcBorders>
              <w:top w:val="single" w:sz="4" w:space="0" w:color="auto"/>
              <w:left w:val="single" w:sz="4" w:space="0" w:color="auto"/>
              <w:bottom w:val="single" w:sz="4" w:space="0" w:color="auto"/>
              <w:right w:val="single" w:sz="4" w:space="0" w:color="auto"/>
            </w:tcBorders>
            <w:vAlign w:val="center"/>
          </w:tcPr>
          <w:p w14:paraId="70F8328F" w14:textId="77777777" w:rsidR="0043731C" w:rsidRPr="001C2C36" w:rsidRDefault="0043731C" w:rsidP="0043731C">
            <w:pPr>
              <w:pStyle w:val="NoSpacing"/>
              <w:rPr>
                <w:rFonts w:cs="Times New Roman"/>
                <w:b/>
                <w:bCs/>
                <w:szCs w:val="24"/>
                <w:lang w:eastAsia="en-GB"/>
              </w:rPr>
            </w:pPr>
            <w:r w:rsidRPr="001C2C36">
              <w:rPr>
                <w:rFonts w:cs="Times New Roman"/>
                <w:b/>
                <w:bCs/>
                <w:szCs w:val="24"/>
                <w:lang w:eastAsia="en-GB"/>
              </w:rPr>
              <w:t>Intercepts</w:t>
            </w:r>
          </w:p>
        </w:tc>
      </w:tr>
      <w:tr w:rsidR="0043731C" w:rsidRPr="001C2C36" w14:paraId="39E3F5B6" w14:textId="77777777">
        <w:trPr>
          <w:trHeight w:val="238"/>
          <w:tblCellSpacing w:w="15" w:type="dxa"/>
          <w:jc w:val="center"/>
        </w:trPr>
        <w:tc>
          <w:tcPr>
            <w:tcW w:w="1877" w:type="dxa"/>
            <w:tcBorders>
              <w:left w:val="single" w:sz="4" w:space="0" w:color="auto"/>
            </w:tcBorders>
            <w:vAlign w:val="center"/>
          </w:tcPr>
          <w:p w14:paraId="4FC62C85" w14:textId="77777777" w:rsidR="0043731C" w:rsidRPr="001C2C36" w:rsidRDefault="0043731C" w:rsidP="0043731C">
            <w:pPr>
              <w:pStyle w:val="NoSpacing"/>
              <w:rPr>
                <w:rFonts w:cs="Times New Roman"/>
                <w:szCs w:val="24"/>
                <w:lang w:eastAsia="en-GB"/>
              </w:rPr>
            </w:pPr>
            <w:proofErr w:type="spellStart"/>
            <w:r w:rsidRPr="001C2C36">
              <w:rPr>
                <w:rFonts w:eastAsia="Times New Roman" w:cs="Times New Roman"/>
                <w:szCs w:val="24"/>
                <w:lang w:eastAsia="en-GB"/>
              </w:rPr>
              <w:t>Decrease|Stayed</w:t>
            </w:r>
            <w:proofErr w:type="spellEnd"/>
            <w:r w:rsidRPr="001C2C36">
              <w:rPr>
                <w:rFonts w:eastAsia="Times New Roman" w:cs="Times New Roman"/>
                <w:szCs w:val="24"/>
                <w:lang w:eastAsia="en-GB"/>
              </w:rPr>
              <w:t xml:space="preserve"> the same</w:t>
            </w:r>
          </w:p>
        </w:tc>
        <w:tc>
          <w:tcPr>
            <w:tcW w:w="1194" w:type="dxa"/>
            <w:tcBorders>
              <w:left w:val="single" w:sz="4" w:space="0" w:color="auto"/>
            </w:tcBorders>
            <w:vAlign w:val="center"/>
          </w:tcPr>
          <w:p w14:paraId="00A6C369"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-1.28*** (0.13)</w:t>
            </w:r>
          </w:p>
        </w:tc>
        <w:tc>
          <w:tcPr>
            <w:tcW w:w="1196" w:type="dxa"/>
            <w:vAlign w:val="center"/>
          </w:tcPr>
          <w:p w14:paraId="18A34580"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-1.14***</w:t>
            </w:r>
          </w:p>
          <w:p w14:paraId="4AADF560"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(0.08)</w:t>
            </w:r>
          </w:p>
        </w:tc>
        <w:tc>
          <w:tcPr>
            <w:tcW w:w="1058" w:type="dxa"/>
            <w:tcBorders>
              <w:right w:val="single" w:sz="4" w:space="0" w:color="auto"/>
            </w:tcBorders>
            <w:vAlign w:val="center"/>
          </w:tcPr>
          <w:p w14:paraId="0EAB39DC"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-1.07***</w:t>
            </w:r>
          </w:p>
          <w:p w14:paraId="59D75DC6"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(0.06)</w:t>
            </w:r>
          </w:p>
        </w:tc>
        <w:tc>
          <w:tcPr>
            <w:tcW w:w="1339" w:type="dxa"/>
            <w:vAlign w:val="center"/>
          </w:tcPr>
          <w:p w14:paraId="36355F41"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-1.72***</w:t>
            </w:r>
          </w:p>
          <w:p w14:paraId="389410CA"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(0.16)</w:t>
            </w:r>
          </w:p>
        </w:tc>
        <w:tc>
          <w:tcPr>
            <w:tcW w:w="1022" w:type="dxa"/>
            <w:vAlign w:val="center"/>
          </w:tcPr>
          <w:p w14:paraId="2354D67F"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-1.92*** (0.09)</w:t>
            </w:r>
          </w:p>
        </w:tc>
        <w:tc>
          <w:tcPr>
            <w:tcW w:w="1335" w:type="dxa"/>
            <w:tcBorders>
              <w:right w:val="single" w:sz="4" w:space="0" w:color="auto"/>
            </w:tcBorders>
            <w:vAlign w:val="center"/>
          </w:tcPr>
          <w:p w14:paraId="08B59A0F"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-1.93*** (0.07)</w:t>
            </w:r>
          </w:p>
        </w:tc>
      </w:tr>
      <w:tr w:rsidR="0043731C" w:rsidRPr="001C2C36" w14:paraId="4FC80ACC" w14:textId="77777777">
        <w:trPr>
          <w:trHeight w:val="238"/>
          <w:tblCellSpacing w:w="15" w:type="dxa"/>
          <w:jc w:val="center"/>
        </w:trPr>
        <w:tc>
          <w:tcPr>
            <w:tcW w:w="1877" w:type="dxa"/>
            <w:tcBorders>
              <w:left w:val="single" w:sz="4" w:space="0" w:color="auto"/>
            </w:tcBorders>
            <w:vAlign w:val="center"/>
          </w:tcPr>
          <w:p w14:paraId="79560CCC" w14:textId="77777777" w:rsidR="0043731C" w:rsidRPr="001C2C36" w:rsidRDefault="0043731C" w:rsidP="0043731C">
            <w:pPr>
              <w:pStyle w:val="NoSpacing"/>
              <w:rPr>
                <w:rFonts w:cs="Times New Roman"/>
                <w:szCs w:val="24"/>
                <w:lang w:eastAsia="en-GB"/>
              </w:rPr>
            </w:pPr>
            <w:r w:rsidRPr="001C2C36">
              <w:rPr>
                <w:rFonts w:eastAsia="Times New Roman" w:cs="Times New Roman"/>
                <w:szCs w:val="24"/>
                <w:lang w:eastAsia="en-GB"/>
              </w:rPr>
              <w:t xml:space="preserve">Stayed the </w:t>
            </w:r>
            <w:proofErr w:type="spellStart"/>
            <w:r w:rsidRPr="001C2C36">
              <w:rPr>
                <w:rFonts w:eastAsia="Times New Roman" w:cs="Times New Roman"/>
                <w:szCs w:val="24"/>
                <w:lang w:eastAsia="en-GB"/>
              </w:rPr>
              <w:t>same|Increased</w:t>
            </w:r>
            <w:proofErr w:type="spellEnd"/>
          </w:p>
        </w:tc>
        <w:tc>
          <w:tcPr>
            <w:tcW w:w="1194" w:type="dxa"/>
            <w:tcBorders>
              <w:left w:val="single" w:sz="4" w:space="0" w:color="auto"/>
            </w:tcBorders>
            <w:vAlign w:val="center"/>
          </w:tcPr>
          <w:p w14:paraId="7535EB76"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1.06*** (0.13)</w:t>
            </w:r>
          </w:p>
        </w:tc>
        <w:tc>
          <w:tcPr>
            <w:tcW w:w="1196" w:type="dxa"/>
            <w:vAlign w:val="center"/>
          </w:tcPr>
          <w:p w14:paraId="309709BA"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1.06***</w:t>
            </w:r>
          </w:p>
          <w:p w14:paraId="2D5CE1CA"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(0.07)</w:t>
            </w:r>
          </w:p>
        </w:tc>
        <w:tc>
          <w:tcPr>
            <w:tcW w:w="1058" w:type="dxa"/>
            <w:tcBorders>
              <w:right w:val="single" w:sz="4" w:space="0" w:color="auto"/>
            </w:tcBorders>
            <w:vAlign w:val="center"/>
          </w:tcPr>
          <w:p w14:paraId="5F4EC538"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1.04***</w:t>
            </w:r>
          </w:p>
          <w:p w14:paraId="6BF0D014"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(0.06)</w:t>
            </w:r>
          </w:p>
        </w:tc>
        <w:tc>
          <w:tcPr>
            <w:tcW w:w="1339" w:type="dxa"/>
            <w:vAlign w:val="center"/>
          </w:tcPr>
          <w:p w14:paraId="106B8E33"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1.8***</w:t>
            </w:r>
          </w:p>
          <w:p w14:paraId="093AE29E"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(0.16)</w:t>
            </w:r>
          </w:p>
        </w:tc>
        <w:tc>
          <w:tcPr>
            <w:tcW w:w="1022" w:type="dxa"/>
            <w:vAlign w:val="center"/>
          </w:tcPr>
          <w:p w14:paraId="331481B2"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1.75*** (0.09)</w:t>
            </w:r>
          </w:p>
        </w:tc>
        <w:tc>
          <w:tcPr>
            <w:tcW w:w="1335" w:type="dxa"/>
            <w:tcBorders>
              <w:right w:val="single" w:sz="4" w:space="0" w:color="auto"/>
            </w:tcBorders>
            <w:vAlign w:val="center"/>
          </w:tcPr>
          <w:p w14:paraId="34C04947" w14:textId="77777777" w:rsidR="0043731C" w:rsidRPr="001C2C36" w:rsidRDefault="0043731C" w:rsidP="00CF4F34">
            <w:pPr>
              <w:pStyle w:val="NoSpacing"/>
              <w:jc w:val="center"/>
              <w:rPr>
                <w:rFonts w:cs="Times New Roman"/>
                <w:szCs w:val="24"/>
                <w:lang w:eastAsia="en-GB"/>
              </w:rPr>
            </w:pPr>
            <w:r w:rsidRPr="001C2C36">
              <w:rPr>
                <w:rFonts w:cs="Times New Roman"/>
                <w:szCs w:val="24"/>
                <w:lang w:eastAsia="en-GB"/>
              </w:rPr>
              <w:t>1.8*** (0.07)</w:t>
            </w:r>
          </w:p>
        </w:tc>
      </w:tr>
      <w:tr w:rsidR="0043731C" w:rsidRPr="001C2C36" w14:paraId="38A94E27" w14:textId="77777777">
        <w:trPr>
          <w:trHeight w:val="16"/>
          <w:tblCellSpacing w:w="15" w:type="dxa"/>
          <w:jc w:val="center"/>
        </w:trPr>
        <w:tc>
          <w:tcPr>
            <w:tcW w:w="9201" w:type="dxa"/>
            <w:gridSpan w:val="7"/>
            <w:tcBorders>
              <w:top w:val="single" w:sz="4" w:space="0" w:color="auto"/>
              <w:left w:val="single" w:sz="4" w:space="0" w:color="auto"/>
              <w:bottom w:val="single" w:sz="4" w:space="0" w:color="auto"/>
              <w:right w:val="single" w:sz="4" w:space="0" w:color="auto"/>
            </w:tcBorders>
            <w:vAlign w:val="center"/>
          </w:tcPr>
          <w:p w14:paraId="4853246D" w14:textId="77777777" w:rsidR="0043731C" w:rsidRPr="001C2C36" w:rsidRDefault="0043731C" w:rsidP="0043731C">
            <w:pPr>
              <w:pStyle w:val="NoSpacing"/>
              <w:rPr>
                <w:rFonts w:cs="Times New Roman"/>
                <w:szCs w:val="24"/>
                <w:lang w:eastAsia="en-GB"/>
              </w:rPr>
            </w:pPr>
            <w:r w:rsidRPr="001C2C36">
              <w:rPr>
                <w:rFonts w:cs="Times New Roman"/>
                <w:b/>
                <w:bCs/>
                <w:szCs w:val="24"/>
                <w:lang w:eastAsia="en-GB"/>
              </w:rPr>
              <w:t>Tests</w:t>
            </w:r>
          </w:p>
        </w:tc>
      </w:tr>
      <w:tr w:rsidR="0043731C" w:rsidRPr="001C2C36" w14:paraId="7F390AF3" w14:textId="77777777">
        <w:trPr>
          <w:trHeight w:val="277"/>
          <w:tblCellSpacing w:w="15" w:type="dxa"/>
          <w:jc w:val="center"/>
        </w:trPr>
        <w:tc>
          <w:tcPr>
            <w:tcW w:w="1877" w:type="dxa"/>
            <w:tcBorders>
              <w:left w:val="single" w:sz="4" w:space="0" w:color="auto"/>
            </w:tcBorders>
            <w:vAlign w:val="center"/>
          </w:tcPr>
          <w:p w14:paraId="5227FEDD" w14:textId="77777777" w:rsidR="0043731C" w:rsidRPr="001C2C36" w:rsidRDefault="0043731C" w:rsidP="0043731C">
            <w:pPr>
              <w:pStyle w:val="NoSpacing"/>
              <w:rPr>
                <w:rFonts w:cs="Times New Roman"/>
                <w:szCs w:val="24"/>
              </w:rPr>
            </w:pPr>
            <w:r w:rsidRPr="001C2C36">
              <w:rPr>
                <w:rFonts w:cs="Times New Roman"/>
                <w:szCs w:val="24"/>
              </w:rPr>
              <w:t>Residual Dev.</w:t>
            </w:r>
          </w:p>
        </w:tc>
        <w:tc>
          <w:tcPr>
            <w:tcW w:w="1194" w:type="dxa"/>
            <w:tcBorders>
              <w:left w:val="single" w:sz="4" w:space="0" w:color="auto"/>
            </w:tcBorders>
            <w:vAlign w:val="center"/>
          </w:tcPr>
          <w:p w14:paraId="6369562D" w14:textId="77777777" w:rsidR="0043731C" w:rsidRPr="001C2C36" w:rsidRDefault="0043731C" w:rsidP="00CF4F34">
            <w:pPr>
              <w:pStyle w:val="NoSpacing"/>
              <w:jc w:val="center"/>
              <w:rPr>
                <w:rFonts w:cs="Times New Roman"/>
                <w:szCs w:val="24"/>
              </w:rPr>
            </w:pPr>
            <w:r w:rsidRPr="001C2C36">
              <w:rPr>
                <w:rFonts w:cs="Times New Roman"/>
                <w:szCs w:val="24"/>
              </w:rPr>
              <w:t>2856</w:t>
            </w:r>
          </w:p>
        </w:tc>
        <w:tc>
          <w:tcPr>
            <w:tcW w:w="1196" w:type="dxa"/>
            <w:vAlign w:val="center"/>
          </w:tcPr>
          <w:p w14:paraId="5B1BD9C8" w14:textId="77777777" w:rsidR="0043731C" w:rsidRPr="001C2C36" w:rsidRDefault="0043731C" w:rsidP="00CF4F34">
            <w:pPr>
              <w:pStyle w:val="NoSpacing"/>
              <w:jc w:val="center"/>
              <w:rPr>
                <w:rFonts w:cs="Times New Roman"/>
                <w:szCs w:val="24"/>
              </w:rPr>
            </w:pPr>
            <w:r w:rsidRPr="001C2C36">
              <w:rPr>
                <w:rFonts w:cs="Times New Roman"/>
                <w:szCs w:val="24"/>
              </w:rPr>
              <w:t>9214</w:t>
            </w:r>
          </w:p>
        </w:tc>
        <w:tc>
          <w:tcPr>
            <w:tcW w:w="1058" w:type="dxa"/>
            <w:tcBorders>
              <w:right w:val="single" w:sz="4" w:space="0" w:color="auto"/>
            </w:tcBorders>
            <w:vAlign w:val="center"/>
          </w:tcPr>
          <w:p w14:paraId="567EBAE7" w14:textId="77777777" w:rsidR="0043731C" w:rsidRPr="001C2C36" w:rsidRDefault="0043731C" w:rsidP="00CF4F34">
            <w:pPr>
              <w:pStyle w:val="NoSpacing"/>
              <w:jc w:val="center"/>
              <w:rPr>
                <w:rFonts w:cs="Times New Roman"/>
                <w:szCs w:val="24"/>
              </w:rPr>
            </w:pPr>
            <w:r w:rsidRPr="001C2C36">
              <w:rPr>
                <w:rFonts w:cs="Times New Roman"/>
                <w:szCs w:val="24"/>
              </w:rPr>
              <w:t>15734</w:t>
            </w:r>
          </w:p>
        </w:tc>
        <w:tc>
          <w:tcPr>
            <w:tcW w:w="1339" w:type="dxa"/>
            <w:vAlign w:val="center"/>
          </w:tcPr>
          <w:p w14:paraId="56D50350" w14:textId="77777777" w:rsidR="0043731C" w:rsidRPr="001C2C36" w:rsidRDefault="0043731C" w:rsidP="00CF4F34">
            <w:pPr>
              <w:pStyle w:val="NoSpacing"/>
              <w:jc w:val="center"/>
              <w:rPr>
                <w:rFonts w:cs="Times New Roman"/>
                <w:szCs w:val="24"/>
              </w:rPr>
            </w:pPr>
            <w:r w:rsidRPr="001C2C36">
              <w:rPr>
                <w:rFonts w:cs="Times New Roman"/>
                <w:szCs w:val="24"/>
              </w:rPr>
              <w:t>2117</w:t>
            </w:r>
          </w:p>
        </w:tc>
        <w:tc>
          <w:tcPr>
            <w:tcW w:w="1022" w:type="dxa"/>
            <w:vAlign w:val="center"/>
          </w:tcPr>
          <w:p w14:paraId="44ECF445" w14:textId="77777777" w:rsidR="0043731C" w:rsidRPr="001C2C36" w:rsidRDefault="0043731C" w:rsidP="00CF4F34">
            <w:pPr>
              <w:pStyle w:val="NoSpacing"/>
              <w:jc w:val="center"/>
              <w:rPr>
                <w:rFonts w:cs="Times New Roman"/>
                <w:szCs w:val="24"/>
              </w:rPr>
            </w:pPr>
            <w:r w:rsidRPr="001C2C36">
              <w:rPr>
                <w:rFonts w:cs="Times New Roman"/>
                <w:szCs w:val="24"/>
              </w:rPr>
              <w:t>6695</w:t>
            </w:r>
          </w:p>
        </w:tc>
        <w:tc>
          <w:tcPr>
            <w:tcW w:w="1335" w:type="dxa"/>
            <w:tcBorders>
              <w:right w:val="single" w:sz="4" w:space="0" w:color="auto"/>
            </w:tcBorders>
            <w:vAlign w:val="center"/>
          </w:tcPr>
          <w:p w14:paraId="5163DD99" w14:textId="77777777" w:rsidR="0043731C" w:rsidRPr="001C2C36" w:rsidRDefault="0043731C" w:rsidP="00CF4F34">
            <w:pPr>
              <w:pStyle w:val="NoSpacing"/>
              <w:jc w:val="center"/>
              <w:rPr>
                <w:rFonts w:cs="Times New Roman"/>
                <w:szCs w:val="24"/>
              </w:rPr>
            </w:pPr>
            <w:r w:rsidRPr="001C2C36">
              <w:rPr>
                <w:rFonts w:cs="Times New Roman"/>
                <w:szCs w:val="24"/>
              </w:rPr>
              <w:t>11304</w:t>
            </w:r>
          </w:p>
        </w:tc>
      </w:tr>
      <w:tr w:rsidR="0043731C" w:rsidRPr="001C2C36" w14:paraId="68EC7CCC" w14:textId="77777777">
        <w:trPr>
          <w:trHeight w:val="277"/>
          <w:tblCellSpacing w:w="15" w:type="dxa"/>
          <w:jc w:val="center"/>
        </w:trPr>
        <w:tc>
          <w:tcPr>
            <w:tcW w:w="1877" w:type="dxa"/>
            <w:tcBorders>
              <w:left w:val="single" w:sz="4" w:space="0" w:color="auto"/>
            </w:tcBorders>
            <w:vAlign w:val="center"/>
          </w:tcPr>
          <w:p w14:paraId="4A65FA59" w14:textId="77777777" w:rsidR="0043731C" w:rsidRPr="001C2C36" w:rsidRDefault="0043731C" w:rsidP="0043731C">
            <w:pPr>
              <w:pStyle w:val="NoSpacing"/>
              <w:rPr>
                <w:rFonts w:cs="Times New Roman"/>
                <w:szCs w:val="24"/>
              </w:rPr>
            </w:pPr>
            <w:r w:rsidRPr="001C2C36">
              <w:rPr>
                <w:rFonts w:cs="Times New Roman"/>
                <w:szCs w:val="24"/>
              </w:rPr>
              <w:t>AIC</w:t>
            </w:r>
          </w:p>
        </w:tc>
        <w:tc>
          <w:tcPr>
            <w:tcW w:w="1194" w:type="dxa"/>
            <w:tcBorders>
              <w:left w:val="single" w:sz="4" w:space="0" w:color="auto"/>
            </w:tcBorders>
            <w:vAlign w:val="center"/>
          </w:tcPr>
          <w:p w14:paraId="4541FBBA" w14:textId="77777777" w:rsidR="0043731C" w:rsidRPr="001C2C36" w:rsidRDefault="0043731C" w:rsidP="00CF4F34">
            <w:pPr>
              <w:pStyle w:val="NoSpacing"/>
              <w:jc w:val="center"/>
              <w:rPr>
                <w:rFonts w:cs="Times New Roman"/>
                <w:szCs w:val="24"/>
              </w:rPr>
            </w:pPr>
            <w:r w:rsidRPr="001C2C36">
              <w:rPr>
                <w:rFonts w:cs="Times New Roman"/>
                <w:szCs w:val="24"/>
              </w:rPr>
              <w:t>2874</w:t>
            </w:r>
          </w:p>
        </w:tc>
        <w:tc>
          <w:tcPr>
            <w:tcW w:w="1196" w:type="dxa"/>
            <w:vAlign w:val="center"/>
          </w:tcPr>
          <w:p w14:paraId="0F62EEC8" w14:textId="77777777" w:rsidR="0043731C" w:rsidRPr="001C2C36" w:rsidRDefault="0043731C" w:rsidP="00CF4F34">
            <w:pPr>
              <w:pStyle w:val="NoSpacing"/>
              <w:jc w:val="center"/>
              <w:rPr>
                <w:rFonts w:cs="Times New Roman"/>
                <w:szCs w:val="24"/>
              </w:rPr>
            </w:pPr>
            <w:r w:rsidRPr="001C2C36">
              <w:rPr>
                <w:rFonts w:cs="Times New Roman"/>
                <w:szCs w:val="24"/>
              </w:rPr>
              <w:t>9232</w:t>
            </w:r>
          </w:p>
        </w:tc>
        <w:tc>
          <w:tcPr>
            <w:tcW w:w="1058" w:type="dxa"/>
            <w:tcBorders>
              <w:right w:val="single" w:sz="4" w:space="0" w:color="auto"/>
            </w:tcBorders>
            <w:vAlign w:val="center"/>
          </w:tcPr>
          <w:p w14:paraId="616F2AD2" w14:textId="77777777" w:rsidR="0043731C" w:rsidRPr="001C2C36" w:rsidRDefault="0043731C" w:rsidP="00CF4F34">
            <w:pPr>
              <w:pStyle w:val="NoSpacing"/>
              <w:jc w:val="center"/>
              <w:rPr>
                <w:rFonts w:cs="Times New Roman"/>
                <w:szCs w:val="24"/>
              </w:rPr>
            </w:pPr>
            <w:r w:rsidRPr="001C2C36">
              <w:rPr>
                <w:rFonts w:cs="Times New Roman"/>
                <w:szCs w:val="24"/>
              </w:rPr>
              <w:t>15752</w:t>
            </w:r>
          </w:p>
        </w:tc>
        <w:tc>
          <w:tcPr>
            <w:tcW w:w="1339" w:type="dxa"/>
            <w:vAlign w:val="center"/>
          </w:tcPr>
          <w:p w14:paraId="00CAB507" w14:textId="77777777" w:rsidR="0043731C" w:rsidRPr="001C2C36" w:rsidRDefault="0043731C" w:rsidP="00CF4F34">
            <w:pPr>
              <w:pStyle w:val="NoSpacing"/>
              <w:jc w:val="center"/>
              <w:rPr>
                <w:rFonts w:cs="Times New Roman"/>
                <w:szCs w:val="24"/>
              </w:rPr>
            </w:pPr>
            <w:r w:rsidRPr="001C2C36">
              <w:rPr>
                <w:rFonts w:cs="Times New Roman"/>
                <w:szCs w:val="24"/>
              </w:rPr>
              <w:t>2135</w:t>
            </w:r>
          </w:p>
        </w:tc>
        <w:tc>
          <w:tcPr>
            <w:tcW w:w="1022" w:type="dxa"/>
            <w:vAlign w:val="center"/>
          </w:tcPr>
          <w:p w14:paraId="7B8F6EE2" w14:textId="77777777" w:rsidR="0043731C" w:rsidRPr="001C2C36" w:rsidRDefault="0043731C" w:rsidP="00CF4F34">
            <w:pPr>
              <w:pStyle w:val="NoSpacing"/>
              <w:jc w:val="center"/>
              <w:rPr>
                <w:rFonts w:cs="Times New Roman"/>
                <w:szCs w:val="24"/>
              </w:rPr>
            </w:pPr>
            <w:r w:rsidRPr="001C2C36">
              <w:rPr>
                <w:rFonts w:cs="Times New Roman"/>
                <w:szCs w:val="24"/>
              </w:rPr>
              <w:t>6713</w:t>
            </w:r>
          </w:p>
        </w:tc>
        <w:tc>
          <w:tcPr>
            <w:tcW w:w="1335" w:type="dxa"/>
            <w:tcBorders>
              <w:right w:val="single" w:sz="4" w:space="0" w:color="auto"/>
            </w:tcBorders>
            <w:vAlign w:val="center"/>
          </w:tcPr>
          <w:p w14:paraId="489DCDC9" w14:textId="77777777" w:rsidR="0043731C" w:rsidRPr="001C2C36" w:rsidRDefault="0043731C" w:rsidP="00CF4F34">
            <w:pPr>
              <w:pStyle w:val="NoSpacing"/>
              <w:jc w:val="center"/>
              <w:rPr>
                <w:rFonts w:cs="Times New Roman"/>
                <w:szCs w:val="24"/>
              </w:rPr>
            </w:pPr>
            <w:r w:rsidRPr="001C2C36">
              <w:rPr>
                <w:rFonts w:cs="Times New Roman"/>
                <w:szCs w:val="24"/>
              </w:rPr>
              <w:t>11322</w:t>
            </w:r>
          </w:p>
        </w:tc>
      </w:tr>
      <w:tr w:rsidR="0043731C" w:rsidRPr="001C2C36" w14:paraId="6AD5C2A5" w14:textId="77777777">
        <w:trPr>
          <w:trHeight w:val="277"/>
          <w:tblCellSpacing w:w="15" w:type="dxa"/>
          <w:jc w:val="center"/>
        </w:trPr>
        <w:tc>
          <w:tcPr>
            <w:tcW w:w="9201" w:type="dxa"/>
            <w:gridSpan w:val="7"/>
            <w:tcBorders>
              <w:top w:val="single" w:sz="4" w:space="0" w:color="auto"/>
              <w:left w:val="single" w:sz="4" w:space="0" w:color="auto"/>
              <w:bottom w:val="single" w:sz="4" w:space="0" w:color="auto"/>
              <w:right w:val="single" w:sz="4" w:space="0" w:color="auto"/>
            </w:tcBorders>
            <w:vAlign w:val="center"/>
          </w:tcPr>
          <w:p w14:paraId="537C83B6" w14:textId="77777777" w:rsidR="0043731C" w:rsidRPr="001C2C36" w:rsidRDefault="0043731C" w:rsidP="0043731C">
            <w:pPr>
              <w:pStyle w:val="NoSpacing"/>
              <w:rPr>
                <w:rFonts w:cs="Times New Roman"/>
                <w:szCs w:val="24"/>
              </w:rPr>
            </w:pPr>
            <w:r w:rsidRPr="001C2C36">
              <w:rPr>
                <w:rFonts w:cs="Times New Roman"/>
                <w:b/>
                <w:bCs/>
                <w:szCs w:val="24"/>
              </w:rPr>
              <w:t>Observations</w:t>
            </w:r>
          </w:p>
        </w:tc>
      </w:tr>
      <w:tr w:rsidR="0043731C" w:rsidRPr="001C2C36" w14:paraId="1308A3F7" w14:textId="77777777">
        <w:trPr>
          <w:trHeight w:val="277"/>
          <w:tblCellSpacing w:w="15" w:type="dxa"/>
          <w:jc w:val="center"/>
        </w:trPr>
        <w:tc>
          <w:tcPr>
            <w:tcW w:w="1877" w:type="dxa"/>
            <w:tcBorders>
              <w:left w:val="single" w:sz="4" w:space="0" w:color="auto"/>
              <w:bottom w:val="single" w:sz="4" w:space="0" w:color="auto"/>
            </w:tcBorders>
            <w:vAlign w:val="center"/>
          </w:tcPr>
          <w:p w14:paraId="25991281" w14:textId="77777777" w:rsidR="0043731C" w:rsidRPr="001C2C36" w:rsidRDefault="0043731C" w:rsidP="0043731C">
            <w:pPr>
              <w:pStyle w:val="NoSpacing"/>
              <w:rPr>
                <w:rFonts w:cs="Times New Roman"/>
                <w:szCs w:val="24"/>
              </w:rPr>
            </w:pPr>
          </w:p>
        </w:tc>
        <w:tc>
          <w:tcPr>
            <w:tcW w:w="1194" w:type="dxa"/>
            <w:tcBorders>
              <w:left w:val="single" w:sz="4" w:space="0" w:color="auto"/>
              <w:bottom w:val="single" w:sz="4" w:space="0" w:color="auto"/>
            </w:tcBorders>
          </w:tcPr>
          <w:p w14:paraId="7C679B54" w14:textId="77777777" w:rsidR="0043731C" w:rsidRPr="001C2C36" w:rsidRDefault="0043731C" w:rsidP="00CF4F34">
            <w:pPr>
              <w:pStyle w:val="NoSpacing"/>
              <w:jc w:val="center"/>
              <w:rPr>
                <w:rFonts w:cs="Times New Roman"/>
                <w:szCs w:val="24"/>
              </w:rPr>
            </w:pPr>
            <w:r w:rsidRPr="001C2C36">
              <w:rPr>
                <w:rFonts w:cs="Times New Roman"/>
              </w:rPr>
              <w:t>1,421</w:t>
            </w:r>
          </w:p>
        </w:tc>
        <w:tc>
          <w:tcPr>
            <w:tcW w:w="1196" w:type="dxa"/>
            <w:tcBorders>
              <w:bottom w:val="single" w:sz="4" w:space="0" w:color="auto"/>
            </w:tcBorders>
          </w:tcPr>
          <w:p w14:paraId="2DBED5C2" w14:textId="77777777" w:rsidR="0043731C" w:rsidRPr="001C2C36" w:rsidRDefault="0043731C" w:rsidP="00CF4F34">
            <w:pPr>
              <w:pStyle w:val="NoSpacing"/>
              <w:jc w:val="center"/>
              <w:rPr>
                <w:rFonts w:cs="Times New Roman"/>
                <w:szCs w:val="24"/>
              </w:rPr>
            </w:pPr>
            <w:r w:rsidRPr="001C2C36">
              <w:rPr>
                <w:rFonts w:cs="Times New Roman"/>
              </w:rPr>
              <w:t>4,507</w:t>
            </w:r>
          </w:p>
        </w:tc>
        <w:tc>
          <w:tcPr>
            <w:tcW w:w="1058" w:type="dxa"/>
            <w:tcBorders>
              <w:bottom w:val="single" w:sz="4" w:space="0" w:color="auto"/>
              <w:right w:val="single" w:sz="4" w:space="0" w:color="auto"/>
            </w:tcBorders>
          </w:tcPr>
          <w:p w14:paraId="0D1B5137" w14:textId="77777777" w:rsidR="0043731C" w:rsidRPr="001C2C36" w:rsidRDefault="0043731C" w:rsidP="00CF4F34">
            <w:pPr>
              <w:pStyle w:val="NoSpacing"/>
              <w:jc w:val="center"/>
              <w:rPr>
                <w:rFonts w:cs="Times New Roman"/>
                <w:szCs w:val="24"/>
              </w:rPr>
            </w:pPr>
            <w:r w:rsidRPr="001C2C36">
              <w:rPr>
                <w:rFonts w:cs="Times New Roman"/>
              </w:rPr>
              <w:t>7,625</w:t>
            </w:r>
          </w:p>
        </w:tc>
        <w:tc>
          <w:tcPr>
            <w:tcW w:w="1339" w:type="dxa"/>
            <w:tcBorders>
              <w:bottom w:val="single" w:sz="4" w:space="0" w:color="auto"/>
            </w:tcBorders>
          </w:tcPr>
          <w:p w14:paraId="6C07675F" w14:textId="77777777" w:rsidR="0043731C" w:rsidRPr="001C2C36" w:rsidRDefault="0043731C" w:rsidP="00CF4F34">
            <w:pPr>
              <w:pStyle w:val="NoSpacing"/>
              <w:jc w:val="center"/>
              <w:rPr>
                <w:rFonts w:cs="Times New Roman"/>
                <w:szCs w:val="24"/>
              </w:rPr>
            </w:pPr>
            <w:r w:rsidRPr="001C2C36">
              <w:rPr>
                <w:rFonts w:cs="Times New Roman"/>
              </w:rPr>
              <w:t>1,295</w:t>
            </w:r>
          </w:p>
        </w:tc>
        <w:tc>
          <w:tcPr>
            <w:tcW w:w="1022" w:type="dxa"/>
            <w:tcBorders>
              <w:bottom w:val="single" w:sz="4" w:space="0" w:color="auto"/>
            </w:tcBorders>
          </w:tcPr>
          <w:p w14:paraId="731590C8" w14:textId="77777777" w:rsidR="0043731C" w:rsidRPr="001C2C36" w:rsidRDefault="0043731C" w:rsidP="00CF4F34">
            <w:pPr>
              <w:pStyle w:val="NoSpacing"/>
              <w:jc w:val="center"/>
              <w:rPr>
                <w:rFonts w:cs="Times New Roman"/>
                <w:szCs w:val="24"/>
              </w:rPr>
            </w:pPr>
            <w:r w:rsidRPr="001C2C36">
              <w:rPr>
                <w:rFonts w:cs="Times New Roman"/>
              </w:rPr>
              <w:t>4,211</w:t>
            </w:r>
          </w:p>
        </w:tc>
        <w:tc>
          <w:tcPr>
            <w:tcW w:w="1335" w:type="dxa"/>
            <w:tcBorders>
              <w:bottom w:val="single" w:sz="4" w:space="0" w:color="auto"/>
              <w:right w:val="single" w:sz="4" w:space="0" w:color="auto"/>
            </w:tcBorders>
          </w:tcPr>
          <w:p w14:paraId="1D6050CE" w14:textId="77777777" w:rsidR="0043731C" w:rsidRPr="001C2C36" w:rsidRDefault="0043731C" w:rsidP="00CF4F34">
            <w:pPr>
              <w:pStyle w:val="NoSpacing"/>
              <w:jc w:val="center"/>
              <w:rPr>
                <w:rFonts w:cs="Times New Roman"/>
                <w:szCs w:val="24"/>
              </w:rPr>
            </w:pPr>
            <w:r w:rsidRPr="001C2C36">
              <w:rPr>
                <w:rFonts w:cs="Times New Roman"/>
              </w:rPr>
              <w:t>7,156</w:t>
            </w:r>
          </w:p>
        </w:tc>
      </w:tr>
    </w:tbl>
    <w:p w14:paraId="4D86E5E3" w14:textId="1CA13169" w:rsidR="0043731C" w:rsidRPr="001C2C36" w:rsidRDefault="0043731C" w:rsidP="0043731C">
      <w:pPr>
        <w:spacing w:line="240" w:lineRule="auto"/>
        <w:rPr>
          <w:rFonts w:cs="Times New Roman"/>
          <w:szCs w:val="24"/>
        </w:rPr>
      </w:pPr>
      <w:r w:rsidRPr="001C2C36">
        <w:rPr>
          <w:rFonts w:cs="Times New Roman"/>
          <w:szCs w:val="24"/>
        </w:rPr>
        <w:t>Note:</w:t>
      </w:r>
      <w:r w:rsidRPr="001C2C36">
        <w:rPr>
          <w:rFonts w:cs="Times New Roman"/>
          <w:szCs w:val="24"/>
        </w:rPr>
        <w:tab/>
        <w:t xml:space="preserve">*p&lt;0.1; **p&lt;0.05; ***p&lt;0.01. The measures are reported on the logistic scale. Models </w:t>
      </w:r>
      <w:r w:rsidR="00933F2E" w:rsidRPr="001C2C36">
        <w:rPr>
          <w:rFonts w:cs="Times New Roman"/>
          <w:szCs w:val="24"/>
        </w:rPr>
        <w:t>3</w:t>
      </w:r>
      <w:r w:rsidRPr="001C2C36">
        <w:rPr>
          <w:rFonts w:cs="Times New Roman"/>
          <w:szCs w:val="24"/>
        </w:rPr>
        <w:t xml:space="preserve"> and </w:t>
      </w:r>
      <w:r w:rsidR="00933F2E" w:rsidRPr="001C2C36">
        <w:rPr>
          <w:rFonts w:cs="Times New Roman"/>
          <w:szCs w:val="24"/>
        </w:rPr>
        <w:t>5</w:t>
      </w:r>
      <w:r w:rsidRPr="001C2C36">
        <w:rPr>
          <w:rFonts w:cs="Times New Roman"/>
          <w:szCs w:val="24"/>
        </w:rPr>
        <w:t xml:space="preserve"> </w:t>
      </w:r>
      <w:r w:rsidR="00933F2E" w:rsidRPr="001C2C36">
        <w:rPr>
          <w:rFonts w:cs="Times New Roman"/>
          <w:szCs w:val="24"/>
        </w:rPr>
        <w:t>are</w:t>
      </w:r>
      <w:r w:rsidR="00E4362F" w:rsidRPr="001C2C36">
        <w:rPr>
          <w:rFonts w:cs="Times New Roman"/>
          <w:szCs w:val="24"/>
        </w:rPr>
        <w:t xml:space="preserve"> </w:t>
      </w:r>
      <w:proofErr w:type="gramStart"/>
      <w:r w:rsidR="00E4362F" w:rsidRPr="001C2C36">
        <w:rPr>
          <w:rFonts w:cs="Times New Roman"/>
          <w:szCs w:val="24"/>
        </w:rPr>
        <w:t>similar to</w:t>
      </w:r>
      <w:proofErr w:type="gramEnd"/>
      <w:r w:rsidR="00E4362F" w:rsidRPr="001C2C36">
        <w:rPr>
          <w:rFonts w:cs="Times New Roman"/>
          <w:szCs w:val="24"/>
        </w:rPr>
        <w:t xml:space="preserve"> those repor</w:t>
      </w:r>
      <w:r w:rsidR="00745118" w:rsidRPr="001C2C36">
        <w:rPr>
          <w:rFonts w:cs="Times New Roman"/>
          <w:szCs w:val="24"/>
        </w:rPr>
        <w:t>t</w:t>
      </w:r>
      <w:r w:rsidR="00E4362F" w:rsidRPr="001C2C36">
        <w:rPr>
          <w:rFonts w:cs="Times New Roman"/>
          <w:szCs w:val="24"/>
        </w:rPr>
        <w:t xml:space="preserve">ed in </w:t>
      </w:r>
      <w:r w:rsidR="002F3566" w:rsidRPr="002F3566">
        <w:rPr>
          <w:rFonts w:cs="Times New Roman"/>
          <w:szCs w:val="24"/>
        </w:rPr>
        <w:t>Table 3</w:t>
      </w:r>
      <w:r w:rsidR="00933F2E" w:rsidRPr="001C2C36">
        <w:rPr>
          <w:rFonts w:cs="Times New Roman"/>
          <w:szCs w:val="24"/>
        </w:rPr>
        <w:t xml:space="preserve"> and include the collection period between September and October</w:t>
      </w:r>
      <w:r w:rsidR="00D20CDB" w:rsidRPr="001C2C36">
        <w:rPr>
          <w:rFonts w:cs="Times New Roman"/>
          <w:szCs w:val="24"/>
        </w:rPr>
        <w:t xml:space="preserve"> 2020</w:t>
      </w:r>
      <w:r w:rsidRPr="001C2C36">
        <w:rPr>
          <w:rFonts w:cs="Times New Roman"/>
          <w:szCs w:val="24"/>
        </w:rPr>
        <w:t xml:space="preserve">. Models </w:t>
      </w:r>
      <w:r w:rsidR="00933F2E" w:rsidRPr="001C2C36">
        <w:rPr>
          <w:rFonts w:cs="Times New Roman"/>
          <w:szCs w:val="24"/>
        </w:rPr>
        <w:t>7</w:t>
      </w:r>
      <w:r w:rsidRPr="001C2C36">
        <w:rPr>
          <w:rFonts w:cs="Times New Roman"/>
          <w:szCs w:val="24"/>
        </w:rPr>
        <w:t xml:space="preserve"> and </w:t>
      </w:r>
      <w:r w:rsidR="00933F2E" w:rsidRPr="001C2C36">
        <w:rPr>
          <w:rFonts w:cs="Times New Roman"/>
          <w:szCs w:val="24"/>
        </w:rPr>
        <w:t>9</w:t>
      </w:r>
      <w:r w:rsidRPr="001C2C36">
        <w:rPr>
          <w:rFonts w:cs="Times New Roman"/>
          <w:szCs w:val="24"/>
        </w:rPr>
        <w:t xml:space="preserve"> further extend it to December 2020</w:t>
      </w:r>
      <w:r w:rsidR="00745118" w:rsidRPr="001C2C36">
        <w:rPr>
          <w:rFonts w:cs="Times New Roman"/>
          <w:szCs w:val="24"/>
        </w:rPr>
        <w:t>,</w:t>
      </w:r>
      <w:r w:rsidRPr="001C2C36">
        <w:rPr>
          <w:rFonts w:cs="Times New Roman"/>
          <w:szCs w:val="24"/>
        </w:rPr>
        <w:t xml:space="preserve"> and models </w:t>
      </w:r>
      <w:r w:rsidR="00B84DCD" w:rsidRPr="001C2C36">
        <w:rPr>
          <w:rFonts w:cs="Times New Roman"/>
          <w:szCs w:val="24"/>
        </w:rPr>
        <w:t>8</w:t>
      </w:r>
      <w:r w:rsidRPr="001C2C36">
        <w:rPr>
          <w:rFonts w:cs="Times New Roman"/>
          <w:szCs w:val="24"/>
        </w:rPr>
        <w:t xml:space="preserve"> and </w:t>
      </w:r>
      <w:r w:rsidR="00B84DCD" w:rsidRPr="001C2C36">
        <w:rPr>
          <w:rFonts w:cs="Times New Roman"/>
          <w:szCs w:val="24"/>
        </w:rPr>
        <w:t>10</w:t>
      </w:r>
      <w:r w:rsidRPr="001C2C36">
        <w:rPr>
          <w:rFonts w:cs="Times New Roman"/>
          <w:szCs w:val="24"/>
        </w:rPr>
        <w:t xml:space="preserve"> to all data (September 2020 to March 2021</w:t>
      </w:r>
      <w:r w:rsidR="00B84DCD" w:rsidRPr="001C2C36">
        <w:rPr>
          <w:rFonts w:cs="Times New Roman"/>
          <w:szCs w:val="24"/>
        </w:rPr>
        <w:t>).</w:t>
      </w:r>
    </w:p>
    <w:p w14:paraId="7F150A46" w14:textId="1DC6D39D" w:rsidR="00E4362F" w:rsidRPr="001C2C36" w:rsidRDefault="00E4362F">
      <w:pPr>
        <w:spacing w:line="259" w:lineRule="auto"/>
        <w:rPr>
          <w:rFonts w:cs="Times New Roman"/>
          <w:szCs w:val="24"/>
        </w:rPr>
      </w:pPr>
      <w:r w:rsidRPr="001C2C36">
        <w:rPr>
          <w:rFonts w:cs="Times New Roman"/>
          <w:szCs w:val="24"/>
        </w:rPr>
        <w:br w:type="page"/>
      </w:r>
    </w:p>
    <w:p w14:paraId="70BC8544" w14:textId="6E96B12B" w:rsidR="00E4362F" w:rsidRPr="001C2C36" w:rsidRDefault="00E4362F" w:rsidP="00E4362F">
      <w:pPr>
        <w:pStyle w:val="Caption"/>
        <w:keepNext/>
        <w:rPr>
          <w:rFonts w:ascii="Times New Roman" w:hAnsi="Times New Roman"/>
          <w:szCs w:val="24"/>
        </w:rPr>
      </w:pPr>
      <w:bookmarkStart w:id="6" w:name="_Ref126245875"/>
      <w:r w:rsidRPr="001C2C36">
        <w:rPr>
          <w:rFonts w:ascii="Times New Roman" w:hAnsi="Times New Roman"/>
          <w:szCs w:val="24"/>
        </w:rPr>
        <w:lastRenderedPageBreak/>
        <w:t xml:space="preserve">Table </w:t>
      </w:r>
      <w:r w:rsidRPr="001C2C36">
        <w:rPr>
          <w:rFonts w:ascii="Times New Roman" w:hAnsi="Times New Roman"/>
          <w:szCs w:val="24"/>
        </w:rPr>
        <w:fldChar w:fldCharType="begin"/>
      </w:r>
      <w:r w:rsidRPr="001C2C36">
        <w:rPr>
          <w:rFonts w:ascii="Times New Roman" w:hAnsi="Times New Roman"/>
          <w:szCs w:val="24"/>
        </w:rPr>
        <w:instrText>SEQ Table \* ARABIC</w:instrText>
      </w:r>
      <w:r w:rsidRPr="001C2C36">
        <w:rPr>
          <w:rFonts w:ascii="Times New Roman" w:hAnsi="Times New Roman"/>
          <w:szCs w:val="24"/>
        </w:rPr>
        <w:fldChar w:fldCharType="separate"/>
      </w:r>
      <w:r w:rsidR="00A43FC5">
        <w:rPr>
          <w:rFonts w:ascii="Times New Roman" w:hAnsi="Times New Roman"/>
          <w:noProof/>
          <w:szCs w:val="24"/>
        </w:rPr>
        <w:t>6</w:t>
      </w:r>
      <w:r w:rsidRPr="001C2C36">
        <w:rPr>
          <w:rFonts w:ascii="Times New Roman" w:hAnsi="Times New Roman"/>
          <w:szCs w:val="24"/>
        </w:rPr>
        <w:fldChar w:fldCharType="end"/>
      </w:r>
      <w:bookmarkEnd w:id="6"/>
      <w:r w:rsidRPr="001C2C36">
        <w:rPr>
          <w:rFonts w:ascii="Times New Roman" w:hAnsi="Times New Roman"/>
          <w:szCs w:val="24"/>
        </w:rPr>
        <w:t xml:space="preserve"> Ordinal regressions including non-employing SMEs.</w:t>
      </w:r>
    </w:p>
    <w:tbl>
      <w:tblPr>
        <w:tblW w:w="7938" w:type="dxa"/>
        <w:jc w:val="center"/>
        <w:tblCellSpacing w:w="15" w:type="dxa"/>
        <w:tblLayout w:type="fixed"/>
        <w:tblCellMar>
          <w:top w:w="15" w:type="dxa"/>
          <w:left w:w="15" w:type="dxa"/>
          <w:bottom w:w="15" w:type="dxa"/>
          <w:right w:w="15" w:type="dxa"/>
        </w:tblCellMar>
        <w:tblLook w:val="04A0" w:firstRow="1" w:lastRow="0" w:firstColumn="1" w:lastColumn="0" w:noHBand="0" w:noVBand="1"/>
      </w:tblPr>
      <w:tblGrid>
        <w:gridCol w:w="1856"/>
        <w:gridCol w:w="1181"/>
        <w:gridCol w:w="1184"/>
        <w:gridCol w:w="594"/>
        <w:gridCol w:w="1784"/>
        <w:gridCol w:w="1339"/>
      </w:tblGrid>
      <w:tr w:rsidR="00B84DCD" w:rsidRPr="001C2C36" w14:paraId="571F4939" w14:textId="77777777" w:rsidTr="00B84DCD">
        <w:trPr>
          <w:trHeight w:val="306"/>
          <w:tblCellSpacing w:w="15" w:type="dxa"/>
          <w:jc w:val="center"/>
        </w:trPr>
        <w:tc>
          <w:tcPr>
            <w:tcW w:w="1811" w:type="dxa"/>
            <w:tcBorders>
              <w:top w:val="single" w:sz="4" w:space="0" w:color="auto"/>
              <w:left w:val="single" w:sz="4" w:space="0" w:color="auto"/>
              <w:bottom w:val="single" w:sz="4" w:space="0" w:color="auto"/>
            </w:tcBorders>
            <w:vAlign w:val="center"/>
          </w:tcPr>
          <w:p w14:paraId="630B28E5" w14:textId="24FA5EC5" w:rsidR="00B84DCD" w:rsidRPr="001C2C36" w:rsidRDefault="00B84DCD" w:rsidP="00AB6484">
            <w:pPr>
              <w:pStyle w:val="NoSpacing"/>
              <w:rPr>
                <w:rFonts w:cs="Times New Roman"/>
                <w:b/>
                <w:bCs/>
                <w:szCs w:val="24"/>
                <w:lang w:eastAsia="en-GB"/>
              </w:rPr>
            </w:pPr>
            <w:r w:rsidRPr="001C2C36">
              <w:rPr>
                <w:rFonts w:cs="Times New Roman"/>
                <w:b/>
                <w:bCs/>
                <w:szCs w:val="24"/>
                <w:lang w:eastAsia="en-GB"/>
              </w:rPr>
              <w:t>Dep. Variable</w:t>
            </w:r>
          </w:p>
        </w:tc>
        <w:tc>
          <w:tcPr>
            <w:tcW w:w="2929" w:type="dxa"/>
            <w:gridSpan w:val="3"/>
            <w:tcBorders>
              <w:top w:val="single" w:sz="4" w:space="0" w:color="auto"/>
              <w:left w:val="single" w:sz="4" w:space="0" w:color="auto"/>
              <w:bottom w:val="single" w:sz="4" w:space="0" w:color="auto"/>
              <w:right w:val="single" w:sz="4" w:space="0" w:color="auto"/>
            </w:tcBorders>
            <w:vAlign w:val="center"/>
          </w:tcPr>
          <w:p w14:paraId="5D4B552C" w14:textId="1D40214D" w:rsidR="00B84DCD" w:rsidRPr="001C2C36" w:rsidRDefault="00B84DCD" w:rsidP="00AB6484">
            <w:pPr>
              <w:pStyle w:val="NoSpacing"/>
              <w:jc w:val="center"/>
              <w:rPr>
                <w:rFonts w:cs="Times New Roman"/>
                <w:szCs w:val="24"/>
              </w:rPr>
            </w:pPr>
            <w:r w:rsidRPr="001C2C36">
              <w:rPr>
                <w:rFonts w:cs="Times New Roman"/>
                <w:b/>
                <w:bCs/>
                <w:szCs w:val="24"/>
                <w:lang w:eastAsia="en-GB"/>
              </w:rPr>
              <w:t xml:space="preserve">Δ </w:t>
            </w:r>
            <w:proofErr w:type="gramStart"/>
            <w:r w:rsidRPr="001C2C36">
              <w:rPr>
                <w:rFonts w:cs="Times New Roman"/>
                <w:b/>
                <w:bCs/>
                <w:szCs w:val="24"/>
                <w:lang w:eastAsia="en-GB"/>
              </w:rPr>
              <w:t>Employment  2019</w:t>
            </w:r>
            <w:proofErr w:type="gramEnd"/>
            <w:r w:rsidRPr="001C2C36">
              <w:rPr>
                <w:rFonts w:cs="Times New Roman"/>
                <w:b/>
                <w:bCs/>
                <w:szCs w:val="24"/>
                <w:lang w:eastAsia="en-GB"/>
              </w:rPr>
              <w:t>-2020</w:t>
            </w:r>
          </w:p>
        </w:tc>
        <w:tc>
          <w:tcPr>
            <w:tcW w:w="3078" w:type="dxa"/>
            <w:gridSpan w:val="2"/>
            <w:tcBorders>
              <w:top w:val="single" w:sz="4" w:space="0" w:color="auto"/>
              <w:bottom w:val="single" w:sz="4" w:space="0" w:color="auto"/>
              <w:right w:val="single" w:sz="4" w:space="0" w:color="auto"/>
            </w:tcBorders>
            <w:vAlign w:val="center"/>
          </w:tcPr>
          <w:p w14:paraId="2A9CA97F" w14:textId="7C746B24" w:rsidR="00B84DCD" w:rsidRPr="001C2C36" w:rsidRDefault="00B84DCD" w:rsidP="00AB6484">
            <w:pPr>
              <w:pStyle w:val="NoSpacing"/>
              <w:jc w:val="center"/>
              <w:rPr>
                <w:rFonts w:cs="Times New Roman"/>
                <w:szCs w:val="24"/>
              </w:rPr>
            </w:pPr>
            <w:r w:rsidRPr="001C2C36">
              <w:rPr>
                <w:rFonts w:cs="Times New Roman"/>
                <w:b/>
                <w:bCs/>
                <w:szCs w:val="24"/>
                <w:lang w:eastAsia="en-GB"/>
              </w:rPr>
              <w:t>Δ Employment 2020-2021</w:t>
            </w:r>
          </w:p>
        </w:tc>
      </w:tr>
      <w:tr w:rsidR="00B84DCD" w:rsidRPr="001C2C36" w14:paraId="25CD257B" w14:textId="77777777" w:rsidTr="00B84DCD">
        <w:trPr>
          <w:trHeight w:val="306"/>
          <w:tblCellSpacing w:w="15" w:type="dxa"/>
          <w:jc w:val="center"/>
        </w:trPr>
        <w:tc>
          <w:tcPr>
            <w:tcW w:w="1811" w:type="dxa"/>
            <w:tcBorders>
              <w:left w:val="single" w:sz="4" w:space="0" w:color="auto"/>
            </w:tcBorders>
            <w:vAlign w:val="center"/>
            <w:hideMark/>
          </w:tcPr>
          <w:p w14:paraId="43E71CF0" w14:textId="77777777" w:rsidR="00B84DCD" w:rsidRPr="001C2C36" w:rsidRDefault="00B84DCD" w:rsidP="00274AD9">
            <w:pPr>
              <w:pStyle w:val="NoSpacing"/>
              <w:rPr>
                <w:rFonts w:cs="Times New Roman"/>
                <w:b/>
                <w:bCs/>
                <w:szCs w:val="24"/>
                <w:lang w:eastAsia="en-GB"/>
              </w:rPr>
            </w:pPr>
            <w:r w:rsidRPr="001C2C36">
              <w:rPr>
                <w:rFonts w:cs="Times New Roman"/>
                <w:b/>
                <w:bCs/>
                <w:szCs w:val="24"/>
                <w:lang w:eastAsia="en-GB"/>
              </w:rPr>
              <w:t>Notation</w:t>
            </w:r>
          </w:p>
        </w:tc>
        <w:tc>
          <w:tcPr>
            <w:tcW w:w="1151" w:type="dxa"/>
            <w:tcBorders>
              <w:left w:val="single" w:sz="4" w:space="0" w:color="auto"/>
            </w:tcBorders>
            <w:hideMark/>
          </w:tcPr>
          <w:p w14:paraId="4DDE814A" w14:textId="0D56163F" w:rsidR="00B84DCD" w:rsidRPr="001C2C36" w:rsidRDefault="00B84DCD" w:rsidP="00B84DCD">
            <w:pPr>
              <w:spacing w:after="0" w:line="240" w:lineRule="auto"/>
              <w:jc w:val="center"/>
              <w:rPr>
                <w:rFonts w:cs="Times New Roman"/>
                <w:szCs w:val="24"/>
              </w:rPr>
            </w:pPr>
            <w:r w:rsidRPr="001C2C36">
              <w:rPr>
                <w:rFonts w:cs="Times New Roman"/>
                <w:szCs w:val="24"/>
              </w:rPr>
              <w:t>model 3</w:t>
            </w:r>
          </w:p>
          <w:p w14:paraId="10EAB075" w14:textId="3C03744C" w:rsidR="00B84DCD" w:rsidRPr="001C2C36" w:rsidRDefault="00B84DCD" w:rsidP="00B84DCD">
            <w:pPr>
              <w:pStyle w:val="NoSpacing"/>
              <w:jc w:val="center"/>
              <w:rPr>
                <w:rFonts w:cs="Times New Roman"/>
                <w:szCs w:val="24"/>
                <w:lang w:eastAsia="en-GB"/>
              </w:rPr>
            </w:pPr>
            <w:r w:rsidRPr="001C2C36">
              <w:rPr>
                <w:rFonts w:cs="Times New Roman"/>
                <w:szCs w:val="24"/>
              </w:rPr>
              <w:t>b</w:t>
            </w:r>
            <w:r w:rsidRPr="001C2C36">
              <w:rPr>
                <w:rFonts w:cs="Times New Roman"/>
                <w:szCs w:val="24"/>
                <w:vertAlign w:val="subscript"/>
              </w:rPr>
              <w:t>3</w:t>
            </w:r>
            <w:r w:rsidRPr="001C2C36">
              <w:rPr>
                <w:rFonts w:cs="Times New Roman"/>
                <w:szCs w:val="24"/>
              </w:rPr>
              <w:t xml:space="preserve"> (SE)</w:t>
            </w:r>
          </w:p>
        </w:tc>
        <w:tc>
          <w:tcPr>
            <w:tcW w:w="1154" w:type="dxa"/>
            <w:hideMark/>
          </w:tcPr>
          <w:p w14:paraId="0AF45FFA" w14:textId="66E15A64" w:rsidR="00B84DCD" w:rsidRPr="001C2C36" w:rsidRDefault="00B84DCD" w:rsidP="00B84DCD">
            <w:pPr>
              <w:spacing w:after="0" w:line="240" w:lineRule="auto"/>
              <w:jc w:val="center"/>
              <w:rPr>
                <w:rFonts w:cs="Times New Roman"/>
                <w:szCs w:val="24"/>
              </w:rPr>
            </w:pPr>
            <w:r w:rsidRPr="001C2C36">
              <w:rPr>
                <w:rFonts w:cs="Times New Roman"/>
                <w:szCs w:val="24"/>
              </w:rPr>
              <w:t>model 11</w:t>
            </w:r>
          </w:p>
          <w:p w14:paraId="77705804" w14:textId="4B56B5BD" w:rsidR="00B84DCD" w:rsidRPr="001C2C36" w:rsidRDefault="00B84DCD" w:rsidP="00B84DCD">
            <w:pPr>
              <w:pStyle w:val="NoSpacing"/>
              <w:jc w:val="center"/>
              <w:rPr>
                <w:rFonts w:cs="Times New Roman"/>
                <w:szCs w:val="24"/>
                <w:lang w:eastAsia="en-GB"/>
              </w:rPr>
            </w:pPr>
            <w:r w:rsidRPr="001C2C36">
              <w:rPr>
                <w:rFonts w:cs="Times New Roman"/>
                <w:szCs w:val="24"/>
              </w:rPr>
              <w:t>b</w:t>
            </w:r>
            <w:r w:rsidR="00BF0661" w:rsidRPr="001C2C36">
              <w:rPr>
                <w:rFonts w:cs="Times New Roman"/>
                <w:szCs w:val="24"/>
                <w:vertAlign w:val="subscript"/>
              </w:rPr>
              <w:t>11</w:t>
            </w:r>
            <w:r w:rsidRPr="001C2C36">
              <w:rPr>
                <w:rFonts w:cs="Times New Roman"/>
                <w:szCs w:val="24"/>
              </w:rPr>
              <w:t xml:space="preserve"> (SE)</w:t>
            </w:r>
          </w:p>
        </w:tc>
        <w:tc>
          <w:tcPr>
            <w:tcW w:w="564" w:type="dxa"/>
            <w:tcBorders>
              <w:right w:val="single" w:sz="4" w:space="0" w:color="auto"/>
            </w:tcBorders>
          </w:tcPr>
          <w:p w14:paraId="2BED8944" w14:textId="017DB1FD" w:rsidR="00B84DCD" w:rsidRPr="001C2C36" w:rsidRDefault="00B84DCD" w:rsidP="00B84DCD">
            <w:pPr>
              <w:pStyle w:val="NoSpacing"/>
              <w:jc w:val="center"/>
              <w:rPr>
                <w:rFonts w:cs="Times New Roman"/>
                <w:szCs w:val="24"/>
              </w:rPr>
            </w:pPr>
          </w:p>
        </w:tc>
        <w:tc>
          <w:tcPr>
            <w:tcW w:w="1754" w:type="dxa"/>
            <w:hideMark/>
          </w:tcPr>
          <w:p w14:paraId="4D8D5A17" w14:textId="2A7A208F" w:rsidR="00B84DCD" w:rsidRPr="001C2C36" w:rsidRDefault="00B84DCD" w:rsidP="00B84DCD">
            <w:pPr>
              <w:spacing w:after="0" w:line="240" w:lineRule="auto"/>
              <w:jc w:val="center"/>
              <w:rPr>
                <w:rFonts w:cs="Times New Roman"/>
                <w:szCs w:val="24"/>
              </w:rPr>
            </w:pPr>
            <w:r w:rsidRPr="001C2C36">
              <w:rPr>
                <w:rFonts w:cs="Times New Roman"/>
                <w:szCs w:val="24"/>
              </w:rPr>
              <w:t>model 6</w:t>
            </w:r>
          </w:p>
          <w:p w14:paraId="6D717DE5" w14:textId="2811BED3" w:rsidR="00B84DCD" w:rsidRPr="001C2C36" w:rsidRDefault="00B84DCD" w:rsidP="00B84DCD">
            <w:pPr>
              <w:pStyle w:val="NoSpacing"/>
              <w:jc w:val="center"/>
              <w:rPr>
                <w:rFonts w:cs="Times New Roman"/>
                <w:szCs w:val="24"/>
                <w:lang w:eastAsia="en-GB"/>
              </w:rPr>
            </w:pPr>
            <w:r w:rsidRPr="001C2C36">
              <w:rPr>
                <w:rFonts w:cs="Times New Roman"/>
                <w:szCs w:val="24"/>
              </w:rPr>
              <w:t>b</w:t>
            </w:r>
            <w:r w:rsidRPr="001C2C36">
              <w:rPr>
                <w:rFonts w:cs="Times New Roman"/>
                <w:szCs w:val="24"/>
                <w:vertAlign w:val="subscript"/>
              </w:rPr>
              <w:t>6</w:t>
            </w:r>
            <w:r w:rsidRPr="001C2C36">
              <w:rPr>
                <w:rFonts w:cs="Times New Roman"/>
                <w:szCs w:val="24"/>
              </w:rPr>
              <w:t xml:space="preserve"> (SE)</w:t>
            </w:r>
          </w:p>
        </w:tc>
        <w:tc>
          <w:tcPr>
            <w:tcW w:w="1292" w:type="dxa"/>
            <w:tcBorders>
              <w:right w:val="single" w:sz="4" w:space="0" w:color="auto"/>
            </w:tcBorders>
            <w:hideMark/>
          </w:tcPr>
          <w:p w14:paraId="60214C25" w14:textId="6990790D" w:rsidR="00B84DCD" w:rsidRPr="001C2C36" w:rsidRDefault="00B84DCD" w:rsidP="00B84DCD">
            <w:pPr>
              <w:spacing w:after="0" w:line="240" w:lineRule="auto"/>
              <w:jc w:val="center"/>
              <w:rPr>
                <w:rFonts w:cs="Times New Roman"/>
                <w:szCs w:val="24"/>
              </w:rPr>
            </w:pPr>
            <w:r w:rsidRPr="001C2C36">
              <w:rPr>
                <w:rFonts w:cs="Times New Roman"/>
                <w:szCs w:val="24"/>
              </w:rPr>
              <w:t>model 12</w:t>
            </w:r>
          </w:p>
          <w:p w14:paraId="663F5D26" w14:textId="6C5DC088" w:rsidR="00B84DCD" w:rsidRPr="001C2C36" w:rsidRDefault="00B84DCD" w:rsidP="00B84DCD">
            <w:pPr>
              <w:pStyle w:val="NoSpacing"/>
              <w:jc w:val="center"/>
              <w:rPr>
                <w:rFonts w:cs="Times New Roman"/>
                <w:szCs w:val="24"/>
                <w:lang w:eastAsia="en-GB"/>
              </w:rPr>
            </w:pPr>
            <w:r w:rsidRPr="001C2C36">
              <w:rPr>
                <w:rFonts w:cs="Times New Roman"/>
                <w:szCs w:val="24"/>
              </w:rPr>
              <w:t>b</w:t>
            </w:r>
            <w:r w:rsidR="00BF0661" w:rsidRPr="001C2C36">
              <w:rPr>
                <w:rFonts w:cs="Times New Roman"/>
                <w:szCs w:val="24"/>
                <w:vertAlign w:val="subscript"/>
              </w:rPr>
              <w:t>12</w:t>
            </w:r>
            <w:r w:rsidRPr="001C2C36">
              <w:rPr>
                <w:rFonts w:cs="Times New Roman"/>
                <w:szCs w:val="24"/>
              </w:rPr>
              <w:t xml:space="preserve"> (SE)</w:t>
            </w:r>
          </w:p>
        </w:tc>
      </w:tr>
      <w:tr w:rsidR="00B84DCD" w:rsidRPr="001C2C36" w14:paraId="226CEF83" w14:textId="77777777" w:rsidTr="00B84DCD">
        <w:trPr>
          <w:trHeight w:val="306"/>
          <w:tblCellSpacing w:w="15" w:type="dxa"/>
          <w:jc w:val="center"/>
        </w:trPr>
        <w:tc>
          <w:tcPr>
            <w:tcW w:w="7878" w:type="dxa"/>
            <w:gridSpan w:val="6"/>
            <w:tcBorders>
              <w:top w:val="single" w:sz="4" w:space="0" w:color="auto"/>
              <w:left w:val="single" w:sz="4" w:space="0" w:color="auto"/>
              <w:right w:val="single" w:sz="4" w:space="0" w:color="auto"/>
            </w:tcBorders>
            <w:vAlign w:val="center"/>
          </w:tcPr>
          <w:p w14:paraId="08B4FD7A" w14:textId="12080B51" w:rsidR="00B84DCD" w:rsidRPr="001C2C36" w:rsidRDefault="00B84DCD" w:rsidP="006974DC">
            <w:pPr>
              <w:pStyle w:val="NoSpacing"/>
              <w:rPr>
                <w:rFonts w:cs="Times New Roman"/>
                <w:szCs w:val="24"/>
                <w:highlight w:val="yellow"/>
              </w:rPr>
            </w:pPr>
            <w:r w:rsidRPr="001C2C36">
              <w:rPr>
                <w:rFonts w:cs="Times New Roman"/>
                <w:b/>
                <w:bCs/>
                <w:szCs w:val="24"/>
                <w:lang w:eastAsia="en-GB"/>
              </w:rPr>
              <w:t>Study variables</w:t>
            </w:r>
          </w:p>
        </w:tc>
      </w:tr>
      <w:tr w:rsidR="00B84DCD" w:rsidRPr="001C2C36" w14:paraId="39435187" w14:textId="77777777" w:rsidTr="00B84DCD">
        <w:trPr>
          <w:trHeight w:val="306"/>
          <w:tblCellSpacing w:w="15" w:type="dxa"/>
          <w:jc w:val="center"/>
        </w:trPr>
        <w:tc>
          <w:tcPr>
            <w:tcW w:w="1811" w:type="dxa"/>
            <w:tcBorders>
              <w:top w:val="single" w:sz="4" w:space="0" w:color="auto"/>
              <w:left w:val="single" w:sz="4" w:space="0" w:color="auto"/>
            </w:tcBorders>
            <w:vAlign w:val="center"/>
          </w:tcPr>
          <w:p w14:paraId="492818FA" w14:textId="5C657827" w:rsidR="00B84DCD" w:rsidRPr="001C2C36" w:rsidRDefault="00B84DCD" w:rsidP="006974DC">
            <w:pPr>
              <w:pStyle w:val="NoSpacing"/>
              <w:rPr>
                <w:rFonts w:cs="Times New Roman"/>
                <w:b/>
                <w:bCs/>
                <w:szCs w:val="24"/>
                <w:lang w:eastAsia="en-GB"/>
              </w:rPr>
            </w:pPr>
            <w:r w:rsidRPr="001C2C36">
              <w:rPr>
                <w:rFonts w:cs="Times New Roman"/>
                <w:szCs w:val="24"/>
                <w:lang w:eastAsia="en-GB"/>
              </w:rPr>
              <w:t>Dynamic capabilities</w:t>
            </w:r>
          </w:p>
        </w:tc>
        <w:tc>
          <w:tcPr>
            <w:tcW w:w="1151" w:type="dxa"/>
            <w:tcBorders>
              <w:top w:val="single" w:sz="4" w:space="0" w:color="auto"/>
              <w:left w:val="single" w:sz="4" w:space="0" w:color="auto"/>
            </w:tcBorders>
            <w:vAlign w:val="center"/>
          </w:tcPr>
          <w:p w14:paraId="3BBF5672"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0.01</w:t>
            </w:r>
          </w:p>
          <w:p w14:paraId="2253043E" w14:textId="36642AEE" w:rsidR="00B84DCD" w:rsidRPr="001C2C36" w:rsidRDefault="00B84DCD" w:rsidP="006974DC">
            <w:pPr>
              <w:pStyle w:val="NoSpacing"/>
              <w:jc w:val="center"/>
              <w:rPr>
                <w:rFonts w:cs="Times New Roman"/>
                <w:szCs w:val="24"/>
                <w:highlight w:val="yellow"/>
              </w:rPr>
            </w:pPr>
            <w:r w:rsidRPr="001C2C36">
              <w:rPr>
                <w:rFonts w:eastAsia="Times New Roman" w:cs="Times New Roman"/>
                <w:szCs w:val="24"/>
                <w:lang w:eastAsia="en-GB"/>
              </w:rPr>
              <w:t>(0.07)</w:t>
            </w:r>
          </w:p>
        </w:tc>
        <w:tc>
          <w:tcPr>
            <w:tcW w:w="1154" w:type="dxa"/>
            <w:tcBorders>
              <w:top w:val="single" w:sz="4" w:space="0" w:color="auto"/>
            </w:tcBorders>
            <w:vAlign w:val="center"/>
          </w:tcPr>
          <w:p w14:paraId="3BCFCC4B" w14:textId="77777777" w:rsidR="00B84DCD" w:rsidRPr="001C2C36" w:rsidRDefault="00B84DCD" w:rsidP="006974DC">
            <w:pPr>
              <w:pStyle w:val="NoSpacing"/>
              <w:jc w:val="center"/>
              <w:rPr>
                <w:rFonts w:cs="Times New Roman"/>
                <w:szCs w:val="24"/>
                <w:lang w:eastAsia="en-GB"/>
              </w:rPr>
            </w:pPr>
            <w:r w:rsidRPr="001C2C36">
              <w:rPr>
                <w:rFonts w:cs="Times New Roman"/>
              </w:rPr>
              <w:t>-0.03</w:t>
            </w:r>
          </w:p>
          <w:p w14:paraId="65D674B2" w14:textId="2DDD3F4D" w:rsidR="00B84DCD" w:rsidRPr="001C2C36" w:rsidRDefault="00B84DCD" w:rsidP="006974DC">
            <w:pPr>
              <w:pStyle w:val="NoSpacing"/>
              <w:jc w:val="center"/>
              <w:rPr>
                <w:rFonts w:cs="Times New Roman"/>
                <w:szCs w:val="24"/>
              </w:rPr>
            </w:pPr>
            <w:r w:rsidRPr="001C2C36">
              <w:rPr>
                <w:rFonts w:cs="Times New Roman"/>
              </w:rPr>
              <w:t>(0.09)</w:t>
            </w:r>
          </w:p>
        </w:tc>
        <w:tc>
          <w:tcPr>
            <w:tcW w:w="564" w:type="dxa"/>
            <w:tcBorders>
              <w:top w:val="single" w:sz="4" w:space="0" w:color="auto"/>
              <w:right w:val="single" w:sz="4" w:space="0" w:color="auto"/>
            </w:tcBorders>
            <w:vAlign w:val="center"/>
          </w:tcPr>
          <w:p w14:paraId="6F47B703" w14:textId="502AF392" w:rsidR="00B84DCD" w:rsidRPr="001C2C36" w:rsidRDefault="00B84DCD" w:rsidP="006974DC">
            <w:pPr>
              <w:pStyle w:val="NoSpacing"/>
              <w:jc w:val="center"/>
              <w:rPr>
                <w:rFonts w:cs="Times New Roman"/>
                <w:szCs w:val="24"/>
                <w:highlight w:val="yellow"/>
              </w:rPr>
            </w:pPr>
          </w:p>
        </w:tc>
        <w:tc>
          <w:tcPr>
            <w:tcW w:w="1754" w:type="dxa"/>
            <w:tcBorders>
              <w:top w:val="single" w:sz="4" w:space="0" w:color="auto"/>
            </w:tcBorders>
            <w:vAlign w:val="center"/>
          </w:tcPr>
          <w:p w14:paraId="48217C15"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0.44</w:t>
            </w:r>
            <w:r w:rsidRPr="001C2C36">
              <w:rPr>
                <w:rFonts w:eastAsia="Times New Roman" w:cs="Times New Roman"/>
                <w:szCs w:val="24"/>
                <w:vertAlign w:val="superscript"/>
                <w:lang w:eastAsia="en-GB"/>
              </w:rPr>
              <w:t>***</w:t>
            </w:r>
          </w:p>
          <w:p w14:paraId="2D44F2F0" w14:textId="47A1FECE" w:rsidR="00B84DCD" w:rsidRPr="001C2C36" w:rsidRDefault="00B84DCD" w:rsidP="006974DC">
            <w:pPr>
              <w:pStyle w:val="NoSpacing"/>
              <w:jc w:val="center"/>
              <w:rPr>
                <w:rFonts w:cs="Times New Roman"/>
                <w:szCs w:val="24"/>
                <w:highlight w:val="yellow"/>
              </w:rPr>
            </w:pPr>
            <w:r w:rsidRPr="001C2C36">
              <w:rPr>
                <w:rFonts w:eastAsia="Times New Roman" w:cs="Times New Roman"/>
                <w:szCs w:val="24"/>
                <w:lang w:eastAsia="en-GB"/>
              </w:rPr>
              <w:t>(0.09)</w:t>
            </w:r>
          </w:p>
        </w:tc>
        <w:tc>
          <w:tcPr>
            <w:tcW w:w="1292" w:type="dxa"/>
            <w:tcBorders>
              <w:top w:val="single" w:sz="4" w:space="0" w:color="auto"/>
              <w:right w:val="single" w:sz="4" w:space="0" w:color="auto"/>
            </w:tcBorders>
            <w:vAlign w:val="center"/>
          </w:tcPr>
          <w:p w14:paraId="2CB90220" w14:textId="77777777" w:rsidR="00B84DCD" w:rsidRPr="001C2C36" w:rsidRDefault="00B84DCD" w:rsidP="006974DC">
            <w:pPr>
              <w:pStyle w:val="NoSpacing"/>
              <w:jc w:val="center"/>
              <w:rPr>
                <w:rFonts w:cs="Times New Roman"/>
                <w:szCs w:val="24"/>
                <w:lang w:eastAsia="en-GB"/>
              </w:rPr>
            </w:pPr>
            <w:r w:rsidRPr="001C2C36">
              <w:rPr>
                <w:rFonts w:cs="Times New Roman"/>
              </w:rPr>
              <w:t>0.51</w:t>
            </w:r>
            <w:r w:rsidRPr="001C2C36">
              <w:rPr>
                <w:rFonts w:cs="Times New Roman"/>
                <w:vertAlign w:val="superscript"/>
              </w:rPr>
              <w:t>***</w:t>
            </w:r>
          </w:p>
          <w:p w14:paraId="4928BCF9" w14:textId="50933E92" w:rsidR="00B84DCD" w:rsidRPr="001C2C36" w:rsidRDefault="00B84DCD" w:rsidP="006974DC">
            <w:pPr>
              <w:pStyle w:val="NoSpacing"/>
              <w:jc w:val="center"/>
              <w:rPr>
                <w:rFonts w:cs="Times New Roman"/>
                <w:szCs w:val="24"/>
              </w:rPr>
            </w:pPr>
            <w:r w:rsidRPr="001C2C36">
              <w:rPr>
                <w:rFonts w:cs="Times New Roman"/>
              </w:rPr>
              <w:t>(0.11)</w:t>
            </w:r>
          </w:p>
        </w:tc>
      </w:tr>
      <w:tr w:rsidR="00B84DCD" w:rsidRPr="001C2C36" w14:paraId="348B783A" w14:textId="77777777" w:rsidTr="00B84DCD">
        <w:trPr>
          <w:trHeight w:val="306"/>
          <w:tblCellSpacing w:w="15" w:type="dxa"/>
          <w:jc w:val="center"/>
        </w:trPr>
        <w:tc>
          <w:tcPr>
            <w:tcW w:w="1811" w:type="dxa"/>
            <w:tcBorders>
              <w:top w:val="single" w:sz="4" w:space="0" w:color="auto"/>
              <w:left w:val="single" w:sz="4" w:space="0" w:color="auto"/>
            </w:tcBorders>
            <w:vAlign w:val="center"/>
          </w:tcPr>
          <w:p w14:paraId="51633165" w14:textId="26DA87E9" w:rsidR="00B84DCD" w:rsidRPr="001C2C36" w:rsidRDefault="00B84DCD" w:rsidP="006974DC">
            <w:pPr>
              <w:pStyle w:val="NoSpacing"/>
              <w:rPr>
                <w:rFonts w:cs="Times New Roman"/>
                <w:b/>
                <w:bCs/>
                <w:szCs w:val="24"/>
                <w:lang w:eastAsia="en-GB"/>
              </w:rPr>
            </w:pPr>
            <w:r w:rsidRPr="001C2C36">
              <w:rPr>
                <w:rFonts w:cs="Times New Roman"/>
                <w:szCs w:val="24"/>
                <w:lang w:eastAsia="en-GB"/>
              </w:rPr>
              <w:t>Government support</w:t>
            </w:r>
          </w:p>
        </w:tc>
        <w:tc>
          <w:tcPr>
            <w:tcW w:w="1151" w:type="dxa"/>
            <w:tcBorders>
              <w:top w:val="single" w:sz="4" w:space="0" w:color="auto"/>
              <w:left w:val="single" w:sz="4" w:space="0" w:color="auto"/>
            </w:tcBorders>
            <w:vAlign w:val="center"/>
          </w:tcPr>
          <w:p w14:paraId="289CCCDD"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0.32</w:t>
            </w:r>
            <w:r w:rsidRPr="001C2C36">
              <w:rPr>
                <w:rFonts w:eastAsia="Times New Roman" w:cs="Times New Roman"/>
                <w:szCs w:val="24"/>
                <w:vertAlign w:val="superscript"/>
                <w:lang w:eastAsia="en-GB"/>
              </w:rPr>
              <w:t>***</w:t>
            </w:r>
          </w:p>
          <w:p w14:paraId="656ACA5A" w14:textId="226BFE3F" w:rsidR="00B84DCD" w:rsidRPr="001C2C36" w:rsidRDefault="00B84DCD" w:rsidP="006974DC">
            <w:pPr>
              <w:pStyle w:val="NoSpacing"/>
              <w:jc w:val="center"/>
              <w:rPr>
                <w:rFonts w:cs="Times New Roman"/>
                <w:szCs w:val="24"/>
                <w:highlight w:val="yellow"/>
              </w:rPr>
            </w:pPr>
            <w:r w:rsidRPr="001C2C36">
              <w:rPr>
                <w:rFonts w:eastAsia="Times New Roman" w:cs="Times New Roman"/>
                <w:szCs w:val="24"/>
                <w:lang w:eastAsia="en-GB"/>
              </w:rPr>
              <w:t>(0.08)</w:t>
            </w:r>
          </w:p>
        </w:tc>
        <w:tc>
          <w:tcPr>
            <w:tcW w:w="1154" w:type="dxa"/>
            <w:tcBorders>
              <w:top w:val="single" w:sz="4" w:space="0" w:color="auto"/>
            </w:tcBorders>
            <w:vAlign w:val="center"/>
          </w:tcPr>
          <w:p w14:paraId="24058710" w14:textId="77777777" w:rsidR="00B84DCD" w:rsidRPr="001C2C36" w:rsidRDefault="00B84DCD" w:rsidP="006974DC">
            <w:pPr>
              <w:pStyle w:val="NoSpacing"/>
              <w:jc w:val="center"/>
              <w:rPr>
                <w:rFonts w:cs="Times New Roman"/>
                <w:szCs w:val="24"/>
                <w:lang w:eastAsia="en-GB"/>
              </w:rPr>
            </w:pPr>
            <w:r w:rsidRPr="001C2C36">
              <w:rPr>
                <w:rFonts w:cs="Times New Roman"/>
              </w:rPr>
              <w:t>0.34</w:t>
            </w:r>
            <w:r w:rsidRPr="001C2C36">
              <w:rPr>
                <w:rFonts w:cs="Times New Roman"/>
                <w:vertAlign w:val="superscript"/>
              </w:rPr>
              <w:t>***</w:t>
            </w:r>
          </w:p>
          <w:p w14:paraId="4CE1D6A8" w14:textId="031B31EE" w:rsidR="00B84DCD" w:rsidRPr="001C2C36" w:rsidRDefault="00B84DCD" w:rsidP="006974DC">
            <w:pPr>
              <w:pStyle w:val="NoSpacing"/>
              <w:jc w:val="center"/>
              <w:rPr>
                <w:rFonts w:cs="Times New Roman"/>
                <w:szCs w:val="24"/>
              </w:rPr>
            </w:pPr>
            <w:r w:rsidRPr="001C2C36">
              <w:rPr>
                <w:rFonts w:cs="Times New Roman"/>
              </w:rPr>
              <w:t>(0.09)</w:t>
            </w:r>
          </w:p>
        </w:tc>
        <w:tc>
          <w:tcPr>
            <w:tcW w:w="564" w:type="dxa"/>
            <w:tcBorders>
              <w:top w:val="single" w:sz="4" w:space="0" w:color="auto"/>
              <w:right w:val="single" w:sz="4" w:space="0" w:color="auto"/>
            </w:tcBorders>
            <w:vAlign w:val="center"/>
          </w:tcPr>
          <w:p w14:paraId="0EF4BD75" w14:textId="1290F2B0" w:rsidR="00B84DCD" w:rsidRPr="001C2C36" w:rsidRDefault="00B84DCD" w:rsidP="006974DC">
            <w:pPr>
              <w:pStyle w:val="NoSpacing"/>
              <w:jc w:val="center"/>
              <w:rPr>
                <w:rFonts w:cs="Times New Roman"/>
                <w:szCs w:val="24"/>
                <w:highlight w:val="yellow"/>
              </w:rPr>
            </w:pPr>
          </w:p>
        </w:tc>
        <w:tc>
          <w:tcPr>
            <w:tcW w:w="1754" w:type="dxa"/>
            <w:tcBorders>
              <w:top w:val="single" w:sz="4" w:space="0" w:color="auto"/>
            </w:tcBorders>
            <w:vAlign w:val="center"/>
          </w:tcPr>
          <w:p w14:paraId="534DDCF3"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0.20</w:t>
            </w:r>
            <w:r w:rsidRPr="001C2C36">
              <w:rPr>
                <w:rFonts w:eastAsia="Times New Roman" w:cs="Times New Roman"/>
                <w:szCs w:val="24"/>
                <w:vertAlign w:val="superscript"/>
                <w:lang w:eastAsia="en-GB"/>
              </w:rPr>
              <w:t>**</w:t>
            </w:r>
          </w:p>
          <w:p w14:paraId="5E14DD7C" w14:textId="6D224A90" w:rsidR="00B84DCD" w:rsidRPr="001C2C36" w:rsidRDefault="00B84DCD" w:rsidP="006974DC">
            <w:pPr>
              <w:pStyle w:val="NoSpacing"/>
              <w:jc w:val="center"/>
              <w:rPr>
                <w:rFonts w:cs="Times New Roman"/>
                <w:szCs w:val="24"/>
                <w:highlight w:val="yellow"/>
              </w:rPr>
            </w:pPr>
            <w:r w:rsidRPr="001C2C36">
              <w:rPr>
                <w:rFonts w:eastAsia="Times New Roman" w:cs="Times New Roman"/>
                <w:szCs w:val="24"/>
                <w:lang w:eastAsia="en-GB"/>
              </w:rPr>
              <w:t>(0.10)</w:t>
            </w:r>
          </w:p>
        </w:tc>
        <w:tc>
          <w:tcPr>
            <w:tcW w:w="1292" w:type="dxa"/>
            <w:tcBorders>
              <w:top w:val="single" w:sz="4" w:space="0" w:color="auto"/>
              <w:right w:val="single" w:sz="4" w:space="0" w:color="auto"/>
            </w:tcBorders>
            <w:vAlign w:val="center"/>
          </w:tcPr>
          <w:p w14:paraId="579372EB" w14:textId="77777777" w:rsidR="00B84DCD" w:rsidRPr="001C2C36" w:rsidRDefault="00B84DCD" w:rsidP="006974DC">
            <w:pPr>
              <w:pStyle w:val="NoSpacing"/>
              <w:jc w:val="center"/>
              <w:rPr>
                <w:rFonts w:cs="Times New Roman"/>
                <w:szCs w:val="24"/>
                <w:lang w:eastAsia="en-GB"/>
              </w:rPr>
            </w:pPr>
            <w:r w:rsidRPr="001C2C36">
              <w:rPr>
                <w:rFonts w:cs="Times New Roman"/>
              </w:rPr>
              <w:t>0.24</w:t>
            </w:r>
            <w:r w:rsidRPr="001C2C36">
              <w:rPr>
                <w:rFonts w:cs="Times New Roman"/>
                <w:vertAlign w:val="superscript"/>
              </w:rPr>
              <w:t>**</w:t>
            </w:r>
          </w:p>
          <w:p w14:paraId="6181CFC9" w14:textId="4EAC7DE8" w:rsidR="00B84DCD" w:rsidRPr="001C2C36" w:rsidRDefault="00B84DCD" w:rsidP="006974DC">
            <w:pPr>
              <w:pStyle w:val="NoSpacing"/>
              <w:jc w:val="center"/>
              <w:rPr>
                <w:rFonts w:cs="Times New Roman"/>
                <w:szCs w:val="24"/>
              </w:rPr>
            </w:pPr>
            <w:r w:rsidRPr="001C2C36">
              <w:rPr>
                <w:rFonts w:cs="Times New Roman"/>
              </w:rPr>
              <w:t>(0.10)</w:t>
            </w:r>
          </w:p>
        </w:tc>
      </w:tr>
      <w:tr w:rsidR="00B84DCD" w:rsidRPr="001C2C36" w14:paraId="082D6698" w14:textId="77777777" w:rsidTr="00B84DCD">
        <w:trPr>
          <w:trHeight w:val="306"/>
          <w:tblCellSpacing w:w="15" w:type="dxa"/>
          <w:jc w:val="center"/>
        </w:trPr>
        <w:tc>
          <w:tcPr>
            <w:tcW w:w="1811" w:type="dxa"/>
            <w:tcBorders>
              <w:top w:val="single" w:sz="4" w:space="0" w:color="auto"/>
              <w:left w:val="single" w:sz="4" w:space="0" w:color="auto"/>
            </w:tcBorders>
            <w:vAlign w:val="center"/>
          </w:tcPr>
          <w:p w14:paraId="78B2CD1C" w14:textId="2C0B1AF5" w:rsidR="00B84DCD" w:rsidRPr="001C2C36" w:rsidRDefault="00B84DCD" w:rsidP="006974DC">
            <w:pPr>
              <w:pStyle w:val="NoSpacing"/>
              <w:rPr>
                <w:rFonts w:cs="Times New Roman"/>
                <w:b/>
                <w:bCs/>
                <w:szCs w:val="24"/>
                <w:lang w:eastAsia="en-GB"/>
              </w:rPr>
            </w:pPr>
            <w:r w:rsidRPr="001C2C36">
              <w:rPr>
                <w:rFonts w:cs="Times New Roman"/>
                <w:szCs w:val="24"/>
                <w:lang w:eastAsia="en-GB"/>
              </w:rPr>
              <w:t>Moderating effects</w:t>
            </w:r>
          </w:p>
        </w:tc>
        <w:tc>
          <w:tcPr>
            <w:tcW w:w="1151" w:type="dxa"/>
            <w:tcBorders>
              <w:top w:val="single" w:sz="4" w:space="0" w:color="auto"/>
              <w:left w:val="single" w:sz="4" w:space="0" w:color="auto"/>
            </w:tcBorders>
            <w:vAlign w:val="center"/>
          </w:tcPr>
          <w:p w14:paraId="4115E911"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0.005</w:t>
            </w:r>
          </w:p>
          <w:p w14:paraId="7E73ADB2" w14:textId="009B16A2" w:rsidR="00B84DCD" w:rsidRPr="001C2C36" w:rsidRDefault="00B84DCD" w:rsidP="006974DC">
            <w:pPr>
              <w:pStyle w:val="NoSpacing"/>
              <w:jc w:val="center"/>
              <w:rPr>
                <w:rFonts w:cs="Times New Roman"/>
                <w:szCs w:val="24"/>
                <w:highlight w:val="yellow"/>
              </w:rPr>
            </w:pPr>
            <w:r w:rsidRPr="001C2C36">
              <w:rPr>
                <w:rFonts w:eastAsia="Times New Roman" w:cs="Times New Roman"/>
                <w:szCs w:val="24"/>
                <w:lang w:eastAsia="en-GB"/>
              </w:rPr>
              <w:t>(0.04)</w:t>
            </w:r>
          </w:p>
        </w:tc>
        <w:tc>
          <w:tcPr>
            <w:tcW w:w="1154" w:type="dxa"/>
            <w:tcBorders>
              <w:top w:val="single" w:sz="4" w:space="0" w:color="auto"/>
            </w:tcBorders>
            <w:vAlign w:val="center"/>
          </w:tcPr>
          <w:p w14:paraId="58BFF614" w14:textId="77777777" w:rsidR="00B84DCD" w:rsidRPr="001C2C36" w:rsidRDefault="00B84DCD" w:rsidP="006974DC">
            <w:pPr>
              <w:pStyle w:val="NoSpacing"/>
              <w:jc w:val="center"/>
              <w:rPr>
                <w:rFonts w:cs="Times New Roman"/>
                <w:szCs w:val="24"/>
                <w:lang w:eastAsia="en-GB"/>
              </w:rPr>
            </w:pPr>
            <w:r w:rsidRPr="001C2C36">
              <w:rPr>
                <w:rFonts w:cs="Times New Roman"/>
              </w:rPr>
              <w:t>-0.001</w:t>
            </w:r>
          </w:p>
          <w:p w14:paraId="36DB6FB0" w14:textId="57504411" w:rsidR="00B84DCD" w:rsidRPr="001C2C36" w:rsidRDefault="00B84DCD" w:rsidP="006974DC">
            <w:pPr>
              <w:pStyle w:val="NoSpacing"/>
              <w:jc w:val="center"/>
              <w:rPr>
                <w:rFonts w:cs="Times New Roman"/>
                <w:szCs w:val="24"/>
              </w:rPr>
            </w:pPr>
            <w:r w:rsidRPr="001C2C36">
              <w:rPr>
                <w:rFonts w:cs="Times New Roman"/>
              </w:rPr>
              <w:t>(0.05)</w:t>
            </w:r>
          </w:p>
        </w:tc>
        <w:tc>
          <w:tcPr>
            <w:tcW w:w="564" w:type="dxa"/>
            <w:tcBorders>
              <w:top w:val="single" w:sz="4" w:space="0" w:color="auto"/>
              <w:right w:val="single" w:sz="4" w:space="0" w:color="auto"/>
            </w:tcBorders>
            <w:vAlign w:val="center"/>
          </w:tcPr>
          <w:p w14:paraId="1B588DAE" w14:textId="439145D9" w:rsidR="00B84DCD" w:rsidRPr="001C2C36" w:rsidRDefault="00B84DCD" w:rsidP="006974DC">
            <w:pPr>
              <w:pStyle w:val="NoSpacing"/>
              <w:jc w:val="center"/>
              <w:rPr>
                <w:rFonts w:cs="Times New Roman"/>
                <w:szCs w:val="24"/>
                <w:highlight w:val="yellow"/>
              </w:rPr>
            </w:pPr>
          </w:p>
        </w:tc>
        <w:tc>
          <w:tcPr>
            <w:tcW w:w="1754" w:type="dxa"/>
            <w:tcBorders>
              <w:top w:val="single" w:sz="4" w:space="0" w:color="auto"/>
            </w:tcBorders>
            <w:vAlign w:val="center"/>
          </w:tcPr>
          <w:p w14:paraId="07B3E37B"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-0.17</w:t>
            </w:r>
            <w:r w:rsidRPr="001C2C36">
              <w:rPr>
                <w:rFonts w:eastAsia="Times New Roman" w:cs="Times New Roman"/>
                <w:szCs w:val="24"/>
                <w:vertAlign w:val="superscript"/>
                <w:lang w:eastAsia="en-GB"/>
              </w:rPr>
              <w:t>***</w:t>
            </w:r>
          </w:p>
          <w:p w14:paraId="2F3FFE6A" w14:textId="1B2AA29A" w:rsidR="00B84DCD" w:rsidRPr="001C2C36" w:rsidRDefault="00B84DCD" w:rsidP="006974DC">
            <w:pPr>
              <w:pStyle w:val="NoSpacing"/>
              <w:jc w:val="center"/>
              <w:rPr>
                <w:rFonts w:cs="Times New Roman"/>
                <w:szCs w:val="24"/>
                <w:highlight w:val="yellow"/>
              </w:rPr>
            </w:pPr>
            <w:r w:rsidRPr="001C2C36">
              <w:rPr>
                <w:rFonts w:eastAsia="Times New Roman" w:cs="Times New Roman"/>
                <w:szCs w:val="24"/>
                <w:lang w:eastAsia="en-GB"/>
              </w:rPr>
              <w:t>(0.05)</w:t>
            </w:r>
          </w:p>
        </w:tc>
        <w:tc>
          <w:tcPr>
            <w:tcW w:w="1292" w:type="dxa"/>
            <w:tcBorders>
              <w:top w:val="single" w:sz="4" w:space="0" w:color="auto"/>
              <w:right w:val="single" w:sz="4" w:space="0" w:color="auto"/>
            </w:tcBorders>
            <w:vAlign w:val="center"/>
          </w:tcPr>
          <w:p w14:paraId="4DACBB45" w14:textId="77777777" w:rsidR="00B84DCD" w:rsidRPr="001C2C36" w:rsidRDefault="00B84DCD" w:rsidP="006974DC">
            <w:pPr>
              <w:pStyle w:val="NoSpacing"/>
              <w:jc w:val="center"/>
              <w:rPr>
                <w:rFonts w:cs="Times New Roman"/>
                <w:szCs w:val="24"/>
                <w:lang w:eastAsia="en-GB"/>
              </w:rPr>
            </w:pPr>
            <w:r w:rsidRPr="001C2C36">
              <w:rPr>
                <w:rFonts w:cs="Times New Roman"/>
              </w:rPr>
              <w:t>-0.20</w:t>
            </w:r>
            <w:r w:rsidRPr="001C2C36">
              <w:rPr>
                <w:rFonts w:cs="Times New Roman"/>
                <w:vertAlign w:val="superscript"/>
              </w:rPr>
              <w:t>***</w:t>
            </w:r>
          </w:p>
          <w:p w14:paraId="450FF6CF" w14:textId="76993149" w:rsidR="00B84DCD" w:rsidRPr="001C2C36" w:rsidRDefault="00B84DCD" w:rsidP="006974DC">
            <w:pPr>
              <w:pStyle w:val="NoSpacing"/>
              <w:jc w:val="center"/>
              <w:rPr>
                <w:rFonts w:cs="Times New Roman"/>
                <w:szCs w:val="24"/>
              </w:rPr>
            </w:pPr>
            <w:r w:rsidRPr="001C2C36">
              <w:rPr>
                <w:rFonts w:cs="Times New Roman"/>
              </w:rPr>
              <w:t>(0.06)</w:t>
            </w:r>
          </w:p>
        </w:tc>
      </w:tr>
      <w:tr w:rsidR="00B84DCD" w:rsidRPr="001C2C36" w14:paraId="0E91FC20" w14:textId="77777777" w:rsidTr="00B84DCD">
        <w:trPr>
          <w:trHeight w:val="8"/>
          <w:tblCellSpacing w:w="15" w:type="dxa"/>
          <w:jc w:val="center"/>
        </w:trPr>
        <w:tc>
          <w:tcPr>
            <w:tcW w:w="7878" w:type="dxa"/>
            <w:gridSpan w:val="6"/>
            <w:tcBorders>
              <w:top w:val="single" w:sz="4" w:space="0" w:color="auto"/>
              <w:left w:val="single" w:sz="4" w:space="0" w:color="auto"/>
              <w:right w:val="single" w:sz="4" w:space="0" w:color="auto"/>
            </w:tcBorders>
            <w:vAlign w:val="center"/>
          </w:tcPr>
          <w:p w14:paraId="1EDFE647" w14:textId="363B1BE0" w:rsidR="00B84DCD" w:rsidRPr="001C2C36" w:rsidRDefault="00B84DCD" w:rsidP="007A2DAE">
            <w:pPr>
              <w:pStyle w:val="NoSpacing"/>
              <w:rPr>
                <w:rFonts w:cs="Times New Roman"/>
                <w:szCs w:val="24"/>
              </w:rPr>
            </w:pPr>
            <w:r w:rsidRPr="001C2C36">
              <w:rPr>
                <w:rFonts w:cs="Times New Roman"/>
                <w:b/>
                <w:bCs/>
                <w:szCs w:val="24"/>
                <w:lang w:eastAsia="en-GB"/>
              </w:rPr>
              <w:t>Controls</w:t>
            </w:r>
          </w:p>
        </w:tc>
      </w:tr>
      <w:tr w:rsidR="00B84DCD" w:rsidRPr="001C2C36" w14:paraId="7B3FDE02" w14:textId="77777777" w:rsidTr="00B84DCD">
        <w:trPr>
          <w:trHeight w:val="151"/>
          <w:tblCellSpacing w:w="15" w:type="dxa"/>
          <w:jc w:val="center"/>
        </w:trPr>
        <w:tc>
          <w:tcPr>
            <w:tcW w:w="1811" w:type="dxa"/>
            <w:vMerge w:val="restart"/>
            <w:tcBorders>
              <w:top w:val="single" w:sz="4" w:space="0" w:color="auto"/>
              <w:left w:val="single" w:sz="4" w:space="0" w:color="auto"/>
            </w:tcBorders>
            <w:vAlign w:val="center"/>
            <w:hideMark/>
          </w:tcPr>
          <w:p w14:paraId="1182124C" w14:textId="77777777" w:rsidR="00B84DCD" w:rsidRPr="001C2C36" w:rsidRDefault="00B84DCD" w:rsidP="000859C6">
            <w:pPr>
              <w:pStyle w:val="NoSpacing"/>
              <w:rPr>
                <w:rFonts w:cs="Times New Roman"/>
                <w:szCs w:val="24"/>
                <w:lang w:eastAsia="en-GB"/>
              </w:rPr>
            </w:pPr>
            <w:r w:rsidRPr="001C2C36">
              <w:rPr>
                <w:rFonts w:cs="Times New Roman"/>
                <w:szCs w:val="24"/>
                <w:lang w:eastAsia="en-GB"/>
              </w:rPr>
              <w:t>Urban dummy</w:t>
            </w:r>
          </w:p>
        </w:tc>
        <w:tc>
          <w:tcPr>
            <w:tcW w:w="1151" w:type="dxa"/>
            <w:tcBorders>
              <w:top w:val="single" w:sz="4" w:space="0" w:color="auto"/>
              <w:left w:val="single" w:sz="4" w:space="0" w:color="auto"/>
            </w:tcBorders>
            <w:vAlign w:val="center"/>
            <w:hideMark/>
          </w:tcPr>
          <w:p w14:paraId="4604A9B4"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-0.005</w:t>
            </w:r>
          </w:p>
        </w:tc>
        <w:tc>
          <w:tcPr>
            <w:tcW w:w="1154" w:type="dxa"/>
            <w:tcBorders>
              <w:top w:val="single" w:sz="4" w:space="0" w:color="auto"/>
            </w:tcBorders>
            <w:vAlign w:val="center"/>
            <w:hideMark/>
          </w:tcPr>
          <w:p w14:paraId="616FD692" w14:textId="292BD58F" w:rsidR="00B84DCD" w:rsidRPr="001C2C36" w:rsidRDefault="00B84DCD" w:rsidP="006974DC">
            <w:pPr>
              <w:pStyle w:val="NoSpacing"/>
              <w:jc w:val="center"/>
              <w:rPr>
                <w:rFonts w:cs="Times New Roman"/>
                <w:szCs w:val="24"/>
                <w:lang w:eastAsia="en-GB"/>
              </w:rPr>
            </w:pPr>
            <w:r w:rsidRPr="001C2C36">
              <w:rPr>
                <w:rFonts w:cs="Times New Roman"/>
              </w:rPr>
              <w:t>-0.03</w:t>
            </w:r>
          </w:p>
        </w:tc>
        <w:tc>
          <w:tcPr>
            <w:tcW w:w="564" w:type="dxa"/>
            <w:tcBorders>
              <w:top w:val="single" w:sz="4" w:space="0" w:color="auto"/>
              <w:right w:val="single" w:sz="4" w:space="0" w:color="auto"/>
            </w:tcBorders>
            <w:vAlign w:val="center"/>
          </w:tcPr>
          <w:p w14:paraId="1A87985A" w14:textId="37317777" w:rsidR="00B84DCD" w:rsidRPr="001C2C36" w:rsidRDefault="00B84DCD" w:rsidP="006974DC">
            <w:pPr>
              <w:pStyle w:val="NoSpacing"/>
              <w:jc w:val="center"/>
              <w:rPr>
                <w:rFonts w:cs="Times New Roman"/>
                <w:szCs w:val="24"/>
                <w:lang w:eastAsia="en-GB"/>
              </w:rPr>
            </w:pPr>
          </w:p>
        </w:tc>
        <w:tc>
          <w:tcPr>
            <w:tcW w:w="1754" w:type="dxa"/>
            <w:tcBorders>
              <w:top w:val="single" w:sz="4" w:space="0" w:color="auto"/>
            </w:tcBorders>
            <w:vAlign w:val="center"/>
            <w:hideMark/>
          </w:tcPr>
          <w:p w14:paraId="5EEC6B17"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-0.10</w:t>
            </w:r>
          </w:p>
        </w:tc>
        <w:tc>
          <w:tcPr>
            <w:tcW w:w="1292" w:type="dxa"/>
            <w:tcBorders>
              <w:top w:val="single" w:sz="4" w:space="0" w:color="auto"/>
              <w:right w:val="single" w:sz="4" w:space="0" w:color="auto"/>
            </w:tcBorders>
            <w:vAlign w:val="center"/>
            <w:hideMark/>
          </w:tcPr>
          <w:p w14:paraId="47E8F528" w14:textId="3E88214D" w:rsidR="00B84DCD" w:rsidRPr="001C2C36" w:rsidRDefault="00B84DCD" w:rsidP="006974DC">
            <w:pPr>
              <w:pStyle w:val="NoSpacing"/>
              <w:jc w:val="center"/>
              <w:rPr>
                <w:rFonts w:cs="Times New Roman"/>
                <w:szCs w:val="24"/>
                <w:lang w:eastAsia="en-GB"/>
              </w:rPr>
            </w:pPr>
            <w:r w:rsidRPr="001C2C36">
              <w:rPr>
                <w:rFonts w:cs="Times New Roman"/>
              </w:rPr>
              <w:t>-0.05</w:t>
            </w:r>
          </w:p>
        </w:tc>
      </w:tr>
      <w:tr w:rsidR="00B84DCD" w:rsidRPr="001C2C36" w14:paraId="3DB01E08" w14:textId="77777777" w:rsidTr="00B84DCD">
        <w:trPr>
          <w:trHeight w:val="158"/>
          <w:tblCellSpacing w:w="15" w:type="dxa"/>
          <w:jc w:val="center"/>
        </w:trPr>
        <w:tc>
          <w:tcPr>
            <w:tcW w:w="1811" w:type="dxa"/>
            <w:vMerge/>
            <w:tcBorders>
              <w:left w:val="single" w:sz="4" w:space="0" w:color="auto"/>
            </w:tcBorders>
            <w:vAlign w:val="center"/>
            <w:hideMark/>
          </w:tcPr>
          <w:p w14:paraId="5C34E717" w14:textId="77777777" w:rsidR="00B84DCD" w:rsidRPr="001C2C36" w:rsidRDefault="00B84DCD" w:rsidP="000859C6">
            <w:pPr>
              <w:pStyle w:val="NoSpacing"/>
              <w:rPr>
                <w:rFonts w:cs="Times New Roman"/>
                <w:szCs w:val="24"/>
                <w:lang w:eastAsia="en-GB"/>
              </w:rPr>
            </w:pPr>
          </w:p>
        </w:tc>
        <w:tc>
          <w:tcPr>
            <w:tcW w:w="1151" w:type="dxa"/>
            <w:tcBorders>
              <w:left w:val="single" w:sz="4" w:space="0" w:color="auto"/>
            </w:tcBorders>
            <w:vAlign w:val="center"/>
            <w:hideMark/>
          </w:tcPr>
          <w:p w14:paraId="74923AA3"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(0.11)</w:t>
            </w:r>
          </w:p>
        </w:tc>
        <w:tc>
          <w:tcPr>
            <w:tcW w:w="1154" w:type="dxa"/>
            <w:vAlign w:val="center"/>
            <w:hideMark/>
          </w:tcPr>
          <w:p w14:paraId="4856D41A" w14:textId="24928490" w:rsidR="00B84DCD" w:rsidRPr="001C2C36" w:rsidRDefault="00B84DCD" w:rsidP="006974DC">
            <w:pPr>
              <w:pStyle w:val="NoSpacing"/>
              <w:jc w:val="center"/>
              <w:rPr>
                <w:rFonts w:cs="Times New Roman"/>
                <w:szCs w:val="24"/>
                <w:lang w:eastAsia="en-GB"/>
              </w:rPr>
            </w:pPr>
            <w:r w:rsidRPr="001C2C36">
              <w:rPr>
                <w:rFonts w:cs="Times New Roman"/>
              </w:rPr>
              <w:t>(0.12)</w:t>
            </w:r>
          </w:p>
        </w:tc>
        <w:tc>
          <w:tcPr>
            <w:tcW w:w="564" w:type="dxa"/>
            <w:tcBorders>
              <w:right w:val="single" w:sz="4" w:space="0" w:color="auto"/>
            </w:tcBorders>
            <w:vAlign w:val="center"/>
          </w:tcPr>
          <w:p w14:paraId="4613C8E7" w14:textId="7FC0DDB4" w:rsidR="00B84DCD" w:rsidRPr="001C2C36" w:rsidRDefault="00B84DCD" w:rsidP="006974DC">
            <w:pPr>
              <w:pStyle w:val="NoSpacing"/>
              <w:jc w:val="center"/>
              <w:rPr>
                <w:rFonts w:cs="Times New Roman"/>
                <w:szCs w:val="24"/>
                <w:lang w:eastAsia="en-GB"/>
              </w:rPr>
            </w:pPr>
          </w:p>
        </w:tc>
        <w:tc>
          <w:tcPr>
            <w:tcW w:w="1754" w:type="dxa"/>
            <w:vAlign w:val="center"/>
            <w:hideMark/>
          </w:tcPr>
          <w:p w14:paraId="000F2F7F"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(0.12)</w:t>
            </w:r>
          </w:p>
        </w:tc>
        <w:tc>
          <w:tcPr>
            <w:tcW w:w="1292" w:type="dxa"/>
            <w:tcBorders>
              <w:right w:val="single" w:sz="4" w:space="0" w:color="auto"/>
            </w:tcBorders>
            <w:vAlign w:val="center"/>
            <w:hideMark/>
          </w:tcPr>
          <w:p w14:paraId="7DA7933B" w14:textId="48259448" w:rsidR="00B84DCD" w:rsidRPr="001C2C36" w:rsidRDefault="00B84DCD" w:rsidP="006974DC">
            <w:pPr>
              <w:pStyle w:val="NoSpacing"/>
              <w:jc w:val="center"/>
              <w:rPr>
                <w:rFonts w:cs="Times New Roman"/>
                <w:szCs w:val="24"/>
                <w:lang w:eastAsia="en-GB"/>
              </w:rPr>
            </w:pPr>
            <w:r w:rsidRPr="001C2C36">
              <w:rPr>
                <w:rFonts w:cs="Times New Roman"/>
              </w:rPr>
              <w:t>(0.14)</w:t>
            </w:r>
          </w:p>
        </w:tc>
      </w:tr>
      <w:tr w:rsidR="00B84DCD" w:rsidRPr="001C2C36" w14:paraId="51A93000" w14:textId="77777777" w:rsidTr="00B84DCD">
        <w:trPr>
          <w:trHeight w:val="151"/>
          <w:tblCellSpacing w:w="15" w:type="dxa"/>
          <w:jc w:val="center"/>
        </w:trPr>
        <w:tc>
          <w:tcPr>
            <w:tcW w:w="1811" w:type="dxa"/>
            <w:vMerge w:val="restart"/>
            <w:tcBorders>
              <w:left w:val="single" w:sz="4" w:space="0" w:color="auto"/>
            </w:tcBorders>
            <w:vAlign w:val="center"/>
            <w:hideMark/>
          </w:tcPr>
          <w:p w14:paraId="287CFE10" w14:textId="77777777" w:rsidR="00B84DCD" w:rsidRPr="001C2C36" w:rsidRDefault="00B84DCD" w:rsidP="00194D46">
            <w:pPr>
              <w:pStyle w:val="NoSpacing"/>
              <w:rPr>
                <w:rFonts w:cs="Times New Roman"/>
                <w:szCs w:val="24"/>
                <w:lang w:eastAsia="en-GB"/>
              </w:rPr>
            </w:pPr>
            <w:r w:rsidRPr="001C2C36">
              <w:rPr>
                <w:rFonts w:cs="Times New Roman"/>
                <w:szCs w:val="24"/>
                <w:lang w:eastAsia="en-GB"/>
              </w:rPr>
              <w:t>Sector dummy</w:t>
            </w:r>
          </w:p>
        </w:tc>
        <w:tc>
          <w:tcPr>
            <w:tcW w:w="1151" w:type="dxa"/>
            <w:tcBorders>
              <w:left w:val="single" w:sz="4" w:space="0" w:color="auto"/>
            </w:tcBorders>
            <w:vAlign w:val="center"/>
            <w:hideMark/>
          </w:tcPr>
          <w:p w14:paraId="5E2B6787"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0.20</w:t>
            </w:r>
            <w:r w:rsidRPr="001C2C36">
              <w:rPr>
                <w:rFonts w:eastAsia="Times New Roman" w:cs="Times New Roman"/>
                <w:szCs w:val="24"/>
                <w:vertAlign w:val="superscript"/>
                <w:lang w:eastAsia="en-GB"/>
              </w:rPr>
              <w:t>*</w:t>
            </w:r>
          </w:p>
        </w:tc>
        <w:tc>
          <w:tcPr>
            <w:tcW w:w="1154" w:type="dxa"/>
            <w:vAlign w:val="center"/>
            <w:hideMark/>
          </w:tcPr>
          <w:p w14:paraId="37B37FF3" w14:textId="31708E8E" w:rsidR="00B84DCD" w:rsidRPr="001C2C36" w:rsidRDefault="00B84DCD" w:rsidP="006974DC">
            <w:pPr>
              <w:pStyle w:val="NoSpacing"/>
              <w:jc w:val="center"/>
              <w:rPr>
                <w:rFonts w:cs="Times New Roman"/>
                <w:szCs w:val="24"/>
                <w:lang w:eastAsia="en-GB"/>
              </w:rPr>
            </w:pPr>
            <w:r w:rsidRPr="001C2C36">
              <w:rPr>
                <w:rFonts w:cs="Times New Roman"/>
              </w:rPr>
              <w:t>0.20</w:t>
            </w:r>
          </w:p>
        </w:tc>
        <w:tc>
          <w:tcPr>
            <w:tcW w:w="564" w:type="dxa"/>
            <w:tcBorders>
              <w:right w:val="single" w:sz="4" w:space="0" w:color="auto"/>
            </w:tcBorders>
            <w:vAlign w:val="center"/>
          </w:tcPr>
          <w:p w14:paraId="7C405E59" w14:textId="25063B8D" w:rsidR="00B84DCD" w:rsidRPr="001C2C36" w:rsidRDefault="00B84DCD" w:rsidP="006974DC">
            <w:pPr>
              <w:pStyle w:val="NoSpacing"/>
              <w:jc w:val="center"/>
              <w:rPr>
                <w:rFonts w:cs="Times New Roman"/>
                <w:szCs w:val="24"/>
                <w:lang w:eastAsia="en-GB"/>
              </w:rPr>
            </w:pPr>
          </w:p>
        </w:tc>
        <w:tc>
          <w:tcPr>
            <w:tcW w:w="1754" w:type="dxa"/>
            <w:vAlign w:val="center"/>
            <w:hideMark/>
          </w:tcPr>
          <w:p w14:paraId="4C706AB3"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0.13</w:t>
            </w:r>
          </w:p>
        </w:tc>
        <w:tc>
          <w:tcPr>
            <w:tcW w:w="1292" w:type="dxa"/>
            <w:tcBorders>
              <w:right w:val="single" w:sz="4" w:space="0" w:color="auto"/>
            </w:tcBorders>
            <w:vAlign w:val="center"/>
            <w:hideMark/>
          </w:tcPr>
          <w:p w14:paraId="77DAE754" w14:textId="2DCA26D8" w:rsidR="00B84DCD" w:rsidRPr="001C2C36" w:rsidRDefault="00B84DCD" w:rsidP="006974DC">
            <w:pPr>
              <w:pStyle w:val="NoSpacing"/>
              <w:jc w:val="center"/>
              <w:rPr>
                <w:rFonts w:cs="Times New Roman"/>
                <w:szCs w:val="24"/>
                <w:lang w:eastAsia="en-GB"/>
              </w:rPr>
            </w:pPr>
            <w:r w:rsidRPr="001C2C36">
              <w:rPr>
                <w:rFonts w:cs="Times New Roman"/>
              </w:rPr>
              <w:t>0.10</w:t>
            </w:r>
          </w:p>
        </w:tc>
      </w:tr>
      <w:tr w:rsidR="00B84DCD" w:rsidRPr="001C2C36" w14:paraId="78D9F5D5" w14:textId="77777777" w:rsidTr="00B84DCD">
        <w:trPr>
          <w:trHeight w:val="158"/>
          <w:tblCellSpacing w:w="15" w:type="dxa"/>
          <w:jc w:val="center"/>
        </w:trPr>
        <w:tc>
          <w:tcPr>
            <w:tcW w:w="1811" w:type="dxa"/>
            <w:vMerge/>
            <w:tcBorders>
              <w:left w:val="single" w:sz="4" w:space="0" w:color="auto"/>
            </w:tcBorders>
            <w:vAlign w:val="center"/>
            <w:hideMark/>
          </w:tcPr>
          <w:p w14:paraId="62A35F57" w14:textId="77777777" w:rsidR="00B84DCD" w:rsidRPr="001C2C36" w:rsidRDefault="00B84DCD" w:rsidP="00194D46">
            <w:pPr>
              <w:pStyle w:val="NoSpacing"/>
              <w:rPr>
                <w:rFonts w:cs="Times New Roman"/>
                <w:szCs w:val="24"/>
                <w:lang w:eastAsia="en-GB"/>
              </w:rPr>
            </w:pPr>
          </w:p>
        </w:tc>
        <w:tc>
          <w:tcPr>
            <w:tcW w:w="1151" w:type="dxa"/>
            <w:tcBorders>
              <w:left w:val="single" w:sz="4" w:space="0" w:color="auto"/>
            </w:tcBorders>
            <w:vAlign w:val="center"/>
            <w:hideMark/>
          </w:tcPr>
          <w:p w14:paraId="308D89A9"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(0.12)</w:t>
            </w:r>
          </w:p>
        </w:tc>
        <w:tc>
          <w:tcPr>
            <w:tcW w:w="1154" w:type="dxa"/>
            <w:vAlign w:val="center"/>
            <w:hideMark/>
          </w:tcPr>
          <w:p w14:paraId="77D08EFE" w14:textId="612BFE76" w:rsidR="00B84DCD" w:rsidRPr="001C2C36" w:rsidRDefault="00B84DCD" w:rsidP="006974DC">
            <w:pPr>
              <w:pStyle w:val="NoSpacing"/>
              <w:jc w:val="center"/>
              <w:rPr>
                <w:rFonts w:cs="Times New Roman"/>
                <w:szCs w:val="24"/>
                <w:lang w:eastAsia="en-GB"/>
              </w:rPr>
            </w:pPr>
            <w:r w:rsidRPr="001C2C36">
              <w:rPr>
                <w:rFonts w:cs="Times New Roman"/>
              </w:rPr>
              <w:t>(0.13)</w:t>
            </w:r>
          </w:p>
        </w:tc>
        <w:tc>
          <w:tcPr>
            <w:tcW w:w="564" w:type="dxa"/>
            <w:tcBorders>
              <w:right w:val="single" w:sz="4" w:space="0" w:color="auto"/>
            </w:tcBorders>
            <w:vAlign w:val="center"/>
          </w:tcPr>
          <w:p w14:paraId="170A8B21" w14:textId="7B275F1E" w:rsidR="00B84DCD" w:rsidRPr="001C2C36" w:rsidRDefault="00B84DCD" w:rsidP="006974DC">
            <w:pPr>
              <w:pStyle w:val="NoSpacing"/>
              <w:jc w:val="center"/>
              <w:rPr>
                <w:rFonts w:cs="Times New Roman"/>
                <w:szCs w:val="24"/>
                <w:lang w:eastAsia="en-GB"/>
              </w:rPr>
            </w:pPr>
          </w:p>
        </w:tc>
        <w:tc>
          <w:tcPr>
            <w:tcW w:w="1754" w:type="dxa"/>
            <w:vAlign w:val="center"/>
            <w:hideMark/>
          </w:tcPr>
          <w:p w14:paraId="0A883759"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(0.14)</w:t>
            </w:r>
          </w:p>
        </w:tc>
        <w:tc>
          <w:tcPr>
            <w:tcW w:w="1292" w:type="dxa"/>
            <w:tcBorders>
              <w:right w:val="single" w:sz="4" w:space="0" w:color="auto"/>
            </w:tcBorders>
            <w:vAlign w:val="center"/>
            <w:hideMark/>
          </w:tcPr>
          <w:p w14:paraId="32BE45C1" w14:textId="3AB60C3A" w:rsidR="00B84DCD" w:rsidRPr="001C2C36" w:rsidRDefault="00B84DCD" w:rsidP="006974DC">
            <w:pPr>
              <w:pStyle w:val="NoSpacing"/>
              <w:jc w:val="center"/>
              <w:rPr>
                <w:rFonts w:cs="Times New Roman"/>
                <w:szCs w:val="24"/>
                <w:lang w:eastAsia="en-GB"/>
              </w:rPr>
            </w:pPr>
            <w:r w:rsidRPr="001C2C36">
              <w:rPr>
                <w:rFonts w:cs="Times New Roman"/>
              </w:rPr>
              <w:t>(0.15)</w:t>
            </w:r>
          </w:p>
        </w:tc>
      </w:tr>
      <w:tr w:rsidR="00B84DCD" w:rsidRPr="001C2C36" w14:paraId="4FF986E9" w14:textId="77777777" w:rsidTr="00B84DCD">
        <w:trPr>
          <w:trHeight w:val="151"/>
          <w:tblCellSpacing w:w="15" w:type="dxa"/>
          <w:jc w:val="center"/>
        </w:trPr>
        <w:tc>
          <w:tcPr>
            <w:tcW w:w="1811" w:type="dxa"/>
            <w:vMerge w:val="restart"/>
            <w:tcBorders>
              <w:left w:val="single" w:sz="4" w:space="0" w:color="auto"/>
            </w:tcBorders>
            <w:vAlign w:val="center"/>
            <w:hideMark/>
          </w:tcPr>
          <w:p w14:paraId="5CB8F798" w14:textId="77777777" w:rsidR="00B84DCD" w:rsidRPr="001C2C36" w:rsidRDefault="00B84DCD" w:rsidP="008A611D">
            <w:pPr>
              <w:pStyle w:val="NoSpacing"/>
              <w:rPr>
                <w:rFonts w:cs="Times New Roman"/>
                <w:szCs w:val="24"/>
                <w:lang w:eastAsia="en-GB"/>
              </w:rPr>
            </w:pPr>
            <w:r w:rsidRPr="001C2C36">
              <w:rPr>
                <w:rFonts w:cs="Times New Roman"/>
                <w:szCs w:val="24"/>
                <w:lang w:eastAsia="en-GB"/>
              </w:rPr>
              <w:t>Ethnic minority lead dummy</w:t>
            </w:r>
          </w:p>
        </w:tc>
        <w:tc>
          <w:tcPr>
            <w:tcW w:w="1151" w:type="dxa"/>
            <w:tcBorders>
              <w:left w:val="single" w:sz="4" w:space="0" w:color="auto"/>
            </w:tcBorders>
            <w:vAlign w:val="center"/>
            <w:hideMark/>
          </w:tcPr>
          <w:p w14:paraId="3EFF6EF1"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0.11</w:t>
            </w:r>
          </w:p>
        </w:tc>
        <w:tc>
          <w:tcPr>
            <w:tcW w:w="1154" w:type="dxa"/>
            <w:vAlign w:val="center"/>
            <w:hideMark/>
          </w:tcPr>
          <w:p w14:paraId="5ACC2419" w14:textId="11F733AD" w:rsidR="00B84DCD" w:rsidRPr="001C2C36" w:rsidRDefault="00B84DCD" w:rsidP="006974DC">
            <w:pPr>
              <w:pStyle w:val="NoSpacing"/>
              <w:jc w:val="center"/>
              <w:rPr>
                <w:rFonts w:cs="Times New Roman"/>
                <w:szCs w:val="24"/>
                <w:lang w:eastAsia="en-GB"/>
              </w:rPr>
            </w:pPr>
            <w:r w:rsidRPr="001C2C36">
              <w:rPr>
                <w:rFonts w:cs="Times New Roman"/>
              </w:rPr>
              <w:t>0.03</w:t>
            </w:r>
          </w:p>
        </w:tc>
        <w:tc>
          <w:tcPr>
            <w:tcW w:w="564" w:type="dxa"/>
            <w:tcBorders>
              <w:right w:val="single" w:sz="4" w:space="0" w:color="auto"/>
            </w:tcBorders>
            <w:vAlign w:val="center"/>
          </w:tcPr>
          <w:p w14:paraId="6491B2FD" w14:textId="30790C5E" w:rsidR="00B84DCD" w:rsidRPr="001C2C36" w:rsidRDefault="00B84DCD" w:rsidP="006974DC">
            <w:pPr>
              <w:pStyle w:val="NoSpacing"/>
              <w:jc w:val="center"/>
              <w:rPr>
                <w:rFonts w:cs="Times New Roman"/>
                <w:szCs w:val="24"/>
                <w:lang w:eastAsia="en-GB"/>
              </w:rPr>
            </w:pPr>
          </w:p>
        </w:tc>
        <w:tc>
          <w:tcPr>
            <w:tcW w:w="1754" w:type="dxa"/>
            <w:vAlign w:val="center"/>
            <w:hideMark/>
          </w:tcPr>
          <w:p w14:paraId="448C80EE"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0.26</w:t>
            </w:r>
          </w:p>
        </w:tc>
        <w:tc>
          <w:tcPr>
            <w:tcW w:w="1292" w:type="dxa"/>
            <w:tcBorders>
              <w:right w:val="single" w:sz="4" w:space="0" w:color="auto"/>
            </w:tcBorders>
            <w:vAlign w:val="center"/>
            <w:hideMark/>
          </w:tcPr>
          <w:p w14:paraId="3DC75CA2" w14:textId="64D87640" w:rsidR="00B84DCD" w:rsidRPr="001C2C36" w:rsidRDefault="00B84DCD" w:rsidP="006974DC">
            <w:pPr>
              <w:pStyle w:val="NoSpacing"/>
              <w:jc w:val="center"/>
              <w:rPr>
                <w:rFonts w:cs="Times New Roman"/>
                <w:szCs w:val="24"/>
                <w:lang w:eastAsia="en-GB"/>
              </w:rPr>
            </w:pPr>
            <w:r w:rsidRPr="001C2C36">
              <w:rPr>
                <w:rFonts w:cs="Times New Roman"/>
              </w:rPr>
              <w:t>0.25</w:t>
            </w:r>
          </w:p>
        </w:tc>
      </w:tr>
      <w:tr w:rsidR="00B84DCD" w:rsidRPr="001C2C36" w14:paraId="2D54D3E2" w14:textId="77777777" w:rsidTr="00B84DCD">
        <w:trPr>
          <w:trHeight w:val="151"/>
          <w:tblCellSpacing w:w="15" w:type="dxa"/>
          <w:jc w:val="center"/>
        </w:trPr>
        <w:tc>
          <w:tcPr>
            <w:tcW w:w="1811" w:type="dxa"/>
            <w:vMerge/>
            <w:tcBorders>
              <w:left w:val="single" w:sz="4" w:space="0" w:color="auto"/>
            </w:tcBorders>
            <w:vAlign w:val="center"/>
            <w:hideMark/>
          </w:tcPr>
          <w:p w14:paraId="32B977CE" w14:textId="77777777" w:rsidR="00B84DCD" w:rsidRPr="001C2C36" w:rsidRDefault="00B84DCD" w:rsidP="008A611D">
            <w:pPr>
              <w:pStyle w:val="NoSpacing"/>
              <w:rPr>
                <w:rFonts w:cs="Times New Roman"/>
                <w:szCs w:val="24"/>
                <w:lang w:eastAsia="en-GB"/>
              </w:rPr>
            </w:pPr>
          </w:p>
        </w:tc>
        <w:tc>
          <w:tcPr>
            <w:tcW w:w="1151" w:type="dxa"/>
            <w:tcBorders>
              <w:left w:val="single" w:sz="4" w:space="0" w:color="auto"/>
            </w:tcBorders>
            <w:vAlign w:val="center"/>
            <w:hideMark/>
          </w:tcPr>
          <w:p w14:paraId="1035E78A"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(0.25)</w:t>
            </w:r>
          </w:p>
        </w:tc>
        <w:tc>
          <w:tcPr>
            <w:tcW w:w="1154" w:type="dxa"/>
            <w:vAlign w:val="center"/>
            <w:hideMark/>
          </w:tcPr>
          <w:p w14:paraId="4B9B966B" w14:textId="5B9138FB" w:rsidR="00B84DCD" w:rsidRPr="001C2C36" w:rsidRDefault="00B84DCD" w:rsidP="006974DC">
            <w:pPr>
              <w:pStyle w:val="NoSpacing"/>
              <w:jc w:val="center"/>
              <w:rPr>
                <w:rFonts w:cs="Times New Roman"/>
                <w:szCs w:val="24"/>
                <w:lang w:eastAsia="en-GB"/>
              </w:rPr>
            </w:pPr>
            <w:r w:rsidRPr="001C2C36">
              <w:rPr>
                <w:rFonts w:cs="Times New Roman"/>
              </w:rPr>
              <w:t>(0.28)</w:t>
            </w:r>
          </w:p>
        </w:tc>
        <w:tc>
          <w:tcPr>
            <w:tcW w:w="564" w:type="dxa"/>
            <w:tcBorders>
              <w:right w:val="single" w:sz="4" w:space="0" w:color="auto"/>
            </w:tcBorders>
            <w:vAlign w:val="center"/>
          </w:tcPr>
          <w:p w14:paraId="2AE66535" w14:textId="2EDC3F67" w:rsidR="00B84DCD" w:rsidRPr="001C2C36" w:rsidRDefault="00B84DCD" w:rsidP="006974DC">
            <w:pPr>
              <w:pStyle w:val="NoSpacing"/>
              <w:jc w:val="center"/>
              <w:rPr>
                <w:rFonts w:cs="Times New Roman"/>
                <w:szCs w:val="24"/>
                <w:lang w:eastAsia="en-GB"/>
              </w:rPr>
            </w:pPr>
          </w:p>
        </w:tc>
        <w:tc>
          <w:tcPr>
            <w:tcW w:w="1754" w:type="dxa"/>
            <w:vAlign w:val="center"/>
            <w:hideMark/>
          </w:tcPr>
          <w:p w14:paraId="63C57007"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(0.28)</w:t>
            </w:r>
          </w:p>
        </w:tc>
        <w:tc>
          <w:tcPr>
            <w:tcW w:w="1292" w:type="dxa"/>
            <w:tcBorders>
              <w:right w:val="single" w:sz="4" w:space="0" w:color="auto"/>
            </w:tcBorders>
            <w:vAlign w:val="center"/>
            <w:hideMark/>
          </w:tcPr>
          <w:p w14:paraId="2C201B53" w14:textId="51E70ACC" w:rsidR="00B84DCD" w:rsidRPr="001C2C36" w:rsidRDefault="00B84DCD" w:rsidP="006974DC">
            <w:pPr>
              <w:pStyle w:val="NoSpacing"/>
              <w:jc w:val="center"/>
              <w:rPr>
                <w:rFonts w:cs="Times New Roman"/>
                <w:szCs w:val="24"/>
                <w:lang w:eastAsia="en-GB"/>
              </w:rPr>
            </w:pPr>
            <w:r w:rsidRPr="001C2C36">
              <w:rPr>
                <w:rFonts w:cs="Times New Roman"/>
              </w:rPr>
              <w:t>(0.32)</w:t>
            </w:r>
          </w:p>
        </w:tc>
      </w:tr>
      <w:tr w:rsidR="00B84DCD" w:rsidRPr="001C2C36" w14:paraId="286685D2" w14:textId="77777777" w:rsidTr="00B84DCD">
        <w:trPr>
          <w:trHeight w:val="151"/>
          <w:tblCellSpacing w:w="15" w:type="dxa"/>
          <w:jc w:val="center"/>
        </w:trPr>
        <w:tc>
          <w:tcPr>
            <w:tcW w:w="1811" w:type="dxa"/>
            <w:vMerge w:val="restart"/>
            <w:tcBorders>
              <w:left w:val="single" w:sz="4" w:space="0" w:color="auto"/>
            </w:tcBorders>
            <w:vAlign w:val="center"/>
            <w:hideMark/>
          </w:tcPr>
          <w:p w14:paraId="2A51634A" w14:textId="77777777" w:rsidR="00B84DCD" w:rsidRPr="001C2C36" w:rsidRDefault="00B84DCD" w:rsidP="000F2B11">
            <w:pPr>
              <w:pStyle w:val="NoSpacing"/>
              <w:rPr>
                <w:rFonts w:cs="Times New Roman"/>
                <w:szCs w:val="24"/>
                <w:lang w:eastAsia="en-GB"/>
              </w:rPr>
            </w:pPr>
            <w:r w:rsidRPr="001C2C36">
              <w:rPr>
                <w:rFonts w:cs="Times New Roman"/>
                <w:szCs w:val="24"/>
                <w:lang w:eastAsia="en-GB"/>
              </w:rPr>
              <w:t>Size (log)</w:t>
            </w:r>
          </w:p>
        </w:tc>
        <w:tc>
          <w:tcPr>
            <w:tcW w:w="1151" w:type="dxa"/>
            <w:tcBorders>
              <w:left w:val="single" w:sz="4" w:space="0" w:color="auto"/>
            </w:tcBorders>
            <w:vAlign w:val="center"/>
            <w:hideMark/>
          </w:tcPr>
          <w:p w14:paraId="0F5ACDBA"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-0.13</w:t>
            </w:r>
            <w:r w:rsidRPr="001C2C36">
              <w:rPr>
                <w:rFonts w:eastAsia="Times New Roman" w:cs="Times New Roman"/>
                <w:szCs w:val="24"/>
                <w:vertAlign w:val="superscript"/>
                <w:lang w:eastAsia="en-GB"/>
              </w:rPr>
              <w:t>***</w:t>
            </w:r>
          </w:p>
        </w:tc>
        <w:tc>
          <w:tcPr>
            <w:tcW w:w="1154" w:type="dxa"/>
            <w:vAlign w:val="center"/>
            <w:hideMark/>
          </w:tcPr>
          <w:p w14:paraId="07DD8A12" w14:textId="797D4849" w:rsidR="00B84DCD" w:rsidRPr="001C2C36" w:rsidRDefault="00B84DCD" w:rsidP="006974DC">
            <w:pPr>
              <w:pStyle w:val="NoSpacing"/>
              <w:jc w:val="center"/>
              <w:rPr>
                <w:rFonts w:cs="Times New Roman"/>
                <w:szCs w:val="24"/>
                <w:lang w:eastAsia="en-GB"/>
              </w:rPr>
            </w:pPr>
            <w:r w:rsidRPr="001C2C36">
              <w:rPr>
                <w:rFonts w:cs="Times New Roman"/>
              </w:rPr>
              <w:t>-0.02</w:t>
            </w:r>
          </w:p>
        </w:tc>
        <w:tc>
          <w:tcPr>
            <w:tcW w:w="564" w:type="dxa"/>
            <w:tcBorders>
              <w:right w:val="single" w:sz="4" w:space="0" w:color="auto"/>
            </w:tcBorders>
            <w:vAlign w:val="center"/>
          </w:tcPr>
          <w:p w14:paraId="590693DA" w14:textId="5279104F" w:rsidR="00B84DCD" w:rsidRPr="001C2C36" w:rsidRDefault="00B84DCD" w:rsidP="006974DC">
            <w:pPr>
              <w:pStyle w:val="NoSpacing"/>
              <w:jc w:val="center"/>
              <w:rPr>
                <w:rFonts w:cs="Times New Roman"/>
                <w:szCs w:val="24"/>
                <w:lang w:eastAsia="en-GB"/>
              </w:rPr>
            </w:pPr>
          </w:p>
        </w:tc>
        <w:tc>
          <w:tcPr>
            <w:tcW w:w="1754" w:type="dxa"/>
            <w:vAlign w:val="center"/>
            <w:hideMark/>
          </w:tcPr>
          <w:p w14:paraId="6C62FEB0"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0.08</w:t>
            </w:r>
            <w:r w:rsidRPr="001C2C36">
              <w:rPr>
                <w:rFonts w:eastAsia="Times New Roman" w:cs="Times New Roman"/>
                <w:szCs w:val="24"/>
                <w:vertAlign w:val="superscript"/>
                <w:lang w:eastAsia="en-GB"/>
              </w:rPr>
              <w:t>*</w:t>
            </w:r>
          </w:p>
        </w:tc>
        <w:tc>
          <w:tcPr>
            <w:tcW w:w="1292" w:type="dxa"/>
            <w:tcBorders>
              <w:right w:val="single" w:sz="4" w:space="0" w:color="auto"/>
            </w:tcBorders>
            <w:vAlign w:val="center"/>
            <w:hideMark/>
          </w:tcPr>
          <w:p w14:paraId="01F683CB" w14:textId="11B490FA" w:rsidR="00B84DCD" w:rsidRPr="001C2C36" w:rsidRDefault="00B84DCD" w:rsidP="006974DC">
            <w:pPr>
              <w:pStyle w:val="NoSpacing"/>
              <w:jc w:val="center"/>
              <w:rPr>
                <w:rFonts w:cs="Times New Roman"/>
                <w:szCs w:val="24"/>
                <w:lang w:eastAsia="en-GB"/>
              </w:rPr>
            </w:pPr>
            <w:r w:rsidRPr="001C2C36">
              <w:rPr>
                <w:rFonts w:cs="Times New Roman"/>
              </w:rPr>
              <w:t>0.09</w:t>
            </w:r>
          </w:p>
        </w:tc>
      </w:tr>
      <w:tr w:rsidR="00B84DCD" w:rsidRPr="001C2C36" w14:paraId="1A2F69A5" w14:textId="77777777" w:rsidTr="00B84DCD">
        <w:trPr>
          <w:trHeight w:val="151"/>
          <w:tblCellSpacing w:w="15" w:type="dxa"/>
          <w:jc w:val="center"/>
        </w:trPr>
        <w:tc>
          <w:tcPr>
            <w:tcW w:w="1811" w:type="dxa"/>
            <w:vMerge/>
            <w:tcBorders>
              <w:left w:val="single" w:sz="4" w:space="0" w:color="auto"/>
            </w:tcBorders>
            <w:vAlign w:val="center"/>
            <w:hideMark/>
          </w:tcPr>
          <w:p w14:paraId="00289040" w14:textId="77777777" w:rsidR="00B84DCD" w:rsidRPr="001C2C36" w:rsidRDefault="00B84DCD" w:rsidP="000F2B11">
            <w:pPr>
              <w:pStyle w:val="NoSpacing"/>
              <w:rPr>
                <w:rFonts w:cs="Times New Roman"/>
                <w:szCs w:val="24"/>
                <w:lang w:eastAsia="en-GB"/>
              </w:rPr>
            </w:pPr>
          </w:p>
        </w:tc>
        <w:tc>
          <w:tcPr>
            <w:tcW w:w="1151" w:type="dxa"/>
            <w:tcBorders>
              <w:left w:val="single" w:sz="4" w:space="0" w:color="auto"/>
            </w:tcBorders>
            <w:vAlign w:val="center"/>
            <w:hideMark/>
          </w:tcPr>
          <w:p w14:paraId="2F329B40"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(0.04)</w:t>
            </w:r>
          </w:p>
        </w:tc>
        <w:tc>
          <w:tcPr>
            <w:tcW w:w="1154" w:type="dxa"/>
            <w:vAlign w:val="center"/>
            <w:hideMark/>
          </w:tcPr>
          <w:p w14:paraId="577E4E88" w14:textId="1A11822E" w:rsidR="00B84DCD" w:rsidRPr="001C2C36" w:rsidRDefault="00B84DCD" w:rsidP="006974DC">
            <w:pPr>
              <w:pStyle w:val="NoSpacing"/>
              <w:jc w:val="center"/>
              <w:rPr>
                <w:rFonts w:cs="Times New Roman"/>
                <w:szCs w:val="24"/>
                <w:lang w:eastAsia="en-GB"/>
              </w:rPr>
            </w:pPr>
            <w:r w:rsidRPr="001C2C36">
              <w:rPr>
                <w:rFonts w:cs="Times New Roman"/>
              </w:rPr>
              <w:t>(0.05)</w:t>
            </w:r>
          </w:p>
        </w:tc>
        <w:tc>
          <w:tcPr>
            <w:tcW w:w="564" w:type="dxa"/>
            <w:tcBorders>
              <w:right w:val="single" w:sz="4" w:space="0" w:color="auto"/>
            </w:tcBorders>
            <w:vAlign w:val="center"/>
          </w:tcPr>
          <w:p w14:paraId="2397A9D3" w14:textId="097381E4" w:rsidR="00B84DCD" w:rsidRPr="001C2C36" w:rsidRDefault="00B84DCD" w:rsidP="006974DC">
            <w:pPr>
              <w:pStyle w:val="NoSpacing"/>
              <w:jc w:val="center"/>
              <w:rPr>
                <w:rFonts w:cs="Times New Roman"/>
                <w:szCs w:val="24"/>
                <w:lang w:eastAsia="en-GB"/>
              </w:rPr>
            </w:pPr>
          </w:p>
        </w:tc>
        <w:tc>
          <w:tcPr>
            <w:tcW w:w="1754" w:type="dxa"/>
            <w:vAlign w:val="center"/>
            <w:hideMark/>
          </w:tcPr>
          <w:p w14:paraId="0C5AC525" w14:textId="77777777" w:rsidR="00B84DCD" w:rsidRPr="001C2C36" w:rsidRDefault="00B84DCD" w:rsidP="006974DC">
            <w:pPr>
              <w:pStyle w:val="NoSpacing"/>
              <w:jc w:val="center"/>
              <w:rPr>
                <w:rFonts w:cs="Times New Roman"/>
                <w:szCs w:val="24"/>
                <w:lang w:eastAsia="en-GB"/>
              </w:rPr>
            </w:pPr>
            <w:r w:rsidRPr="001C2C36">
              <w:rPr>
                <w:rFonts w:eastAsia="Times New Roman" w:cs="Times New Roman"/>
                <w:szCs w:val="24"/>
                <w:lang w:eastAsia="en-GB"/>
              </w:rPr>
              <w:t>(0.05)</w:t>
            </w:r>
          </w:p>
        </w:tc>
        <w:tc>
          <w:tcPr>
            <w:tcW w:w="1292" w:type="dxa"/>
            <w:tcBorders>
              <w:right w:val="single" w:sz="4" w:space="0" w:color="auto"/>
            </w:tcBorders>
            <w:vAlign w:val="center"/>
            <w:hideMark/>
          </w:tcPr>
          <w:p w14:paraId="56500C56" w14:textId="12F60F0B" w:rsidR="00B84DCD" w:rsidRPr="001C2C36" w:rsidRDefault="00B84DCD" w:rsidP="006974DC">
            <w:pPr>
              <w:pStyle w:val="NoSpacing"/>
              <w:jc w:val="center"/>
              <w:rPr>
                <w:rFonts w:cs="Times New Roman"/>
                <w:szCs w:val="24"/>
                <w:lang w:eastAsia="en-GB"/>
              </w:rPr>
            </w:pPr>
            <w:r w:rsidRPr="001C2C36">
              <w:rPr>
                <w:rFonts w:cs="Times New Roman"/>
              </w:rPr>
              <w:t>(0.06)</w:t>
            </w:r>
          </w:p>
        </w:tc>
      </w:tr>
      <w:tr w:rsidR="00B84DCD" w:rsidRPr="001C2C36" w14:paraId="2BD0FBC0" w14:textId="77777777" w:rsidTr="00B84DCD">
        <w:trPr>
          <w:trHeight w:val="151"/>
          <w:tblCellSpacing w:w="15" w:type="dxa"/>
          <w:jc w:val="center"/>
        </w:trPr>
        <w:tc>
          <w:tcPr>
            <w:tcW w:w="7878" w:type="dxa"/>
            <w:gridSpan w:val="6"/>
            <w:tcBorders>
              <w:top w:val="single" w:sz="4" w:space="0" w:color="auto"/>
              <w:left w:val="single" w:sz="4" w:space="0" w:color="auto"/>
              <w:bottom w:val="single" w:sz="4" w:space="0" w:color="auto"/>
              <w:right w:val="single" w:sz="4" w:space="0" w:color="auto"/>
            </w:tcBorders>
            <w:vAlign w:val="center"/>
          </w:tcPr>
          <w:p w14:paraId="1C8B6C93" w14:textId="35D1D604" w:rsidR="00B84DCD" w:rsidRPr="001C2C36" w:rsidRDefault="00B84DCD" w:rsidP="007A2DAE">
            <w:pPr>
              <w:pStyle w:val="NoSpacing"/>
              <w:rPr>
                <w:rFonts w:cs="Times New Roman"/>
                <w:b/>
                <w:bCs/>
                <w:szCs w:val="24"/>
                <w:lang w:eastAsia="en-GB"/>
              </w:rPr>
            </w:pPr>
            <w:r w:rsidRPr="001C2C36">
              <w:rPr>
                <w:rFonts w:cs="Times New Roman"/>
                <w:b/>
                <w:bCs/>
                <w:szCs w:val="24"/>
                <w:lang w:eastAsia="en-GB"/>
              </w:rPr>
              <w:t>Intercepts</w:t>
            </w:r>
          </w:p>
        </w:tc>
      </w:tr>
      <w:tr w:rsidR="00B84DCD" w:rsidRPr="001C2C36" w14:paraId="464579D1" w14:textId="77777777" w:rsidTr="00B84DCD">
        <w:trPr>
          <w:trHeight w:val="151"/>
          <w:tblCellSpacing w:w="15" w:type="dxa"/>
          <w:jc w:val="center"/>
        </w:trPr>
        <w:tc>
          <w:tcPr>
            <w:tcW w:w="1811" w:type="dxa"/>
            <w:tcBorders>
              <w:left w:val="single" w:sz="4" w:space="0" w:color="auto"/>
            </w:tcBorders>
            <w:vAlign w:val="center"/>
          </w:tcPr>
          <w:p w14:paraId="0B56BF02" w14:textId="77777777" w:rsidR="00B84DCD" w:rsidRPr="001C2C36" w:rsidRDefault="00B84DCD" w:rsidP="007A2DAE">
            <w:pPr>
              <w:pStyle w:val="NoSpacing"/>
              <w:rPr>
                <w:rFonts w:cs="Times New Roman"/>
                <w:szCs w:val="24"/>
                <w:lang w:eastAsia="en-GB"/>
              </w:rPr>
            </w:pPr>
            <w:proofErr w:type="spellStart"/>
            <w:r w:rsidRPr="001C2C36">
              <w:rPr>
                <w:rFonts w:eastAsia="Times New Roman" w:cs="Times New Roman"/>
                <w:szCs w:val="24"/>
                <w:lang w:eastAsia="en-GB"/>
              </w:rPr>
              <w:t>Decrease|Stayed</w:t>
            </w:r>
            <w:proofErr w:type="spellEnd"/>
            <w:r w:rsidRPr="001C2C36">
              <w:rPr>
                <w:rFonts w:eastAsia="Times New Roman" w:cs="Times New Roman"/>
                <w:szCs w:val="24"/>
                <w:lang w:eastAsia="en-GB"/>
              </w:rPr>
              <w:t xml:space="preserve"> the same</w:t>
            </w:r>
          </w:p>
        </w:tc>
        <w:tc>
          <w:tcPr>
            <w:tcW w:w="1151" w:type="dxa"/>
            <w:tcBorders>
              <w:left w:val="single" w:sz="4" w:space="0" w:color="auto"/>
            </w:tcBorders>
            <w:vAlign w:val="center"/>
          </w:tcPr>
          <w:p w14:paraId="19EA636E" w14:textId="694F6532" w:rsidR="00B84DCD" w:rsidRPr="001C2C36" w:rsidRDefault="00B84DCD" w:rsidP="006974DC">
            <w:pPr>
              <w:pStyle w:val="NoSpacing"/>
              <w:jc w:val="center"/>
              <w:rPr>
                <w:rFonts w:cs="Times New Roman"/>
                <w:szCs w:val="24"/>
                <w:lang w:eastAsia="en-GB"/>
              </w:rPr>
            </w:pPr>
            <w:r w:rsidRPr="001C2C36">
              <w:rPr>
                <w:rFonts w:cs="Times New Roman"/>
                <w:szCs w:val="24"/>
                <w:lang w:eastAsia="en-GB"/>
              </w:rPr>
              <w:t>-1.28*** (0.13)</w:t>
            </w:r>
          </w:p>
        </w:tc>
        <w:tc>
          <w:tcPr>
            <w:tcW w:w="1154" w:type="dxa"/>
            <w:vAlign w:val="center"/>
          </w:tcPr>
          <w:p w14:paraId="3302BC3A" w14:textId="58A02055" w:rsidR="00B84DCD" w:rsidRPr="001C2C36" w:rsidRDefault="00B84DCD" w:rsidP="006974DC">
            <w:pPr>
              <w:pStyle w:val="NoSpacing"/>
              <w:jc w:val="center"/>
              <w:rPr>
                <w:rFonts w:cs="Times New Roman"/>
                <w:szCs w:val="24"/>
                <w:lang w:eastAsia="en-GB"/>
              </w:rPr>
            </w:pPr>
            <w:r w:rsidRPr="001C2C36">
              <w:rPr>
                <w:rFonts w:cs="Times New Roman"/>
                <w:szCs w:val="24"/>
                <w:lang w:eastAsia="en-GB"/>
              </w:rPr>
              <w:t>-0.63***</w:t>
            </w:r>
          </w:p>
          <w:p w14:paraId="0AFBBE43" w14:textId="7C93C42A" w:rsidR="00B84DCD" w:rsidRPr="001C2C36" w:rsidRDefault="00B84DCD" w:rsidP="006974DC">
            <w:pPr>
              <w:pStyle w:val="NoSpacing"/>
              <w:jc w:val="center"/>
              <w:rPr>
                <w:rFonts w:cs="Times New Roman"/>
                <w:szCs w:val="24"/>
                <w:lang w:eastAsia="en-GB"/>
              </w:rPr>
            </w:pPr>
            <w:r w:rsidRPr="001C2C36">
              <w:rPr>
                <w:rFonts w:cs="Times New Roman"/>
                <w:szCs w:val="24"/>
                <w:lang w:eastAsia="en-GB"/>
              </w:rPr>
              <w:t>(0.19)</w:t>
            </w:r>
          </w:p>
        </w:tc>
        <w:tc>
          <w:tcPr>
            <w:tcW w:w="564" w:type="dxa"/>
            <w:tcBorders>
              <w:right w:val="single" w:sz="4" w:space="0" w:color="auto"/>
            </w:tcBorders>
            <w:vAlign w:val="center"/>
          </w:tcPr>
          <w:p w14:paraId="76BEC4DD" w14:textId="7AFED2A7" w:rsidR="00B84DCD" w:rsidRPr="001C2C36" w:rsidRDefault="00B84DCD" w:rsidP="006974DC">
            <w:pPr>
              <w:pStyle w:val="NoSpacing"/>
              <w:jc w:val="center"/>
              <w:rPr>
                <w:rFonts w:cs="Times New Roman"/>
                <w:szCs w:val="24"/>
                <w:lang w:eastAsia="en-GB"/>
              </w:rPr>
            </w:pPr>
          </w:p>
        </w:tc>
        <w:tc>
          <w:tcPr>
            <w:tcW w:w="1754" w:type="dxa"/>
            <w:vAlign w:val="center"/>
          </w:tcPr>
          <w:p w14:paraId="0F9338CA" w14:textId="725D8609" w:rsidR="00B84DCD" w:rsidRPr="001C2C36" w:rsidRDefault="00B84DCD" w:rsidP="006974DC">
            <w:pPr>
              <w:pStyle w:val="NoSpacing"/>
              <w:jc w:val="center"/>
              <w:rPr>
                <w:rFonts w:cs="Times New Roman"/>
                <w:szCs w:val="24"/>
                <w:lang w:eastAsia="en-GB"/>
              </w:rPr>
            </w:pPr>
            <w:r w:rsidRPr="001C2C36">
              <w:rPr>
                <w:rFonts w:cs="Times New Roman"/>
                <w:szCs w:val="24"/>
                <w:lang w:eastAsia="en-GB"/>
              </w:rPr>
              <w:t>-1.72***</w:t>
            </w:r>
          </w:p>
          <w:p w14:paraId="1DF66371" w14:textId="1E2170FC" w:rsidR="00B84DCD" w:rsidRPr="001C2C36" w:rsidRDefault="00B84DCD" w:rsidP="006974DC">
            <w:pPr>
              <w:pStyle w:val="NoSpacing"/>
              <w:jc w:val="center"/>
              <w:rPr>
                <w:rFonts w:cs="Times New Roman"/>
                <w:szCs w:val="24"/>
                <w:lang w:eastAsia="en-GB"/>
              </w:rPr>
            </w:pPr>
            <w:r w:rsidRPr="001C2C36">
              <w:rPr>
                <w:rFonts w:cs="Times New Roman"/>
                <w:szCs w:val="24"/>
                <w:lang w:eastAsia="en-GB"/>
              </w:rPr>
              <w:t>(0.16)</w:t>
            </w:r>
          </w:p>
        </w:tc>
        <w:tc>
          <w:tcPr>
            <w:tcW w:w="1292" w:type="dxa"/>
            <w:tcBorders>
              <w:right w:val="single" w:sz="4" w:space="0" w:color="auto"/>
            </w:tcBorders>
            <w:vAlign w:val="center"/>
          </w:tcPr>
          <w:p w14:paraId="2A470A7F" w14:textId="0B2DA7F9" w:rsidR="00B84DCD" w:rsidRPr="001C2C36" w:rsidRDefault="00B84DCD" w:rsidP="006974DC">
            <w:pPr>
              <w:pStyle w:val="NoSpacing"/>
              <w:jc w:val="center"/>
              <w:rPr>
                <w:rFonts w:cs="Times New Roman"/>
                <w:szCs w:val="24"/>
                <w:lang w:eastAsia="en-GB"/>
              </w:rPr>
            </w:pPr>
            <w:r w:rsidRPr="001C2C36">
              <w:rPr>
                <w:rFonts w:cs="Times New Roman"/>
                <w:szCs w:val="24"/>
                <w:lang w:eastAsia="en-GB"/>
              </w:rPr>
              <w:t>-1.12*** (0.22)</w:t>
            </w:r>
          </w:p>
        </w:tc>
      </w:tr>
      <w:tr w:rsidR="00B84DCD" w:rsidRPr="001C2C36" w14:paraId="6C7A2E50" w14:textId="77777777" w:rsidTr="00B84DCD">
        <w:trPr>
          <w:trHeight w:val="151"/>
          <w:tblCellSpacing w:w="15" w:type="dxa"/>
          <w:jc w:val="center"/>
        </w:trPr>
        <w:tc>
          <w:tcPr>
            <w:tcW w:w="1811" w:type="dxa"/>
            <w:tcBorders>
              <w:left w:val="single" w:sz="4" w:space="0" w:color="auto"/>
            </w:tcBorders>
            <w:vAlign w:val="center"/>
          </w:tcPr>
          <w:p w14:paraId="725F3179" w14:textId="77777777" w:rsidR="00B84DCD" w:rsidRPr="001C2C36" w:rsidRDefault="00B84DCD" w:rsidP="007A2DAE">
            <w:pPr>
              <w:pStyle w:val="NoSpacing"/>
              <w:rPr>
                <w:rFonts w:cs="Times New Roman"/>
                <w:szCs w:val="24"/>
                <w:lang w:eastAsia="en-GB"/>
              </w:rPr>
            </w:pPr>
            <w:r w:rsidRPr="001C2C36">
              <w:rPr>
                <w:rFonts w:eastAsia="Times New Roman" w:cs="Times New Roman"/>
                <w:szCs w:val="24"/>
                <w:lang w:eastAsia="en-GB"/>
              </w:rPr>
              <w:t xml:space="preserve">Stayed the </w:t>
            </w:r>
            <w:proofErr w:type="spellStart"/>
            <w:r w:rsidRPr="001C2C36">
              <w:rPr>
                <w:rFonts w:eastAsia="Times New Roman" w:cs="Times New Roman"/>
                <w:szCs w:val="24"/>
                <w:lang w:eastAsia="en-GB"/>
              </w:rPr>
              <w:t>same|Increased</w:t>
            </w:r>
            <w:proofErr w:type="spellEnd"/>
          </w:p>
        </w:tc>
        <w:tc>
          <w:tcPr>
            <w:tcW w:w="1151" w:type="dxa"/>
            <w:tcBorders>
              <w:left w:val="single" w:sz="4" w:space="0" w:color="auto"/>
            </w:tcBorders>
            <w:vAlign w:val="center"/>
          </w:tcPr>
          <w:p w14:paraId="48F9EB0A" w14:textId="6E94D74C" w:rsidR="00B84DCD" w:rsidRPr="001C2C36" w:rsidRDefault="00B84DCD" w:rsidP="006974DC">
            <w:pPr>
              <w:pStyle w:val="NoSpacing"/>
              <w:jc w:val="center"/>
              <w:rPr>
                <w:rFonts w:cs="Times New Roman"/>
                <w:szCs w:val="24"/>
                <w:lang w:eastAsia="en-GB"/>
              </w:rPr>
            </w:pPr>
            <w:r w:rsidRPr="001C2C36">
              <w:rPr>
                <w:rFonts w:cs="Times New Roman"/>
                <w:szCs w:val="24"/>
                <w:lang w:eastAsia="en-GB"/>
              </w:rPr>
              <w:t>1.06*** (0.13)</w:t>
            </w:r>
          </w:p>
        </w:tc>
        <w:tc>
          <w:tcPr>
            <w:tcW w:w="1154" w:type="dxa"/>
            <w:vAlign w:val="center"/>
          </w:tcPr>
          <w:p w14:paraId="3318D914" w14:textId="73EA0D5E" w:rsidR="00B84DCD" w:rsidRPr="001C2C36" w:rsidRDefault="00B84DCD" w:rsidP="006974DC">
            <w:pPr>
              <w:pStyle w:val="NoSpacing"/>
              <w:jc w:val="center"/>
              <w:rPr>
                <w:rFonts w:cs="Times New Roman"/>
                <w:szCs w:val="24"/>
                <w:lang w:eastAsia="en-GB"/>
              </w:rPr>
            </w:pPr>
            <w:r w:rsidRPr="001C2C36">
              <w:rPr>
                <w:rFonts w:cs="Times New Roman"/>
                <w:szCs w:val="24"/>
                <w:lang w:eastAsia="en-GB"/>
              </w:rPr>
              <w:t>1.08***</w:t>
            </w:r>
          </w:p>
          <w:p w14:paraId="5B4CB43F" w14:textId="6F6B1C3F" w:rsidR="00B84DCD" w:rsidRPr="001C2C36" w:rsidRDefault="00B84DCD" w:rsidP="006974DC">
            <w:pPr>
              <w:pStyle w:val="NoSpacing"/>
              <w:jc w:val="center"/>
              <w:rPr>
                <w:rFonts w:cs="Times New Roman"/>
                <w:szCs w:val="24"/>
                <w:lang w:eastAsia="en-GB"/>
              </w:rPr>
            </w:pPr>
            <w:r w:rsidRPr="001C2C36">
              <w:rPr>
                <w:rFonts w:cs="Times New Roman"/>
                <w:szCs w:val="24"/>
                <w:lang w:eastAsia="en-GB"/>
              </w:rPr>
              <w:t>(0.19)</w:t>
            </w:r>
          </w:p>
        </w:tc>
        <w:tc>
          <w:tcPr>
            <w:tcW w:w="564" w:type="dxa"/>
            <w:tcBorders>
              <w:right w:val="single" w:sz="4" w:space="0" w:color="auto"/>
            </w:tcBorders>
            <w:vAlign w:val="center"/>
          </w:tcPr>
          <w:p w14:paraId="28ABC8E1" w14:textId="481772E6" w:rsidR="00B84DCD" w:rsidRPr="001C2C36" w:rsidRDefault="00B84DCD" w:rsidP="006974DC">
            <w:pPr>
              <w:pStyle w:val="NoSpacing"/>
              <w:jc w:val="center"/>
              <w:rPr>
                <w:rFonts w:cs="Times New Roman"/>
                <w:szCs w:val="24"/>
                <w:lang w:eastAsia="en-GB"/>
              </w:rPr>
            </w:pPr>
          </w:p>
        </w:tc>
        <w:tc>
          <w:tcPr>
            <w:tcW w:w="1754" w:type="dxa"/>
            <w:vAlign w:val="center"/>
          </w:tcPr>
          <w:p w14:paraId="61461A1B" w14:textId="57B17A74" w:rsidR="00B84DCD" w:rsidRPr="001C2C36" w:rsidRDefault="00B84DCD" w:rsidP="006974DC">
            <w:pPr>
              <w:pStyle w:val="NoSpacing"/>
              <w:jc w:val="center"/>
              <w:rPr>
                <w:rFonts w:cs="Times New Roman"/>
                <w:szCs w:val="24"/>
                <w:lang w:eastAsia="en-GB"/>
              </w:rPr>
            </w:pPr>
            <w:r w:rsidRPr="001C2C36">
              <w:rPr>
                <w:rFonts w:cs="Times New Roman"/>
                <w:szCs w:val="24"/>
                <w:lang w:eastAsia="en-GB"/>
              </w:rPr>
              <w:t>1.8***</w:t>
            </w:r>
          </w:p>
          <w:p w14:paraId="59646AC1" w14:textId="25411CC0" w:rsidR="00B84DCD" w:rsidRPr="001C2C36" w:rsidRDefault="00B84DCD" w:rsidP="006974DC">
            <w:pPr>
              <w:pStyle w:val="NoSpacing"/>
              <w:jc w:val="center"/>
              <w:rPr>
                <w:rFonts w:cs="Times New Roman"/>
                <w:szCs w:val="24"/>
                <w:lang w:eastAsia="en-GB"/>
              </w:rPr>
            </w:pPr>
            <w:r w:rsidRPr="001C2C36">
              <w:rPr>
                <w:rFonts w:cs="Times New Roman"/>
                <w:szCs w:val="24"/>
                <w:lang w:eastAsia="en-GB"/>
              </w:rPr>
              <w:t>(0.16)</w:t>
            </w:r>
          </w:p>
        </w:tc>
        <w:tc>
          <w:tcPr>
            <w:tcW w:w="1292" w:type="dxa"/>
            <w:tcBorders>
              <w:right w:val="single" w:sz="4" w:space="0" w:color="auto"/>
            </w:tcBorders>
            <w:vAlign w:val="center"/>
          </w:tcPr>
          <w:p w14:paraId="15506655" w14:textId="168071AC" w:rsidR="00B84DCD" w:rsidRPr="001C2C36" w:rsidRDefault="00B84DCD" w:rsidP="006974DC">
            <w:pPr>
              <w:pStyle w:val="NoSpacing"/>
              <w:jc w:val="center"/>
              <w:rPr>
                <w:rFonts w:cs="Times New Roman"/>
                <w:szCs w:val="24"/>
                <w:lang w:eastAsia="en-GB"/>
              </w:rPr>
            </w:pPr>
            <w:r w:rsidRPr="001C2C36">
              <w:rPr>
                <w:rFonts w:cs="Times New Roman"/>
                <w:szCs w:val="24"/>
                <w:lang w:eastAsia="en-GB"/>
              </w:rPr>
              <w:t>1.75*** (0.22)</w:t>
            </w:r>
          </w:p>
        </w:tc>
      </w:tr>
      <w:tr w:rsidR="00B84DCD" w:rsidRPr="001C2C36" w14:paraId="583E6BB4" w14:textId="77777777" w:rsidTr="00B84DCD">
        <w:trPr>
          <w:trHeight w:val="8"/>
          <w:tblCellSpacing w:w="15" w:type="dxa"/>
          <w:jc w:val="center"/>
        </w:trPr>
        <w:tc>
          <w:tcPr>
            <w:tcW w:w="7878" w:type="dxa"/>
            <w:gridSpan w:val="6"/>
            <w:tcBorders>
              <w:top w:val="single" w:sz="4" w:space="0" w:color="auto"/>
              <w:left w:val="single" w:sz="4" w:space="0" w:color="auto"/>
              <w:bottom w:val="single" w:sz="4" w:space="0" w:color="auto"/>
              <w:right w:val="single" w:sz="4" w:space="0" w:color="auto"/>
            </w:tcBorders>
            <w:vAlign w:val="center"/>
          </w:tcPr>
          <w:p w14:paraId="52E28CBF" w14:textId="3FB74CEB" w:rsidR="00B84DCD" w:rsidRPr="001C2C36" w:rsidRDefault="00B84DCD" w:rsidP="007A2DAE">
            <w:pPr>
              <w:pStyle w:val="NoSpacing"/>
              <w:rPr>
                <w:rFonts w:cs="Times New Roman"/>
                <w:szCs w:val="24"/>
                <w:lang w:eastAsia="en-GB"/>
              </w:rPr>
            </w:pPr>
            <w:r w:rsidRPr="001C2C36">
              <w:rPr>
                <w:rFonts w:cs="Times New Roman"/>
                <w:b/>
                <w:bCs/>
                <w:szCs w:val="24"/>
                <w:lang w:eastAsia="en-GB"/>
              </w:rPr>
              <w:t>Tests</w:t>
            </w:r>
          </w:p>
        </w:tc>
      </w:tr>
      <w:tr w:rsidR="00B84DCD" w:rsidRPr="001C2C36" w14:paraId="04C64865" w14:textId="77777777" w:rsidTr="00B84DCD">
        <w:trPr>
          <w:trHeight w:val="176"/>
          <w:tblCellSpacing w:w="15" w:type="dxa"/>
          <w:jc w:val="center"/>
        </w:trPr>
        <w:tc>
          <w:tcPr>
            <w:tcW w:w="1811" w:type="dxa"/>
            <w:tcBorders>
              <w:left w:val="single" w:sz="4" w:space="0" w:color="auto"/>
            </w:tcBorders>
            <w:vAlign w:val="center"/>
          </w:tcPr>
          <w:p w14:paraId="6DB6BCF1" w14:textId="77777777" w:rsidR="00B84DCD" w:rsidRPr="001C2C36" w:rsidRDefault="00B84DCD" w:rsidP="005B5C35">
            <w:pPr>
              <w:pStyle w:val="NoSpacing"/>
              <w:rPr>
                <w:rFonts w:cs="Times New Roman"/>
                <w:szCs w:val="24"/>
              </w:rPr>
            </w:pPr>
            <w:r w:rsidRPr="001C2C36">
              <w:rPr>
                <w:rFonts w:cs="Times New Roman"/>
                <w:szCs w:val="24"/>
              </w:rPr>
              <w:t>Residual Dev.</w:t>
            </w:r>
          </w:p>
        </w:tc>
        <w:tc>
          <w:tcPr>
            <w:tcW w:w="1151" w:type="dxa"/>
            <w:tcBorders>
              <w:left w:val="single" w:sz="4" w:space="0" w:color="auto"/>
            </w:tcBorders>
            <w:vAlign w:val="center"/>
          </w:tcPr>
          <w:p w14:paraId="167B609D" w14:textId="77777777" w:rsidR="00B84DCD" w:rsidRPr="001C2C36" w:rsidRDefault="00B84DCD" w:rsidP="006974DC">
            <w:pPr>
              <w:pStyle w:val="NoSpacing"/>
              <w:jc w:val="center"/>
              <w:rPr>
                <w:rFonts w:cs="Times New Roman"/>
                <w:szCs w:val="24"/>
              </w:rPr>
            </w:pPr>
            <w:r w:rsidRPr="001C2C36">
              <w:rPr>
                <w:rFonts w:cs="Times New Roman"/>
                <w:szCs w:val="24"/>
              </w:rPr>
              <w:t>2856</w:t>
            </w:r>
          </w:p>
        </w:tc>
        <w:tc>
          <w:tcPr>
            <w:tcW w:w="1154" w:type="dxa"/>
            <w:vAlign w:val="center"/>
          </w:tcPr>
          <w:p w14:paraId="38417B9F" w14:textId="0D75B7A5" w:rsidR="00B84DCD" w:rsidRPr="001C2C36" w:rsidRDefault="00B84DCD" w:rsidP="006974DC">
            <w:pPr>
              <w:pStyle w:val="NoSpacing"/>
              <w:jc w:val="center"/>
              <w:rPr>
                <w:rFonts w:cs="Times New Roman"/>
                <w:szCs w:val="24"/>
              </w:rPr>
            </w:pPr>
            <w:r w:rsidRPr="001C2C36">
              <w:rPr>
                <w:rFonts w:cs="Times New Roman"/>
                <w:szCs w:val="24"/>
              </w:rPr>
              <w:t>2179</w:t>
            </w:r>
          </w:p>
        </w:tc>
        <w:tc>
          <w:tcPr>
            <w:tcW w:w="564" w:type="dxa"/>
            <w:tcBorders>
              <w:right w:val="single" w:sz="4" w:space="0" w:color="auto"/>
            </w:tcBorders>
            <w:vAlign w:val="center"/>
          </w:tcPr>
          <w:p w14:paraId="43304586" w14:textId="66F631F1" w:rsidR="00B84DCD" w:rsidRPr="001C2C36" w:rsidRDefault="00B84DCD" w:rsidP="006974DC">
            <w:pPr>
              <w:pStyle w:val="NoSpacing"/>
              <w:jc w:val="center"/>
              <w:rPr>
                <w:rFonts w:cs="Times New Roman"/>
                <w:szCs w:val="24"/>
              </w:rPr>
            </w:pPr>
          </w:p>
        </w:tc>
        <w:tc>
          <w:tcPr>
            <w:tcW w:w="1754" w:type="dxa"/>
            <w:vAlign w:val="center"/>
          </w:tcPr>
          <w:p w14:paraId="2DE7F973" w14:textId="77777777" w:rsidR="00B84DCD" w:rsidRPr="001C2C36" w:rsidRDefault="00B84DCD" w:rsidP="006974DC">
            <w:pPr>
              <w:pStyle w:val="NoSpacing"/>
              <w:jc w:val="center"/>
              <w:rPr>
                <w:rFonts w:cs="Times New Roman"/>
                <w:szCs w:val="24"/>
              </w:rPr>
            </w:pPr>
            <w:r w:rsidRPr="001C2C36">
              <w:rPr>
                <w:rFonts w:cs="Times New Roman"/>
                <w:szCs w:val="24"/>
              </w:rPr>
              <w:t>2117</w:t>
            </w:r>
          </w:p>
        </w:tc>
        <w:tc>
          <w:tcPr>
            <w:tcW w:w="1292" w:type="dxa"/>
            <w:tcBorders>
              <w:right w:val="single" w:sz="4" w:space="0" w:color="auto"/>
            </w:tcBorders>
            <w:vAlign w:val="center"/>
          </w:tcPr>
          <w:p w14:paraId="0194DC29" w14:textId="09D04E29" w:rsidR="00B84DCD" w:rsidRPr="001C2C36" w:rsidRDefault="00B84DCD" w:rsidP="006974DC">
            <w:pPr>
              <w:pStyle w:val="NoSpacing"/>
              <w:jc w:val="center"/>
              <w:rPr>
                <w:rFonts w:cs="Times New Roman"/>
                <w:szCs w:val="24"/>
              </w:rPr>
            </w:pPr>
            <w:r w:rsidRPr="001C2C36">
              <w:rPr>
                <w:rFonts w:cs="Times New Roman"/>
                <w:szCs w:val="24"/>
              </w:rPr>
              <w:t>1709</w:t>
            </w:r>
          </w:p>
        </w:tc>
      </w:tr>
      <w:tr w:rsidR="00B84DCD" w:rsidRPr="001C2C36" w14:paraId="58F08A7F" w14:textId="77777777" w:rsidTr="00B84DCD">
        <w:trPr>
          <w:trHeight w:val="176"/>
          <w:tblCellSpacing w:w="15" w:type="dxa"/>
          <w:jc w:val="center"/>
        </w:trPr>
        <w:tc>
          <w:tcPr>
            <w:tcW w:w="1811" w:type="dxa"/>
            <w:tcBorders>
              <w:left w:val="single" w:sz="4" w:space="0" w:color="auto"/>
            </w:tcBorders>
            <w:vAlign w:val="center"/>
          </w:tcPr>
          <w:p w14:paraId="45D40F2D" w14:textId="77777777" w:rsidR="00B84DCD" w:rsidRPr="001C2C36" w:rsidRDefault="00B84DCD" w:rsidP="005B5C35">
            <w:pPr>
              <w:pStyle w:val="NoSpacing"/>
              <w:rPr>
                <w:rFonts w:cs="Times New Roman"/>
                <w:szCs w:val="24"/>
              </w:rPr>
            </w:pPr>
            <w:r w:rsidRPr="001C2C36">
              <w:rPr>
                <w:rFonts w:cs="Times New Roman"/>
                <w:szCs w:val="24"/>
              </w:rPr>
              <w:t>AIC</w:t>
            </w:r>
          </w:p>
        </w:tc>
        <w:tc>
          <w:tcPr>
            <w:tcW w:w="1151" w:type="dxa"/>
            <w:tcBorders>
              <w:left w:val="single" w:sz="4" w:space="0" w:color="auto"/>
            </w:tcBorders>
            <w:vAlign w:val="center"/>
          </w:tcPr>
          <w:p w14:paraId="73570BEF" w14:textId="77777777" w:rsidR="00B84DCD" w:rsidRPr="001C2C36" w:rsidRDefault="00B84DCD" w:rsidP="006974DC">
            <w:pPr>
              <w:pStyle w:val="NoSpacing"/>
              <w:jc w:val="center"/>
              <w:rPr>
                <w:rFonts w:cs="Times New Roman"/>
                <w:szCs w:val="24"/>
              </w:rPr>
            </w:pPr>
            <w:r w:rsidRPr="001C2C36">
              <w:rPr>
                <w:rFonts w:cs="Times New Roman"/>
                <w:szCs w:val="24"/>
              </w:rPr>
              <w:t>2874</w:t>
            </w:r>
          </w:p>
        </w:tc>
        <w:tc>
          <w:tcPr>
            <w:tcW w:w="1154" w:type="dxa"/>
            <w:vAlign w:val="center"/>
          </w:tcPr>
          <w:p w14:paraId="3FFEE878" w14:textId="2ADE0F5C" w:rsidR="00B84DCD" w:rsidRPr="001C2C36" w:rsidRDefault="00B84DCD" w:rsidP="006974DC">
            <w:pPr>
              <w:pStyle w:val="NoSpacing"/>
              <w:jc w:val="center"/>
              <w:rPr>
                <w:rFonts w:cs="Times New Roman"/>
                <w:szCs w:val="24"/>
              </w:rPr>
            </w:pPr>
            <w:r w:rsidRPr="001C2C36">
              <w:rPr>
                <w:rFonts w:cs="Times New Roman"/>
                <w:szCs w:val="24"/>
              </w:rPr>
              <w:t>2197</w:t>
            </w:r>
          </w:p>
        </w:tc>
        <w:tc>
          <w:tcPr>
            <w:tcW w:w="564" w:type="dxa"/>
            <w:tcBorders>
              <w:right w:val="single" w:sz="4" w:space="0" w:color="auto"/>
            </w:tcBorders>
            <w:vAlign w:val="center"/>
          </w:tcPr>
          <w:p w14:paraId="312915A4" w14:textId="0DE6EA02" w:rsidR="00B84DCD" w:rsidRPr="001C2C36" w:rsidRDefault="00B84DCD" w:rsidP="006974DC">
            <w:pPr>
              <w:pStyle w:val="NoSpacing"/>
              <w:jc w:val="center"/>
              <w:rPr>
                <w:rFonts w:cs="Times New Roman"/>
                <w:szCs w:val="24"/>
              </w:rPr>
            </w:pPr>
          </w:p>
        </w:tc>
        <w:tc>
          <w:tcPr>
            <w:tcW w:w="1754" w:type="dxa"/>
            <w:vAlign w:val="center"/>
          </w:tcPr>
          <w:p w14:paraId="10300A73" w14:textId="77777777" w:rsidR="00B84DCD" w:rsidRPr="001C2C36" w:rsidRDefault="00B84DCD" w:rsidP="006974DC">
            <w:pPr>
              <w:pStyle w:val="NoSpacing"/>
              <w:jc w:val="center"/>
              <w:rPr>
                <w:rFonts w:cs="Times New Roman"/>
                <w:szCs w:val="24"/>
              </w:rPr>
            </w:pPr>
            <w:r w:rsidRPr="001C2C36">
              <w:rPr>
                <w:rFonts w:cs="Times New Roman"/>
                <w:szCs w:val="24"/>
              </w:rPr>
              <w:t>2135</w:t>
            </w:r>
          </w:p>
        </w:tc>
        <w:tc>
          <w:tcPr>
            <w:tcW w:w="1292" w:type="dxa"/>
            <w:tcBorders>
              <w:right w:val="single" w:sz="4" w:space="0" w:color="auto"/>
            </w:tcBorders>
            <w:vAlign w:val="center"/>
          </w:tcPr>
          <w:p w14:paraId="0A75F1AF" w14:textId="72ACF2F9" w:rsidR="00B84DCD" w:rsidRPr="001C2C36" w:rsidRDefault="00B84DCD" w:rsidP="006974DC">
            <w:pPr>
              <w:pStyle w:val="NoSpacing"/>
              <w:jc w:val="center"/>
              <w:rPr>
                <w:rFonts w:cs="Times New Roman"/>
                <w:szCs w:val="24"/>
              </w:rPr>
            </w:pPr>
            <w:r w:rsidRPr="001C2C36">
              <w:rPr>
                <w:rFonts w:cs="Times New Roman"/>
                <w:szCs w:val="24"/>
              </w:rPr>
              <w:t>1727</w:t>
            </w:r>
          </w:p>
        </w:tc>
      </w:tr>
      <w:tr w:rsidR="00B84DCD" w:rsidRPr="001C2C36" w14:paraId="644735F8" w14:textId="77777777" w:rsidTr="00B84DCD">
        <w:trPr>
          <w:trHeight w:val="176"/>
          <w:tblCellSpacing w:w="15" w:type="dxa"/>
          <w:jc w:val="center"/>
        </w:trPr>
        <w:tc>
          <w:tcPr>
            <w:tcW w:w="7878" w:type="dxa"/>
            <w:gridSpan w:val="6"/>
            <w:tcBorders>
              <w:top w:val="single" w:sz="4" w:space="0" w:color="auto"/>
              <w:left w:val="single" w:sz="4" w:space="0" w:color="auto"/>
              <w:bottom w:val="single" w:sz="4" w:space="0" w:color="auto"/>
              <w:right w:val="single" w:sz="4" w:space="0" w:color="auto"/>
            </w:tcBorders>
            <w:vAlign w:val="center"/>
          </w:tcPr>
          <w:p w14:paraId="7A9C9684" w14:textId="24D7B646" w:rsidR="00B84DCD" w:rsidRPr="001C2C36" w:rsidRDefault="00B84DCD" w:rsidP="005B5C35">
            <w:pPr>
              <w:pStyle w:val="NoSpacing"/>
              <w:rPr>
                <w:rFonts w:cs="Times New Roman"/>
                <w:szCs w:val="24"/>
              </w:rPr>
            </w:pPr>
            <w:r w:rsidRPr="001C2C36">
              <w:rPr>
                <w:rFonts w:cs="Times New Roman"/>
                <w:b/>
                <w:bCs/>
                <w:szCs w:val="24"/>
              </w:rPr>
              <w:t>Observations</w:t>
            </w:r>
          </w:p>
        </w:tc>
      </w:tr>
      <w:tr w:rsidR="00B84DCD" w:rsidRPr="001C2C36" w14:paraId="65BFC819" w14:textId="77777777" w:rsidTr="00B84DCD">
        <w:trPr>
          <w:trHeight w:val="176"/>
          <w:tblCellSpacing w:w="15" w:type="dxa"/>
          <w:jc w:val="center"/>
        </w:trPr>
        <w:tc>
          <w:tcPr>
            <w:tcW w:w="1811" w:type="dxa"/>
            <w:tcBorders>
              <w:left w:val="single" w:sz="4" w:space="0" w:color="auto"/>
              <w:bottom w:val="single" w:sz="4" w:space="0" w:color="auto"/>
            </w:tcBorders>
            <w:vAlign w:val="center"/>
          </w:tcPr>
          <w:p w14:paraId="792BA380" w14:textId="0E74AB97" w:rsidR="00B84DCD" w:rsidRPr="001C2C36" w:rsidRDefault="00B84DCD" w:rsidP="005B5C35">
            <w:pPr>
              <w:pStyle w:val="NoSpacing"/>
              <w:rPr>
                <w:rFonts w:cs="Times New Roman"/>
                <w:szCs w:val="24"/>
              </w:rPr>
            </w:pPr>
            <w:bookmarkStart w:id="7" w:name="_Hlk125471968"/>
          </w:p>
        </w:tc>
        <w:tc>
          <w:tcPr>
            <w:tcW w:w="1151" w:type="dxa"/>
            <w:tcBorders>
              <w:left w:val="single" w:sz="4" w:space="0" w:color="auto"/>
              <w:bottom w:val="single" w:sz="4" w:space="0" w:color="auto"/>
            </w:tcBorders>
          </w:tcPr>
          <w:p w14:paraId="1A2C4F00" w14:textId="32B316E5" w:rsidR="00B84DCD" w:rsidRPr="001C2C36" w:rsidRDefault="00B84DCD" w:rsidP="006974DC">
            <w:pPr>
              <w:pStyle w:val="NoSpacing"/>
              <w:jc w:val="center"/>
              <w:rPr>
                <w:rFonts w:cs="Times New Roman"/>
                <w:szCs w:val="24"/>
              </w:rPr>
            </w:pPr>
            <w:r w:rsidRPr="001C2C36">
              <w:rPr>
                <w:rFonts w:cs="Times New Roman"/>
                <w:szCs w:val="24"/>
              </w:rPr>
              <w:t>1,421</w:t>
            </w:r>
          </w:p>
        </w:tc>
        <w:tc>
          <w:tcPr>
            <w:tcW w:w="1154" w:type="dxa"/>
            <w:tcBorders>
              <w:bottom w:val="single" w:sz="4" w:space="0" w:color="auto"/>
            </w:tcBorders>
          </w:tcPr>
          <w:p w14:paraId="30DF8340" w14:textId="3033274D" w:rsidR="00B84DCD" w:rsidRPr="001C2C36" w:rsidRDefault="00B84DCD" w:rsidP="006974DC">
            <w:pPr>
              <w:pStyle w:val="NoSpacing"/>
              <w:jc w:val="center"/>
              <w:rPr>
                <w:rFonts w:cs="Times New Roman"/>
                <w:szCs w:val="24"/>
              </w:rPr>
            </w:pPr>
            <w:r w:rsidRPr="001C2C36">
              <w:rPr>
                <w:rFonts w:cs="Times New Roman"/>
              </w:rPr>
              <w:t>1,025</w:t>
            </w:r>
          </w:p>
        </w:tc>
        <w:tc>
          <w:tcPr>
            <w:tcW w:w="564" w:type="dxa"/>
            <w:tcBorders>
              <w:bottom w:val="single" w:sz="4" w:space="0" w:color="auto"/>
              <w:right w:val="single" w:sz="4" w:space="0" w:color="auto"/>
            </w:tcBorders>
          </w:tcPr>
          <w:p w14:paraId="09BAF656" w14:textId="2F4ABD7A" w:rsidR="00B84DCD" w:rsidRPr="001C2C36" w:rsidRDefault="00B84DCD" w:rsidP="006974DC">
            <w:pPr>
              <w:pStyle w:val="NoSpacing"/>
              <w:jc w:val="center"/>
              <w:rPr>
                <w:rFonts w:cs="Times New Roman"/>
                <w:szCs w:val="24"/>
              </w:rPr>
            </w:pPr>
          </w:p>
        </w:tc>
        <w:tc>
          <w:tcPr>
            <w:tcW w:w="1754" w:type="dxa"/>
            <w:tcBorders>
              <w:bottom w:val="single" w:sz="4" w:space="0" w:color="auto"/>
            </w:tcBorders>
          </w:tcPr>
          <w:p w14:paraId="6488EAAD" w14:textId="46898C1F" w:rsidR="00B84DCD" w:rsidRPr="001C2C36" w:rsidRDefault="00B84DCD" w:rsidP="006974DC">
            <w:pPr>
              <w:pStyle w:val="NoSpacing"/>
              <w:jc w:val="center"/>
              <w:rPr>
                <w:rFonts w:cs="Times New Roman"/>
                <w:szCs w:val="24"/>
              </w:rPr>
            </w:pPr>
            <w:r w:rsidRPr="001C2C36">
              <w:rPr>
                <w:rFonts w:cs="Times New Roman"/>
                <w:szCs w:val="24"/>
              </w:rPr>
              <w:t>1,295</w:t>
            </w:r>
          </w:p>
        </w:tc>
        <w:tc>
          <w:tcPr>
            <w:tcW w:w="1292" w:type="dxa"/>
            <w:tcBorders>
              <w:bottom w:val="single" w:sz="4" w:space="0" w:color="auto"/>
              <w:right w:val="single" w:sz="4" w:space="0" w:color="auto"/>
            </w:tcBorders>
          </w:tcPr>
          <w:p w14:paraId="739FD9D8" w14:textId="7B50D6D2" w:rsidR="00B84DCD" w:rsidRPr="001C2C36" w:rsidRDefault="00B84DCD" w:rsidP="006974DC">
            <w:pPr>
              <w:pStyle w:val="NoSpacing"/>
              <w:jc w:val="center"/>
              <w:rPr>
                <w:rFonts w:cs="Times New Roman"/>
                <w:szCs w:val="24"/>
              </w:rPr>
            </w:pPr>
            <w:r w:rsidRPr="001C2C36">
              <w:rPr>
                <w:rFonts w:cs="Times New Roman"/>
              </w:rPr>
              <w:t>925</w:t>
            </w:r>
          </w:p>
        </w:tc>
      </w:tr>
    </w:tbl>
    <w:bookmarkEnd w:id="7"/>
    <w:p w14:paraId="4511B96A" w14:textId="02059723" w:rsidR="00D36F78" w:rsidRPr="001C2C36" w:rsidRDefault="00D36F78" w:rsidP="00CF7A5E">
      <w:pPr>
        <w:spacing w:line="240" w:lineRule="auto"/>
        <w:rPr>
          <w:rFonts w:cs="Times New Roman"/>
          <w:szCs w:val="24"/>
        </w:rPr>
      </w:pPr>
      <w:r w:rsidRPr="001C2C36">
        <w:rPr>
          <w:rFonts w:cs="Times New Roman"/>
          <w:szCs w:val="24"/>
        </w:rPr>
        <w:t>Note:</w:t>
      </w:r>
      <w:r w:rsidRPr="001C2C36">
        <w:rPr>
          <w:rFonts w:cs="Times New Roman"/>
          <w:szCs w:val="24"/>
        </w:rPr>
        <w:tab/>
        <w:t xml:space="preserve">*p&lt;0.1; **p&lt;0.05; ***p&lt;0.01. The measures are reported on the logistic scale. </w:t>
      </w:r>
      <w:bookmarkEnd w:id="4"/>
      <w:r w:rsidR="008A57FF" w:rsidRPr="001C2C36">
        <w:rPr>
          <w:rFonts w:cs="Times New Roman"/>
          <w:szCs w:val="24"/>
        </w:rPr>
        <w:t xml:space="preserve">Models 3 and </w:t>
      </w:r>
      <w:r w:rsidR="00AA3AC0" w:rsidRPr="001C2C36">
        <w:rPr>
          <w:rFonts w:cs="Times New Roman"/>
          <w:szCs w:val="24"/>
        </w:rPr>
        <w:t xml:space="preserve">6 are </w:t>
      </w:r>
      <w:proofErr w:type="gramStart"/>
      <w:r w:rsidR="00AA3AC0" w:rsidRPr="001C2C36">
        <w:rPr>
          <w:rFonts w:cs="Times New Roman"/>
          <w:szCs w:val="24"/>
        </w:rPr>
        <w:t>similar to</w:t>
      </w:r>
      <w:proofErr w:type="gramEnd"/>
      <w:r w:rsidR="00AA3AC0" w:rsidRPr="001C2C36">
        <w:rPr>
          <w:rFonts w:cs="Times New Roman"/>
          <w:szCs w:val="24"/>
        </w:rPr>
        <w:t xml:space="preserve"> those reported in </w:t>
      </w:r>
      <w:r w:rsidR="002F3566" w:rsidRPr="002F3566">
        <w:rPr>
          <w:rFonts w:cs="Times New Roman"/>
          <w:szCs w:val="24"/>
        </w:rPr>
        <w:t>Table 3</w:t>
      </w:r>
      <w:r w:rsidR="00B84DCD" w:rsidRPr="001C2C36">
        <w:rPr>
          <w:rFonts w:cs="Times New Roman"/>
          <w:szCs w:val="24"/>
        </w:rPr>
        <w:t xml:space="preserve"> and include all SMEs</w:t>
      </w:r>
      <w:r w:rsidR="00AA3AC0" w:rsidRPr="001C2C36">
        <w:rPr>
          <w:rFonts w:cs="Times New Roman"/>
          <w:szCs w:val="24"/>
        </w:rPr>
        <w:t xml:space="preserve">. Models </w:t>
      </w:r>
      <w:r w:rsidR="00B84DCD" w:rsidRPr="001C2C36">
        <w:rPr>
          <w:rFonts w:cs="Times New Roman"/>
          <w:szCs w:val="24"/>
        </w:rPr>
        <w:t>11</w:t>
      </w:r>
      <w:r w:rsidR="000C3CF5" w:rsidRPr="001C2C36">
        <w:rPr>
          <w:rFonts w:cs="Times New Roman"/>
          <w:szCs w:val="24"/>
        </w:rPr>
        <w:t xml:space="preserve"> and </w:t>
      </w:r>
      <w:r w:rsidR="002D0D5D" w:rsidRPr="001C2C36">
        <w:rPr>
          <w:rFonts w:cs="Times New Roman"/>
          <w:szCs w:val="24"/>
        </w:rPr>
        <w:t>1</w:t>
      </w:r>
      <w:r w:rsidR="00B84DCD" w:rsidRPr="001C2C36">
        <w:rPr>
          <w:rFonts w:cs="Times New Roman"/>
          <w:szCs w:val="24"/>
        </w:rPr>
        <w:t>2</w:t>
      </w:r>
      <w:r w:rsidR="000C3CF5" w:rsidRPr="001C2C36">
        <w:rPr>
          <w:rFonts w:cs="Times New Roman"/>
          <w:szCs w:val="24"/>
        </w:rPr>
        <w:t xml:space="preserve"> exclude non-employing businesses</w:t>
      </w:r>
      <w:r w:rsidR="00EB142D" w:rsidRPr="001C2C36">
        <w:rPr>
          <w:rFonts w:cs="Times New Roman"/>
          <w:szCs w:val="24"/>
        </w:rPr>
        <w:t xml:space="preserve">. </w:t>
      </w:r>
    </w:p>
    <w:p w14:paraId="36CA2464" w14:textId="279D7CC1" w:rsidR="001552B7" w:rsidRPr="001C2C36" w:rsidRDefault="001552B7" w:rsidP="00741281">
      <w:pPr>
        <w:spacing w:line="259" w:lineRule="auto"/>
        <w:rPr>
          <w:rFonts w:cs="Times New Roman"/>
          <w:szCs w:val="24"/>
        </w:rPr>
      </w:pPr>
    </w:p>
    <w:sectPr w:rsidR="001552B7" w:rsidRPr="001C2C36" w:rsidSect="007C624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103598" w14:textId="77777777" w:rsidR="00084A70" w:rsidRDefault="00084A70" w:rsidP="000342CB">
      <w:pPr>
        <w:spacing w:after="0" w:line="240" w:lineRule="auto"/>
      </w:pPr>
      <w:r>
        <w:separator/>
      </w:r>
    </w:p>
  </w:endnote>
  <w:endnote w:type="continuationSeparator" w:id="0">
    <w:p w14:paraId="6DBBC266" w14:textId="77777777" w:rsidR="00084A70" w:rsidRDefault="00084A70" w:rsidP="000342CB">
      <w:pPr>
        <w:spacing w:after="0" w:line="240" w:lineRule="auto"/>
      </w:pPr>
      <w:r>
        <w:continuationSeparator/>
      </w:r>
    </w:p>
  </w:endnote>
  <w:endnote w:type="continuationNotice" w:id="1">
    <w:p w14:paraId="27F5F979" w14:textId="77777777" w:rsidR="00084A70" w:rsidRDefault="00084A70">
      <w:pPr>
        <w:spacing w:after="0" w:line="240" w:lineRule="auto"/>
      </w:pPr>
    </w:p>
  </w:endnote>
  <w:endnote w:id="2">
    <w:p w14:paraId="57D22971" w14:textId="35DD853A" w:rsidR="00A92D5F" w:rsidRPr="00925CFC" w:rsidRDefault="00A92D5F" w:rsidP="00925CFC">
      <w:pPr>
        <w:pStyle w:val="EndnoteText"/>
        <w:spacing w:line="360" w:lineRule="auto"/>
        <w:rPr>
          <w:rFonts w:cs="Times New Roman"/>
          <w:sz w:val="24"/>
          <w:szCs w:val="24"/>
        </w:rPr>
      </w:pPr>
      <w:r w:rsidRPr="00925CFC">
        <w:rPr>
          <w:rStyle w:val="EndnoteReference"/>
          <w:rFonts w:cs="Times New Roman"/>
          <w:sz w:val="24"/>
          <w:szCs w:val="24"/>
        </w:rPr>
        <w:endnoteRef/>
      </w:r>
      <w:r w:rsidRPr="00925CFC">
        <w:rPr>
          <w:rFonts w:cs="Times New Roman"/>
          <w:sz w:val="24"/>
          <w:szCs w:val="24"/>
        </w:rPr>
        <w:t xml:space="preserve"> For instance, supermarkets and other food retailers were required to adhere to social distancing measures, including the severe regulation of footfall and restaurant services were limited to only home delivery or collections </w:t>
      </w:r>
      <w:r w:rsidRPr="00925CFC">
        <w:rPr>
          <w:rFonts w:cs="Times New Roman"/>
          <w:sz w:val="24"/>
          <w:szCs w:val="24"/>
        </w:rPr>
        <w:fldChar w:fldCharType="begin" w:fldLock="1"/>
      </w:r>
      <w:r w:rsidRPr="00925CFC">
        <w:rPr>
          <w:rFonts w:cs="Times New Roman"/>
          <w:sz w:val="24"/>
          <w:szCs w:val="24"/>
        </w:rPr>
        <w:instrText>ADDIN CSL_CITATION {"citationItems":[{"id":"ITEM-1","itemData":{"ISSN":"0029-5582","URL":"https://researchbriefings.files.parliament.uk/documents/CBP-8875/CBP-8875.pdf","author":[{"dropping-particle":"","family":"Barber","given":"Sarah","non-dropping-particle":"","parse-names":false,"suffix":""},{"dropping-particle":"","family":"Brown","given":"Jennifer","non-dropping-particle":"","parse-names":false,"suffix":""},{"dropping-particle":"","family":"Ferguson","given":"Daniel","non-dropping-particle":"","parse-names":false,"suffix":""}],"id":"ITEM-1","issued":{"date-parts":[["2022"]]},"title":"Coronavirus: lockdown laws","type":"webpage"},"uris":["http://www.mendeley.com/documents/?uuid=9554369c-86a8-48ae-96ea-1a4628d90f1f"]},{"id":"ITEM-2","itemData":{"author":[{"dropping-particle":"","family":"Brown","given":"Jennifer","non-dropping-particle":"","parse-names":false,"suffix":""},{"dropping-particle":"","family":"Kirk-Wade","given":"Esme","non-dropping-particle":"","parse-names":false,"suffix":""}],"container-title":"UK Parliament","id":"ITEM-2","issued":{"date-parts":[["2021"]]},"number-of-pages":"1-44","title":"Coronavirus: A history of English lockdown laws - House of Commons Library","type":"report"},"uris":["http://www.mendeley.com/documents/?uuid=068ee020-9864-4b8d-9733-78d37dbb870f"]}],"mendeley":{"formattedCitation":"(Barber et al., 2022; Brown and Kirk-Wade, 2021)","plainTextFormattedCitation":"(Barber et al., 2022; Brown and Kirk-Wade, 2021)","previouslyFormattedCitation":"(Barber et al., 2022; Brown and Kirk-Wade, 2021)"},"properties":{"noteIndex":0},"schema":"https://github.com/citation-style-language/schema/raw/master/csl-citation.json"}</w:instrText>
      </w:r>
      <w:r w:rsidRPr="00925CFC">
        <w:rPr>
          <w:rFonts w:cs="Times New Roman"/>
          <w:sz w:val="24"/>
          <w:szCs w:val="24"/>
        </w:rPr>
        <w:fldChar w:fldCharType="separate"/>
      </w:r>
      <w:r w:rsidRPr="00925CFC">
        <w:rPr>
          <w:rFonts w:cs="Times New Roman"/>
          <w:noProof/>
          <w:sz w:val="24"/>
          <w:szCs w:val="24"/>
        </w:rPr>
        <w:t>(Barber et al., 2022; Brown and Kirk-Wade, 2021)</w:t>
      </w:r>
      <w:r w:rsidRPr="00925CFC">
        <w:rPr>
          <w:rFonts w:cs="Times New Roman"/>
          <w:sz w:val="24"/>
          <w:szCs w:val="24"/>
        </w:rPr>
        <w:fldChar w:fldCharType="end"/>
      </w:r>
      <w:r w:rsidRPr="00925CFC">
        <w:rPr>
          <w:rFonts w:cs="Times New Roman"/>
          <w:sz w:val="24"/>
          <w:szCs w:val="24"/>
        </w:rPr>
        <w:t>.</w:t>
      </w:r>
    </w:p>
  </w:endnote>
  <w:endnote w:id="3">
    <w:p w14:paraId="4C048A2D" w14:textId="3E3C3081" w:rsidR="00A92D5F" w:rsidRPr="00925CFC" w:rsidRDefault="00A92D5F" w:rsidP="003B1866">
      <w:pPr>
        <w:spacing w:after="0"/>
      </w:pPr>
      <w:r w:rsidRPr="00925CFC">
        <w:rPr>
          <w:rStyle w:val="EndnoteReference"/>
          <w:rFonts w:cs="Times New Roman"/>
          <w:szCs w:val="24"/>
        </w:rPr>
        <w:endnoteRef/>
      </w:r>
      <w:r w:rsidRPr="00925CFC">
        <w:t xml:space="preserve"> These and other support initiatives are now estimated to cost over £147 billion, an increase of 61% from the original estimates at the point of announcements </w:t>
      </w:r>
      <w:r w:rsidRPr="00925CFC">
        <w:fldChar w:fldCharType="begin" w:fldLock="1"/>
      </w:r>
      <w:r w:rsidRPr="00925CFC">
        <w:instrText>ADDIN CSL_CITATION {"citationItems":[{"id":"ITEM-1","itemData":{"URL":"https://www.nao.org.uk/overviews/covid-19-cost-tracker/","accessed":{"date-parts":[["2022","9","2"]]},"author":[{"dropping-particle":"","family":"National Audit Office","given":"","non-dropping-particle":"","parse-names":false,"suffix":""}],"id":"ITEM-1","issued":{"date-parts":[["2022"]]},"title":"COVID-19 cost tracker","type":"webpage"},"uris":["http://www.mendeley.com/documents/?uuid=a4de55d6-e658-40b7-a03a-d84c51021f8e","http://www.mendeley.com/documents/?uuid=c7c101bb-57e0-4b7e-b3fc-f64a55861372"]}],"mendeley":{"formattedCitation":"(National Audit Office, 2022)","plainTextFormattedCitation":"(National Audit Office, 2022)","previouslyFormattedCitation":"(National Audit Office, 2022)"},"properties":{"noteIndex":0},"schema":"https://github.com/citation-style-language/schema/raw/master/csl-citation.json"}</w:instrText>
      </w:r>
      <w:r w:rsidRPr="00925CFC">
        <w:fldChar w:fldCharType="separate"/>
      </w:r>
      <w:r w:rsidRPr="00925CFC">
        <w:rPr>
          <w:noProof/>
        </w:rPr>
        <w:t>(National Audit Office, 2022)</w:t>
      </w:r>
      <w:r w:rsidRPr="00925CFC">
        <w:fldChar w:fldCharType="end"/>
      </w:r>
      <w:r w:rsidRPr="00925CFC">
        <w:t>.</w:t>
      </w:r>
    </w:p>
  </w:endnote>
  <w:endnote w:id="4">
    <w:p w14:paraId="7918537A" w14:textId="77777777" w:rsidR="00A92D5F" w:rsidRDefault="00A92D5F" w:rsidP="00925CFC">
      <w:pPr>
        <w:pStyle w:val="EndnoteText"/>
        <w:spacing w:line="360" w:lineRule="auto"/>
      </w:pPr>
      <w:r w:rsidRPr="00925CFC">
        <w:rPr>
          <w:rStyle w:val="EndnoteReference"/>
          <w:rFonts w:cs="Times New Roman"/>
          <w:sz w:val="24"/>
          <w:szCs w:val="24"/>
        </w:rPr>
        <w:endnoteRef/>
      </w:r>
      <w:r w:rsidRPr="00925CFC">
        <w:rPr>
          <w:rFonts w:cs="Times New Roman"/>
          <w:sz w:val="24"/>
          <w:szCs w:val="24"/>
        </w:rPr>
        <w:t xml:space="preserve"> This was done to ensure that the periods of observation do not overlap. Fieldwork for the 2020 survey was conducted between September 2020 and April 2021. The</w:t>
      </w:r>
      <w:r w:rsidR="007E3943">
        <w:rPr>
          <w:rFonts w:cs="Times New Roman"/>
          <w:sz w:val="24"/>
          <w:szCs w:val="24"/>
        </w:rPr>
        <w:t xml:space="preserve"> complete</w:t>
      </w:r>
      <w:r w:rsidRPr="00925CFC">
        <w:rPr>
          <w:rFonts w:cs="Times New Roman"/>
          <w:sz w:val="24"/>
          <w:szCs w:val="24"/>
        </w:rPr>
        <w:t xml:space="preserve"> 2020 sample consists of responses from 7,636 SMEs. Due to missing data, the sample was reduced to 7,625 usable responses for </w:t>
      </w:r>
      <w:r w:rsidR="007E3943">
        <w:rPr>
          <w:rFonts w:cs="Times New Roman"/>
          <w:sz w:val="24"/>
          <w:szCs w:val="24"/>
        </w:rPr>
        <w:t>the sensitivity</w:t>
      </w:r>
      <w:r w:rsidRPr="00925CFC">
        <w:rPr>
          <w:rFonts w:cs="Times New Roman"/>
          <w:sz w:val="24"/>
          <w:szCs w:val="24"/>
        </w:rPr>
        <w:t xml:space="preserve"> analysis focusing on employment change between 2019 and 2020 and 7,156 on employment change between 2020 and 2021</w:t>
      </w:r>
      <w:r w:rsidR="007E3943">
        <w:rPr>
          <w:rFonts w:cs="Times New Roman"/>
          <w:sz w:val="24"/>
          <w:szCs w:val="24"/>
        </w:rPr>
        <w:t xml:space="preserve"> that are </w:t>
      </w:r>
      <w:r w:rsidR="00003698">
        <w:rPr>
          <w:rFonts w:cs="Times New Roman"/>
          <w:sz w:val="24"/>
          <w:szCs w:val="24"/>
        </w:rPr>
        <w:t xml:space="preserve">reported in </w:t>
      </w:r>
      <w:r w:rsidR="00263352">
        <w:rPr>
          <w:rFonts w:cs="Times New Roman"/>
          <w:sz w:val="24"/>
          <w:szCs w:val="24"/>
        </w:rPr>
        <w:t xml:space="preserve">Appendix </w:t>
      </w:r>
      <w:r w:rsidR="008C3132">
        <w:rPr>
          <w:rFonts w:cs="Times New Roman"/>
          <w:sz w:val="24"/>
          <w:szCs w:val="24"/>
        </w:rPr>
        <w:t>2</w:t>
      </w:r>
      <w:r w:rsidR="002C0F28">
        <w:rPr>
          <w:rFonts w:cs="Times New Roman"/>
          <w:sz w:val="24"/>
          <w:szCs w:val="24"/>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0763338"/>
      <w:docPartObj>
        <w:docPartGallery w:val="Page Numbers (Bottom of Page)"/>
        <w:docPartUnique/>
      </w:docPartObj>
    </w:sdtPr>
    <w:sdtEndPr>
      <w:rPr>
        <w:noProof/>
      </w:rPr>
    </w:sdtEndPr>
    <w:sdtContent>
      <w:p w14:paraId="2D8D8790" w14:textId="196843E6" w:rsidR="006615BB" w:rsidRDefault="006615BB">
        <w:pPr>
          <w:pStyle w:val="Footer"/>
          <w:jc w:val="center"/>
        </w:pPr>
        <w:r>
          <w:fldChar w:fldCharType="begin"/>
        </w:r>
        <w:r>
          <w:instrText xml:space="preserve"> PAGE   \* MERGEFORMAT </w:instrText>
        </w:r>
        <w:r>
          <w:fldChar w:fldCharType="separate"/>
        </w:r>
        <w:r w:rsidR="00626FA3">
          <w:rPr>
            <w:noProof/>
          </w:rPr>
          <w:t>19</w:t>
        </w:r>
        <w:r>
          <w:rPr>
            <w:noProof/>
          </w:rPr>
          <w:fldChar w:fldCharType="end"/>
        </w:r>
      </w:p>
    </w:sdtContent>
  </w:sdt>
  <w:p w14:paraId="587710B6" w14:textId="77777777" w:rsidR="006615BB" w:rsidRDefault="006615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6AEE4B" w14:textId="77777777" w:rsidR="00084A70" w:rsidRDefault="00084A70" w:rsidP="000342CB">
      <w:pPr>
        <w:spacing w:after="0" w:line="240" w:lineRule="auto"/>
      </w:pPr>
      <w:r>
        <w:separator/>
      </w:r>
    </w:p>
  </w:footnote>
  <w:footnote w:type="continuationSeparator" w:id="0">
    <w:p w14:paraId="1F372F20" w14:textId="77777777" w:rsidR="00084A70" w:rsidRDefault="00084A70" w:rsidP="000342CB">
      <w:pPr>
        <w:spacing w:after="0" w:line="240" w:lineRule="auto"/>
      </w:pPr>
      <w:r>
        <w:continuationSeparator/>
      </w:r>
    </w:p>
  </w:footnote>
  <w:footnote w:type="continuationNotice" w:id="1">
    <w:p w14:paraId="5EB38E6B" w14:textId="77777777" w:rsidR="00084A70" w:rsidRDefault="00084A70">
      <w:pPr>
        <w:spacing w:after="0" w:line="240" w:lineRule="auto"/>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SpellingErrors/>
  <w:hideGrammaticalErrors/>
  <w:proofState w:spelling="clean" w:grammar="clean"/>
  <w:defaultTabStop w:val="720"/>
  <w:characterSpacingControl w:val="doNotCompress"/>
  <w:hdrShapeDefaults>
    <o:shapedefaults v:ext="edit" spidmax="2050"/>
  </w:hdrShapeDefaults>
  <w:footnotePr>
    <w:footnote w:id="-1"/>
    <w:footnote w:id="0"/>
    <w:footnote w:id="1"/>
  </w:footnotePr>
  <w:endnotePr>
    <w:pos w:val="sectEnd"/>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LIwNzU2MjUzNzCxMDFS0lEKTi0uzszPAykwNDKrBQBAdruSLgAAAA=="/>
  </w:docVars>
  <w:rsids>
    <w:rsidRoot w:val="000A7496"/>
    <w:rsid w:val="0000035B"/>
    <w:rsid w:val="000005AC"/>
    <w:rsid w:val="00000887"/>
    <w:rsid w:val="00000C00"/>
    <w:rsid w:val="00000DB1"/>
    <w:rsid w:val="0000159B"/>
    <w:rsid w:val="00001C68"/>
    <w:rsid w:val="00001D91"/>
    <w:rsid w:val="0000221A"/>
    <w:rsid w:val="000023C8"/>
    <w:rsid w:val="000028A8"/>
    <w:rsid w:val="00002B48"/>
    <w:rsid w:val="00002FF4"/>
    <w:rsid w:val="000030D7"/>
    <w:rsid w:val="00003698"/>
    <w:rsid w:val="00003C86"/>
    <w:rsid w:val="00003EE3"/>
    <w:rsid w:val="00003FD8"/>
    <w:rsid w:val="00004012"/>
    <w:rsid w:val="000047A3"/>
    <w:rsid w:val="00004D27"/>
    <w:rsid w:val="000051D3"/>
    <w:rsid w:val="00005C2A"/>
    <w:rsid w:val="000064AC"/>
    <w:rsid w:val="00006B64"/>
    <w:rsid w:val="00006F1D"/>
    <w:rsid w:val="00007270"/>
    <w:rsid w:val="000075AA"/>
    <w:rsid w:val="0000780B"/>
    <w:rsid w:val="00007836"/>
    <w:rsid w:val="000079ED"/>
    <w:rsid w:val="00007FF9"/>
    <w:rsid w:val="00010655"/>
    <w:rsid w:val="00010978"/>
    <w:rsid w:val="00010A5F"/>
    <w:rsid w:val="00010BA1"/>
    <w:rsid w:val="00010CD3"/>
    <w:rsid w:val="00010D0B"/>
    <w:rsid w:val="00010D15"/>
    <w:rsid w:val="00011DB0"/>
    <w:rsid w:val="00011E90"/>
    <w:rsid w:val="00011EF9"/>
    <w:rsid w:val="00012119"/>
    <w:rsid w:val="0001262F"/>
    <w:rsid w:val="00012AF9"/>
    <w:rsid w:val="00012EDC"/>
    <w:rsid w:val="0001312A"/>
    <w:rsid w:val="000132CD"/>
    <w:rsid w:val="0001418A"/>
    <w:rsid w:val="0001432C"/>
    <w:rsid w:val="00015052"/>
    <w:rsid w:val="00015812"/>
    <w:rsid w:val="00015D4E"/>
    <w:rsid w:val="00015ECF"/>
    <w:rsid w:val="000168A0"/>
    <w:rsid w:val="00016F00"/>
    <w:rsid w:val="00016F6F"/>
    <w:rsid w:val="0001732A"/>
    <w:rsid w:val="00017585"/>
    <w:rsid w:val="00017943"/>
    <w:rsid w:val="00020889"/>
    <w:rsid w:val="00020931"/>
    <w:rsid w:val="00020D5C"/>
    <w:rsid w:val="000213D1"/>
    <w:rsid w:val="00021790"/>
    <w:rsid w:val="000217CC"/>
    <w:rsid w:val="00021804"/>
    <w:rsid w:val="00021830"/>
    <w:rsid w:val="00021A52"/>
    <w:rsid w:val="00022AA2"/>
    <w:rsid w:val="00022AD1"/>
    <w:rsid w:val="0002318D"/>
    <w:rsid w:val="0002324B"/>
    <w:rsid w:val="00023387"/>
    <w:rsid w:val="0002388E"/>
    <w:rsid w:val="00023B92"/>
    <w:rsid w:val="0002401E"/>
    <w:rsid w:val="00024219"/>
    <w:rsid w:val="00024366"/>
    <w:rsid w:val="000243F6"/>
    <w:rsid w:val="00024548"/>
    <w:rsid w:val="000246D4"/>
    <w:rsid w:val="000249A3"/>
    <w:rsid w:val="000249BA"/>
    <w:rsid w:val="000250D7"/>
    <w:rsid w:val="0002536B"/>
    <w:rsid w:val="000255CE"/>
    <w:rsid w:val="000257A5"/>
    <w:rsid w:val="00025A1C"/>
    <w:rsid w:val="00026012"/>
    <w:rsid w:val="0002628A"/>
    <w:rsid w:val="000268AE"/>
    <w:rsid w:val="00026C0D"/>
    <w:rsid w:val="00026EAF"/>
    <w:rsid w:val="000277FB"/>
    <w:rsid w:val="0002797C"/>
    <w:rsid w:val="00027BA2"/>
    <w:rsid w:val="00030048"/>
    <w:rsid w:val="0003026C"/>
    <w:rsid w:val="000309F7"/>
    <w:rsid w:val="0003145B"/>
    <w:rsid w:val="00031562"/>
    <w:rsid w:val="000315B8"/>
    <w:rsid w:val="00032BB7"/>
    <w:rsid w:val="00033017"/>
    <w:rsid w:val="00033264"/>
    <w:rsid w:val="0003420C"/>
    <w:rsid w:val="000342CB"/>
    <w:rsid w:val="00034801"/>
    <w:rsid w:val="00034BCB"/>
    <w:rsid w:val="0003649F"/>
    <w:rsid w:val="00036702"/>
    <w:rsid w:val="00036B1C"/>
    <w:rsid w:val="00036FD3"/>
    <w:rsid w:val="00037402"/>
    <w:rsid w:val="00037438"/>
    <w:rsid w:val="000376D0"/>
    <w:rsid w:val="00037811"/>
    <w:rsid w:val="000378AE"/>
    <w:rsid w:val="000404EC"/>
    <w:rsid w:val="00040667"/>
    <w:rsid w:val="00040BAD"/>
    <w:rsid w:val="00041088"/>
    <w:rsid w:val="00041116"/>
    <w:rsid w:val="00041142"/>
    <w:rsid w:val="000411A4"/>
    <w:rsid w:val="0004186E"/>
    <w:rsid w:val="00041FA8"/>
    <w:rsid w:val="000422BB"/>
    <w:rsid w:val="00042816"/>
    <w:rsid w:val="00042A01"/>
    <w:rsid w:val="00042D00"/>
    <w:rsid w:val="00042D9B"/>
    <w:rsid w:val="00043191"/>
    <w:rsid w:val="00043830"/>
    <w:rsid w:val="00043C49"/>
    <w:rsid w:val="00044CE3"/>
    <w:rsid w:val="00045616"/>
    <w:rsid w:val="0004651E"/>
    <w:rsid w:val="00047222"/>
    <w:rsid w:val="0004758C"/>
    <w:rsid w:val="0004784B"/>
    <w:rsid w:val="000479B0"/>
    <w:rsid w:val="00047AA8"/>
    <w:rsid w:val="00047FE5"/>
    <w:rsid w:val="00050669"/>
    <w:rsid w:val="00050704"/>
    <w:rsid w:val="0005072D"/>
    <w:rsid w:val="000507F2"/>
    <w:rsid w:val="00050807"/>
    <w:rsid w:val="00050B27"/>
    <w:rsid w:val="00050EFE"/>
    <w:rsid w:val="0005126D"/>
    <w:rsid w:val="00051499"/>
    <w:rsid w:val="000516C1"/>
    <w:rsid w:val="0005178C"/>
    <w:rsid w:val="00051961"/>
    <w:rsid w:val="00051BA8"/>
    <w:rsid w:val="00051BF2"/>
    <w:rsid w:val="00052175"/>
    <w:rsid w:val="000522B0"/>
    <w:rsid w:val="00052469"/>
    <w:rsid w:val="000529B5"/>
    <w:rsid w:val="00052BB3"/>
    <w:rsid w:val="00052F14"/>
    <w:rsid w:val="00053366"/>
    <w:rsid w:val="00053543"/>
    <w:rsid w:val="0005386A"/>
    <w:rsid w:val="00053B1A"/>
    <w:rsid w:val="00053E64"/>
    <w:rsid w:val="00053E90"/>
    <w:rsid w:val="00054083"/>
    <w:rsid w:val="000549F5"/>
    <w:rsid w:val="000554EF"/>
    <w:rsid w:val="000556C5"/>
    <w:rsid w:val="00055B8D"/>
    <w:rsid w:val="00055FDC"/>
    <w:rsid w:val="0005651D"/>
    <w:rsid w:val="00056908"/>
    <w:rsid w:val="0005698A"/>
    <w:rsid w:val="000573FF"/>
    <w:rsid w:val="00057935"/>
    <w:rsid w:val="00057A56"/>
    <w:rsid w:val="00057A6B"/>
    <w:rsid w:val="00057B12"/>
    <w:rsid w:val="00057C37"/>
    <w:rsid w:val="00057D73"/>
    <w:rsid w:val="00057E5D"/>
    <w:rsid w:val="000608CD"/>
    <w:rsid w:val="00060AA0"/>
    <w:rsid w:val="00060BA6"/>
    <w:rsid w:val="00060F2A"/>
    <w:rsid w:val="0006114B"/>
    <w:rsid w:val="00061503"/>
    <w:rsid w:val="0006155B"/>
    <w:rsid w:val="00061829"/>
    <w:rsid w:val="000619C7"/>
    <w:rsid w:val="00061EC8"/>
    <w:rsid w:val="000621B1"/>
    <w:rsid w:val="0006279D"/>
    <w:rsid w:val="000627CC"/>
    <w:rsid w:val="00062926"/>
    <w:rsid w:val="00062E25"/>
    <w:rsid w:val="00063643"/>
    <w:rsid w:val="000636C1"/>
    <w:rsid w:val="000639C6"/>
    <w:rsid w:val="000640B8"/>
    <w:rsid w:val="00064561"/>
    <w:rsid w:val="00065084"/>
    <w:rsid w:val="000658F1"/>
    <w:rsid w:val="000667C3"/>
    <w:rsid w:val="0006687C"/>
    <w:rsid w:val="0006714C"/>
    <w:rsid w:val="0006727F"/>
    <w:rsid w:val="0006791D"/>
    <w:rsid w:val="000679A4"/>
    <w:rsid w:val="00067E23"/>
    <w:rsid w:val="0007031D"/>
    <w:rsid w:val="000710FF"/>
    <w:rsid w:val="000711B5"/>
    <w:rsid w:val="00071467"/>
    <w:rsid w:val="0007183D"/>
    <w:rsid w:val="00072162"/>
    <w:rsid w:val="000722E6"/>
    <w:rsid w:val="00072B45"/>
    <w:rsid w:val="00072DC1"/>
    <w:rsid w:val="000730FF"/>
    <w:rsid w:val="00073363"/>
    <w:rsid w:val="0007338F"/>
    <w:rsid w:val="000733FA"/>
    <w:rsid w:val="000734CE"/>
    <w:rsid w:val="000738DC"/>
    <w:rsid w:val="000743A7"/>
    <w:rsid w:val="00074583"/>
    <w:rsid w:val="000746F9"/>
    <w:rsid w:val="00074821"/>
    <w:rsid w:val="00074B74"/>
    <w:rsid w:val="00074F0B"/>
    <w:rsid w:val="0007523A"/>
    <w:rsid w:val="0007596A"/>
    <w:rsid w:val="00075C48"/>
    <w:rsid w:val="00076346"/>
    <w:rsid w:val="00076682"/>
    <w:rsid w:val="00076C26"/>
    <w:rsid w:val="00076CD9"/>
    <w:rsid w:val="00076F53"/>
    <w:rsid w:val="00077247"/>
    <w:rsid w:val="00077507"/>
    <w:rsid w:val="000776F8"/>
    <w:rsid w:val="00077AC2"/>
    <w:rsid w:val="00077B27"/>
    <w:rsid w:val="00077DA5"/>
    <w:rsid w:val="00077DF3"/>
    <w:rsid w:val="00080476"/>
    <w:rsid w:val="0008092E"/>
    <w:rsid w:val="00081075"/>
    <w:rsid w:val="000810E1"/>
    <w:rsid w:val="00081DA4"/>
    <w:rsid w:val="00081F9E"/>
    <w:rsid w:val="000821D8"/>
    <w:rsid w:val="000827AA"/>
    <w:rsid w:val="00082B68"/>
    <w:rsid w:val="00082F7D"/>
    <w:rsid w:val="000831A4"/>
    <w:rsid w:val="000834A1"/>
    <w:rsid w:val="0008357B"/>
    <w:rsid w:val="000837D3"/>
    <w:rsid w:val="00083B14"/>
    <w:rsid w:val="00083D3C"/>
    <w:rsid w:val="00083D42"/>
    <w:rsid w:val="0008450B"/>
    <w:rsid w:val="00084A70"/>
    <w:rsid w:val="00084DC0"/>
    <w:rsid w:val="000859C6"/>
    <w:rsid w:val="00085FF7"/>
    <w:rsid w:val="000863CB"/>
    <w:rsid w:val="00086A25"/>
    <w:rsid w:val="00086C07"/>
    <w:rsid w:val="00086D1A"/>
    <w:rsid w:val="00087501"/>
    <w:rsid w:val="00087B4A"/>
    <w:rsid w:val="0009022A"/>
    <w:rsid w:val="00090275"/>
    <w:rsid w:val="000907A1"/>
    <w:rsid w:val="00090AD2"/>
    <w:rsid w:val="00090C76"/>
    <w:rsid w:val="00090D11"/>
    <w:rsid w:val="00090E39"/>
    <w:rsid w:val="000915DB"/>
    <w:rsid w:val="00091F69"/>
    <w:rsid w:val="000926EE"/>
    <w:rsid w:val="000927A3"/>
    <w:rsid w:val="0009286B"/>
    <w:rsid w:val="0009390D"/>
    <w:rsid w:val="00093A10"/>
    <w:rsid w:val="00093A8E"/>
    <w:rsid w:val="00093D92"/>
    <w:rsid w:val="000943B3"/>
    <w:rsid w:val="000945BA"/>
    <w:rsid w:val="00094A8E"/>
    <w:rsid w:val="00094C02"/>
    <w:rsid w:val="00094EA6"/>
    <w:rsid w:val="0009564C"/>
    <w:rsid w:val="0009575A"/>
    <w:rsid w:val="0009596B"/>
    <w:rsid w:val="00095A72"/>
    <w:rsid w:val="00095BBC"/>
    <w:rsid w:val="000965CE"/>
    <w:rsid w:val="00096E29"/>
    <w:rsid w:val="00097496"/>
    <w:rsid w:val="000A00F5"/>
    <w:rsid w:val="000A0696"/>
    <w:rsid w:val="000A07A5"/>
    <w:rsid w:val="000A0C35"/>
    <w:rsid w:val="000A1007"/>
    <w:rsid w:val="000A14E5"/>
    <w:rsid w:val="000A2070"/>
    <w:rsid w:val="000A22C3"/>
    <w:rsid w:val="000A22D6"/>
    <w:rsid w:val="000A2B34"/>
    <w:rsid w:val="000A2D94"/>
    <w:rsid w:val="000A2DC9"/>
    <w:rsid w:val="000A2E08"/>
    <w:rsid w:val="000A3000"/>
    <w:rsid w:val="000A3035"/>
    <w:rsid w:val="000A3934"/>
    <w:rsid w:val="000A4062"/>
    <w:rsid w:val="000A4167"/>
    <w:rsid w:val="000A4544"/>
    <w:rsid w:val="000A458F"/>
    <w:rsid w:val="000A477E"/>
    <w:rsid w:val="000A4838"/>
    <w:rsid w:val="000A494B"/>
    <w:rsid w:val="000A4AC5"/>
    <w:rsid w:val="000A4DAB"/>
    <w:rsid w:val="000A4E21"/>
    <w:rsid w:val="000A4FB8"/>
    <w:rsid w:val="000A5569"/>
    <w:rsid w:val="000A5CDC"/>
    <w:rsid w:val="000A5FFD"/>
    <w:rsid w:val="000A608F"/>
    <w:rsid w:val="000A60F6"/>
    <w:rsid w:val="000A64FB"/>
    <w:rsid w:val="000A6587"/>
    <w:rsid w:val="000A681D"/>
    <w:rsid w:val="000A6D66"/>
    <w:rsid w:val="000A6E41"/>
    <w:rsid w:val="000A6E5B"/>
    <w:rsid w:val="000A6E86"/>
    <w:rsid w:val="000A71F8"/>
    <w:rsid w:val="000A7496"/>
    <w:rsid w:val="000A74E9"/>
    <w:rsid w:val="000A7990"/>
    <w:rsid w:val="000B020A"/>
    <w:rsid w:val="000B030B"/>
    <w:rsid w:val="000B0327"/>
    <w:rsid w:val="000B0B0E"/>
    <w:rsid w:val="000B0BB5"/>
    <w:rsid w:val="000B1363"/>
    <w:rsid w:val="000B1656"/>
    <w:rsid w:val="000B1701"/>
    <w:rsid w:val="000B18AF"/>
    <w:rsid w:val="000B1F7C"/>
    <w:rsid w:val="000B2012"/>
    <w:rsid w:val="000B26E9"/>
    <w:rsid w:val="000B26F9"/>
    <w:rsid w:val="000B2F18"/>
    <w:rsid w:val="000B30E4"/>
    <w:rsid w:val="000B3BCB"/>
    <w:rsid w:val="000B3C4F"/>
    <w:rsid w:val="000B3CA7"/>
    <w:rsid w:val="000B4B11"/>
    <w:rsid w:val="000B4C0F"/>
    <w:rsid w:val="000B4CEE"/>
    <w:rsid w:val="000B4D81"/>
    <w:rsid w:val="000B53AD"/>
    <w:rsid w:val="000B5756"/>
    <w:rsid w:val="000B5898"/>
    <w:rsid w:val="000B5BF3"/>
    <w:rsid w:val="000B5CE3"/>
    <w:rsid w:val="000B5EBE"/>
    <w:rsid w:val="000B6BCB"/>
    <w:rsid w:val="000B6EE0"/>
    <w:rsid w:val="000C0133"/>
    <w:rsid w:val="000C013E"/>
    <w:rsid w:val="000C04D5"/>
    <w:rsid w:val="000C06D9"/>
    <w:rsid w:val="000C07CE"/>
    <w:rsid w:val="000C093A"/>
    <w:rsid w:val="000C0B36"/>
    <w:rsid w:val="000C145E"/>
    <w:rsid w:val="000C21B6"/>
    <w:rsid w:val="000C2459"/>
    <w:rsid w:val="000C2753"/>
    <w:rsid w:val="000C2905"/>
    <w:rsid w:val="000C2AB8"/>
    <w:rsid w:val="000C2AF6"/>
    <w:rsid w:val="000C306D"/>
    <w:rsid w:val="000C32A4"/>
    <w:rsid w:val="000C350D"/>
    <w:rsid w:val="000C3682"/>
    <w:rsid w:val="000C3CF5"/>
    <w:rsid w:val="000C3E71"/>
    <w:rsid w:val="000C3FDF"/>
    <w:rsid w:val="000C4324"/>
    <w:rsid w:val="000C477D"/>
    <w:rsid w:val="000C489E"/>
    <w:rsid w:val="000C4B8D"/>
    <w:rsid w:val="000C5463"/>
    <w:rsid w:val="000C54B1"/>
    <w:rsid w:val="000C5551"/>
    <w:rsid w:val="000C568E"/>
    <w:rsid w:val="000C59EC"/>
    <w:rsid w:val="000C5AEE"/>
    <w:rsid w:val="000C61E9"/>
    <w:rsid w:val="000C68FF"/>
    <w:rsid w:val="000C6AC4"/>
    <w:rsid w:val="000C6D3B"/>
    <w:rsid w:val="000D0045"/>
    <w:rsid w:val="000D00A7"/>
    <w:rsid w:val="000D04C9"/>
    <w:rsid w:val="000D04E0"/>
    <w:rsid w:val="000D0BEA"/>
    <w:rsid w:val="000D0C16"/>
    <w:rsid w:val="000D11AA"/>
    <w:rsid w:val="000D1205"/>
    <w:rsid w:val="000D1F74"/>
    <w:rsid w:val="000D2462"/>
    <w:rsid w:val="000D2687"/>
    <w:rsid w:val="000D2992"/>
    <w:rsid w:val="000D3738"/>
    <w:rsid w:val="000D410F"/>
    <w:rsid w:val="000D429A"/>
    <w:rsid w:val="000D439D"/>
    <w:rsid w:val="000D4B76"/>
    <w:rsid w:val="000D4D69"/>
    <w:rsid w:val="000D4EE7"/>
    <w:rsid w:val="000D5401"/>
    <w:rsid w:val="000D56BE"/>
    <w:rsid w:val="000D5CD4"/>
    <w:rsid w:val="000D5D50"/>
    <w:rsid w:val="000D5E6A"/>
    <w:rsid w:val="000D5FB5"/>
    <w:rsid w:val="000D63C2"/>
    <w:rsid w:val="000D69ED"/>
    <w:rsid w:val="000D6A00"/>
    <w:rsid w:val="000D79CE"/>
    <w:rsid w:val="000D7A76"/>
    <w:rsid w:val="000D7D8C"/>
    <w:rsid w:val="000D7EC7"/>
    <w:rsid w:val="000E0037"/>
    <w:rsid w:val="000E05D0"/>
    <w:rsid w:val="000E071C"/>
    <w:rsid w:val="000E0B95"/>
    <w:rsid w:val="000E0FD7"/>
    <w:rsid w:val="000E14C3"/>
    <w:rsid w:val="000E2BE2"/>
    <w:rsid w:val="000E2C6C"/>
    <w:rsid w:val="000E357B"/>
    <w:rsid w:val="000E382B"/>
    <w:rsid w:val="000E3B03"/>
    <w:rsid w:val="000E42DB"/>
    <w:rsid w:val="000E46B8"/>
    <w:rsid w:val="000E48F3"/>
    <w:rsid w:val="000E4973"/>
    <w:rsid w:val="000E4D26"/>
    <w:rsid w:val="000E613A"/>
    <w:rsid w:val="000E616A"/>
    <w:rsid w:val="000E6FD4"/>
    <w:rsid w:val="000E78C2"/>
    <w:rsid w:val="000E79F1"/>
    <w:rsid w:val="000E7C69"/>
    <w:rsid w:val="000E7DA2"/>
    <w:rsid w:val="000F02C5"/>
    <w:rsid w:val="000F02E2"/>
    <w:rsid w:val="000F07B8"/>
    <w:rsid w:val="000F07D9"/>
    <w:rsid w:val="000F0904"/>
    <w:rsid w:val="000F1368"/>
    <w:rsid w:val="000F1403"/>
    <w:rsid w:val="000F15A9"/>
    <w:rsid w:val="000F194A"/>
    <w:rsid w:val="000F1D39"/>
    <w:rsid w:val="000F1DF5"/>
    <w:rsid w:val="000F212D"/>
    <w:rsid w:val="000F2493"/>
    <w:rsid w:val="000F2626"/>
    <w:rsid w:val="000F274F"/>
    <w:rsid w:val="000F2795"/>
    <w:rsid w:val="000F2B11"/>
    <w:rsid w:val="000F2B33"/>
    <w:rsid w:val="000F31E0"/>
    <w:rsid w:val="000F33F8"/>
    <w:rsid w:val="000F35DF"/>
    <w:rsid w:val="000F398C"/>
    <w:rsid w:val="000F3BF2"/>
    <w:rsid w:val="000F3D6B"/>
    <w:rsid w:val="000F4099"/>
    <w:rsid w:val="000F44DA"/>
    <w:rsid w:val="000F457E"/>
    <w:rsid w:val="000F46D3"/>
    <w:rsid w:val="000F4D26"/>
    <w:rsid w:val="000F4F6A"/>
    <w:rsid w:val="000F5268"/>
    <w:rsid w:val="000F541A"/>
    <w:rsid w:val="000F543C"/>
    <w:rsid w:val="000F5B7F"/>
    <w:rsid w:val="000F5CCF"/>
    <w:rsid w:val="000F662A"/>
    <w:rsid w:val="000F69F9"/>
    <w:rsid w:val="000F6B4C"/>
    <w:rsid w:val="000F71AA"/>
    <w:rsid w:val="000F71E1"/>
    <w:rsid w:val="000F7671"/>
    <w:rsid w:val="000F7C14"/>
    <w:rsid w:val="000F7E0D"/>
    <w:rsid w:val="001000DB"/>
    <w:rsid w:val="001005DC"/>
    <w:rsid w:val="00100909"/>
    <w:rsid w:val="00100B83"/>
    <w:rsid w:val="00100CF6"/>
    <w:rsid w:val="00101293"/>
    <w:rsid w:val="0010166F"/>
    <w:rsid w:val="00101B65"/>
    <w:rsid w:val="00101DC3"/>
    <w:rsid w:val="00102237"/>
    <w:rsid w:val="0010237D"/>
    <w:rsid w:val="00102572"/>
    <w:rsid w:val="00102744"/>
    <w:rsid w:val="0010290A"/>
    <w:rsid w:val="0010324C"/>
    <w:rsid w:val="00104337"/>
    <w:rsid w:val="00104424"/>
    <w:rsid w:val="0010447E"/>
    <w:rsid w:val="00104A3D"/>
    <w:rsid w:val="00104CD5"/>
    <w:rsid w:val="00104DBA"/>
    <w:rsid w:val="00104FC1"/>
    <w:rsid w:val="0010519C"/>
    <w:rsid w:val="0010539B"/>
    <w:rsid w:val="00105568"/>
    <w:rsid w:val="00105D5B"/>
    <w:rsid w:val="00106095"/>
    <w:rsid w:val="0010642D"/>
    <w:rsid w:val="001064E1"/>
    <w:rsid w:val="001066BF"/>
    <w:rsid w:val="001069D5"/>
    <w:rsid w:val="00106F44"/>
    <w:rsid w:val="00107077"/>
    <w:rsid w:val="001071AF"/>
    <w:rsid w:val="00107609"/>
    <w:rsid w:val="00107A82"/>
    <w:rsid w:val="00107CC4"/>
    <w:rsid w:val="00110375"/>
    <w:rsid w:val="001103DE"/>
    <w:rsid w:val="001107E1"/>
    <w:rsid w:val="00110FDC"/>
    <w:rsid w:val="0011111B"/>
    <w:rsid w:val="001113F1"/>
    <w:rsid w:val="00111530"/>
    <w:rsid w:val="00111668"/>
    <w:rsid w:val="0011182A"/>
    <w:rsid w:val="00111AA1"/>
    <w:rsid w:val="00111B75"/>
    <w:rsid w:val="00112372"/>
    <w:rsid w:val="001124CC"/>
    <w:rsid w:val="0011250D"/>
    <w:rsid w:val="0011274C"/>
    <w:rsid w:val="0011292F"/>
    <w:rsid w:val="00112F1A"/>
    <w:rsid w:val="0011326D"/>
    <w:rsid w:val="001137BF"/>
    <w:rsid w:val="001137F9"/>
    <w:rsid w:val="00113921"/>
    <w:rsid w:val="00113B83"/>
    <w:rsid w:val="00113BFD"/>
    <w:rsid w:val="001141CB"/>
    <w:rsid w:val="00114766"/>
    <w:rsid w:val="00114A7B"/>
    <w:rsid w:val="00114D0E"/>
    <w:rsid w:val="0011512C"/>
    <w:rsid w:val="00115AB3"/>
    <w:rsid w:val="00115CE6"/>
    <w:rsid w:val="00115D06"/>
    <w:rsid w:val="00115F41"/>
    <w:rsid w:val="00116511"/>
    <w:rsid w:val="00116542"/>
    <w:rsid w:val="00117586"/>
    <w:rsid w:val="00117656"/>
    <w:rsid w:val="001179F2"/>
    <w:rsid w:val="00120599"/>
    <w:rsid w:val="0012189E"/>
    <w:rsid w:val="00121B8E"/>
    <w:rsid w:val="001220EF"/>
    <w:rsid w:val="00122966"/>
    <w:rsid w:val="00122C99"/>
    <w:rsid w:val="001237AB"/>
    <w:rsid w:val="00123937"/>
    <w:rsid w:val="00123D74"/>
    <w:rsid w:val="001241FA"/>
    <w:rsid w:val="001242BB"/>
    <w:rsid w:val="00124A92"/>
    <w:rsid w:val="00124B80"/>
    <w:rsid w:val="00124C2F"/>
    <w:rsid w:val="00124D0B"/>
    <w:rsid w:val="00124D7A"/>
    <w:rsid w:val="00124EFA"/>
    <w:rsid w:val="001252DA"/>
    <w:rsid w:val="001253C0"/>
    <w:rsid w:val="00125B59"/>
    <w:rsid w:val="00125B7C"/>
    <w:rsid w:val="00125C33"/>
    <w:rsid w:val="00126B4D"/>
    <w:rsid w:val="00127777"/>
    <w:rsid w:val="0012793F"/>
    <w:rsid w:val="00127F78"/>
    <w:rsid w:val="00127F9C"/>
    <w:rsid w:val="00130448"/>
    <w:rsid w:val="0013066B"/>
    <w:rsid w:val="001310B0"/>
    <w:rsid w:val="001313DA"/>
    <w:rsid w:val="00131C93"/>
    <w:rsid w:val="00132148"/>
    <w:rsid w:val="00132180"/>
    <w:rsid w:val="0013236E"/>
    <w:rsid w:val="001323F3"/>
    <w:rsid w:val="00132467"/>
    <w:rsid w:val="00132DFB"/>
    <w:rsid w:val="00132FF8"/>
    <w:rsid w:val="00133310"/>
    <w:rsid w:val="00133FBD"/>
    <w:rsid w:val="001347D5"/>
    <w:rsid w:val="00134EB5"/>
    <w:rsid w:val="00134F63"/>
    <w:rsid w:val="00135977"/>
    <w:rsid w:val="0013614C"/>
    <w:rsid w:val="00136170"/>
    <w:rsid w:val="00136316"/>
    <w:rsid w:val="00136D1F"/>
    <w:rsid w:val="0013768D"/>
    <w:rsid w:val="0013773C"/>
    <w:rsid w:val="0013797C"/>
    <w:rsid w:val="00137D52"/>
    <w:rsid w:val="00137EC0"/>
    <w:rsid w:val="00137FA5"/>
    <w:rsid w:val="001401E6"/>
    <w:rsid w:val="001403FC"/>
    <w:rsid w:val="001405BE"/>
    <w:rsid w:val="0014071E"/>
    <w:rsid w:val="00140975"/>
    <w:rsid w:val="00140B63"/>
    <w:rsid w:val="00140CDB"/>
    <w:rsid w:val="00140D74"/>
    <w:rsid w:val="00140F94"/>
    <w:rsid w:val="00141807"/>
    <w:rsid w:val="00141D40"/>
    <w:rsid w:val="00142047"/>
    <w:rsid w:val="001420B2"/>
    <w:rsid w:val="001422F1"/>
    <w:rsid w:val="001422F9"/>
    <w:rsid w:val="0014238C"/>
    <w:rsid w:val="001426B6"/>
    <w:rsid w:val="00142B76"/>
    <w:rsid w:val="00142D66"/>
    <w:rsid w:val="00142F23"/>
    <w:rsid w:val="0014335A"/>
    <w:rsid w:val="00143479"/>
    <w:rsid w:val="001435E8"/>
    <w:rsid w:val="0014386B"/>
    <w:rsid w:val="00143C90"/>
    <w:rsid w:val="0014447D"/>
    <w:rsid w:val="001447F5"/>
    <w:rsid w:val="001451AC"/>
    <w:rsid w:val="001452D2"/>
    <w:rsid w:val="00145F08"/>
    <w:rsid w:val="001461C3"/>
    <w:rsid w:val="0014645B"/>
    <w:rsid w:val="001467DA"/>
    <w:rsid w:val="001469A4"/>
    <w:rsid w:val="00146FBE"/>
    <w:rsid w:val="00147176"/>
    <w:rsid w:val="00147453"/>
    <w:rsid w:val="00147653"/>
    <w:rsid w:val="001477FF"/>
    <w:rsid w:val="00147938"/>
    <w:rsid w:val="00147BB2"/>
    <w:rsid w:val="00147C33"/>
    <w:rsid w:val="00147EC3"/>
    <w:rsid w:val="0015034A"/>
    <w:rsid w:val="00150853"/>
    <w:rsid w:val="001508CC"/>
    <w:rsid w:val="001509F1"/>
    <w:rsid w:val="00150C5E"/>
    <w:rsid w:val="00150DD1"/>
    <w:rsid w:val="00150E04"/>
    <w:rsid w:val="00150EBB"/>
    <w:rsid w:val="00151248"/>
    <w:rsid w:val="00151AD8"/>
    <w:rsid w:val="00151CEB"/>
    <w:rsid w:val="00151FBD"/>
    <w:rsid w:val="0015206F"/>
    <w:rsid w:val="001522FA"/>
    <w:rsid w:val="001527C6"/>
    <w:rsid w:val="0015282E"/>
    <w:rsid w:val="00152C78"/>
    <w:rsid w:val="00152E35"/>
    <w:rsid w:val="00153545"/>
    <w:rsid w:val="0015366C"/>
    <w:rsid w:val="0015391C"/>
    <w:rsid w:val="001539CC"/>
    <w:rsid w:val="00153BBF"/>
    <w:rsid w:val="00153C70"/>
    <w:rsid w:val="00153C90"/>
    <w:rsid w:val="001540C0"/>
    <w:rsid w:val="00154465"/>
    <w:rsid w:val="00154640"/>
    <w:rsid w:val="0015472F"/>
    <w:rsid w:val="001549DE"/>
    <w:rsid w:val="00154E4B"/>
    <w:rsid w:val="001552B7"/>
    <w:rsid w:val="001559C9"/>
    <w:rsid w:val="00155F2B"/>
    <w:rsid w:val="00156022"/>
    <w:rsid w:val="00156593"/>
    <w:rsid w:val="00156F37"/>
    <w:rsid w:val="00157005"/>
    <w:rsid w:val="0015770E"/>
    <w:rsid w:val="00157717"/>
    <w:rsid w:val="001579AE"/>
    <w:rsid w:val="00157A8F"/>
    <w:rsid w:val="00157AA6"/>
    <w:rsid w:val="00157DA2"/>
    <w:rsid w:val="001601C1"/>
    <w:rsid w:val="001605CD"/>
    <w:rsid w:val="0016071A"/>
    <w:rsid w:val="00160844"/>
    <w:rsid w:val="00161CBE"/>
    <w:rsid w:val="001622CF"/>
    <w:rsid w:val="0016274B"/>
    <w:rsid w:val="001628C9"/>
    <w:rsid w:val="001629E2"/>
    <w:rsid w:val="00163529"/>
    <w:rsid w:val="00163678"/>
    <w:rsid w:val="00163F8A"/>
    <w:rsid w:val="00165114"/>
    <w:rsid w:val="00165AD8"/>
    <w:rsid w:val="001663DE"/>
    <w:rsid w:val="00166766"/>
    <w:rsid w:val="00166C71"/>
    <w:rsid w:val="00166D12"/>
    <w:rsid w:val="00167A08"/>
    <w:rsid w:val="00167AD9"/>
    <w:rsid w:val="00167BD0"/>
    <w:rsid w:val="00167E17"/>
    <w:rsid w:val="00167F44"/>
    <w:rsid w:val="00167FDE"/>
    <w:rsid w:val="0016FCFD"/>
    <w:rsid w:val="001702B3"/>
    <w:rsid w:val="00170557"/>
    <w:rsid w:val="0017094C"/>
    <w:rsid w:val="00171323"/>
    <w:rsid w:val="001713A7"/>
    <w:rsid w:val="001715DD"/>
    <w:rsid w:val="00171802"/>
    <w:rsid w:val="00171F8F"/>
    <w:rsid w:val="0017216C"/>
    <w:rsid w:val="001730CE"/>
    <w:rsid w:val="0017324D"/>
    <w:rsid w:val="00173403"/>
    <w:rsid w:val="00173A20"/>
    <w:rsid w:val="00173CC9"/>
    <w:rsid w:val="0017473D"/>
    <w:rsid w:val="001749D9"/>
    <w:rsid w:val="001749E7"/>
    <w:rsid w:val="00174BBA"/>
    <w:rsid w:val="001750DC"/>
    <w:rsid w:val="00175524"/>
    <w:rsid w:val="0017584D"/>
    <w:rsid w:val="00175E20"/>
    <w:rsid w:val="001767E3"/>
    <w:rsid w:val="001769B4"/>
    <w:rsid w:val="00176EE0"/>
    <w:rsid w:val="0017701B"/>
    <w:rsid w:val="00177ADA"/>
    <w:rsid w:val="00177CAE"/>
    <w:rsid w:val="00180498"/>
    <w:rsid w:val="001804A0"/>
    <w:rsid w:val="001807A7"/>
    <w:rsid w:val="001807E1"/>
    <w:rsid w:val="00180DC5"/>
    <w:rsid w:val="00180DF5"/>
    <w:rsid w:val="00180FDE"/>
    <w:rsid w:val="001812DE"/>
    <w:rsid w:val="00181705"/>
    <w:rsid w:val="00182148"/>
    <w:rsid w:val="00182704"/>
    <w:rsid w:val="00182872"/>
    <w:rsid w:val="00182E79"/>
    <w:rsid w:val="001832AE"/>
    <w:rsid w:val="001834B1"/>
    <w:rsid w:val="00183541"/>
    <w:rsid w:val="001837FD"/>
    <w:rsid w:val="00183DCF"/>
    <w:rsid w:val="00183DD8"/>
    <w:rsid w:val="00183FD8"/>
    <w:rsid w:val="0018450A"/>
    <w:rsid w:val="00184E3D"/>
    <w:rsid w:val="00184E89"/>
    <w:rsid w:val="001851BD"/>
    <w:rsid w:val="001860D6"/>
    <w:rsid w:val="00186B05"/>
    <w:rsid w:val="001874C7"/>
    <w:rsid w:val="00187549"/>
    <w:rsid w:val="00190C44"/>
    <w:rsid w:val="00190D96"/>
    <w:rsid w:val="0019162D"/>
    <w:rsid w:val="00191BA4"/>
    <w:rsid w:val="00191E4E"/>
    <w:rsid w:val="00191FF5"/>
    <w:rsid w:val="0019219B"/>
    <w:rsid w:val="0019251B"/>
    <w:rsid w:val="00192875"/>
    <w:rsid w:val="00192CE2"/>
    <w:rsid w:val="00192DB0"/>
    <w:rsid w:val="001930F9"/>
    <w:rsid w:val="00193757"/>
    <w:rsid w:val="001939AF"/>
    <w:rsid w:val="00193FD3"/>
    <w:rsid w:val="0019418D"/>
    <w:rsid w:val="0019451D"/>
    <w:rsid w:val="001947D2"/>
    <w:rsid w:val="001947FB"/>
    <w:rsid w:val="00194927"/>
    <w:rsid w:val="00194BB0"/>
    <w:rsid w:val="00194D46"/>
    <w:rsid w:val="00194FC5"/>
    <w:rsid w:val="0019522C"/>
    <w:rsid w:val="0019528F"/>
    <w:rsid w:val="0019541E"/>
    <w:rsid w:val="0019563C"/>
    <w:rsid w:val="0019578C"/>
    <w:rsid w:val="00196722"/>
    <w:rsid w:val="00196F3E"/>
    <w:rsid w:val="00197764"/>
    <w:rsid w:val="001978FB"/>
    <w:rsid w:val="00197CD6"/>
    <w:rsid w:val="001994DC"/>
    <w:rsid w:val="001A0494"/>
    <w:rsid w:val="001A0A77"/>
    <w:rsid w:val="001A0CA8"/>
    <w:rsid w:val="001A0E85"/>
    <w:rsid w:val="001A0FD4"/>
    <w:rsid w:val="001A116B"/>
    <w:rsid w:val="001A1172"/>
    <w:rsid w:val="001A1B4E"/>
    <w:rsid w:val="001A1CBC"/>
    <w:rsid w:val="001A2768"/>
    <w:rsid w:val="001A3161"/>
    <w:rsid w:val="001A3720"/>
    <w:rsid w:val="001A38C1"/>
    <w:rsid w:val="001A3CBE"/>
    <w:rsid w:val="001A3CD9"/>
    <w:rsid w:val="001A3FFA"/>
    <w:rsid w:val="001A4065"/>
    <w:rsid w:val="001A4BCB"/>
    <w:rsid w:val="001A5307"/>
    <w:rsid w:val="001A53E9"/>
    <w:rsid w:val="001A55CF"/>
    <w:rsid w:val="001A6392"/>
    <w:rsid w:val="001A65C8"/>
    <w:rsid w:val="001A6F26"/>
    <w:rsid w:val="001A7E40"/>
    <w:rsid w:val="001A7F7E"/>
    <w:rsid w:val="001B0006"/>
    <w:rsid w:val="001B0281"/>
    <w:rsid w:val="001B083B"/>
    <w:rsid w:val="001B0AD7"/>
    <w:rsid w:val="001B0BA8"/>
    <w:rsid w:val="001B0D84"/>
    <w:rsid w:val="001B1055"/>
    <w:rsid w:val="001B16B6"/>
    <w:rsid w:val="001B1F42"/>
    <w:rsid w:val="001B1FE2"/>
    <w:rsid w:val="001B2188"/>
    <w:rsid w:val="001B253E"/>
    <w:rsid w:val="001B2704"/>
    <w:rsid w:val="001B3869"/>
    <w:rsid w:val="001B3A30"/>
    <w:rsid w:val="001B3BA5"/>
    <w:rsid w:val="001B4EAD"/>
    <w:rsid w:val="001B5795"/>
    <w:rsid w:val="001B5A18"/>
    <w:rsid w:val="001B5E3C"/>
    <w:rsid w:val="001B5F71"/>
    <w:rsid w:val="001B626C"/>
    <w:rsid w:val="001B6560"/>
    <w:rsid w:val="001B7CF3"/>
    <w:rsid w:val="001B7EDE"/>
    <w:rsid w:val="001C00E0"/>
    <w:rsid w:val="001C084E"/>
    <w:rsid w:val="001C0C09"/>
    <w:rsid w:val="001C0C9C"/>
    <w:rsid w:val="001C11B2"/>
    <w:rsid w:val="001C1686"/>
    <w:rsid w:val="001C19A0"/>
    <w:rsid w:val="001C1B24"/>
    <w:rsid w:val="001C1CC5"/>
    <w:rsid w:val="001C1DF7"/>
    <w:rsid w:val="001C211B"/>
    <w:rsid w:val="001C2C36"/>
    <w:rsid w:val="001C3DD8"/>
    <w:rsid w:val="001C48C1"/>
    <w:rsid w:val="001C4B08"/>
    <w:rsid w:val="001C4D55"/>
    <w:rsid w:val="001C4F67"/>
    <w:rsid w:val="001C4F69"/>
    <w:rsid w:val="001C5234"/>
    <w:rsid w:val="001C548D"/>
    <w:rsid w:val="001C5515"/>
    <w:rsid w:val="001C569B"/>
    <w:rsid w:val="001C6168"/>
    <w:rsid w:val="001C61B7"/>
    <w:rsid w:val="001C66A5"/>
    <w:rsid w:val="001C6794"/>
    <w:rsid w:val="001C7585"/>
    <w:rsid w:val="001C78F5"/>
    <w:rsid w:val="001D04FA"/>
    <w:rsid w:val="001D063F"/>
    <w:rsid w:val="001D0675"/>
    <w:rsid w:val="001D1480"/>
    <w:rsid w:val="001D1820"/>
    <w:rsid w:val="001D1A11"/>
    <w:rsid w:val="001D1DF2"/>
    <w:rsid w:val="001D2068"/>
    <w:rsid w:val="001D26C2"/>
    <w:rsid w:val="001D2A34"/>
    <w:rsid w:val="001D2EE2"/>
    <w:rsid w:val="001D33F3"/>
    <w:rsid w:val="001D35E8"/>
    <w:rsid w:val="001D3738"/>
    <w:rsid w:val="001D3744"/>
    <w:rsid w:val="001D3D26"/>
    <w:rsid w:val="001D3DCE"/>
    <w:rsid w:val="001D4C28"/>
    <w:rsid w:val="001D4CC1"/>
    <w:rsid w:val="001D5296"/>
    <w:rsid w:val="001D54E3"/>
    <w:rsid w:val="001D5852"/>
    <w:rsid w:val="001D5923"/>
    <w:rsid w:val="001D598A"/>
    <w:rsid w:val="001D59D4"/>
    <w:rsid w:val="001D5E0D"/>
    <w:rsid w:val="001D5E6F"/>
    <w:rsid w:val="001D6400"/>
    <w:rsid w:val="001D6B74"/>
    <w:rsid w:val="001D6FD0"/>
    <w:rsid w:val="001D6FF3"/>
    <w:rsid w:val="001D718D"/>
    <w:rsid w:val="001D7622"/>
    <w:rsid w:val="001D78C1"/>
    <w:rsid w:val="001D7EC1"/>
    <w:rsid w:val="001E0005"/>
    <w:rsid w:val="001E0230"/>
    <w:rsid w:val="001E0D98"/>
    <w:rsid w:val="001E0DED"/>
    <w:rsid w:val="001E0FBE"/>
    <w:rsid w:val="001E100C"/>
    <w:rsid w:val="001E189E"/>
    <w:rsid w:val="001E1F15"/>
    <w:rsid w:val="001E233A"/>
    <w:rsid w:val="001E2708"/>
    <w:rsid w:val="001E294D"/>
    <w:rsid w:val="001E2BF5"/>
    <w:rsid w:val="001E346E"/>
    <w:rsid w:val="001E3576"/>
    <w:rsid w:val="001E3589"/>
    <w:rsid w:val="001E3BD8"/>
    <w:rsid w:val="001E4166"/>
    <w:rsid w:val="001E4229"/>
    <w:rsid w:val="001E425F"/>
    <w:rsid w:val="001E4E50"/>
    <w:rsid w:val="001E5378"/>
    <w:rsid w:val="001E539C"/>
    <w:rsid w:val="001E58BA"/>
    <w:rsid w:val="001E58D4"/>
    <w:rsid w:val="001E59E7"/>
    <w:rsid w:val="001E59F7"/>
    <w:rsid w:val="001E605E"/>
    <w:rsid w:val="001E60D8"/>
    <w:rsid w:val="001E6296"/>
    <w:rsid w:val="001E6C82"/>
    <w:rsid w:val="001E6FD9"/>
    <w:rsid w:val="001E700A"/>
    <w:rsid w:val="001E751D"/>
    <w:rsid w:val="001F058F"/>
    <w:rsid w:val="001F0749"/>
    <w:rsid w:val="001F0759"/>
    <w:rsid w:val="001F0A43"/>
    <w:rsid w:val="001F1213"/>
    <w:rsid w:val="001F163A"/>
    <w:rsid w:val="001F1A3B"/>
    <w:rsid w:val="001F2147"/>
    <w:rsid w:val="001F27F5"/>
    <w:rsid w:val="001F2B14"/>
    <w:rsid w:val="001F2C09"/>
    <w:rsid w:val="001F2E5E"/>
    <w:rsid w:val="001F2F05"/>
    <w:rsid w:val="001F39C4"/>
    <w:rsid w:val="001F3C8E"/>
    <w:rsid w:val="001F4024"/>
    <w:rsid w:val="001F40C3"/>
    <w:rsid w:val="001F4442"/>
    <w:rsid w:val="001F445D"/>
    <w:rsid w:val="001F4646"/>
    <w:rsid w:val="001F481C"/>
    <w:rsid w:val="001F4B29"/>
    <w:rsid w:val="001F4BF1"/>
    <w:rsid w:val="001F4C61"/>
    <w:rsid w:val="001F504D"/>
    <w:rsid w:val="001F568A"/>
    <w:rsid w:val="001F58F3"/>
    <w:rsid w:val="001F59A5"/>
    <w:rsid w:val="001F5A53"/>
    <w:rsid w:val="001F5B95"/>
    <w:rsid w:val="001F5D54"/>
    <w:rsid w:val="001F5DC2"/>
    <w:rsid w:val="001F6A1E"/>
    <w:rsid w:val="001F6E23"/>
    <w:rsid w:val="001F7676"/>
    <w:rsid w:val="002004D1"/>
    <w:rsid w:val="0020074F"/>
    <w:rsid w:val="0020085D"/>
    <w:rsid w:val="00201320"/>
    <w:rsid w:val="002014CD"/>
    <w:rsid w:val="00201536"/>
    <w:rsid w:val="00201787"/>
    <w:rsid w:val="00201A64"/>
    <w:rsid w:val="00201F15"/>
    <w:rsid w:val="00202734"/>
    <w:rsid w:val="00202B3D"/>
    <w:rsid w:val="00202D7F"/>
    <w:rsid w:val="00203C2A"/>
    <w:rsid w:val="0020407A"/>
    <w:rsid w:val="00204230"/>
    <w:rsid w:val="00205188"/>
    <w:rsid w:val="00205313"/>
    <w:rsid w:val="00205B00"/>
    <w:rsid w:val="00205E65"/>
    <w:rsid w:val="002061BA"/>
    <w:rsid w:val="002064A7"/>
    <w:rsid w:val="002065C4"/>
    <w:rsid w:val="00206B6C"/>
    <w:rsid w:val="00207159"/>
    <w:rsid w:val="0020738B"/>
    <w:rsid w:val="00207588"/>
    <w:rsid w:val="00207731"/>
    <w:rsid w:val="00207C16"/>
    <w:rsid w:val="00210036"/>
    <w:rsid w:val="002100EF"/>
    <w:rsid w:val="00210B7F"/>
    <w:rsid w:val="002111C7"/>
    <w:rsid w:val="00211630"/>
    <w:rsid w:val="00212BBD"/>
    <w:rsid w:val="00212E15"/>
    <w:rsid w:val="00212ED1"/>
    <w:rsid w:val="00213982"/>
    <w:rsid w:val="00213A81"/>
    <w:rsid w:val="00213FBA"/>
    <w:rsid w:val="00214BF5"/>
    <w:rsid w:val="002154AE"/>
    <w:rsid w:val="0021568A"/>
    <w:rsid w:val="00215740"/>
    <w:rsid w:val="002159B2"/>
    <w:rsid w:val="00215B6D"/>
    <w:rsid w:val="002165E9"/>
    <w:rsid w:val="00216A16"/>
    <w:rsid w:val="00217930"/>
    <w:rsid w:val="00217AA2"/>
    <w:rsid w:val="00217B5A"/>
    <w:rsid w:val="00217C1D"/>
    <w:rsid w:val="00217CCC"/>
    <w:rsid w:val="00217E27"/>
    <w:rsid w:val="00220FEB"/>
    <w:rsid w:val="00221A7B"/>
    <w:rsid w:val="00221B29"/>
    <w:rsid w:val="00221C74"/>
    <w:rsid w:val="00221CC1"/>
    <w:rsid w:val="00221EF7"/>
    <w:rsid w:val="0022228A"/>
    <w:rsid w:val="00222BBC"/>
    <w:rsid w:val="0022320E"/>
    <w:rsid w:val="0022354A"/>
    <w:rsid w:val="0022359A"/>
    <w:rsid w:val="002235B9"/>
    <w:rsid w:val="00223640"/>
    <w:rsid w:val="002239F2"/>
    <w:rsid w:val="00223AA2"/>
    <w:rsid w:val="00224128"/>
    <w:rsid w:val="0022424D"/>
    <w:rsid w:val="002242DB"/>
    <w:rsid w:val="00224413"/>
    <w:rsid w:val="002247DA"/>
    <w:rsid w:val="002249A8"/>
    <w:rsid w:val="00224A6F"/>
    <w:rsid w:val="0022518D"/>
    <w:rsid w:val="00226408"/>
    <w:rsid w:val="0022658D"/>
    <w:rsid w:val="00226712"/>
    <w:rsid w:val="00226990"/>
    <w:rsid w:val="00226B7B"/>
    <w:rsid w:val="00226DF5"/>
    <w:rsid w:val="00226F90"/>
    <w:rsid w:val="0022711C"/>
    <w:rsid w:val="002278DD"/>
    <w:rsid w:val="00227EE8"/>
    <w:rsid w:val="00230119"/>
    <w:rsid w:val="00230AF3"/>
    <w:rsid w:val="00231EBC"/>
    <w:rsid w:val="0023356D"/>
    <w:rsid w:val="0023360B"/>
    <w:rsid w:val="002339EF"/>
    <w:rsid w:val="00233D7D"/>
    <w:rsid w:val="0023413D"/>
    <w:rsid w:val="0023422D"/>
    <w:rsid w:val="0023429B"/>
    <w:rsid w:val="002346D2"/>
    <w:rsid w:val="00234A8C"/>
    <w:rsid w:val="00234F8B"/>
    <w:rsid w:val="00235581"/>
    <w:rsid w:val="00235EC6"/>
    <w:rsid w:val="002366DC"/>
    <w:rsid w:val="00236914"/>
    <w:rsid w:val="00236AE4"/>
    <w:rsid w:val="00237526"/>
    <w:rsid w:val="002375A0"/>
    <w:rsid w:val="00237659"/>
    <w:rsid w:val="00237822"/>
    <w:rsid w:val="00240015"/>
    <w:rsid w:val="0024022C"/>
    <w:rsid w:val="00240490"/>
    <w:rsid w:val="0024068B"/>
    <w:rsid w:val="00240E2B"/>
    <w:rsid w:val="002412A1"/>
    <w:rsid w:val="00241F85"/>
    <w:rsid w:val="00242022"/>
    <w:rsid w:val="00242742"/>
    <w:rsid w:val="0024295B"/>
    <w:rsid w:val="00243096"/>
    <w:rsid w:val="00243901"/>
    <w:rsid w:val="002442D9"/>
    <w:rsid w:val="00244518"/>
    <w:rsid w:val="00244571"/>
    <w:rsid w:val="00244FFB"/>
    <w:rsid w:val="00245420"/>
    <w:rsid w:val="00245CEA"/>
    <w:rsid w:val="0024664C"/>
    <w:rsid w:val="002468D2"/>
    <w:rsid w:val="00246ABE"/>
    <w:rsid w:val="002472C1"/>
    <w:rsid w:val="00247710"/>
    <w:rsid w:val="00247879"/>
    <w:rsid w:val="00247A7A"/>
    <w:rsid w:val="00247C9B"/>
    <w:rsid w:val="00247F17"/>
    <w:rsid w:val="00247FEE"/>
    <w:rsid w:val="00250197"/>
    <w:rsid w:val="0025049E"/>
    <w:rsid w:val="00250647"/>
    <w:rsid w:val="0025075D"/>
    <w:rsid w:val="00251157"/>
    <w:rsid w:val="002518E5"/>
    <w:rsid w:val="00251EB5"/>
    <w:rsid w:val="00251FED"/>
    <w:rsid w:val="00252BD2"/>
    <w:rsid w:val="00253A42"/>
    <w:rsid w:val="00253B11"/>
    <w:rsid w:val="00253C53"/>
    <w:rsid w:val="00253C66"/>
    <w:rsid w:val="00253DFF"/>
    <w:rsid w:val="00254477"/>
    <w:rsid w:val="0025485A"/>
    <w:rsid w:val="0025489F"/>
    <w:rsid w:val="002549BE"/>
    <w:rsid w:val="0025502C"/>
    <w:rsid w:val="002551C8"/>
    <w:rsid w:val="00255971"/>
    <w:rsid w:val="002568A9"/>
    <w:rsid w:val="0025704B"/>
    <w:rsid w:val="002573AE"/>
    <w:rsid w:val="00257901"/>
    <w:rsid w:val="00257AF3"/>
    <w:rsid w:val="00257D08"/>
    <w:rsid w:val="00257D65"/>
    <w:rsid w:val="0026017D"/>
    <w:rsid w:val="00260382"/>
    <w:rsid w:val="00260807"/>
    <w:rsid w:val="002612EC"/>
    <w:rsid w:val="002613D6"/>
    <w:rsid w:val="00261466"/>
    <w:rsid w:val="0026159F"/>
    <w:rsid w:val="0026161F"/>
    <w:rsid w:val="002618D6"/>
    <w:rsid w:val="00261BA8"/>
    <w:rsid w:val="00261C61"/>
    <w:rsid w:val="00261FFF"/>
    <w:rsid w:val="0026239A"/>
    <w:rsid w:val="00262737"/>
    <w:rsid w:val="0026291A"/>
    <w:rsid w:val="00262AC2"/>
    <w:rsid w:val="00263352"/>
    <w:rsid w:val="00263704"/>
    <w:rsid w:val="00263973"/>
    <w:rsid w:val="00264D06"/>
    <w:rsid w:val="00265202"/>
    <w:rsid w:val="0026582A"/>
    <w:rsid w:val="002659AE"/>
    <w:rsid w:val="002659DD"/>
    <w:rsid w:val="00265C70"/>
    <w:rsid w:val="00265FDB"/>
    <w:rsid w:val="00266008"/>
    <w:rsid w:val="00266040"/>
    <w:rsid w:val="00266160"/>
    <w:rsid w:val="002661C8"/>
    <w:rsid w:val="00266212"/>
    <w:rsid w:val="00266511"/>
    <w:rsid w:val="00266EDC"/>
    <w:rsid w:val="0026732D"/>
    <w:rsid w:val="002675B5"/>
    <w:rsid w:val="00267B56"/>
    <w:rsid w:val="002701D4"/>
    <w:rsid w:val="00270673"/>
    <w:rsid w:val="002707E9"/>
    <w:rsid w:val="00270933"/>
    <w:rsid w:val="00270B21"/>
    <w:rsid w:val="00270DDB"/>
    <w:rsid w:val="00270E30"/>
    <w:rsid w:val="00271FC7"/>
    <w:rsid w:val="00272066"/>
    <w:rsid w:val="0027234C"/>
    <w:rsid w:val="002738F4"/>
    <w:rsid w:val="00274121"/>
    <w:rsid w:val="002744B8"/>
    <w:rsid w:val="002747EA"/>
    <w:rsid w:val="0027480A"/>
    <w:rsid w:val="00274835"/>
    <w:rsid w:val="00274AD9"/>
    <w:rsid w:val="00274DAD"/>
    <w:rsid w:val="0027532E"/>
    <w:rsid w:val="00275656"/>
    <w:rsid w:val="00275738"/>
    <w:rsid w:val="00275E52"/>
    <w:rsid w:val="0027693C"/>
    <w:rsid w:val="00276D15"/>
    <w:rsid w:val="002776A1"/>
    <w:rsid w:val="00277C3E"/>
    <w:rsid w:val="00280342"/>
    <w:rsid w:val="00280744"/>
    <w:rsid w:val="00280AEF"/>
    <w:rsid w:val="00280F66"/>
    <w:rsid w:val="002813EC"/>
    <w:rsid w:val="00281E00"/>
    <w:rsid w:val="002820DF"/>
    <w:rsid w:val="00282A45"/>
    <w:rsid w:val="00282BAC"/>
    <w:rsid w:val="00282F68"/>
    <w:rsid w:val="002831CE"/>
    <w:rsid w:val="002834EB"/>
    <w:rsid w:val="00283657"/>
    <w:rsid w:val="00283683"/>
    <w:rsid w:val="00283B7D"/>
    <w:rsid w:val="0028462C"/>
    <w:rsid w:val="002846E0"/>
    <w:rsid w:val="00284A15"/>
    <w:rsid w:val="00284B1C"/>
    <w:rsid w:val="00284D75"/>
    <w:rsid w:val="00284FF3"/>
    <w:rsid w:val="0028560D"/>
    <w:rsid w:val="00285899"/>
    <w:rsid w:val="00285CE7"/>
    <w:rsid w:val="00285D6D"/>
    <w:rsid w:val="00286702"/>
    <w:rsid w:val="0028684F"/>
    <w:rsid w:val="002868C8"/>
    <w:rsid w:val="00286F95"/>
    <w:rsid w:val="0028733E"/>
    <w:rsid w:val="00287527"/>
    <w:rsid w:val="00287EDE"/>
    <w:rsid w:val="0029039A"/>
    <w:rsid w:val="00290A06"/>
    <w:rsid w:val="00290B68"/>
    <w:rsid w:val="00290BAE"/>
    <w:rsid w:val="00290FC6"/>
    <w:rsid w:val="00291218"/>
    <w:rsid w:val="00291839"/>
    <w:rsid w:val="00291AB1"/>
    <w:rsid w:val="00291ABC"/>
    <w:rsid w:val="00291D03"/>
    <w:rsid w:val="00291F53"/>
    <w:rsid w:val="00292A9A"/>
    <w:rsid w:val="00292B09"/>
    <w:rsid w:val="00293661"/>
    <w:rsid w:val="002937FB"/>
    <w:rsid w:val="00293B48"/>
    <w:rsid w:val="00293E54"/>
    <w:rsid w:val="00293EFC"/>
    <w:rsid w:val="00294034"/>
    <w:rsid w:val="0029456E"/>
    <w:rsid w:val="00294657"/>
    <w:rsid w:val="00294AD5"/>
    <w:rsid w:val="002953B2"/>
    <w:rsid w:val="00295ABC"/>
    <w:rsid w:val="00295CF1"/>
    <w:rsid w:val="00295F87"/>
    <w:rsid w:val="00296262"/>
    <w:rsid w:val="00296303"/>
    <w:rsid w:val="002965A3"/>
    <w:rsid w:val="0029743D"/>
    <w:rsid w:val="002974E4"/>
    <w:rsid w:val="00297B34"/>
    <w:rsid w:val="00297D9F"/>
    <w:rsid w:val="002A01AE"/>
    <w:rsid w:val="002A0462"/>
    <w:rsid w:val="002A06D1"/>
    <w:rsid w:val="002A09E2"/>
    <w:rsid w:val="002A0AFB"/>
    <w:rsid w:val="002A0B0C"/>
    <w:rsid w:val="002A0C26"/>
    <w:rsid w:val="002A0C83"/>
    <w:rsid w:val="002A0D0B"/>
    <w:rsid w:val="002A0D17"/>
    <w:rsid w:val="002A0D47"/>
    <w:rsid w:val="002A0F7E"/>
    <w:rsid w:val="002A12AE"/>
    <w:rsid w:val="002A14E0"/>
    <w:rsid w:val="002A1B6A"/>
    <w:rsid w:val="002A1C2D"/>
    <w:rsid w:val="002A24A1"/>
    <w:rsid w:val="002A24E8"/>
    <w:rsid w:val="002A2FB2"/>
    <w:rsid w:val="002A37AA"/>
    <w:rsid w:val="002A39B1"/>
    <w:rsid w:val="002A3A6F"/>
    <w:rsid w:val="002A3EB2"/>
    <w:rsid w:val="002A4145"/>
    <w:rsid w:val="002A45D0"/>
    <w:rsid w:val="002A49E4"/>
    <w:rsid w:val="002A5236"/>
    <w:rsid w:val="002A5393"/>
    <w:rsid w:val="002A6101"/>
    <w:rsid w:val="002A6983"/>
    <w:rsid w:val="002A6EB9"/>
    <w:rsid w:val="002A6F2B"/>
    <w:rsid w:val="002A70CE"/>
    <w:rsid w:val="002A7815"/>
    <w:rsid w:val="002A7C49"/>
    <w:rsid w:val="002B005E"/>
    <w:rsid w:val="002B013A"/>
    <w:rsid w:val="002B0343"/>
    <w:rsid w:val="002B03FA"/>
    <w:rsid w:val="002B0938"/>
    <w:rsid w:val="002B117F"/>
    <w:rsid w:val="002B12A4"/>
    <w:rsid w:val="002B19BF"/>
    <w:rsid w:val="002B2063"/>
    <w:rsid w:val="002B21E6"/>
    <w:rsid w:val="002B302F"/>
    <w:rsid w:val="002B4989"/>
    <w:rsid w:val="002B4B08"/>
    <w:rsid w:val="002B4B79"/>
    <w:rsid w:val="002B517E"/>
    <w:rsid w:val="002B52C9"/>
    <w:rsid w:val="002B58B7"/>
    <w:rsid w:val="002B5C87"/>
    <w:rsid w:val="002B63A3"/>
    <w:rsid w:val="002B6558"/>
    <w:rsid w:val="002B6616"/>
    <w:rsid w:val="002B686B"/>
    <w:rsid w:val="002B6DB9"/>
    <w:rsid w:val="002B6F43"/>
    <w:rsid w:val="002B74CC"/>
    <w:rsid w:val="002B775E"/>
    <w:rsid w:val="002B7922"/>
    <w:rsid w:val="002B7A10"/>
    <w:rsid w:val="002B7F16"/>
    <w:rsid w:val="002B7F75"/>
    <w:rsid w:val="002C00D3"/>
    <w:rsid w:val="002C04E4"/>
    <w:rsid w:val="002C0809"/>
    <w:rsid w:val="002C08EF"/>
    <w:rsid w:val="002C0A07"/>
    <w:rsid w:val="002C0B16"/>
    <w:rsid w:val="002C0C5D"/>
    <w:rsid w:val="002C0F28"/>
    <w:rsid w:val="002C101E"/>
    <w:rsid w:val="002C13E7"/>
    <w:rsid w:val="002C1559"/>
    <w:rsid w:val="002C16AD"/>
    <w:rsid w:val="002C1789"/>
    <w:rsid w:val="002C1DE1"/>
    <w:rsid w:val="002C1E3A"/>
    <w:rsid w:val="002C2409"/>
    <w:rsid w:val="002C29D4"/>
    <w:rsid w:val="002C2ED9"/>
    <w:rsid w:val="002C4DC2"/>
    <w:rsid w:val="002C4F9B"/>
    <w:rsid w:val="002C5360"/>
    <w:rsid w:val="002C546A"/>
    <w:rsid w:val="002C555D"/>
    <w:rsid w:val="002C5654"/>
    <w:rsid w:val="002C61DF"/>
    <w:rsid w:val="002C6585"/>
    <w:rsid w:val="002C6A95"/>
    <w:rsid w:val="002C6C44"/>
    <w:rsid w:val="002C6EB3"/>
    <w:rsid w:val="002C6FC7"/>
    <w:rsid w:val="002C7324"/>
    <w:rsid w:val="002C7953"/>
    <w:rsid w:val="002C79DF"/>
    <w:rsid w:val="002C7F9A"/>
    <w:rsid w:val="002D0345"/>
    <w:rsid w:val="002D09C9"/>
    <w:rsid w:val="002D0D5D"/>
    <w:rsid w:val="002D1B53"/>
    <w:rsid w:val="002D22CE"/>
    <w:rsid w:val="002D23D7"/>
    <w:rsid w:val="002D3088"/>
    <w:rsid w:val="002D3426"/>
    <w:rsid w:val="002D352B"/>
    <w:rsid w:val="002D414B"/>
    <w:rsid w:val="002D425A"/>
    <w:rsid w:val="002D42B3"/>
    <w:rsid w:val="002D4610"/>
    <w:rsid w:val="002D46A9"/>
    <w:rsid w:val="002D4968"/>
    <w:rsid w:val="002D49AC"/>
    <w:rsid w:val="002D4A52"/>
    <w:rsid w:val="002D4F53"/>
    <w:rsid w:val="002D52AD"/>
    <w:rsid w:val="002D548C"/>
    <w:rsid w:val="002D5E69"/>
    <w:rsid w:val="002D6143"/>
    <w:rsid w:val="002D63E2"/>
    <w:rsid w:val="002D7537"/>
    <w:rsid w:val="002D7D95"/>
    <w:rsid w:val="002E0605"/>
    <w:rsid w:val="002E06AD"/>
    <w:rsid w:val="002E0AAB"/>
    <w:rsid w:val="002E0B59"/>
    <w:rsid w:val="002E0E68"/>
    <w:rsid w:val="002E0FD3"/>
    <w:rsid w:val="002E11E5"/>
    <w:rsid w:val="002E1E99"/>
    <w:rsid w:val="002E2199"/>
    <w:rsid w:val="002E23C0"/>
    <w:rsid w:val="002E23F2"/>
    <w:rsid w:val="002E3B91"/>
    <w:rsid w:val="002E3C59"/>
    <w:rsid w:val="002E3FB1"/>
    <w:rsid w:val="002E4D15"/>
    <w:rsid w:val="002E4EFD"/>
    <w:rsid w:val="002E4FB1"/>
    <w:rsid w:val="002E511D"/>
    <w:rsid w:val="002E523B"/>
    <w:rsid w:val="002E5248"/>
    <w:rsid w:val="002E527A"/>
    <w:rsid w:val="002E556B"/>
    <w:rsid w:val="002E59F6"/>
    <w:rsid w:val="002E5A0A"/>
    <w:rsid w:val="002E5F05"/>
    <w:rsid w:val="002E60B7"/>
    <w:rsid w:val="002E653A"/>
    <w:rsid w:val="002E6727"/>
    <w:rsid w:val="002E68C4"/>
    <w:rsid w:val="002E6CD1"/>
    <w:rsid w:val="002E7FAB"/>
    <w:rsid w:val="002F02E0"/>
    <w:rsid w:val="002F051D"/>
    <w:rsid w:val="002F06A5"/>
    <w:rsid w:val="002F0815"/>
    <w:rsid w:val="002F081E"/>
    <w:rsid w:val="002F0AC6"/>
    <w:rsid w:val="002F15C3"/>
    <w:rsid w:val="002F15F5"/>
    <w:rsid w:val="002F1B14"/>
    <w:rsid w:val="002F1B29"/>
    <w:rsid w:val="002F1D27"/>
    <w:rsid w:val="002F2115"/>
    <w:rsid w:val="002F2402"/>
    <w:rsid w:val="002F2980"/>
    <w:rsid w:val="002F2B54"/>
    <w:rsid w:val="002F2B84"/>
    <w:rsid w:val="002F306D"/>
    <w:rsid w:val="002F32D1"/>
    <w:rsid w:val="002F33C0"/>
    <w:rsid w:val="002F34D4"/>
    <w:rsid w:val="002F3566"/>
    <w:rsid w:val="002F3766"/>
    <w:rsid w:val="002F3E72"/>
    <w:rsid w:val="002F3F8C"/>
    <w:rsid w:val="002F4CAD"/>
    <w:rsid w:val="002F4E30"/>
    <w:rsid w:val="002F519F"/>
    <w:rsid w:val="002F627E"/>
    <w:rsid w:val="002F69C4"/>
    <w:rsid w:val="002F759C"/>
    <w:rsid w:val="002F7625"/>
    <w:rsid w:val="002F76E7"/>
    <w:rsid w:val="002F78EB"/>
    <w:rsid w:val="002F7C18"/>
    <w:rsid w:val="002F7C69"/>
    <w:rsid w:val="002F7D1A"/>
    <w:rsid w:val="002F7E74"/>
    <w:rsid w:val="00300A1E"/>
    <w:rsid w:val="00300B03"/>
    <w:rsid w:val="00300B4A"/>
    <w:rsid w:val="00300BE2"/>
    <w:rsid w:val="00300DE8"/>
    <w:rsid w:val="00300EE1"/>
    <w:rsid w:val="00301357"/>
    <w:rsid w:val="003015E5"/>
    <w:rsid w:val="003017E0"/>
    <w:rsid w:val="00301FE4"/>
    <w:rsid w:val="003021AE"/>
    <w:rsid w:val="00302661"/>
    <w:rsid w:val="0030274B"/>
    <w:rsid w:val="00302B54"/>
    <w:rsid w:val="00302FE9"/>
    <w:rsid w:val="0030396B"/>
    <w:rsid w:val="00303E26"/>
    <w:rsid w:val="00304161"/>
    <w:rsid w:val="00304251"/>
    <w:rsid w:val="003048A7"/>
    <w:rsid w:val="00305516"/>
    <w:rsid w:val="003059EC"/>
    <w:rsid w:val="00305C72"/>
    <w:rsid w:val="00305DCB"/>
    <w:rsid w:val="00305E9E"/>
    <w:rsid w:val="00305EF3"/>
    <w:rsid w:val="00306387"/>
    <w:rsid w:val="003065B8"/>
    <w:rsid w:val="003066BF"/>
    <w:rsid w:val="003066F0"/>
    <w:rsid w:val="003067DA"/>
    <w:rsid w:val="003067E5"/>
    <w:rsid w:val="00306A0F"/>
    <w:rsid w:val="00306BD1"/>
    <w:rsid w:val="003071E2"/>
    <w:rsid w:val="0030743A"/>
    <w:rsid w:val="003074E6"/>
    <w:rsid w:val="00307602"/>
    <w:rsid w:val="00307610"/>
    <w:rsid w:val="00307A18"/>
    <w:rsid w:val="00307C55"/>
    <w:rsid w:val="00307E82"/>
    <w:rsid w:val="0031099C"/>
    <w:rsid w:val="00310E5C"/>
    <w:rsid w:val="0031102F"/>
    <w:rsid w:val="0031190B"/>
    <w:rsid w:val="00312C8C"/>
    <w:rsid w:val="0031362C"/>
    <w:rsid w:val="00313D8D"/>
    <w:rsid w:val="00313FC9"/>
    <w:rsid w:val="003146C0"/>
    <w:rsid w:val="00314980"/>
    <w:rsid w:val="00314DB2"/>
    <w:rsid w:val="00314F79"/>
    <w:rsid w:val="003153CB"/>
    <w:rsid w:val="003158F2"/>
    <w:rsid w:val="00315997"/>
    <w:rsid w:val="00315C03"/>
    <w:rsid w:val="003162A9"/>
    <w:rsid w:val="00316442"/>
    <w:rsid w:val="003169B5"/>
    <w:rsid w:val="0031710D"/>
    <w:rsid w:val="00317288"/>
    <w:rsid w:val="00317D7C"/>
    <w:rsid w:val="00317FF0"/>
    <w:rsid w:val="00320153"/>
    <w:rsid w:val="003201C1"/>
    <w:rsid w:val="003201D3"/>
    <w:rsid w:val="003203A7"/>
    <w:rsid w:val="003205B8"/>
    <w:rsid w:val="00320F1B"/>
    <w:rsid w:val="0032133B"/>
    <w:rsid w:val="00321A34"/>
    <w:rsid w:val="003222BE"/>
    <w:rsid w:val="00322322"/>
    <w:rsid w:val="0032258A"/>
    <w:rsid w:val="003227A5"/>
    <w:rsid w:val="00322858"/>
    <w:rsid w:val="00322997"/>
    <w:rsid w:val="00322AAC"/>
    <w:rsid w:val="003232A1"/>
    <w:rsid w:val="003235B9"/>
    <w:rsid w:val="003235FC"/>
    <w:rsid w:val="00323B49"/>
    <w:rsid w:val="00323DE9"/>
    <w:rsid w:val="00323F9A"/>
    <w:rsid w:val="0032411F"/>
    <w:rsid w:val="003248BC"/>
    <w:rsid w:val="003249E8"/>
    <w:rsid w:val="003252D4"/>
    <w:rsid w:val="003264B8"/>
    <w:rsid w:val="00326AC0"/>
    <w:rsid w:val="00327217"/>
    <w:rsid w:val="0032724E"/>
    <w:rsid w:val="003278F1"/>
    <w:rsid w:val="00327C6C"/>
    <w:rsid w:val="00330402"/>
    <w:rsid w:val="003309E3"/>
    <w:rsid w:val="00330BC7"/>
    <w:rsid w:val="00330C9E"/>
    <w:rsid w:val="00330D31"/>
    <w:rsid w:val="00330EAF"/>
    <w:rsid w:val="00331224"/>
    <w:rsid w:val="0033136D"/>
    <w:rsid w:val="00331431"/>
    <w:rsid w:val="003314C3"/>
    <w:rsid w:val="00331DF4"/>
    <w:rsid w:val="00331E24"/>
    <w:rsid w:val="00331E56"/>
    <w:rsid w:val="00331E95"/>
    <w:rsid w:val="003320CC"/>
    <w:rsid w:val="003322FC"/>
    <w:rsid w:val="003323F7"/>
    <w:rsid w:val="003326EA"/>
    <w:rsid w:val="00332886"/>
    <w:rsid w:val="003329B6"/>
    <w:rsid w:val="00332D27"/>
    <w:rsid w:val="00333124"/>
    <w:rsid w:val="00333CF4"/>
    <w:rsid w:val="00333DED"/>
    <w:rsid w:val="003342BE"/>
    <w:rsid w:val="0033490E"/>
    <w:rsid w:val="00334BDA"/>
    <w:rsid w:val="00334EC1"/>
    <w:rsid w:val="0033544A"/>
    <w:rsid w:val="00335536"/>
    <w:rsid w:val="00335855"/>
    <w:rsid w:val="00335D31"/>
    <w:rsid w:val="00335EE7"/>
    <w:rsid w:val="00335FD6"/>
    <w:rsid w:val="0033617C"/>
    <w:rsid w:val="00336198"/>
    <w:rsid w:val="00336A43"/>
    <w:rsid w:val="00336A8F"/>
    <w:rsid w:val="00337182"/>
    <w:rsid w:val="00337251"/>
    <w:rsid w:val="00337398"/>
    <w:rsid w:val="00337752"/>
    <w:rsid w:val="003378AE"/>
    <w:rsid w:val="003378C1"/>
    <w:rsid w:val="00337BF2"/>
    <w:rsid w:val="00340117"/>
    <w:rsid w:val="00340133"/>
    <w:rsid w:val="00340223"/>
    <w:rsid w:val="00340C7B"/>
    <w:rsid w:val="003413D4"/>
    <w:rsid w:val="003414B1"/>
    <w:rsid w:val="0034192D"/>
    <w:rsid w:val="00341A88"/>
    <w:rsid w:val="00341F57"/>
    <w:rsid w:val="0034398A"/>
    <w:rsid w:val="00343EEA"/>
    <w:rsid w:val="00344AEA"/>
    <w:rsid w:val="00345C36"/>
    <w:rsid w:val="00346F13"/>
    <w:rsid w:val="00347099"/>
    <w:rsid w:val="003472DB"/>
    <w:rsid w:val="003478C5"/>
    <w:rsid w:val="00347EE0"/>
    <w:rsid w:val="00347F66"/>
    <w:rsid w:val="00350373"/>
    <w:rsid w:val="0035090B"/>
    <w:rsid w:val="00350954"/>
    <w:rsid w:val="003509FE"/>
    <w:rsid w:val="003512CA"/>
    <w:rsid w:val="003514B6"/>
    <w:rsid w:val="0035159E"/>
    <w:rsid w:val="0035184E"/>
    <w:rsid w:val="00351DA9"/>
    <w:rsid w:val="00352135"/>
    <w:rsid w:val="00352432"/>
    <w:rsid w:val="00352A9F"/>
    <w:rsid w:val="00352BC0"/>
    <w:rsid w:val="00353C1B"/>
    <w:rsid w:val="003545FE"/>
    <w:rsid w:val="003552C1"/>
    <w:rsid w:val="00355307"/>
    <w:rsid w:val="00355381"/>
    <w:rsid w:val="00355697"/>
    <w:rsid w:val="003568CF"/>
    <w:rsid w:val="0035701D"/>
    <w:rsid w:val="003572E4"/>
    <w:rsid w:val="003579DD"/>
    <w:rsid w:val="00357A77"/>
    <w:rsid w:val="00357AC1"/>
    <w:rsid w:val="00360238"/>
    <w:rsid w:val="00360A01"/>
    <w:rsid w:val="00360C8F"/>
    <w:rsid w:val="00360F3E"/>
    <w:rsid w:val="0036130A"/>
    <w:rsid w:val="0036162C"/>
    <w:rsid w:val="00361C11"/>
    <w:rsid w:val="00361EF6"/>
    <w:rsid w:val="00361F07"/>
    <w:rsid w:val="00362222"/>
    <w:rsid w:val="00362238"/>
    <w:rsid w:val="00362B9F"/>
    <w:rsid w:val="00362C33"/>
    <w:rsid w:val="00362DA5"/>
    <w:rsid w:val="00362ED7"/>
    <w:rsid w:val="00362F82"/>
    <w:rsid w:val="00363631"/>
    <w:rsid w:val="00363C02"/>
    <w:rsid w:val="00364B71"/>
    <w:rsid w:val="00364DD9"/>
    <w:rsid w:val="003652EE"/>
    <w:rsid w:val="003659DB"/>
    <w:rsid w:val="00365CA3"/>
    <w:rsid w:val="003664C8"/>
    <w:rsid w:val="003672B7"/>
    <w:rsid w:val="003675AB"/>
    <w:rsid w:val="00367A52"/>
    <w:rsid w:val="00370804"/>
    <w:rsid w:val="00370CB2"/>
    <w:rsid w:val="00371102"/>
    <w:rsid w:val="00371543"/>
    <w:rsid w:val="00371E8D"/>
    <w:rsid w:val="003725E7"/>
    <w:rsid w:val="003726DB"/>
    <w:rsid w:val="00372CB8"/>
    <w:rsid w:val="00372DAA"/>
    <w:rsid w:val="00373A27"/>
    <w:rsid w:val="00374477"/>
    <w:rsid w:val="003749BC"/>
    <w:rsid w:val="003754B1"/>
    <w:rsid w:val="0037556D"/>
    <w:rsid w:val="00375C09"/>
    <w:rsid w:val="0037658D"/>
    <w:rsid w:val="0037669D"/>
    <w:rsid w:val="003769E9"/>
    <w:rsid w:val="00376F74"/>
    <w:rsid w:val="00376F93"/>
    <w:rsid w:val="003776B2"/>
    <w:rsid w:val="003777E3"/>
    <w:rsid w:val="00377E44"/>
    <w:rsid w:val="00380CDA"/>
    <w:rsid w:val="00380D1A"/>
    <w:rsid w:val="00380D1D"/>
    <w:rsid w:val="00380E1D"/>
    <w:rsid w:val="00380EB4"/>
    <w:rsid w:val="0038110F"/>
    <w:rsid w:val="003819A0"/>
    <w:rsid w:val="00381D0C"/>
    <w:rsid w:val="00381F41"/>
    <w:rsid w:val="00381FFF"/>
    <w:rsid w:val="0038209D"/>
    <w:rsid w:val="00382E1C"/>
    <w:rsid w:val="00382E6B"/>
    <w:rsid w:val="00383109"/>
    <w:rsid w:val="00383905"/>
    <w:rsid w:val="00383C9F"/>
    <w:rsid w:val="003841A4"/>
    <w:rsid w:val="00384450"/>
    <w:rsid w:val="003844B1"/>
    <w:rsid w:val="0038478C"/>
    <w:rsid w:val="00384A17"/>
    <w:rsid w:val="00384CD7"/>
    <w:rsid w:val="003853E7"/>
    <w:rsid w:val="00385AFE"/>
    <w:rsid w:val="00385B20"/>
    <w:rsid w:val="00385B59"/>
    <w:rsid w:val="00385E9D"/>
    <w:rsid w:val="003860D8"/>
    <w:rsid w:val="0038613C"/>
    <w:rsid w:val="0038640D"/>
    <w:rsid w:val="0038645D"/>
    <w:rsid w:val="00386DF3"/>
    <w:rsid w:val="00386F3F"/>
    <w:rsid w:val="0038784E"/>
    <w:rsid w:val="00387A5F"/>
    <w:rsid w:val="00387B7C"/>
    <w:rsid w:val="00390354"/>
    <w:rsid w:val="003905D9"/>
    <w:rsid w:val="00390721"/>
    <w:rsid w:val="00390D24"/>
    <w:rsid w:val="00390F50"/>
    <w:rsid w:val="00390FD7"/>
    <w:rsid w:val="003917F2"/>
    <w:rsid w:val="0039195F"/>
    <w:rsid w:val="00391B0A"/>
    <w:rsid w:val="00392033"/>
    <w:rsid w:val="003921F2"/>
    <w:rsid w:val="00392284"/>
    <w:rsid w:val="003927C9"/>
    <w:rsid w:val="0039297C"/>
    <w:rsid w:val="00392CFA"/>
    <w:rsid w:val="003933A2"/>
    <w:rsid w:val="003933F2"/>
    <w:rsid w:val="003937E2"/>
    <w:rsid w:val="0039440D"/>
    <w:rsid w:val="00394D2E"/>
    <w:rsid w:val="00394D88"/>
    <w:rsid w:val="00394DB0"/>
    <w:rsid w:val="003950AA"/>
    <w:rsid w:val="003954C5"/>
    <w:rsid w:val="00395A24"/>
    <w:rsid w:val="00395D56"/>
    <w:rsid w:val="00396155"/>
    <w:rsid w:val="003966C8"/>
    <w:rsid w:val="0039680C"/>
    <w:rsid w:val="00396EC5"/>
    <w:rsid w:val="0039734D"/>
    <w:rsid w:val="0039745A"/>
    <w:rsid w:val="00397957"/>
    <w:rsid w:val="00397B2B"/>
    <w:rsid w:val="003A064B"/>
    <w:rsid w:val="003A06A0"/>
    <w:rsid w:val="003A06C7"/>
    <w:rsid w:val="003A08CC"/>
    <w:rsid w:val="003A08F6"/>
    <w:rsid w:val="003A09DE"/>
    <w:rsid w:val="003A0A45"/>
    <w:rsid w:val="003A0FD0"/>
    <w:rsid w:val="003A1CD9"/>
    <w:rsid w:val="003A1EE0"/>
    <w:rsid w:val="003A287D"/>
    <w:rsid w:val="003A3447"/>
    <w:rsid w:val="003A34F9"/>
    <w:rsid w:val="003A3BDB"/>
    <w:rsid w:val="003A3C50"/>
    <w:rsid w:val="003A3D41"/>
    <w:rsid w:val="003A42E5"/>
    <w:rsid w:val="003A4472"/>
    <w:rsid w:val="003A4663"/>
    <w:rsid w:val="003A4785"/>
    <w:rsid w:val="003A4AB0"/>
    <w:rsid w:val="003A4E38"/>
    <w:rsid w:val="003A54DC"/>
    <w:rsid w:val="003A55B2"/>
    <w:rsid w:val="003A5D37"/>
    <w:rsid w:val="003A5DA5"/>
    <w:rsid w:val="003A616C"/>
    <w:rsid w:val="003A62FB"/>
    <w:rsid w:val="003A68C1"/>
    <w:rsid w:val="003A6AD2"/>
    <w:rsid w:val="003A6BFB"/>
    <w:rsid w:val="003A73CB"/>
    <w:rsid w:val="003A762B"/>
    <w:rsid w:val="003A7C41"/>
    <w:rsid w:val="003B0017"/>
    <w:rsid w:val="003B07E3"/>
    <w:rsid w:val="003B09B5"/>
    <w:rsid w:val="003B1297"/>
    <w:rsid w:val="003B15AC"/>
    <w:rsid w:val="003B1866"/>
    <w:rsid w:val="003B1AE0"/>
    <w:rsid w:val="003B2665"/>
    <w:rsid w:val="003B2F0E"/>
    <w:rsid w:val="003B3230"/>
    <w:rsid w:val="003B3CFC"/>
    <w:rsid w:val="003B4938"/>
    <w:rsid w:val="003B4F7A"/>
    <w:rsid w:val="003B5548"/>
    <w:rsid w:val="003B5E8B"/>
    <w:rsid w:val="003B6ECD"/>
    <w:rsid w:val="003B7A1D"/>
    <w:rsid w:val="003B7BA5"/>
    <w:rsid w:val="003B7E2D"/>
    <w:rsid w:val="003C0716"/>
    <w:rsid w:val="003C0749"/>
    <w:rsid w:val="003C0B08"/>
    <w:rsid w:val="003C0CF3"/>
    <w:rsid w:val="003C0E7A"/>
    <w:rsid w:val="003C1096"/>
    <w:rsid w:val="003C13A4"/>
    <w:rsid w:val="003C1747"/>
    <w:rsid w:val="003C18D8"/>
    <w:rsid w:val="003C1B5F"/>
    <w:rsid w:val="003C1B8C"/>
    <w:rsid w:val="003C1F8E"/>
    <w:rsid w:val="003C2073"/>
    <w:rsid w:val="003C2E41"/>
    <w:rsid w:val="003C31EE"/>
    <w:rsid w:val="003C343C"/>
    <w:rsid w:val="003C4649"/>
    <w:rsid w:val="003C4AC0"/>
    <w:rsid w:val="003C4D66"/>
    <w:rsid w:val="003C5601"/>
    <w:rsid w:val="003C5D6E"/>
    <w:rsid w:val="003C5D83"/>
    <w:rsid w:val="003C69A9"/>
    <w:rsid w:val="003C77BF"/>
    <w:rsid w:val="003C7856"/>
    <w:rsid w:val="003D129A"/>
    <w:rsid w:val="003D15BB"/>
    <w:rsid w:val="003D232C"/>
    <w:rsid w:val="003D24B4"/>
    <w:rsid w:val="003D26CF"/>
    <w:rsid w:val="003D27BC"/>
    <w:rsid w:val="003D2ACA"/>
    <w:rsid w:val="003D2D68"/>
    <w:rsid w:val="003D2EF4"/>
    <w:rsid w:val="003D3043"/>
    <w:rsid w:val="003D3782"/>
    <w:rsid w:val="003D3AD8"/>
    <w:rsid w:val="003D3CB0"/>
    <w:rsid w:val="003D3D91"/>
    <w:rsid w:val="003D3E53"/>
    <w:rsid w:val="003D4133"/>
    <w:rsid w:val="003D449C"/>
    <w:rsid w:val="003D44AC"/>
    <w:rsid w:val="003D4C0E"/>
    <w:rsid w:val="003D4CF0"/>
    <w:rsid w:val="003D4F8E"/>
    <w:rsid w:val="003D505E"/>
    <w:rsid w:val="003D55A1"/>
    <w:rsid w:val="003D5637"/>
    <w:rsid w:val="003D610C"/>
    <w:rsid w:val="003D63F5"/>
    <w:rsid w:val="003D65AA"/>
    <w:rsid w:val="003D6DE5"/>
    <w:rsid w:val="003D7015"/>
    <w:rsid w:val="003D7C67"/>
    <w:rsid w:val="003D7F26"/>
    <w:rsid w:val="003E0261"/>
    <w:rsid w:val="003E0D45"/>
    <w:rsid w:val="003E10BB"/>
    <w:rsid w:val="003E111F"/>
    <w:rsid w:val="003E137A"/>
    <w:rsid w:val="003E1436"/>
    <w:rsid w:val="003E178A"/>
    <w:rsid w:val="003E1A62"/>
    <w:rsid w:val="003E1B8D"/>
    <w:rsid w:val="003E1BBF"/>
    <w:rsid w:val="003E1FF6"/>
    <w:rsid w:val="003E25CF"/>
    <w:rsid w:val="003E2942"/>
    <w:rsid w:val="003E39D7"/>
    <w:rsid w:val="003E3C54"/>
    <w:rsid w:val="003E3EAF"/>
    <w:rsid w:val="003E4235"/>
    <w:rsid w:val="003E4E10"/>
    <w:rsid w:val="003E52C0"/>
    <w:rsid w:val="003E57F1"/>
    <w:rsid w:val="003E58B2"/>
    <w:rsid w:val="003E5AEE"/>
    <w:rsid w:val="003E5F09"/>
    <w:rsid w:val="003E6045"/>
    <w:rsid w:val="003E6271"/>
    <w:rsid w:val="003E69EF"/>
    <w:rsid w:val="003E7176"/>
    <w:rsid w:val="003E7308"/>
    <w:rsid w:val="003E7A9E"/>
    <w:rsid w:val="003E7DC5"/>
    <w:rsid w:val="003E7EDB"/>
    <w:rsid w:val="003E7F54"/>
    <w:rsid w:val="003F0232"/>
    <w:rsid w:val="003F03BF"/>
    <w:rsid w:val="003F03C3"/>
    <w:rsid w:val="003F0519"/>
    <w:rsid w:val="003F0841"/>
    <w:rsid w:val="003F0C5F"/>
    <w:rsid w:val="003F13D5"/>
    <w:rsid w:val="003F1B8C"/>
    <w:rsid w:val="003F26B1"/>
    <w:rsid w:val="003F2EF2"/>
    <w:rsid w:val="003F2FCE"/>
    <w:rsid w:val="003F372B"/>
    <w:rsid w:val="003F3DE7"/>
    <w:rsid w:val="003F3E42"/>
    <w:rsid w:val="003F426A"/>
    <w:rsid w:val="003F4285"/>
    <w:rsid w:val="003F42F8"/>
    <w:rsid w:val="003F48B5"/>
    <w:rsid w:val="003F48CD"/>
    <w:rsid w:val="003F49E3"/>
    <w:rsid w:val="003F4A4B"/>
    <w:rsid w:val="003F50DD"/>
    <w:rsid w:val="003F5455"/>
    <w:rsid w:val="003F57A8"/>
    <w:rsid w:val="003F59A0"/>
    <w:rsid w:val="003F5E4C"/>
    <w:rsid w:val="003F5E8E"/>
    <w:rsid w:val="003F5FC2"/>
    <w:rsid w:val="003F631F"/>
    <w:rsid w:val="003F6A44"/>
    <w:rsid w:val="003F733F"/>
    <w:rsid w:val="003F7620"/>
    <w:rsid w:val="003F764F"/>
    <w:rsid w:val="003F768B"/>
    <w:rsid w:val="003F7C06"/>
    <w:rsid w:val="003F7D7D"/>
    <w:rsid w:val="003F7E1F"/>
    <w:rsid w:val="003F7E4C"/>
    <w:rsid w:val="004004B5"/>
    <w:rsid w:val="00400532"/>
    <w:rsid w:val="004009B1"/>
    <w:rsid w:val="00401BA0"/>
    <w:rsid w:val="00401FFE"/>
    <w:rsid w:val="00403192"/>
    <w:rsid w:val="0040333B"/>
    <w:rsid w:val="004033C2"/>
    <w:rsid w:val="0040445B"/>
    <w:rsid w:val="00404A6F"/>
    <w:rsid w:val="00404CE0"/>
    <w:rsid w:val="004055FA"/>
    <w:rsid w:val="00405D97"/>
    <w:rsid w:val="0040613D"/>
    <w:rsid w:val="0040623A"/>
    <w:rsid w:val="00406A8A"/>
    <w:rsid w:val="00407107"/>
    <w:rsid w:val="0040724C"/>
    <w:rsid w:val="004076EA"/>
    <w:rsid w:val="004078B8"/>
    <w:rsid w:val="00410347"/>
    <w:rsid w:val="0041050D"/>
    <w:rsid w:val="004108A1"/>
    <w:rsid w:val="00410C41"/>
    <w:rsid w:val="00410C92"/>
    <w:rsid w:val="00410E3B"/>
    <w:rsid w:val="004111FE"/>
    <w:rsid w:val="00411BE8"/>
    <w:rsid w:val="00411FFD"/>
    <w:rsid w:val="004120AE"/>
    <w:rsid w:val="00412F84"/>
    <w:rsid w:val="00412F99"/>
    <w:rsid w:val="004137E0"/>
    <w:rsid w:val="00413D2F"/>
    <w:rsid w:val="00413FC3"/>
    <w:rsid w:val="00414A6C"/>
    <w:rsid w:val="00414B6E"/>
    <w:rsid w:val="00414F71"/>
    <w:rsid w:val="004152DD"/>
    <w:rsid w:val="0041598B"/>
    <w:rsid w:val="00415EDD"/>
    <w:rsid w:val="00415FC5"/>
    <w:rsid w:val="00416059"/>
    <w:rsid w:val="00416190"/>
    <w:rsid w:val="0041621E"/>
    <w:rsid w:val="00416A15"/>
    <w:rsid w:val="00416CD3"/>
    <w:rsid w:val="00417DB4"/>
    <w:rsid w:val="00420448"/>
    <w:rsid w:val="00420EB9"/>
    <w:rsid w:val="0042107B"/>
    <w:rsid w:val="00421367"/>
    <w:rsid w:val="00421449"/>
    <w:rsid w:val="004219AE"/>
    <w:rsid w:val="00421EAA"/>
    <w:rsid w:val="0042259C"/>
    <w:rsid w:val="004227C5"/>
    <w:rsid w:val="00422B60"/>
    <w:rsid w:val="00422BB1"/>
    <w:rsid w:val="00423195"/>
    <w:rsid w:val="00423996"/>
    <w:rsid w:val="00423AC7"/>
    <w:rsid w:val="00423E73"/>
    <w:rsid w:val="00423F96"/>
    <w:rsid w:val="0042414F"/>
    <w:rsid w:val="004241D7"/>
    <w:rsid w:val="00424B53"/>
    <w:rsid w:val="00424D8B"/>
    <w:rsid w:val="00425497"/>
    <w:rsid w:val="00425609"/>
    <w:rsid w:val="00425D6F"/>
    <w:rsid w:val="00425F89"/>
    <w:rsid w:val="00426177"/>
    <w:rsid w:val="004267B6"/>
    <w:rsid w:val="00426C69"/>
    <w:rsid w:val="00426F63"/>
    <w:rsid w:val="0042740C"/>
    <w:rsid w:val="004275AF"/>
    <w:rsid w:val="004275C2"/>
    <w:rsid w:val="00427ACC"/>
    <w:rsid w:val="00430304"/>
    <w:rsid w:val="0043079D"/>
    <w:rsid w:val="004308A6"/>
    <w:rsid w:val="00430E99"/>
    <w:rsid w:val="0043110D"/>
    <w:rsid w:val="0043136D"/>
    <w:rsid w:val="00431551"/>
    <w:rsid w:val="00431810"/>
    <w:rsid w:val="00431944"/>
    <w:rsid w:val="00431AAA"/>
    <w:rsid w:val="00431DD9"/>
    <w:rsid w:val="00431E67"/>
    <w:rsid w:val="004329B8"/>
    <w:rsid w:val="00432C57"/>
    <w:rsid w:val="004335C0"/>
    <w:rsid w:val="0043367E"/>
    <w:rsid w:val="0043388C"/>
    <w:rsid w:val="00433AA5"/>
    <w:rsid w:val="004341BD"/>
    <w:rsid w:val="00434321"/>
    <w:rsid w:val="004348A6"/>
    <w:rsid w:val="00434BB0"/>
    <w:rsid w:val="00434DC4"/>
    <w:rsid w:val="0043501B"/>
    <w:rsid w:val="0043519B"/>
    <w:rsid w:val="00435996"/>
    <w:rsid w:val="00436411"/>
    <w:rsid w:val="00436454"/>
    <w:rsid w:val="0043656B"/>
    <w:rsid w:val="00436F56"/>
    <w:rsid w:val="004372C3"/>
    <w:rsid w:val="0043731C"/>
    <w:rsid w:val="00437419"/>
    <w:rsid w:val="0043753C"/>
    <w:rsid w:val="0043769E"/>
    <w:rsid w:val="004378AD"/>
    <w:rsid w:val="00437B65"/>
    <w:rsid w:val="0044058E"/>
    <w:rsid w:val="00441495"/>
    <w:rsid w:val="004414D5"/>
    <w:rsid w:val="004416EA"/>
    <w:rsid w:val="0044242C"/>
    <w:rsid w:val="004424B6"/>
    <w:rsid w:val="004424E7"/>
    <w:rsid w:val="004435F6"/>
    <w:rsid w:val="004436AD"/>
    <w:rsid w:val="00443942"/>
    <w:rsid w:val="00443C63"/>
    <w:rsid w:val="00443FE1"/>
    <w:rsid w:val="00444BFF"/>
    <w:rsid w:val="00444E05"/>
    <w:rsid w:val="00445BA7"/>
    <w:rsid w:val="004464CC"/>
    <w:rsid w:val="00446725"/>
    <w:rsid w:val="00446991"/>
    <w:rsid w:val="00446C5D"/>
    <w:rsid w:val="00446C6B"/>
    <w:rsid w:val="00446DC5"/>
    <w:rsid w:val="004471AF"/>
    <w:rsid w:val="004473FD"/>
    <w:rsid w:val="00447572"/>
    <w:rsid w:val="00450429"/>
    <w:rsid w:val="00450B68"/>
    <w:rsid w:val="00451180"/>
    <w:rsid w:val="004516AA"/>
    <w:rsid w:val="00451835"/>
    <w:rsid w:val="00451B0C"/>
    <w:rsid w:val="00451DC7"/>
    <w:rsid w:val="00452415"/>
    <w:rsid w:val="004525B7"/>
    <w:rsid w:val="004526BE"/>
    <w:rsid w:val="00452FFF"/>
    <w:rsid w:val="0045302B"/>
    <w:rsid w:val="00453063"/>
    <w:rsid w:val="004530DE"/>
    <w:rsid w:val="004531AE"/>
    <w:rsid w:val="004531DA"/>
    <w:rsid w:val="00453C1C"/>
    <w:rsid w:val="00453E1E"/>
    <w:rsid w:val="004549A2"/>
    <w:rsid w:val="00454A50"/>
    <w:rsid w:val="00454EC1"/>
    <w:rsid w:val="004555AC"/>
    <w:rsid w:val="00455C9B"/>
    <w:rsid w:val="004563C2"/>
    <w:rsid w:val="00456C21"/>
    <w:rsid w:val="004570BF"/>
    <w:rsid w:val="00457926"/>
    <w:rsid w:val="00457D5D"/>
    <w:rsid w:val="0046005B"/>
    <w:rsid w:val="004603BF"/>
    <w:rsid w:val="004605F3"/>
    <w:rsid w:val="00460902"/>
    <w:rsid w:val="00460CAE"/>
    <w:rsid w:val="00461163"/>
    <w:rsid w:val="00461D0C"/>
    <w:rsid w:val="00461E62"/>
    <w:rsid w:val="004627F5"/>
    <w:rsid w:val="00462D2F"/>
    <w:rsid w:val="00462E38"/>
    <w:rsid w:val="00462FD9"/>
    <w:rsid w:val="0046438A"/>
    <w:rsid w:val="004643D1"/>
    <w:rsid w:val="004643D7"/>
    <w:rsid w:val="00464585"/>
    <w:rsid w:val="00464D55"/>
    <w:rsid w:val="00464E2C"/>
    <w:rsid w:val="00464F7C"/>
    <w:rsid w:val="0046503E"/>
    <w:rsid w:val="00465A88"/>
    <w:rsid w:val="00465B1F"/>
    <w:rsid w:val="00465DC9"/>
    <w:rsid w:val="004661E4"/>
    <w:rsid w:val="004669FD"/>
    <w:rsid w:val="00466BEE"/>
    <w:rsid w:val="00466C2C"/>
    <w:rsid w:val="00466C75"/>
    <w:rsid w:val="00466DBE"/>
    <w:rsid w:val="00466EFD"/>
    <w:rsid w:val="00466FD8"/>
    <w:rsid w:val="004676B2"/>
    <w:rsid w:val="00467967"/>
    <w:rsid w:val="00467AC4"/>
    <w:rsid w:val="00467C44"/>
    <w:rsid w:val="00470BF2"/>
    <w:rsid w:val="00470D3B"/>
    <w:rsid w:val="00470F0E"/>
    <w:rsid w:val="004718F1"/>
    <w:rsid w:val="0047208B"/>
    <w:rsid w:val="00472163"/>
    <w:rsid w:val="004747B4"/>
    <w:rsid w:val="004750E1"/>
    <w:rsid w:val="00475305"/>
    <w:rsid w:val="0047533A"/>
    <w:rsid w:val="004756F4"/>
    <w:rsid w:val="004759A4"/>
    <w:rsid w:val="00475EAE"/>
    <w:rsid w:val="0047618A"/>
    <w:rsid w:val="004762CE"/>
    <w:rsid w:val="00476362"/>
    <w:rsid w:val="004765AB"/>
    <w:rsid w:val="0047680E"/>
    <w:rsid w:val="00476EAD"/>
    <w:rsid w:val="0047753C"/>
    <w:rsid w:val="00477699"/>
    <w:rsid w:val="0047783D"/>
    <w:rsid w:val="0047789E"/>
    <w:rsid w:val="00477BB9"/>
    <w:rsid w:val="00480391"/>
    <w:rsid w:val="00480C82"/>
    <w:rsid w:val="00480C8C"/>
    <w:rsid w:val="00480F51"/>
    <w:rsid w:val="00481119"/>
    <w:rsid w:val="0048136A"/>
    <w:rsid w:val="004815A8"/>
    <w:rsid w:val="00481C7B"/>
    <w:rsid w:val="00481E00"/>
    <w:rsid w:val="0048202D"/>
    <w:rsid w:val="00482284"/>
    <w:rsid w:val="004826CD"/>
    <w:rsid w:val="0048279A"/>
    <w:rsid w:val="0048303A"/>
    <w:rsid w:val="004830FF"/>
    <w:rsid w:val="004839B5"/>
    <w:rsid w:val="00483BDB"/>
    <w:rsid w:val="00484360"/>
    <w:rsid w:val="00484374"/>
    <w:rsid w:val="0048476F"/>
    <w:rsid w:val="004848DE"/>
    <w:rsid w:val="004849C9"/>
    <w:rsid w:val="004849E9"/>
    <w:rsid w:val="00484FEF"/>
    <w:rsid w:val="004851DF"/>
    <w:rsid w:val="004852E4"/>
    <w:rsid w:val="00485D75"/>
    <w:rsid w:val="0048649F"/>
    <w:rsid w:val="00486589"/>
    <w:rsid w:val="00486909"/>
    <w:rsid w:val="004869B8"/>
    <w:rsid w:val="00486AA9"/>
    <w:rsid w:val="00486BD5"/>
    <w:rsid w:val="00486E9A"/>
    <w:rsid w:val="00486FF3"/>
    <w:rsid w:val="00487EEB"/>
    <w:rsid w:val="00490650"/>
    <w:rsid w:val="0049098E"/>
    <w:rsid w:val="00490B16"/>
    <w:rsid w:val="00490C2B"/>
    <w:rsid w:val="00490EC6"/>
    <w:rsid w:val="00490FDE"/>
    <w:rsid w:val="004913D7"/>
    <w:rsid w:val="0049140E"/>
    <w:rsid w:val="00491623"/>
    <w:rsid w:val="0049196E"/>
    <w:rsid w:val="00491B25"/>
    <w:rsid w:val="00491BA0"/>
    <w:rsid w:val="00491C29"/>
    <w:rsid w:val="00491C3A"/>
    <w:rsid w:val="0049231D"/>
    <w:rsid w:val="00492D7D"/>
    <w:rsid w:val="00492F19"/>
    <w:rsid w:val="00493365"/>
    <w:rsid w:val="00493D28"/>
    <w:rsid w:val="00494350"/>
    <w:rsid w:val="00494632"/>
    <w:rsid w:val="00494679"/>
    <w:rsid w:val="00494ABF"/>
    <w:rsid w:val="0049544C"/>
    <w:rsid w:val="0049546E"/>
    <w:rsid w:val="004956A2"/>
    <w:rsid w:val="0049585A"/>
    <w:rsid w:val="00495982"/>
    <w:rsid w:val="004959C5"/>
    <w:rsid w:val="00495DC6"/>
    <w:rsid w:val="00496003"/>
    <w:rsid w:val="00496355"/>
    <w:rsid w:val="004963B6"/>
    <w:rsid w:val="00496460"/>
    <w:rsid w:val="004965AB"/>
    <w:rsid w:val="004967E0"/>
    <w:rsid w:val="004969EA"/>
    <w:rsid w:val="00496B36"/>
    <w:rsid w:val="00496BC7"/>
    <w:rsid w:val="0049760E"/>
    <w:rsid w:val="004979A7"/>
    <w:rsid w:val="004979B4"/>
    <w:rsid w:val="00497E6E"/>
    <w:rsid w:val="00497E89"/>
    <w:rsid w:val="00497EF9"/>
    <w:rsid w:val="00497F45"/>
    <w:rsid w:val="004A0001"/>
    <w:rsid w:val="004A0123"/>
    <w:rsid w:val="004A058D"/>
    <w:rsid w:val="004A05EE"/>
    <w:rsid w:val="004A06C0"/>
    <w:rsid w:val="004A06DE"/>
    <w:rsid w:val="004A0C16"/>
    <w:rsid w:val="004A0D93"/>
    <w:rsid w:val="004A0DAD"/>
    <w:rsid w:val="004A17EA"/>
    <w:rsid w:val="004A1C9F"/>
    <w:rsid w:val="004A1D3D"/>
    <w:rsid w:val="004A2027"/>
    <w:rsid w:val="004A23C5"/>
    <w:rsid w:val="004A24FE"/>
    <w:rsid w:val="004A2615"/>
    <w:rsid w:val="004A27A9"/>
    <w:rsid w:val="004A2825"/>
    <w:rsid w:val="004A2A0B"/>
    <w:rsid w:val="004A3442"/>
    <w:rsid w:val="004A37D1"/>
    <w:rsid w:val="004A3CAA"/>
    <w:rsid w:val="004A48B3"/>
    <w:rsid w:val="004A5156"/>
    <w:rsid w:val="004A52FF"/>
    <w:rsid w:val="004A5644"/>
    <w:rsid w:val="004A58A5"/>
    <w:rsid w:val="004A5971"/>
    <w:rsid w:val="004A59CC"/>
    <w:rsid w:val="004A5AFF"/>
    <w:rsid w:val="004A5BB8"/>
    <w:rsid w:val="004A5BFC"/>
    <w:rsid w:val="004A5E1D"/>
    <w:rsid w:val="004A5E73"/>
    <w:rsid w:val="004A6206"/>
    <w:rsid w:val="004A6AC7"/>
    <w:rsid w:val="004A6C44"/>
    <w:rsid w:val="004A726A"/>
    <w:rsid w:val="004A77C8"/>
    <w:rsid w:val="004A7805"/>
    <w:rsid w:val="004A7A1E"/>
    <w:rsid w:val="004A7D68"/>
    <w:rsid w:val="004B0165"/>
    <w:rsid w:val="004B098D"/>
    <w:rsid w:val="004B0D14"/>
    <w:rsid w:val="004B0EA9"/>
    <w:rsid w:val="004B122D"/>
    <w:rsid w:val="004B1341"/>
    <w:rsid w:val="004B13B2"/>
    <w:rsid w:val="004B1958"/>
    <w:rsid w:val="004B1BC0"/>
    <w:rsid w:val="004B1F4A"/>
    <w:rsid w:val="004B22C3"/>
    <w:rsid w:val="004B2382"/>
    <w:rsid w:val="004B2435"/>
    <w:rsid w:val="004B26DE"/>
    <w:rsid w:val="004B2764"/>
    <w:rsid w:val="004B29D1"/>
    <w:rsid w:val="004B2ACD"/>
    <w:rsid w:val="004B2C2B"/>
    <w:rsid w:val="004B3331"/>
    <w:rsid w:val="004B3338"/>
    <w:rsid w:val="004B3339"/>
    <w:rsid w:val="004B37C8"/>
    <w:rsid w:val="004B385F"/>
    <w:rsid w:val="004B3969"/>
    <w:rsid w:val="004B3E20"/>
    <w:rsid w:val="004B41C6"/>
    <w:rsid w:val="004B41EE"/>
    <w:rsid w:val="004B4689"/>
    <w:rsid w:val="004B485C"/>
    <w:rsid w:val="004B4A41"/>
    <w:rsid w:val="004B4E4A"/>
    <w:rsid w:val="004B59A3"/>
    <w:rsid w:val="004B59C7"/>
    <w:rsid w:val="004B63D5"/>
    <w:rsid w:val="004B6441"/>
    <w:rsid w:val="004B6822"/>
    <w:rsid w:val="004B6A90"/>
    <w:rsid w:val="004B6A94"/>
    <w:rsid w:val="004B6B5C"/>
    <w:rsid w:val="004B72CE"/>
    <w:rsid w:val="004B7902"/>
    <w:rsid w:val="004B7950"/>
    <w:rsid w:val="004B7953"/>
    <w:rsid w:val="004B7F7A"/>
    <w:rsid w:val="004C02C9"/>
    <w:rsid w:val="004C035D"/>
    <w:rsid w:val="004C03AC"/>
    <w:rsid w:val="004C03FF"/>
    <w:rsid w:val="004C0A0A"/>
    <w:rsid w:val="004C0DF5"/>
    <w:rsid w:val="004C18D0"/>
    <w:rsid w:val="004C18E1"/>
    <w:rsid w:val="004C1B04"/>
    <w:rsid w:val="004C2B36"/>
    <w:rsid w:val="004C2D28"/>
    <w:rsid w:val="004C3332"/>
    <w:rsid w:val="004C33E5"/>
    <w:rsid w:val="004C3DC1"/>
    <w:rsid w:val="004C3EA2"/>
    <w:rsid w:val="004C47F4"/>
    <w:rsid w:val="004C4AE7"/>
    <w:rsid w:val="004C4AFD"/>
    <w:rsid w:val="004C4BD3"/>
    <w:rsid w:val="004C5069"/>
    <w:rsid w:val="004C52CC"/>
    <w:rsid w:val="004C58C1"/>
    <w:rsid w:val="004C5A56"/>
    <w:rsid w:val="004C5B77"/>
    <w:rsid w:val="004C649F"/>
    <w:rsid w:val="004C6767"/>
    <w:rsid w:val="004C68D2"/>
    <w:rsid w:val="004C6A87"/>
    <w:rsid w:val="004C6E2A"/>
    <w:rsid w:val="004C74FF"/>
    <w:rsid w:val="004C77CF"/>
    <w:rsid w:val="004C795B"/>
    <w:rsid w:val="004D0030"/>
    <w:rsid w:val="004D006B"/>
    <w:rsid w:val="004D0276"/>
    <w:rsid w:val="004D02B8"/>
    <w:rsid w:val="004D052B"/>
    <w:rsid w:val="004D06B2"/>
    <w:rsid w:val="004D0D06"/>
    <w:rsid w:val="004D1030"/>
    <w:rsid w:val="004D1320"/>
    <w:rsid w:val="004D1494"/>
    <w:rsid w:val="004D15EB"/>
    <w:rsid w:val="004D1F9D"/>
    <w:rsid w:val="004D2143"/>
    <w:rsid w:val="004D2747"/>
    <w:rsid w:val="004D2799"/>
    <w:rsid w:val="004D27A1"/>
    <w:rsid w:val="004D2B91"/>
    <w:rsid w:val="004D2DB2"/>
    <w:rsid w:val="004D3413"/>
    <w:rsid w:val="004D3493"/>
    <w:rsid w:val="004D3500"/>
    <w:rsid w:val="004D36BB"/>
    <w:rsid w:val="004D3D24"/>
    <w:rsid w:val="004D3F50"/>
    <w:rsid w:val="004D45A0"/>
    <w:rsid w:val="004D468C"/>
    <w:rsid w:val="004D4922"/>
    <w:rsid w:val="004D54B3"/>
    <w:rsid w:val="004D594F"/>
    <w:rsid w:val="004D5EEE"/>
    <w:rsid w:val="004D6535"/>
    <w:rsid w:val="004D66AF"/>
    <w:rsid w:val="004D6BA4"/>
    <w:rsid w:val="004D6BED"/>
    <w:rsid w:val="004D77B6"/>
    <w:rsid w:val="004D77DA"/>
    <w:rsid w:val="004D7EFE"/>
    <w:rsid w:val="004E0746"/>
    <w:rsid w:val="004E15D4"/>
    <w:rsid w:val="004E1BD3"/>
    <w:rsid w:val="004E1D5D"/>
    <w:rsid w:val="004E1E81"/>
    <w:rsid w:val="004E1FF4"/>
    <w:rsid w:val="004E2046"/>
    <w:rsid w:val="004E2055"/>
    <w:rsid w:val="004E20A8"/>
    <w:rsid w:val="004E24C3"/>
    <w:rsid w:val="004E28E4"/>
    <w:rsid w:val="004E35AB"/>
    <w:rsid w:val="004E3606"/>
    <w:rsid w:val="004E3A43"/>
    <w:rsid w:val="004E3A73"/>
    <w:rsid w:val="004E3CBC"/>
    <w:rsid w:val="004E405F"/>
    <w:rsid w:val="004E5AED"/>
    <w:rsid w:val="004E5D56"/>
    <w:rsid w:val="004E5DAC"/>
    <w:rsid w:val="004E5DCB"/>
    <w:rsid w:val="004E665D"/>
    <w:rsid w:val="004E6BE5"/>
    <w:rsid w:val="004E6D92"/>
    <w:rsid w:val="004E7346"/>
    <w:rsid w:val="004E74C1"/>
    <w:rsid w:val="004E767B"/>
    <w:rsid w:val="004E77FE"/>
    <w:rsid w:val="004E7A65"/>
    <w:rsid w:val="004E7C1C"/>
    <w:rsid w:val="004F0248"/>
    <w:rsid w:val="004F03C8"/>
    <w:rsid w:val="004F087D"/>
    <w:rsid w:val="004F0A99"/>
    <w:rsid w:val="004F0C13"/>
    <w:rsid w:val="004F0C9E"/>
    <w:rsid w:val="004F162A"/>
    <w:rsid w:val="004F250A"/>
    <w:rsid w:val="004F26BF"/>
    <w:rsid w:val="004F26FE"/>
    <w:rsid w:val="004F2839"/>
    <w:rsid w:val="004F287E"/>
    <w:rsid w:val="004F2D37"/>
    <w:rsid w:val="004F3537"/>
    <w:rsid w:val="004F3615"/>
    <w:rsid w:val="004F3A3C"/>
    <w:rsid w:val="004F3A74"/>
    <w:rsid w:val="004F3D9E"/>
    <w:rsid w:val="004F45BF"/>
    <w:rsid w:val="004F477C"/>
    <w:rsid w:val="004F49A2"/>
    <w:rsid w:val="004F4BF7"/>
    <w:rsid w:val="004F4F75"/>
    <w:rsid w:val="004F53C4"/>
    <w:rsid w:val="004F619D"/>
    <w:rsid w:val="004F6553"/>
    <w:rsid w:val="004F6591"/>
    <w:rsid w:val="004F6898"/>
    <w:rsid w:val="004F6E99"/>
    <w:rsid w:val="004F7010"/>
    <w:rsid w:val="004F7365"/>
    <w:rsid w:val="004F7638"/>
    <w:rsid w:val="004F781C"/>
    <w:rsid w:val="004F7A5F"/>
    <w:rsid w:val="005002FA"/>
    <w:rsid w:val="005007BE"/>
    <w:rsid w:val="005009FC"/>
    <w:rsid w:val="00500F4E"/>
    <w:rsid w:val="005013CE"/>
    <w:rsid w:val="005016CC"/>
    <w:rsid w:val="00501998"/>
    <w:rsid w:val="005029EA"/>
    <w:rsid w:val="00502D90"/>
    <w:rsid w:val="00503309"/>
    <w:rsid w:val="00503473"/>
    <w:rsid w:val="00503725"/>
    <w:rsid w:val="00503FFE"/>
    <w:rsid w:val="00504575"/>
    <w:rsid w:val="00504606"/>
    <w:rsid w:val="00504799"/>
    <w:rsid w:val="00504D1F"/>
    <w:rsid w:val="00504E67"/>
    <w:rsid w:val="00504F3E"/>
    <w:rsid w:val="005051FB"/>
    <w:rsid w:val="0050557A"/>
    <w:rsid w:val="0050573E"/>
    <w:rsid w:val="00505AD7"/>
    <w:rsid w:val="00505B19"/>
    <w:rsid w:val="00505F8B"/>
    <w:rsid w:val="00506553"/>
    <w:rsid w:val="00506ABC"/>
    <w:rsid w:val="00506AC3"/>
    <w:rsid w:val="00506AE8"/>
    <w:rsid w:val="00506D73"/>
    <w:rsid w:val="00506D88"/>
    <w:rsid w:val="00507C4C"/>
    <w:rsid w:val="00507DE5"/>
    <w:rsid w:val="005106F3"/>
    <w:rsid w:val="005109C0"/>
    <w:rsid w:val="00510A02"/>
    <w:rsid w:val="005112D2"/>
    <w:rsid w:val="00511ADD"/>
    <w:rsid w:val="00511CA5"/>
    <w:rsid w:val="005121F0"/>
    <w:rsid w:val="00512504"/>
    <w:rsid w:val="005125F3"/>
    <w:rsid w:val="00512A0B"/>
    <w:rsid w:val="005133D9"/>
    <w:rsid w:val="0051383F"/>
    <w:rsid w:val="00513CE9"/>
    <w:rsid w:val="00513ECC"/>
    <w:rsid w:val="00514032"/>
    <w:rsid w:val="0051417A"/>
    <w:rsid w:val="005143FB"/>
    <w:rsid w:val="00515173"/>
    <w:rsid w:val="00515276"/>
    <w:rsid w:val="005155E3"/>
    <w:rsid w:val="00515811"/>
    <w:rsid w:val="0051593F"/>
    <w:rsid w:val="00515A9D"/>
    <w:rsid w:val="00515E70"/>
    <w:rsid w:val="00516185"/>
    <w:rsid w:val="00516BFD"/>
    <w:rsid w:val="00516DD4"/>
    <w:rsid w:val="0051742D"/>
    <w:rsid w:val="00517B99"/>
    <w:rsid w:val="00517C24"/>
    <w:rsid w:val="00517E48"/>
    <w:rsid w:val="00517F9A"/>
    <w:rsid w:val="00520B9F"/>
    <w:rsid w:val="00520C41"/>
    <w:rsid w:val="00521D2E"/>
    <w:rsid w:val="00522721"/>
    <w:rsid w:val="00523374"/>
    <w:rsid w:val="0052349F"/>
    <w:rsid w:val="005235A8"/>
    <w:rsid w:val="00523AAD"/>
    <w:rsid w:val="00524070"/>
    <w:rsid w:val="0052437E"/>
    <w:rsid w:val="005243F1"/>
    <w:rsid w:val="00524985"/>
    <w:rsid w:val="0052499B"/>
    <w:rsid w:val="00524A01"/>
    <w:rsid w:val="00524A0D"/>
    <w:rsid w:val="00525917"/>
    <w:rsid w:val="005259A1"/>
    <w:rsid w:val="00525BD9"/>
    <w:rsid w:val="0052646E"/>
    <w:rsid w:val="005266BF"/>
    <w:rsid w:val="0052673F"/>
    <w:rsid w:val="00526B09"/>
    <w:rsid w:val="00526BA4"/>
    <w:rsid w:val="00527A69"/>
    <w:rsid w:val="00527EF8"/>
    <w:rsid w:val="0053005E"/>
    <w:rsid w:val="005304A7"/>
    <w:rsid w:val="0053093F"/>
    <w:rsid w:val="00531328"/>
    <w:rsid w:val="0053167F"/>
    <w:rsid w:val="00531738"/>
    <w:rsid w:val="00531C32"/>
    <w:rsid w:val="00531F40"/>
    <w:rsid w:val="0053250D"/>
    <w:rsid w:val="00532D9D"/>
    <w:rsid w:val="00532EF9"/>
    <w:rsid w:val="00533453"/>
    <w:rsid w:val="00533674"/>
    <w:rsid w:val="00533692"/>
    <w:rsid w:val="00533AC7"/>
    <w:rsid w:val="00533C29"/>
    <w:rsid w:val="00533F0D"/>
    <w:rsid w:val="00534AF5"/>
    <w:rsid w:val="00534E2B"/>
    <w:rsid w:val="00535163"/>
    <w:rsid w:val="00535406"/>
    <w:rsid w:val="00535451"/>
    <w:rsid w:val="00535A53"/>
    <w:rsid w:val="00535CD1"/>
    <w:rsid w:val="00535FC7"/>
    <w:rsid w:val="00536055"/>
    <w:rsid w:val="00536953"/>
    <w:rsid w:val="00536DA0"/>
    <w:rsid w:val="00536DAB"/>
    <w:rsid w:val="005374E0"/>
    <w:rsid w:val="005375C2"/>
    <w:rsid w:val="00537DEE"/>
    <w:rsid w:val="005401AB"/>
    <w:rsid w:val="0054074F"/>
    <w:rsid w:val="00540B5D"/>
    <w:rsid w:val="00540CCA"/>
    <w:rsid w:val="00540E68"/>
    <w:rsid w:val="005410A4"/>
    <w:rsid w:val="00541181"/>
    <w:rsid w:val="00541361"/>
    <w:rsid w:val="005416C6"/>
    <w:rsid w:val="005426BE"/>
    <w:rsid w:val="00543088"/>
    <w:rsid w:val="00543094"/>
    <w:rsid w:val="00543173"/>
    <w:rsid w:val="005431F7"/>
    <w:rsid w:val="00543325"/>
    <w:rsid w:val="0054350C"/>
    <w:rsid w:val="005440E7"/>
    <w:rsid w:val="005447EC"/>
    <w:rsid w:val="00544C25"/>
    <w:rsid w:val="00545162"/>
    <w:rsid w:val="0054581E"/>
    <w:rsid w:val="00545DC3"/>
    <w:rsid w:val="005461F8"/>
    <w:rsid w:val="005465F7"/>
    <w:rsid w:val="00546726"/>
    <w:rsid w:val="00546774"/>
    <w:rsid w:val="00546EE0"/>
    <w:rsid w:val="0054700D"/>
    <w:rsid w:val="005470C1"/>
    <w:rsid w:val="005474DD"/>
    <w:rsid w:val="00547521"/>
    <w:rsid w:val="005504FF"/>
    <w:rsid w:val="00550843"/>
    <w:rsid w:val="00550B78"/>
    <w:rsid w:val="00551043"/>
    <w:rsid w:val="005510CA"/>
    <w:rsid w:val="00551551"/>
    <w:rsid w:val="00551C05"/>
    <w:rsid w:val="00551F6B"/>
    <w:rsid w:val="005521D3"/>
    <w:rsid w:val="005522AC"/>
    <w:rsid w:val="005524A2"/>
    <w:rsid w:val="005526BC"/>
    <w:rsid w:val="00552F99"/>
    <w:rsid w:val="00553238"/>
    <w:rsid w:val="005534F3"/>
    <w:rsid w:val="005535AB"/>
    <w:rsid w:val="00553612"/>
    <w:rsid w:val="005540BA"/>
    <w:rsid w:val="005543D7"/>
    <w:rsid w:val="00554ED4"/>
    <w:rsid w:val="00555667"/>
    <w:rsid w:val="00555961"/>
    <w:rsid w:val="00555BAF"/>
    <w:rsid w:val="00555D4D"/>
    <w:rsid w:val="005561C1"/>
    <w:rsid w:val="00556247"/>
    <w:rsid w:val="00556A09"/>
    <w:rsid w:val="00556C36"/>
    <w:rsid w:val="0055708D"/>
    <w:rsid w:val="005578B0"/>
    <w:rsid w:val="005579BD"/>
    <w:rsid w:val="00557C11"/>
    <w:rsid w:val="00560898"/>
    <w:rsid w:val="00560984"/>
    <w:rsid w:val="005613C6"/>
    <w:rsid w:val="00561BF3"/>
    <w:rsid w:val="00561F3E"/>
    <w:rsid w:val="00562373"/>
    <w:rsid w:val="005625F8"/>
    <w:rsid w:val="005629FC"/>
    <w:rsid w:val="00562B8B"/>
    <w:rsid w:val="00562E02"/>
    <w:rsid w:val="00563240"/>
    <w:rsid w:val="005633D7"/>
    <w:rsid w:val="00563F1B"/>
    <w:rsid w:val="00564660"/>
    <w:rsid w:val="005649EC"/>
    <w:rsid w:val="00564A2B"/>
    <w:rsid w:val="00564CED"/>
    <w:rsid w:val="005651D6"/>
    <w:rsid w:val="00565837"/>
    <w:rsid w:val="00565937"/>
    <w:rsid w:val="00566090"/>
    <w:rsid w:val="00566258"/>
    <w:rsid w:val="00566360"/>
    <w:rsid w:val="005665B9"/>
    <w:rsid w:val="00566EC2"/>
    <w:rsid w:val="00567455"/>
    <w:rsid w:val="00567663"/>
    <w:rsid w:val="0057049E"/>
    <w:rsid w:val="00570536"/>
    <w:rsid w:val="0057071B"/>
    <w:rsid w:val="00570E35"/>
    <w:rsid w:val="005710F1"/>
    <w:rsid w:val="00571766"/>
    <w:rsid w:val="00571CC4"/>
    <w:rsid w:val="00571D79"/>
    <w:rsid w:val="00571F0B"/>
    <w:rsid w:val="0057260D"/>
    <w:rsid w:val="00572E0C"/>
    <w:rsid w:val="00573610"/>
    <w:rsid w:val="00573AB2"/>
    <w:rsid w:val="00573EEF"/>
    <w:rsid w:val="005740D8"/>
    <w:rsid w:val="00574376"/>
    <w:rsid w:val="005744A2"/>
    <w:rsid w:val="005744C0"/>
    <w:rsid w:val="005745FF"/>
    <w:rsid w:val="0057491C"/>
    <w:rsid w:val="0057506A"/>
    <w:rsid w:val="005751E2"/>
    <w:rsid w:val="0057588E"/>
    <w:rsid w:val="00575F2B"/>
    <w:rsid w:val="005760F2"/>
    <w:rsid w:val="0057632C"/>
    <w:rsid w:val="00576BAE"/>
    <w:rsid w:val="00576F24"/>
    <w:rsid w:val="00577002"/>
    <w:rsid w:val="00577039"/>
    <w:rsid w:val="0057705E"/>
    <w:rsid w:val="00577E0E"/>
    <w:rsid w:val="00577F9C"/>
    <w:rsid w:val="00577FEF"/>
    <w:rsid w:val="005801D4"/>
    <w:rsid w:val="0058044F"/>
    <w:rsid w:val="0058048F"/>
    <w:rsid w:val="0058050D"/>
    <w:rsid w:val="005806C1"/>
    <w:rsid w:val="00580900"/>
    <w:rsid w:val="00580B71"/>
    <w:rsid w:val="0058107D"/>
    <w:rsid w:val="00581181"/>
    <w:rsid w:val="00581406"/>
    <w:rsid w:val="00581475"/>
    <w:rsid w:val="00581785"/>
    <w:rsid w:val="00581E30"/>
    <w:rsid w:val="00581E89"/>
    <w:rsid w:val="00582000"/>
    <w:rsid w:val="00582240"/>
    <w:rsid w:val="0058239B"/>
    <w:rsid w:val="005823DB"/>
    <w:rsid w:val="0058266C"/>
    <w:rsid w:val="00582B39"/>
    <w:rsid w:val="00582B93"/>
    <w:rsid w:val="00582C70"/>
    <w:rsid w:val="00582CE2"/>
    <w:rsid w:val="00582D71"/>
    <w:rsid w:val="00583222"/>
    <w:rsid w:val="005832A5"/>
    <w:rsid w:val="00583522"/>
    <w:rsid w:val="005835A0"/>
    <w:rsid w:val="005839B6"/>
    <w:rsid w:val="00583E7B"/>
    <w:rsid w:val="005842ED"/>
    <w:rsid w:val="0058436E"/>
    <w:rsid w:val="005844C8"/>
    <w:rsid w:val="00584D77"/>
    <w:rsid w:val="00584DEE"/>
    <w:rsid w:val="00585125"/>
    <w:rsid w:val="005851CC"/>
    <w:rsid w:val="005855E2"/>
    <w:rsid w:val="0058582B"/>
    <w:rsid w:val="00586088"/>
    <w:rsid w:val="00586807"/>
    <w:rsid w:val="00586B9A"/>
    <w:rsid w:val="00586C66"/>
    <w:rsid w:val="005871B6"/>
    <w:rsid w:val="00587C5C"/>
    <w:rsid w:val="00587D0E"/>
    <w:rsid w:val="00587FF7"/>
    <w:rsid w:val="00590110"/>
    <w:rsid w:val="0059011D"/>
    <w:rsid w:val="005904FB"/>
    <w:rsid w:val="00590576"/>
    <w:rsid w:val="005907D6"/>
    <w:rsid w:val="00590B30"/>
    <w:rsid w:val="00590E35"/>
    <w:rsid w:val="00591015"/>
    <w:rsid w:val="00591111"/>
    <w:rsid w:val="005911BE"/>
    <w:rsid w:val="0059134C"/>
    <w:rsid w:val="005917DE"/>
    <w:rsid w:val="00591ADF"/>
    <w:rsid w:val="00592254"/>
    <w:rsid w:val="005923EC"/>
    <w:rsid w:val="00592B7B"/>
    <w:rsid w:val="0059316F"/>
    <w:rsid w:val="00593F9F"/>
    <w:rsid w:val="00594312"/>
    <w:rsid w:val="00594F48"/>
    <w:rsid w:val="00595B1F"/>
    <w:rsid w:val="005969CB"/>
    <w:rsid w:val="00596A85"/>
    <w:rsid w:val="00596BD0"/>
    <w:rsid w:val="00596EA2"/>
    <w:rsid w:val="00596F84"/>
    <w:rsid w:val="00597324"/>
    <w:rsid w:val="005975D4"/>
    <w:rsid w:val="00597730"/>
    <w:rsid w:val="005977A8"/>
    <w:rsid w:val="00597A4C"/>
    <w:rsid w:val="00597D0B"/>
    <w:rsid w:val="00597E0A"/>
    <w:rsid w:val="005A0793"/>
    <w:rsid w:val="005A09A6"/>
    <w:rsid w:val="005A09DE"/>
    <w:rsid w:val="005A0EE6"/>
    <w:rsid w:val="005A0FBC"/>
    <w:rsid w:val="005A1BD6"/>
    <w:rsid w:val="005A1BE6"/>
    <w:rsid w:val="005A275C"/>
    <w:rsid w:val="005A282C"/>
    <w:rsid w:val="005A29F8"/>
    <w:rsid w:val="005A3296"/>
    <w:rsid w:val="005A3308"/>
    <w:rsid w:val="005A4235"/>
    <w:rsid w:val="005A44E4"/>
    <w:rsid w:val="005A48D7"/>
    <w:rsid w:val="005A4B1B"/>
    <w:rsid w:val="005A4B4D"/>
    <w:rsid w:val="005A4BDC"/>
    <w:rsid w:val="005A5011"/>
    <w:rsid w:val="005A5170"/>
    <w:rsid w:val="005A52D4"/>
    <w:rsid w:val="005A560B"/>
    <w:rsid w:val="005A564E"/>
    <w:rsid w:val="005A56CA"/>
    <w:rsid w:val="005A5781"/>
    <w:rsid w:val="005A5A04"/>
    <w:rsid w:val="005A6CC8"/>
    <w:rsid w:val="005A71A0"/>
    <w:rsid w:val="005A7591"/>
    <w:rsid w:val="005A7681"/>
    <w:rsid w:val="005A7916"/>
    <w:rsid w:val="005A7B64"/>
    <w:rsid w:val="005A7CEF"/>
    <w:rsid w:val="005A7D4B"/>
    <w:rsid w:val="005A7D7E"/>
    <w:rsid w:val="005B035A"/>
    <w:rsid w:val="005B06F7"/>
    <w:rsid w:val="005B0F25"/>
    <w:rsid w:val="005B12C6"/>
    <w:rsid w:val="005B14B8"/>
    <w:rsid w:val="005B17E3"/>
    <w:rsid w:val="005B1A6C"/>
    <w:rsid w:val="005B2019"/>
    <w:rsid w:val="005B25AD"/>
    <w:rsid w:val="005B2728"/>
    <w:rsid w:val="005B29C9"/>
    <w:rsid w:val="005B3023"/>
    <w:rsid w:val="005B3345"/>
    <w:rsid w:val="005B3923"/>
    <w:rsid w:val="005B3BFD"/>
    <w:rsid w:val="005B3C80"/>
    <w:rsid w:val="005B46A3"/>
    <w:rsid w:val="005B4C85"/>
    <w:rsid w:val="005B4D46"/>
    <w:rsid w:val="005B5520"/>
    <w:rsid w:val="005B552F"/>
    <w:rsid w:val="005B55FD"/>
    <w:rsid w:val="005B56F8"/>
    <w:rsid w:val="005B59A0"/>
    <w:rsid w:val="005B5A29"/>
    <w:rsid w:val="005B5B55"/>
    <w:rsid w:val="005B5C35"/>
    <w:rsid w:val="005B5D14"/>
    <w:rsid w:val="005B605C"/>
    <w:rsid w:val="005B68A6"/>
    <w:rsid w:val="005B6AC7"/>
    <w:rsid w:val="005B71B1"/>
    <w:rsid w:val="005B7280"/>
    <w:rsid w:val="005B76FB"/>
    <w:rsid w:val="005B76FC"/>
    <w:rsid w:val="005B787B"/>
    <w:rsid w:val="005B7C31"/>
    <w:rsid w:val="005C031E"/>
    <w:rsid w:val="005C0F43"/>
    <w:rsid w:val="005C1776"/>
    <w:rsid w:val="005C1A42"/>
    <w:rsid w:val="005C1DAD"/>
    <w:rsid w:val="005C230D"/>
    <w:rsid w:val="005C27B8"/>
    <w:rsid w:val="005C2C4F"/>
    <w:rsid w:val="005C2D16"/>
    <w:rsid w:val="005C2E6D"/>
    <w:rsid w:val="005C3196"/>
    <w:rsid w:val="005C36A3"/>
    <w:rsid w:val="005C3FB2"/>
    <w:rsid w:val="005C4AFA"/>
    <w:rsid w:val="005C4BE1"/>
    <w:rsid w:val="005C4DE6"/>
    <w:rsid w:val="005C58A8"/>
    <w:rsid w:val="005C5957"/>
    <w:rsid w:val="005C6EE3"/>
    <w:rsid w:val="005C7096"/>
    <w:rsid w:val="005C72C7"/>
    <w:rsid w:val="005C75A2"/>
    <w:rsid w:val="005C76B6"/>
    <w:rsid w:val="005C79F6"/>
    <w:rsid w:val="005C7C16"/>
    <w:rsid w:val="005C7F20"/>
    <w:rsid w:val="005D0CF5"/>
    <w:rsid w:val="005D156C"/>
    <w:rsid w:val="005D18E2"/>
    <w:rsid w:val="005D1990"/>
    <w:rsid w:val="005D227F"/>
    <w:rsid w:val="005D29DD"/>
    <w:rsid w:val="005D2A6A"/>
    <w:rsid w:val="005D3432"/>
    <w:rsid w:val="005D3921"/>
    <w:rsid w:val="005D3A32"/>
    <w:rsid w:val="005D3AE7"/>
    <w:rsid w:val="005D3DBE"/>
    <w:rsid w:val="005D3EC0"/>
    <w:rsid w:val="005D453A"/>
    <w:rsid w:val="005D4ACB"/>
    <w:rsid w:val="005D4E09"/>
    <w:rsid w:val="005D52E4"/>
    <w:rsid w:val="005D53B7"/>
    <w:rsid w:val="005D566B"/>
    <w:rsid w:val="005D5737"/>
    <w:rsid w:val="005D599B"/>
    <w:rsid w:val="005D5ABD"/>
    <w:rsid w:val="005D5BA4"/>
    <w:rsid w:val="005D5D23"/>
    <w:rsid w:val="005D635A"/>
    <w:rsid w:val="005D6524"/>
    <w:rsid w:val="005D65A3"/>
    <w:rsid w:val="005D680E"/>
    <w:rsid w:val="005D6828"/>
    <w:rsid w:val="005D6873"/>
    <w:rsid w:val="005D6F93"/>
    <w:rsid w:val="005D7903"/>
    <w:rsid w:val="005D79B8"/>
    <w:rsid w:val="005D7E7B"/>
    <w:rsid w:val="005E01DB"/>
    <w:rsid w:val="005E07A2"/>
    <w:rsid w:val="005E0B4F"/>
    <w:rsid w:val="005E0BC2"/>
    <w:rsid w:val="005E0EB5"/>
    <w:rsid w:val="005E0EEC"/>
    <w:rsid w:val="005E29DC"/>
    <w:rsid w:val="005E2AE4"/>
    <w:rsid w:val="005E2CE2"/>
    <w:rsid w:val="005E3513"/>
    <w:rsid w:val="005E37D7"/>
    <w:rsid w:val="005E3A01"/>
    <w:rsid w:val="005E4118"/>
    <w:rsid w:val="005E4964"/>
    <w:rsid w:val="005E4CCA"/>
    <w:rsid w:val="005E50E3"/>
    <w:rsid w:val="005E51C4"/>
    <w:rsid w:val="005E522C"/>
    <w:rsid w:val="005E53F4"/>
    <w:rsid w:val="005E5729"/>
    <w:rsid w:val="005E5787"/>
    <w:rsid w:val="005E5A80"/>
    <w:rsid w:val="005E623A"/>
    <w:rsid w:val="005E6993"/>
    <w:rsid w:val="005E6F16"/>
    <w:rsid w:val="005E7257"/>
    <w:rsid w:val="005E758E"/>
    <w:rsid w:val="005E78EC"/>
    <w:rsid w:val="005E7964"/>
    <w:rsid w:val="005E7D7B"/>
    <w:rsid w:val="005E7D88"/>
    <w:rsid w:val="005F00D1"/>
    <w:rsid w:val="005F0533"/>
    <w:rsid w:val="005F0D13"/>
    <w:rsid w:val="005F1037"/>
    <w:rsid w:val="005F111A"/>
    <w:rsid w:val="005F1537"/>
    <w:rsid w:val="005F18FE"/>
    <w:rsid w:val="005F1B6B"/>
    <w:rsid w:val="005F1D25"/>
    <w:rsid w:val="005F1E79"/>
    <w:rsid w:val="005F2346"/>
    <w:rsid w:val="005F2882"/>
    <w:rsid w:val="005F2937"/>
    <w:rsid w:val="005F2DC2"/>
    <w:rsid w:val="005F31C1"/>
    <w:rsid w:val="005F37DF"/>
    <w:rsid w:val="005F3AD5"/>
    <w:rsid w:val="005F43FE"/>
    <w:rsid w:val="005F488D"/>
    <w:rsid w:val="005F4A02"/>
    <w:rsid w:val="005F4ADB"/>
    <w:rsid w:val="005F4FEF"/>
    <w:rsid w:val="005F5CDC"/>
    <w:rsid w:val="005F5E28"/>
    <w:rsid w:val="005F5E5E"/>
    <w:rsid w:val="005F6069"/>
    <w:rsid w:val="005F63B8"/>
    <w:rsid w:val="005F66E7"/>
    <w:rsid w:val="005F685F"/>
    <w:rsid w:val="005F6999"/>
    <w:rsid w:val="005F6CEC"/>
    <w:rsid w:val="005F7208"/>
    <w:rsid w:val="005F7834"/>
    <w:rsid w:val="005F790A"/>
    <w:rsid w:val="005F7B34"/>
    <w:rsid w:val="005F7FF9"/>
    <w:rsid w:val="00600366"/>
    <w:rsid w:val="0060085F"/>
    <w:rsid w:val="006009C4"/>
    <w:rsid w:val="00600F6C"/>
    <w:rsid w:val="006019A2"/>
    <w:rsid w:val="0060257D"/>
    <w:rsid w:val="00602A62"/>
    <w:rsid w:val="00602AC5"/>
    <w:rsid w:val="00602DF0"/>
    <w:rsid w:val="00603696"/>
    <w:rsid w:val="00603C5E"/>
    <w:rsid w:val="00603CFE"/>
    <w:rsid w:val="00603EA4"/>
    <w:rsid w:val="0060408D"/>
    <w:rsid w:val="00604164"/>
    <w:rsid w:val="006041F7"/>
    <w:rsid w:val="00604870"/>
    <w:rsid w:val="006058EA"/>
    <w:rsid w:val="00605B02"/>
    <w:rsid w:val="00605D7D"/>
    <w:rsid w:val="00606187"/>
    <w:rsid w:val="006063F4"/>
    <w:rsid w:val="00606A44"/>
    <w:rsid w:val="00606CA2"/>
    <w:rsid w:val="00606F2A"/>
    <w:rsid w:val="00607011"/>
    <w:rsid w:val="0060760D"/>
    <w:rsid w:val="006076BE"/>
    <w:rsid w:val="00607890"/>
    <w:rsid w:val="00607A06"/>
    <w:rsid w:val="00607C1E"/>
    <w:rsid w:val="0061037E"/>
    <w:rsid w:val="006103CE"/>
    <w:rsid w:val="006107C2"/>
    <w:rsid w:val="00610E02"/>
    <w:rsid w:val="00610F4F"/>
    <w:rsid w:val="00610FE7"/>
    <w:rsid w:val="00611904"/>
    <w:rsid w:val="00611999"/>
    <w:rsid w:val="00611EC7"/>
    <w:rsid w:val="0061249E"/>
    <w:rsid w:val="0061249F"/>
    <w:rsid w:val="006124A6"/>
    <w:rsid w:val="0061255E"/>
    <w:rsid w:val="006125D1"/>
    <w:rsid w:val="0061323A"/>
    <w:rsid w:val="00613438"/>
    <w:rsid w:val="006136E3"/>
    <w:rsid w:val="00613961"/>
    <w:rsid w:val="00613975"/>
    <w:rsid w:val="00613B37"/>
    <w:rsid w:val="00614130"/>
    <w:rsid w:val="006147E9"/>
    <w:rsid w:val="0061488D"/>
    <w:rsid w:val="00614C20"/>
    <w:rsid w:val="00614D8B"/>
    <w:rsid w:val="006150F2"/>
    <w:rsid w:val="00615173"/>
    <w:rsid w:val="00615914"/>
    <w:rsid w:val="00615AC1"/>
    <w:rsid w:val="00615FFF"/>
    <w:rsid w:val="00616ADA"/>
    <w:rsid w:val="0061730E"/>
    <w:rsid w:val="006177B6"/>
    <w:rsid w:val="00617B14"/>
    <w:rsid w:val="00617BC7"/>
    <w:rsid w:val="00617F24"/>
    <w:rsid w:val="0061CBA9"/>
    <w:rsid w:val="00620042"/>
    <w:rsid w:val="00620085"/>
    <w:rsid w:val="00620655"/>
    <w:rsid w:val="00620A5B"/>
    <w:rsid w:val="00620C75"/>
    <w:rsid w:val="00620DC5"/>
    <w:rsid w:val="006210F6"/>
    <w:rsid w:val="00621A81"/>
    <w:rsid w:val="006222AF"/>
    <w:rsid w:val="0062295C"/>
    <w:rsid w:val="00622C42"/>
    <w:rsid w:val="006232B7"/>
    <w:rsid w:val="00623321"/>
    <w:rsid w:val="006237C8"/>
    <w:rsid w:val="00623903"/>
    <w:rsid w:val="006240C1"/>
    <w:rsid w:val="006242AB"/>
    <w:rsid w:val="00624786"/>
    <w:rsid w:val="00624F36"/>
    <w:rsid w:val="006259AB"/>
    <w:rsid w:val="00625D89"/>
    <w:rsid w:val="00625F04"/>
    <w:rsid w:val="00626328"/>
    <w:rsid w:val="00626372"/>
    <w:rsid w:val="006268BC"/>
    <w:rsid w:val="00626D6E"/>
    <w:rsid w:val="00626FA3"/>
    <w:rsid w:val="00626FBC"/>
    <w:rsid w:val="006270E4"/>
    <w:rsid w:val="00627217"/>
    <w:rsid w:val="0062751B"/>
    <w:rsid w:val="00627624"/>
    <w:rsid w:val="006276CF"/>
    <w:rsid w:val="006300EA"/>
    <w:rsid w:val="00630355"/>
    <w:rsid w:val="00630C84"/>
    <w:rsid w:val="00630C8C"/>
    <w:rsid w:val="00630FDE"/>
    <w:rsid w:val="00631480"/>
    <w:rsid w:val="00631486"/>
    <w:rsid w:val="006315CF"/>
    <w:rsid w:val="00631D5D"/>
    <w:rsid w:val="00632059"/>
    <w:rsid w:val="006320D7"/>
    <w:rsid w:val="00632174"/>
    <w:rsid w:val="006323F8"/>
    <w:rsid w:val="00632A5D"/>
    <w:rsid w:val="00632ADE"/>
    <w:rsid w:val="00632BE1"/>
    <w:rsid w:val="00633074"/>
    <w:rsid w:val="0063313B"/>
    <w:rsid w:val="00633367"/>
    <w:rsid w:val="006335F3"/>
    <w:rsid w:val="006336FD"/>
    <w:rsid w:val="006337DC"/>
    <w:rsid w:val="00633E04"/>
    <w:rsid w:val="0063462C"/>
    <w:rsid w:val="006346F2"/>
    <w:rsid w:val="00635088"/>
    <w:rsid w:val="006353F7"/>
    <w:rsid w:val="00635754"/>
    <w:rsid w:val="0063590C"/>
    <w:rsid w:val="00635993"/>
    <w:rsid w:val="00635A68"/>
    <w:rsid w:val="00635BAF"/>
    <w:rsid w:val="00635C18"/>
    <w:rsid w:val="00635CFC"/>
    <w:rsid w:val="00635ED1"/>
    <w:rsid w:val="00636076"/>
    <w:rsid w:val="00636E1C"/>
    <w:rsid w:val="00636E20"/>
    <w:rsid w:val="0063791E"/>
    <w:rsid w:val="00637C27"/>
    <w:rsid w:val="00637F27"/>
    <w:rsid w:val="0064058A"/>
    <w:rsid w:val="0064064F"/>
    <w:rsid w:val="00640682"/>
    <w:rsid w:val="006406F8"/>
    <w:rsid w:val="0064076E"/>
    <w:rsid w:val="00640790"/>
    <w:rsid w:val="006414F3"/>
    <w:rsid w:val="00641A02"/>
    <w:rsid w:val="00641CBE"/>
    <w:rsid w:val="006421B4"/>
    <w:rsid w:val="00642277"/>
    <w:rsid w:val="006425A7"/>
    <w:rsid w:val="00642A71"/>
    <w:rsid w:val="00642D80"/>
    <w:rsid w:val="006430E0"/>
    <w:rsid w:val="006439E9"/>
    <w:rsid w:val="00643A43"/>
    <w:rsid w:val="00643F9B"/>
    <w:rsid w:val="00644614"/>
    <w:rsid w:val="0064471B"/>
    <w:rsid w:val="006453D5"/>
    <w:rsid w:val="0064558C"/>
    <w:rsid w:val="006458F9"/>
    <w:rsid w:val="00645A4B"/>
    <w:rsid w:val="00645BB3"/>
    <w:rsid w:val="00645D89"/>
    <w:rsid w:val="006460F7"/>
    <w:rsid w:val="006469EC"/>
    <w:rsid w:val="0064711F"/>
    <w:rsid w:val="0064720C"/>
    <w:rsid w:val="00647AC3"/>
    <w:rsid w:val="00647B22"/>
    <w:rsid w:val="00647C9B"/>
    <w:rsid w:val="00650364"/>
    <w:rsid w:val="0065109E"/>
    <w:rsid w:val="006518AB"/>
    <w:rsid w:val="00651A24"/>
    <w:rsid w:val="00651AB2"/>
    <w:rsid w:val="00651CEB"/>
    <w:rsid w:val="00652116"/>
    <w:rsid w:val="0065257D"/>
    <w:rsid w:val="00652B7F"/>
    <w:rsid w:val="006531F5"/>
    <w:rsid w:val="00653650"/>
    <w:rsid w:val="00653663"/>
    <w:rsid w:val="00653688"/>
    <w:rsid w:val="00653738"/>
    <w:rsid w:val="00653788"/>
    <w:rsid w:val="00654339"/>
    <w:rsid w:val="0065465D"/>
    <w:rsid w:val="00654D45"/>
    <w:rsid w:val="00655443"/>
    <w:rsid w:val="00655592"/>
    <w:rsid w:val="00655682"/>
    <w:rsid w:val="006556CD"/>
    <w:rsid w:val="00655BA4"/>
    <w:rsid w:val="00656273"/>
    <w:rsid w:val="006564F0"/>
    <w:rsid w:val="00656896"/>
    <w:rsid w:val="00657257"/>
    <w:rsid w:val="00657784"/>
    <w:rsid w:val="00657F5B"/>
    <w:rsid w:val="0066043D"/>
    <w:rsid w:val="006605D9"/>
    <w:rsid w:val="006610C4"/>
    <w:rsid w:val="00661320"/>
    <w:rsid w:val="006613F2"/>
    <w:rsid w:val="006615BB"/>
    <w:rsid w:val="00661E02"/>
    <w:rsid w:val="00661E34"/>
    <w:rsid w:val="00662558"/>
    <w:rsid w:val="006628EC"/>
    <w:rsid w:val="00662C65"/>
    <w:rsid w:val="00664218"/>
    <w:rsid w:val="0066438E"/>
    <w:rsid w:val="00664392"/>
    <w:rsid w:val="006643BE"/>
    <w:rsid w:val="00664D1C"/>
    <w:rsid w:val="00664ED6"/>
    <w:rsid w:val="00665147"/>
    <w:rsid w:val="0066551D"/>
    <w:rsid w:val="006657DD"/>
    <w:rsid w:val="00665CAA"/>
    <w:rsid w:val="00665CDD"/>
    <w:rsid w:val="00665DAA"/>
    <w:rsid w:val="0066613E"/>
    <w:rsid w:val="006672AB"/>
    <w:rsid w:val="00670588"/>
    <w:rsid w:val="00671900"/>
    <w:rsid w:val="006721EC"/>
    <w:rsid w:val="00672D2E"/>
    <w:rsid w:val="00672EDE"/>
    <w:rsid w:val="00672F58"/>
    <w:rsid w:val="00673064"/>
    <w:rsid w:val="006737D5"/>
    <w:rsid w:val="00674299"/>
    <w:rsid w:val="00674698"/>
    <w:rsid w:val="00675025"/>
    <w:rsid w:val="00675266"/>
    <w:rsid w:val="006752CC"/>
    <w:rsid w:val="006759C0"/>
    <w:rsid w:val="00675A43"/>
    <w:rsid w:val="00675B1D"/>
    <w:rsid w:val="006760E2"/>
    <w:rsid w:val="00676116"/>
    <w:rsid w:val="006763F8"/>
    <w:rsid w:val="006767BC"/>
    <w:rsid w:val="00676D41"/>
    <w:rsid w:val="00676FBA"/>
    <w:rsid w:val="00677BF0"/>
    <w:rsid w:val="00677CB8"/>
    <w:rsid w:val="00677DB1"/>
    <w:rsid w:val="006803ED"/>
    <w:rsid w:val="006803F3"/>
    <w:rsid w:val="00680632"/>
    <w:rsid w:val="00680BEE"/>
    <w:rsid w:val="00681772"/>
    <w:rsid w:val="006825D1"/>
    <w:rsid w:val="00682810"/>
    <w:rsid w:val="0068287E"/>
    <w:rsid w:val="0068290B"/>
    <w:rsid w:val="00682A1A"/>
    <w:rsid w:val="00682A79"/>
    <w:rsid w:val="00683023"/>
    <w:rsid w:val="006831C5"/>
    <w:rsid w:val="00683213"/>
    <w:rsid w:val="00683234"/>
    <w:rsid w:val="00683431"/>
    <w:rsid w:val="006837BE"/>
    <w:rsid w:val="00683DAD"/>
    <w:rsid w:val="006843CC"/>
    <w:rsid w:val="0068442A"/>
    <w:rsid w:val="00684FA6"/>
    <w:rsid w:val="006854C2"/>
    <w:rsid w:val="006854D5"/>
    <w:rsid w:val="00685899"/>
    <w:rsid w:val="00685C28"/>
    <w:rsid w:val="00686AF2"/>
    <w:rsid w:val="00687013"/>
    <w:rsid w:val="00687920"/>
    <w:rsid w:val="00690381"/>
    <w:rsid w:val="00690421"/>
    <w:rsid w:val="006907D8"/>
    <w:rsid w:val="00691200"/>
    <w:rsid w:val="00691749"/>
    <w:rsid w:val="00691C4C"/>
    <w:rsid w:val="00691F8A"/>
    <w:rsid w:val="0069208C"/>
    <w:rsid w:val="00692551"/>
    <w:rsid w:val="00692717"/>
    <w:rsid w:val="006927E9"/>
    <w:rsid w:val="0069301A"/>
    <w:rsid w:val="006931BD"/>
    <w:rsid w:val="006931E4"/>
    <w:rsid w:val="0069328F"/>
    <w:rsid w:val="00693D17"/>
    <w:rsid w:val="00693F48"/>
    <w:rsid w:val="006942A0"/>
    <w:rsid w:val="00694618"/>
    <w:rsid w:val="006946F3"/>
    <w:rsid w:val="00694F21"/>
    <w:rsid w:val="00694FDC"/>
    <w:rsid w:val="00695000"/>
    <w:rsid w:val="0069542D"/>
    <w:rsid w:val="00695574"/>
    <w:rsid w:val="00695E39"/>
    <w:rsid w:val="00696058"/>
    <w:rsid w:val="006963BF"/>
    <w:rsid w:val="00696597"/>
    <w:rsid w:val="00696629"/>
    <w:rsid w:val="00696B06"/>
    <w:rsid w:val="00696C16"/>
    <w:rsid w:val="00696FAD"/>
    <w:rsid w:val="00696FFA"/>
    <w:rsid w:val="006974DC"/>
    <w:rsid w:val="00697599"/>
    <w:rsid w:val="0069772D"/>
    <w:rsid w:val="00697799"/>
    <w:rsid w:val="006979C1"/>
    <w:rsid w:val="006A0D0C"/>
    <w:rsid w:val="006A10AF"/>
    <w:rsid w:val="006A1681"/>
    <w:rsid w:val="006A16E9"/>
    <w:rsid w:val="006A1782"/>
    <w:rsid w:val="006A1942"/>
    <w:rsid w:val="006A1C23"/>
    <w:rsid w:val="006A20F9"/>
    <w:rsid w:val="006A266D"/>
    <w:rsid w:val="006A2AA0"/>
    <w:rsid w:val="006A2B54"/>
    <w:rsid w:val="006A2C7F"/>
    <w:rsid w:val="006A2FA4"/>
    <w:rsid w:val="006A2FF2"/>
    <w:rsid w:val="006A3B05"/>
    <w:rsid w:val="006A3E1E"/>
    <w:rsid w:val="006A3E47"/>
    <w:rsid w:val="006A4D26"/>
    <w:rsid w:val="006A5547"/>
    <w:rsid w:val="006A5ABE"/>
    <w:rsid w:val="006A5C0E"/>
    <w:rsid w:val="006A6031"/>
    <w:rsid w:val="006A689B"/>
    <w:rsid w:val="006A69AD"/>
    <w:rsid w:val="006A6F2B"/>
    <w:rsid w:val="006A7344"/>
    <w:rsid w:val="006A7629"/>
    <w:rsid w:val="006A7899"/>
    <w:rsid w:val="006B02C7"/>
    <w:rsid w:val="006B0D6D"/>
    <w:rsid w:val="006B1625"/>
    <w:rsid w:val="006B19B2"/>
    <w:rsid w:val="006B1A67"/>
    <w:rsid w:val="006B1E6E"/>
    <w:rsid w:val="006B2485"/>
    <w:rsid w:val="006B268C"/>
    <w:rsid w:val="006B31C3"/>
    <w:rsid w:val="006B38F4"/>
    <w:rsid w:val="006B3D0C"/>
    <w:rsid w:val="006B44A0"/>
    <w:rsid w:val="006B44D4"/>
    <w:rsid w:val="006B45A5"/>
    <w:rsid w:val="006B4AD4"/>
    <w:rsid w:val="006B4B50"/>
    <w:rsid w:val="006B4F5E"/>
    <w:rsid w:val="006B5018"/>
    <w:rsid w:val="006B568C"/>
    <w:rsid w:val="006B56BC"/>
    <w:rsid w:val="006B594D"/>
    <w:rsid w:val="006B626D"/>
    <w:rsid w:val="006B6276"/>
    <w:rsid w:val="006B65DB"/>
    <w:rsid w:val="006B67D3"/>
    <w:rsid w:val="006B6AA6"/>
    <w:rsid w:val="006B7065"/>
    <w:rsid w:val="006B722C"/>
    <w:rsid w:val="006C0843"/>
    <w:rsid w:val="006C0C81"/>
    <w:rsid w:val="006C0C99"/>
    <w:rsid w:val="006C14D6"/>
    <w:rsid w:val="006C1529"/>
    <w:rsid w:val="006C155E"/>
    <w:rsid w:val="006C1811"/>
    <w:rsid w:val="006C2424"/>
    <w:rsid w:val="006C24C5"/>
    <w:rsid w:val="006C30E8"/>
    <w:rsid w:val="006C36C8"/>
    <w:rsid w:val="006C3A9A"/>
    <w:rsid w:val="006C3E30"/>
    <w:rsid w:val="006C3F01"/>
    <w:rsid w:val="006C4197"/>
    <w:rsid w:val="006C453B"/>
    <w:rsid w:val="006C48E2"/>
    <w:rsid w:val="006C4A33"/>
    <w:rsid w:val="006C4B20"/>
    <w:rsid w:val="006C4BD0"/>
    <w:rsid w:val="006C56DF"/>
    <w:rsid w:val="006C5848"/>
    <w:rsid w:val="006C61E7"/>
    <w:rsid w:val="006C6495"/>
    <w:rsid w:val="006C6A24"/>
    <w:rsid w:val="006C6AAE"/>
    <w:rsid w:val="006C75D1"/>
    <w:rsid w:val="006D0042"/>
    <w:rsid w:val="006D036B"/>
    <w:rsid w:val="006D0381"/>
    <w:rsid w:val="006D09C1"/>
    <w:rsid w:val="006D0CFB"/>
    <w:rsid w:val="006D102F"/>
    <w:rsid w:val="006D1106"/>
    <w:rsid w:val="006D1DDB"/>
    <w:rsid w:val="006D1F2A"/>
    <w:rsid w:val="006D1F6D"/>
    <w:rsid w:val="006D242B"/>
    <w:rsid w:val="006D2594"/>
    <w:rsid w:val="006D2758"/>
    <w:rsid w:val="006D2A6D"/>
    <w:rsid w:val="006D3463"/>
    <w:rsid w:val="006D388F"/>
    <w:rsid w:val="006D4277"/>
    <w:rsid w:val="006D43BB"/>
    <w:rsid w:val="006D4407"/>
    <w:rsid w:val="006D4699"/>
    <w:rsid w:val="006D47CD"/>
    <w:rsid w:val="006D48C3"/>
    <w:rsid w:val="006D49E8"/>
    <w:rsid w:val="006D4AB2"/>
    <w:rsid w:val="006D4B45"/>
    <w:rsid w:val="006D4E8C"/>
    <w:rsid w:val="006D572C"/>
    <w:rsid w:val="006D5C99"/>
    <w:rsid w:val="006D61E5"/>
    <w:rsid w:val="006D6A74"/>
    <w:rsid w:val="006D6D2F"/>
    <w:rsid w:val="006D6FDB"/>
    <w:rsid w:val="006D7496"/>
    <w:rsid w:val="006D7E22"/>
    <w:rsid w:val="006E0311"/>
    <w:rsid w:val="006E0703"/>
    <w:rsid w:val="006E0CBE"/>
    <w:rsid w:val="006E0FF1"/>
    <w:rsid w:val="006E1087"/>
    <w:rsid w:val="006E1184"/>
    <w:rsid w:val="006E15EE"/>
    <w:rsid w:val="006E1964"/>
    <w:rsid w:val="006E21A4"/>
    <w:rsid w:val="006E229E"/>
    <w:rsid w:val="006E232C"/>
    <w:rsid w:val="006E26AD"/>
    <w:rsid w:val="006E2E52"/>
    <w:rsid w:val="006E30AD"/>
    <w:rsid w:val="006E35AE"/>
    <w:rsid w:val="006E3799"/>
    <w:rsid w:val="006E3F7C"/>
    <w:rsid w:val="006E4653"/>
    <w:rsid w:val="006E4CA2"/>
    <w:rsid w:val="006E5171"/>
    <w:rsid w:val="006E52A2"/>
    <w:rsid w:val="006E538E"/>
    <w:rsid w:val="006E581A"/>
    <w:rsid w:val="006E5DA8"/>
    <w:rsid w:val="006E64BF"/>
    <w:rsid w:val="006E65DC"/>
    <w:rsid w:val="006E667C"/>
    <w:rsid w:val="006E6A3B"/>
    <w:rsid w:val="006E6AF3"/>
    <w:rsid w:val="006E7411"/>
    <w:rsid w:val="006E7B64"/>
    <w:rsid w:val="006E7FAC"/>
    <w:rsid w:val="006F0575"/>
    <w:rsid w:val="006F1105"/>
    <w:rsid w:val="006F18CD"/>
    <w:rsid w:val="006F1F84"/>
    <w:rsid w:val="006F2097"/>
    <w:rsid w:val="006F26C8"/>
    <w:rsid w:val="006F2FD5"/>
    <w:rsid w:val="006F35CD"/>
    <w:rsid w:val="006F3EED"/>
    <w:rsid w:val="006F4216"/>
    <w:rsid w:val="006F4730"/>
    <w:rsid w:val="006F58BB"/>
    <w:rsid w:val="006F5BF7"/>
    <w:rsid w:val="006F6A4C"/>
    <w:rsid w:val="006F6CD4"/>
    <w:rsid w:val="006F6EFF"/>
    <w:rsid w:val="006F7382"/>
    <w:rsid w:val="006F784C"/>
    <w:rsid w:val="006F7CD2"/>
    <w:rsid w:val="006F7E8B"/>
    <w:rsid w:val="0070059A"/>
    <w:rsid w:val="00700B31"/>
    <w:rsid w:val="00700CAC"/>
    <w:rsid w:val="00701084"/>
    <w:rsid w:val="007011FE"/>
    <w:rsid w:val="00701256"/>
    <w:rsid w:val="007015D5"/>
    <w:rsid w:val="007017DB"/>
    <w:rsid w:val="00701999"/>
    <w:rsid w:val="0070202E"/>
    <w:rsid w:val="0070226F"/>
    <w:rsid w:val="007023C5"/>
    <w:rsid w:val="00702778"/>
    <w:rsid w:val="00702966"/>
    <w:rsid w:val="00702A41"/>
    <w:rsid w:val="00702A4E"/>
    <w:rsid w:val="00702B98"/>
    <w:rsid w:val="007031BF"/>
    <w:rsid w:val="00703259"/>
    <w:rsid w:val="00703694"/>
    <w:rsid w:val="00703727"/>
    <w:rsid w:val="00703753"/>
    <w:rsid w:val="00703A43"/>
    <w:rsid w:val="00703C4C"/>
    <w:rsid w:val="00703D9F"/>
    <w:rsid w:val="00703ED5"/>
    <w:rsid w:val="00703F89"/>
    <w:rsid w:val="00703FCD"/>
    <w:rsid w:val="007044D3"/>
    <w:rsid w:val="00704627"/>
    <w:rsid w:val="007047B1"/>
    <w:rsid w:val="00704890"/>
    <w:rsid w:val="0070521B"/>
    <w:rsid w:val="007053CD"/>
    <w:rsid w:val="007055C5"/>
    <w:rsid w:val="00705636"/>
    <w:rsid w:val="00705A64"/>
    <w:rsid w:val="00705BFE"/>
    <w:rsid w:val="00705CD0"/>
    <w:rsid w:val="00705F6D"/>
    <w:rsid w:val="00705FFB"/>
    <w:rsid w:val="0070608A"/>
    <w:rsid w:val="007063C5"/>
    <w:rsid w:val="007063CD"/>
    <w:rsid w:val="00706418"/>
    <w:rsid w:val="00706D20"/>
    <w:rsid w:val="00707A86"/>
    <w:rsid w:val="00707C40"/>
    <w:rsid w:val="00707CBA"/>
    <w:rsid w:val="00707CE4"/>
    <w:rsid w:val="00710138"/>
    <w:rsid w:val="007101B3"/>
    <w:rsid w:val="0071022A"/>
    <w:rsid w:val="007102BA"/>
    <w:rsid w:val="007102CA"/>
    <w:rsid w:val="00710359"/>
    <w:rsid w:val="007106FF"/>
    <w:rsid w:val="00710DBA"/>
    <w:rsid w:val="00710DEA"/>
    <w:rsid w:val="00711472"/>
    <w:rsid w:val="007114A5"/>
    <w:rsid w:val="00711744"/>
    <w:rsid w:val="007118E4"/>
    <w:rsid w:val="00711970"/>
    <w:rsid w:val="00711C62"/>
    <w:rsid w:val="00711EFE"/>
    <w:rsid w:val="00712065"/>
    <w:rsid w:val="00712386"/>
    <w:rsid w:val="00712E91"/>
    <w:rsid w:val="00713089"/>
    <w:rsid w:val="007135B1"/>
    <w:rsid w:val="007138B4"/>
    <w:rsid w:val="00713B6F"/>
    <w:rsid w:val="007143CA"/>
    <w:rsid w:val="00714659"/>
    <w:rsid w:val="007146F6"/>
    <w:rsid w:val="00714AC0"/>
    <w:rsid w:val="00714EC9"/>
    <w:rsid w:val="00715008"/>
    <w:rsid w:val="007156D3"/>
    <w:rsid w:val="0071588D"/>
    <w:rsid w:val="00715BD5"/>
    <w:rsid w:val="0071680D"/>
    <w:rsid w:val="00716967"/>
    <w:rsid w:val="00717209"/>
    <w:rsid w:val="0071729B"/>
    <w:rsid w:val="00717BA1"/>
    <w:rsid w:val="00720389"/>
    <w:rsid w:val="007203A0"/>
    <w:rsid w:val="007207C8"/>
    <w:rsid w:val="00720C4D"/>
    <w:rsid w:val="00720C55"/>
    <w:rsid w:val="00720D2E"/>
    <w:rsid w:val="00720DB0"/>
    <w:rsid w:val="00720DF3"/>
    <w:rsid w:val="00720F8A"/>
    <w:rsid w:val="007211F8"/>
    <w:rsid w:val="007212A1"/>
    <w:rsid w:val="00721A08"/>
    <w:rsid w:val="00721B63"/>
    <w:rsid w:val="00722288"/>
    <w:rsid w:val="007227EC"/>
    <w:rsid w:val="007229D4"/>
    <w:rsid w:val="00722C40"/>
    <w:rsid w:val="00722E76"/>
    <w:rsid w:val="007231D1"/>
    <w:rsid w:val="00723305"/>
    <w:rsid w:val="007233C6"/>
    <w:rsid w:val="0072362D"/>
    <w:rsid w:val="007237C7"/>
    <w:rsid w:val="00723C4D"/>
    <w:rsid w:val="00723E3A"/>
    <w:rsid w:val="007243C3"/>
    <w:rsid w:val="0072464F"/>
    <w:rsid w:val="00724FC0"/>
    <w:rsid w:val="007256C6"/>
    <w:rsid w:val="00725AB6"/>
    <w:rsid w:val="00725B8B"/>
    <w:rsid w:val="00726237"/>
    <w:rsid w:val="0072636E"/>
    <w:rsid w:val="00726779"/>
    <w:rsid w:val="00726885"/>
    <w:rsid w:val="00726B59"/>
    <w:rsid w:val="00727539"/>
    <w:rsid w:val="00727B65"/>
    <w:rsid w:val="00727C8F"/>
    <w:rsid w:val="00730162"/>
    <w:rsid w:val="007302D4"/>
    <w:rsid w:val="00730667"/>
    <w:rsid w:val="00730AA3"/>
    <w:rsid w:val="00731115"/>
    <w:rsid w:val="007312D9"/>
    <w:rsid w:val="007319E5"/>
    <w:rsid w:val="007321A3"/>
    <w:rsid w:val="007322D5"/>
    <w:rsid w:val="007328F5"/>
    <w:rsid w:val="00732933"/>
    <w:rsid w:val="00732967"/>
    <w:rsid w:val="007329EF"/>
    <w:rsid w:val="00732D0B"/>
    <w:rsid w:val="00732D6F"/>
    <w:rsid w:val="00733066"/>
    <w:rsid w:val="0073351C"/>
    <w:rsid w:val="00733C97"/>
    <w:rsid w:val="00733D0F"/>
    <w:rsid w:val="00734056"/>
    <w:rsid w:val="007340AB"/>
    <w:rsid w:val="007340DA"/>
    <w:rsid w:val="0073427D"/>
    <w:rsid w:val="00734497"/>
    <w:rsid w:val="007348F0"/>
    <w:rsid w:val="007348FD"/>
    <w:rsid w:val="0073498F"/>
    <w:rsid w:val="00735000"/>
    <w:rsid w:val="007351D6"/>
    <w:rsid w:val="0073555F"/>
    <w:rsid w:val="00735A3F"/>
    <w:rsid w:val="00735F92"/>
    <w:rsid w:val="00736013"/>
    <w:rsid w:val="0073632F"/>
    <w:rsid w:val="007364F5"/>
    <w:rsid w:val="007365AA"/>
    <w:rsid w:val="00736B1A"/>
    <w:rsid w:val="00736E2D"/>
    <w:rsid w:val="007371C4"/>
    <w:rsid w:val="007373B5"/>
    <w:rsid w:val="007374D4"/>
    <w:rsid w:val="00737676"/>
    <w:rsid w:val="007379C1"/>
    <w:rsid w:val="00740153"/>
    <w:rsid w:val="007405E4"/>
    <w:rsid w:val="0074061A"/>
    <w:rsid w:val="00740656"/>
    <w:rsid w:val="00740AD1"/>
    <w:rsid w:val="00740BF0"/>
    <w:rsid w:val="00740DC1"/>
    <w:rsid w:val="00741186"/>
    <w:rsid w:val="00741281"/>
    <w:rsid w:val="0074141E"/>
    <w:rsid w:val="00741514"/>
    <w:rsid w:val="0074156D"/>
    <w:rsid w:val="00741AE7"/>
    <w:rsid w:val="00741BB9"/>
    <w:rsid w:val="0074228C"/>
    <w:rsid w:val="0074258F"/>
    <w:rsid w:val="007425FF"/>
    <w:rsid w:val="00742785"/>
    <w:rsid w:val="00742974"/>
    <w:rsid w:val="00742ADD"/>
    <w:rsid w:val="00742B18"/>
    <w:rsid w:val="00742D02"/>
    <w:rsid w:val="00742E80"/>
    <w:rsid w:val="0074304E"/>
    <w:rsid w:val="007430AA"/>
    <w:rsid w:val="007434D4"/>
    <w:rsid w:val="007436CD"/>
    <w:rsid w:val="00743E37"/>
    <w:rsid w:val="007440D5"/>
    <w:rsid w:val="007441DA"/>
    <w:rsid w:val="00744B19"/>
    <w:rsid w:val="00744B6B"/>
    <w:rsid w:val="00745118"/>
    <w:rsid w:val="007451AF"/>
    <w:rsid w:val="00745DEC"/>
    <w:rsid w:val="00746006"/>
    <w:rsid w:val="0074620A"/>
    <w:rsid w:val="00746688"/>
    <w:rsid w:val="00746796"/>
    <w:rsid w:val="007467D3"/>
    <w:rsid w:val="00746946"/>
    <w:rsid w:val="00746A0A"/>
    <w:rsid w:val="007471E4"/>
    <w:rsid w:val="007477F8"/>
    <w:rsid w:val="007511A0"/>
    <w:rsid w:val="00751226"/>
    <w:rsid w:val="007512B0"/>
    <w:rsid w:val="00751553"/>
    <w:rsid w:val="00751CA1"/>
    <w:rsid w:val="00751E22"/>
    <w:rsid w:val="007529F6"/>
    <w:rsid w:val="00752AEC"/>
    <w:rsid w:val="00752B14"/>
    <w:rsid w:val="00752C62"/>
    <w:rsid w:val="007532CE"/>
    <w:rsid w:val="0075351F"/>
    <w:rsid w:val="0075366C"/>
    <w:rsid w:val="00753E50"/>
    <w:rsid w:val="007541C1"/>
    <w:rsid w:val="00754645"/>
    <w:rsid w:val="00754FF7"/>
    <w:rsid w:val="007551EF"/>
    <w:rsid w:val="007554BC"/>
    <w:rsid w:val="0075554E"/>
    <w:rsid w:val="00755E04"/>
    <w:rsid w:val="00756006"/>
    <w:rsid w:val="00756192"/>
    <w:rsid w:val="00756551"/>
    <w:rsid w:val="0075671B"/>
    <w:rsid w:val="00756B78"/>
    <w:rsid w:val="00756D9B"/>
    <w:rsid w:val="00756E51"/>
    <w:rsid w:val="00756EBF"/>
    <w:rsid w:val="007572A4"/>
    <w:rsid w:val="007572D7"/>
    <w:rsid w:val="00757D5A"/>
    <w:rsid w:val="00757EE6"/>
    <w:rsid w:val="0076043C"/>
    <w:rsid w:val="0076121A"/>
    <w:rsid w:val="007612CB"/>
    <w:rsid w:val="00761381"/>
    <w:rsid w:val="00761F23"/>
    <w:rsid w:val="007620D4"/>
    <w:rsid w:val="0076239A"/>
    <w:rsid w:val="00762512"/>
    <w:rsid w:val="007626F4"/>
    <w:rsid w:val="007630D9"/>
    <w:rsid w:val="0076319F"/>
    <w:rsid w:val="007632F4"/>
    <w:rsid w:val="007638E4"/>
    <w:rsid w:val="00763900"/>
    <w:rsid w:val="00763B84"/>
    <w:rsid w:val="00763EE9"/>
    <w:rsid w:val="0076424A"/>
    <w:rsid w:val="007646A9"/>
    <w:rsid w:val="00764B01"/>
    <w:rsid w:val="00764F08"/>
    <w:rsid w:val="00765696"/>
    <w:rsid w:val="007656FE"/>
    <w:rsid w:val="0076576A"/>
    <w:rsid w:val="007657DF"/>
    <w:rsid w:val="00765B14"/>
    <w:rsid w:val="00765B24"/>
    <w:rsid w:val="00765C8F"/>
    <w:rsid w:val="00765D74"/>
    <w:rsid w:val="0076619B"/>
    <w:rsid w:val="0076631D"/>
    <w:rsid w:val="00766707"/>
    <w:rsid w:val="0076686D"/>
    <w:rsid w:val="00766965"/>
    <w:rsid w:val="00766AC6"/>
    <w:rsid w:val="00766DB8"/>
    <w:rsid w:val="007677CE"/>
    <w:rsid w:val="007678B3"/>
    <w:rsid w:val="00767A8A"/>
    <w:rsid w:val="00767CC7"/>
    <w:rsid w:val="007700A3"/>
    <w:rsid w:val="00770BF7"/>
    <w:rsid w:val="00770ED2"/>
    <w:rsid w:val="00771724"/>
    <w:rsid w:val="0077185B"/>
    <w:rsid w:val="00771DF3"/>
    <w:rsid w:val="0077232F"/>
    <w:rsid w:val="00772349"/>
    <w:rsid w:val="007724A1"/>
    <w:rsid w:val="007727BB"/>
    <w:rsid w:val="007729E4"/>
    <w:rsid w:val="00772E20"/>
    <w:rsid w:val="007732B2"/>
    <w:rsid w:val="007732E6"/>
    <w:rsid w:val="007736FF"/>
    <w:rsid w:val="00773C26"/>
    <w:rsid w:val="0077435A"/>
    <w:rsid w:val="00774878"/>
    <w:rsid w:val="00774B31"/>
    <w:rsid w:val="00775044"/>
    <w:rsid w:val="007759EB"/>
    <w:rsid w:val="00775A34"/>
    <w:rsid w:val="00775A3C"/>
    <w:rsid w:val="00775FAF"/>
    <w:rsid w:val="007764D1"/>
    <w:rsid w:val="00776A02"/>
    <w:rsid w:val="00777672"/>
    <w:rsid w:val="00777A72"/>
    <w:rsid w:val="00777C77"/>
    <w:rsid w:val="00780903"/>
    <w:rsid w:val="00780ECD"/>
    <w:rsid w:val="0078113F"/>
    <w:rsid w:val="00781206"/>
    <w:rsid w:val="00781547"/>
    <w:rsid w:val="0078158A"/>
    <w:rsid w:val="0078166D"/>
    <w:rsid w:val="007818A5"/>
    <w:rsid w:val="00782189"/>
    <w:rsid w:val="007822A4"/>
    <w:rsid w:val="00782806"/>
    <w:rsid w:val="00782D76"/>
    <w:rsid w:val="00782E47"/>
    <w:rsid w:val="00783708"/>
    <w:rsid w:val="00783F37"/>
    <w:rsid w:val="00783F83"/>
    <w:rsid w:val="007841B8"/>
    <w:rsid w:val="007843DE"/>
    <w:rsid w:val="0078474E"/>
    <w:rsid w:val="00784983"/>
    <w:rsid w:val="007850EF"/>
    <w:rsid w:val="0078510D"/>
    <w:rsid w:val="0078552D"/>
    <w:rsid w:val="00785541"/>
    <w:rsid w:val="00785931"/>
    <w:rsid w:val="00785DE8"/>
    <w:rsid w:val="00785E2F"/>
    <w:rsid w:val="0078610C"/>
    <w:rsid w:val="007863A9"/>
    <w:rsid w:val="007864AC"/>
    <w:rsid w:val="007868B2"/>
    <w:rsid w:val="00787292"/>
    <w:rsid w:val="00787824"/>
    <w:rsid w:val="00787E38"/>
    <w:rsid w:val="00787ECE"/>
    <w:rsid w:val="0079013C"/>
    <w:rsid w:val="00790650"/>
    <w:rsid w:val="00790939"/>
    <w:rsid w:val="00790987"/>
    <w:rsid w:val="00790B69"/>
    <w:rsid w:val="00790B70"/>
    <w:rsid w:val="00790C28"/>
    <w:rsid w:val="00790D00"/>
    <w:rsid w:val="007914BA"/>
    <w:rsid w:val="0079199D"/>
    <w:rsid w:val="00791E6E"/>
    <w:rsid w:val="007920E2"/>
    <w:rsid w:val="0079225F"/>
    <w:rsid w:val="00792374"/>
    <w:rsid w:val="007928AC"/>
    <w:rsid w:val="00792E84"/>
    <w:rsid w:val="00793B0F"/>
    <w:rsid w:val="00793C91"/>
    <w:rsid w:val="00793D6B"/>
    <w:rsid w:val="00794461"/>
    <w:rsid w:val="007949F9"/>
    <w:rsid w:val="00794CA7"/>
    <w:rsid w:val="00794CAA"/>
    <w:rsid w:val="00795018"/>
    <w:rsid w:val="0079563D"/>
    <w:rsid w:val="007959D5"/>
    <w:rsid w:val="00795A38"/>
    <w:rsid w:val="00795D8F"/>
    <w:rsid w:val="00796A56"/>
    <w:rsid w:val="0079743C"/>
    <w:rsid w:val="00797461"/>
    <w:rsid w:val="00797464"/>
    <w:rsid w:val="00797907"/>
    <w:rsid w:val="00797B9D"/>
    <w:rsid w:val="00797D93"/>
    <w:rsid w:val="00797ECA"/>
    <w:rsid w:val="007A0096"/>
    <w:rsid w:val="007A010C"/>
    <w:rsid w:val="007A01FB"/>
    <w:rsid w:val="007A021D"/>
    <w:rsid w:val="007A0B9C"/>
    <w:rsid w:val="007A0FC8"/>
    <w:rsid w:val="007A1170"/>
    <w:rsid w:val="007A1AA8"/>
    <w:rsid w:val="007A1C5C"/>
    <w:rsid w:val="007A218D"/>
    <w:rsid w:val="007A2781"/>
    <w:rsid w:val="007A2792"/>
    <w:rsid w:val="007A2CE1"/>
    <w:rsid w:val="007A2DAE"/>
    <w:rsid w:val="007A2DEF"/>
    <w:rsid w:val="007A2F31"/>
    <w:rsid w:val="007A4958"/>
    <w:rsid w:val="007A4A9C"/>
    <w:rsid w:val="007A509A"/>
    <w:rsid w:val="007A548B"/>
    <w:rsid w:val="007A5599"/>
    <w:rsid w:val="007A5623"/>
    <w:rsid w:val="007A58A5"/>
    <w:rsid w:val="007A5CBE"/>
    <w:rsid w:val="007A5DB5"/>
    <w:rsid w:val="007A65AC"/>
    <w:rsid w:val="007A7026"/>
    <w:rsid w:val="007A7058"/>
    <w:rsid w:val="007A746A"/>
    <w:rsid w:val="007A7A97"/>
    <w:rsid w:val="007A7C77"/>
    <w:rsid w:val="007A7D34"/>
    <w:rsid w:val="007B02E3"/>
    <w:rsid w:val="007B092C"/>
    <w:rsid w:val="007B0D64"/>
    <w:rsid w:val="007B118F"/>
    <w:rsid w:val="007B1317"/>
    <w:rsid w:val="007B1569"/>
    <w:rsid w:val="007B16C3"/>
    <w:rsid w:val="007B1DDF"/>
    <w:rsid w:val="007B1EEE"/>
    <w:rsid w:val="007B22E2"/>
    <w:rsid w:val="007B248E"/>
    <w:rsid w:val="007B2B67"/>
    <w:rsid w:val="007B2F7E"/>
    <w:rsid w:val="007B345F"/>
    <w:rsid w:val="007B350D"/>
    <w:rsid w:val="007B353F"/>
    <w:rsid w:val="007B38FB"/>
    <w:rsid w:val="007B3A2A"/>
    <w:rsid w:val="007B3AEB"/>
    <w:rsid w:val="007B3E75"/>
    <w:rsid w:val="007B3F3F"/>
    <w:rsid w:val="007B40D0"/>
    <w:rsid w:val="007B4A86"/>
    <w:rsid w:val="007B4E90"/>
    <w:rsid w:val="007B4FB7"/>
    <w:rsid w:val="007B5AA7"/>
    <w:rsid w:val="007B5F62"/>
    <w:rsid w:val="007B5FEB"/>
    <w:rsid w:val="007B651E"/>
    <w:rsid w:val="007B69B1"/>
    <w:rsid w:val="007B6A45"/>
    <w:rsid w:val="007B6C49"/>
    <w:rsid w:val="007B722D"/>
    <w:rsid w:val="007B75A5"/>
    <w:rsid w:val="007B7727"/>
    <w:rsid w:val="007B7B76"/>
    <w:rsid w:val="007C06E8"/>
    <w:rsid w:val="007C081E"/>
    <w:rsid w:val="007C08F7"/>
    <w:rsid w:val="007C1011"/>
    <w:rsid w:val="007C1E5C"/>
    <w:rsid w:val="007C2CDA"/>
    <w:rsid w:val="007C2E98"/>
    <w:rsid w:val="007C2F16"/>
    <w:rsid w:val="007C3356"/>
    <w:rsid w:val="007C38F6"/>
    <w:rsid w:val="007C3FF5"/>
    <w:rsid w:val="007C4736"/>
    <w:rsid w:val="007C4C6B"/>
    <w:rsid w:val="007C4F74"/>
    <w:rsid w:val="007C4FAD"/>
    <w:rsid w:val="007C4FC7"/>
    <w:rsid w:val="007C5250"/>
    <w:rsid w:val="007C541C"/>
    <w:rsid w:val="007C5B5E"/>
    <w:rsid w:val="007C5D71"/>
    <w:rsid w:val="007C6248"/>
    <w:rsid w:val="007C6D50"/>
    <w:rsid w:val="007C6F2F"/>
    <w:rsid w:val="007C71C9"/>
    <w:rsid w:val="007C7608"/>
    <w:rsid w:val="007C78C9"/>
    <w:rsid w:val="007C7D7A"/>
    <w:rsid w:val="007D0505"/>
    <w:rsid w:val="007D0606"/>
    <w:rsid w:val="007D0A0F"/>
    <w:rsid w:val="007D0C4F"/>
    <w:rsid w:val="007D0C8B"/>
    <w:rsid w:val="007D0FB0"/>
    <w:rsid w:val="007D1213"/>
    <w:rsid w:val="007D176F"/>
    <w:rsid w:val="007D1C60"/>
    <w:rsid w:val="007D1ECC"/>
    <w:rsid w:val="007D202A"/>
    <w:rsid w:val="007D22C4"/>
    <w:rsid w:val="007D287A"/>
    <w:rsid w:val="007D2D00"/>
    <w:rsid w:val="007D3C4A"/>
    <w:rsid w:val="007D3C7B"/>
    <w:rsid w:val="007D4082"/>
    <w:rsid w:val="007D585E"/>
    <w:rsid w:val="007D58B4"/>
    <w:rsid w:val="007D5BD5"/>
    <w:rsid w:val="007D5C33"/>
    <w:rsid w:val="007D5E65"/>
    <w:rsid w:val="007D6AA9"/>
    <w:rsid w:val="007D7066"/>
    <w:rsid w:val="007E0218"/>
    <w:rsid w:val="007E0935"/>
    <w:rsid w:val="007E0A7D"/>
    <w:rsid w:val="007E0F97"/>
    <w:rsid w:val="007E104F"/>
    <w:rsid w:val="007E1085"/>
    <w:rsid w:val="007E18B0"/>
    <w:rsid w:val="007E18E4"/>
    <w:rsid w:val="007E1932"/>
    <w:rsid w:val="007E1D56"/>
    <w:rsid w:val="007E20DA"/>
    <w:rsid w:val="007E22F2"/>
    <w:rsid w:val="007E23DD"/>
    <w:rsid w:val="007E2418"/>
    <w:rsid w:val="007E2690"/>
    <w:rsid w:val="007E2B94"/>
    <w:rsid w:val="007E343C"/>
    <w:rsid w:val="007E36E1"/>
    <w:rsid w:val="007E37BC"/>
    <w:rsid w:val="007E3943"/>
    <w:rsid w:val="007E3B0D"/>
    <w:rsid w:val="007E3D3E"/>
    <w:rsid w:val="007E4028"/>
    <w:rsid w:val="007E4AE4"/>
    <w:rsid w:val="007E4EA2"/>
    <w:rsid w:val="007E5E00"/>
    <w:rsid w:val="007E5EB0"/>
    <w:rsid w:val="007E6864"/>
    <w:rsid w:val="007E6F39"/>
    <w:rsid w:val="007E70DD"/>
    <w:rsid w:val="007E718A"/>
    <w:rsid w:val="007E72AD"/>
    <w:rsid w:val="007E784F"/>
    <w:rsid w:val="007F012F"/>
    <w:rsid w:val="007F01B0"/>
    <w:rsid w:val="007F0310"/>
    <w:rsid w:val="007F03E1"/>
    <w:rsid w:val="007F060F"/>
    <w:rsid w:val="007F0778"/>
    <w:rsid w:val="007F0D9C"/>
    <w:rsid w:val="007F1513"/>
    <w:rsid w:val="007F16F1"/>
    <w:rsid w:val="007F1BDA"/>
    <w:rsid w:val="007F1FEF"/>
    <w:rsid w:val="007F2284"/>
    <w:rsid w:val="007F22D3"/>
    <w:rsid w:val="007F2754"/>
    <w:rsid w:val="007F289D"/>
    <w:rsid w:val="007F330D"/>
    <w:rsid w:val="007F35C5"/>
    <w:rsid w:val="007F3F0E"/>
    <w:rsid w:val="007F42F9"/>
    <w:rsid w:val="007F4564"/>
    <w:rsid w:val="007F46AA"/>
    <w:rsid w:val="007F4849"/>
    <w:rsid w:val="007F49AC"/>
    <w:rsid w:val="007F4A7E"/>
    <w:rsid w:val="007F4B5E"/>
    <w:rsid w:val="007F4E18"/>
    <w:rsid w:val="007F50D6"/>
    <w:rsid w:val="007F5275"/>
    <w:rsid w:val="007F54B9"/>
    <w:rsid w:val="007F5C18"/>
    <w:rsid w:val="007F5DCC"/>
    <w:rsid w:val="007F664A"/>
    <w:rsid w:val="007F6AA9"/>
    <w:rsid w:val="007F6B12"/>
    <w:rsid w:val="007F6F45"/>
    <w:rsid w:val="007F73D1"/>
    <w:rsid w:val="007F75BA"/>
    <w:rsid w:val="007F76C2"/>
    <w:rsid w:val="007F79C7"/>
    <w:rsid w:val="00800548"/>
    <w:rsid w:val="0080086F"/>
    <w:rsid w:val="00800A7E"/>
    <w:rsid w:val="00800DA6"/>
    <w:rsid w:val="00800FFB"/>
    <w:rsid w:val="0080170D"/>
    <w:rsid w:val="00801AC0"/>
    <w:rsid w:val="00801B3F"/>
    <w:rsid w:val="00801FD1"/>
    <w:rsid w:val="008020A5"/>
    <w:rsid w:val="008023FC"/>
    <w:rsid w:val="00802472"/>
    <w:rsid w:val="008028DF"/>
    <w:rsid w:val="00802CDE"/>
    <w:rsid w:val="00802FB7"/>
    <w:rsid w:val="008036E7"/>
    <w:rsid w:val="008037E8"/>
    <w:rsid w:val="00803A6C"/>
    <w:rsid w:val="00803D73"/>
    <w:rsid w:val="0080477F"/>
    <w:rsid w:val="008048A3"/>
    <w:rsid w:val="00804B7F"/>
    <w:rsid w:val="00804CA6"/>
    <w:rsid w:val="00805458"/>
    <w:rsid w:val="00806035"/>
    <w:rsid w:val="008060CC"/>
    <w:rsid w:val="008064B3"/>
    <w:rsid w:val="00806613"/>
    <w:rsid w:val="008067A3"/>
    <w:rsid w:val="00806820"/>
    <w:rsid w:val="00806C40"/>
    <w:rsid w:val="00806CA8"/>
    <w:rsid w:val="00806E7D"/>
    <w:rsid w:val="00807643"/>
    <w:rsid w:val="00807D7F"/>
    <w:rsid w:val="00807D9E"/>
    <w:rsid w:val="00807E23"/>
    <w:rsid w:val="0081022B"/>
    <w:rsid w:val="008102BD"/>
    <w:rsid w:val="008103B6"/>
    <w:rsid w:val="00810805"/>
    <w:rsid w:val="008109BC"/>
    <w:rsid w:val="008109D3"/>
    <w:rsid w:val="00810D7F"/>
    <w:rsid w:val="008110BA"/>
    <w:rsid w:val="00811437"/>
    <w:rsid w:val="0081158E"/>
    <w:rsid w:val="00811693"/>
    <w:rsid w:val="00811BC6"/>
    <w:rsid w:val="00811C09"/>
    <w:rsid w:val="00811C15"/>
    <w:rsid w:val="00811C6F"/>
    <w:rsid w:val="00811D59"/>
    <w:rsid w:val="00812448"/>
    <w:rsid w:val="00812910"/>
    <w:rsid w:val="00812EA2"/>
    <w:rsid w:val="00813709"/>
    <w:rsid w:val="008138D9"/>
    <w:rsid w:val="0081424D"/>
    <w:rsid w:val="00814387"/>
    <w:rsid w:val="00814478"/>
    <w:rsid w:val="008149F5"/>
    <w:rsid w:val="00814D8C"/>
    <w:rsid w:val="00814E71"/>
    <w:rsid w:val="0081522B"/>
    <w:rsid w:val="008152F5"/>
    <w:rsid w:val="008152FC"/>
    <w:rsid w:val="00815561"/>
    <w:rsid w:val="00815768"/>
    <w:rsid w:val="008163B0"/>
    <w:rsid w:val="0081666C"/>
    <w:rsid w:val="00816759"/>
    <w:rsid w:val="00816D3A"/>
    <w:rsid w:val="00816D5A"/>
    <w:rsid w:val="00816FC1"/>
    <w:rsid w:val="008202B9"/>
    <w:rsid w:val="008202E8"/>
    <w:rsid w:val="00820364"/>
    <w:rsid w:val="0082044B"/>
    <w:rsid w:val="008208F2"/>
    <w:rsid w:val="00820A9E"/>
    <w:rsid w:val="00821203"/>
    <w:rsid w:val="0082168B"/>
    <w:rsid w:val="0082188B"/>
    <w:rsid w:val="0082194B"/>
    <w:rsid w:val="00821BE5"/>
    <w:rsid w:val="0082207F"/>
    <w:rsid w:val="008224DC"/>
    <w:rsid w:val="0082250F"/>
    <w:rsid w:val="00823317"/>
    <w:rsid w:val="00823468"/>
    <w:rsid w:val="008244B1"/>
    <w:rsid w:val="008249AC"/>
    <w:rsid w:val="00825026"/>
    <w:rsid w:val="008250DF"/>
    <w:rsid w:val="00825C09"/>
    <w:rsid w:val="00825EC7"/>
    <w:rsid w:val="0082613B"/>
    <w:rsid w:val="008261E5"/>
    <w:rsid w:val="008264A0"/>
    <w:rsid w:val="0082678A"/>
    <w:rsid w:val="008267ED"/>
    <w:rsid w:val="0082694E"/>
    <w:rsid w:val="00826A5C"/>
    <w:rsid w:val="00826FE8"/>
    <w:rsid w:val="00827234"/>
    <w:rsid w:val="008276B9"/>
    <w:rsid w:val="008279AF"/>
    <w:rsid w:val="008305F3"/>
    <w:rsid w:val="00830D41"/>
    <w:rsid w:val="008310B5"/>
    <w:rsid w:val="0083131E"/>
    <w:rsid w:val="0083139B"/>
    <w:rsid w:val="00831566"/>
    <w:rsid w:val="008321AB"/>
    <w:rsid w:val="0083233F"/>
    <w:rsid w:val="0083253D"/>
    <w:rsid w:val="008334C2"/>
    <w:rsid w:val="00833556"/>
    <w:rsid w:val="008335BC"/>
    <w:rsid w:val="008335EE"/>
    <w:rsid w:val="0083476D"/>
    <w:rsid w:val="00834831"/>
    <w:rsid w:val="00836062"/>
    <w:rsid w:val="00836197"/>
    <w:rsid w:val="008365F8"/>
    <w:rsid w:val="00836939"/>
    <w:rsid w:val="008373CE"/>
    <w:rsid w:val="00837654"/>
    <w:rsid w:val="00837963"/>
    <w:rsid w:val="00837A74"/>
    <w:rsid w:val="00837C6F"/>
    <w:rsid w:val="00837E28"/>
    <w:rsid w:val="0084012E"/>
    <w:rsid w:val="008401D5"/>
    <w:rsid w:val="008402D8"/>
    <w:rsid w:val="00840367"/>
    <w:rsid w:val="008406D1"/>
    <w:rsid w:val="008415EB"/>
    <w:rsid w:val="008416A9"/>
    <w:rsid w:val="00841A7B"/>
    <w:rsid w:val="008423DE"/>
    <w:rsid w:val="008423E8"/>
    <w:rsid w:val="00842592"/>
    <w:rsid w:val="008426E7"/>
    <w:rsid w:val="00842E65"/>
    <w:rsid w:val="0084363C"/>
    <w:rsid w:val="00843916"/>
    <w:rsid w:val="00844524"/>
    <w:rsid w:val="00844719"/>
    <w:rsid w:val="008447E1"/>
    <w:rsid w:val="00844DE0"/>
    <w:rsid w:val="00845181"/>
    <w:rsid w:val="00845702"/>
    <w:rsid w:val="00845771"/>
    <w:rsid w:val="00846402"/>
    <w:rsid w:val="00846423"/>
    <w:rsid w:val="00846B90"/>
    <w:rsid w:val="00846FA9"/>
    <w:rsid w:val="0084757B"/>
    <w:rsid w:val="00847867"/>
    <w:rsid w:val="00847F85"/>
    <w:rsid w:val="0085010F"/>
    <w:rsid w:val="008501D7"/>
    <w:rsid w:val="00850415"/>
    <w:rsid w:val="0085066F"/>
    <w:rsid w:val="00850CD7"/>
    <w:rsid w:val="00850DB6"/>
    <w:rsid w:val="0085143A"/>
    <w:rsid w:val="008514DD"/>
    <w:rsid w:val="00851945"/>
    <w:rsid w:val="00851948"/>
    <w:rsid w:val="008519CF"/>
    <w:rsid w:val="00851AB5"/>
    <w:rsid w:val="00851BC2"/>
    <w:rsid w:val="00851D5F"/>
    <w:rsid w:val="00851F47"/>
    <w:rsid w:val="0085224A"/>
    <w:rsid w:val="00852440"/>
    <w:rsid w:val="00852E59"/>
    <w:rsid w:val="00853625"/>
    <w:rsid w:val="008537F7"/>
    <w:rsid w:val="00853826"/>
    <w:rsid w:val="00854167"/>
    <w:rsid w:val="00854258"/>
    <w:rsid w:val="008542C3"/>
    <w:rsid w:val="00854404"/>
    <w:rsid w:val="00854536"/>
    <w:rsid w:val="0085462E"/>
    <w:rsid w:val="0085505F"/>
    <w:rsid w:val="00855CE4"/>
    <w:rsid w:val="00855D80"/>
    <w:rsid w:val="00856212"/>
    <w:rsid w:val="00856373"/>
    <w:rsid w:val="00856562"/>
    <w:rsid w:val="00856D36"/>
    <w:rsid w:val="0085722E"/>
    <w:rsid w:val="00857610"/>
    <w:rsid w:val="008576E7"/>
    <w:rsid w:val="008601B0"/>
    <w:rsid w:val="008604EA"/>
    <w:rsid w:val="0086087D"/>
    <w:rsid w:val="0086116A"/>
    <w:rsid w:val="0086127E"/>
    <w:rsid w:val="00861832"/>
    <w:rsid w:val="00861DBD"/>
    <w:rsid w:val="00861F07"/>
    <w:rsid w:val="008622D4"/>
    <w:rsid w:val="008623BA"/>
    <w:rsid w:val="008623D4"/>
    <w:rsid w:val="00862440"/>
    <w:rsid w:val="0086254B"/>
    <w:rsid w:val="00862567"/>
    <w:rsid w:val="008629F1"/>
    <w:rsid w:val="00862C7F"/>
    <w:rsid w:val="00863145"/>
    <w:rsid w:val="0086315E"/>
    <w:rsid w:val="008635DF"/>
    <w:rsid w:val="00863C75"/>
    <w:rsid w:val="00863EC2"/>
    <w:rsid w:val="00864240"/>
    <w:rsid w:val="0086469F"/>
    <w:rsid w:val="008647DE"/>
    <w:rsid w:val="0086480E"/>
    <w:rsid w:val="00864E6D"/>
    <w:rsid w:val="00864EAB"/>
    <w:rsid w:val="00865CFE"/>
    <w:rsid w:val="0086684F"/>
    <w:rsid w:val="00866B95"/>
    <w:rsid w:val="00866E21"/>
    <w:rsid w:val="00866E3A"/>
    <w:rsid w:val="0086775A"/>
    <w:rsid w:val="008679DA"/>
    <w:rsid w:val="00867AF5"/>
    <w:rsid w:val="00867B19"/>
    <w:rsid w:val="0087015E"/>
    <w:rsid w:val="00870B91"/>
    <w:rsid w:val="00870C63"/>
    <w:rsid w:val="00870CAE"/>
    <w:rsid w:val="00871254"/>
    <w:rsid w:val="008713E5"/>
    <w:rsid w:val="00871789"/>
    <w:rsid w:val="00872070"/>
    <w:rsid w:val="00872662"/>
    <w:rsid w:val="00872A05"/>
    <w:rsid w:val="0087301D"/>
    <w:rsid w:val="0087325D"/>
    <w:rsid w:val="0087366D"/>
    <w:rsid w:val="00873856"/>
    <w:rsid w:val="00873C0B"/>
    <w:rsid w:val="00873C8E"/>
    <w:rsid w:val="00874026"/>
    <w:rsid w:val="00874049"/>
    <w:rsid w:val="0087425B"/>
    <w:rsid w:val="008742C5"/>
    <w:rsid w:val="00874639"/>
    <w:rsid w:val="0087484D"/>
    <w:rsid w:val="0087494D"/>
    <w:rsid w:val="00874BCD"/>
    <w:rsid w:val="00874D34"/>
    <w:rsid w:val="00874E53"/>
    <w:rsid w:val="00874E59"/>
    <w:rsid w:val="00875004"/>
    <w:rsid w:val="00875244"/>
    <w:rsid w:val="0087577A"/>
    <w:rsid w:val="00875CA8"/>
    <w:rsid w:val="008761AF"/>
    <w:rsid w:val="008767E7"/>
    <w:rsid w:val="00876ECA"/>
    <w:rsid w:val="008771D9"/>
    <w:rsid w:val="00877450"/>
    <w:rsid w:val="0087795B"/>
    <w:rsid w:val="008804E5"/>
    <w:rsid w:val="00880655"/>
    <w:rsid w:val="00880BED"/>
    <w:rsid w:val="00880EBF"/>
    <w:rsid w:val="008814F6"/>
    <w:rsid w:val="00881A7A"/>
    <w:rsid w:val="00881BB2"/>
    <w:rsid w:val="00881DB8"/>
    <w:rsid w:val="00882577"/>
    <w:rsid w:val="00882C90"/>
    <w:rsid w:val="00882CED"/>
    <w:rsid w:val="00883501"/>
    <w:rsid w:val="00883B21"/>
    <w:rsid w:val="008843E3"/>
    <w:rsid w:val="00884B8C"/>
    <w:rsid w:val="00884CED"/>
    <w:rsid w:val="00884D42"/>
    <w:rsid w:val="00884E7D"/>
    <w:rsid w:val="00885319"/>
    <w:rsid w:val="00886163"/>
    <w:rsid w:val="0088619B"/>
    <w:rsid w:val="008864AF"/>
    <w:rsid w:val="00886FE1"/>
    <w:rsid w:val="008878FA"/>
    <w:rsid w:val="00887B1A"/>
    <w:rsid w:val="00887C95"/>
    <w:rsid w:val="00887F55"/>
    <w:rsid w:val="008902D2"/>
    <w:rsid w:val="0089060F"/>
    <w:rsid w:val="008909BB"/>
    <w:rsid w:val="008912F3"/>
    <w:rsid w:val="00891944"/>
    <w:rsid w:val="00891ED3"/>
    <w:rsid w:val="00892030"/>
    <w:rsid w:val="008927AC"/>
    <w:rsid w:val="00892913"/>
    <w:rsid w:val="00893399"/>
    <w:rsid w:val="0089371B"/>
    <w:rsid w:val="00893A23"/>
    <w:rsid w:val="00894359"/>
    <w:rsid w:val="00894445"/>
    <w:rsid w:val="00894616"/>
    <w:rsid w:val="00894917"/>
    <w:rsid w:val="00894CE6"/>
    <w:rsid w:val="00894EFB"/>
    <w:rsid w:val="00895155"/>
    <w:rsid w:val="00895293"/>
    <w:rsid w:val="00895321"/>
    <w:rsid w:val="0089583F"/>
    <w:rsid w:val="0089595F"/>
    <w:rsid w:val="00895BC2"/>
    <w:rsid w:val="00895C28"/>
    <w:rsid w:val="00896049"/>
    <w:rsid w:val="00896190"/>
    <w:rsid w:val="008963EB"/>
    <w:rsid w:val="008966BA"/>
    <w:rsid w:val="008967FF"/>
    <w:rsid w:val="008969A9"/>
    <w:rsid w:val="008969EE"/>
    <w:rsid w:val="00896D0C"/>
    <w:rsid w:val="00897125"/>
    <w:rsid w:val="008978BD"/>
    <w:rsid w:val="00897FB2"/>
    <w:rsid w:val="00897FDF"/>
    <w:rsid w:val="008A0843"/>
    <w:rsid w:val="008A0B66"/>
    <w:rsid w:val="008A0C21"/>
    <w:rsid w:val="008A0C28"/>
    <w:rsid w:val="008A0C98"/>
    <w:rsid w:val="008A0DB3"/>
    <w:rsid w:val="008A0DB4"/>
    <w:rsid w:val="008A1EC5"/>
    <w:rsid w:val="008A2054"/>
    <w:rsid w:val="008A2407"/>
    <w:rsid w:val="008A2857"/>
    <w:rsid w:val="008A2B64"/>
    <w:rsid w:val="008A2CF5"/>
    <w:rsid w:val="008A32CF"/>
    <w:rsid w:val="008A3BE6"/>
    <w:rsid w:val="008A423B"/>
    <w:rsid w:val="008A4369"/>
    <w:rsid w:val="008A43E0"/>
    <w:rsid w:val="008A46D7"/>
    <w:rsid w:val="008A4BEA"/>
    <w:rsid w:val="008A4CDE"/>
    <w:rsid w:val="008A52A3"/>
    <w:rsid w:val="008A52DE"/>
    <w:rsid w:val="008A55E6"/>
    <w:rsid w:val="008A57FF"/>
    <w:rsid w:val="008A5AD2"/>
    <w:rsid w:val="008A5CE4"/>
    <w:rsid w:val="008A5F79"/>
    <w:rsid w:val="008A6011"/>
    <w:rsid w:val="008A611D"/>
    <w:rsid w:val="008A696A"/>
    <w:rsid w:val="008A6F06"/>
    <w:rsid w:val="008A702D"/>
    <w:rsid w:val="008A71DE"/>
    <w:rsid w:val="008A75B8"/>
    <w:rsid w:val="008A7ABB"/>
    <w:rsid w:val="008A7BF5"/>
    <w:rsid w:val="008A7CDD"/>
    <w:rsid w:val="008A7CE7"/>
    <w:rsid w:val="008A7F47"/>
    <w:rsid w:val="008A7F8B"/>
    <w:rsid w:val="008B01D1"/>
    <w:rsid w:val="008B109A"/>
    <w:rsid w:val="008B13F4"/>
    <w:rsid w:val="008B1A79"/>
    <w:rsid w:val="008B1DCD"/>
    <w:rsid w:val="008B2649"/>
    <w:rsid w:val="008B2B08"/>
    <w:rsid w:val="008B2E86"/>
    <w:rsid w:val="008B3193"/>
    <w:rsid w:val="008B3223"/>
    <w:rsid w:val="008B32E7"/>
    <w:rsid w:val="008B3588"/>
    <w:rsid w:val="008B3C35"/>
    <w:rsid w:val="008B3CF2"/>
    <w:rsid w:val="008B3ECF"/>
    <w:rsid w:val="008B3F20"/>
    <w:rsid w:val="008B432F"/>
    <w:rsid w:val="008B452E"/>
    <w:rsid w:val="008B464C"/>
    <w:rsid w:val="008B4927"/>
    <w:rsid w:val="008B4C36"/>
    <w:rsid w:val="008B55F9"/>
    <w:rsid w:val="008B56DC"/>
    <w:rsid w:val="008B5C54"/>
    <w:rsid w:val="008B5FC1"/>
    <w:rsid w:val="008B604F"/>
    <w:rsid w:val="008B6106"/>
    <w:rsid w:val="008B6A68"/>
    <w:rsid w:val="008B6C27"/>
    <w:rsid w:val="008B7083"/>
    <w:rsid w:val="008B748F"/>
    <w:rsid w:val="008B758C"/>
    <w:rsid w:val="008B75D8"/>
    <w:rsid w:val="008B7AB7"/>
    <w:rsid w:val="008C04D7"/>
    <w:rsid w:val="008C0925"/>
    <w:rsid w:val="008C1748"/>
    <w:rsid w:val="008C1842"/>
    <w:rsid w:val="008C18FE"/>
    <w:rsid w:val="008C2262"/>
    <w:rsid w:val="008C22FF"/>
    <w:rsid w:val="008C272C"/>
    <w:rsid w:val="008C278E"/>
    <w:rsid w:val="008C2AE5"/>
    <w:rsid w:val="008C2DEA"/>
    <w:rsid w:val="008C305D"/>
    <w:rsid w:val="008C3132"/>
    <w:rsid w:val="008C322A"/>
    <w:rsid w:val="008C32E5"/>
    <w:rsid w:val="008C37ED"/>
    <w:rsid w:val="008C44C6"/>
    <w:rsid w:val="008C4BB3"/>
    <w:rsid w:val="008C4D62"/>
    <w:rsid w:val="008C4D94"/>
    <w:rsid w:val="008C4F31"/>
    <w:rsid w:val="008C602E"/>
    <w:rsid w:val="008C60E7"/>
    <w:rsid w:val="008C6123"/>
    <w:rsid w:val="008C6308"/>
    <w:rsid w:val="008C729B"/>
    <w:rsid w:val="008C7511"/>
    <w:rsid w:val="008C7A19"/>
    <w:rsid w:val="008C7F21"/>
    <w:rsid w:val="008D0BA7"/>
    <w:rsid w:val="008D1062"/>
    <w:rsid w:val="008D113A"/>
    <w:rsid w:val="008D12CD"/>
    <w:rsid w:val="008D1817"/>
    <w:rsid w:val="008D1CC1"/>
    <w:rsid w:val="008D1CF4"/>
    <w:rsid w:val="008D1FF3"/>
    <w:rsid w:val="008D201C"/>
    <w:rsid w:val="008D2081"/>
    <w:rsid w:val="008D39DB"/>
    <w:rsid w:val="008D3AFF"/>
    <w:rsid w:val="008D3C2C"/>
    <w:rsid w:val="008D3D09"/>
    <w:rsid w:val="008D3DA3"/>
    <w:rsid w:val="008D4519"/>
    <w:rsid w:val="008D4551"/>
    <w:rsid w:val="008D4730"/>
    <w:rsid w:val="008D4861"/>
    <w:rsid w:val="008D5535"/>
    <w:rsid w:val="008D568F"/>
    <w:rsid w:val="008D579E"/>
    <w:rsid w:val="008D692F"/>
    <w:rsid w:val="008D6DCA"/>
    <w:rsid w:val="008D7230"/>
    <w:rsid w:val="008D753B"/>
    <w:rsid w:val="008D7F7F"/>
    <w:rsid w:val="008E03BF"/>
    <w:rsid w:val="008E0895"/>
    <w:rsid w:val="008E08C8"/>
    <w:rsid w:val="008E0BDA"/>
    <w:rsid w:val="008E0BFE"/>
    <w:rsid w:val="008E0CCE"/>
    <w:rsid w:val="008E0D35"/>
    <w:rsid w:val="008E0D70"/>
    <w:rsid w:val="008E0DB6"/>
    <w:rsid w:val="008E1456"/>
    <w:rsid w:val="008E14D5"/>
    <w:rsid w:val="008E1AFD"/>
    <w:rsid w:val="008E1C3D"/>
    <w:rsid w:val="008E1C9C"/>
    <w:rsid w:val="008E221C"/>
    <w:rsid w:val="008E2795"/>
    <w:rsid w:val="008E327B"/>
    <w:rsid w:val="008E3394"/>
    <w:rsid w:val="008E36FA"/>
    <w:rsid w:val="008E3824"/>
    <w:rsid w:val="008E3E67"/>
    <w:rsid w:val="008E3EE3"/>
    <w:rsid w:val="008E40D7"/>
    <w:rsid w:val="008E48E7"/>
    <w:rsid w:val="008E4C23"/>
    <w:rsid w:val="008E4E28"/>
    <w:rsid w:val="008E4FD8"/>
    <w:rsid w:val="008E5493"/>
    <w:rsid w:val="008E5829"/>
    <w:rsid w:val="008E5A9A"/>
    <w:rsid w:val="008E60DA"/>
    <w:rsid w:val="008E64A7"/>
    <w:rsid w:val="008E6704"/>
    <w:rsid w:val="008E6807"/>
    <w:rsid w:val="008E708A"/>
    <w:rsid w:val="008E7323"/>
    <w:rsid w:val="008E7635"/>
    <w:rsid w:val="008E7642"/>
    <w:rsid w:val="008E76EC"/>
    <w:rsid w:val="008E7832"/>
    <w:rsid w:val="008E7A54"/>
    <w:rsid w:val="008E7BEA"/>
    <w:rsid w:val="008F08C7"/>
    <w:rsid w:val="008F0ADA"/>
    <w:rsid w:val="008F0DFA"/>
    <w:rsid w:val="008F0E89"/>
    <w:rsid w:val="008F120E"/>
    <w:rsid w:val="008F1370"/>
    <w:rsid w:val="008F20F2"/>
    <w:rsid w:val="008F21A3"/>
    <w:rsid w:val="008F23F6"/>
    <w:rsid w:val="008F2DCB"/>
    <w:rsid w:val="008F2F2F"/>
    <w:rsid w:val="008F2FBE"/>
    <w:rsid w:val="008F35BB"/>
    <w:rsid w:val="008F36CD"/>
    <w:rsid w:val="008F3BEC"/>
    <w:rsid w:val="008F3F34"/>
    <w:rsid w:val="008F4902"/>
    <w:rsid w:val="008F4CCD"/>
    <w:rsid w:val="008F4ECB"/>
    <w:rsid w:val="008F4F3D"/>
    <w:rsid w:val="008F53EC"/>
    <w:rsid w:val="008F571C"/>
    <w:rsid w:val="008F5855"/>
    <w:rsid w:val="008F59DF"/>
    <w:rsid w:val="008F5C6D"/>
    <w:rsid w:val="008F6435"/>
    <w:rsid w:val="008F6534"/>
    <w:rsid w:val="008F6729"/>
    <w:rsid w:val="008F7646"/>
    <w:rsid w:val="008F7668"/>
    <w:rsid w:val="009000DA"/>
    <w:rsid w:val="00900821"/>
    <w:rsid w:val="0090087F"/>
    <w:rsid w:val="00901062"/>
    <w:rsid w:val="0090121F"/>
    <w:rsid w:val="0090151A"/>
    <w:rsid w:val="00901636"/>
    <w:rsid w:val="009018A2"/>
    <w:rsid w:val="009019C8"/>
    <w:rsid w:val="00901B80"/>
    <w:rsid w:val="00901C8C"/>
    <w:rsid w:val="00901E4F"/>
    <w:rsid w:val="00901E56"/>
    <w:rsid w:val="00902216"/>
    <w:rsid w:val="0090238C"/>
    <w:rsid w:val="00902DAF"/>
    <w:rsid w:val="0090323F"/>
    <w:rsid w:val="0090363D"/>
    <w:rsid w:val="0090396A"/>
    <w:rsid w:val="0090398D"/>
    <w:rsid w:val="00903A53"/>
    <w:rsid w:val="00904C64"/>
    <w:rsid w:val="00904E53"/>
    <w:rsid w:val="00904F59"/>
    <w:rsid w:val="00904F62"/>
    <w:rsid w:val="00905699"/>
    <w:rsid w:val="00905878"/>
    <w:rsid w:val="009058CE"/>
    <w:rsid w:val="00906019"/>
    <w:rsid w:val="00906289"/>
    <w:rsid w:val="009066B7"/>
    <w:rsid w:val="0090681C"/>
    <w:rsid w:val="009069F5"/>
    <w:rsid w:val="00906A2B"/>
    <w:rsid w:val="00907055"/>
    <w:rsid w:val="0090733D"/>
    <w:rsid w:val="00907612"/>
    <w:rsid w:val="00907B31"/>
    <w:rsid w:val="00907B7F"/>
    <w:rsid w:val="0091055D"/>
    <w:rsid w:val="00910690"/>
    <w:rsid w:val="009106AB"/>
    <w:rsid w:val="009108FA"/>
    <w:rsid w:val="00910B69"/>
    <w:rsid w:val="009111AA"/>
    <w:rsid w:val="00912352"/>
    <w:rsid w:val="00912436"/>
    <w:rsid w:val="00912501"/>
    <w:rsid w:val="009128F1"/>
    <w:rsid w:val="00912BB9"/>
    <w:rsid w:val="00912C67"/>
    <w:rsid w:val="00913066"/>
    <w:rsid w:val="009133AA"/>
    <w:rsid w:val="009134E5"/>
    <w:rsid w:val="0091377B"/>
    <w:rsid w:val="00913C45"/>
    <w:rsid w:val="00913DA3"/>
    <w:rsid w:val="00913EBA"/>
    <w:rsid w:val="009140C7"/>
    <w:rsid w:val="009143B3"/>
    <w:rsid w:val="00914885"/>
    <w:rsid w:val="00914A72"/>
    <w:rsid w:val="00915580"/>
    <w:rsid w:val="00915F38"/>
    <w:rsid w:val="009168A2"/>
    <w:rsid w:val="00916BFA"/>
    <w:rsid w:val="00917005"/>
    <w:rsid w:val="00917055"/>
    <w:rsid w:val="009172C9"/>
    <w:rsid w:val="00917BA6"/>
    <w:rsid w:val="009202B2"/>
    <w:rsid w:val="0092042A"/>
    <w:rsid w:val="009204B8"/>
    <w:rsid w:val="00920A58"/>
    <w:rsid w:val="00920A6A"/>
    <w:rsid w:val="00920D2C"/>
    <w:rsid w:val="00921593"/>
    <w:rsid w:val="00921E86"/>
    <w:rsid w:val="0092223D"/>
    <w:rsid w:val="009225AA"/>
    <w:rsid w:val="009227CE"/>
    <w:rsid w:val="00922B4F"/>
    <w:rsid w:val="00922D92"/>
    <w:rsid w:val="00922E39"/>
    <w:rsid w:val="009231E7"/>
    <w:rsid w:val="00923F74"/>
    <w:rsid w:val="00923FDF"/>
    <w:rsid w:val="00924DAB"/>
    <w:rsid w:val="00924F29"/>
    <w:rsid w:val="0092501B"/>
    <w:rsid w:val="00925030"/>
    <w:rsid w:val="009251F9"/>
    <w:rsid w:val="00925CFC"/>
    <w:rsid w:val="0092662D"/>
    <w:rsid w:val="00926B2D"/>
    <w:rsid w:val="00926CF1"/>
    <w:rsid w:val="0092706C"/>
    <w:rsid w:val="00927815"/>
    <w:rsid w:val="009278B1"/>
    <w:rsid w:val="00927B72"/>
    <w:rsid w:val="0093081D"/>
    <w:rsid w:val="00930F70"/>
    <w:rsid w:val="0093108A"/>
    <w:rsid w:val="009312F5"/>
    <w:rsid w:val="00931ABE"/>
    <w:rsid w:val="009324A0"/>
    <w:rsid w:val="00932C47"/>
    <w:rsid w:val="00932CAA"/>
    <w:rsid w:val="00932E83"/>
    <w:rsid w:val="00932F6F"/>
    <w:rsid w:val="0093341B"/>
    <w:rsid w:val="0093358C"/>
    <w:rsid w:val="00933688"/>
    <w:rsid w:val="009336B0"/>
    <w:rsid w:val="00933958"/>
    <w:rsid w:val="009339A0"/>
    <w:rsid w:val="00933AAE"/>
    <w:rsid w:val="00933F2E"/>
    <w:rsid w:val="009345FE"/>
    <w:rsid w:val="00934F03"/>
    <w:rsid w:val="00934FEC"/>
    <w:rsid w:val="00935334"/>
    <w:rsid w:val="0093550F"/>
    <w:rsid w:val="009356BF"/>
    <w:rsid w:val="00936238"/>
    <w:rsid w:val="00937256"/>
    <w:rsid w:val="00937316"/>
    <w:rsid w:val="00937D88"/>
    <w:rsid w:val="0094065D"/>
    <w:rsid w:val="0094074D"/>
    <w:rsid w:val="00940A1D"/>
    <w:rsid w:val="00940CB1"/>
    <w:rsid w:val="00941845"/>
    <w:rsid w:val="0094202A"/>
    <w:rsid w:val="009427F0"/>
    <w:rsid w:val="0094299B"/>
    <w:rsid w:val="009431A8"/>
    <w:rsid w:val="00943646"/>
    <w:rsid w:val="00943C37"/>
    <w:rsid w:val="0094429F"/>
    <w:rsid w:val="0094467E"/>
    <w:rsid w:val="009448B6"/>
    <w:rsid w:val="009449D3"/>
    <w:rsid w:val="00944AC5"/>
    <w:rsid w:val="00944DAA"/>
    <w:rsid w:val="00945422"/>
    <w:rsid w:val="00945B77"/>
    <w:rsid w:val="009461E0"/>
    <w:rsid w:val="009465F3"/>
    <w:rsid w:val="009466A6"/>
    <w:rsid w:val="009467E4"/>
    <w:rsid w:val="00946C95"/>
    <w:rsid w:val="00946D6A"/>
    <w:rsid w:val="0094796C"/>
    <w:rsid w:val="00947D85"/>
    <w:rsid w:val="00947EE9"/>
    <w:rsid w:val="00950793"/>
    <w:rsid w:val="0095082D"/>
    <w:rsid w:val="0095097E"/>
    <w:rsid w:val="00950AB9"/>
    <w:rsid w:val="00950C0F"/>
    <w:rsid w:val="00950C7E"/>
    <w:rsid w:val="00950E71"/>
    <w:rsid w:val="00951803"/>
    <w:rsid w:val="0095186E"/>
    <w:rsid w:val="00951A2C"/>
    <w:rsid w:val="00951A67"/>
    <w:rsid w:val="00951EBF"/>
    <w:rsid w:val="0095261B"/>
    <w:rsid w:val="00952858"/>
    <w:rsid w:val="00952B88"/>
    <w:rsid w:val="00952FFB"/>
    <w:rsid w:val="009531FB"/>
    <w:rsid w:val="00953BB7"/>
    <w:rsid w:val="00953BD2"/>
    <w:rsid w:val="00953ECD"/>
    <w:rsid w:val="00954080"/>
    <w:rsid w:val="0095469C"/>
    <w:rsid w:val="009547DC"/>
    <w:rsid w:val="00954B29"/>
    <w:rsid w:val="00954BF4"/>
    <w:rsid w:val="00954D8B"/>
    <w:rsid w:val="009550FC"/>
    <w:rsid w:val="00955229"/>
    <w:rsid w:val="00955746"/>
    <w:rsid w:val="009558FA"/>
    <w:rsid w:val="009559E4"/>
    <w:rsid w:val="00955BF3"/>
    <w:rsid w:val="0095616A"/>
    <w:rsid w:val="00956360"/>
    <w:rsid w:val="009567F1"/>
    <w:rsid w:val="0095681D"/>
    <w:rsid w:val="00956E3A"/>
    <w:rsid w:val="00957174"/>
    <w:rsid w:val="0095763B"/>
    <w:rsid w:val="00957975"/>
    <w:rsid w:val="00957DD7"/>
    <w:rsid w:val="00957FF8"/>
    <w:rsid w:val="00960352"/>
    <w:rsid w:val="009603BA"/>
    <w:rsid w:val="00960A1B"/>
    <w:rsid w:val="00960FC2"/>
    <w:rsid w:val="009611E2"/>
    <w:rsid w:val="0096136A"/>
    <w:rsid w:val="00961498"/>
    <w:rsid w:val="009615DD"/>
    <w:rsid w:val="00961B66"/>
    <w:rsid w:val="00961CAB"/>
    <w:rsid w:val="00961DBB"/>
    <w:rsid w:val="009620D8"/>
    <w:rsid w:val="00962967"/>
    <w:rsid w:val="00963D4C"/>
    <w:rsid w:val="00963ED7"/>
    <w:rsid w:val="009641FE"/>
    <w:rsid w:val="009645BC"/>
    <w:rsid w:val="009647EB"/>
    <w:rsid w:val="00964BF2"/>
    <w:rsid w:val="00965376"/>
    <w:rsid w:val="00965524"/>
    <w:rsid w:val="00965AAF"/>
    <w:rsid w:val="00966312"/>
    <w:rsid w:val="00966981"/>
    <w:rsid w:val="009669D8"/>
    <w:rsid w:val="00966A25"/>
    <w:rsid w:val="0096707C"/>
    <w:rsid w:val="009671F0"/>
    <w:rsid w:val="00967BF1"/>
    <w:rsid w:val="00967CF3"/>
    <w:rsid w:val="00967E22"/>
    <w:rsid w:val="00970777"/>
    <w:rsid w:val="009708EC"/>
    <w:rsid w:val="0097095F"/>
    <w:rsid w:val="00970AAF"/>
    <w:rsid w:val="00970C22"/>
    <w:rsid w:val="0097160A"/>
    <w:rsid w:val="00971BAC"/>
    <w:rsid w:val="00971F18"/>
    <w:rsid w:val="00971F93"/>
    <w:rsid w:val="00972CB0"/>
    <w:rsid w:val="00973015"/>
    <w:rsid w:val="0097318A"/>
    <w:rsid w:val="00973490"/>
    <w:rsid w:val="00973A97"/>
    <w:rsid w:val="00973ACA"/>
    <w:rsid w:val="00973C79"/>
    <w:rsid w:val="00973CE9"/>
    <w:rsid w:val="00974890"/>
    <w:rsid w:val="00974B7A"/>
    <w:rsid w:val="00975053"/>
    <w:rsid w:val="0097544E"/>
    <w:rsid w:val="009757F7"/>
    <w:rsid w:val="00976744"/>
    <w:rsid w:val="00976F0E"/>
    <w:rsid w:val="00976F70"/>
    <w:rsid w:val="00977487"/>
    <w:rsid w:val="00977528"/>
    <w:rsid w:val="0097752A"/>
    <w:rsid w:val="0097768E"/>
    <w:rsid w:val="00977FA0"/>
    <w:rsid w:val="00980748"/>
    <w:rsid w:val="0098160E"/>
    <w:rsid w:val="00981688"/>
    <w:rsid w:val="00981798"/>
    <w:rsid w:val="00981880"/>
    <w:rsid w:val="00981B12"/>
    <w:rsid w:val="00981F44"/>
    <w:rsid w:val="00981F72"/>
    <w:rsid w:val="0098203D"/>
    <w:rsid w:val="00982122"/>
    <w:rsid w:val="00982879"/>
    <w:rsid w:val="009829A5"/>
    <w:rsid w:val="00982F87"/>
    <w:rsid w:val="009830B0"/>
    <w:rsid w:val="00983D8D"/>
    <w:rsid w:val="00984A0C"/>
    <w:rsid w:val="00984C72"/>
    <w:rsid w:val="009850E1"/>
    <w:rsid w:val="009852CE"/>
    <w:rsid w:val="009860F2"/>
    <w:rsid w:val="0098650E"/>
    <w:rsid w:val="0098659B"/>
    <w:rsid w:val="009868B9"/>
    <w:rsid w:val="00986B20"/>
    <w:rsid w:val="00986B8D"/>
    <w:rsid w:val="00986E01"/>
    <w:rsid w:val="009871E9"/>
    <w:rsid w:val="009873C8"/>
    <w:rsid w:val="00987A32"/>
    <w:rsid w:val="00987EE0"/>
    <w:rsid w:val="009901CC"/>
    <w:rsid w:val="0099039D"/>
    <w:rsid w:val="00990AD1"/>
    <w:rsid w:val="00990D93"/>
    <w:rsid w:val="00990DBD"/>
    <w:rsid w:val="00990EAA"/>
    <w:rsid w:val="00990FC1"/>
    <w:rsid w:val="00991386"/>
    <w:rsid w:val="00992120"/>
    <w:rsid w:val="00992227"/>
    <w:rsid w:val="009924B2"/>
    <w:rsid w:val="0099278F"/>
    <w:rsid w:val="009928A5"/>
    <w:rsid w:val="009932CD"/>
    <w:rsid w:val="009933B0"/>
    <w:rsid w:val="00993715"/>
    <w:rsid w:val="009937EF"/>
    <w:rsid w:val="00993AF3"/>
    <w:rsid w:val="009943F7"/>
    <w:rsid w:val="009945AE"/>
    <w:rsid w:val="009947A6"/>
    <w:rsid w:val="00994930"/>
    <w:rsid w:val="00994957"/>
    <w:rsid w:val="00994A12"/>
    <w:rsid w:val="009950C6"/>
    <w:rsid w:val="00995570"/>
    <w:rsid w:val="0099576F"/>
    <w:rsid w:val="00995A7E"/>
    <w:rsid w:val="00996190"/>
    <w:rsid w:val="00996552"/>
    <w:rsid w:val="00996782"/>
    <w:rsid w:val="009967A4"/>
    <w:rsid w:val="00996DCC"/>
    <w:rsid w:val="00997840"/>
    <w:rsid w:val="00997A19"/>
    <w:rsid w:val="00997DB3"/>
    <w:rsid w:val="009A046C"/>
    <w:rsid w:val="009A0754"/>
    <w:rsid w:val="009A0A86"/>
    <w:rsid w:val="009A0B3D"/>
    <w:rsid w:val="009A1170"/>
    <w:rsid w:val="009A11F0"/>
    <w:rsid w:val="009A14BC"/>
    <w:rsid w:val="009A1B7F"/>
    <w:rsid w:val="009A2672"/>
    <w:rsid w:val="009A2B61"/>
    <w:rsid w:val="009A3380"/>
    <w:rsid w:val="009A3744"/>
    <w:rsid w:val="009A450E"/>
    <w:rsid w:val="009A48DB"/>
    <w:rsid w:val="009A4FA3"/>
    <w:rsid w:val="009A50F0"/>
    <w:rsid w:val="009A539B"/>
    <w:rsid w:val="009A5590"/>
    <w:rsid w:val="009A609B"/>
    <w:rsid w:val="009A66C7"/>
    <w:rsid w:val="009A6B12"/>
    <w:rsid w:val="009A6B19"/>
    <w:rsid w:val="009A6E00"/>
    <w:rsid w:val="009A70A9"/>
    <w:rsid w:val="009A7130"/>
    <w:rsid w:val="009A7C87"/>
    <w:rsid w:val="009A7DE0"/>
    <w:rsid w:val="009B0905"/>
    <w:rsid w:val="009B0E6F"/>
    <w:rsid w:val="009B1588"/>
    <w:rsid w:val="009B160C"/>
    <w:rsid w:val="009B1611"/>
    <w:rsid w:val="009B1B30"/>
    <w:rsid w:val="009B1FEB"/>
    <w:rsid w:val="009B2623"/>
    <w:rsid w:val="009B2776"/>
    <w:rsid w:val="009B3035"/>
    <w:rsid w:val="009B3DD9"/>
    <w:rsid w:val="009B4048"/>
    <w:rsid w:val="009B40BC"/>
    <w:rsid w:val="009B4368"/>
    <w:rsid w:val="009B461B"/>
    <w:rsid w:val="009B4A9F"/>
    <w:rsid w:val="009B4B87"/>
    <w:rsid w:val="009B4BD2"/>
    <w:rsid w:val="009B5828"/>
    <w:rsid w:val="009B5D13"/>
    <w:rsid w:val="009B5DF9"/>
    <w:rsid w:val="009B606E"/>
    <w:rsid w:val="009B62DD"/>
    <w:rsid w:val="009B63E5"/>
    <w:rsid w:val="009B667F"/>
    <w:rsid w:val="009B673C"/>
    <w:rsid w:val="009B6B4F"/>
    <w:rsid w:val="009B6C29"/>
    <w:rsid w:val="009B6ED7"/>
    <w:rsid w:val="009B7289"/>
    <w:rsid w:val="009B7949"/>
    <w:rsid w:val="009C019F"/>
    <w:rsid w:val="009C083E"/>
    <w:rsid w:val="009C0ACB"/>
    <w:rsid w:val="009C0FBD"/>
    <w:rsid w:val="009C10CC"/>
    <w:rsid w:val="009C129D"/>
    <w:rsid w:val="009C1DAB"/>
    <w:rsid w:val="009C2221"/>
    <w:rsid w:val="009C3D4B"/>
    <w:rsid w:val="009C3EE9"/>
    <w:rsid w:val="009C4061"/>
    <w:rsid w:val="009C430F"/>
    <w:rsid w:val="009C45C4"/>
    <w:rsid w:val="009C5373"/>
    <w:rsid w:val="009C568B"/>
    <w:rsid w:val="009C5BD5"/>
    <w:rsid w:val="009C5ED6"/>
    <w:rsid w:val="009C5F11"/>
    <w:rsid w:val="009C627B"/>
    <w:rsid w:val="009C63BE"/>
    <w:rsid w:val="009C6441"/>
    <w:rsid w:val="009C68C6"/>
    <w:rsid w:val="009C6AC8"/>
    <w:rsid w:val="009C6BB3"/>
    <w:rsid w:val="009C707D"/>
    <w:rsid w:val="009C70E6"/>
    <w:rsid w:val="009C70EA"/>
    <w:rsid w:val="009C78CD"/>
    <w:rsid w:val="009C7A7E"/>
    <w:rsid w:val="009D00D3"/>
    <w:rsid w:val="009D0361"/>
    <w:rsid w:val="009D04F5"/>
    <w:rsid w:val="009D05B6"/>
    <w:rsid w:val="009D0B9B"/>
    <w:rsid w:val="009D1231"/>
    <w:rsid w:val="009D1642"/>
    <w:rsid w:val="009D170A"/>
    <w:rsid w:val="009D17D5"/>
    <w:rsid w:val="009D191C"/>
    <w:rsid w:val="009D1B2B"/>
    <w:rsid w:val="009D2311"/>
    <w:rsid w:val="009D29B2"/>
    <w:rsid w:val="009D29F8"/>
    <w:rsid w:val="009D2C59"/>
    <w:rsid w:val="009D2C7B"/>
    <w:rsid w:val="009D2D69"/>
    <w:rsid w:val="009D32EC"/>
    <w:rsid w:val="009D32F7"/>
    <w:rsid w:val="009D3911"/>
    <w:rsid w:val="009D397C"/>
    <w:rsid w:val="009D3B45"/>
    <w:rsid w:val="009D4613"/>
    <w:rsid w:val="009D46D4"/>
    <w:rsid w:val="009D4DA5"/>
    <w:rsid w:val="009D4E65"/>
    <w:rsid w:val="009D4EB5"/>
    <w:rsid w:val="009D5014"/>
    <w:rsid w:val="009D5142"/>
    <w:rsid w:val="009D516C"/>
    <w:rsid w:val="009D568E"/>
    <w:rsid w:val="009D5A13"/>
    <w:rsid w:val="009D62CF"/>
    <w:rsid w:val="009D647B"/>
    <w:rsid w:val="009D6484"/>
    <w:rsid w:val="009D696B"/>
    <w:rsid w:val="009D7350"/>
    <w:rsid w:val="009D78AD"/>
    <w:rsid w:val="009D7B0E"/>
    <w:rsid w:val="009E0287"/>
    <w:rsid w:val="009E02F3"/>
    <w:rsid w:val="009E0661"/>
    <w:rsid w:val="009E0B4B"/>
    <w:rsid w:val="009E15A4"/>
    <w:rsid w:val="009E1D1A"/>
    <w:rsid w:val="009E1E3B"/>
    <w:rsid w:val="009E21E5"/>
    <w:rsid w:val="009E2279"/>
    <w:rsid w:val="009E2DCA"/>
    <w:rsid w:val="009E32AA"/>
    <w:rsid w:val="009E363D"/>
    <w:rsid w:val="009E37ED"/>
    <w:rsid w:val="009E3A58"/>
    <w:rsid w:val="009E3C1A"/>
    <w:rsid w:val="009E404D"/>
    <w:rsid w:val="009E458A"/>
    <w:rsid w:val="009E4AF6"/>
    <w:rsid w:val="009E4BA4"/>
    <w:rsid w:val="009E50F3"/>
    <w:rsid w:val="009E5228"/>
    <w:rsid w:val="009E559B"/>
    <w:rsid w:val="009E56DF"/>
    <w:rsid w:val="009E57BB"/>
    <w:rsid w:val="009E588E"/>
    <w:rsid w:val="009E5D3C"/>
    <w:rsid w:val="009E5D60"/>
    <w:rsid w:val="009E5D89"/>
    <w:rsid w:val="009E5F74"/>
    <w:rsid w:val="009E61F1"/>
    <w:rsid w:val="009E67C5"/>
    <w:rsid w:val="009E691C"/>
    <w:rsid w:val="009E6A1F"/>
    <w:rsid w:val="009E6CC6"/>
    <w:rsid w:val="009E7796"/>
    <w:rsid w:val="009E7ACF"/>
    <w:rsid w:val="009E7BE8"/>
    <w:rsid w:val="009F0262"/>
    <w:rsid w:val="009F057F"/>
    <w:rsid w:val="009F07CC"/>
    <w:rsid w:val="009F0AC1"/>
    <w:rsid w:val="009F0B51"/>
    <w:rsid w:val="009F0BA7"/>
    <w:rsid w:val="009F0D6D"/>
    <w:rsid w:val="009F0D95"/>
    <w:rsid w:val="009F0FE1"/>
    <w:rsid w:val="009F1035"/>
    <w:rsid w:val="009F13C1"/>
    <w:rsid w:val="009F14A8"/>
    <w:rsid w:val="009F1862"/>
    <w:rsid w:val="009F19F3"/>
    <w:rsid w:val="009F1F18"/>
    <w:rsid w:val="009F25AA"/>
    <w:rsid w:val="009F2BB2"/>
    <w:rsid w:val="009F2CA7"/>
    <w:rsid w:val="009F34F7"/>
    <w:rsid w:val="009F3685"/>
    <w:rsid w:val="009F3741"/>
    <w:rsid w:val="009F39E3"/>
    <w:rsid w:val="009F3B9E"/>
    <w:rsid w:val="009F43BC"/>
    <w:rsid w:val="009F4580"/>
    <w:rsid w:val="009F45F9"/>
    <w:rsid w:val="009F47F0"/>
    <w:rsid w:val="009F555F"/>
    <w:rsid w:val="009F588D"/>
    <w:rsid w:val="009F5B10"/>
    <w:rsid w:val="009F620A"/>
    <w:rsid w:val="009F639C"/>
    <w:rsid w:val="009F63B0"/>
    <w:rsid w:val="009F672C"/>
    <w:rsid w:val="009F6ADD"/>
    <w:rsid w:val="009F7068"/>
    <w:rsid w:val="009F7120"/>
    <w:rsid w:val="009F7139"/>
    <w:rsid w:val="009F75B3"/>
    <w:rsid w:val="009F77C2"/>
    <w:rsid w:val="009F7D35"/>
    <w:rsid w:val="009F7ECB"/>
    <w:rsid w:val="009F7FC0"/>
    <w:rsid w:val="00A000CB"/>
    <w:rsid w:val="00A000DC"/>
    <w:rsid w:val="00A0077C"/>
    <w:rsid w:val="00A008F8"/>
    <w:rsid w:val="00A0092A"/>
    <w:rsid w:val="00A00A2A"/>
    <w:rsid w:val="00A00E4E"/>
    <w:rsid w:val="00A00F83"/>
    <w:rsid w:val="00A0122D"/>
    <w:rsid w:val="00A0122F"/>
    <w:rsid w:val="00A016D9"/>
    <w:rsid w:val="00A024F3"/>
    <w:rsid w:val="00A0273F"/>
    <w:rsid w:val="00A028E3"/>
    <w:rsid w:val="00A02D94"/>
    <w:rsid w:val="00A02EA4"/>
    <w:rsid w:val="00A038E8"/>
    <w:rsid w:val="00A03DDF"/>
    <w:rsid w:val="00A03F18"/>
    <w:rsid w:val="00A04079"/>
    <w:rsid w:val="00A04226"/>
    <w:rsid w:val="00A0425A"/>
    <w:rsid w:val="00A042B8"/>
    <w:rsid w:val="00A04389"/>
    <w:rsid w:val="00A04901"/>
    <w:rsid w:val="00A04BBB"/>
    <w:rsid w:val="00A052F3"/>
    <w:rsid w:val="00A06220"/>
    <w:rsid w:val="00A06770"/>
    <w:rsid w:val="00A06AC8"/>
    <w:rsid w:val="00A06DA2"/>
    <w:rsid w:val="00A07126"/>
    <w:rsid w:val="00A07464"/>
    <w:rsid w:val="00A109EE"/>
    <w:rsid w:val="00A1163D"/>
    <w:rsid w:val="00A12171"/>
    <w:rsid w:val="00A124D3"/>
    <w:rsid w:val="00A12652"/>
    <w:rsid w:val="00A12D51"/>
    <w:rsid w:val="00A13109"/>
    <w:rsid w:val="00A131CD"/>
    <w:rsid w:val="00A13985"/>
    <w:rsid w:val="00A13D88"/>
    <w:rsid w:val="00A14078"/>
    <w:rsid w:val="00A1438A"/>
    <w:rsid w:val="00A15313"/>
    <w:rsid w:val="00A1554C"/>
    <w:rsid w:val="00A156B9"/>
    <w:rsid w:val="00A15913"/>
    <w:rsid w:val="00A15969"/>
    <w:rsid w:val="00A164AA"/>
    <w:rsid w:val="00A16DD2"/>
    <w:rsid w:val="00A16E15"/>
    <w:rsid w:val="00A16F52"/>
    <w:rsid w:val="00A173EB"/>
    <w:rsid w:val="00A17405"/>
    <w:rsid w:val="00A1753F"/>
    <w:rsid w:val="00A17564"/>
    <w:rsid w:val="00A178D7"/>
    <w:rsid w:val="00A17DF3"/>
    <w:rsid w:val="00A202B6"/>
    <w:rsid w:val="00A2077E"/>
    <w:rsid w:val="00A2089B"/>
    <w:rsid w:val="00A21110"/>
    <w:rsid w:val="00A212B3"/>
    <w:rsid w:val="00A215C2"/>
    <w:rsid w:val="00A219AF"/>
    <w:rsid w:val="00A21EA0"/>
    <w:rsid w:val="00A2209D"/>
    <w:rsid w:val="00A22861"/>
    <w:rsid w:val="00A228B0"/>
    <w:rsid w:val="00A22B80"/>
    <w:rsid w:val="00A22C9E"/>
    <w:rsid w:val="00A22D03"/>
    <w:rsid w:val="00A22D84"/>
    <w:rsid w:val="00A23161"/>
    <w:rsid w:val="00A2370D"/>
    <w:rsid w:val="00A2403D"/>
    <w:rsid w:val="00A2411C"/>
    <w:rsid w:val="00A24529"/>
    <w:rsid w:val="00A24741"/>
    <w:rsid w:val="00A24836"/>
    <w:rsid w:val="00A24929"/>
    <w:rsid w:val="00A24ED3"/>
    <w:rsid w:val="00A258A8"/>
    <w:rsid w:val="00A25AA2"/>
    <w:rsid w:val="00A25CA0"/>
    <w:rsid w:val="00A25D73"/>
    <w:rsid w:val="00A25F2A"/>
    <w:rsid w:val="00A25F76"/>
    <w:rsid w:val="00A2646C"/>
    <w:rsid w:val="00A26725"/>
    <w:rsid w:val="00A26C77"/>
    <w:rsid w:val="00A26DA0"/>
    <w:rsid w:val="00A26E72"/>
    <w:rsid w:val="00A271CC"/>
    <w:rsid w:val="00A276A9"/>
    <w:rsid w:val="00A27744"/>
    <w:rsid w:val="00A2775A"/>
    <w:rsid w:val="00A27F81"/>
    <w:rsid w:val="00A300EA"/>
    <w:rsid w:val="00A30B80"/>
    <w:rsid w:val="00A30BCF"/>
    <w:rsid w:val="00A30C82"/>
    <w:rsid w:val="00A30F06"/>
    <w:rsid w:val="00A31197"/>
    <w:rsid w:val="00A31A89"/>
    <w:rsid w:val="00A31D38"/>
    <w:rsid w:val="00A32930"/>
    <w:rsid w:val="00A32AD0"/>
    <w:rsid w:val="00A32AD6"/>
    <w:rsid w:val="00A33187"/>
    <w:rsid w:val="00A33B42"/>
    <w:rsid w:val="00A33FD8"/>
    <w:rsid w:val="00A34097"/>
    <w:rsid w:val="00A3465E"/>
    <w:rsid w:val="00A346CB"/>
    <w:rsid w:val="00A349CE"/>
    <w:rsid w:val="00A34BD6"/>
    <w:rsid w:val="00A34CB6"/>
    <w:rsid w:val="00A34D6C"/>
    <w:rsid w:val="00A34F4F"/>
    <w:rsid w:val="00A3514C"/>
    <w:rsid w:val="00A35F98"/>
    <w:rsid w:val="00A36043"/>
    <w:rsid w:val="00A36139"/>
    <w:rsid w:val="00A36FEB"/>
    <w:rsid w:val="00A3755B"/>
    <w:rsid w:val="00A40052"/>
    <w:rsid w:val="00A40428"/>
    <w:rsid w:val="00A405CC"/>
    <w:rsid w:val="00A405D6"/>
    <w:rsid w:val="00A409E8"/>
    <w:rsid w:val="00A40CFC"/>
    <w:rsid w:val="00A412B9"/>
    <w:rsid w:val="00A41DD7"/>
    <w:rsid w:val="00A427D1"/>
    <w:rsid w:val="00A4299D"/>
    <w:rsid w:val="00A42F31"/>
    <w:rsid w:val="00A437AE"/>
    <w:rsid w:val="00A43BBA"/>
    <w:rsid w:val="00A43F9E"/>
    <w:rsid w:val="00A43FC5"/>
    <w:rsid w:val="00A44549"/>
    <w:rsid w:val="00A45150"/>
    <w:rsid w:val="00A45264"/>
    <w:rsid w:val="00A4589F"/>
    <w:rsid w:val="00A45AB1"/>
    <w:rsid w:val="00A45AB7"/>
    <w:rsid w:val="00A45E42"/>
    <w:rsid w:val="00A45F43"/>
    <w:rsid w:val="00A46040"/>
    <w:rsid w:val="00A4607F"/>
    <w:rsid w:val="00A4612E"/>
    <w:rsid w:val="00A467B1"/>
    <w:rsid w:val="00A469B1"/>
    <w:rsid w:val="00A477F7"/>
    <w:rsid w:val="00A501AF"/>
    <w:rsid w:val="00A50C87"/>
    <w:rsid w:val="00A512FB"/>
    <w:rsid w:val="00A51799"/>
    <w:rsid w:val="00A51813"/>
    <w:rsid w:val="00A51A86"/>
    <w:rsid w:val="00A51A9F"/>
    <w:rsid w:val="00A51B08"/>
    <w:rsid w:val="00A51FAA"/>
    <w:rsid w:val="00A52175"/>
    <w:rsid w:val="00A52A1F"/>
    <w:rsid w:val="00A5359E"/>
    <w:rsid w:val="00A536A7"/>
    <w:rsid w:val="00A539FD"/>
    <w:rsid w:val="00A53B11"/>
    <w:rsid w:val="00A53CB8"/>
    <w:rsid w:val="00A53F45"/>
    <w:rsid w:val="00A53F97"/>
    <w:rsid w:val="00A54285"/>
    <w:rsid w:val="00A542B8"/>
    <w:rsid w:val="00A546F0"/>
    <w:rsid w:val="00A54CE2"/>
    <w:rsid w:val="00A54E58"/>
    <w:rsid w:val="00A55E4D"/>
    <w:rsid w:val="00A562C2"/>
    <w:rsid w:val="00A563E3"/>
    <w:rsid w:val="00A56523"/>
    <w:rsid w:val="00A56947"/>
    <w:rsid w:val="00A56D78"/>
    <w:rsid w:val="00A5793D"/>
    <w:rsid w:val="00A57D32"/>
    <w:rsid w:val="00A60066"/>
    <w:rsid w:val="00A6090F"/>
    <w:rsid w:val="00A60B48"/>
    <w:rsid w:val="00A60F73"/>
    <w:rsid w:val="00A60FCE"/>
    <w:rsid w:val="00A615D7"/>
    <w:rsid w:val="00A61710"/>
    <w:rsid w:val="00A61A4B"/>
    <w:rsid w:val="00A61B7F"/>
    <w:rsid w:val="00A6207A"/>
    <w:rsid w:val="00A62453"/>
    <w:rsid w:val="00A626B1"/>
    <w:rsid w:val="00A6287B"/>
    <w:rsid w:val="00A628E3"/>
    <w:rsid w:val="00A6378E"/>
    <w:rsid w:val="00A63B2B"/>
    <w:rsid w:val="00A644C6"/>
    <w:rsid w:val="00A648D4"/>
    <w:rsid w:val="00A6495E"/>
    <w:rsid w:val="00A64989"/>
    <w:rsid w:val="00A64ACF"/>
    <w:rsid w:val="00A64E36"/>
    <w:rsid w:val="00A64EF1"/>
    <w:rsid w:val="00A64FD7"/>
    <w:rsid w:val="00A65B24"/>
    <w:rsid w:val="00A65F8B"/>
    <w:rsid w:val="00A661C0"/>
    <w:rsid w:val="00A662EF"/>
    <w:rsid w:val="00A668D4"/>
    <w:rsid w:val="00A6695B"/>
    <w:rsid w:val="00A66BE0"/>
    <w:rsid w:val="00A66D80"/>
    <w:rsid w:val="00A66E5F"/>
    <w:rsid w:val="00A6763D"/>
    <w:rsid w:val="00A67D9C"/>
    <w:rsid w:val="00A67E53"/>
    <w:rsid w:val="00A70108"/>
    <w:rsid w:val="00A702C2"/>
    <w:rsid w:val="00A70903"/>
    <w:rsid w:val="00A70A56"/>
    <w:rsid w:val="00A70DF5"/>
    <w:rsid w:val="00A71019"/>
    <w:rsid w:val="00A71130"/>
    <w:rsid w:val="00A711B8"/>
    <w:rsid w:val="00A712E4"/>
    <w:rsid w:val="00A714D3"/>
    <w:rsid w:val="00A7195B"/>
    <w:rsid w:val="00A71D05"/>
    <w:rsid w:val="00A71FA1"/>
    <w:rsid w:val="00A72127"/>
    <w:rsid w:val="00A72520"/>
    <w:rsid w:val="00A72726"/>
    <w:rsid w:val="00A72D06"/>
    <w:rsid w:val="00A72D3F"/>
    <w:rsid w:val="00A72D51"/>
    <w:rsid w:val="00A73153"/>
    <w:rsid w:val="00A735DB"/>
    <w:rsid w:val="00A73703"/>
    <w:rsid w:val="00A7379B"/>
    <w:rsid w:val="00A739B8"/>
    <w:rsid w:val="00A73C69"/>
    <w:rsid w:val="00A73E44"/>
    <w:rsid w:val="00A7413E"/>
    <w:rsid w:val="00A744BE"/>
    <w:rsid w:val="00A7450D"/>
    <w:rsid w:val="00A747F6"/>
    <w:rsid w:val="00A74EED"/>
    <w:rsid w:val="00A74F70"/>
    <w:rsid w:val="00A75470"/>
    <w:rsid w:val="00A75733"/>
    <w:rsid w:val="00A757D8"/>
    <w:rsid w:val="00A758AF"/>
    <w:rsid w:val="00A75A70"/>
    <w:rsid w:val="00A7636F"/>
    <w:rsid w:val="00A76835"/>
    <w:rsid w:val="00A76923"/>
    <w:rsid w:val="00A76926"/>
    <w:rsid w:val="00A76E0C"/>
    <w:rsid w:val="00A76E7D"/>
    <w:rsid w:val="00A7708C"/>
    <w:rsid w:val="00A7720A"/>
    <w:rsid w:val="00A775FE"/>
    <w:rsid w:val="00A777E2"/>
    <w:rsid w:val="00A778D6"/>
    <w:rsid w:val="00A7790B"/>
    <w:rsid w:val="00A7791A"/>
    <w:rsid w:val="00A807F2"/>
    <w:rsid w:val="00A81079"/>
    <w:rsid w:val="00A81751"/>
    <w:rsid w:val="00A81A09"/>
    <w:rsid w:val="00A81BD6"/>
    <w:rsid w:val="00A81D30"/>
    <w:rsid w:val="00A8244F"/>
    <w:rsid w:val="00A82F0E"/>
    <w:rsid w:val="00A83472"/>
    <w:rsid w:val="00A83A03"/>
    <w:rsid w:val="00A84244"/>
    <w:rsid w:val="00A84251"/>
    <w:rsid w:val="00A845E7"/>
    <w:rsid w:val="00A84728"/>
    <w:rsid w:val="00A847A0"/>
    <w:rsid w:val="00A849DF"/>
    <w:rsid w:val="00A84BBB"/>
    <w:rsid w:val="00A85453"/>
    <w:rsid w:val="00A85714"/>
    <w:rsid w:val="00A85927"/>
    <w:rsid w:val="00A859E3"/>
    <w:rsid w:val="00A85AF8"/>
    <w:rsid w:val="00A85D47"/>
    <w:rsid w:val="00A86529"/>
    <w:rsid w:val="00A8682E"/>
    <w:rsid w:val="00A869AD"/>
    <w:rsid w:val="00A86D2D"/>
    <w:rsid w:val="00A86FEE"/>
    <w:rsid w:val="00A877E1"/>
    <w:rsid w:val="00A87D93"/>
    <w:rsid w:val="00A87EA5"/>
    <w:rsid w:val="00A87FA7"/>
    <w:rsid w:val="00A90262"/>
    <w:rsid w:val="00A90308"/>
    <w:rsid w:val="00A90A01"/>
    <w:rsid w:val="00A90EC4"/>
    <w:rsid w:val="00A9113A"/>
    <w:rsid w:val="00A91572"/>
    <w:rsid w:val="00A91680"/>
    <w:rsid w:val="00A91AD6"/>
    <w:rsid w:val="00A91AD8"/>
    <w:rsid w:val="00A92071"/>
    <w:rsid w:val="00A92158"/>
    <w:rsid w:val="00A92D5F"/>
    <w:rsid w:val="00A931B7"/>
    <w:rsid w:val="00A935E8"/>
    <w:rsid w:val="00A93BE4"/>
    <w:rsid w:val="00A93D3F"/>
    <w:rsid w:val="00A94319"/>
    <w:rsid w:val="00A943F9"/>
    <w:rsid w:val="00A9441B"/>
    <w:rsid w:val="00A94ACC"/>
    <w:rsid w:val="00A94C56"/>
    <w:rsid w:val="00A94C94"/>
    <w:rsid w:val="00A94DFC"/>
    <w:rsid w:val="00A951C4"/>
    <w:rsid w:val="00A95533"/>
    <w:rsid w:val="00A9596C"/>
    <w:rsid w:val="00A95FB6"/>
    <w:rsid w:val="00A95FDD"/>
    <w:rsid w:val="00A965E0"/>
    <w:rsid w:val="00A966A3"/>
    <w:rsid w:val="00A96BC3"/>
    <w:rsid w:val="00A97143"/>
    <w:rsid w:val="00A973F9"/>
    <w:rsid w:val="00A97BB8"/>
    <w:rsid w:val="00AA05EA"/>
    <w:rsid w:val="00AA05F2"/>
    <w:rsid w:val="00AA0779"/>
    <w:rsid w:val="00AA0797"/>
    <w:rsid w:val="00AA0B9A"/>
    <w:rsid w:val="00AA0D5D"/>
    <w:rsid w:val="00AA0F2E"/>
    <w:rsid w:val="00AA1833"/>
    <w:rsid w:val="00AA19C4"/>
    <w:rsid w:val="00AA1B0A"/>
    <w:rsid w:val="00AA1B8A"/>
    <w:rsid w:val="00AA22DB"/>
    <w:rsid w:val="00AA2407"/>
    <w:rsid w:val="00AA2863"/>
    <w:rsid w:val="00AA2C8D"/>
    <w:rsid w:val="00AA2CA5"/>
    <w:rsid w:val="00AA3147"/>
    <w:rsid w:val="00AA3274"/>
    <w:rsid w:val="00AA32D0"/>
    <w:rsid w:val="00AA3808"/>
    <w:rsid w:val="00AA39AA"/>
    <w:rsid w:val="00AA3AC0"/>
    <w:rsid w:val="00AA3B86"/>
    <w:rsid w:val="00AA3FEF"/>
    <w:rsid w:val="00AA4181"/>
    <w:rsid w:val="00AA466F"/>
    <w:rsid w:val="00AA4CF4"/>
    <w:rsid w:val="00AA4D72"/>
    <w:rsid w:val="00AA51F7"/>
    <w:rsid w:val="00AA54C0"/>
    <w:rsid w:val="00AA584D"/>
    <w:rsid w:val="00AA5B64"/>
    <w:rsid w:val="00AA5DE0"/>
    <w:rsid w:val="00AA6677"/>
    <w:rsid w:val="00AA696D"/>
    <w:rsid w:val="00AA6BBE"/>
    <w:rsid w:val="00AA6F30"/>
    <w:rsid w:val="00AA716B"/>
    <w:rsid w:val="00AA71AC"/>
    <w:rsid w:val="00AA7516"/>
    <w:rsid w:val="00AA75C8"/>
    <w:rsid w:val="00AA7619"/>
    <w:rsid w:val="00AA76A1"/>
    <w:rsid w:val="00AA7922"/>
    <w:rsid w:val="00AA7D07"/>
    <w:rsid w:val="00AB08C7"/>
    <w:rsid w:val="00AB1554"/>
    <w:rsid w:val="00AB1A4D"/>
    <w:rsid w:val="00AB1BD6"/>
    <w:rsid w:val="00AB2212"/>
    <w:rsid w:val="00AB2247"/>
    <w:rsid w:val="00AB2BA5"/>
    <w:rsid w:val="00AB2F8E"/>
    <w:rsid w:val="00AB30E3"/>
    <w:rsid w:val="00AB31CA"/>
    <w:rsid w:val="00AB33F6"/>
    <w:rsid w:val="00AB39BC"/>
    <w:rsid w:val="00AB3E71"/>
    <w:rsid w:val="00AB3E89"/>
    <w:rsid w:val="00AB3F88"/>
    <w:rsid w:val="00AB41B9"/>
    <w:rsid w:val="00AB5236"/>
    <w:rsid w:val="00AB550A"/>
    <w:rsid w:val="00AB58A3"/>
    <w:rsid w:val="00AB58C5"/>
    <w:rsid w:val="00AB5B17"/>
    <w:rsid w:val="00AB5E33"/>
    <w:rsid w:val="00AB5E8E"/>
    <w:rsid w:val="00AB6484"/>
    <w:rsid w:val="00AB66E9"/>
    <w:rsid w:val="00AB6BE3"/>
    <w:rsid w:val="00AB7397"/>
    <w:rsid w:val="00AB76DB"/>
    <w:rsid w:val="00AB77C3"/>
    <w:rsid w:val="00AC0395"/>
    <w:rsid w:val="00AC07A2"/>
    <w:rsid w:val="00AC0B65"/>
    <w:rsid w:val="00AC0CE6"/>
    <w:rsid w:val="00AC146C"/>
    <w:rsid w:val="00AC156E"/>
    <w:rsid w:val="00AC1C71"/>
    <w:rsid w:val="00AC1E3E"/>
    <w:rsid w:val="00AC265A"/>
    <w:rsid w:val="00AC279C"/>
    <w:rsid w:val="00AC2EFE"/>
    <w:rsid w:val="00AC3653"/>
    <w:rsid w:val="00AC3938"/>
    <w:rsid w:val="00AC3C42"/>
    <w:rsid w:val="00AC4408"/>
    <w:rsid w:val="00AC4433"/>
    <w:rsid w:val="00AC4657"/>
    <w:rsid w:val="00AC46F8"/>
    <w:rsid w:val="00AC493B"/>
    <w:rsid w:val="00AC4D53"/>
    <w:rsid w:val="00AC4FE3"/>
    <w:rsid w:val="00AC5B25"/>
    <w:rsid w:val="00AC5CD6"/>
    <w:rsid w:val="00AC5DAA"/>
    <w:rsid w:val="00AC61F8"/>
    <w:rsid w:val="00AC622D"/>
    <w:rsid w:val="00AC6297"/>
    <w:rsid w:val="00AC6443"/>
    <w:rsid w:val="00AC661B"/>
    <w:rsid w:val="00AC68D7"/>
    <w:rsid w:val="00AC696B"/>
    <w:rsid w:val="00AC69BE"/>
    <w:rsid w:val="00AC6FAD"/>
    <w:rsid w:val="00AC72C1"/>
    <w:rsid w:val="00AC7707"/>
    <w:rsid w:val="00AC77D9"/>
    <w:rsid w:val="00AC77E1"/>
    <w:rsid w:val="00AD0102"/>
    <w:rsid w:val="00AD06F8"/>
    <w:rsid w:val="00AD08CC"/>
    <w:rsid w:val="00AD0B38"/>
    <w:rsid w:val="00AD0B53"/>
    <w:rsid w:val="00AD0E80"/>
    <w:rsid w:val="00AD181A"/>
    <w:rsid w:val="00AD198E"/>
    <w:rsid w:val="00AD2F0D"/>
    <w:rsid w:val="00AD31F9"/>
    <w:rsid w:val="00AD34A2"/>
    <w:rsid w:val="00AD34E0"/>
    <w:rsid w:val="00AD37BF"/>
    <w:rsid w:val="00AD3B8D"/>
    <w:rsid w:val="00AD3C29"/>
    <w:rsid w:val="00AD4006"/>
    <w:rsid w:val="00AD46E5"/>
    <w:rsid w:val="00AD479F"/>
    <w:rsid w:val="00AD4B60"/>
    <w:rsid w:val="00AD4C43"/>
    <w:rsid w:val="00AD50DD"/>
    <w:rsid w:val="00AD51BD"/>
    <w:rsid w:val="00AD5358"/>
    <w:rsid w:val="00AD538B"/>
    <w:rsid w:val="00AD54BB"/>
    <w:rsid w:val="00AD58C4"/>
    <w:rsid w:val="00AD5A11"/>
    <w:rsid w:val="00AD5F02"/>
    <w:rsid w:val="00AD6162"/>
    <w:rsid w:val="00AD68D0"/>
    <w:rsid w:val="00AD7045"/>
    <w:rsid w:val="00AD731A"/>
    <w:rsid w:val="00AD7AB5"/>
    <w:rsid w:val="00AD7B33"/>
    <w:rsid w:val="00AD7B66"/>
    <w:rsid w:val="00AD7D7B"/>
    <w:rsid w:val="00AD7E8F"/>
    <w:rsid w:val="00AE005C"/>
    <w:rsid w:val="00AE0169"/>
    <w:rsid w:val="00AE07D2"/>
    <w:rsid w:val="00AE094B"/>
    <w:rsid w:val="00AE119B"/>
    <w:rsid w:val="00AE177D"/>
    <w:rsid w:val="00AE1A91"/>
    <w:rsid w:val="00AE1AFB"/>
    <w:rsid w:val="00AE1CAB"/>
    <w:rsid w:val="00AE2103"/>
    <w:rsid w:val="00AE283B"/>
    <w:rsid w:val="00AE2BB3"/>
    <w:rsid w:val="00AE2D33"/>
    <w:rsid w:val="00AE3330"/>
    <w:rsid w:val="00AE3347"/>
    <w:rsid w:val="00AE383F"/>
    <w:rsid w:val="00AE3E17"/>
    <w:rsid w:val="00AE3FBB"/>
    <w:rsid w:val="00AE400B"/>
    <w:rsid w:val="00AE402E"/>
    <w:rsid w:val="00AE430E"/>
    <w:rsid w:val="00AE4436"/>
    <w:rsid w:val="00AE463A"/>
    <w:rsid w:val="00AE4D10"/>
    <w:rsid w:val="00AE4F33"/>
    <w:rsid w:val="00AE540D"/>
    <w:rsid w:val="00AE5542"/>
    <w:rsid w:val="00AE5D3C"/>
    <w:rsid w:val="00AE5D9E"/>
    <w:rsid w:val="00AE5E38"/>
    <w:rsid w:val="00AE6580"/>
    <w:rsid w:val="00AE6D5B"/>
    <w:rsid w:val="00AE6D91"/>
    <w:rsid w:val="00AE7015"/>
    <w:rsid w:val="00AE71D4"/>
    <w:rsid w:val="00AE724E"/>
    <w:rsid w:val="00AE7543"/>
    <w:rsid w:val="00AE7792"/>
    <w:rsid w:val="00AF156E"/>
    <w:rsid w:val="00AF1A40"/>
    <w:rsid w:val="00AF240D"/>
    <w:rsid w:val="00AF2903"/>
    <w:rsid w:val="00AF2AA0"/>
    <w:rsid w:val="00AF3071"/>
    <w:rsid w:val="00AF3297"/>
    <w:rsid w:val="00AF3532"/>
    <w:rsid w:val="00AF37B7"/>
    <w:rsid w:val="00AF3C47"/>
    <w:rsid w:val="00AF4173"/>
    <w:rsid w:val="00AF440D"/>
    <w:rsid w:val="00AF4C40"/>
    <w:rsid w:val="00AF5228"/>
    <w:rsid w:val="00AF54F0"/>
    <w:rsid w:val="00AF552A"/>
    <w:rsid w:val="00AF5548"/>
    <w:rsid w:val="00AF58AF"/>
    <w:rsid w:val="00AF5C56"/>
    <w:rsid w:val="00AF6129"/>
    <w:rsid w:val="00AF6976"/>
    <w:rsid w:val="00AF6AB1"/>
    <w:rsid w:val="00AF6BAA"/>
    <w:rsid w:val="00AF7B17"/>
    <w:rsid w:val="00AF7EFF"/>
    <w:rsid w:val="00B002DB"/>
    <w:rsid w:val="00B006A3"/>
    <w:rsid w:val="00B00CC8"/>
    <w:rsid w:val="00B00F59"/>
    <w:rsid w:val="00B01493"/>
    <w:rsid w:val="00B01919"/>
    <w:rsid w:val="00B01C54"/>
    <w:rsid w:val="00B02005"/>
    <w:rsid w:val="00B02C93"/>
    <w:rsid w:val="00B03140"/>
    <w:rsid w:val="00B03186"/>
    <w:rsid w:val="00B03925"/>
    <w:rsid w:val="00B0419D"/>
    <w:rsid w:val="00B049B7"/>
    <w:rsid w:val="00B04A04"/>
    <w:rsid w:val="00B05036"/>
    <w:rsid w:val="00B05287"/>
    <w:rsid w:val="00B05862"/>
    <w:rsid w:val="00B05D0D"/>
    <w:rsid w:val="00B06975"/>
    <w:rsid w:val="00B06AFC"/>
    <w:rsid w:val="00B06B7A"/>
    <w:rsid w:val="00B06C6C"/>
    <w:rsid w:val="00B076EC"/>
    <w:rsid w:val="00B07806"/>
    <w:rsid w:val="00B07C93"/>
    <w:rsid w:val="00B07E35"/>
    <w:rsid w:val="00B105AD"/>
    <w:rsid w:val="00B10AA5"/>
    <w:rsid w:val="00B10DE0"/>
    <w:rsid w:val="00B11329"/>
    <w:rsid w:val="00B11619"/>
    <w:rsid w:val="00B11A19"/>
    <w:rsid w:val="00B11A5B"/>
    <w:rsid w:val="00B12594"/>
    <w:rsid w:val="00B1259C"/>
    <w:rsid w:val="00B12BFB"/>
    <w:rsid w:val="00B12D06"/>
    <w:rsid w:val="00B13684"/>
    <w:rsid w:val="00B137AB"/>
    <w:rsid w:val="00B14041"/>
    <w:rsid w:val="00B14081"/>
    <w:rsid w:val="00B14363"/>
    <w:rsid w:val="00B1475C"/>
    <w:rsid w:val="00B149FC"/>
    <w:rsid w:val="00B15036"/>
    <w:rsid w:val="00B15816"/>
    <w:rsid w:val="00B16146"/>
    <w:rsid w:val="00B16562"/>
    <w:rsid w:val="00B16A30"/>
    <w:rsid w:val="00B17362"/>
    <w:rsid w:val="00B1739A"/>
    <w:rsid w:val="00B1757E"/>
    <w:rsid w:val="00B177D5"/>
    <w:rsid w:val="00B17DCF"/>
    <w:rsid w:val="00B20228"/>
    <w:rsid w:val="00B20253"/>
    <w:rsid w:val="00B20567"/>
    <w:rsid w:val="00B2088E"/>
    <w:rsid w:val="00B20AF2"/>
    <w:rsid w:val="00B20E24"/>
    <w:rsid w:val="00B20ED7"/>
    <w:rsid w:val="00B21248"/>
    <w:rsid w:val="00B216B7"/>
    <w:rsid w:val="00B21BC3"/>
    <w:rsid w:val="00B21E90"/>
    <w:rsid w:val="00B223D8"/>
    <w:rsid w:val="00B22415"/>
    <w:rsid w:val="00B224E0"/>
    <w:rsid w:val="00B22816"/>
    <w:rsid w:val="00B228F2"/>
    <w:rsid w:val="00B22CC5"/>
    <w:rsid w:val="00B22E48"/>
    <w:rsid w:val="00B22FCA"/>
    <w:rsid w:val="00B23472"/>
    <w:rsid w:val="00B23721"/>
    <w:rsid w:val="00B23C8D"/>
    <w:rsid w:val="00B23F99"/>
    <w:rsid w:val="00B24535"/>
    <w:rsid w:val="00B24A04"/>
    <w:rsid w:val="00B25272"/>
    <w:rsid w:val="00B2557C"/>
    <w:rsid w:val="00B2583D"/>
    <w:rsid w:val="00B258D7"/>
    <w:rsid w:val="00B25937"/>
    <w:rsid w:val="00B261A6"/>
    <w:rsid w:val="00B26215"/>
    <w:rsid w:val="00B267B0"/>
    <w:rsid w:val="00B26A6A"/>
    <w:rsid w:val="00B26F34"/>
    <w:rsid w:val="00B27149"/>
    <w:rsid w:val="00B277FA"/>
    <w:rsid w:val="00B278AE"/>
    <w:rsid w:val="00B27FD5"/>
    <w:rsid w:val="00B30909"/>
    <w:rsid w:val="00B30B29"/>
    <w:rsid w:val="00B30E86"/>
    <w:rsid w:val="00B30F4F"/>
    <w:rsid w:val="00B3172B"/>
    <w:rsid w:val="00B31ADB"/>
    <w:rsid w:val="00B32867"/>
    <w:rsid w:val="00B32961"/>
    <w:rsid w:val="00B335D0"/>
    <w:rsid w:val="00B34228"/>
    <w:rsid w:val="00B34E1A"/>
    <w:rsid w:val="00B35562"/>
    <w:rsid w:val="00B355F2"/>
    <w:rsid w:val="00B35980"/>
    <w:rsid w:val="00B35A06"/>
    <w:rsid w:val="00B35D42"/>
    <w:rsid w:val="00B35DD5"/>
    <w:rsid w:val="00B366B7"/>
    <w:rsid w:val="00B36A7F"/>
    <w:rsid w:val="00B36CCA"/>
    <w:rsid w:val="00B3728F"/>
    <w:rsid w:val="00B37A1F"/>
    <w:rsid w:val="00B37A3D"/>
    <w:rsid w:val="00B40075"/>
    <w:rsid w:val="00B40319"/>
    <w:rsid w:val="00B40A60"/>
    <w:rsid w:val="00B40EE6"/>
    <w:rsid w:val="00B40F1E"/>
    <w:rsid w:val="00B41689"/>
    <w:rsid w:val="00B41A84"/>
    <w:rsid w:val="00B41C0E"/>
    <w:rsid w:val="00B4218A"/>
    <w:rsid w:val="00B424F8"/>
    <w:rsid w:val="00B42D22"/>
    <w:rsid w:val="00B42E05"/>
    <w:rsid w:val="00B43272"/>
    <w:rsid w:val="00B43288"/>
    <w:rsid w:val="00B432E0"/>
    <w:rsid w:val="00B4340B"/>
    <w:rsid w:val="00B43600"/>
    <w:rsid w:val="00B4360B"/>
    <w:rsid w:val="00B4394D"/>
    <w:rsid w:val="00B43B0D"/>
    <w:rsid w:val="00B43D00"/>
    <w:rsid w:val="00B4423B"/>
    <w:rsid w:val="00B442F5"/>
    <w:rsid w:val="00B442F6"/>
    <w:rsid w:val="00B444DE"/>
    <w:rsid w:val="00B44C64"/>
    <w:rsid w:val="00B44D94"/>
    <w:rsid w:val="00B45AA5"/>
    <w:rsid w:val="00B45FDC"/>
    <w:rsid w:val="00B460E6"/>
    <w:rsid w:val="00B4643F"/>
    <w:rsid w:val="00B4667A"/>
    <w:rsid w:val="00B4686B"/>
    <w:rsid w:val="00B47927"/>
    <w:rsid w:val="00B50888"/>
    <w:rsid w:val="00B50EA6"/>
    <w:rsid w:val="00B510F7"/>
    <w:rsid w:val="00B511B2"/>
    <w:rsid w:val="00B51BB6"/>
    <w:rsid w:val="00B51CD7"/>
    <w:rsid w:val="00B5217E"/>
    <w:rsid w:val="00B523CA"/>
    <w:rsid w:val="00B5294B"/>
    <w:rsid w:val="00B52EAA"/>
    <w:rsid w:val="00B5326F"/>
    <w:rsid w:val="00B538EC"/>
    <w:rsid w:val="00B53B74"/>
    <w:rsid w:val="00B53E29"/>
    <w:rsid w:val="00B54B74"/>
    <w:rsid w:val="00B54B81"/>
    <w:rsid w:val="00B55AD2"/>
    <w:rsid w:val="00B55FFC"/>
    <w:rsid w:val="00B561AD"/>
    <w:rsid w:val="00B564BF"/>
    <w:rsid w:val="00B56843"/>
    <w:rsid w:val="00B5707D"/>
    <w:rsid w:val="00B57500"/>
    <w:rsid w:val="00B5751E"/>
    <w:rsid w:val="00B575A5"/>
    <w:rsid w:val="00B600C6"/>
    <w:rsid w:val="00B6014E"/>
    <w:rsid w:val="00B60846"/>
    <w:rsid w:val="00B60B03"/>
    <w:rsid w:val="00B61008"/>
    <w:rsid w:val="00B61065"/>
    <w:rsid w:val="00B6119E"/>
    <w:rsid w:val="00B61334"/>
    <w:rsid w:val="00B62200"/>
    <w:rsid w:val="00B62352"/>
    <w:rsid w:val="00B624DE"/>
    <w:rsid w:val="00B629AA"/>
    <w:rsid w:val="00B629B6"/>
    <w:rsid w:val="00B63065"/>
    <w:rsid w:val="00B6331C"/>
    <w:rsid w:val="00B635B0"/>
    <w:rsid w:val="00B63BED"/>
    <w:rsid w:val="00B64872"/>
    <w:rsid w:val="00B64A2C"/>
    <w:rsid w:val="00B64ADB"/>
    <w:rsid w:val="00B64C13"/>
    <w:rsid w:val="00B64C4D"/>
    <w:rsid w:val="00B64CE1"/>
    <w:rsid w:val="00B64E7A"/>
    <w:rsid w:val="00B6550B"/>
    <w:rsid w:val="00B65DA3"/>
    <w:rsid w:val="00B66434"/>
    <w:rsid w:val="00B6654F"/>
    <w:rsid w:val="00B66973"/>
    <w:rsid w:val="00B66B01"/>
    <w:rsid w:val="00B66D73"/>
    <w:rsid w:val="00B67229"/>
    <w:rsid w:val="00B67526"/>
    <w:rsid w:val="00B676D7"/>
    <w:rsid w:val="00B678E6"/>
    <w:rsid w:val="00B679BF"/>
    <w:rsid w:val="00B679EA"/>
    <w:rsid w:val="00B67C2C"/>
    <w:rsid w:val="00B67D59"/>
    <w:rsid w:val="00B700C8"/>
    <w:rsid w:val="00B7058D"/>
    <w:rsid w:val="00B70768"/>
    <w:rsid w:val="00B70C45"/>
    <w:rsid w:val="00B70D5E"/>
    <w:rsid w:val="00B710A3"/>
    <w:rsid w:val="00B7178A"/>
    <w:rsid w:val="00B717E4"/>
    <w:rsid w:val="00B720B8"/>
    <w:rsid w:val="00B72FDB"/>
    <w:rsid w:val="00B730E2"/>
    <w:rsid w:val="00B73386"/>
    <w:rsid w:val="00B736C3"/>
    <w:rsid w:val="00B73BAB"/>
    <w:rsid w:val="00B744D4"/>
    <w:rsid w:val="00B74E42"/>
    <w:rsid w:val="00B75223"/>
    <w:rsid w:val="00B75662"/>
    <w:rsid w:val="00B757CF"/>
    <w:rsid w:val="00B75FD2"/>
    <w:rsid w:val="00B7623D"/>
    <w:rsid w:val="00B76408"/>
    <w:rsid w:val="00B7656C"/>
    <w:rsid w:val="00B766EC"/>
    <w:rsid w:val="00B76726"/>
    <w:rsid w:val="00B76884"/>
    <w:rsid w:val="00B76AEE"/>
    <w:rsid w:val="00B76C68"/>
    <w:rsid w:val="00B7779B"/>
    <w:rsid w:val="00B77B32"/>
    <w:rsid w:val="00B77CF6"/>
    <w:rsid w:val="00B77EF1"/>
    <w:rsid w:val="00B800B1"/>
    <w:rsid w:val="00B801EE"/>
    <w:rsid w:val="00B803CE"/>
    <w:rsid w:val="00B8057E"/>
    <w:rsid w:val="00B80A96"/>
    <w:rsid w:val="00B8189A"/>
    <w:rsid w:val="00B81CC0"/>
    <w:rsid w:val="00B81F1D"/>
    <w:rsid w:val="00B81FE9"/>
    <w:rsid w:val="00B82217"/>
    <w:rsid w:val="00B82546"/>
    <w:rsid w:val="00B82DA0"/>
    <w:rsid w:val="00B82E04"/>
    <w:rsid w:val="00B834F0"/>
    <w:rsid w:val="00B8371E"/>
    <w:rsid w:val="00B83A34"/>
    <w:rsid w:val="00B83ADC"/>
    <w:rsid w:val="00B83B4A"/>
    <w:rsid w:val="00B83D14"/>
    <w:rsid w:val="00B83FD6"/>
    <w:rsid w:val="00B84984"/>
    <w:rsid w:val="00B84DCD"/>
    <w:rsid w:val="00B853C4"/>
    <w:rsid w:val="00B8562F"/>
    <w:rsid w:val="00B857BB"/>
    <w:rsid w:val="00B858EA"/>
    <w:rsid w:val="00B8621F"/>
    <w:rsid w:val="00B865A9"/>
    <w:rsid w:val="00B86FC3"/>
    <w:rsid w:val="00B87149"/>
    <w:rsid w:val="00B87C6C"/>
    <w:rsid w:val="00B87DD1"/>
    <w:rsid w:val="00B87E5D"/>
    <w:rsid w:val="00B8FF34"/>
    <w:rsid w:val="00B90007"/>
    <w:rsid w:val="00B90118"/>
    <w:rsid w:val="00B9046C"/>
    <w:rsid w:val="00B90636"/>
    <w:rsid w:val="00B90660"/>
    <w:rsid w:val="00B90728"/>
    <w:rsid w:val="00B90A10"/>
    <w:rsid w:val="00B90A38"/>
    <w:rsid w:val="00B90EE6"/>
    <w:rsid w:val="00B90F8A"/>
    <w:rsid w:val="00B91D83"/>
    <w:rsid w:val="00B91DAD"/>
    <w:rsid w:val="00B922E6"/>
    <w:rsid w:val="00B926E9"/>
    <w:rsid w:val="00B931E0"/>
    <w:rsid w:val="00B932CB"/>
    <w:rsid w:val="00B9354F"/>
    <w:rsid w:val="00B9367F"/>
    <w:rsid w:val="00B93709"/>
    <w:rsid w:val="00B939B1"/>
    <w:rsid w:val="00B93A7A"/>
    <w:rsid w:val="00B93B20"/>
    <w:rsid w:val="00B93C82"/>
    <w:rsid w:val="00B944F5"/>
    <w:rsid w:val="00B944F8"/>
    <w:rsid w:val="00B9468E"/>
    <w:rsid w:val="00B95222"/>
    <w:rsid w:val="00B9565F"/>
    <w:rsid w:val="00B961C9"/>
    <w:rsid w:val="00B97110"/>
    <w:rsid w:val="00B973D1"/>
    <w:rsid w:val="00B97A0A"/>
    <w:rsid w:val="00B97B91"/>
    <w:rsid w:val="00B97C39"/>
    <w:rsid w:val="00BA02A1"/>
    <w:rsid w:val="00BA03A5"/>
    <w:rsid w:val="00BA03CE"/>
    <w:rsid w:val="00BA1435"/>
    <w:rsid w:val="00BA1487"/>
    <w:rsid w:val="00BA17C8"/>
    <w:rsid w:val="00BA1A61"/>
    <w:rsid w:val="00BA203F"/>
    <w:rsid w:val="00BA249D"/>
    <w:rsid w:val="00BA2557"/>
    <w:rsid w:val="00BA2FBD"/>
    <w:rsid w:val="00BA3048"/>
    <w:rsid w:val="00BA31CB"/>
    <w:rsid w:val="00BA35D3"/>
    <w:rsid w:val="00BA3652"/>
    <w:rsid w:val="00BA3973"/>
    <w:rsid w:val="00BA414A"/>
    <w:rsid w:val="00BA4362"/>
    <w:rsid w:val="00BA4844"/>
    <w:rsid w:val="00BA48B4"/>
    <w:rsid w:val="00BA4905"/>
    <w:rsid w:val="00BA4F98"/>
    <w:rsid w:val="00BA5181"/>
    <w:rsid w:val="00BA568F"/>
    <w:rsid w:val="00BA5915"/>
    <w:rsid w:val="00BA5D85"/>
    <w:rsid w:val="00BA5E34"/>
    <w:rsid w:val="00BA61AA"/>
    <w:rsid w:val="00BA62C4"/>
    <w:rsid w:val="00BA6564"/>
    <w:rsid w:val="00BA658A"/>
    <w:rsid w:val="00BA6E46"/>
    <w:rsid w:val="00BA729B"/>
    <w:rsid w:val="00BA7367"/>
    <w:rsid w:val="00BA764E"/>
    <w:rsid w:val="00BA7F35"/>
    <w:rsid w:val="00BB03E5"/>
    <w:rsid w:val="00BB0659"/>
    <w:rsid w:val="00BB0C17"/>
    <w:rsid w:val="00BB0FE2"/>
    <w:rsid w:val="00BB1875"/>
    <w:rsid w:val="00BB19AB"/>
    <w:rsid w:val="00BB1A2D"/>
    <w:rsid w:val="00BB1E87"/>
    <w:rsid w:val="00BB2033"/>
    <w:rsid w:val="00BB2295"/>
    <w:rsid w:val="00BB2379"/>
    <w:rsid w:val="00BB23AE"/>
    <w:rsid w:val="00BB2447"/>
    <w:rsid w:val="00BB26F3"/>
    <w:rsid w:val="00BB28B3"/>
    <w:rsid w:val="00BB2BA2"/>
    <w:rsid w:val="00BB3CE0"/>
    <w:rsid w:val="00BB3DCA"/>
    <w:rsid w:val="00BB40E4"/>
    <w:rsid w:val="00BB42FF"/>
    <w:rsid w:val="00BB46DA"/>
    <w:rsid w:val="00BB4D14"/>
    <w:rsid w:val="00BB54CF"/>
    <w:rsid w:val="00BB5707"/>
    <w:rsid w:val="00BB57DC"/>
    <w:rsid w:val="00BB583A"/>
    <w:rsid w:val="00BB5933"/>
    <w:rsid w:val="00BB6889"/>
    <w:rsid w:val="00BB68AA"/>
    <w:rsid w:val="00BB6E78"/>
    <w:rsid w:val="00BB6FE0"/>
    <w:rsid w:val="00BB72AF"/>
    <w:rsid w:val="00BB75F9"/>
    <w:rsid w:val="00BB769D"/>
    <w:rsid w:val="00BB7886"/>
    <w:rsid w:val="00BB7E90"/>
    <w:rsid w:val="00BC0077"/>
    <w:rsid w:val="00BC06C1"/>
    <w:rsid w:val="00BC0901"/>
    <w:rsid w:val="00BC1136"/>
    <w:rsid w:val="00BC1B1E"/>
    <w:rsid w:val="00BC1CEE"/>
    <w:rsid w:val="00BC1FF6"/>
    <w:rsid w:val="00BC20A6"/>
    <w:rsid w:val="00BC24A7"/>
    <w:rsid w:val="00BC2564"/>
    <w:rsid w:val="00BC27F7"/>
    <w:rsid w:val="00BC2849"/>
    <w:rsid w:val="00BC327F"/>
    <w:rsid w:val="00BC33EF"/>
    <w:rsid w:val="00BC37F5"/>
    <w:rsid w:val="00BC3B83"/>
    <w:rsid w:val="00BC3E45"/>
    <w:rsid w:val="00BC4982"/>
    <w:rsid w:val="00BC571B"/>
    <w:rsid w:val="00BC6704"/>
    <w:rsid w:val="00BC6765"/>
    <w:rsid w:val="00BC6AB9"/>
    <w:rsid w:val="00BC7167"/>
    <w:rsid w:val="00BC7223"/>
    <w:rsid w:val="00BC76C3"/>
    <w:rsid w:val="00BC7BC8"/>
    <w:rsid w:val="00BC7E14"/>
    <w:rsid w:val="00BD0074"/>
    <w:rsid w:val="00BD0135"/>
    <w:rsid w:val="00BD02E7"/>
    <w:rsid w:val="00BD06DB"/>
    <w:rsid w:val="00BD0AFE"/>
    <w:rsid w:val="00BD0BB9"/>
    <w:rsid w:val="00BD0BEB"/>
    <w:rsid w:val="00BD0ED6"/>
    <w:rsid w:val="00BD11B1"/>
    <w:rsid w:val="00BD16B2"/>
    <w:rsid w:val="00BD1748"/>
    <w:rsid w:val="00BD1AA2"/>
    <w:rsid w:val="00BD1B02"/>
    <w:rsid w:val="00BD1FD2"/>
    <w:rsid w:val="00BD20E3"/>
    <w:rsid w:val="00BD234E"/>
    <w:rsid w:val="00BD2AB0"/>
    <w:rsid w:val="00BD2D5A"/>
    <w:rsid w:val="00BD2DF7"/>
    <w:rsid w:val="00BD2F51"/>
    <w:rsid w:val="00BD3446"/>
    <w:rsid w:val="00BD3500"/>
    <w:rsid w:val="00BD37C2"/>
    <w:rsid w:val="00BD3AD5"/>
    <w:rsid w:val="00BD3CD4"/>
    <w:rsid w:val="00BD416D"/>
    <w:rsid w:val="00BD45B3"/>
    <w:rsid w:val="00BD4C15"/>
    <w:rsid w:val="00BD4E1F"/>
    <w:rsid w:val="00BD4F88"/>
    <w:rsid w:val="00BD5690"/>
    <w:rsid w:val="00BD5825"/>
    <w:rsid w:val="00BD5857"/>
    <w:rsid w:val="00BD5AC3"/>
    <w:rsid w:val="00BD5E0F"/>
    <w:rsid w:val="00BD603F"/>
    <w:rsid w:val="00BD611D"/>
    <w:rsid w:val="00BD6220"/>
    <w:rsid w:val="00BD642C"/>
    <w:rsid w:val="00BD6535"/>
    <w:rsid w:val="00BD6A8C"/>
    <w:rsid w:val="00BD708C"/>
    <w:rsid w:val="00BD7580"/>
    <w:rsid w:val="00BD7637"/>
    <w:rsid w:val="00BD76E9"/>
    <w:rsid w:val="00BD7792"/>
    <w:rsid w:val="00BE05F3"/>
    <w:rsid w:val="00BE0B07"/>
    <w:rsid w:val="00BE0BDF"/>
    <w:rsid w:val="00BE0D5B"/>
    <w:rsid w:val="00BE0E8B"/>
    <w:rsid w:val="00BE16AD"/>
    <w:rsid w:val="00BE198E"/>
    <w:rsid w:val="00BE1B94"/>
    <w:rsid w:val="00BE1ED4"/>
    <w:rsid w:val="00BE2931"/>
    <w:rsid w:val="00BE2E72"/>
    <w:rsid w:val="00BE33E8"/>
    <w:rsid w:val="00BE3492"/>
    <w:rsid w:val="00BE359C"/>
    <w:rsid w:val="00BE3875"/>
    <w:rsid w:val="00BE38E9"/>
    <w:rsid w:val="00BE3C9C"/>
    <w:rsid w:val="00BE3F9D"/>
    <w:rsid w:val="00BE4DA3"/>
    <w:rsid w:val="00BE542D"/>
    <w:rsid w:val="00BE58F7"/>
    <w:rsid w:val="00BE5B21"/>
    <w:rsid w:val="00BE604C"/>
    <w:rsid w:val="00BE6074"/>
    <w:rsid w:val="00BE608C"/>
    <w:rsid w:val="00BE6194"/>
    <w:rsid w:val="00BE68DC"/>
    <w:rsid w:val="00BE6D1C"/>
    <w:rsid w:val="00BE6E9C"/>
    <w:rsid w:val="00BE6F4D"/>
    <w:rsid w:val="00BE7170"/>
    <w:rsid w:val="00BE7628"/>
    <w:rsid w:val="00BE7905"/>
    <w:rsid w:val="00BE7979"/>
    <w:rsid w:val="00BF0568"/>
    <w:rsid w:val="00BF0661"/>
    <w:rsid w:val="00BF0743"/>
    <w:rsid w:val="00BF078F"/>
    <w:rsid w:val="00BF118C"/>
    <w:rsid w:val="00BF1538"/>
    <w:rsid w:val="00BF17D3"/>
    <w:rsid w:val="00BF1847"/>
    <w:rsid w:val="00BF1A26"/>
    <w:rsid w:val="00BF1BCF"/>
    <w:rsid w:val="00BF2011"/>
    <w:rsid w:val="00BF21BF"/>
    <w:rsid w:val="00BF2354"/>
    <w:rsid w:val="00BF25FC"/>
    <w:rsid w:val="00BF2E88"/>
    <w:rsid w:val="00BF3400"/>
    <w:rsid w:val="00BF3480"/>
    <w:rsid w:val="00BF3B49"/>
    <w:rsid w:val="00BF3CCE"/>
    <w:rsid w:val="00BF430E"/>
    <w:rsid w:val="00BF448C"/>
    <w:rsid w:val="00BF44BD"/>
    <w:rsid w:val="00BF4986"/>
    <w:rsid w:val="00BF4C2E"/>
    <w:rsid w:val="00BF506D"/>
    <w:rsid w:val="00BF551D"/>
    <w:rsid w:val="00BF5677"/>
    <w:rsid w:val="00BF5DE4"/>
    <w:rsid w:val="00BF5E22"/>
    <w:rsid w:val="00BF5F5E"/>
    <w:rsid w:val="00BF62ED"/>
    <w:rsid w:val="00BF6599"/>
    <w:rsid w:val="00BF6B77"/>
    <w:rsid w:val="00BF6D00"/>
    <w:rsid w:val="00BF6F0E"/>
    <w:rsid w:val="00BF74D1"/>
    <w:rsid w:val="00BF7A83"/>
    <w:rsid w:val="00BF7CFD"/>
    <w:rsid w:val="00C00141"/>
    <w:rsid w:val="00C001D8"/>
    <w:rsid w:val="00C00785"/>
    <w:rsid w:val="00C00EC8"/>
    <w:rsid w:val="00C010A9"/>
    <w:rsid w:val="00C0151F"/>
    <w:rsid w:val="00C01A86"/>
    <w:rsid w:val="00C01C82"/>
    <w:rsid w:val="00C025D2"/>
    <w:rsid w:val="00C02A91"/>
    <w:rsid w:val="00C02B0B"/>
    <w:rsid w:val="00C031D4"/>
    <w:rsid w:val="00C03565"/>
    <w:rsid w:val="00C03B14"/>
    <w:rsid w:val="00C03F2F"/>
    <w:rsid w:val="00C04031"/>
    <w:rsid w:val="00C05182"/>
    <w:rsid w:val="00C05660"/>
    <w:rsid w:val="00C05E97"/>
    <w:rsid w:val="00C05F3B"/>
    <w:rsid w:val="00C0603A"/>
    <w:rsid w:val="00C06050"/>
    <w:rsid w:val="00C0623C"/>
    <w:rsid w:val="00C0659B"/>
    <w:rsid w:val="00C06FAD"/>
    <w:rsid w:val="00C07BDE"/>
    <w:rsid w:val="00C07CBE"/>
    <w:rsid w:val="00C10A6C"/>
    <w:rsid w:val="00C110B1"/>
    <w:rsid w:val="00C111D7"/>
    <w:rsid w:val="00C11536"/>
    <w:rsid w:val="00C1173F"/>
    <w:rsid w:val="00C1193B"/>
    <w:rsid w:val="00C11BEF"/>
    <w:rsid w:val="00C11DE4"/>
    <w:rsid w:val="00C11E90"/>
    <w:rsid w:val="00C122A0"/>
    <w:rsid w:val="00C12E18"/>
    <w:rsid w:val="00C12F64"/>
    <w:rsid w:val="00C13229"/>
    <w:rsid w:val="00C13855"/>
    <w:rsid w:val="00C1396B"/>
    <w:rsid w:val="00C13ACC"/>
    <w:rsid w:val="00C13BCE"/>
    <w:rsid w:val="00C14EAB"/>
    <w:rsid w:val="00C156B6"/>
    <w:rsid w:val="00C16F1E"/>
    <w:rsid w:val="00C17144"/>
    <w:rsid w:val="00C17439"/>
    <w:rsid w:val="00C178FC"/>
    <w:rsid w:val="00C17A16"/>
    <w:rsid w:val="00C17A30"/>
    <w:rsid w:val="00C17C42"/>
    <w:rsid w:val="00C20186"/>
    <w:rsid w:val="00C20782"/>
    <w:rsid w:val="00C21348"/>
    <w:rsid w:val="00C21859"/>
    <w:rsid w:val="00C21F7A"/>
    <w:rsid w:val="00C22074"/>
    <w:rsid w:val="00C22F54"/>
    <w:rsid w:val="00C23066"/>
    <w:rsid w:val="00C2348E"/>
    <w:rsid w:val="00C23AB4"/>
    <w:rsid w:val="00C23C9C"/>
    <w:rsid w:val="00C23D35"/>
    <w:rsid w:val="00C240A3"/>
    <w:rsid w:val="00C2430C"/>
    <w:rsid w:val="00C247B0"/>
    <w:rsid w:val="00C24E38"/>
    <w:rsid w:val="00C25362"/>
    <w:rsid w:val="00C254EC"/>
    <w:rsid w:val="00C25574"/>
    <w:rsid w:val="00C25583"/>
    <w:rsid w:val="00C259FF"/>
    <w:rsid w:val="00C264BD"/>
    <w:rsid w:val="00C26ADC"/>
    <w:rsid w:val="00C26B93"/>
    <w:rsid w:val="00C27199"/>
    <w:rsid w:val="00C301D8"/>
    <w:rsid w:val="00C302FA"/>
    <w:rsid w:val="00C30785"/>
    <w:rsid w:val="00C30816"/>
    <w:rsid w:val="00C30844"/>
    <w:rsid w:val="00C30E16"/>
    <w:rsid w:val="00C314BF"/>
    <w:rsid w:val="00C3173C"/>
    <w:rsid w:val="00C31C0D"/>
    <w:rsid w:val="00C31EEC"/>
    <w:rsid w:val="00C32218"/>
    <w:rsid w:val="00C323FD"/>
    <w:rsid w:val="00C324C1"/>
    <w:rsid w:val="00C32701"/>
    <w:rsid w:val="00C32D39"/>
    <w:rsid w:val="00C32EC4"/>
    <w:rsid w:val="00C330DF"/>
    <w:rsid w:val="00C334F2"/>
    <w:rsid w:val="00C33553"/>
    <w:rsid w:val="00C33732"/>
    <w:rsid w:val="00C338DC"/>
    <w:rsid w:val="00C33A77"/>
    <w:rsid w:val="00C34003"/>
    <w:rsid w:val="00C34673"/>
    <w:rsid w:val="00C34A9E"/>
    <w:rsid w:val="00C34D5F"/>
    <w:rsid w:val="00C3506B"/>
    <w:rsid w:val="00C350CB"/>
    <w:rsid w:val="00C35195"/>
    <w:rsid w:val="00C35337"/>
    <w:rsid w:val="00C35372"/>
    <w:rsid w:val="00C3588F"/>
    <w:rsid w:val="00C3589F"/>
    <w:rsid w:val="00C35D18"/>
    <w:rsid w:val="00C361EE"/>
    <w:rsid w:val="00C36534"/>
    <w:rsid w:val="00C365AA"/>
    <w:rsid w:val="00C3662C"/>
    <w:rsid w:val="00C36B62"/>
    <w:rsid w:val="00C36FA7"/>
    <w:rsid w:val="00C37033"/>
    <w:rsid w:val="00C3732F"/>
    <w:rsid w:val="00C376A8"/>
    <w:rsid w:val="00C377BE"/>
    <w:rsid w:val="00C4014A"/>
    <w:rsid w:val="00C40643"/>
    <w:rsid w:val="00C40BE7"/>
    <w:rsid w:val="00C40DE8"/>
    <w:rsid w:val="00C41012"/>
    <w:rsid w:val="00C413F0"/>
    <w:rsid w:val="00C41538"/>
    <w:rsid w:val="00C41726"/>
    <w:rsid w:val="00C4178D"/>
    <w:rsid w:val="00C41A94"/>
    <w:rsid w:val="00C41E52"/>
    <w:rsid w:val="00C41E99"/>
    <w:rsid w:val="00C420A2"/>
    <w:rsid w:val="00C424BD"/>
    <w:rsid w:val="00C42B00"/>
    <w:rsid w:val="00C42CA9"/>
    <w:rsid w:val="00C42DF4"/>
    <w:rsid w:val="00C42ECE"/>
    <w:rsid w:val="00C4348A"/>
    <w:rsid w:val="00C43A9E"/>
    <w:rsid w:val="00C43AA6"/>
    <w:rsid w:val="00C43BA0"/>
    <w:rsid w:val="00C43BDD"/>
    <w:rsid w:val="00C43F1C"/>
    <w:rsid w:val="00C44456"/>
    <w:rsid w:val="00C444B8"/>
    <w:rsid w:val="00C445AF"/>
    <w:rsid w:val="00C445EA"/>
    <w:rsid w:val="00C44C1C"/>
    <w:rsid w:val="00C44C56"/>
    <w:rsid w:val="00C44D25"/>
    <w:rsid w:val="00C4562B"/>
    <w:rsid w:val="00C45881"/>
    <w:rsid w:val="00C458AC"/>
    <w:rsid w:val="00C45C2B"/>
    <w:rsid w:val="00C461F1"/>
    <w:rsid w:val="00C4629D"/>
    <w:rsid w:val="00C46465"/>
    <w:rsid w:val="00C472C2"/>
    <w:rsid w:val="00C47672"/>
    <w:rsid w:val="00C477A7"/>
    <w:rsid w:val="00C47B43"/>
    <w:rsid w:val="00C47B74"/>
    <w:rsid w:val="00C47BE2"/>
    <w:rsid w:val="00C50025"/>
    <w:rsid w:val="00C500AC"/>
    <w:rsid w:val="00C5032C"/>
    <w:rsid w:val="00C5079F"/>
    <w:rsid w:val="00C50952"/>
    <w:rsid w:val="00C50A63"/>
    <w:rsid w:val="00C50B96"/>
    <w:rsid w:val="00C50DD5"/>
    <w:rsid w:val="00C50E8A"/>
    <w:rsid w:val="00C51238"/>
    <w:rsid w:val="00C5127A"/>
    <w:rsid w:val="00C514DB"/>
    <w:rsid w:val="00C51742"/>
    <w:rsid w:val="00C519D7"/>
    <w:rsid w:val="00C51AF1"/>
    <w:rsid w:val="00C51DD5"/>
    <w:rsid w:val="00C520D8"/>
    <w:rsid w:val="00C523C8"/>
    <w:rsid w:val="00C525AD"/>
    <w:rsid w:val="00C52777"/>
    <w:rsid w:val="00C52D74"/>
    <w:rsid w:val="00C53253"/>
    <w:rsid w:val="00C53336"/>
    <w:rsid w:val="00C5342E"/>
    <w:rsid w:val="00C5369D"/>
    <w:rsid w:val="00C53997"/>
    <w:rsid w:val="00C53C4C"/>
    <w:rsid w:val="00C5423A"/>
    <w:rsid w:val="00C5439E"/>
    <w:rsid w:val="00C54894"/>
    <w:rsid w:val="00C54A30"/>
    <w:rsid w:val="00C5515C"/>
    <w:rsid w:val="00C5576F"/>
    <w:rsid w:val="00C55871"/>
    <w:rsid w:val="00C56176"/>
    <w:rsid w:val="00C561BA"/>
    <w:rsid w:val="00C5623F"/>
    <w:rsid w:val="00C568E5"/>
    <w:rsid w:val="00C571F4"/>
    <w:rsid w:val="00C574CE"/>
    <w:rsid w:val="00C57B86"/>
    <w:rsid w:val="00C600E5"/>
    <w:rsid w:val="00C60197"/>
    <w:rsid w:val="00C606E7"/>
    <w:rsid w:val="00C60AC5"/>
    <w:rsid w:val="00C60B91"/>
    <w:rsid w:val="00C61011"/>
    <w:rsid w:val="00C6140F"/>
    <w:rsid w:val="00C61CDF"/>
    <w:rsid w:val="00C61DB8"/>
    <w:rsid w:val="00C61FB9"/>
    <w:rsid w:val="00C620D2"/>
    <w:rsid w:val="00C623C1"/>
    <w:rsid w:val="00C62C74"/>
    <w:rsid w:val="00C62C9D"/>
    <w:rsid w:val="00C630B8"/>
    <w:rsid w:val="00C6344D"/>
    <w:rsid w:val="00C63570"/>
    <w:rsid w:val="00C6386B"/>
    <w:rsid w:val="00C63871"/>
    <w:rsid w:val="00C639A1"/>
    <w:rsid w:val="00C639F4"/>
    <w:rsid w:val="00C63C5D"/>
    <w:rsid w:val="00C63E1D"/>
    <w:rsid w:val="00C63E79"/>
    <w:rsid w:val="00C64143"/>
    <w:rsid w:val="00C645B9"/>
    <w:rsid w:val="00C64AA6"/>
    <w:rsid w:val="00C64C72"/>
    <w:rsid w:val="00C64E07"/>
    <w:rsid w:val="00C64FDA"/>
    <w:rsid w:val="00C657A1"/>
    <w:rsid w:val="00C658D7"/>
    <w:rsid w:val="00C65A1A"/>
    <w:rsid w:val="00C65B0B"/>
    <w:rsid w:val="00C6603E"/>
    <w:rsid w:val="00C66301"/>
    <w:rsid w:val="00C667E1"/>
    <w:rsid w:val="00C66BD3"/>
    <w:rsid w:val="00C673A7"/>
    <w:rsid w:val="00C6740E"/>
    <w:rsid w:val="00C67C14"/>
    <w:rsid w:val="00C67C9A"/>
    <w:rsid w:val="00C70076"/>
    <w:rsid w:val="00C70293"/>
    <w:rsid w:val="00C703C3"/>
    <w:rsid w:val="00C71076"/>
    <w:rsid w:val="00C7109D"/>
    <w:rsid w:val="00C71116"/>
    <w:rsid w:val="00C719B4"/>
    <w:rsid w:val="00C71BC7"/>
    <w:rsid w:val="00C71E7E"/>
    <w:rsid w:val="00C7220E"/>
    <w:rsid w:val="00C72795"/>
    <w:rsid w:val="00C72BA7"/>
    <w:rsid w:val="00C72D75"/>
    <w:rsid w:val="00C737DA"/>
    <w:rsid w:val="00C73902"/>
    <w:rsid w:val="00C73C93"/>
    <w:rsid w:val="00C73FC3"/>
    <w:rsid w:val="00C740D1"/>
    <w:rsid w:val="00C74358"/>
    <w:rsid w:val="00C7476E"/>
    <w:rsid w:val="00C74B6E"/>
    <w:rsid w:val="00C751E1"/>
    <w:rsid w:val="00C75228"/>
    <w:rsid w:val="00C754EB"/>
    <w:rsid w:val="00C75824"/>
    <w:rsid w:val="00C75A7B"/>
    <w:rsid w:val="00C7601C"/>
    <w:rsid w:val="00C76237"/>
    <w:rsid w:val="00C76301"/>
    <w:rsid w:val="00C763DF"/>
    <w:rsid w:val="00C764B9"/>
    <w:rsid w:val="00C765C6"/>
    <w:rsid w:val="00C76928"/>
    <w:rsid w:val="00C7703D"/>
    <w:rsid w:val="00C773B9"/>
    <w:rsid w:val="00C7758F"/>
    <w:rsid w:val="00C776D5"/>
    <w:rsid w:val="00C77909"/>
    <w:rsid w:val="00C77BB8"/>
    <w:rsid w:val="00C77F50"/>
    <w:rsid w:val="00C77F67"/>
    <w:rsid w:val="00C8002E"/>
    <w:rsid w:val="00C8039E"/>
    <w:rsid w:val="00C80669"/>
    <w:rsid w:val="00C80D3D"/>
    <w:rsid w:val="00C812FE"/>
    <w:rsid w:val="00C8155C"/>
    <w:rsid w:val="00C815FD"/>
    <w:rsid w:val="00C81789"/>
    <w:rsid w:val="00C81CDC"/>
    <w:rsid w:val="00C81E9D"/>
    <w:rsid w:val="00C82241"/>
    <w:rsid w:val="00C82250"/>
    <w:rsid w:val="00C822DE"/>
    <w:rsid w:val="00C82F5D"/>
    <w:rsid w:val="00C832BD"/>
    <w:rsid w:val="00C83545"/>
    <w:rsid w:val="00C835D2"/>
    <w:rsid w:val="00C83C34"/>
    <w:rsid w:val="00C83CAE"/>
    <w:rsid w:val="00C83F0D"/>
    <w:rsid w:val="00C848AF"/>
    <w:rsid w:val="00C84C2E"/>
    <w:rsid w:val="00C84DB2"/>
    <w:rsid w:val="00C85230"/>
    <w:rsid w:val="00C85A6A"/>
    <w:rsid w:val="00C85ECE"/>
    <w:rsid w:val="00C86553"/>
    <w:rsid w:val="00C8664B"/>
    <w:rsid w:val="00C86678"/>
    <w:rsid w:val="00C8691E"/>
    <w:rsid w:val="00C86AB0"/>
    <w:rsid w:val="00C87192"/>
    <w:rsid w:val="00C872B4"/>
    <w:rsid w:val="00C87322"/>
    <w:rsid w:val="00C873A7"/>
    <w:rsid w:val="00C87C3A"/>
    <w:rsid w:val="00C87CAA"/>
    <w:rsid w:val="00C90005"/>
    <w:rsid w:val="00C9000C"/>
    <w:rsid w:val="00C908B0"/>
    <w:rsid w:val="00C90CF1"/>
    <w:rsid w:val="00C910B5"/>
    <w:rsid w:val="00C911C6"/>
    <w:rsid w:val="00C91337"/>
    <w:rsid w:val="00C9134F"/>
    <w:rsid w:val="00C91457"/>
    <w:rsid w:val="00C9194E"/>
    <w:rsid w:val="00C919AD"/>
    <w:rsid w:val="00C91D42"/>
    <w:rsid w:val="00C91E12"/>
    <w:rsid w:val="00C92D04"/>
    <w:rsid w:val="00C92E45"/>
    <w:rsid w:val="00C93060"/>
    <w:rsid w:val="00C93407"/>
    <w:rsid w:val="00C93448"/>
    <w:rsid w:val="00C94322"/>
    <w:rsid w:val="00C94842"/>
    <w:rsid w:val="00C94B93"/>
    <w:rsid w:val="00C94CB4"/>
    <w:rsid w:val="00C94D36"/>
    <w:rsid w:val="00C9517F"/>
    <w:rsid w:val="00C95360"/>
    <w:rsid w:val="00C9574D"/>
    <w:rsid w:val="00C95AA3"/>
    <w:rsid w:val="00C95ED3"/>
    <w:rsid w:val="00C95FEB"/>
    <w:rsid w:val="00C962B1"/>
    <w:rsid w:val="00C96445"/>
    <w:rsid w:val="00C9666B"/>
    <w:rsid w:val="00C969A7"/>
    <w:rsid w:val="00C96A52"/>
    <w:rsid w:val="00C96BA0"/>
    <w:rsid w:val="00C96D34"/>
    <w:rsid w:val="00C96EA9"/>
    <w:rsid w:val="00C96F1C"/>
    <w:rsid w:val="00C96F8D"/>
    <w:rsid w:val="00CA01C0"/>
    <w:rsid w:val="00CA0301"/>
    <w:rsid w:val="00CA063A"/>
    <w:rsid w:val="00CA0841"/>
    <w:rsid w:val="00CA0956"/>
    <w:rsid w:val="00CA100C"/>
    <w:rsid w:val="00CA14F5"/>
    <w:rsid w:val="00CA1539"/>
    <w:rsid w:val="00CA1EB9"/>
    <w:rsid w:val="00CA1FA7"/>
    <w:rsid w:val="00CA254E"/>
    <w:rsid w:val="00CA2682"/>
    <w:rsid w:val="00CA280C"/>
    <w:rsid w:val="00CA291B"/>
    <w:rsid w:val="00CA3080"/>
    <w:rsid w:val="00CA311F"/>
    <w:rsid w:val="00CA319F"/>
    <w:rsid w:val="00CA37FA"/>
    <w:rsid w:val="00CA3962"/>
    <w:rsid w:val="00CA3EB9"/>
    <w:rsid w:val="00CA41C7"/>
    <w:rsid w:val="00CA4291"/>
    <w:rsid w:val="00CA44C2"/>
    <w:rsid w:val="00CA478D"/>
    <w:rsid w:val="00CA4A76"/>
    <w:rsid w:val="00CA4C43"/>
    <w:rsid w:val="00CA4F15"/>
    <w:rsid w:val="00CA551F"/>
    <w:rsid w:val="00CA5E1B"/>
    <w:rsid w:val="00CA5E9C"/>
    <w:rsid w:val="00CA6748"/>
    <w:rsid w:val="00CA6809"/>
    <w:rsid w:val="00CA6825"/>
    <w:rsid w:val="00CA6907"/>
    <w:rsid w:val="00CA7050"/>
    <w:rsid w:val="00CA71B9"/>
    <w:rsid w:val="00CA74AA"/>
    <w:rsid w:val="00CA7524"/>
    <w:rsid w:val="00CA7608"/>
    <w:rsid w:val="00CA7A5F"/>
    <w:rsid w:val="00CA7D90"/>
    <w:rsid w:val="00CA7E63"/>
    <w:rsid w:val="00CA7ED9"/>
    <w:rsid w:val="00CB0263"/>
    <w:rsid w:val="00CB04E9"/>
    <w:rsid w:val="00CB063B"/>
    <w:rsid w:val="00CB08AE"/>
    <w:rsid w:val="00CB08C2"/>
    <w:rsid w:val="00CB0AA5"/>
    <w:rsid w:val="00CB0E0B"/>
    <w:rsid w:val="00CB1087"/>
    <w:rsid w:val="00CB1367"/>
    <w:rsid w:val="00CB14D8"/>
    <w:rsid w:val="00CB2203"/>
    <w:rsid w:val="00CB2A9B"/>
    <w:rsid w:val="00CB2AA2"/>
    <w:rsid w:val="00CB2DD5"/>
    <w:rsid w:val="00CB3049"/>
    <w:rsid w:val="00CB31E7"/>
    <w:rsid w:val="00CB32C5"/>
    <w:rsid w:val="00CB34D8"/>
    <w:rsid w:val="00CB3D80"/>
    <w:rsid w:val="00CB40B7"/>
    <w:rsid w:val="00CB40E7"/>
    <w:rsid w:val="00CB4135"/>
    <w:rsid w:val="00CB415A"/>
    <w:rsid w:val="00CB4365"/>
    <w:rsid w:val="00CB44EA"/>
    <w:rsid w:val="00CB46A0"/>
    <w:rsid w:val="00CB4727"/>
    <w:rsid w:val="00CB492B"/>
    <w:rsid w:val="00CB4AAA"/>
    <w:rsid w:val="00CB543E"/>
    <w:rsid w:val="00CB5760"/>
    <w:rsid w:val="00CB5B9F"/>
    <w:rsid w:val="00CB5BF0"/>
    <w:rsid w:val="00CB6DA5"/>
    <w:rsid w:val="00CB75C4"/>
    <w:rsid w:val="00CB77A8"/>
    <w:rsid w:val="00CB7B13"/>
    <w:rsid w:val="00CB7BA6"/>
    <w:rsid w:val="00CB7E0A"/>
    <w:rsid w:val="00CB7F05"/>
    <w:rsid w:val="00CC0030"/>
    <w:rsid w:val="00CC0147"/>
    <w:rsid w:val="00CC038C"/>
    <w:rsid w:val="00CC03C1"/>
    <w:rsid w:val="00CC0B3B"/>
    <w:rsid w:val="00CC1188"/>
    <w:rsid w:val="00CC191F"/>
    <w:rsid w:val="00CC210A"/>
    <w:rsid w:val="00CC233E"/>
    <w:rsid w:val="00CC2719"/>
    <w:rsid w:val="00CC2CD4"/>
    <w:rsid w:val="00CC3819"/>
    <w:rsid w:val="00CC3C39"/>
    <w:rsid w:val="00CC3F4A"/>
    <w:rsid w:val="00CC403F"/>
    <w:rsid w:val="00CC4041"/>
    <w:rsid w:val="00CC4116"/>
    <w:rsid w:val="00CC42A2"/>
    <w:rsid w:val="00CC44BF"/>
    <w:rsid w:val="00CC44C9"/>
    <w:rsid w:val="00CC45F2"/>
    <w:rsid w:val="00CC47B3"/>
    <w:rsid w:val="00CC540A"/>
    <w:rsid w:val="00CC5707"/>
    <w:rsid w:val="00CC5C34"/>
    <w:rsid w:val="00CC5F2C"/>
    <w:rsid w:val="00CC62BB"/>
    <w:rsid w:val="00CC6549"/>
    <w:rsid w:val="00CC6AC8"/>
    <w:rsid w:val="00CC6D78"/>
    <w:rsid w:val="00CC7166"/>
    <w:rsid w:val="00CC73E1"/>
    <w:rsid w:val="00CC74AB"/>
    <w:rsid w:val="00CC78B0"/>
    <w:rsid w:val="00CC78DC"/>
    <w:rsid w:val="00CC78F2"/>
    <w:rsid w:val="00CC7A78"/>
    <w:rsid w:val="00CC7CD4"/>
    <w:rsid w:val="00CC7FD7"/>
    <w:rsid w:val="00CD0E03"/>
    <w:rsid w:val="00CD13FB"/>
    <w:rsid w:val="00CD1CB1"/>
    <w:rsid w:val="00CD1E85"/>
    <w:rsid w:val="00CD28DB"/>
    <w:rsid w:val="00CD2E88"/>
    <w:rsid w:val="00CD2F89"/>
    <w:rsid w:val="00CD2FD5"/>
    <w:rsid w:val="00CD355E"/>
    <w:rsid w:val="00CD3848"/>
    <w:rsid w:val="00CD39DA"/>
    <w:rsid w:val="00CD3A3C"/>
    <w:rsid w:val="00CD3E13"/>
    <w:rsid w:val="00CD4029"/>
    <w:rsid w:val="00CD4E50"/>
    <w:rsid w:val="00CD5040"/>
    <w:rsid w:val="00CD5248"/>
    <w:rsid w:val="00CD5B7F"/>
    <w:rsid w:val="00CD5DF4"/>
    <w:rsid w:val="00CD5FCD"/>
    <w:rsid w:val="00CD6933"/>
    <w:rsid w:val="00CD7224"/>
    <w:rsid w:val="00CD723C"/>
    <w:rsid w:val="00CD7AAD"/>
    <w:rsid w:val="00CD7EEE"/>
    <w:rsid w:val="00CE035C"/>
    <w:rsid w:val="00CE051C"/>
    <w:rsid w:val="00CE0AEF"/>
    <w:rsid w:val="00CE0CAF"/>
    <w:rsid w:val="00CE150B"/>
    <w:rsid w:val="00CE1A37"/>
    <w:rsid w:val="00CE1B63"/>
    <w:rsid w:val="00CE23FA"/>
    <w:rsid w:val="00CE258F"/>
    <w:rsid w:val="00CE269D"/>
    <w:rsid w:val="00CE2AEC"/>
    <w:rsid w:val="00CE2B7C"/>
    <w:rsid w:val="00CE2E73"/>
    <w:rsid w:val="00CE339F"/>
    <w:rsid w:val="00CE3AF2"/>
    <w:rsid w:val="00CE3C7E"/>
    <w:rsid w:val="00CE4087"/>
    <w:rsid w:val="00CE4257"/>
    <w:rsid w:val="00CE4263"/>
    <w:rsid w:val="00CE43F8"/>
    <w:rsid w:val="00CE450F"/>
    <w:rsid w:val="00CE4594"/>
    <w:rsid w:val="00CE4908"/>
    <w:rsid w:val="00CE4B3E"/>
    <w:rsid w:val="00CE4B4E"/>
    <w:rsid w:val="00CE4C02"/>
    <w:rsid w:val="00CE50FA"/>
    <w:rsid w:val="00CE5565"/>
    <w:rsid w:val="00CE572E"/>
    <w:rsid w:val="00CE5737"/>
    <w:rsid w:val="00CE634A"/>
    <w:rsid w:val="00CE646B"/>
    <w:rsid w:val="00CE663B"/>
    <w:rsid w:val="00CE6ADF"/>
    <w:rsid w:val="00CE6D12"/>
    <w:rsid w:val="00CE7008"/>
    <w:rsid w:val="00CE7115"/>
    <w:rsid w:val="00CE7294"/>
    <w:rsid w:val="00CE77F7"/>
    <w:rsid w:val="00CE7A39"/>
    <w:rsid w:val="00CE7B68"/>
    <w:rsid w:val="00CE7EA4"/>
    <w:rsid w:val="00CF0128"/>
    <w:rsid w:val="00CF0579"/>
    <w:rsid w:val="00CF0934"/>
    <w:rsid w:val="00CF0953"/>
    <w:rsid w:val="00CF11F4"/>
    <w:rsid w:val="00CF1526"/>
    <w:rsid w:val="00CF1FBE"/>
    <w:rsid w:val="00CF2292"/>
    <w:rsid w:val="00CF26E5"/>
    <w:rsid w:val="00CF2815"/>
    <w:rsid w:val="00CF282F"/>
    <w:rsid w:val="00CF2A56"/>
    <w:rsid w:val="00CF2E35"/>
    <w:rsid w:val="00CF2FCE"/>
    <w:rsid w:val="00CF3521"/>
    <w:rsid w:val="00CF3780"/>
    <w:rsid w:val="00CF3925"/>
    <w:rsid w:val="00CF48A0"/>
    <w:rsid w:val="00CF4F34"/>
    <w:rsid w:val="00CF513B"/>
    <w:rsid w:val="00CF51AE"/>
    <w:rsid w:val="00CF5885"/>
    <w:rsid w:val="00CF6364"/>
    <w:rsid w:val="00CF66F9"/>
    <w:rsid w:val="00CF6B83"/>
    <w:rsid w:val="00CF706B"/>
    <w:rsid w:val="00CF7193"/>
    <w:rsid w:val="00CF728C"/>
    <w:rsid w:val="00CF73DD"/>
    <w:rsid w:val="00CF7425"/>
    <w:rsid w:val="00CF745E"/>
    <w:rsid w:val="00CF7763"/>
    <w:rsid w:val="00CF7A5E"/>
    <w:rsid w:val="00CF7A60"/>
    <w:rsid w:val="00CF7A82"/>
    <w:rsid w:val="00D0166A"/>
    <w:rsid w:val="00D01DFD"/>
    <w:rsid w:val="00D01E62"/>
    <w:rsid w:val="00D0211F"/>
    <w:rsid w:val="00D02B3D"/>
    <w:rsid w:val="00D02B7B"/>
    <w:rsid w:val="00D02CF9"/>
    <w:rsid w:val="00D03878"/>
    <w:rsid w:val="00D03ED1"/>
    <w:rsid w:val="00D04633"/>
    <w:rsid w:val="00D0489B"/>
    <w:rsid w:val="00D049EA"/>
    <w:rsid w:val="00D050A2"/>
    <w:rsid w:val="00D051BA"/>
    <w:rsid w:val="00D052A2"/>
    <w:rsid w:val="00D054E4"/>
    <w:rsid w:val="00D059BD"/>
    <w:rsid w:val="00D05A24"/>
    <w:rsid w:val="00D05A51"/>
    <w:rsid w:val="00D05CDC"/>
    <w:rsid w:val="00D063D3"/>
    <w:rsid w:val="00D06445"/>
    <w:rsid w:val="00D069BE"/>
    <w:rsid w:val="00D06B00"/>
    <w:rsid w:val="00D06F56"/>
    <w:rsid w:val="00D071E8"/>
    <w:rsid w:val="00D07239"/>
    <w:rsid w:val="00D0734E"/>
    <w:rsid w:val="00D07C6F"/>
    <w:rsid w:val="00D100E8"/>
    <w:rsid w:val="00D1060E"/>
    <w:rsid w:val="00D106B4"/>
    <w:rsid w:val="00D10774"/>
    <w:rsid w:val="00D10A0B"/>
    <w:rsid w:val="00D1125D"/>
    <w:rsid w:val="00D113DD"/>
    <w:rsid w:val="00D11549"/>
    <w:rsid w:val="00D1200E"/>
    <w:rsid w:val="00D122E6"/>
    <w:rsid w:val="00D123C8"/>
    <w:rsid w:val="00D12D84"/>
    <w:rsid w:val="00D13384"/>
    <w:rsid w:val="00D1340E"/>
    <w:rsid w:val="00D136A8"/>
    <w:rsid w:val="00D143EF"/>
    <w:rsid w:val="00D14E89"/>
    <w:rsid w:val="00D15055"/>
    <w:rsid w:val="00D15100"/>
    <w:rsid w:val="00D15344"/>
    <w:rsid w:val="00D15450"/>
    <w:rsid w:val="00D15F44"/>
    <w:rsid w:val="00D162C1"/>
    <w:rsid w:val="00D1655E"/>
    <w:rsid w:val="00D16758"/>
    <w:rsid w:val="00D1681B"/>
    <w:rsid w:val="00D16A7C"/>
    <w:rsid w:val="00D16ADE"/>
    <w:rsid w:val="00D16E7D"/>
    <w:rsid w:val="00D1786F"/>
    <w:rsid w:val="00D17919"/>
    <w:rsid w:val="00D179E3"/>
    <w:rsid w:val="00D17B76"/>
    <w:rsid w:val="00D20699"/>
    <w:rsid w:val="00D20A4E"/>
    <w:rsid w:val="00D20CDB"/>
    <w:rsid w:val="00D20FFE"/>
    <w:rsid w:val="00D2115C"/>
    <w:rsid w:val="00D216B6"/>
    <w:rsid w:val="00D21863"/>
    <w:rsid w:val="00D21D8C"/>
    <w:rsid w:val="00D21E2B"/>
    <w:rsid w:val="00D22032"/>
    <w:rsid w:val="00D22422"/>
    <w:rsid w:val="00D22F9D"/>
    <w:rsid w:val="00D2335F"/>
    <w:rsid w:val="00D23664"/>
    <w:rsid w:val="00D23924"/>
    <w:rsid w:val="00D23B78"/>
    <w:rsid w:val="00D23C16"/>
    <w:rsid w:val="00D23CD7"/>
    <w:rsid w:val="00D23F96"/>
    <w:rsid w:val="00D2429C"/>
    <w:rsid w:val="00D24584"/>
    <w:rsid w:val="00D245D3"/>
    <w:rsid w:val="00D24BAF"/>
    <w:rsid w:val="00D24FAF"/>
    <w:rsid w:val="00D251C7"/>
    <w:rsid w:val="00D252C2"/>
    <w:rsid w:val="00D2675F"/>
    <w:rsid w:val="00D272F7"/>
    <w:rsid w:val="00D27A74"/>
    <w:rsid w:val="00D27C69"/>
    <w:rsid w:val="00D27CB3"/>
    <w:rsid w:val="00D27E62"/>
    <w:rsid w:val="00D30696"/>
    <w:rsid w:val="00D309DE"/>
    <w:rsid w:val="00D309E5"/>
    <w:rsid w:val="00D310C7"/>
    <w:rsid w:val="00D3165F"/>
    <w:rsid w:val="00D31A17"/>
    <w:rsid w:val="00D325D8"/>
    <w:rsid w:val="00D3293C"/>
    <w:rsid w:val="00D32A9B"/>
    <w:rsid w:val="00D32DE0"/>
    <w:rsid w:val="00D32EDA"/>
    <w:rsid w:val="00D33186"/>
    <w:rsid w:val="00D331DA"/>
    <w:rsid w:val="00D33B6A"/>
    <w:rsid w:val="00D33FCE"/>
    <w:rsid w:val="00D344B0"/>
    <w:rsid w:val="00D345DB"/>
    <w:rsid w:val="00D34780"/>
    <w:rsid w:val="00D34BB2"/>
    <w:rsid w:val="00D34DB4"/>
    <w:rsid w:val="00D35056"/>
    <w:rsid w:val="00D35593"/>
    <w:rsid w:val="00D358A9"/>
    <w:rsid w:val="00D35DB6"/>
    <w:rsid w:val="00D36288"/>
    <w:rsid w:val="00D36553"/>
    <w:rsid w:val="00D36DBC"/>
    <w:rsid w:val="00D36F78"/>
    <w:rsid w:val="00D373CA"/>
    <w:rsid w:val="00D37B29"/>
    <w:rsid w:val="00D400F6"/>
    <w:rsid w:val="00D40577"/>
    <w:rsid w:val="00D40821"/>
    <w:rsid w:val="00D4088D"/>
    <w:rsid w:val="00D408FD"/>
    <w:rsid w:val="00D409F2"/>
    <w:rsid w:val="00D40AAE"/>
    <w:rsid w:val="00D40B30"/>
    <w:rsid w:val="00D40DCD"/>
    <w:rsid w:val="00D412E2"/>
    <w:rsid w:val="00D413D1"/>
    <w:rsid w:val="00D41C51"/>
    <w:rsid w:val="00D41D72"/>
    <w:rsid w:val="00D42646"/>
    <w:rsid w:val="00D42A81"/>
    <w:rsid w:val="00D42B55"/>
    <w:rsid w:val="00D4335B"/>
    <w:rsid w:val="00D435BA"/>
    <w:rsid w:val="00D43FE2"/>
    <w:rsid w:val="00D44560"/>
    <w:rsid w:val="00D45A45"/>
    <w:rsid w:val="00D45E19"/>
    <w:rsid w:val="00D464DD"/>
    <w:rsid w:val="00D46B0A"/>
    <w:rsid w:val="00D46CCE"/>
    <w:rsid w:val="00D46E2B"/>
    <w:rsid w:val="00D470FC"/>
    <w:rsid w:val="00D4765C"/>
    <w:rsid w:val="00D47A4D"/>
    <w:rsid w:val="00D503F3"/>
    <w:rsid w:val="00D505BB"/>
    <w:rsid w:val="00D506B5"/>
    <w:rsid w:val="00D51240"/>
    <w:rsid w:val="00D51650"/>
    <w:rsid w:val="00D519E4"/>
    <w:rsid w:val="00D51CC2"/>
    <w:rsid w:val="00D5206E"/>
    <w:rsid w:val="00D5235D"/>
    <w:rsid w:val="00D52471"/>
    <w:rsid w:val="00D52604"/>
    <w:rsid w:val="00D53671"/>
    <w:rsid w:val="00D536B3"/>
    <w:rsid w:val="00D53D7B"/>
    <w:rsid w:val="00D53E07"/>
    <w:rsid w:val="00D53E5D"/>
    <w:rsid w:val="00D53FEF"/>
    <w:rsid w:val="00D5422C"/>
    <w:rsid w:val="00D54836"/>
    <w:rsid w:val="00D548BA"/>
    <w:rsid w:val="00D54CDC"/>
    <w:rsid w:val="00D54F2C"/>
    <w:rsid w:val="00D55217"/>
    <w:rsid w:val="00D553F2"/>
    <w:rsid w:val="00D5553C"/>
    <w:rsid w:val="00D55BE3"/>
    <w:rsid w:val="00D55BF7"/>
    <w:rsid w:val="00D55C13"/>
    <w:rsid w:val="00D560B2"/>
    <w:rsid w:val="00D56715"/>
    <w:rsid w:val="00D56800"/>
    <w:rsid w:val="00D569DC"/>
    <w:rsid w:val="00D57117"/>
    <w:rsid w:val="00D571C2"/>
    <w:rsid w:val="00D572B0"/>
    <w:rsid w:val="00D574F2"/>
    <w:rsid w:val="00D57533"/>
    <w:rsid w:val="00D576AB"/>
    <w:rsid w:val="00D57D65"/>
    <w:rsid w:val="00D60960"/>
    <w:rsid w:val="00D609DE"/>
    <w:rsid w:val="00D60C8B"/>
    <w:rsid w:val="00D60CD7"/>
    <w:rsid w:val="00D60D99"/>
    <w:rsid w:val="00D618A7"/>
    <w:rsid w:val="00D61AAF"/>
    <w:rsid w:val="00D61F9A"/>
    <w:rsid w:val="00D62350"/>
    <w:rsid w:val="00D62954"/>
    <w:rsid w:val="00D62EC3"/>
    <w:rsid w:val="00D6337B"/>
    <w:rsid w:val="00D636B0"/>
    <w:rsid w:val="00D6371F"/>
    <w:rsid w:val="00D641B6"/>
    <w:rsid w:val="00D64363"/>
    <w:rsid w:val="00D64477"/>
    <w:rsid w:val="00D64A99"/>
    <w:rsid w:val="00D64D1D"/>
    <w:rsid w:val="00D64F40"/>
    <w:rsid w:val="00D65451"/>
    <w:rsid w:val="00D65CF4"/>
    <w:rsid w:val="00D66060"/>
    <w:rsid w:val="00D66476"/>
    <w:rsid w:val="00D66759"/>
    <w:rsid w:val="00D66E92"/>
    <w:rsid w:val="00D67060"/>
    <w:rsid w:val="00D6760B"/>
    <w:rsid w:val="00D679AC"/>
    <w:rsid w:val="00D67A25"/>
    <w:rsid w:val="00D67AAB"/>
    <w:rsid w:val="00D67DF4"/>
    <w:rsid w:val="00D70033"/>
    <w:rsid w:val="00D70938"/>
    <w:rsid w:val="00D70A55"/>
    <w:rsid w:val="00D711C6"/>
    <w:rsid w:val="00D71AD8"/>
    <w:rsid w:val="00D720D4"/>
    <w:rsid w:val="00D721A9"/>
    <w:rsid w:val="00D726AB"/>
    <w:rsid w:val="00D72EFA"/>
    <w:rsid w:val="00D730F3"/>
    <w:rsid w:val="00D73DA7"/>
    <w:rsid w:val="00D73E24"/>
    <w:rsid w:val="00D74846"/>
    <w:rsid w:val="00D74D24"/>
    <w:rsid w:val="00D74E4C"/>
    <w:rsid w:val="00D74EEB"/>
    <w:rsid w:val="00D75160"/>
    <w:rsid w:val="00D75729"/>
    <w:rsid w:val="00D75D70"/>
    <w:rsid w:val="00D76164"/>
    <w:rsid w:val="00D76C43"/>
    <w:rsid w:val="00D77741"/>
    <w:rsid w:val="00D77A56"/>
    <w:rsid w:val="00D80722"/>
    <w:rsid w:val="00D80CA5"/>
    <w:rsid w:val="00D81259"/>
    <w:rsid w:val="00D81662"/>
    <w:rsid w:val="00D81736"/>
    <w:rsid w:val="00D817AA"/>
    <w:rsid w:val="00D81B0C"/>
    <w:rsid w:val="00D81E86"/>
    <w:rsid w:val="00D81F03"/>
    <w:rsid w:val="00D821A9"/>
    <w:rsid w:val="00D825C3"/>
    <w:rsid w:val="00D837C8"/>
    <w:rsid w:val="00D83FDB"/>
    <w:rsid w:val="00D83FF6"/>
    <w:rsid w:val="00D84545"/>
    <w:rsid w:val="00D84788"/>
    <w:rsid w:val="00D84AD2"/>
    <w:rsid w:val="00D84FFC"/>
    <w:rsid w:val="00D8503F"/>
    <w:rsid w:val="00D85250"/>
    <w:rsid w:val="00D8565C"/>
    <w:rsid w:val="00D85768"/>
    <w:rsid w:val="00D85B6B"/>
    <w:rsid w:val="00D85B8A"/>
    <w:rsid w:val="00D86129"/>
    <w:rsid w:val="00D86338"/>
    <w:rsid w:val="00D8645E"/>
    <w:rsid w:val="00D868F3"/>
    <w:rsid w:val="00D86D4E"/>
    <w:rsid w:val="00D87199"/>
    <w:rsid w:val="00D87591"/>
    <w:rsid w:val="00D878BA"/>
    <w:rsid w:val="00D87EBD"/>
    <w:rsid w:val="00D87EFF"/>
    <w:rsid w:val="00D9002E"/>
    <w:rsid w:val="00D90299"/>
    <w:rsid w:val="00D9087F"/>
    <w:rsid w:val="00D90BC6"/>
    <w:rsid w:val="00D90C17"/>
    <w:rsid w:val="00D90D83"/>
    <w:rsid w:val="00D916A9"/>
    <w:rsid w:val="00D91859"/>
    <w:rsid w:val="00D92630"/>
    <w:rsid w:val="00D92EB3"/>
    <w:rsid w:val="00D932E8"/>
    <w:rsid w:val="00D934F7"/>
    <w:rsid w:val="00D93631"/>
    <w:rsid w:val="00D938BC"/>
    <w:rsid w:val="00D93937"/>
    <w:rsid w:val="00D939F8"/>
    <w:rsid w:val="00D94EB8"/>
    <w:rsid w:val="00D956E1"/>
    <w:rsid w:val="00D96178"/>
    <w:rsid w:val="00D9621D"/>
    <w:rsid w:val="00D96714"/>
    <w:rsid w:val="00D96AB5"/>
    <w:rsid w:val="00DA038D"/>
    <w:rsid w:val="00DA07CD"/>
    <w:rsid w:val="00DA0EA8"/>
    <w:rsid w:val="00DA1113"/>
    <w:rsid w:val="00DA1158"/>
    <w:rsid w:val="00DA131D"/>
    <w:rsid w:val="00DA137A"/>
    <w:rsid w:val="00DA17A1"/>
    <w:rsid w:val="00DA1858"/>
    <w:rsid w:val="00DA1A0B"/>
    <w:rsid w:val="00DA1C1B"/>
    <w:rsid w:val="00DA1D37"/>
    <w:rsid w:val="00DA2094"/>
    <w:rsid w:val="00DA2390"/>
    <w:rsid w:val="00DA23AA"/>
    <w:rsid w:val="00DA269A"/>
    <w:rsid w:val="00DA275C"/>
    <w:rsid w:val="00DA276D"/>
    <w:rsid w:val="00DA2BDF"/>
    <w:rsid w:val="00DA3545"/>
    <w:rsid w:val="00DA3810"/>
    <w:rsid w:val="00DA45D2"/>
    <w:rsid w:val="00DA4875"/>
    <w:rsid w:val="00DA4CC9"/>
    <w:rsid w:val="00DA4DA5"/>
    <w:rsid w:val="00DA515B"/>
    <w:rsid w:val="00DA5466"/>
    <w:rsid w:val="00DA5472"/>
    <w:rsid w:val="00DA5A13"/>
    <w:rsid w:val="00DA5BAE"/>
    <w:rsid w:val="00DA5DD3"/>
    <w:rsid w:val="00DA6051"/>
    <w:rsid w:val="00DA6209"/>
    <w:rsid w:val="00DA6B8B"/>
    <w:rsid w:val="00DA6C82"/>
    <w:rsid w:val="00DA70FF"/>
    <w:rsid w:val="00DA7849"/>
    <w:rsid w:val="00DA7CE0"/>
    <w:rsid w:val="00DB0238"/>
    <w:rsid w:val="00DB02CE"/>
    <w:rsid w:val="00DB033E"/>
    <w:rsid w:val="00DB09FA"/>
    <w:rsid w:val="00DB12D3"/>
    <w:rsid w:val="00DB1794"/>
    <w:rsid w:val="00DB1817"/>
    <w:rsid w:val="00DB1960"/>
    <w:rsid w:val="00DB1F15"/>
    <w:rsid w:val="00DB24BB"/>
    <w:rsid w:val="00DB267A"/>
    <w:rsid w:val="00DB2AA1"/>
    <w:rsid w:val="00DB2B15"/>
    <w:rsid w:val="00DB3266"/>
    <w:rsid w:val="00DB34D8"/>
    <w:rsid w:val="00DB3B5F"/>
    <w:rsid w:val="00DB3E9D"/>
    <w:rsid w:val="00DB4B7E"/>
    <w:rsid w:val="00DB4D4B"/>
    <w:rsid w:val="00DB5485"/>
    <w:rsid w:val="00DB5596"/>
    <w:rsid w:val="00DB5630"/>
    <w:rsid w:val="00DB5868"/>
    <w:rsid w:val="00DB5B7A"/>
    <w:rsid w:val="00DB5B8E"/>
    <w:rsid w:val="00DB5D49"/>
    <w:rsid w:val="00DB6485"/>
    <w:rsid w:val="00DB73B4"/>
    <w:rsid w:val="00DC0D60"/>
    <w:rsid w:val="00DC130F"/>
    <w:rsid w:val="00DC16EF"/>
    <w:rsid w:val="00DC2065"/>
    <w:rsid w:val="00DC206D"/>
    <w:rsid w:val="00DC2744"/>
    <w:rsid w:val="00DC2AC0"/>
    <w:rsid w:val="00DC2B2D"/>
    <w:rsid w:val="00DC3132"/>
    <w:rsid w:val="00DC3246"/>
    <w:rsid w:val="00DC352F"/>
    <w:rsid w:val="00DC366F"/>
    <w:rsid w:val="00DC3874"/>
    <w:rsid w:val="00DC39B2"/>
    <w:rsid w:val="00DC47E4"/>
    <w:rsid w:val="00DC4860"/>
    <w:rsid w:val="00DC4D4E"/>
    <w:rsid w:val="00DC5336"/>
    <w:rsid w:val="00DC534B"/>
    <w:rsid w:val="00DC5804"/>
    <w:rsid w:val="00DC5991"/>
    <w:rsid w:val="00DC5A72"/>
    <w:rsid w:val="00DC5F1B"/>
    <w:rsid w:val="00DC603B"/>
    <w:rsid w:val="00DC6118"/>
    <w:rsid w:val="00DC6BB3"/>
    <w:rsid w:val="00DC6BBE"/>
    <w:rsid w:val="00DC6E84"/>
    <w:rsid w:val="00DC72AA"/>
    <w:rsid w:val="00DC7CB2"/>
    <w:rsid w:val="00DC7F3D"/>
    <w:rsid w:val="00DD028B"/>
    <w:rsid w:val="00DD0646"/>
    <w:rsid w:val="00DD0877"/>
    <w:rsid w:val="00DD0948"/>
    <w:rsid w:val="00DD0D83"/>
    <w:rsid w:val="00DD124F"/>
    <w:rsid w:val="00DD1390"/>
    <w:rsid w:val="00DD140F"/>
    <w:rsid w:val="00DD180E"/>
    <w:rsid w:val="00DD1C60"/>
    <w:rsid w:val="00DD1CB2"/>
    <w:rsid w:val="00DD2760"/>
    <w:rsid w:val="00DD2D6D"/>
    <w:rsid w:val="00DD2EAB"/>
    <w:rsid w:val="00DD343C"/>
    <w:rsid w:val="00DD3C9E"/>
    <w:rsid w:val="00DD3E9E"/>
    <w:rsid w:val="00DD3F81"/>
    <w:rsid w:val="00DD467C"/>
    <w:rsid w:val="00DD49A4"/>
    <w:rsid w:val="00DD4A66"/>
    <w:rsid w:val="00DD4E97"/>
    <w:rsid w:val="00DD4F48"/>
    <w:rsid w:val="00DD51A0"/>
    <w:rsid w:val="00DD578A"/>
    <w:rsid w:val="00DD5D9D"/>
    <w:rsid w:val="00DD60C9"/>
    <w:rsid w:val="00DD638D"/>
    <w:rsid w:val="00DD6463"/>
    <w:rsid w:val="00DD6A54"/>
    <w:rsid w:val="00DD75EE"/>
    <w:rsid w:val="00DD7C2B"/>
    <w:rsid w:val="00DD7DB4"/>
    <w:rsid w:val="00DE0511"/>
    <w:rsid w:val="00DE070B"/>
    <w:rsid w:val="00DE089F"/>
    <w:rsid w:val="00DE0986"/>
    <w:rsid w:val="00DE0B65"/>
    <w:rsid w:val="00DE124F"/>
    <w:rsid w:val="00DE190A"/>
    <w:rsid w:val="00DE1927"/>
    <w:rsid w:val="00DE1D58"/>
    <w:rsid w:val="00DE1DDE"/>
    <w:rsid w:val="00DE2031"/>
    <w:rsid w:val="00DE2037"/>
    <w:rsid w:val="00DE2087"/>
    <w:rsid w:val="00DE21A0"/>
    <w:rsid w:val="00DE2230"/>
    <w:rsid w:val="00DE243F"/>
    <w:rsid w:val="00DE24CD"/>
    <w:rsid w:val="00DE31FA"/>
    <w:rsid w:val="00DE3626"/>
    <w:rsid w:val="00DE3B2C"/>
    <w:rsid w:val="00DE3FF4"/>
    <w:rsid w:val="00DE48CF"/>
    <w:rsid w:val="00DE4B1F"/>
    <w:rsid w:val="00DE4C84"/>
    <w:rsid w:val="00DE50A9"/>
    <w:rsid w:val="00DE6104"/>
    <w:rsid w:val="00DE61D8"/>
    <w:rsid w:val="00DE642F"/>
    <w:rsid w:val="00DE6B4F"/>
    <w:rsid w:val="00DE6C0F"/>
    <w:rsid w:val="00DE6DBB"/>
    <w:rsid w:val="00DE740D"/>
    <w:rsid w:val="00DE744E"/>
    <w:rsid w:val="00DE75F5"/>
    <w:rsid w:val="00DE7EC5"/>
    <w:rsid w:val="00DF041C"/>
    <w:rsid w:val="00DF04A5"/>
    <w:rsid w:val="00DF0EA3"/>
    <w:rsid w:val="00DF0F6D"/>
    <w:rsid w:val="00DF14AE"/>
    <w:rsid w:val="00DF17FF"/>
    <w:rsid w:val="00DF1801"/>
    <w:rsid w:val="00DF1A30"/>
    <w:rsid w:val="00DF1A45"/>
    <w:rsid w:val="00DF1B21"/>
    <w:rsid w:val="00DF1C0E"/>
    <w:rsid w:val="00DF228F"/>
    <w:rsid w:val="00DF25EA"/>
    <w:rsid w:val="00DF267D"/>
    <w:rsid w:val="00DF3CBB"/>
    <w:rsid w:val="00DF411E"/>
    <w:rsid w:val="00DF414B"/>
    <w:rsid w:val="00DF4548"/>
    <w:rsid w:val="00DF4AB8"/>
    <w:rsid w:val="00DF4B29"/>
    <w:rsid w:val="00DF4C32"/>
    <w:rsid w:val="00DF4C76"/>
    <w:rsid w:val="00DF4EEE"/>
    <w:rsid w:val="00DF57ED"/>
    <w:rsid w:val="00DF5C98"/>
    <w:rsid w:val="00DF5F54"/>
    <w:rsid w:val="00DF6255"/>
    <w:rsid w:val="00DF6C3A"/>
    <w:rsid w:val="00DF72E3"/>
    <w:rsid w:val="00DF777B"/>
    <w:rsid w:val="00DF7821"/>
    <w:rsid w:val="00DF7A93"/>
    <w:rsid w:val="00DF7E87"/>
    <w:rsid w:val="00E0045B"/>
    <w:rsid w:val="00E0120C"/>
    <w:rsid w:val="00E01714"/>
    <w:rsid w:val="00E0187C"/>
    <w:rsid w:val="00E01927"/>
    <w:rsid w:val="00E01955"/>
    <w:rsid w:val="00E019E6"/>
    <w:rsid w:val="00E01DE8"/>
    <w:rsid w:val="00E0206B"/>
    <w:rsid w:val="00E02199"/>
    <w:rsid w:val="00E023C9"/>
    <w:rsid w:val="00E023EB"/>
    <w:rsid w:val="00E032D4"/>
    <w:rsid w:val="00E03B9A"/>
    <w:rsid w:val="00E03E97"/>
    <w:rsid w:val="00E0407C"/>
    <w:rsid w:val="00E041C4"/>
    <w:rsid w:val="00E04435"/>
    <w:rsid w:val="00E045E9"/>
    <w:rsid w:val="00E046CA"/>
    <w:rsid w:val="00E04C19"/>
    <w:rsid w:val="00E05A80"/>
    <w:rsid w:val="00E05FBE"/>
    <w:rsid w:val="00E06660"/>
    <w:rsid w:val="00E06687"/>
    <w:rsid w:val="00E06AE1"/>
    <w:rsid w:val="00E07175"/>
    <w:rsid w:val="00E074B6"/>
    <w:rsid w:val="00E076E5"/>
    <w:rsid w:val="00E079F3"/>
    <w:rsid w:val="00E07B3D"/>
    <w:rsid w:val="00E07CED"/>
    <w:rsid w:val="00E07E0A"/>
    <w:rsid w:val="00E10A48"/>
    <w:rsid w:val="00E10C20"/>
    <w:rsid w:val="00E10FED"/>
    <w:rsid w:val="00E1153F"/>
    <w:rsid w:val="00E1174B"/>
    <w:rsid w:val="00E1181E"/>
    <w:rsid w:val="00E126A5"/>
    <w:rsid w:val="00E12AEA"/>
    <w:rsid w:val="00E12C8E"/>
    <w:rsid w:val="00E12FAB"/>
    <w:rsid w:val="00E1336A"/>
    <w:rsid w:val="00E1369E"/>
    <w:rsid w:val="00E138F8"/>
    <w:rsid w:val="00E13C03"/>
    <w:rsid w:val="00E140D9"/>
    <w:rsid w:val="00E1436F"/>
    <w:rsid w:val="00E14539"/>
    <w:rsid w:val="00E14943"/>
    <w:rsid w:val="00E149E5"/>
    <w:rsid w:val="00E15B3D"/>
    <w:rsid w:val="00E15BD5"/>
    <w:rsid w:val="00E15FB7"/>
    <w:rsid w:val="00E163C2"/>
    <w:rsid w:val="00E16461"/>
    <w:rsid w:val="00E165FB"/>
    <w:rsid w:val="00E16FA6"/>
    <w:rsid w:val="00E17541"/>
    <w:rsid w:val="00E176C2"/>
    <w:rsid w:val="00E17A65"/>
    <w:rsid w:val="00E17B09"/>
    <w:rsid w:val="00E17E7A"/>
    <w:rsid w:val="00E20D48"/>
    <w:rsid w:val="00E21190"/>
    <w:rsid w:val="00E2133D"/>
    <w:rsid w:val="00E2151E"/>
    <w:rsid w:val="00E2195D"/>
    <w:rsid w:val="00E21E14"/>
    <w:rsid w:val="00E22083"/>
    <w:rsid w:val="00E2212C"/>
    <w:rsid w:val="00E229FC"/>
    <w:rsid w:val="00E23098"/>
    <w:rsid w:val="00E230F8"/>
    <w:rsid w:val="00E23327"/>
    <w:rsid w:val="00E23993"/>
    <w:rsid w:val="00E23B07"/>
    <w:rsid w:val="00E23B4C"/>
    <w:rsid w:val="00E23F25"/>
    <w:rsid w:val="00E24572"/>
    <w:rsid w:val="00E24A74"/>
    <w:rsid w:val="00E257A6"/>
    <w:rsid w:val="00E25AED"/>
    <w:rsid w:val="00E25E55"/>
    <w:rsid w:val="00E26155"/>
    <w:rsid w:val="00E2647A"/>
    <w:rsid w:val="00E26E6E"/>
    <w:rsid w:val="00E27587"/>
    <w:rsid w:val="00E27769"/>
    <w:rsid w:val="00E27D8F"/>
    <w:rsid w:val="00E30B38"/>
    <w:rsid w:val="00E30B6B"/>
    <w:rsid w:val="00E3145C"/>
    <w:rsid w:val="00E31A0B"/>
    <w:rsid w:val="00E3218D"/>
    <w:rsid w:val="00E323AC"/>
    <w:rsid w:val="00E324C0"/>
    <w:rsid w:val="00E324F1"/>
    <w:rsid w:val="00E32907"/>
    <w:rsid w:val="00E3293F"/>
    <w:rsid w:val="00E32FB2"/>
    <w:rsid w:val="00E33357"/>
    <w:rsid w:val="00E33815"/>
    <w:rsid w:val="00E340D4"/>
    <w:rsid w:val="00E34CBF"/>
    <w:rsid w:val="00E34CE6"/>
    <w:rsid w:val="00E34D2B"/>
    <w:rsid w:val="00E35287"/>
    <w:rsid w:val="00E367EB"/>
    <w:rsid w:val="00E36828"/>
    <w:rsid w:val="00E36924"/>
    <w:rsid w:val="00E36B69"/>
    <w:rsid w:val="00E36EA4"/>
    <w:rsid w:val="00E36F42"/>
    <w:rsid w:val="00E37096"/>
    <w:rsid w:val="00E371C5"/>
    <w:rsid w:val="00E37417"/>
    <w:rsid w:val="00E376A1"/>
    <w:rsid w:val="00E37AE4"/>
    <w:rsid w:val="00E37DB1"/>
    <w:rsid w:val="00E37E82"/>
    <w:rsid w:val="00E404C5"/>
    <w:rsid w:val="00E40893"/>
    <w:rsid w:val="00E40B4B"/>
    <w:rsid w:val="00E40BDB"/>
    <w:rsid w:val="00E40D76"/>
    <w:rsid w:val="00E40FE2"/>
    <w:rsid w:val="00E4107D"/>
    <w:rsid w:val="00E4119D"/>
    <w:rsid w:val="00E41684"/>
    <w:rsid w:val="00E41836"/>
    <w:rsid w:val="00E41F77"/>
    <w:rsid w:val="00E41F90"/>
    <w:rsid w:val="00E428E4"/>
    <w:rsid w:val="00E42AB5"/>
    <w:rsid w:val="00E430E0"/>
    <w:rsid w:val="00E43186"/>
    <w:rsid w:val="00E434D7"/>
    <w:rsid w:val="00E4362F"/>
    <w:rsid w:val="00E43724"/>
    <w:rsid w:val="00E4383A"/>
    <w:rsid w:val="00E43FFD"/>
    <w:rsid w:val="00E441FD"/>
    <w:rsid w:val="00E4429A"/>
    <w:rsid w:val="00E44427"/>
    <w:rsid w:val="00E44C07"/>
    <w:rsid w:val="00E44C9D"/>
    <w:rsid w:val="00E44CC2"/>
    <w:rsid w:val="00E454AD"/>
    <w:rsid w:val="00E4570D"/>
    <w:rsid w:val="00E4587B"/>
    <w:rsid w:val="00E45A00"/>
    <w:rsid w:val="00E45AF3"/>
    <w:rsid w:val="00E45B1D"/>
    <w:rsid w:val="00E45BC3"/>
    <w:rsid w:val="00E45D71"/>
    <w:rsid w:val="00E45E79"/>
    <w:rsid w:val="00E4643C"/>
    <w:rsid w:val="00E466E4"/>
    <w:rsid w:val="00E467F8"/>
    <w:rsid w:val="00E4686F"/>
    <w:rsid w:val="00E4743A"/>
    <w:rsid w:val="00E5027D"/>
    <w:rsid w:val="00E50396"/>
    <w:rsid w:val="00E50421"/>
    <w:rsid w:val="00E50753"/>
    <w:rsid w:val="00E507D8"/>
    <w:rsid w:val="00E508B8"/>
    <w:rsid w:val="00E50AA3"/>
    <w:rsid w:val="00E50CBD"/>
    <w:rsid w:val="00E50D45"/>
    <w:rsid w:val="00E51226"/>
    <w:rsid w:val="00E51825"/>
    <w:rsid w:val="00E51945"/>
    <w:rsid w:val="00E520BC"/>
    <w:rsid w:val="00E5214E"/>
    <w:rsid w:val="00E526E7"/>
    <w:rsid w:val="00E52C8A"/>
    <w:rsid w:val="00E53201"/>
    <w:rsid w:val="00E533E5"/>
    <w:rsid w:val="00E5454B"/>
    <w:rsid w:val="00E54655"/>
    <w:rsid w:val="00E54776"/>
    <w:rsid w:val="00E54828"/>
    <w:rsid w:val="00E54874"/>
    <w:rsid w:val="00E54930"/>
    <w:rsid w:val="00E54AA3"/>
    <w:rsid w:val="00E54C6A"/>
    <w:rsid w:val="00E54D01"/>
    <w:rsid w:val="00E55109"/>
    <w:rsid w:val="00E55456"/>
    <w:rsid w:val="00E55C7D"/>
    <w:rsid w:val="00E55DC9"/>
    <w:rsid w:val="00E5684A"/>
    <w:rsid w:val="00E569D3"/>
    <w:rsid w:val="00E56F8C"/>
    <w:rsid w:val="00E57355"/>
    <w:rsid w:val="00E577DA"/>
    <w:rsid w:val="00E57BBA"/>
    <w:rsid w:val="00E57BFA"/>
    <w:rsid w:val="00E60281"/>
    <w:rsid w:val="00E6085D"/>
    <w:rsid w:val="00E610EA"/>
    <w:rsid w:val="00E61592"/>
    <w:rsid w:val="00E615D6"/>
    <w:rsid w:val="00E6189E"/>
    <w:rsid w:val="00E619B0"/>
    <w:rsid w:val="00E61AD8"/>
    <w:rsid w:val="00E62401"/>
    <w:rsid w:val="00E62B2F"/>
    <w:rsid w:val="00E63842"/>
    <w:rsid w:val="00E63A1B"/>
    <w:rsid w:val="00E63B80"/>
    <w:rsid w:val="00E643B9"/>
    <w:rsid w:val="00E64470"/>
    <w:rsid w:val="00E64911"/>
    <w:rsid w:val="00E64AF3"/>
    <w:rsid w:val="00E64E8F"/>
    <w:rsid w:val="00E64ECF"/>
    <w:rsid w:val="00E6565F"/>
    <w:rsid w:val="00E65B67"/>
    <w:rsid w:val="00E6618E"/>
    <w:rsid w:val="00E668E2"/>
    <w:rsid w:val="00E66B19"/>
    <w:rsid w:val="00E6715D"/>
    <w:rsid w:val="00E6737C"/>
    <w:rsid w:val="00E67987"/>
    <w:rsid w:val="00E70527"/>
    <w:rsid w:val="00E7096A"/>
    <w:rsid w:val="00E70DC9"/>
    <w:rsid w:val="00E713E7"/>
    <w:rsid w:val="00E715C0"/>
    <w:rsid w:val="00E717FB"/>
    <w:rsid w:val="00E71BA1"/>
    <w:rsid w:val="00E71BC1"/>
    <w:rsid w:val="00E7233F"/>
    <w:rsid w:val="00E72817"/>
    <w:rsid w:val="00E72B16"/>
    <w:rsid w:val="00E72B9B"/>
    <w:rsid w:val="00E7331C"/>
    <w:rsid w:val="00E73670"/>
    <w:rsid w:val="00E73793"/>
    <w:rsid w:val="00E73A10"/>
    <w:rsid w:val="00E73AE4"/>
    <w:rsid w:val="00E73D01"/>
    <w:rsid w:val="00E73E02"/>
    <w:rsid w:val="00E74173"/>
    <w:rsid w:val="00E74259"/>
    <w:rsid w:val="00E74906"/>
    <w:rsid w:val="00E7494D"/>
    <w:rsid w:val="00E74DA2"/>
    <w:rsid w:val="00E7555B"/>
    <w:rsid w:val="00E759BF"/>
    <w:rsid w:val="00E76501"/>
    <w:rsid w:val="00E766A7"/>
    <w:rsid w:val="00E769E7"/>
    <w:rsid w:val="00E76A01"/>
    <w:rsid w:val="00E76B04"/>
    <w:rsid w:val="00E76D8F"/>
    <w:rsid w:val="00E76F71"/>
    <w:rsid w:val="00E77104"/>
    <w:rsid w:val="00E779D9"/>
    <w:rsid w:val="00E77E4A"/>
    <w:rsid w:val="00E77EAF"/>
    <w:rsid w:val="00E804F6"/>
    <w:rsid w:val="00E806FB"/>
    <w:rsid w:val="00E8079F"/>
    <w:rsid w:val="00E80CAF"/>
    <w:rsid w:val="00E80F64"/>
    <w:rsid w:val="00E8193F"/>
    <w:rsid w:val="00E81BA8"/>
    <w:rsid w:val="00E81E40"/>
    <w:rsid w:val="00E81E9C"/>
    <w:rsid w:val="00E8244A"/>
    <w:rsid w:val="00E828C5"/>
    <w:rsid w:val="00E82CB0"/>
    <w:rsid w:val="00E82EB4"/>
    <w:rsid w:val="00E82FD6"/>
    <w:rsid w:val="00E831B8"/>
    <w:rsid w:val="00E83828"/>
    <w:rsid w:val="00E83960"/>
    <w:rsid w:val="00E851D0"/>
    <w:rsid w:val="00E85283"/>
    <w:rsid w:val="00E8532C"/>
    <w:rsid w:val="00E85514"/>
    <w:rsid w:val="00E85570"/>
    <w:rsid w:val="00E858D8"/>
    <w:rsid w:val="00E86B4A"/>
    <w:rsid w:val="00E86B78"/>
    <w:rsid w:val="00E86E7F"/>
    <w:rsid w:val="00E870E6"/>
    <w:rsid w:val="00E874B4"/>
    <w:rsid w:val="00E8767D"/>
    <w:rsid w:val="00E87A29"/>
    <w:rsid w:val="00E87A92"/>
    <w:rsid w:val="00E90933"/>
    <w:rsid w:val="00E90A85"/>
    <w:rsid w:val="00E90F00"/>
    <w:rsid w:val="00E9109D"/>
    <w:rsid w:val="00E9137F"/>
    <w:rsid w:val="00E91CDC"/>
    <w:rsid w:val="00E92317"/>
    <w:rsid w:val="00E9238C"/>
    <w:rsid w:val="00E923D2"/>
    <w:rsid w:val="00E92639"/>
    <w:rsid w:val="00E926FD"/>
    <w:rsid w:val="00E92CB0"/>
    <w:rsid w:val="00E92CC2"/>
    <w:rsid w:val="00E92FF9"/>
    <w:rsid w:val="00E936E4"/>
    <w:rsid w:val="00E93816"/>
    <w:rsid w:val="00E93C0C"/>
    <w:rsid w:val="00E94061"/>
    <w:rsid w:val="00E940E2"/>
    <w:rsid w:val="00E94310"/>
    <w:rsid w:val="00E944B5"/>
    <w:rsid w:val="00E944F5"/>
    <w:rsid w:val="00E9511B"/>
    <w:rsid w:val="00E953E8"/>
    <w:rsid w:val="00E9572B"/>
    <w:rsid w:val="00E9588E"/>
    <w:rsid w:val="00E96781"/>
    <w:rsid w:val="00E96AC5"/>
    <w:rsid w:val="00E96B06"/>
    <w:rsid w:val="00E975C0"/>
    <w:rsid w:val="00E97677"/>
    <w:rsid w:val="00E978F4"/>
    <w:rsid w:val="00E97CD8"/>
    <w:rsid w:val="00EA003B"/>
    <w:rsid w:val="00EA09B6"/>
    <w:rsid w:val="00EA0BC2"/>
    <w:rsid w:val="00EA0F33"/>
    <w:rsid w:val="00EA0F89"/>
    <w:rsid w:val="00EA1249"/>
    <w:rsid w:val="00EA141C"/>
    <w:rsid w:val="00EA1520"/>
    <w:rsid w:val="00EA1904"/>
    <w:rsid w:val="00EA1DE7"/>
    <w:rsid w:val="00EA20C6"/>
    <w:rsid w:val="00EA26F5"/>
    <w:rsid w:val="00EA29B8"/>
    <w:rsid w:val="00EA32EB"/>
    <w:rsid w:val="00EA3566"/>
    <w:rsid w:val="00EA37A6"/>
    <w:rsid w:val="00EA3892"/>
    <w:rsid w:val="00EA3DD2"/>
    <w:rsid w:val="00EA40D3"/>
    <w:rsid w:val="00EA428F"/>
    <w:rsid w:val="00EA4698"/>
    <w:rsid w:val="00EA4D53"/>
    <w:rsid w:val="00EA5105"/>
    <w:rsid w:val="00EA5170"/>
    <w:rsid w:val="00EA57AD"/>
    <w:rsid w:val="00EA5A1F"/>
    <w:rsid w:val="00EA5A97"/>
    <w:rsid w:val="00EA5D93"/>
    <w:rsid w:val="00EA5DE4"/>
    <w:rsid w:val="00EA60E8"/>
    <w:rsid w:val="00EA61BC"/>
    <w:rsid w:val="00EA64AB"/>
    <w:rsid w:val="00EA65CC"/>
    <w:rsid w:val="00EA6B8D"/>
    <w:rsid w:val="00EA6F4F"/>
    <w:rsid w:val="00EA6FAC"/>
    <w:rsid w:val="00EA7040"/>
    <w:rsid w:val="00EA748F"/>
    <w:rsid w:val="00EA77F2"/>
    <w:rsid w:val="00EA7ACC"/>
    <w:rsid w:val="00EB02B3"/>
    <w:rsid w:val="00EB040E"/>
    <w:rsid w:val="00EB1269"/>
    <w:rsid w:val="00EB142D"/>
    <w:rsid w:val="00EB158E"/>
    <w:rsid w:val="00EB1742"/>
    <w:rsid w:val="00EB21AC"/>
    <w:rsid w:val="00EB2209"/>
    <w:rsid w:val="00EB23EB"/>
    <w:rsid w:val="00EB2D3E"/>
    <w:rsid w:val="00EB2DD6"/>
    <w:rsid w:val="00EB373D"/>
    <w:rsid w:val="00EB37E0"/>
    <w:rsid w:val="00EB3ADD"/>
    <w:rsid w:val="00EB3D3E"/>
    <w:rsid w:val="00EB45A5"/>
    <w:rsid w:val="00EB4B2E"/>
    <w:rsid w:val="00EB4FF5"/>
    <w:rsid w:val="00EB508D"/>
    <w:rsid w:val="00EB5180"/>
    <w:rsid w:val="00EB544C"/>
    <w:rsid w:val="00EB581E"/>
    <w:rsid w:val="00EB5D2F"/>
    <w:rsid w:val="00EB5E55"/>
    <w:rsid w:val="00EB61CC"/>
    <w:rsid w:val="00EB68FB"/>
    <w:rsid w:val="00EB6C26"/>
    <w:rsid w:val="00EB74FE"/>
    <w:rsid w:val="00EB7E24"/>
    <w:rsid w:val="00EC0060"/>
    <w:rsid w:val="00EC0074"/>
    <w:rsid w:val="00EC03A6"/>
    <w:rsid w:val="00EC0B26"/>
    <w:rsid w:val="00EC0B34"/>
    <w:rsid w:val="00EC0BFB"/>
    <w:rsid w:val="00EC0C9F"/>
    <w:rsid w:val="00EC1308"/>
    <w:rsid w:val="00EC148D"/>
    <w:rsid w:val="00EC15A2"/>
    <w:rsid w:val="00EC1D94"/>
    <w:rsid w:val="00EC1E8C"/>
    <w:rsid w:val="00EC24AF"/>
    <w:rsid w:val="00EC3282"/>
    <w:rsid w:val="00EC3368"/>
    <w:rsid w:val="00EC36CD"/>
    <w:rsid w:val="00EC37BC"/>
    <w:rsid w:val="00EC3F85"/>
    <w:rsid w:val="00EC4472"/>
    <w:rsid w:val="00EC4BFF"/>
    <w:rsid w:val="00EC5388"/>
    <w:rsid w:val="00EC566E"/>
    <w:rsid w:val="00EC583C"/>
    <w:rsid w:val="00EC60E9"/>
    <w:rsid w:val="00EC69D1"/>
    <w:rsid w:val="00EC7253"/>
    <w:rsid w:val="00EC7269"/>
    <w:rsid w:val="00EC73AB"/>
    <w:rsid w:val="00EC74A2"/>
    <w:rsid w:val="00EC7E0E"/>
    <w:rsid w:val="00EC7F72"/>
    <w:rsid w:val="00ED04D4"/>
    <w:rsid w:val="00ED063C"/>
    <w:rsid w:val="00ED071A"/>
    <w:rsid w:val="00ED0AE0"/>
    <w:rsid w:val="00ED0B95"/>
    <w:rsid w:val="00ED0DD3"/>
    <w:rsid w:val="00ED1102"/>
    <w:rsid w:val="00ED1AB6"/>
    <w:rsid w:val="00ED1AB9"/>
    <w:rsid w:val="00ED1E01"/>
    <w:rsid w:val="00ED200C"/>
    <w:rsid w:val="00ED221F"/>
    <w:rsid w:val="00ED23E1"/>
    <w:rsid w:val="00ED2C3F"/>
    <w:rsid w:val="00ED2CEC"/>
    <w:rsid w:val="00ED2E35"/>
    <w:rsid w:val="00ED3DCF"/>
    <w:rsid w:val="00ED42E4"/>
    <w:rsid w:val="00ED43C0"/>
    <w:rsid w:val="00ED4B41"/>
    <w:rsid w:val="00ED4BE9"/>
    <w:rsid w:val="00ED4C69"/>
    <w:rsid w:val="00ED51D6"/>
    <w:rsid w:val="00ED5200"/>
    <w:rsid w:val="00ED5386"/>
    <w:rsid w:val="00ED5630"/>
    <w:rsid w:val="00ED59C4"/>
    <w:rsid w:val="00ED59F7"/>
    <w:rsid w:val="00ED5DAC"/>
    <w:rsid w:val="00ED5FE9"/>
    <w:rsid w:val="00ED6108"/>
    <w:rsid w:val="00ED6119"/>
    <w:rsid w:val="00ED6190"/>
    <w:rsid w:val="00ED63DB"/>
    <w:rsid w:val="00ED63F0"/>
    <w:rsid w:val="00ED6487"/>
    <w:rsid w:val="00ED6AC3"/>
    <w:rsid w:val="00ED6D04"/>
    <w:rsid w:val="00ED6DAB"/>
    <w:rsid w:val="00ED70D8"/>
    <w:rsid w:val="00ED71F2"/>
    <w:rsid w:val="00ED76ED"/>
    <w:rsid w:val="00ED777C"/>
    <w:rsid w:val="00ED78F1"/>
    <w:rsid w:val="00ED7910"/>
    <w:rsid w:val="00ED7BE7"/>
    <w:rsid w:val="00ED7D21"/>
    <w:rsid w:val="00ED7EFC"/>
    <w:rsid w:val="00ED7FDA"/>
    <w:rsid w:val="00EE008E"/>
    <w:rsid w:val="00EE0189"/>
    <w:rsid w:val="00EE034A"/>
    <w:rsid w:val="00EE061A"/>
    <w:rsid w:val="00EE12E0"/>
    <w:rsid w:val="00EE152F"/>
    <w:rsid w:val="00EE1814"/>
    <w:rsid w:val="00EE1BE5"/>
    <w:rsid w:val="00EE1CF6"/>
    <w:rsid w:val="00EE2384"/>
    <w:rsid w:val="00EE2AAD"/>
    <w:rsid w:val="00EE2EE8"/>
    <w:rsid w:val="00EE40AD"/>
    <w:rsid w:val="00EE4215"/>
    <w:rsid w:val="00EE4334"/>
    <w:rsid w:val="00EE4A94"/>
    <w:rsid w:val="00EE4B2C"/>
    <w:rsid w:val="00EE53FF"/>
    <w:rsid w:val="00EE57BB"/>
    <w:rsid w:val="00EE5A17"/>
    <w:rsid w:val="00EE5A1F"/>
    <w:rsid w:val="00EE5A45"/>
    <w:rsid w:val="00EE600C"/>
    <w:rsid w:val="00EE60A3"/>
    <w:rsid w:val="00EE62FB"/>
    <w:rsid w:val="00EE63A4"/>
    <w:rsid w:val="00EE63AD"/>
    <w:rsid w:val="00EE68F1"/>
    <w:rsid w:val="00EE6E1C"/>
    <w:rsid w:val="00EE7550"/>
    <w:rsid w:val="00EE7642"/>
    <w:rsid w:val="00EE7EED"/>
    <w:rsid w:val="00EF11F0"/>
    <w:rsid w:val="00EF135F"/>
    <w:rsid w:val="00EF16EC"/>
    <w:rsid w:val="00EF1D85"/>
    <w:rsid w:val="00EF1DBF"/>
    <w:rsid w:val="00EF1F2B"/>
    <w:rsid w:val="00EF2045"/>
    <w:rsid w:val="00EF245C"/>
    <w:rsid w:val="00EF2AD1"/>
    <w:rsid w:val="00EF2F56"/>
    <w:rsid w:val="00EF2FC7"/>
    <w:rsid w:val="00EF358B"/>
    <w:rsid w:val="00EF422D"/>
    <w:rsid w:val="00EF43C5"/>
    <w:rsid w:val="00EF44B5"/>
    <w:rsid w:val="00EF5B11"/>
    <w:rsid w:val="00EF5F81"/>
    <w:rsid w:val="00EF64C9"/>
    <w:rsid w:val="00EF6778"/>
    <w:rsid w:val="00EF6983"/>
    <w:rsid w:val="00EF70B3"/>
    <w:rsid w:val="00EF7202"/>
    <w:rsid w:val="00EF7C28"/>
    <w:rsid w:val="00EF7DDF"/>
    <w:rsid w:val="00F001B8"/>
    <w:rsid w:val="00F003ED"/>
    <w:rsid w:val="00F004CB"/>
    <w:rsid w:val="00F00938"/>
    <w:rsid w:val="00F00C5E"/>
    <w:rsid w:val="00F0125C"/>
    <w:rsid w:val="00F014F6"/>
    <w:rsid w:val="00F01D99"/>
    <w:rsid w:val="00F027A7"/>
    <w:rsid w:val="00F02C59"/>
    <w:rsid w:val="00F02DA3"/>
    <w:rsid w:val="00F03019"/>
    <w:rsid w:val="00F03279"/>
    <w:rsid w:val="00F042AF"/>
    <w:rsid w:val="00F043E0"/>
    <w:rsid w:val="00F04472"/>
    <w:rsid w:val="00F04625"/>
    <w:rsid w:val="00F04984"/>
    <w:rsid w:val="00F04B33"/>
    <w:rsid w:val="00F04B7B"/>
    <w:rsid w:val="00F04ECA"/>
    <w:rsid w:val="00F05372"/>
    <w:rsid w:val="00F05DBF"/>
    <w:rsid w:val="00F06007"/>
    <w:rsid w:val="00F06242"/>
    <w:rsid w:val="00F0641A"/>
    <w:rsid w:val="00F06564"/>
    <w:rsid w:val="00F068A2"/>
    <w:rsid w:val="00F068A6"/>
    <w:rsid w:val="00F06CB4"/>
    <w:rsid w:val="00F06D36"/>
    <w:rsid w:val="00F06E0D"/>
    <w:rsid w:val="00F06EC4"/>
    <w:rsid w:val="00F071EF"/>
    <w:rsid w:val="00F0724B"/>
    <w:rsid w:val="00F07399"/>
    <w:rsid w:val="00F1005B"/>
    <w:rsid w:val="00F10135"/>
    <w:rsid w:val="00F10229"/>
    <w:rsid w:val="00F1029F"/>
    <w:rsid w:val="00F1035D"/>
    <w:rsid w:val="00F1209D"/>
    <w:rsid w:val="00F12BE7"/>
    <w:rsid w:val="00F12EDB"/>
    <w:rsid w:val="00F12F40"/>
    <w:rsid w:val="00F13193"/>
    <w:rsid w:val="00F134CD"/>
    <w:rsid w:val="00F13A30"/>
    <w:rsid w:val="00F13C61"/>
    <w:rsid w:val="00F13EF2"/>
    <w:rsid w:val="00F13F73"/>
    <w:rsid w:val="00F143C7"/>
    <w:rsid w:val="00F148B5"/>
    <w:rsid w:val="00F149A7"/>
    <w:rsid w:val="00F14AE6"/>
    <w:rsid w:val="00F14BF7"/>
    <w:rsid w:val="00F14D71"/>
    <w:rsid w:val="00F14F50"/>
    <w:rsid w:val="00F155DA"/>
    <w:rsid w:val="00F15818"/>
    <w:rsid w:val="00F158C0"/>
    <w:rsid w:val="00F1591E"/>
    <w:rsid w:val="00F15AAB"/>
    <w:rsid w:val="00F15EFD"/>
    <w:rsid w:val="00F16073"/>
    <w:rsid w:val="00F16097"/>
    <w:rsid w:val="00F1614A"/>
    <w:rsid w:val="00F16177"/>
    <w:rsid w:val="00F16278"/>
    <w:rsid w:val="00F16CD9"/>
    <w:rsid w:val="00F16D3F"/>
    <w:rsid w:val="00F16D9A"/>
    <w:rsid w:val="00F17086"/>
    <w:rsid w:val="00F17627"/>
    <w:rsid w:val="00F178F9"/>
    <w:rsid w:val="00F17A6C"/>
    <w:rsid w:val="00F17D11"/>
    <w:rsid w:val="00F201C7"/>
    <w:rsid w:val="00F20604"/>
    <w:rsid w:val="00F2073B"/>
    <w:rsid w:val="00F21091"/>
    <w:rsid w:val="00F214BB"/>
    <w:rsid w:val="00F2174A"/>
    <w:rsid w:val="00F217C3"/>
    <w:rsid w:val="00F21AC7"/>
    <w:rsid w:val="00F228EC"/>
    <w:rsid w:val="00F23179"/>
    <w:rsid w:val="00F2333A"/>
    <w:rsid w:val="00F23AA7"/>
    <w:rsid w:val="00F23DC2"/>
    <w:rsid w:val="00F2407A"/>
    <w:rsid w:val="00F24C1F"/>
    <w:rsid w:val="00F256C5"/>
    <w:rsid w:val="00F2584E"/>
    <w:rsid w:val="00F259A6"/>
    <w:rsid w:val="00F268E3"/>
    <w:rsid w:val="00F26ABF"/>
    <w:rsid w:val="00F27410"/>
    <w:rsid w:val="00F275D5"/>
    <w:rsid w:val="00F276CF"/>
    <w:rsid w:val="00F2782B"/>
    <w:rsid w:val="00F278DB"/>
    <w:rsid w:val="00F27965"/>
    <w:rsid w:val="00F27979"/>
    <w:rsid w:val="00F27DC7"/>
    <w:rsid w:val="00F27E35"/>
    <w:rsid w:val="00F30849"/>
    <w:rsid w:val="00F30909"/>
    <w:rsid w:val="00F30E26"/>
    <w:rsid w:val="00F30F58"/>
    <w:rsid w:val="00F31104"/>
    <w:rsid w:val="00F315E8"/>
    <w:rsid w:val="00F31900"/>
    <w:rsid w:val="00F31D3F"/>
    <w:rsid w:val="00F31E7C"/>
    <w:rsid w:val="00F31F47"/>
    <w:rsid w:val="00F321EC"/>
    <w:rsid w:val="00F322A1"/>
    <w:rsid w:val="00F32E01"/>
    <w:rsid w:val="00F33076"/>
    <w:rsid w:val="00F3468C"/>
    <w:rsid w:val="00F34DF4"/>
    <w:rsid w:val="00F35322"/>
    <w:rsid w:val="00F35C04"/>
    <w:rsid w:val="00F35EA7"/>
    <w:rsid w:val="00F363D1"/>
    <w:rsid w:val="00F364BD"/>
    <w:rsid w:val="00F36727"/>
    <w:rsid w:val="00F37583"/>
    <w:rsid w:val="00F3778D"/>
    <w:rsid w:val="00F37E87"/>
    <w:rsid w:val="00F37F9D"/>
    <w:rsid w:val="00F4004D"/>
    <w:rsid w:val="00F4012B"/>
    <w:rsid w:val="00F40508"/>
    <w:rsid w:val="00F40941"/>
    <w:rsid w:val="00F40950"/>
    <w:rsid w:val="00F409A8"/>
    <w:rsid w:val="00F40ED5"/>
    <w:rsid w:val="00F40FE2"/>
    <w:rsid w:val="00F41194"/>
    <w:rsid w:val="00F41AE3"/>
    <w:rsid w:val="00F42C2E"/>
    <w:rsid w:val="00F42E97"/>
    <w:rsid w:val="00F4345F"/>
    <w:rsid w:val="00F4347D"/>
    <w:rsid w:val="00F43A5D"/>
    <w:rsid w:val="00F43B59"/>
    <w:rsid w:val="00F43D00"/>
    <w:rsid w:val="00F441C3"/>
    <w:rsid w:val="00F444DB"/>
    <w:rsid w:val="00F453E8"/>
    <w:rsid w:val="00F456B4"/>
    <w:rsid w:val="00F45AFD"/>
    <w:rsid w:val="00F45F5B"/>
    <w:rsid w:val="00F45FF2"/>
    <w:rsid w:val="00F462C3"/>
    <w:rsid w:val="00F46E17"/>
    <w:rsid w:val="00F47562"/>
    <w:rsid w:val="00F504B9"/>
    <w:rsid w:val="00F50708"/>
    <w:rsid w:val="00F50787"/>
    <w:rsid w:val="00F50E4B"/>
    <w:rsid w:val="00F511DC"/>
    <w:rsid w:val="00F51577"/>
    <w:rsid w:val="00F516B9"/>
    <w:rsid w:val="00F518FB"/>
    <w:rsid w:val="00F51B60"/>
    <w:rsid w:val="00F51DA4"/>
    <w:rsid w:val="00F51DBF"/>
    <w:rsid w:val="00F51E6B"/>
    <w:rsid w:val="00F522DC"/>
    <w:rsid w:val="00F52359"/>
    <w:rsid w:val="00F52590"/>
    <w:rsid w:val="00F5282A"/>
    <w:rsid w:val="00F5299A"/>
    <w:rsid w:val="00F52B7A"/>
    <w:rsid w:val="00F52C92"/>
    <w:rsid w:val="00F5320D"/>
    <w:rsid w:val="00F532CE"/>
    <w:rsid w:val="00F536D1"/>
    <w:rsid w:val="00F53F1C"/>
    <w:rsid w:val="00F54AEB"/>
    <w:rsid w:val="00F54D47"/>
    <w:rsid w:val="00F54DC4"/>
    <w:rsid w:val="00F551A1"/>
    <w:rsid w:val="00F55521"/>
    <w:rsid w:val="00F5557F"/>
    <w:rsid w:val="00F55801"/>
    <w:rsid w:val="00F55DF7"/>
    <w:rsid w:val="00F55E89"/>
    <w:rsid w:val="00F55F04"/>
    <w:rsid w:val="00F5612C"/>
    <w:rsid w:val="00F56138"/>
    <w:rsid w:val="00F56182"/>
    <w:rsid w:val="00F563AB"/>
    <w:rsid w:val="00F56589"/>
    <w:rsid w:val="00F567D2"/>
    <w:rsid w:val="00F568B3"/>
    <w:rsid w:val="00F56953"/>
    <w:rsid w:val="00F56E59"/>
    <w:rsid w:val="00F56F16"/>
    <w:rsid w:val="00F571B7"/>
    <w:rsid w:val="00F5783E"/>
    <w:rsid w:val="00F61168"/>
    <w:rsid w:val="00F618DC"/>
    <w:rsid w:val="00F627E2"/>
    <w:rsid w:val="00F62A80"/>
    <w:rsid w:val="00F62CD8"/>
    <w:rsid w:val="00F639F7"/>
    <w:rsid w:val="00F63EFD"/>
    <w:rsid w:val="00F64416"/>
    <w:rsid w:val="00F64B9E"/>
    <w:rsid w:val="00F64C75"/>
    <w:rsid w:val="00F64FF8"/>
    <w:rsid w:val="00F65198"/>
    <w:rsid w:val="00F65292"/>
    <w:rsid w:val="00F65468"/>
    <w:rsid w:val="00F657B2"/>
    <w:rsid w:val="00F65CC3"/>
    <w:rsid w:val="00F65DED"/>
    <w:rsid w:val="00F663EC"/>
    <w:rsid w:val="00F67715"/>
    <w:rsid w:val="00F67E39"/>
    <w:rsid w:val="00F70564"/>
    <w:rsid w:val="00F70C75"/>
    <w:rsid w:val="00F70DD0"/>
    <w:rsid w:val="00F70FF0"/>
    <w:rsid w:val="00F712B0"/>
    <w:rsid w:val="00F71660"/>
    <w:rsid w:val="00F716EE"/>
    <w:rsid w:val="00F71706"/>
    <w:rsid w:val="00F719F7"/>
    <w:rsid w:val="00F71A4C"/>
    <w:rsid w:val="00F7278C"/>
    <w:rsid w:val="00F72876"/>
    <w:rsid w:val="00F73867"/>
    <w:rsid w:val="00F73C20"/>
    <w:rsid w:val="00F73DCE"/>
    <w:rsid w:val="00F74EAC"/>
    <w:rsid w:val="00F74F29"/>
    <w:rsid w:val="00F763D2"/>
    <w:rsid w:val="00F766E6"/>
    <w:rsid w:val="00F769C1"/>
    <w:rsid w:val="00F76F81"/>
    <w:rsid w:val="00F770D3"/>
    <w:rsid w:val="00F77246"/>
    <w:rsid w:val="00F77452"/>
    <w:rsid w:val="00F77D41"/>
    <w:rsid w:val="00F77F38"/>
    <w:rsid w:val="00F77FE7"/>
    <w:rsid w:val="00F80405"/>
    <w:rsid w:val="00F80695"/>
    <w:rsid w:val="00F808A7"/>
    <w:rsid w:val="00F80BCF"/>
    <w:rsid w:val="00F810BE"/>
    <w:rsid w:val="00F83289"/>
    <w:rsid w:val="00F832C3"/>
    <w:rsid w:val="00F83729"/>
    <w:rsid w:val="00F837CB"/>
    <w:rsid w:val="00F83B2C"/>
    <w:rsid w:val="00F84786"/>
    <w:rsid w:val="00F853FC"/>
    <w:rsid w:val="00F8542E"/>
    <w:rsid w:val="00F8579D"/>
    <w:rsid w:val="00F85C5A"/>
    <w:rsid w:val="00F8639A"/>
    <w:rsid w:val="00F86F18"/>
    <w:rsid w:val="00F87175"/>
    <w:rsid w:val="00F873C4"/>
    <w:rsid w:val="00F87506"/>
    <w:rsid w:val="00F878E8"/>
    <w:rsid w:val="00F87AD0"/>
    <w:rsid w:val="00F87B35"/>
    <w:rsid w:val="00F87B9A"/>
    <w:rsid w:val="00F87C3A"/>
    <w:rsid w:val="00F87D69"/>
    <w:rsid w:val="00F9024D"/>
    <w:rsid w:val="00F9041A"/>
    <w:rsid w:val="00F90845"/>
    <w:rsid w:val="00F90E25"/>
    <w:rsid w:val="00F910E5"/>
    <w:rsid w:val="00F92014"/>
    <w:rsid w:val="00F920A6"/>
    <w:rsid w:val="00F923D3"/>
    <w:rsid w:val="00F93C36"/>
    <w:rsid w:val="00F93C48"/>
    <w:rsid w:val="00F93E22"/>
    <w:rsid w:val="00F9533A"/>
    <w:rsid w:val="00F957B8"/>
    <w:rsid w:val="00F96067"/>
    <w:rsid w:val="00F96165"/>
    <w:rsid w:val="00F96784"/>
    <w:rsid w:val="00F96811"/>
    <w:rsid w:val="00F96964"/>
    <w:rsid w:val="00F97BE0"/>
    <w:rsid w:val="00FA087C"/>
    <w:rsid w:val="00FA0BAC"/>
    <w:rsid w:val="00FA0D0F"/>
    <w:rsid w:val="00FA0F80"/>
    <w:rsid w:val="00FA11A4"/>
    <w:rsid w:val="00FA1712"/>
    <w:rsid w:val="00FA1798"/>
    <w:rsid w:val="00FA1C40"/>
    <w:rsid w:val="00FA205D"/>
    <w:rsid w:val="00FA2205"/>
    <w:rsid w:val="00FA256E"/>
    <w:rsid w:val="00FA297A"/>
    <w:rsid w:val="00FA2D0E"/>
    <w:rsid w:val="00FA2FBE"/>
    <w:rsid w:val="00FA3010"/>
    <w:rsid w:val="00FA3530"/>
    <w:rsid w:val="00FA36FA"/>
    <w:rsid w:val="00FA3BDF"/>
    <w:rsid w:val="00FA4088"/>
    <w:rsid w:val="00FA4178"/>
    <w:rsid w:val="00FA4DE1"/>
    <w:rsid w:val="00FA4FF3"/>
    <w:rsid w:val="00FA5341"/>
    <w:rsid w:val="00FA5347"/>
    <w:rsid w:val="00FA578D"/>
    <w:rsid w:val="00FA5B41"/>
    <w:rsid w:val="00FA5F90"/>
    <w:rsid w:val="00FA6148"/>
    <w:rsid w:val="00FA6303"/>
    <w:rsid w:val="00FA66A0"/>
    <w:rsid w:val="00FA6C28"/>
    <w:rsid w:val="00FA7003"/>
    <w:rsid w:val="00FA72BA"/>
    <w:rsid w:val="00FA7440"/>
    <w:rsid w:val="00FA74F0"/>
    <w:rsid w:val="00FA760C"/>
    <w:rsid w:val="00FA7871"/>
    <w:rsid w:val="00FA7B0D"/>
    <w:rsid w:val="00FA7BCD"/>
    <w:rsid w:val="00FB045C"/>
    <w:rsid w:val="00FB0869"/>
    <w:rsid w:val="00FB1121"/>
    <w:rsid w:val="00FB1779"/>
    <w:rsid w:val="00FB18FC"/>
    <w:rsid w:val="00FB1B10"/>
    <w:rsid w:val="00FB23EA"/>
    <w:rsid w:val="00FB2458"/>
    <w:rsid w:val="00FB2CA7"/>
    <w:rsid w:val="00FB31DA"/>
    <w:rsid w:val="00FB347B"/>
    <w:rsid w:val="00FB3745"/>
    <w:rsid w:val="00FB39D2"/>
    <w:rsid w:val="00FB3CA5"/>
    <w:rsid w:val="00FB4926"/>
    <w:rsid w:val="00FB4C63"/>
    <w:rsid w:val="00FB4F45"/>
    <w:rsid w:val="00FB5051"/>
    <w:rsid w:val="00FB537D"/>
    <w:rsid w:val="00FB546D"/>
    <w:rsid w:val="00FB5AAE"/>
    <w:rsid w:val="00FB5C1A"/>
    <w:rsid w:val="00FB6C53"/>
    <w:rsid w:val="00FB6DCB"/>
    <w:rsid w:val="00FB747B"/>
    <w:rsid w:val="00FB75DB"/>
    <w:rsid w:val="00FB7698"/>
    <w:rsid w:val="00FB7A67"/>
    <w:rsid w:val="00FB7CE9"/>
    <w:rsid w:val="00FC0FA0"/>
    <w:rsid w:val="00FC11C5"/>
    <w:rsid w:val="00FC15AC"/>
    <w:rsid w:val="00FC15F6"/>
    <w:rsid w:val="00FC2388"/>
    <w:rsid w:val="00FC2554"/>
    <w:rsid w:val="00FC2B31"/>
    <w:rsid w:val="00FC32DA"/>
    <w:rsid w:val="00FC3491"/>
    <w:rsid w:val="00FC3C1E"/>
    <w:rsid w:val="00FC3F3F"/>
    <w:rsid w:val="00FC463D"/>
    <w:rsid w:val="00FC468C"/>
    <w:rsid w:val="00FC46DC"/>
    <w:rsid w:val="00FC4736"/>
    <w:rsid w:val="00FC4937"/>
    <w:rsid w:val="00FC4C3F"/>
    <w:rsid w:val="00FC4CD0"/>
    <w:rsid w:val="00FC4DA1"/>
    <w:rsid w:val="00FC4DFC"/>
    <w:rsid w:val="00FC512A"/>
    <w:rsid w:val="00FC5928"/>
    <w:rsid w:val="00FC5C82"/>
    <w:rsid w:val="00FC65B0"/>
    <w:rsid w:val="00FC6776"/>
    <w:rsid w:val="00FC68D8"/>
    <w:rsid w:val="00FC6DB1"/>
    <w:rsid w:val="00FC701C"/>
    <w:rsid w:val="00FC726A"/>
    <w:rsid w:val="00FC7732"/>
    <w:rsid w:val="00FC794E"/>
    <w:rsid w:val="00FC7A6D"/>
    <w:rsid w:val="00FC7B36"/>
    <w:rsid w:val="00FC7C55"/>
    <w:rsid w:val="00FC7DB5"/>
    <w:rsid w:val="00FD0EF5"/>
    <w:rsid w:val="00FD11CA"/>
    <w:rsid w:val="00FD15D5"/>
    <w:rsid w:val="00FD17AE"/>
    <w:rsid w:val="00FD183B"/>
    <w:rsid w:val="00FD1C6E"/>
    <w:rsid w:val="00FD1F83"/>
    <w:rsid w:val="00FD2069"/>
    <w:rsid w:val="00FD2312"/>
    <w:rsid w:val="00FD24E2"/>
    <w:rsid w:val="00FD2B87"/>
    <w:rsid w:val="00FD3608"/>
    <w:rsid w:val="00FD3998"/>
    <w:rsid w:val="00FD3B90"/>
    <w:rsid w:val="00FD3D7D"/>
    <w:rsid w:val="00FD414B"/>
    <w:rsid w:val="00FD43C5"/>
    <w:rsid w:val="00FD47DC"/>
    <w:rsid w:val="00FD4B0F"/>
    <w:rsid w:val="00FD502F"/>
    <w:rsid w:val="00FD5504"/>
    <w:rsid w:val="00FD61F8"/>
    <w:rsid w:val="00FD64B0"/>
    <w:rsid w:val="00FD64DB"/>
    <w:rsid w:val="00FD6DA9"/>
    <w:rsid w:val="00FD719F"/>
    <w:rsid w:val="00FD739A"/>
    <w:rsid w:val="00FD73D6"/>
    <w:rsid w:val="00FE018C"/>
    <w:rsid w:val="00FE0345"/>
    <w:rsid w:val="00FE0520"/>
    <w:rsid w:val="00FE0A85"/>
    <w:rsid w:val="00FE0EDF"/>
    <w:rsid w:val="00FE17DD"/>
    <w:rsid w:val="00FE19D2"/>
    <w:rsid w:val="00FE1A7A"/>
    <w:rsid w:val="00FE1AB4"/>
    <w:rsid w:val="00FE21EC"/>
    <w:rsid w:val="00FE25E3"/>
    <w:rsid w:val="00FE2757"/>
    <w:rsid w:val="00FE2C64"/>
    <w:rsid w:val="00FE2D66"/>
    <w:rsid w:val="00FE3C3C"/>
    <w:rsid w:val="00FE3D0D"/>
    <w:rsid w:val="00FE433B"/>
    <w:rsid w:val="00FE4A55"/>
    <w:rsid w:val="00FE4B14"/>
    <w:rsid w:val="00FE4E88"/>
    <w:rsid w:val="00FE5154"/>
    <w:rsid w:val="00FE55CD"/>
    <w:rsid w:val="00FE5618"/>
    <w:rsid w:val="00FE569C"/>
    <w:rsid w:val="00FE5CA1"/>
    <w:rsid w:val="00FE5EDE"/>
    <w:rsid w:val="00FE5F9F"/>
    <w:rsid w:val="00FE65BC"/>
    <w:rsid w:val="00FE6628"/>
    <w:rsid w:val="00FE6AD7"/>
    <w:rsid w:val="00FE6C89"/>
    <w:rsid w:val="00FE6DDD"/>
    <w:rsid w:val="00FE71C5"/>
    <w:rsid w:val="00FE72DA"/>
    <w:rsid w:val="00FE7A38"/>
    <w:rsid w:val="00FE7D9F"/>
    <w:rsid w:val="00FE7DB8"/>
    <w:rsid w:val="00FF0A37"/>
    <w:rsid w:val="00FF0E6E"/>
    <w:rsid w:val="00FF0F76"/>
    <w:rsid w:val="00FF12C4"/>
    <w:rsid w:val="00FF1A71"/>
    <w:rsid w:val="00FF1B9F"/>
    <w:rsid w:val="00FF1C22"/>
    <w:rsid w:val="00FF1F9C"/>
    <w:rsid w:val="00FF2591"/>
    <w:rsid w:val="00FF2680"/>
    <w:rsid w:val="00FF2876"/>
    <w:rsid w:val="00FF2B43"/>
    <w:rsid w:val="00FF2CEE"/>
    <w:rsid w:val="00FF2D8C"/>
    <w:rsid w:val="00FF3053"/>
    <w:rsid w:val="00FF35CB"/>
    <w:rsid w:val="00FF3C7B"/>
    <w:rsid w:val="00FF3F71"/>
    <w:rsid w:val="00FF4018"/>
    <w:rsid w:val="00FF526A"/>
    <w:rsid w:val="00FF54B6"/>
    <w:rsid w:val="00FF5535"/>
    <w:rsid w:val="00FF5A6F"/>
    <w:rsid w:val="00FF5AB3"/>
    <w:rsid w:val="00FF5ACD"/>
    <w:rsid w:val="00FF5DB7"/>
    <w:rsid w:val="00FF6328"/>
    <w:rsid w:val="00FF63AF"/>
    <w:rsid w:val="00FF6B0C"/>
    <w:rsid w:val="00FF72FF"/>
    <w:rsid w:val="00FF7359"/>
    <w:rsid w:val="00FF746D"/>
    <w:rsid w:val="00FF74AF"/>
    <w:rsid w:val="00FF7CA1"/>
    <w:rsid w:val="012AFB84"/>
    <w:rsid w:val="01543958"/>
    <w:rsid w:val="015995F3"/>
    <w:rsid w:val="016388AF"/>
    <w:rsid w:val="016FCC08"/>
    <w:rsid w:val="01707B26"/>
    <w:rsid w:val="0179AB9D"/>
    <w:rsid w:val="018562BB"/>
    <w:rsid w:val="01A57AED"/>
    <w:rsid w:val="01B22C54"/>
    <w:rsid w:val="01E8A3CA"/>
    <w:rsid w:val="01F21CF3"/>
    <w:rsid w:val="01F244FD"/>
    <w:rsid w:val="0226DF43"/>
    <w:rsid w:val="0229E419"/>
    <w:rsid w:val="023481A3"/>
    <w:rsid w:val="0262E1EE"/>
    <w:rsid w:val="029D15F4"/>
    <w:rsid w:val="02C76B3C"/>
    <w:rsid w:val="02D3776A"/>
    <w:rsid w:val="02D49327"/>
    <w:rsid w:val="02FFAD2D"/>
    <w:rsid w:val="031CAC13"/>
    <w:rsid w:val="032849F6"/>
    <w:rsid w:val="03356CEA"/>
    <w:rsid w:val="0360DB3C"/>
    <w:rsid w:val="03C42316"/>
    <w:rsid w:val="03D79BE6"/>
    <w:rsid w:val="03DF0A89"/>
    <w:rsid w:val="044ABD27"/>
    <w:rsid w:val="044F9FEC"/>
    <w:rsid w:val="04540102"/>
    <w:rsid w:val="049403BA"/>
    <w:rsid w:val="04DA9582"/>
    <w:rsid w:val="04DAFF3D"/>
    <w:rsid w:val="04DDF1EE"/>
    <w:rsid w:val="04E57BC9"/>
    <w:rsid w:val="04E8CA1E"/>
    <w:rsid w:val="04F9CD12"/>
    <w:rsid w:val="04FCA634"/>
    <w:rsid w:val="04FCBFE5"/>
    <w:rsid w:val="052789F8"/>
    <w:rsid w:val="05310F5D"/>
    <w:rsid w:val="0591C641"/>
    <w:rsid w:val="0592BBDC"/>
    <w:rsid w:val="0595A095"/>
    <w:rsid w:val="05B192C0"/>
    <w:rsid w:val="05C0177E"/>
    <w:rsid w:val="05C90958"/>
    <w:rsid w:val="05D630EE"/>
    <w:rsid w:val="0603CBAE"/>
    <w:rsid w:val="0630DE1E"/>
    <w:rsid w:val="0643FF5B"/>
    <w:rsid w:val="0652B421"/>
    <w:rsid w:val="067E764D"/>
    <w:rsid w:val="0685F119"/>
    <w:rsid w:val="06C060B8"/>
    <w:rsid w:val="06E3C2BF"/>
    <w:rsid w:val="06EA4EC8"/>
    <w:rsid w:val="06EE8669"/>
    <w:rsid w:val="07017680"/>
    <w:rsid w:val="070C586E"/>
    <w:rsid w:val="0785E34A"/>
    <w:rsid w:val="078AC6B8"/>
    <w:rsid w:val="079AA372"/>
    <w:rsid w:val="079F551F"/>
    <w:rsid w:val="0861547F"/>
    <w:rsid w:val="0867B220"/>
    <w:rsid w:val="087400D2"/>
    <w:rsid w:val="089EF15F"/>
    <w:rsid w:val="08A5CAE4"/>
    <w:rsid w:val="08AAD72F"/>
    <w:rsid w:val="08AE549F"/>
    <w:rsid w:val="08B2F3B2"/>
    <w:rsid w:val="08C1E295"/>
    <w:rsid w:val="08D53027"/>
    <w:rsid w:val="08D9B855"/>
    <w:rsid w:val="08E0F191"/>
    <w:rsid w:val="090A0151"/>
    <w:rsid w:val="09441A12"/>
    <w:rsid w:val="094441FE"/>
    <w:rsid w:val="094F045E"/>
    <w:rsid w:val="09652CCB"/>
    <w:rsid w:val="09773176"/>
    <w:rsid w:val="099983C1"/>
    <w:rsid w:val="099E4681"/>
    <w:rsid w:val="0A0F660B"/>
    <w:rsid w:val="0A0FF164"/>
    <w:rsid w:val="0A1BD2EF"/>
    <w:rsid w:val="0A52067C"/>
    <w:rsid w:val="0A54A4D8"/>
    <w:rsid w:val="0A59CB48"/>
    <w:rsid w:val="0A68F31E"/>
    <w:rsid w:val="0A840001"/>
    <w:rsid w:val="0A8B02B5"/>
    <w:rsid w:val="0A922671"/>
    <w:rsid w:val="0AEBA066"/>
    <w:rsid w:val="0B0F3CA3"/>
    <w:rsid w:val="0B2F091A"/>
    <w:rsid w:val="0B690BD9"/>
    <w:rsid w:val="0B9C2708"/>
    <w:rsid w:val="0B9FC0C4"/>
    <w:rsid w:val="0BAD2B62"/>
    <w:rsid w:val="0BB0279B"/>
    <w:rsid w:val="0BFAB46C"/>
    <w:rsid w:val="0BFC4203"/>
    <w:rsid w:val="0BFCF0BE"/>
    <w:rsid w:val="0C1B1F72"/>
    <w:rsid w:val="0C1CF7CF"/>
    <w:rsid w:val="0C204E5B"/>
    <w:rsid w:val="0C221AEA"/>
    <w:rsid w:val="0C58AC88"/>
    <w:rsid w:val="0C6E2791"/>
    <w:rsid w:val="0C8035F0"/>
    <w:rsid w:val="0C80AFEC"/>
    <w:rsid w:val="0C878994"/>
    <w:rsid w:val="0CB2CC62"/>
    <w:rsid w:val="0CD52CE2"/>
    <w:rsid w:val="0D0728C5"/>
    <w:rsid w:val="0D1F7FE0"/>
    <w:rsid w:val="0D3E525D"/>
    <w:rsid w:val="0D40D699"/>
    <w:rsid w:val="0D4CEC39"/>
    <w:rsid w:val="0D4FB34D"/>
    <w:rsid w:val="0D5F4755"/>
    <w:rsid w:val="0D671D43"/>
    <w:rsid w:val="0D7DD432"/>
    <w:rsid w:val="0D89B127"/>
    <w:rsid w:val="0DCDEE15"/>
    <w:rsid w:val="0DCFDAC8"/>
    <w:rsid w:val="0DD6B2AC"/>
    <w:rsid w:val="0DF2E8CF"/>
    <w:rsid w:val="0E0FDBCD"/>
    <w:rsid w:val="0E1BC079"/>
    <w:rsid w:val="0E251262"/>
    <w:rsid w:val="0E3B67B7"/>
    <w:rsid w:val="0E4C9D35"/>
    <w:rsid w:val="0E4E0051"/>
    <w:rsid w:val="0EA7D070"/>
    <w:rsid w:val="0EA92366"/>
    <w:rsid w:val="0EAF7E36"/>
    <w:rsid w:val="0EB9DA7C"/>
    <w:rsid w:val="0EC743A5"/>
    <w:rsid w:val="0ECCB818"/>
    <w:rsid w:val="0EEBE0A1"/>
    <w:rsid w:val="0EECC6C7"/>
    <w:rsid w:val="0EF15C33"/>
    <w:rsid w:val="0EF62D45"/>
    <w:rsid w:val="0EFD1E2F"/>
    <w:rsid w:val="0F31BDB6"/>
    <w:rsid w:val="0F3B0DA7"/>
    <w:rsid w:val="0F574868"/>
    <w:rsid w:val="0F57B6C1"/>
    <w:rsid w:val="0F895D30"/>
    <w:rsid w:val="0F8FF6A2"/>
    <w:rsid w:val="0FD1469F"/>
    <w:rsid w:val="0FD98C0F"/>
    <w:rsid w:val="0FDD0B29"/>
    <w:rsid w:val="0FDE22A5"/>
    <w:rsid w:val="10010FAD"/>
    <w:rsid w:val="1012A180"/>
    <w:rsid w:val="101CD3FB"/>
    <w:rsid w:val="102D5660"/>
    <w:rsid w:val="104E41AB"/>
    <w:rsid w:val="1050C692"/>
    <w:rsid w:val="1063729C"/>
    <w:rsid w:val="1064BD89"/>
    <w:rsid w:val="1070FB72"/>
    <w:rsid w:val="10751F86"/>
    <w:rsid w:val="107AD250"/>
    <w:rsid w:val="108601E2"/>
    <w:rsid w:val="10A59905"/>
    <w:rsid w:val="10A6CC72"/>
    <w:rsid w:val="10A8B3BE"/>
    <w:rsid w:val="10C0BB56"/>
    <w:rsid w:val="10DEBEEF"/>
    <w:rsid w:val="10F43A99"/>
    <w:rsid w:val="114C34F6"/>
    <w:rsid w:val="11612570"/>
    <w:rsid w:val="1170A98B"/>
    <w:rsid w:val="117905D2"/>
    <w:rsid w:val="1199E233"/>
    <w:rsid w:val="11ACCF96"/>
    <w:rsid w:val="11BD4AD4"/>
    <w:rsid w:val="11C5E90C"/>
    <w:rsid w:val="11D4C9AA"/>
    <w:rsid w:val="12218B1A"/>
    <w:rsid w:val="1227BA5B"/>
    <w:rsid w:val="123B72C1"/>
    <w:rsid w:val="123D552E"/>
    <w:rsid w:val="125595BA"/>
    <w:rsid w:val="125E9318"/>
    <w:rsid w:val="1262266D"/>
    <w:rsid w:val="1264CD7D"/>
    <w:rsid w:val="12BDD350"/>
    <w:rsid w:val="12D9F3D8"/>
    <w:rsid w:val="1329D833"/>
    <w:rsid w:val="13333655"/>
    <w:rsid w:val="133E7EC7"/>
    <w:rsid w:val="1358B1B0"/>
    <w:rsid w:val="1366254C"/>
    <w:rsid w:val="136948D1"/>
    <w:rsid w:val="136EA7F4"/>
    <w:rsid w:val="136FD39B"/>
    <w:rsid w:val="139D40C8"/>
    <w:rsid w:val="13A26F5D"/>
    <w:rsid w:val="13C8891C"/>
    <w:rsid w:val="13DE65DB"/>
    <w:rsid w:val="1402B136"/>
    <w:rsid w:val="141606E3"/>
    <w:rsid w:val="1426893E"/>
    <w:rsid w:val="1437A970"/>
    <w:rsid w:val="145337CB"/>
    <w:rsid w:val="1461704F"/>
    <w:rsid w:val="14662274"/>
    <w:rsid w:val="14726A19"/>
    <w:rsid w:val="14763416"/>
    <w:rsid w:val="147862D9"/>
    <w:rsid w:val="148E7528"/>
    <w:rsid w:val="149DD535"/>
    <w:rsid w:val="14C76D8E"/>
    <w:rsid w:val="14E4555C"/>
    <w:rsid w:val="151751A9"/>
    <w:rsid w:val="153D1F11"/>
    <w:rsid w:val="154C9817"/>
    <w:rsid w:val="155A6841"/>
    <w:rsid w:val="1597EEAE"/>
    <w:rsid w:val="1599563D"/>
    <w:rsid w:val="159BAFF5"/>
    <w:rsid w:val="15A04D89"/>
    <w:rsid w:val="15A621EB"/>
    <w:rsid w:val="15D1B4D5"/>
    <w:rsid w:val="15E73295"/>
    <w:rsid w:val="160584F6"/>
    <w:rsid w:val="1616E1B4"/>
    <w:rsid w:val="16277A6D"/>
    <w:rsid w:val="162AFA94"/>
    <w:rsid w:val="162E8D9A"/>
    <w:rsid w:val="164F2B17"/>
    <w:rsid w:val="1659387B"/>
    <w:rsid w:val="16961F8B"/>
    <w:rsid w:val="16A49367"/>
    <w:rsid w:val="16A6FB45"/>
    <w:rsid w:val="16BE9C68"/>
    <w:rsid w:val="16C98B3A"/>
    <w:rsid w:val="16D78D12"/>
    <w:rsid w:val="16DE1E52"/>
    <w:rsid w:val="16E88D1E"/>
    <w:rsid w:val="16E8BBB9"/>
    <w:rsid w:val="16EA026B"/>
    <w:rsid w:val="1741D178"/>
    <w:rsid w:val="174E4123"/>
    <w:rsid w:val="176BD889"/>
    <w:rsid w:val="17760C4E"/>
    <w:rsid w:val="177C8BBE"/>
    <w:rsid w:val="177CF9B3"/>
    <w:rsid w:val="178168F8"/>
    <w:rsid w:val="17AC8EE8"/>
    <w:rsid w:val="17C04086"/>
    <w:rsid w:val="17C21839"/>
    <w:rsid w:val="17C2CE33"/>
    <w:rsid w:val="17F6DC08"/>
    <w:rsid w:val="1808F436"/>
    <w:rsid w:val="18153BCE"/>
    <w:rsid w:val="181AF9D2"/>
    <w:rsid w:val="182CAC18"/>
    <w:rsid w:val="18477AD6"/>
    <w:rsid w:val="18514A47"/>
    <w:rsid w:val="186B22F1"/>
    <w:rsid w:val="186B89B2"/>
    <w:rsid w:val="186FBF90"/>
    <w:rsid w:val="1871C64B"/>
    <w:rsid w:val="1872412E"/>
    <w:rsid w:val="187F9B3E"/>
    <w:rsid w:val="18916DC9"/>
    <w:rsid w:val="189B7DAD"/>
    <w:rsid w:val="189E596B"/>
    <w:rsid w:val="18E974DB"/>
    <w:rsid w:val="18EC28CA"/>
    <w:rsid w:val="19403DD7"/>
    <w:rsid w:val="195EC3C8"/>
    <w:rsid w:val="19AC1539"/>
    <w:rsid w:val="19CA5B84"/>
    <w:rsid w:val="19CEADFD"/>
    <w:rsid w:val="19E921DA"/>
    <w:rsid w:val="19F9E6E2"/>
    <w:rsid w:val="19FE451D"/>
    <w:rsid w:val="1A038B39"/>
    <w:rsid w:val="1A34FDC3"/>
    <w:rsid w:val="1A50382B"/>
    <w:rsid w:val="1A89D78A"/>
    <w:rsid w:val="1A978541"/>
    <w:rsid w:val="1AA212D3"/>
    <w:rsid w:val="1AA659A4"/>
    <w:rsid w:val="1ABCEAB0"/>
    <w:rsid w:val="1ACBE04E"/>
    <w:rsid w:val="1ACD3CF7"/>
    <w:rsid w:val="1AE04970"/>
    <w:rsid w:val="1AE09070"/>
    <w:rsid w:val="1AE33227"/>
    <w:rsid w:val="1AF656F0"/>
    <w:rsid w:val="1B0A7974"/>
    <w:rsid w:val="1B1A88DB"/>
    <w:rsid w:val="1B2E3578"/>
    <w:rsid w:val="1B2FCF08"/>
    <w:rsid w:val="1B420278"/>
    <w:rsid w:val="1B6C2FCF"/>
    <w:rsid w:val="1BA3447B"/>
    <w:rsid w:val="1BAF7B78"/>
    <w:rsid w:val="1BB3BD6C"/>
    <w:rsid w:val="1BC7D475"/>
    <w:rsid w:val="1BD8C6B9"/>
    <w:rsid w:val="1BF2C5F3"/>
    <w:rsid w:val="1C366D10"/>
    <w:rsid w:val="1C4555CE"/>
    <w:rsid w:val="1C7260AE"/>
    <w:rsid w:val="1C907C27"/>
    <w:rsid w:val="1CA28C6A"/>
    <w:rsid w:val="1D03E2C2"/>
    <w:rsid w:val="1D09F67C"/>
    <w:rsid w:val="1D259773"/>
    <w:rsid w:val="1D530783"/>
    <w:rsid w:val="1D6D00AD"/>
    <w:rsid w:val="1D8086FA"/>
    <w:rsid w:val="1DBB87C9"/>
    <w:rsid w:val="1E0F0C53"/>
    <w:rsid w:val="1E23F9DD"/>
    <w:rsid w:val="1E485E6B"/>
    <w:rsid w:val="1E58D38D"/>
    <w:rsid w:val="1E60D356"/>
    <w:rsid w:val="1E888177"/>
    <w:rsid w:val="1E9F9663"/>
    <w:rsid w:val="1EAAF3B2"/>
    <w:rsid w:val="1EC36AAA"/>
    <w:rsid w:val="1EC977C4"/>
    <w:rsid w:val="1ED02683"/>
    <w:rsid w:val="1ED03CE1"/>
    <w:rsid w:val="1EE0AB77"/>
    <w:rsid w:val="1EE9FB01"/>
    <w:rsid w:val="1EF41D74"/>
    <w:rsid w:val="1F1A7794"/>
    <w:rsid w:val="1F208322"/>
    <w:rsid w:val="1F22DAE2"/>
    <w:rsid w:val="1F2A6777"/>
    <w:rsid w:val="1F3D6150"/>
    <w:rsid w:val="1FDB98E0"/>
    <w:rsid w:val="200D35D1"/>
    <w:rsid w:val="2056F057"/>
    <w:rsid w:val="205DBC2B"/>
    <w:rsid w:val="20696941"/>
    <w:rsid w:val="2072787F"/>
    <w:rsid w:val="20B30DC8"/>
    <w:rsid w:val="20DF197E"/>
    <w:rsid w:val="20E02C12"/>
    <w:rsid w:val="20F9F333"/>
    <w:rsid w:val="20FB764D"/>
    <w:rsid w:val="210A7156"/>
    <w:rsid w:val="210BE4DA"/>
    <w:rsid w:val="210EC075"/>
    <w:rsid w:val="217EFD66"/>
    <w:rsid w:val="218AC330"/>
    <w:rsid w:val="219CBC14"/>
    <w:rsid w:val="21A054AB"/>
    <w:rsid w:val="21B72394"/>
    <w:rsid w:val="21D70F32"/>
    <w:rsid w:val="21DCB0BE"/>
    <w:rsid w:val="21E5EDAA"/>
    <w:rsid w:val="21F03F9F"/>
    <w:rsid w:val="220C8AE5"/>
    <w:rsid w:val="22260B33"/>
    <w:rsid w:val="22316243"/>
    <w:rsid w:val="224C4B39"/>
    <w:rsid w:val="224E0C58"/>
    <w:rsid w:val="227AE845"/>
    <w:rsid w:val="22825479"/>
    <w:rsid w:val="229B406F"/>
    <w:rsid w:val="22B16C61"/>
    <w:rsid w:val="22B30FF9"/>
    <w:rsid w:val="22F4AB1D"/>
    <w:rsid w:val="23171596"/>
    <w:rsid w:val="2324CF09"/>
    <w:rsid w:val="234CA0A7"/>
    <w:rsid w:val="2356367C"/>
    <w:rsid w:val="2373738F"/>
    <w:rsid w:val="23737CDF"/>
    <w:rsid w:val="237A505E"/>
    <w:rsid w:val="238F79E2"/>
    <w:rsid w:val="2396771B"/>
    <w:rsid w:val="23B5A161"/>
    <w:rsid w:val="23C0180C"/>
    <w:rsid w:val="23D6754C"/>
    <w:rsid w:val="23DC8358"/>
    <w:rsid w:val="2421981D"/>
    <w:rsid w:val="24252626"/>
    <w:rsid w:val="24954BB5"/>
    <w:rsid w:val="24AA24AC"/>
    <w:rsid w:val="24C7DF50"/>
    <w:rsid w:val="24F351AD"/>
    <w:rsid w:val="250399E6"/>
    <w:rsid w:val="253493B4"/>
    <w:rsid w:val="253ABED3"/>
    <w:rsid w:val="2554C029"/>
    <w:rsid w:val="255E188C"/>
    <w:rsid w:val="25698F87"/>
    <w:rsid w:val="257D2291"/>
    <w:rsid w:val="25A7D6B4"/>
    <w:rsid w:val="25B2069F"/>
    <w:rsid w:val="25B37601"/>
    <w:rsid w:val="25C2C9C0"/>
    <w:rsid w:val="25F2A73A"/>
    <w:rsid w:val="25F2CC3B"/>
    <w:rsid w:val="260DAC3D"/>
    <w:rsid w:val="2617DD67"/>
    <w:rsid w:val="262CF3A5"/>
    <w:rsid w:val="267B5E04"/>
    <w:rsid w:val="26930146"/>
    <w:rsid w:val="26B7A55B"/>
    <w:rsid w:val="26C02D0F"/>
    <w:rsid w:val="26CFD9B3"/>
    <w:rsid w:val="26D46C9D"/>
    <w:rsid w:val="26F62A1A"/>
    <w:rsid w:val="26FECE14"/>
    <w:rsid w:val="2704FF88"/>
    <w:rsid w:val="270AE7F0"/>
    <w:rsid w:val="2728AEAE"/>
    <w:rsid w:val="27333F2D"/>
    <w:rsid w:val="273A3E26"/>
    <w:rsid w:val="2762F798"/>
    <w:rsid w:val="2777B58D"/>
    <w:rsid w:val="27886B90"/>
    <w:rsid w:val="278BF266"/>
    <w:rsid w:val="278E41D7"/>
    <w:rsid w:val="2796E82A"/>
    <w:rsid w:val="279AFC02"/>
    <w:rsid w:val="27BAF2D1"/>
    <w:rsid w:val="27DC315F"/>
    <w:rsid w:val="27F03249"/>
    <w:rsid w:val="281CBB38"/>
    <w:rsid w:val="28575969"/>
    <w:rsid w:val="28724512"/>
    <w:rsid w:val="287D9071"/>
    <w:rsid w:val="2882C428"/>
    <w:rsid w:val="28844A3C"/>
    <w:rsid w:val="28925FAA"/>
    <w:rsid w:val="28A8FF3A"/>
    <w:rsid w:val="28C8DF36"/>
    <w:rsid w:val="28E582F6"/>
    <w:rsid w:val="28E65AF2"/>
    <w:rsid w:val="290040D1"/>
    <w:rsid w:val="292639C5"/>
    <w:rsid w:val="292A01D2"/>
    <w:rsid w:val="2932DC5C"/>
    <w:rsid w:val="293DDBF3"/>
    <w:rsid w:val="2942BCE6"/>
    <w:rsid w:val="2954891E"/>
    <w:rsid w:val="2969FE5D"/>
    <w:rsid w:val="297D5316"/>
    <w:rsid w:val="298E53A7"/>
    <w:rsid w:val="2996AD2C"/>
    <w:rsid w:val="29C6CA31"/>
    <w:rsid w:val="29E38993"/>
    <w:rsid w:val="2A01EA72"/>
    <w:rsid w:val="2A0D8852"/>
    <w:rsid w:val="2A3135EE"/>
    <w:rsid w:val="2A43E0A0"/>
    <w:rsid w:val="2A67FA2F"/>
    <w:rsid w:val="2A79BD56"/>
    <w:rsid w:val="2A97CA9C"/>
    <w:rsid w:val="2A9F963A"/>
    <w:rsid w:val="2AA77F0E"/>
    <w:rsid w:val="2AD2C7C4"/>
    <w:rsid w:val="2AD397EA"/>
    <w:rsid w:val="2ADD14BA"/>
    <w:rsid w:val="2AE29426"/>
    <w:rsid w:val="2AEC28BE"/>
    <w:rsid w:val="2AF015EF"/>
    <w:rsid w:val="2AF06607"/>
    <w:rsid w:val="2B103E8F"/>
    <w:rsid w:val="2B1D53D0"/>
    <w:rsid w:val="2B1EAD24"/>
    <w:rsid w:val="2B41285C"/>
    <w:rsid w:val="2B45BAE8"/>
    <w:rsid w:val="2B4906A0"/>
    <w:rsid w:val="2B4C58BC"/>
    <w:rsid w:val="2B4D0734"/>
    <w:rsid w:val="2B574D70"/>
    <w:rsid w:val="2B5842D5"/>
    <w:rsid w:val="2B58AB9C"/>
    <w:rsid w:val="2B5BBE5B"/>
    <w:rsid w:val="2B665703"/>
    <w:rsid w:val="2B8BC07B"/>
    <w:rsid w:val="2BA634FE"/>
    <w:rsid w:val="2BB2C2C6"/>
    <w:rsid w:val="2BB88B7E"/>
    <w:rsid w:val="2BE64072"/>
    <w:rsid w:val="2BFB8D0E"/>
    <w:rsid w:val="2C27D0AF"/>
    <w:rsid w:val="2C38EE89"/>
    <w:rsid w:val="2C39410B"/>
    <w:rsid w:val="2C481A9B"/>
    <w:rsid w:val="2C653F77"/>
    <w:rsid w:val="2C65C508"/>
    <w:rsid w:val="2C701D0B"/>
    <w:rsid w:val="2C7DACA4"/>
    <w:rsid w:val="2C8FBF3A"/>
    <w:rsid w:val="2C9F83F6"/>
    <w:rsid w:val="2CB65057"/>
    <w:rsid w:val="2CCA224B"/>
    <w:rsid w:val="2CF43A26"/>
    <w:rsid w:val="2D083E01"/>
    <w:rsid w:val="2D0EF4E0"/>
    <w:rsid w:val="2D111DD2"/>
    <w:rsid w:val="2D149F1E"/>
    <w:rsid w:val="2D218D51"/>
    <w:rsid w:val="2D3DA466"/>
    <w:rsid w:val="2D3DECCF"/>
    <w:rsid w:val="2D48B894"/>
    <w:rsid w:val="2D6FF425"/>
    <w:rsid w:val="2D74C28D"/>
    <w:rsid w:val="2D839774"/>
    <w:rsid w:val="2D90A3E0"/>
    <w:rsid w:val="2DA25C6D"/>
    <w:rsid w:val="2DA5C6E0"/>
    <w:rsid w:val="2DE2606E"/>
    <w:rsid w:val="2DEC6AB6"/>
    <w:rsid w:val="2E0077AD"/>
    <w:rsid w:val="2E02B3AA"/>
    <w:rsid w:val="2E48767B"/>
    <w:rsid w:val="2E48BFFA"/>
    <w:rsid w:val="2E648477"/>
    <w:rsid w:val="2E78026C"/>
    <w:rsid w:val="2E9FF3F6"/>
    <w:rsid w:val="2EA634EA"/>
    <w:rsid w:val="2EB4FD40"/>
    <w:rsid w:val="2EBB21E0"/>
    <w:rsid w:val="2EE0A29C"/>
    <w:rsid w:val="2EEC49F3"/>
    <w:rsid w:val="2F01B597"/>
    <w:rsid w:val="2F045504"/>
    <w:rsid w:val="2F06FC68"/>
    <w:rsid w:val="2F082073"/>
    <w:rsid w:val="2F0B054A"/>
    <w:rsid w:val="2F0BF867"/>
    <w:rsid w:val="2F121B94"/>
    <w:rsid w:val="2F2BEFB7"/>
    <w:rsid w:val="2F3AEDF3"/>
    <w:rsid w:val="2F60B3C2"/>
    <w:rsid w:val="2F6B580F"/>
    <w:rsid w:val="2F8CFAD7"/>
    <w:rsid w:val="2FBBCF60"/>
    <w:rsid w:val="2FC4DF4E"/>
    <w:rsid w:val="2FD60400"/>
    <w:rsid w:val="2FF5E9E9"/>
    <w:rsid w:val="2FF89036"/>
    <w:rsid w:val="3021DB7B"/>
    <w:rsid w:val="30248219"/>
    <w:rsid w:val="307815D4"/>
    <w:rsid w:val="308E402A"/>
    <w:rsid w:val="30BF23F2"/>
    <w:rsid w:val="30D3A2B9"/>
    <w:rsid w:val="30ECE66A"/>
    <w:rsid w:val="30F24BB1"/>
    <w:rsid w:val="3108BB65"/>
    <w:rsid w:val="310998BC"/>
    <w:rsid w:val="31231487"/>
    <w:rsid w:val="31257FE5"/>
    <w:rsid w:val="31343F20"/>
    <w:rsid w:val="313D172C"/>
    <w:rsid w:val="3140D86F"/>
    <w:rsid w:val="3164F6DB"/>
    <w:rsid w:val="31895E90"/>
    <w:rsid w:val="318B5754"/>
    <w:rsid w:val="31977CD1"/>
    <w:rsid w:val="31AD343B"/>
    <w:rsid w:val="31C8C65F"/>
    <w:rsid w:val="31C946A2"/>
    <w:rsid w:val="31F1E4A7"/>
    <w:rsid w:val="31FA298C"/>
    <w:rsid w:val="3202C6FA"/>
    <w:rsid w:val="32106BED"/>
    <w:rsid w:val="3216F0E1"/>
    <w:rsid w:val="32245505"/>
    <w:rsid w:val="32413B8B"/>
    <w:rsid w:val="3248417C"/>
    <w:rsid w:val="32941B0B"/>
    <w:rsid w:val="329A76CA"/>
    <w:rsid w:val="329D817B"/>
    <w:rsid w:val="32B4DBD0"/>
    <w:rsid w:val="32CBE16B"/>
    <w:rsid w:val="32CBFC72"/>
    <w:rsid w:val="32DCF011"/>
    <w:rsid w:val="32E06CB8"/>
    <w:rsid w:val="32E1C7D7"/>
    <w:rsid w:val="32E61B6E"/>
    <w:rsid w:val="32F887B1"/>
    <w:rsid w:val="330B2E5B"/>
    <w:rsid w:val="333D9CB4"/>
    <w:rsid w:val="3352D906"/>
    <w:rsid w:val="3359C862"/>
    <w:rsid w:val="335BEAEF"/>
    <w:rsid w:val="336BB7A9"/>
    <w:rsid w:val="336C9109"/>
    <w:rsid w:val="3392845D"/>
    <w:rsid w:val="33A142C9"/>
    <w:rsid w:val="33B20335"/>
    <w:rsid w:val="33B22F1E"/>
    <w:rsid w:val="33C96469"/>
    <w:rsid w:val="33F3BE6A"/>
    <w:rsid w:val="33FFD336"/>
    <w:rsid w:val="3403F328"/>
    <w:rsid w:val="34145554"/>
    <w:rsid w:val="3460D3BB"/>
    <w:rsid w:val="34674DDF"/>
    <w:rsid w:val="346BD4A2"/>
    <w:rsid w:val="3475799D"/>
    <w:rsid w:val="348F2DB9"/>
    <w:rsid w:val="34974490"/>
    <w:rsid w:val="34A23BEE"/>
    <w:rsid w:val="34C3856A"/>
    <w:rsid w:val="34E3E385"/>
    <w:rsid w:val="34EE1D9F"/>
    <w:rsid w:val="35345B2F"/>
    <w:rsid w:val="3554829B"/>
    <w:rsid w:val="356BAFCF"/>
    <w:rsid w:val="357424F6"/>
    <w:rsid w:val="3578FD9F"/>
    <w:rsid w:val="35A49B08"/>
    <w:rsid w:val="35ABCE08"/>
    <w:rsid w:val="35B528F7"/>
    <w:rsid w:val="35B99A95"/>
    <w:rsid w:val="35F49D17"/>
    <w:rsid w:val="3605309E"/>
    <w:rsid w:val="36070AC5"/>
    <w:rsid w:val="360E1BAA"/>
    <w:rsid w:val="36337D15"/>
    <w:rsid w:val="3639EDE7"/>
    <w:rsid w:val="365C6B10"/>
    <w:rsid w:val="365EC877"/>
    <w:rsid w:val="36817BCA"/>
    <w:rsid w:val="3693AFA4"/>
    <w:rsid w:val="36A05D20"/>
    <w:rsid w:val="36B38498"/>
    <w:rsid w:val="36F9D049"/>
    <w:rsid w:val="36FE309A"/>
    <w:rsid w:val="370BD65F"/>
    <w:rsid w:val="372CD242"/>
    <w:rsid w:val="3731708D"/>
    <w:rsid w:val="37436496"/>
    <w:rsid w:val="3748BCC0"/>
    <w:rsid w:val="375D2547"/>
    <w:rsid w:val="3773D15F"/>
    <w:rsid w:val="37871A13"/>
    <w:rsid w:val="37875105"/>
    <w:rsid w:val="37964333"/>
    <w:rsid w:val="379B6F38"/>
    <w:rsid w:val="37B9D569"/>
    <w:rsid w:val="37E53BB3"/>
    <w:rsid w:val="380CD302"/>
    <w:rsid w:val="380F9B9E"/>
    <w:rsid w:val="38104910"/>
    <w:rsid w:val="3810D36A"/>
    <w:rsid w:val="382B7C9E"/>
    <w:rsid w:val="383D7F9A"/>
    <w:rsid w:val="38438495"/>
    <w:rsid w:val="38604A1A"/>
    <w:rsid w:val="3866DB21"/>
    <w:rsid w:val="387B8246"/>
    <w:rsid w:val="387FD4AE"/>
    <w:rsid w:val="38A0F1E3"/>
    <w:rsid w:val="38AA886E"/>
    <w:rsid w:val="38D63018"/>
    <w:rsid w:val="38F46BF8"/>
    <w:rsid w:val="390BF800"/>
    <w:rsid w:val="391C690F"/>
    <w:rsid w:val="39364CB8"/>
    <w:rsid w:val="39539CD3"/>
    <w:rsid w:val="39825CF2"/>
    <w:rsid w:val="398D1F51"/>
    <w:rsid w:val="39947075"/>
    <w:rsid w:val="3995AD4A"/>
    <w:rsid w:val="39A9D105"/>
    <w:rsid w:val="39BAA400"/>
    <w:rsid w:val="39DEFFC0"/>
    <w:rsid w:val="39EBAAF7"/>
    <w:rsid w:val="3A0B4254"/>
    <w:rsid w:val="3A26E6B9"/>
    <w:rsid w:val="3A2D913C"/>
    <w:rsid w:val="3A34F673"/>
    <w:rsid w:val="3A364B64"/>
    <w:rsid w:val="3A723FAB"/>
    <w:rsid w:val="3A8DA1C5"/>
    <w:rsid w:val="3A9019BB"/>
    <w:rsid w:val="3AEF71E3"/>
    <w:rsid w:val="3B030522"/>
    <w:rsid w:val="3B05BA09"/>
    <w:rsid w:val="3B171879"/>
    <w:rsid w:val="3B6B0B20"/>
    <w:rsid w:val="3B761ADD"/>
    <w:rsid w:val="3B9CFF6D"/>
    <w:rsid w:val="3B9EA371"/>
    <w:rsid w:val="3BA991BD"/>
    <w:rsid w:val="3BB037AA"/>
    <w:rsid w:val="3BB6BEBD"/>
    <w:rsid w:val="3BB7C004"/>
    <w:rsid w:val="3BCB717E"/>
    <w:rsid w:val="3C22D6F4"/>
    <w:rsid w:val="3C28937B"/>
    <w:rsid w:val="3C413AD1"/>
    <w:rsid w:val="3C4C564B"/>
    <w:rsid w:val="3C655505"/>
    <w:rsid w:val="3C7E642C"/>
    <w:rsid w:val="3C83FC54"/>
    <w:rsid w:val="3C8A3968"/>
    <w:rsid w:val="3C9E07E5"/>
    <w:rsid w:val="3CA452BF"/>
    <w:rsid w:val="3CB34AB6"/>
    <w:rsid w:val="3CB3F646"/>
    <w:rsid w:val="3CB9F708"/>
    <w:rsid w:val="3CBB61B2"/>
    <w:rsid w:val="3CBBA1C9"/>
    <w:rsid w:val="3CCA1533"/>
    <w:rsid w:val="3CCB9622"/>
    <w:rsid w:val="3D1EF73F"/>
    <w:rsid w:val="3D5CA2AF"/>
    <w:rsid w:val="3D6C7F54"/>
    <w:rsid w:val="3D7EB450"/>
    <w:rsid w:val="3D873BC1"/>
    <w:rsid w:val="3D90FB52"/>
    <w:rsid w:val="3D9B3FAD"/>
    <w:rsid w:val="3DA240D2"/>
    <w:rsid w:val="3DC9E6FE"/>
    <w:rsid w:val="3DD068B0"/>
    <w:rsid w:val="3E08D9B7"/>
    <w:rsid w:val="3E265734"/>
    <w:rsid w:val="3E405BA9"/>
    <w:rsid w:val="3E5FD5CF"/>
    <w:rsid w:val="3E69208F"/>
    <w:rsid w:val="3E6CAFBE"/>
    <w:rsid w:val="3E742D5D"/>
    <w:rsid w:val="3E77192C"/>
    <w:rsid w:val="3EB1C1E6"/>
    <w:rsid w:val="3EC67584"/>
    <w:rsid w:val="3EDFBABF"/>
    <w:rsid w:val="3EE6A3C3"/>
    <w:rsid w:val="3EF4166D"/>
    <w:rsid w:val="3EF881B0"/>
    <w:rsid w:val="3EFAEC7A"/>
    <w:rsid w:val="3F0EB53B"/>
    <w:rsid w:val="3F1E622F"/>
    <w:rsid w:val="3F4DB253"/>
    <w:rsid w:val="3F61153C"/>
    <w:rsid w:val="3F64E6E6"/>
    <w:rsid w:val="3F6F889F"/>
    <w:rsid w:val="3F7D2937"/>
    <w:rsid w:val="3F804A37"/>
    <w:rsid w:val="3FCE71E0"/>
    <w:rsid w:val="3FD0F245"/>
    <w:rsid w:val="4013F1B7"/>
    <w:rsid w:val="40255941"/>
    <w:rsid w:val="403DC174"/>
    <w:rsid w:val="405D3BFA"/>
    <w:rsid w:val="40950540"/>
    <w:rsid w:val="40A201E2"/>
    <w:rsid w:val="40A37592"/>
    <w:rsid w:val="40AC224D"/>
    <w:rsid w:val="40D8D4DA"/>
    <w:rsid w:val="40EDA45D"/>
    <w:rsid w:val="410F6283"/>
    <w:rsid w:val="4115EBF9"/>
    <w:rsid w:val="4121E820"/>
    <w:rsid w:val="4136FF02"/>
    <w:rsid w:val="414AE2A2"/>
    <w:rsid w:val="414CB239"/>
    <w:rsid w:val="4162913D"/>
    <w:rsid w:val="416C506D"/>
    <w:rsid w:val="417EE841"/>
    <w:rsid w:val="41A5B267"/>
    <w:rsid w:val="41AE31F1"/>
    <w:rsid w:val="41B1D5F6"/>
    <w:rsid w:val="41C0012B"/>
    <w:rsid w:val="41CBE753"/>
    <w:rsid w:val="41CD7962"/>
    <w:rsid w:val="420F0742"/>
    <w:rsid w:val="422394BD"/>
    <w:rsid w:val="423387D2"/>
    <w:rsid w:val="4249B711"/>
    <w:rsid w:val="424C2C49"/>
    <w:rsid w:val="426D5FBA"/>
    <w:rsid w:val="42814C97"/>
    <w:rsid w:val="428AC26A"/>
    <w:rsid w:val="429B12C7"/>
    <w:rsid w:val="429EB178"/>
    <w:rsid w:val="42A2CA4E"/>
    <w:rsid w:val="42CD8C2F"/>
    <w:rsid w:val="42FE64C3"/>
    <w:rsid w:val="4302B1D5"/>
    <w:rsid w:val="43047190"/>
    <w:rsid w:val="430A618F"/>
    <w:rsid w:val="430CDE9F"/>
    <w:rsid w:val="431AE41E"/>
    <w:rsid w:val="431D2D04"/>
    <w:rsid w:val="4342861C"/>
    <w:rsid w:val="436394C5"/>
    <w:rsid w:val="43934DB1"/>
    <w:rsid w:val="43982F30"/>
    <w:rsid w:val="43DA9AA1"/>
    <w:rsid w:val="43EF457C"/>
    <w:rsid w:val="4413E93D"/>
    <w:rsid w:val="442B136E"/>
    <w:rsid w:val="44442120"/>
    <w:rsid w:val="4449F5EA"/>
    <w:rsid w:val="444A3BF0"/>
    <w:rsid w:val="446D0CAA"/>
    <w:rsid w:val="4475DCFE"/>
    <w:rsid w:val="4481236C"/>
    <w:rsid w:val="44862A92"/>
    <w:rsid w:val="448817F2"/>
    <w:rsid w:val="449DE1B3"/>
    <w:rsid w:val="44ADEB7A"/>
    <w:rsid w:val="44B0AF0F"/>
    <w:rsid w:val="44BDE5E6"/>
    <w:rsid w:val="44E3C6BA"/>
    <w:rsid w:val="450917DE"/>
    <w:rsid w:val="452A96F7"/>
    <w:rsid w:val="4531203B"/>
    <w:rsid w:val="45440DAF"/>
    <w:rsid w:val="45466806"/>
    <w:rsid w:val="457C281D"/>
    <w:rsid w:val="4586814F"/>
    <w:rsid w:val="45ABF4E8"/>
    <w:rsid w:val="45B8A204"/>
    <w:rsid w:val="45BE4FC0"/>
    <w:rsid w:val="45C868E8"/>
    <w:rsid w:val="45CA8C39"/>
    <w:rsid w:val="45EEFACA"/>
    <w:rsid w:val="45FE9E61"/>
    <w:rsid w:val="46070B27"/>
    <w:rsid w:val="461A51D9"/>
    <w:rsid w:val="46262D00"/>
    <w:rsid w:val="462ADCA7"/>
    <w:rsid w:val="462E36F4"/>
    <w:rsid w:val="465B51F0"/>
    <w:rsid w:val="465F483B"/>
    <w:rsid w:val="4671B025"/>
    <w:rsid w:val="46994B59"/>
    <w:rsid w:val="469C467C"/>
    <w:rsid w:val="46B82347"/>
    <w:rsid w:val="46C3EE5E"/>
    <w:rsid w:val="46C551C4"/>
    <w:rsid w:val="46E1EC11"/>
    <w:rsid w:val="46E40885"/>
    <w:rsid w:val="4715981A"/>
    <w:rsid w:val="471FD340"/>
    <w:rsid w:val="475AF845"/>
    <w:rsid w:val="477CEE5A"/>
    <w:rsid w:val="477F3351"/>
    <w:rsid w:val="478A33EE"/>
    <w:rsid w:val="4795DC6F"/>
    <w:rsid w:val="47C74200"/>
    <w:rsid w:val="47CAE706"/>
    <w:rsid w:val="47D0852A"/>
    <w:rsid w:val="47D683F8"/>
    <w:rsid w:val="47DC0566"/>
    <w:rsid w:val="47DD2B55"/>
    <w:rsid w:val="47F59D9C"/>
    <w:rsid w:val="480C1571"/>
    <w:rsid w:val="48152CED"/>
    <w:rsid w:val="4819CDC6"/>
    <w:rsid w:val="481A9E33"/>
    <w:rsid w:val="4849CEA2"/>
    <w:rsid w:val="48525E5B"/>
    <w:rsid w:val="487326A4"/>
    <w:rsid w:val="487FF008"/>
    <w:rsid w:val="489913A6"/>
    <w:rsid w:val="48A0A4C4"/>
    <w:rsid w:val="48E727FF"/>
    <w:rsid w:val="48EF9A50"/>
    <w:rsid w:val="490009AA"/>
    <w:rsid w:val="491205EC"/>
    <w:rsid w:val="49244BE0"/>
    <w:rsid w:val="492555A4"/>
    <w:rsid w:val="4933C7FE"/>
    <w:rsid w:val="49383B67"/>
    <w:rsid w:val="494C6B4D"/>
    <w:rsid w:val="49609639"/>
    <w:rsid w:val="4960D62F"/>
    <w:rsid w:val="496F4BF7"/>
    <w:rsid w:val="4988E570"/>
    <w:rsid w:val="49AD66DF"/>
    <w:rsid w:val="49B5985E"/>
    <w:rsid w:val="49DA54CE"/>
    <w:rsid w:val="49E17DD1"/>
    <w:rsid w:val="4A026005"/>
    <w:rsid w:val="4A4CE3E8"/>
    <w:rsid w:val="4A66EC3A"/>
    <w:rsid w:val="4A80F69A"/>
    <w:rsid w:val="4A84C9CB"/>
    <w:rsid w:val="4AC3F52C"/>
    <w:rsid w:val="4ACF9EFC"/>
    <w:rsid w:val="4AF44A51"/>
    <w:rsid w:val="4AF878AB"/>
    <w:rsid w:val="4AFE3BC6"/>
    <w:rsid w:val="4B065369"/>
    <w:rsid w:val="4B3BE7A4"/>
    <w:rsid w:val="4B40B5FC"/>
    <w:rsid w:val="4B557832"/>
    <w:rsid w:val="4B5ECE9F"/>
    <w:rsid w:val="4B698E6C"/>
    <w:rsid w:val="4B82F489"/>
    <w:rsid w:val="4BA170C7"/>
    <w:rsid w:val="4BFA1198"/>
    <w:rsid w:val="4C077232"/>
    <w:rsid w:val="4C399CF2"/>
    <w:rsid w:val="4C4A19B5"/>
    <w:rsid w:val="4C6CA6C8"/>
    <w:rsid w:val="4C73B460"/>
    <w:rsid w:val="4C801950"/>
    <w:rsid w:val="4C958753"/>
    <w:rsid w:val="4CB2924A"/>
    <w:rsid w:val="4CB2E011"/>
    <w:rsid w:val="4CB40305"/>
    <w:rsid w:val="4CBD3054"/>
    <w:rsid w:val="4CD00B01"/>
    <w:rsid w:val="4CD70ADA"/>
    <w:rsid w:val="4CEA4B07"/>
    <w:rsid w:val="4CEAD6DB"/>
    <w:rsid w:val="4D175EB1"/>
    <w:rsid w:val="4D19C9D5"/>
    <w:rsid w:val="4D259265"/>
    <w:rsid w:val="4D39C451"/>
    <w:rsid w:val="4D3BE7D4"/>
    <w:rsid w:val="4D4CDB10"/>
    <w:rsid w:val="4DAFC847"/>
    <w:rsid w:val="4DE01FC0"/>
    <w:rsid w:val="4DE48D03"/>
    <w:rsid w:val="4E14CFFC"/>
    <w:rsid w:val="4E2633BC"/>
    <w:rsid w:val="4E38C88D"/>
    <w:rsid w:val="4E71637E"/>
    <w:rsid w:val="4EC05B07"/>
    <w:rsid w:val="4ED529CF"/>
    <w:rsid w:val="4EE67039"/>
    <w:rsid w:val="4EE9D195"/>
    <w:rsid w:val="4F1B258C"/>
    <w:rsid w:val="4F2D1942"/>
    <w:rsid w:val="4F3831B4"/>
    <w:rsid w:val="4F428015"/>
    <w:rsid w:val="4F460161"/>
    <w:rsid w:val="4F5B2774"/>
    <w:rsid w:val="4F8DA7FD"/>
    <w:rsid w:val="4FB26AEB"/>
    <w:rsid w:val="500FAC6A"/>
    <w:rsid w:val="508E6CFF"/>
    <w:rsid w:val="50903E5E"/>
    <w:rsid w:val="5091583A"/>
    <w:rsid w:val="509ACE9B"/>
    <w:rsid w:val="50AE43AB"/>
    <w:rsid w:val="50B6A526"/>
    <w:rsid w:val="50B776D3"/>
    <w:rsid w:val="50B93CCD"/>
    <w:rsid w:val="50C6D98C"/>
    <w:rsid w:val="50DAB313"/>
    <w:rsid w:val="50F43F4E"/>
    <w:rsid w:val="50F4A5EA"/>
    <w:rsid w:val="50F64601"/>
    <w:rsid w:val="5125731E"/>
    <w:rsid w:val="5136527F"/>
    <w:rsid w:val="514D458B"/>
    <w:rsid w:val="514FA2AF"/>
    <w:rsid w:val="5161EF8A"/>
    <w:rsid w:val="517382D7"/>
    <w:rsid w:val="518B0B0F"/>
    <w:rsid w:val="518EF36B"/>
    <w:rsid w:val="51ADC743"/>
    <w:rsid w:val="51B21689"/>
    <w:rsid w:val="51B968FD"/>
    <w:rsid w:val="51C28812"/>
    <w:rsid w:val="51D1402F"/>
    <w:rsid w:val="51E3889A"/>
    <w:rsid w:val="5204555C"/>
    <w:rsid w:val="520B1C57"/>
    <w:rsid w:val="52114C14"/>
    <w:rsid w:val="5216B055"/>
    <w:rsid w:val="5224D37A"/>
    <w:rsid w:val="52296C43"/>
    <w:rsid w:val="5245AF4A"/>
    <w:rsid w:val="52705AC2"/>
    <w:rsid w:val="5274ABE6"/>
    <w:rsid w:val="529A1BA0"/>
    <w:rsid w:val="529DBDB9"/>
    <w:rsid w:val="52C55FB3"/>
    <w:rsid w:val="52D6017D"/>
    <w:rsid w:val="52DCC1B1"/>
    <w:rsid w:val="52FA7C91"/>
    <w:rsid w:val="53036470"/>
    <w:rsid w:val="5308D66D"/>
    <w:rsid w:val="53090D2A"/>
    <w:rsid w:val="53105F76"/>
    <w:rsid w:val="53110D29"/>
    <w:rsid w:val="53616078"/>
    <w:rsid w:val="5366C21B"/>
    <w:rsid w:val="538A1E6F"/>
    <w:rsid w:val="53AE718B"/>
    <w:rsid w:val="53CC81DA"/>
    <w:rsid w:val="53DF8575"/>
    <w:rsid w:val="53E4908A"/>
    <w:rsid w:val="5424C3E5"/>
    <w:rsid w:val="5430A55C"/>
    <w:rsid w:val="543BDC5E"/>
    <w:rsid w:val="54589FE0"/>
    <w:rsid w:val="545C117E"/>
    <w:rsid w:val="5481267E"/>
    <w:rsid w:val="54863125"/>
    <w:rsid w:val="5489279F"/>
    <w:rsid w:val="548EDAAD"/>
    <w:rsid w:val="54964502"/>
    <w:rsid w:val="54D81F60"/>
    <w:rsid w:val="54E21057"/>
    <w:rsid w:val="54FEF5A0"/>
    <w:rsid w:val="54FF4A42"/>
    <w:rsid w:val="5509C532"/>
    <w:rsid w:val="550C1568"/>
    <w:rsid w:val="552FAB6A"/>
    <w:rsid w:val="556CEA31"/>
    <w:rsid w:val="556FF893"/>
    <w:rsid w:val="5579ACDB"/>
    <w:rsid w:val="5582E7C9"/>
    <w:rsid w:val="558418DC"/>
    <w:rsid w:val="55C22040"/>
    <w:rsid w:val="55D5A170"/>
    <w:rsid w:val="55E7891F"/>
    <w:rsid w:val="55EF6D81"/>
    <w:rsid w:val="563AD8B2"/>
    <w:rsid w:val="564A3D42"/>
    <w:rsid w:val="565DCF1F"/>
    <w:rsid w:val="5665A69A"/>
    <w:rsid w:val="56766B0C"/>
    <w:rsid w:val="5689276C"/>
    <w:rsid w:val="56ADC1D3"/>
    <w:rsid w:val="56BF9EA6"/>
    <w:rsid w:val="56C8B897"/>
    <w:rsid w:val="56D3BEA3"/>
    <w:rsid w:val="56EC59A9"/>
    <w:rsid w:val="57216084"/>
    <w:rsid w:val="5723E301"/>
    <w:rsid w:val="574A893D"/>
    <w:rsid w:val="574F6EDC"/>
    <w:rsid w:val="57655115"/>
    <w:rsid w:val="578DE387"/>
    <w:rsid w:val="578FC8DB"/>
    <w:rsid w:val="57A4EDFD"/>
    <w:rsid w:val="57CC757F"/>
    <w:rsid w:val="580E8DC5"/>
    <w:rsid w:val="581981E0"/>
    <w:rsid w:val="5836AC5F"/>
    <w:rsid w:val="583831DB"/>
    <w:rsid w:val="5840D0C8"/>
    <w:rsid w:val="58565F38"/>
    <w:rsid w:val="58669558"/>
    <w:rsid w:val="5869A80F"/>
    <w:rsid w:val="587EFEF0"/>
    <w:rsid w:val="5885C7B7"/>
    <w:rsid w:val="588C3C0D"/>
    <w:rsid w:val="589BEB7E"/>
    <w:rsid w:val="58AED24F"/>
    <w:rsid w:val="58E2E10F"/>
    <w:rsid w:val="59443EEB"/>
    <w:rsid w:val="59558AAF"/>
    <w:rsid w:val="596799F7"/>
    <w:rsid w:val="59989160"/>
    <w:rsid w:val="59A87CDD"/>
    <w:rsid w:val="59D413AE"/>
    <w:rsid w:val="59D7DD28"/>
    <w:rsid w:val="59D9537B"/>
    <w:rsid w:val="59F1D49B"/>
    <w:rsid w:val="59F68237"/>
    <w:rsid w:val="59FADF7A"/>
    <w:rsid w:val="5A30F868"/>
    <w:rsid w:val="5A3DF2C1"/>
    <w:rsid w:val="5A572014"/>
    <w:rsid w:val="5A84E168"/>
    <w:rsid w:val="5A92BC2A"/>
    <w:rsid w:val="5AAB144C"/>
    <w:rsid w:val="5AB1DBA2"/>
    <w:rsid w:val="5AB4D347"/>
    <w:rsid w:val="5AC03255"/>
    <w:rsid w:val="5ADDBFDC"/>
    <w:rsid w:val="5AE85867"/>
    <w:rsid w:val="5AF4A984"/>
    <w:rsid w:val="5AF82055"/>
    <w:rsid w:val="5AFA08CE"/>
    <w:rsid w:val="5AFF2648"/>
    <w:rsid w:val="5B017CB9"/>
    <w:rsid w:val="5B0AE84F"/>
    <w:rsid w:val="5B32E323"/>
    <w:rsid w:val="5B5644BF"/>
    <w:rsid w:val="5B624E92"/>
    <w:rsid w:val="5B71B517"/>
    <w:rsid w:val="5B8C8D87"/>
    <w:rsid w:val="5BB0974F"/>
    <w:rsid w:val="5BC313EB"/>
    <w:rsid w:val="5BF51237"/>
    <w:rsid w:val="5BFE14AB"/>
    <w:rsid w:val="5C030CC3"/>
    <w:rsid w:val="5C144C7E"/>
    <w:rsid w:val="5C193E45"/>
    <w:rsid w:val="5C30C943"/>
    <w:rsid w:val="5C32F3DD"/>
    <w:rsid w:val="5C43C0F2"/>
    <w:rsid w:val="5C44C559"/>
    <w:rsid w:val="5C4F3055"/>
    <w:rsid w:val="5C5D3231"/>
    <w:rsid w:val="5C6237E2"/>
    <w:rsid w:val="5C6FACFF"/>
    <w:rsid w:val="5C86EE07"/>
    <w:rsid w:val="5C8DF7FB"/>
    <w:rsid w:val="5CBBE020"/>
    <w:rsid w:val="5CBEC3C1"/>
    <w:rsid w:val="5CD0D917"/>
    <w:rsid w:val="5CD6C362"/>
    <w:rsid w:val="5CDAB4D0"/>
    <w:rsid w:val="5CDAF5AA"/>
    <w:rsid w:val="5CF33365"/>
    <w:rsid w:val="5D0A5288"/>
    <w:rsid w:val="5D121725"/>
    <w:rsid w:val="5D29A960"/>
    <w:rsid w:val="5D42D609"/>
    <w:rsid w:val="5D48A2F7"/>
    <w:rsid w:val="5D5935E6"/>
    <w:rsid w:val="5D5AB36F"/>
    <w:rsid w:val="5D6D2DA9"/>
    <w:rsid w:val="5D6DE5C4"/>
    <w:rsid w:val="5D9D8ED9"/>
    <w:rsid w:val="5D9ED1CB"/>
    <w:rsid w:val="5DC3B5D0"/>
    <w:rsid w:val="5DC6957B"/>
    <w:rsid w:val="5DC8440C"/>
    <w:rsid w:val="5DCE149A"/>
    <w:rsid w:val="5E18B74B"/>
    <w:rsid w:val="5E3B35A0"/>
    <w:rsid w:val="5E539333"/>
    <w:rsid w:val="5E6845C1"/>
    <w:rsid w:val="5EA9F9B0"/>
    <w:rsid w:val="5EAC67F9"/>
    <w:rsid w:val="5EAEE35C"/>
    <w:rsid w:val="5ED3B326"/>
    <w:rsid w:val="5EE446D3"/>
    <w:rsid w:val="5F1DC446"/>
    <w:rsid w:val="5F470F05"/>
    <w:rsid w:val="5F6775F1"/>
    <w:rsid w:val="5F6D2A13"/>
    <w:rsid w:val="5F8021D6"/>
    <w:rsid w:val="5F9024F9"/>
    <w:rsid w:val="5FAFDCC4"/>
    <w:rsid w:val="5FBFF577"/>
    <w:rsid w:val="5FE73897"/>
    <w:rsid w:val="5FF50D91"/>
    <w:rsid w:val="5FF6EDFD"/>
    <w:rsid w:val="60001EEF"/>
    <w:rsid w:val="6009D0BF"/>
    <w:rsid w:val="60151144"/>
    <w:rsid w:val="601B4979"/>
    <w:rsid w:val="606A4B13"/>
    <w:rsid w:val="606D1B11"/>
    <w:rsid w:val="609241EC"/>
    <w:rsid w:val="60DF8BF7"/>
    <w:rsid w:val="60E03874"/>
    <w:rsid w:val="60E710C3"/>
    <w:rsid w:val="60F8EF39"/>
    <w:rsid w:val="610A6B16"/>
    <w:rsid w:val="611D2EF7"/>
    <w:rsid w:val="6127C378"/>
    <w:rsid w:val="6137089A"/>
    <w:rsid w:val="613C9847"/>
    <w:rsid w:val="613FABF9"/>
    <w:rsid w:val="61539EC2"/>
    <w:rsid w:val="615D7B78"/>
    <w:rsid w:val="616202C7"/>
    <w:rsid w:val="6171F2C5"/>
    <w:rsid w:val="61CCE711"/>
    <w:rsid w:val="61D69373"/>
    <w:rsid w:val="62039B28"/>
    <w:rsid w:val="621F73CB"/>
    <w:rsid w:val="626723B3"/>
    <w:rsid w:val="626AD4AF"/>
    <w:rsid w:val="626FF53A"/>
    <w:rsid w:val="627B977F"/>
    <w:rsid w:val="627EC5F2"/>
    <w:rsid w:val="628EF896"/>
    <w:rsid w:val="62A1E487"/>
    <w:rsid w:val="62A6D0F8"/>
    <w:rsid w:val="62ABE7CE"/>
    <w:rsid w:val="62BC0E6E"/>
    <w:rsid w:val="62D3AE1C"/>
    <w:rsid w:val="62D4A580"/>
    <w:rsid w:val="62D70CB7"/>
    <w:rsid w:val="62DC0D79"/>
    <w:rsid w:val="62E08ED6"/>
    <w:rsid w:val="62EF9D9A"/>
    <w:rsid w:val="63053985"/>
    <w:rsid w:val="63126394"/>
    <w:rsid w:val="634D32D7"/>
    <w:rsid w:val="6362D32E"/>
    <w:rsid w:val="636F2513"/>
    <w:rsid w:val="63862435"/>
    <w:rsid w:val="638F28B8"/>
    <w:rsid w:val="63969AA7"/>
    <w:rsid w:val="63B15DD9"/>
    <w:rsid w:val="63C4B284"/>
    <w:rsid w:val="63CBACAA"/>
    <w:rsid w:val="63DE7644"/>
    <w:rsid w:val="63E1938C"/>
    <w:rsid w:val="640D1D7C"/>
    <w:rsid w:val="64114FA3"/>
    <w:rsid w:val="64159397"/>
    <w:rsid w:val="642F8AD1"/>
    <w:rsid w:val="64325EA0"/>
    <w:rsid w:val="6453A526"/>
    <w:rsid w:val="64540334"/>
    <w:rsid w:val="645540BC"/>
    <w:rsid w:val="647FC6BB"/>
    <w:rsid w:val="648578CC"/>
    <w:rsid w:val="6495DCA7"/>
    <w:rsid w:val="64B97613"/>
    <w:rsid w:val="64C8F12A"/>
    <w:rsid w:val="64CF06BD"/>
    <w:rsid w:val="65070338"/>
    <w:rsid w:val="6517D104"/>
    <w:rsid w:val="65182681"/>
    <w:rsid w:val="653FB3F7"/>
    <w:rsid w:val="655B3AA5"/>
    <w:rsid w:val="656EF5FF"/>
    <w:rsid w:val="6575D484"/>
    <w:rsid w:val="6585D0CE"/>
    <w:rsid w:val="659A56E6"/>
    <w:rsid w:val="659FF626"/>
    <w:rsid w:val="65AD8C5A"/>
    <w:rsid w:val="65BBB525"/>
    <w:rsid w:val="65BF1EEA"/>
    <w:rsid w:val="65D538DD"/>
    <w:rsid w:val="65D873AC"/>
    <w:rsid w:val="65E8C4E8"/>
    <w:rsid w:val="660B3F21"/>
    <w:rsid w:val="66216AB9"/>
    <w:rsid w:val="6643353B"/>
    <w:rsid w:val="6644FDBB"/>
    <w:rsid w:val="66538AA3"/>
    <w:rsid w:val="6655BD95"/>
    <w:rsid w:val="6661D914"/>
    <w:rsid w:val="66899986"/>
    <w:rsid w:val="66985514"/>
    <w:rsid w:val="66A0D38A"/>
    <w:rsid w:val="66AB9F8F"/>
    <w:rsid w:val="66BE7666"/>
    <w:rsid w:val="66C101D9"/>
    <w:rsid w:val="66D1FB4F"/>
    <w:rsid w:val="672BB48E"/>
    <w:rsid w:val="675C2683"/>
    <w:rsid w:val="67671F33"/>
    <w:rsid w:val="67690192"/>
    <w:rsid w:val="676AAA99"/>
    <w:rsid w:val="6784697C"/>
    <w:rsid w:val="679B0B90"/>
    <w:rsid w:val="679C0208"/>
    <w:rsid w:val="67A44393"/>
    <w:rsid w:val="67B85EC9"/>
    <w:rsid w:val="67C414DD"/>
    <w:rsid w:val="67D3EF6C"/>
    <w:rsid w:val="67F1EC35"/>
    <w:rsid w:val="680406A3"/>
    <w:rsid w:val="681C7F45"/>
    <w:rsid w:val="681F576A"/>
    <w:rsid w:val="6832EA25"/>
    <w:rsid w:val="68394BDE"/>
    <w:rsid w:val="683A478E"/>
    <w:rsid w:val="68425FD1"/>
    <w:rsid w:val="685A014A"/>
    <w:rsid w:val="688484C4"/>
    <w:rsid w:val="6888C688"/>
    <w:rsid w:val="68B9089F"/>
    <w:rsid w:val="68D4EC41"/>
    <w:rsid w:val="69043087"/>
    <w:rsid w:val="694C6262"/>
    <w:rsid w:val="6957EDA6"/>
    <w:rsid w:val="695CB4B8"/>
    <w:rsid w:val="69756AEB"/>
    <w:rsid w:val="69E52366"/>
    <w:rsid w:val="69E615C1"/>
    <w:rsid w:val="6A00645F"/>
    <w:rsid w:val="6A032CC5"/>
    <w:rsid w:val="6A070D36"/>
    <w:rsid w:val="6A1BBC97"/>
    <w:rsid w:val="6A239AE6"/>
    <w:rsid w:val="6A27762B"/>
    <w:rsid w:val="6A2D10C2"/>
    <w:rsid w:val="6A8B7DEC"/>
    <w:rsid w:val="6AA73D2D"/>
    <w:rsid w:val="6AC0671E"/>
    <w:rsid w:val="6B18F5DF"/>
    <w:rsid w:val="6B1EFB7D"/>
    <w:rsid w:val="6B3DFFD0"/>
    <w:rsid w:val="6B45B656"/>
    <w:rsid w:val="6B56BBE2"/>
    <w:rsid w:val="6B7A31EE"/>
    <w:rsid w:val="6BC5095C"/>
    <w:rsid w:val="6BDE0BE0"/>
    <w:rsid w:val="6BE82DB9"/>
    <w:rsid w:val="6BFC93B0"/>
    <w:rsid w:val="6C0CCF1D"/>
    <w:rsid w:val="6C1A4DF2"/>
    <w:rsid w:val="6C1F5ABC"/>
    <w:rsid w:val="6C2A8E9B"/>
    <w:rsid w:val="6C640B73"/>
    <w:rsid w:val="6C65D4F0"/>
    <w:rsid w:val="6C81D07D"/>
    <w:rsid w:val="6C8D152A"/>
    <w:rsid w:val="6C942C11"/>
    <w:rsid w:val="6C95F316"/>
    <w:rsid w:val="6C970B14"/>
    <w:rsid w:val="6CACFA91"/>
    <w:rsid w:val="6CBC71A7"/>
    <w:rsid w:val="6CC2EB72"/>
    <w:rsid w:val="6CD8A515"/>
    <w:rsid w:val="6D0CBE9D"/>
    <w:rsid w:val="6D22BAA1"/>
    <w:rsid w:val="6D3B91B6"/>
    <w:rsid w:val="6D3E0055"/>
    <w:rsid w:val="6D405E35"/>
    <w:rsid w:val="6D535037"/>
    <w:rsid w:val="6D5AE9ED"/>
    <w:rsid w:val="6D9155DE"/>
    <w:rsid w:val="6D937EF8"/>
    <w:rsid w:val="6D981184"/>
    <w:rsid w:val="6D9867B4"/>
    <w:rsid w:val="6DDC5CB8"/>
    <w:rsid w:val="6DEDE6F6"/>
    <w:rsid w:val="6DF92A45"/>
    <w:rsid w:val="6DFDD722"/>
    <w:rsid w:val="6E06211F"/>
    <w:rsid w:val="6E2582D5"/>
    <w:rsid w:val="6E2DEBC9"/>
    <w:rsid w:val="6E571038"/>
    <w:rsid w:val="6E636C9C"/>
    <w:rsid w:val="6E7590A7"/>
    <w:rsid w:val="6E8A848C"/>
    <w:rsid w:val="6E9E1147"/>
    <w:rsid w:val="6EA7EF5F"/>
    <w:rsid w:val="6EC8CDE3"/>
    <w:rsid w:val="6EC8F7E6"/>
    <w:rsid w:val="6ECBD2F1"/>
    <w:rsid w:val="6ECE30F8"/>
    <w:rsid w:val="6ED0A242"/>
    <w:rsid w:val="6ED63B46"/>
    <w:rsid w:val="6EDBB215"/>
    <w:rsid w:val="6EF4C52A"/>
    <w:rsid w:val="6F04BDEF"/>
    <w:rsid w:val="6F2802BF"/>
    <w:rsid w:val="6F36723A"/>
    <w:rsid w:val="6F56E4A8"/>
    <w:rsid w:val="6F6B4FAD"/>
    <w:rsid w:val="6F6E76BA"/>
    <w:rsid w:val="6FB04294"/>
    <w:rsid w:val="6FC695D7"/>
    <w:rsid w:val="6FDBF4BF"/>
    <w:rsid w:val="70011A8A"/>
    <w:rsid w:val="70246B44"/>
    <w:rsid w:val="702E25A6"/>
    <w:rsid w:val="704350AD"/>
    <w:rsid w:val="70482248"/>
    <w:rsid w:val="704FDE99"/>
    <w:rsid w:val="7060EEFF"/>
    <w:rsid w:val="7075914E"/>
    <w:rsid w:val="70A635A8"/>
    <w:rsid w:val="70B08616"/>
    <w:rsid w:val="70CE7EC0"/>
    <w:rsid w:val="70D806C6"/>
    <w:rsid w:val="70D8AAB5"/>
    <w:rsid w:val="70DB6085"/>
    <w:rsid w:val="70DDA57D"/>
    <w:rsid w:val="70DF48B6"/>
    <w:rsid w:val="70EDA65B"/>
    <w:rsid w:val="711059C4"/>
    <w:rsid w:val="7121AB75"/>
    <w:rsid w:val="714DE840"/>
    <w:rsid w:val="71775175"/>
    <w:rsid w:val="7190E765"/>
    <w:rsid w:val="71AB0208"/>
    <w:rsid w:val="71D875A2"/>
    <w:rsid w:val="71E2F68A"/>
    <w:rsid w:val="71E4A5C1"/>
    <w:rsid w:val="7201E29D"/>
    <w:rsid w:val="72081AC8"/>
    <w:rsid w:val="7211AD9B"/>
    <w:rsid w:val="721F23FC"/>
    <w:rsid w:val="722858A5"/>
    <w:rsid w:val="723DD57F"/>
    <w:rsid w:val="7251F1BB"/>
    <w:rsid w:val="7267850B"/>
    <w:rsid w:val="729532AB"/>
    <w:rsid w:val="729A892C"/>
    <w:rsid w:val="72A38A4A"/>
    <w:rsid w:val="72A520DE"/>
    <w:rsid w:val="72AA4CBA"/>
    <w:rsid w:val="72CC616C"/>
    <w:rsid w:val="72EB3280"/>
    <w:rsid w:val="72EC0A9D"/>
    <w:rsid w:val="73077F8A"/>
    <w:rsid w:val="731677F1"/>
    <w:rsid w:val="731876BC"/>
    <w:rsid w:val="733CC8ED"/>
    <w:rsid w:val="73467B21"/>
    <w:rsid w:val="7347353E"/>
    <w:rsid w:val="73626F36"/>
    <w:rsid w:val="7370D81D"/>
    <w:rsid w:val="737745F5"/>
    <w:rsid w:val="737A3CB0"/>
    <w:rsid w:val="7384F8E7"/>
    <w:rsid w:val="73B5184A"/>
    <w:rsid w:val="73CB12ED"/>
    <w:rsid w:val="740F6288"/>
    <w:rsid w:val="74171F9D"/>
    <w:rsid w:val="742A939A"/>
    <w:rsid w:val="7437A826"/>
    <w:rsid w:val="743AB007"/>
    <w:rsid w:val="7445EE36"/>
    <w:rsid w:val="74667E91"/>
    <w:rsid w:val="746BBE52"/>
    <w:rsid w:val="7481EEE6"/>
    <w:rsid w:val="7495CCD4"/>
    <w:rsid w:val="74AA1BDD"/>
    <w:rsid w:val="74B54163"/>
    <w:rsid w:val="74B62818"/>
    <w:rsid w:val="74BA1B58"/>
    <w:rsid w:val="74CD9F6A"/>
    <w:rsid w:val="74CF1FCC"/>
    <w:rsid w:val="74DB74E7"/>
    <w:rsid w:val="74E7A299"/>
    <w:rsid w:val="74F6564C"/>
    <w:rsid w:val="751169D1"/>
    <w:rsid w:val="7511DCE1"/>
    <w:rsid w:val="751968EC"/>
    <w:rsid w:val="751DBBDF"/>
    <w:rsid w:val="75302D7A"/>
    <w:rsid w:val="75424CB4"/>
    <w:rsid w:val="7549BABC"/>
    <w:rsid w:val="75518C01"/>
    <w:rsid w:val="75526B4F"/>
    <w:rsid w:val="7554C2F5"/>
    <w:rsid w:val="7557176D"/>
    <w:rsid w:val="7565E83D"/>
    <w:rsid w:val="75C01876"/>
    <w:rsid w:val="75C6F312"/>
    <w:rsid w:val="75E0D6B4"/>
    <w:rsid w:val="75E78463"/>
    <w:rsid w:val="75FB68AB"/>
    <w:rsid w:val="761D487B"/>
    <w:rsid w:val="761EFBC3"/>
    <w:rsid w:val="76211153"/>
    <w:rsid w:val="763B5905"/>
    <w:rsid w:val="76425C48"/>
    <w:rsid w:val="7643ABDA"/>
    <w:rsid w:val="7650F2A7"/>
    <w:rsid w:val="765C1982"/>
    <w:rsid w:val="767A7EBD"/>
    <w:rsid w:val="768A44E2"/>
    <w:rsid w:val="76A1E4E5"/>
    <w:rsid w:val="76B1175C"/>
    <w:rsid w:val="76B47BEA"/>
    <w:rsid w:val="76B80032"/>
    <w:rsid w:val="76BA8FAC"/>
    <w:rsid w:val="76CAC7A2"/>
    <w:rsid w:val="76DD310B"/>
    <w:rsid w:val="76EBFB8F"/>
    <w:rsid w:val="7705A2EB"/>
    <w:rsid w:val="770BF47F"/>
    <w:rsid w:val="771618FB"/>
    <w:rsid w:val="771E2BDF"/>
    <w:rsid w:val="7734B14B"/>
    <w:rsid w:val="773E5074"/>
    <w:rsid w:val="775CD5A8"/>
    <w:rsid w:val="775F8786"/>
    <w:rsid w:val="777A14E8"/>
    <w:rsid w:val="777CA068"/>
    <w:rsid w:val="778B9878"/>
    <w:rsid w:val="779EAB5F"/>
    <w:rsid w:val="77D421FA"/>
    <w:rsid w:val="77E66FE7"/>
    <w:rsid w:val="77F23412"/>
    <w:rsid w:val="7800E358"/>
    <w:rsid w:val="780EC0BC"/>
    <w:rsid w:val="78211D12"/>
    <w:rsid w:val="78564154"/>
    <w:rsid w:val="7858DBA9"/>
    <w:rsid w:val="7868B7E3"/>
    <w:rsid w:val="786BC45D"/>
    <w:rsid w:val="788DC2CA"/>
    <w:rsid w:val="789C47B6"/>
    <w:rsid w:val="78BD93C4"/>
    <w:rsid w:val="78CEAD4B"/>
    <w:rsid w:val="78DEB092"/>
    <w:rsid w:val="7900C44B"/>
    <w:rsid w:val="79045334"/>
    <w:rsid w:val="790B9051"/>
    <w:rsid w:val="7952833A"/>
    <w:rsid w:val="795A3D7F"/>
    <w:rsid w:val="7966AFF1"/>
    <w:rsid w:val="79683334"/>
    <w:rsid w:val="796FF7B5"/>
    <w:rsid w:val="79727A32"/>
    <w:rsid w:val="79782CFE"/>
    <w:rsid w:val="7982AC0A"/>
    <w:rsid w:val="7999A649"/>
    <w:rsid w:val="799C15CE"/>
    <w:rsid w:val="79BF378F"/>
    <w:rsid w:val="79D15EFC"/>
    <w:rsid w:val="79E7ADA0"/>
    <w:rsid w:val="7A048BB4"/>
    <w:rsid w:val="7A0B2AC0"/>
    <w:rsid w:val="7A107BB3"/>
    <w:rsid w:val="7A17D296"/>
    <w:rsid w:val="7A2834D0"/>
    <w:rsid w:val="7A29AED4"/>
    <w:rsid w:val="7A43C361"/>
    <w:rsid w:val="7A645328"/>
    <w:rsid w:val="7A6834EF"/>
    <w:rsid w:val="7A6C4C8A"/>
    <w:rsid w:val="7A86B26B"/>
    <w:rsid w:val="7A8FBBB2"/>
    <w:rsid w:val="7A9D36BC"/>
    <w:rsid w:val="7AB986C3"/>
    <w:rsid w:val="7AC00A6B"/>
    <w:rsid w:val="7AC17148"/>
    <w:rsid w:val="7AC77719"/>
    <w:rsid w:val="7AE634AE"/>
    <w:rsid w:val="7AED2232"/>
    <w:rsid w:val="7AF7D5D0"/>
    <w:rsid w:val="7AFC158D"/>
    <w:rsid w:val="7B0EA782"/>
    <w:rsid w:val="7B260CC5"/>
    <w:rsid w:val="7B3D3A13"/>
    <w:rsid w:val="7B44D12E"/>
    <w:rsid w:val="7B6D9762"/>
    <w:rsid w:val="7B6FE9A8"/>
    <w:rsid w:val="7BA2621E"/>
    <w:rsid w:val="7BA4F526"/>
    <w:rsid w:val="7BAC1B13"/>
    <w:rsid w:val="7BB910EC"/>
    <w:rsid w:val="7BD3D2B7"/>
    <w:rsid w:val="7C00DD2C"/>
    <w:rsid w:val="7C065053"/>
    <w:rsid w:val="7C0D918A"/>
    <w:rsid w:val="7C24C3B5"/>
    <w:rsid w:val="7C2684A7"/>
    <w:rsid w:val="7C45F66C"/>
    <w:rsid w:val="7C4EAD43"/>
    <w:rsid w:val="7C653E76"/>
    <w:rsid w:val="7C8DD6D0"/>
    <w:rsid w:val="7CA24BAC"/>
    <w:rsid w:val="7CBDC236"/>
    <w:rsid w:val="7CC8ADAF"/>
    <w:rsid w:val="7CD3B0DC"/>
    <w:rsid w:val="7CE4680C"/>
    <w:rsid w:val="7D035489"/>
    <w:rsid w:val="7D446C64"/>
    <w:rsid w:val="7D52D49B"/>
    <w:rsid w:val="7D803992"/>
    <w:rsid w:val="7D84A0F9"/>
    <w:rsid w:val="7DBEFC35"/>
    <w:rsid w:val="7DCD74C4"/>
    <w:rsid w:val="7DE1C73A"/>
    <w:rsid w:val="7DE287CC"/>
    <w:rsid w:val="7DEB7DB5"/>
    <w:rsid w:val="7DF761E6"/>
    <w:rsid w:val="7E11449C"/>
    <w:rsid w:val="7E21851E"/>
    <w:rsid w:val="7E27F499"/>
    <w:rsid w:val="7E2DA101"/>
    <w:rsid w:val="7E31C81D"/>
    <w:rsid w:val="7E406513"/>
    <w:rsid w:val="7E4895F2"/>
    <w:rsid w:val="7E576043"/>
    <w:rsid w:val="7E62E65B"/>
    <w:rsid w:val="7E72652C"/>
    <w:rsid w:val="7E7C1890"/>
    <w:rsid w:val="7E7D0F36"/>
    <w:rsid w:val="7E9677E7"/>
    <w:rsid w:val="7EA11F27"/>
    <w:rsid w:val="7EB2B115"/>
    <w:rsid w:val="7EC50B5B"/>
    <w:rsid w:val="7EC70956"/>
    <w:rsid w:val="7EC909E8"/>
    <w:rsid w:val="7ECF29E9"/>
    <w:rsid w:val="7EE4D7DA"/>
    <w:rsid w:val="7F010540"/>
    <w:rsid w:val="7F0686EE"/>
    <w:rsid w:val="7F2D2559"/>
    <w:rsid w:val="7F51769A"/>
    <w:rsid w:val="7F6147B0"/>
    <w:rsid w:val="7F85A0D6"/>
    <w:rsid w:val="7F90ACD2"/>
    <w:rsid w:val="7FAF23BF"/>
    <w:rsid w:val="7FD60350"/>
    <w:rsid w:val="7FDDDE53"/>
    <w:rsid w:val="7FF48406"/>
    <w:rsid w:val="7FFA8A9F"/>
    <w:rsid w:val="7FFD7D8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62C645"/>
  <w15:chartTrackingRefBased/>
  <w15:docId w15:val="{4304D851-DB99-4E04-8F7C-064058879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4CC1"/>
    <w:pPr>
      <w:spacing w:line="360" w:lineRule="auto"/>
    </w:pPr>
    <w:rPr>
      <w:rFonts w:ascii="Times New Roman" w:hAnsi="Times New Roman"/>
      <w:sz w:val="24"/>
    </w:rPr>
  </w:style>
  <w:style w:type="paragraph" w:styleId="Heading1">
    <w:name w:val="heading 1"/>
    <w:basedOn w:val="Normal"/>
    <w:next w:val="Normal"/>
    <w:link w:val="Heading1Char"/>
    <w:uiPriority w:val="9"/>
    <w:qFormat/>
    <w:rsid w:val="008969EE"/>
    <w:pPr>
      <w:keepNext/>
      <w:keepLines/>
      <w:spacing w:before="480" w:after="0" w:line="480" w:lineRule="auto"/>
      <w:outlineLvl w:val="0"/>
    </w:pPr>
    <w:rPr>
      <w:rFonts w:eastAsiaTheme="majorEastAsia" w:cstheme="majorBidi"/>
      <w:b/>
      <w:sz w:val="28"/>
      <w:szCs w:val="32"/>
    </w:rPr>
  </w:style>
  <w:style w:type="paragraph" w:styleId="Heading2">
    <w:name w:val="heading 2"/>
    <w:basedOn w:val="Normal"/>
    <w:next w:val="Normal"/>
    <w:link w:val="Heading2Char"/>
    <w:uiPriority w:val="9"/>
    <w:unhideWhenUsed/>
    <w:qFormat/>
    <w:rsid w:val="008969EE"/>
    <w:pPr>
      <w:keepNext/>
      <w:keepLines/>
      <w:spacing w:before="360" w:after="0" w:line="480" w:lineRule="auto"/>
      <w:outlineLvl w:val="1"/>
    </w:pPr>
    <w:rPr>
      <w:rFonts w:asciiTheme="majorHAnsi" w:eastAsiaTheme="majorEastAsia" w:hAnsiTheme="majorHAnsi" w:cstheme="majorBidi"/>
      <w:b/>
      <w:i/>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814387"/>
    <w:pPr>
      <w:spacing w:before="100" w:after="360" w:line="240" w:lineRule="auto"/>
    </w:pPr>
    <w:rPr>
      <w:rFonts w:ascii="Cambria Math" w:eastAsia="Times New Roman" w:hAnsi="Cambria Math" w:cs="Times New Roman"/>
      <w:b/>
      <w:i/>
      <w:iCs/>
      <w:color w:val="595959"/>
      <w:szCs w:val="18"/>
    </w:rPr>
  </w:style>
  <w:style w:type="paragraph" w:styleId="NormalWeb">
    <w:name w:val="Normal (Web)"/>
    <w:basedOn w:val="Normal"/>
    <w:uiPriority w:val="99"/>
    <w:unhideWhenUsed/>
    <w:rsid w:val="00AB33F6"/>
    <w:pPr>
      <w:spacing w:before="100" w:beforeAutospacing="1" w:after="100" w:afterAutospacing="1" w:line="240" w:lineRule="auto"/>
    </w:pPr>
    <w:rPr>
      <w:rFonts w:eastAsia="Times New Roman" w:cs="Times New Roman"/>
      <w:szCs w:val="24"/>
      <w:lang w:eastAsia="en-GB"/>
    </w:rPr>
  </w:style>
  <w:style w:type="character" w:styleId="Hyperlink">
    <w:name w:val="Hyperlink"/>
    <w:basedOn w:val="DefaultParagraphFont"/>
    <w:uiPriority w:val="99"/>
    <w:unhideWhenUsed/>
    <w:rsid w:val="00E07CED"/>
    <w:rPr>
      <w:color w:val="0000FF"/>
      <w:u w:val="single"/>
    </w:rPr>
  </w:style>
  <w:style w:type="character" w:customStyle="1" w:styleId="UnresolvedMention1">
    <w:name w:val="Unresolved Mention1"/>
    <w:basedOn w:val="DefaultParagraphFont"/>
    <w:uiPriority w:val="99"/>
    <w:semiHidden/>
    <w:unhideWhenUsed/>
    <w:rsid w:val="005A5170"/>
    <w:rPr>
      <w:color w:val="605E5C"/>
      <w:shd w:val="clear" w:color="auto" w:fill="E1DFDD"/>
    </w:rPr>
  </w:style>
  <w:style w:type="paragraph" w:styleId="FootnoteText">
    <w:name w:val="footnote text"/>
    <w:basedOn w:val="Normal"/>
    <w:link w:val="FootnoteTextChar"/>
    <w:uiPriority w:val="99"/>
    <w:unhideWhenUsed/>
    <w:rsid w:val="000342CB"/>
    <w:pPr>
      <w:spacing w:after="0" w:line="240" w:lineRule="auto"/>
      <w:ind w:firstLine="720"/>
    </w:pPr>
    <w:rPr>
      <w:sz w:val="20"/>
      <w:szCs w:val="20"/>
    </w:rPr>
  </w:style>
  <w:style w:type="character" w:customStyle="1" w:styleId="FootnoteTextChar">
    <w:name w:val="Footnote Text Char"/>
    <w:basedOn w:val="DefaultParagraphFont"/>
    <w:link w:val="FootnoteText"/>
    <w:uiPriority w:val="99"/>
    <w:rsid w:val="000342CB"/>
    <w:rPr>
      <w:rFonts w:ascii="Times New Roman" w:hAnsi="Times New Roman"/>
      <w:sz w:val="20"/>
      <w:szCs w:val="20"/>
    </w:rPr>
  </w:style>
  <w:style w:type="character" w:styleId="FootnoteReference">
    <w:name w:val="footnote reference"/>
    <w:basedOn w:val="DefaultParagraphFont"/>
    <w:uiPriority w:val="99"/>
    <w:semiHidden/>
    <w:unhideWhenUsed/>
    <w:rsid w:val="000342CB"/>
    <w:rPr>
      <w:vertAlign w:val="superscript"/>
    </w:rPr>
  </w:style>
  <w:style w:type="character" w:styleId="Strong">
    <w:name w:val="Strong"/>
    <w:basedOn w:val="DefaultParagraphFont"/>
    <w:uiPriority w:val="22"/>
    <w:qFormat/>
    <w:rsid w:val="00A26DA0"/>
    <w:rPr>
      <w:b/>
      <w:bCs/>
    </w:rPr>
  </w:style>
  <w:style w:type="character" w:customStyle="1" w:styleId="Heading1Char">
    <w:name w:val="Heading 1 Char"/>
    <w:basedOn w:val="DefaultParagraphFont"/>
    <w:link w:val="Heading1"/>
    <w:uiPriority w:val="9"/>
    <w:rsid w:val="008969EE"/>
    <w:rPr>
      <w:rFonts w:ascii="Times New Roman" w:eastAsiaTheme="majorEastAsia" w:hAnsi="Times New Roman" w:cstheme="majorBidi"/>
      <w:b/>
      <w:sz w:val="28"/>
      <w:szCs w:val="32"/>
    </w:rPr>
  </w:style>
  <w:style w:type="character" w:customStyle="1" w:styleId="Heading2Char">
    <w:name w:val="Heading 2 Char"/>
    <w:basedOn w:val="DefaultParagraphFont"/>
    <w:link w:val="Heading2"/>
    <w:uiPriority w:val="9"/>
    <w:rsid w:val="008969EE"/>
    <w:rPr>
      <w:rFonts w:asciiTheme="majorHAnsi" w:eastAsiaTheme="majorEastAsia" w:hAnsiTheme="majorHAnsi" w:cstheme="majorBidi"/>
      <w:b/>
      <w:i/>
      <w:sz w:val="24"/>
      <w:szCs w:val="26"/>
    </w:rPr>
  </w:style>
  <w:style w:type="paragraph" w:customStyle="1" w:styleId="Default">
    <w:name w:val="Default"/>
    <w:rsid w:val="003A34F9"/>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39"/>
    <w:rsid w:val="002468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234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2349F"/>
    <w:rPr>
      <w:rFonts w:ascii="Times New Roman" w:hAnsi="Times New Roman"/>
      <w:sz w:val="24"/>
    </w:rPr>
  </w:style>
  <w:style w:type="paragraph" w:styleId="Footer">
    <w:name w:val="footer"/>
    <w:basedOn w:val="Normal"/>
    <w:link w:val="FooterChar"/>
    <w:uiPriority w:val="99"/>
    <w:unhideWhenUsed/>
    <w:rsid w:val="005234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2349F"/>
    <w:rPr>
      <w:rFonts w:ascii="Times New Roman" w:hAnsi="Times New Roman"/>
      <w:sz w:val="24"/>
    </w:rPr>
  </w:style>
  <w:style w:type="character" w:styleId="Emphasis">
    <w:name w:val="Emphasis"/>
    <w:basedOn w:val="DefaultParagraphFont"/>
    <w:uiPriority w:val="20"/>
    <w:qFormat/>
    <w:rsid w:val="00E858D8"/>
    <w:rPr>
      <w:i/>
      <w:iCs/>
    </w:rPr>
  </w:style>
  <w:style w:type="character" w:styleId="CommentReference">
    <w:name w:val="annotation reference"/>
    <w:basedOn w:val="DefaultParagraphFont"/>
    <w:uiPriority w:val="99"/>
    <w:semiHidden/>
    <w:unhideWhenUsed/>
    <w:rsid w:val="00384CD7"/>
    <w:rPr>
      <w:sz w:val="16"/>
      <w:szCs w:val="16"/>
    </w:rPr>
  </w:style>
  <w:style w:type="paragraph" w:styleId="CommentText">
    <w:name w:val="annotation text"/>
    <w:basedOn w:val="Normal"/>
    <w:link w:val="CommentTextChar"/>
    <w:uiPriority w:val="99"/>
    <w:unhideWhenUsed/>
    <w:rsid w:val="00384CD7"/>
    <w:pPr>
      <w:spacing w:line="240" w:lineRule="auto"/>
    </w:pPr>
    <w:rPr>
      <w:sz w:val="20"/>
      <w:szCs w:val="20"/>
    </w:rPr>
  </w:style>
  <w:style w:type="character" w:customStyle="1" w:styleId="CommentTextChar">
    <w:name w:val="Comment Text Char"/>
    <w:basedOn w:val="DefaultParagraphFont"/>
    <w:link w:val="CommentText"/>
    <w:uiPriority w:val="99"/>
    <w:rsid w:val="00384CD7"/>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384CD7"/>
    <w:rPr>
      <w:b/>
      <w:bCs/>
    </w:rPr>
  </w:style>
  <w:style w:type="character" w:customStyle="1" w:styleId="CommentSubjectChar">
    <w:name w:val="Comment Subject Char"/>
    <w:basedOn w:val="CommentTextChar"/>
    <w:link w:val="CommentSubject"/>
    <w:uiPriority w:val="99"/>
    <w:semiHidden/>
    <w:rsid w:val="00384CD7"/>
    <w:rPr>
      <w:rFonts w:ascii="Times New Roman" w:hAnsi="Times New Roman"/>
      <w:b/>
      <w:bCs/>
      <w:sz w:val="20"/>
      <w:szCs w:val="20"/>
    </w:rPr>
  </w:style>
  <w:style w:type="paragraph" w:styleId="BalloonText">
    <w:name w:val="Balloon Text"/>
    <w:basedOn w:val="Normal"/>
    <w:link w:val="BalloonTextChar"/>
    <w:uiPriority w:val="99"/>
    <w:semiHidden/>
    <w:unhideWhenUsed/>
    <w:rsid w:val="00384A1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84A17"/>
    <w:rPr>
      <w:rFonts w:ascii="Segoe UI" w:hAnsi="Segoe UI" w:cs="Segoe UI"/>
      <w:sz w:val="18"/>
      <w:szCs w:val="18"/>
    </w:rPr>
  </w:style>
  <w:style w:type="paragraph" w:styleId="Revision">
    <w:name w:val="Revision"/>
    <w:hidden/>
    <w:uiPriority w:val="99"/>
    <w:semiHidden/>
    <w:rsid w:val="0023413D"/>
    <w:pPr>
      <w:spacing w:after="0" w:line="240" w:lineRule="auto"/>
    </w:pPr>
    <w:rPr>
      <w:rFonts w:ascii="Times New Roman" w:hAnsi="Times New Roman"/>
      <w:sz w:val="24"/>
    </w:rPr>
  </w:style>
  <w:style w:type="table" w:styleId="TableGridLight">
    <w:name w:val="Grid Table Light"/>
    <w:basedOn w:val="TableNormal"/>
    <w:uiPriority w:val="40"/>
    <w:rsid w:val="00E54D0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Spacing">
    <w:name w:val="No Spacing"/>
    <w:uiPriority w:val="1"/>
    <w:qFormat/>
    <w:rsid w:val="00D938BC"/>
    <w:pPr>
      <w:spacing w:after="0" w:line="240" w:lineRule="auto"/>
    </w:pPr>
    <w:rPr>
      <w:rFonts w:ascii="Times New Roman" w:hAnsi="Times New Roman"/>
      <w:sz w:val="24"/>
    </w:rPr>
  </w:style>
  <w:style w:type="table" w:styleId="PlainTable5">
    <w:name w:val="Plain Table 5"/>
    <w:basedOn w:val="TableNormal"/>
    <w:uiPriority w:val="45"/>
    <w:rsid w:val="00125B7C"/>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EndnoteReference">
    <w:name w:val="endnote reference"/>
    <w:basedOn w:val="DefaultParagraphFont"/>
    <w:uiPriority w:val="99"/>
    <w:semiHidden/>
    <w:unhideWhenUsed/>
    <w:rsid w:val="00A412B9"/>
    <w:rPr>
      <w:vertAlign w:val="superscript"/>
    </w:rPr>
  </w:style>
  <w:style w:type="character" w:styleId="FollowedHyperlink">
    <w:name w:val="FollowedHyperlink"/>
    <w:basedOn w:val="DefaultParagraphFont"/>
    <w:uiPriority w:val="99"/>
    <w:semiHidden/>
    <w:unhideWhenUsed/>
    <w:rsid w:val="00BF74D1"/>
    <w:rPr>
      <w:color w:val="954F72" w:themeColor="followedHyperlink"/>
      <w:u w:val="single"/>
    </w:rPr>
  </w:style>
  <w:style w:type="character" w:styleId="PlaceholderText">
    <w:name w:val="Placeholder Text"/>
    <w:basedOn w:val="DefaultParagraphFont"/>
    <w:uiPriority w:val="99"/>
    <w:semiHidden/>
    <w:rsid w:val="00C848AF"/>
    <w:rPr>
      <w:color w:val="808080"/>
    </w:rPr>
  </w:style>
  <w:style w:type="character" w:customStyle="1" w:styleId="UnresolvedMention2">
    <w:name w:val="Unresolved Mention2"/>
    <w:basedOn w:val="DefaultParagraphFont"/>
    <w:uiPriority w:val="99"/>
    <w:semiHidden/>
    <w:unhideWhenUsed/>
    <w:rsid w:val="004A5644"/>
    <w:rPr>
      <w:color w:val="605E5C"/>
      <w:shd w:val="clear" w:color="auto" w:fill="E1DFDD"/>
    </w:rPr>
  </w:style>
  <w:style w:type="character" w:customStyle="1" w:styleId="Mention1">
    <w:name w:val="Mention1"/>
    <w:basedOn w:val="DefaultParagraphFont"/>
    <w:uiPriority w:val="99"/>
    <w:unhideWhenUsed/>
    <w:rsid w:val="004A5644"/>
    <w:rPr>
      <w:color w:val="2B579A"/>
      <w:shd w:val="clear" w:color="auto" w:fill="E1DFDD"/>
    </w:rPr>
  </w:style>
  <w:style w:type="character" w:customStyle="1" w:styleId="cf01">
    <w:name w:val="cf01"/>
    <w:basedOn w:val="DefaultParagraphFont"/>
    <w:rsid w:val="000F69F9"/>
    <w:rPr>
      <w:rFonts w:ascii="Segoe UI" w:hAnsi="Segoe UI" w:cs="Segoe UI" w:hint="default"/>
      <w:sz w:val="18"/>
      <w:szCs w:val="18"/>
    </w:rPr>
  </w:style>
  <w:style w:type="paragraph" w:styleId="EndnoteText">
    <w:name w:val="endnote text"/>
    <w:basedOn w:val="Normal"/>
    <w:link w:val="EndnoteTextChar"/>
    <w:uiPriority w:val="99"/>
    <w:semiHidden/>
    <w:unhideWhenUsed/>
    <w:rsid w:val="00605B0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05B02"/>
    <w:rPr>
      <w:rFonts w:ascii="Times New Roman" w:hAnsi="Times New Roman"/>
      <w:sz w:val="20"/>
      <w:szCs w:val="20"/>
    </w:rPr>
  </w:style>
  <w:style w:type="character" w:styleId="Mention">
    <w:name w:val="Mention"/>
    <w:basedOn w:val="DefaultParagraphFont"/>
    <w:uiPriority w:val="99"/>
    <w:unhideWhenUsed/>
    <w:rsid w:val="003C18D8"/>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4994263">
      <w:bodyDiv w:val="1"/>
      <w:marLeft w:val="0"/>
      <w:marRight w:val="0"/>
      <w:marTop w:val="0"/>
      <w:marBottom w:val="0"/>
      <w:divBdr>
        <w:top w:val="none" w:sz="0" w:space="0" w:color="auto"/>
        <w:left w:val="none" w:sz="0" w:space="0" w:color="auto"/>
        <w:bottom w:val="none" w:sz="0" w:space="0" w:color="auto"/>
        <w:right w:val="none" w:sz="0" w:space="0" w:color="auto"/>
      </w:divBdr>
    </w:div>
    <w:div w:id="328795529">
      <w:bodyDiv w:val="1"/>
      <w:marLeft w:val="0"/>
      <w:marRight w:val="0"/>
      <w:marTop w:val="0"/>
      <w:marBottom w:val="0"/>
      <w:divBdr>
        <w:top w:val="none" w:sz="0" w:space="0" w:color="auto"/>
        <w:left w:val="none" w:sz="0" w:space="0" w:color="auto"/>
        <w:bottom w:val="none" w:sz="0" w:space="0" w:color="auto"/>
        <w:right w:val="none" w:sz="0" w:space="0" w:color="auto"/>
      </w:divBdr>
    </w:div>
    <w:div w:id="366107557">
      <w:bodyDiv w:val="1"/>
      <w:marLeft w:val="0"/>
      <w:marRight w:val="0"/>
      <w:marTop w:val="0"/>
      <w:marBottom w:val="0"/>
      <w:divBdr>
        <w:top w:val="none" w:sz="0" w:space="0" w:color="auto"/>
        <w:left w:val="none" w:sz="0" w:space="0" w:color="auto"/>
        <w:bottom w:val="none" w:sz="0" w:space="0" w:color="auto"/>
        <w:right w:val="none" w:sz="0" w:space="0" w:color="auto"/>
      </w:divBdr>
    </w:div>
    <w:div w:id="387732846">
      <w:bodyDiv w:val="1"/>
      <w:marLeft w:val="0"/>
      <w:marRight w:val="0"/>
      <w:marTop w:val="0"/>
      <w:marBottom w:val="0"/>
      <w:divBdr>
        <w:top w:val="none" w:sz="0" w:space="0" w:color="auto"/>
        <w:left w:val="none" w:sz="0" w:space="0" w:color="auto"/>
        <w:bottom w:val="none" w:sz="0" w:space="0" w:color="auto"/>
        <w:right w:val="none" w:sz="0" w:space="0" w:color="auto"/>
      </w:divBdr>
    </w:div>
    <w:div w:id="459417241">
      <w:bodyDiv w:val="1"/>
      <w:marLeft w:val="0"/>
      <w:marRight w:val="0"/>
      <w:marTop w:val="0"/>
      <w:marBottom w:val="0"/>
      <w:divBdr>
        <w:top w:val="none" w:sz="0" w:space="0" w:color="auto"/>
        <w:left w:val="none" w:sz="0" w:space="0" w:color="auto"/>
        <w:bottom w:val="none" w:sz="0" w:space="0" w:color="auto"/>
        <w:right w:val="none" w:sz="0" w:space="0" w:color="auto"/>
      </w:divBdr>
    </w:div>
    <w:div w:id="487328119">
      <w:bodyDiv w:val="1"/>
      <w:marLeft w:val="0"/>
      <w:marRight w:val="0"/>
      <w:marTop w:val="0"/>
      <w:marBottom w:val="0"/>
      <w:divBdr>
        <w:top w:val="none" w:sz="0" w:space="0" w:color="auto"/>
        <w:left w:val="none" w:sz="0" w:space="0" w:color="auto"/>
        <w:bottom w:val="none" w:sz="0" w:space="0" w:color="auto"/>
        <w:right w:val="none" w:sz="0" w:space="0" w:color="auto"/>
      </w:divBdr>
    </w:div>
    <w:div w:id="512181769">
      <w:bodyDiv w:val="1"/>
      <w:marLeft w:val="0"/>
      <w:marRight w:val="0"/>
      <w:marTop w:val="0"/>
      <w:marBottom w:val="0"/>
      <w:divBdr>
        <w:top w:val="none" w:sz="0" w:space="0" w:color="auto"/>
        <w:left w:val="none" w:sz="0" w:space="0" w:color="auto"/>
        <w:bottom w:val="none" w:sz="0" w:space="0" w:color="auto"/>
        <w:right w:val="none" w:sz="0" w:space="0" w:color="auto"/>
      </w:divBdr>
    </w:div>
    <w:div w:id="517819800">
      <w:bodyDiv w:val="1"/>
      <w:marLeft w:val="0"/>
      <w:marRight w:val="0"/>
      <w:marTop w:val="0"/>
      <w:marBottom w:val="0"/>
      <w:divBdr>
        <w:top w:val="none" w:sz="0" w:space="0" w:color="auto"/>
        <w:left w:val="none" w:sz="0" w:space="0" w:color="auto"/>
        <w:bottom w:val="none" w:sz="0" w:space="0" w:color="auto"/>
        <w:right w:val="none" w:sz="0" w:space="0" w:color="auto"/>
      </w:divBdr>
    </w:div>
    <w:div w:id="523785831">
      <w:bodyDiv w:val="1"/>
      <w:marLeft w:val="0"/>
      <w:marRight w:val="0"/>
      <w:marTop w:val="0"/>
      <w:marBottom w:val="0"/>
      <w:divBdr>
        <w:top w:val="none" w:sz="0" w:space="0" w:color="auto"/>
        <w:left w:val="none" w:sz="0" w:space="0" w:color="auto"/>
        <w:bottom w:val="none" w:sz="0" w:space="0" w:color="auto"/>
        <w:right w:val="none" w:sz="0" w:space="0" w:color="auto"/>
      </w:divBdr>
    </w:div>
    <w:div w:id="562373092">
      <w:bodyDiv w:val="1"/>
      <w:marLeft w:val="0"/>
      <w:marRight w:val="0"/>
      <w:marTop w:val="0"/>
      <w:marBottom w:val="0"/>
      <w:divBdr>
        <w:top w:val="none" w:sz="0" w:space="0" w:color="auto"/>
        <w:left w:val="none" w:sz="0" w:space="0" w:color="auto"/>
        <w:bottom w:val="none" w:sz="0" w:space="0" w:color="auto"/>
        <w:right w:val="none" w:sz="0" w:space="0" w:color="auto"/>
      </w:divBdr>
    </w:div>
    <w:div w:id="571433993">
      <w:bodyDiv w:val="1"/>
      <w:marLeft w:val="0"/>
      <w:marRight w:val="0"/>
      <w:marTop w:val="0"/>
      <w:marBottom w:val="0"/>
      <w:divBdr>
        <w:top w:val="none" w:sz="0" w:space="0" w:color="auto"/>
        <w:left w:val="none" w:sz="0" w:space="0" w:color="auto"/>
        <w:bottom w:val="none" w:sz="0" w:space="0" w:color="auto"/>
        <w:right w:val="none" w:sz="0" w:space="0" w:color="auto"/>
      </w:divBdr>
    </w:div>
    <w:div w:id="593562353">
      <w:bodyDiv w:val="1"/>
      <w:marLeft w:val="0"/>
      <w:marRight w:val="0"/>
      <w:marTop w:val="0"/>
      <w:marBottom w:val="0"/>
      <w:divBdr>
        <w:top w:val="none" w:sz="0" w:space="0" w:color="auto"/>
        <w:left w:val="none" w:sz="0" w:space="0" w:color="auto"/>
        <w:bottom w:val="none" w:sz="0" w:space="0" w:color="auto"/>
        <w:right w:val="none" w:sz="0" w:space="0" w:color="auto"/>
      </w:divBdr>
    </w:div>
    <w:div w:id="615914651">
      <w:bodyDiv w:val="1"/>
      <w:marLeft w:val="0"/>
      <w:marRight w:val="0"/>
      <w:marTop w:val="0"/>
      <w:marBottom w:val="0"/>
      <w:divBdr>
        <w:top w:val="none" w:sz="0" w:space="0" w:color="auto"/>
        <w:left w:val="none" w:sz="0" w:space="0" w:color="auto"/>
        <w:bottom w:val="none" w:sz="0" w:space="0" w:color="auto"/>
        <w:right w:val="none" w:sz="0" w:space="0" w:color="auto"/>
      </w:divBdr>
    </w:div>
    <w:div w:id="624044550">
      <w:bodyDiv w:val="1"/>
      <w:marLeft w:val="0"/>
      <w:marRight w:val="0"/>
      <w:marTop w:val="0"/>
      <w:marBottom w:val="0"/>
      <w:divBdr>
        <w:top w:val="none" w:sz="0" w:space="0" w:color="auto"/>
        <w:left w:val="none" w:sz="0" w:space="0" w:color="auto"/>
        <w:bottom w:val="none" w:sz="0" w:space="0" w:color="auto"/>
        <w:right w:val="none" w:sz="0" w:space="0" w:color="auto"/>
      </w:divBdr>
    </w:div>
    <w:div w:id="733969308">
      <w:bodyDiv w:val="1"/>
      <w:marLeft w:val="0"/>
      <w:marRight w:val="0"/>
      <w:marTop w:val="0"/>
      <w:marBottom w:val="0"/>
      <w:divBdr>
        <w:top w:val="none" w:sz="0" w:space="0" w:color="auto"/>
        <w:left w:val="none" w:sz="0" w:space="0" w:color="auto"/>
        <w:bottom w:val="none" w:sz="0" w:space="0" w:color="auto"/>
        <w:right w:val="none" w:sz="0" w:space="0" w:color="auto"/>
      </w:divBdr>
    </w:div>
    <w:div w:id="742986970">
      <w:bodyDiv w:val="1"/>
      <w:marLeft w:val="0"/>
      <w:marRight w:val="0"/>
      <w:marTop w:val="0"/>
      <w:marBottom w:val="0"/>
      <w:divBdr>
        <w:top w:val="none" w:sz="0" w:space="0" w:color="auto"/>
        <w:left w:val="none" w:sz="0" w:space="0" w:color="auto"/>
        <w:bottom w:val="none" w:sz="0" w:space="0" w:color="auto"/>
        <w:right w:val="none" w:sz="0" w:space="0" w:color="auto"/>
      </w:divBdr>
      <w:divsChild>
        <w:div w:id="2135059745">
          <w:marLeft w:val="0"/>
          <w:marRight w:val="0"/>
          <w:marTop w:val="0"/>
          <w:marBottom w:val="0"/>
          <w:divBdr>
            <w:top w:val="none" w:sz="0" w:space="0" w:color="auto"/>
            <w:left w:val="none" w:sz="0" w:space="0" w:color="auto"/>
            <w:bottom w:val="none" w:sz="0" w:space="0" w:color="auto"/>
            <w:right w:val="none" w:sz="0" w:space="0" w:color="auto"/>
          </w:divBdr>
        </w:div>
      </w:divsChild>
    </w:div>
    <w:div w:id="858080212">
      <w:bodyDiv w:val="1"/>
      <w:marLeft w:val="0"/>
      <w:marRight w:val="0"/>
      <w:marTop w:val="0"/>
      <w:marBottom w:val="0"/>
      <w:divBdr>
        <w:top w:val="none" w:sz="0" w:space="0" w:color="auto"/>
        <w:left w:val="none" w:sz="0" w:space="0" w:color="auto"/>
        <w:bottom w:val="none" w:sz="0" w:space="0" w:color="auto"/>
        <w:right w:val="none" w:sz="0" w:space="0" w:color="auto"/>
      </w:divBdr>
    </w:div>
    <w:div w:id="861477240">
      <w:bodyDiv w:val="1"/>
      <w:marLeft w:val="0"/>
      <w:marRight w:val="0"/>
      <w:marTop w:val="0"/>
      <w:marBottom w:val="0"/>
      <w:divBdr>
        <w:top w:val="none" w:sz="0" w:space="0" w:color="auto"/>
        <w:left w:val="none" w:sz="0" w:space="0" w:color="auto"/>
        <w:bottom w:val="none" w:sz="0" w:space="0" w:color="auto"/>
        <w:right w:val="none" w:sz="0" w:space="0" w:color="auto"/>
      </w:divBdr>
    </w:div>
    <w:div w:id="878666317">
      <w:bodyDiv w:val="1"/>
      <w:marLeft w:val="0"/>
      <w:marRight w:val="0"/>
      <w:marTop w:val="0"/>
      <w:marBottom w:val="0"/>
      <w:divBdr>
        <w:top w:val="none" w:sz="0" w:space="0" w:color="auto"/>
        <w:left w:val="none" w:sz="0" w:space="0" w:color="auto"/>
        <w:bottom w:val="none" w:sz="0" w:space="0" w:color="auto"/>
        <w:right w:val="none" w:sz="0" w:space="0" w:color="auto"/>
      </w:divBdr>
    </w:div>
    <w:div w:id="943654865">
      <w:bodyDiv w:val="1"/>
      <w:marLeft w:val="0"/>
      <w:marRight w:val="0"/>
      <w:marTop w:val="0"/>
      <w:marBottom w:val="0"/>
      <w:divBdr>
        <w:top w:val="none" w:sz="0" w:space="0" w:color="auto"/>
        <w:left w:val="none" w:sz="0" w:space="0" w:color="auto"/>
        <w:bottom w:val="none" w:sz="0" w:space="0" w:color="auto"/>
        <w:right w:val="none" w:sz="0" w:space="0" w:color="auto"/>
      </w:divBdr>
    </w:div>
    <w:div w:id="960378549">
      <w:bodyDiv w:val="1"/>
      <w:marLeft w:val="0"/>
      <w:marRight w:val="0"/>
      <w:marTop w:val="0"/>
      <w:marBottom w:val="0"/>
      <w:divBdr>
        <w:top w:val="none" w:sz="0" w:space="0" w:color="auto"/>
        <w:left w:val="none" w:sz="0" w:space="0" w:color="auto"/>
        <w:bottom w:val="none" w:sz="0" w:space="0" w:color="auto"/>
        <w:right w:val="none" w:sz="0" w:space="0" w:color="auto"/>
      </w:divBdr>
    </w:div>
    <w:div w:id="1078092409">
      <w:bodyDiv w:val="1"/>
      <w:marLeft w:val="0"/>
      <w:marRight w:val="0"/>
      <w:marTop w:val="0"/>
      <w:marBottom w:val="0"/>
      <w:divBdr>
        <w:top w:val="none" w:sz="0" w:space="0" w:color="auto"/>
        <w:left w:val="none" w:sz="0" w:space="0" w:color="auto"/>
        <w:bottom w:val="none" w:sz="0" w:space="0" w:color="auto"/>
        <w:right w:val="none" w:sz="0" w:space="0" w:color="auto"/>
      </w:divBdr>
    </w:div>
    <w:div w:id="1098873180">
      <w:bodyDiv w:val="1"/>
      <w:marLeft w:val="0"/>
      <w:marRight w:val="0"/>
      <w:marTop w:val="0"/>
      <w:marBottom w:val="0"/>
      <w:divBdr>
        <w:top w:val="none" w:sz="0" w:space="0" w:color="auto"/>
        <w:left w:val="none" w:sz="0" w:space="0" w:color="auto"/>
        <w:bottom w:val="none" w:sz="0" w:space="0" w:color="auto"/>
        <w:right w:val="none" w:sz="0" w:space="0" w:color="auto"/>
      </w:divBdr>
      <w:divsChild>
        <w:div w:id="60713830">
          <w:marLeft w:val="0"/>
          <w:marRight w:val="0"/>
          <w:marTop w:val="0"/>
          <w:marBottom w:val="0"/>
          <w:divBdr>
            <w:top w:val="none" w:sz="0" w:space="0" w:color="auto"/>
            <w:left w:val="none" w:sz="0" w:space="0" w:color="auto"/>
            <w:bottom w:val="none" w:sz="0" w:space="0" w:color="auto"/>
            <w:right w:val="none" w:sz="0" w:space="0" w:color="auto"/>
          </w:divBdr>
        </w:div>
      </w:divsChild>
    </w:div>
    <w:div w:id="1230728457">
      <w:bodyDiv w:val="1"/>
      <w:marLeft w:val="0"/>
      <w:marRight w:val="0"/>
      <w:marTop w:val="0"/>
      <w:marBottom w:val="0"/>
      <w:divBdr>
        <w:top w:val="none" w:sz="0" w:space="0" w:color="auto"/>
        <w:left w:val="none" w:sz="0" w:space="0" w:color="auto"/>
        <w:bottom w:val="none" w:sz="0" w:space="0" w:color="auto"/>
        <w:right w:val="none" w:sz="0" w:space="0" w:color="auto"/>
      </w:divBdr>
    </w:div>
    <w:div w:id="1242332758">
      <w:bodyDiv w:val="1"/>
      <w:marLeft w:val="0"/>
      <w:marRight w:val="0"/>
      <w:marTop w:val="0"/>
      <w:marBottom w:val="0"/>
      <w:divBdr>
        <w:top w:val="none" w:sz="0" w:space="0" w:color="auto"/>
        <w:left w:val="none" w:sz="0" w:space="0" w:color="auto"/>
        <w:bottom w:val="none" w:sz="0" w:space="0" w:color="auto"/>
        <w:right w:val="none" w:sz="0" w:space="0" w:color="auto"/>
      </w:divBdr>
    </w:div>
    <w:div w:id="1344553168">
      <w:bodyDiv w:val="1"/>
      <w:marLeft w:val="0"/>
      <w:marRight w:val="0"/>
      <w:marTop w:val="0"/>
      <w:marBottom w:val="0"/>
      <w:divBdr>
        <w:top w:val="none" w:sz="0" w:space="0" w:color="auto"/>
        <w:left w:val="none" w:sz="0" w:space="0" w:color="auto"/>
        <w:bottom w:val="none" w:sz="0" w:space="0" w:color="auto"/>
        <w:right w:val="none" w:sz="0" w:space="0" w:color="auto"/>
      </w:divBdr>
    </w:div>
    <w:div w:id="1404255552">
      <w:bodyDiv w:val="1"/>
      <w:marLeft w:val="0"/>
      <w:marRight w:val="0"/>
      <w:marTop w:val="0"/>
      <w:marBottom w:val="0"/>
      <w:divBdr>
        <w:top w:val="none" w:sz="0" w:space="0" w:color="auto"/>
        <w:left w:val="none" w:sz="0" w:space="0" w:color="auto"/>
        <w:bottom w:val="none" w:sz="0" w:space="0" w:color="auto"/>
        <w:right w:val="none" w:sz="0" w:space="0" w:color="auto"/>
      </w:divBdr>
    </w:div>
    <w:div w:id="1481190850">
      <w:bodyDiv w:val="1"/>
      <w:marLeft w:val="0"/>
      <w:marRight w:val="0"/>
      <w:marTop w:val="0"/>
      <w:marBottom w:val="0"/>
      <w:divBdr>
        <w:top w:val="none" w:sz="0" w:space="0" w:color="auto"/>
        <w:left w:val="none" w:sz="0" w:space="0" w:color="auto"/>
        <w:bottom w:val="none" w:sz="0" w:space="0" w:color="auto"/>
        <w:right w:val="none" w:sz="0" w:space="0" w:color="auto"/>
      </w:divBdr>
    </w:div>
    <w:div w:id="1612859499">
      <w:bodyDiv w:val="1"/>
      <w:marLeft w:val="0"/>
      <w:marRight w:val="0"/>
      <w:marTop w:val="0"/>
      <w:marBottom w:val="0"/>
      <w:divBdr>
        <w:top w:val="none" w:sz="0" w:space="0" w:color="auto"/>
        <w:left w:val="none" w:sz="0" w:space="0" w:color="auto"/>
        <w:bottom w:val="none" w:sz="0" w:space="0" w:color="auto"/>
        <w:right w:val="none" w:sz="0" w:space="0" w:color="auto"/>
      </w:divBdr>
    </w:div>
    <w:div w:id="1659578278">
      <w:bodyDiv w:val="1"/>
      <w:marLeft w:val="0"/>
      <w:marRight w:val="0"/>
      <w:marTop w:val="0"/>
      <w:marBottom w:val="0"/>
      <w:divBdr>
        <w:top w:val="none" w:sz="0" w:space="0" w:color="auto"/>
        <w:left w:val="none" w:sz="0" w:space="0" w:color="auto"/>
        <w:bottom w:val="none" w:sz="0" w:space="0" w:color="auto"/>
        <w:right w:val="none" w:sz="0" w:space="0" w:color="auto"/>
      </w:divBdr>
    </w:div>
    <w:div w:id="1685282075">
      <w:bodyDiv w:val="1"/>
      <w:marLeft w:val="0"/>
      <w:marRight w:val="0"/>
      <w:marTop w:val="0"/>
      <w:marBottom w:val="0"/>
      <w:divBdr>
        <w:top w:val="none" w:sz="0" w:space="0" w:color="auto"/>
        <w:left w:val="none" w:sz="0" w:space="0" w:color="auto"/>
        <w:bottom w:val="none" w:sz="0" w:space="0" w:color="auto"/>
        <w:right w:val="none" w:sz="0" w:space="0" w:color="auto"/>
      </w:divBdr>
    </w:div>
    <w:div w:id="1764256540">
      <w:bodyDiv w:val="1"/>
      <w:marLeft w:val="0"/>
      <w:marRight w:val="0"/>
      <w:marTop w:val="0"/>
      <w:marBottom w:val="0"/>
      <w:divBdr>
        <w:top w:val="none" w:sz="0" w:space="0" w:color="auto"/>
        <w:left w:val="none" w:sz="0" w:space="0" w:color="auto"/>
        <w:bottom w:val="none" w:sz="0" w:space="0" w:color="auto"/>
        <w:right w:val="none" w:sz="0" w:space="0" w:color="auto"/>
      </w:divBdr>
    </w:div>
    <w:div w:id="1883399945">
      <w:bodyDiv w:val="1"/>
      <w:marLeft w:val="0"/>
      <w:marRight w:val="0"/>
      <w:marTop w:val="0"/>
      <w:marBottom w:val="0"/>
      <w:divBdr>
        <w:top w:val="none" w:sz="0" w:space="0" w:color="auto"/>
        <w:left w:val="none" w:sz="0" w:space="0" w:color="auto"/>
        <w:bottom w:val="none" w:sz="0" w:space="0" w:color="auto"/>
        <w:right w:val="none" w:sz="0" w:space="0" w:color="auto"/>
      </w:divBdr>
    </w:div>
    <w:div w:id="1904372114">
      <w:bodyDiv w:val="1"/>
      <w:marLeft w:val="0"/>
      <w:marRight w:val="0"/>
      <w:marTop w:val="0"/>
      <w:marBottom w:val="0"/>
      <w:divBdr>
        <w:top w:val="none" w:sz="0" w:space="0" w:color="auto"/>
        <w:left w:val="none" w:sz="0" w:space="0" w:color="auto"/>
        <w:bottom w:val="none" w:sz="0" w:space="0" w:color="auto"/>
        <w:right w:val="none" w:sz="0" w:space="0" w:color="auto"/>
      </w:divBdr>
    </w:div>
    <w:div w:id="1937135004">
      <w:bodyDiv w:val="1"/>
      <w:marLeft w:val="0"/>
      <w:marRight w:val="0"/>
      <w:marTop w:val="0"/>
      <w:marBottom w:val="0"/>
      <w:divBdr>
        <w:top w:val="none" w:sz="0" w:space="0" w:color="auto"/>
        <w:left w:val="none" w:sz="0" w:space="0" w:color="auto"/>
        <w:bottom w:val="none" w:sz="0" w:space="0" w:color="auto"/>
        <w:right w:val="none" w:sz="0" w:space="0" w:color="auto"/>
      </w:divBdr>
    </w:div>
    <w:div w:id="2022387062">
      <w:bodyDiv w:val="1"/>
      <w:marLeft w:val="0"/>
      <w:marRight w:val="0"/>
      <w:marTop w:val="0"/>
      <w:marBottom w:val="0"/>
      <w:divBdr>
        <w:top w:val="none" w:sz="0" w:space="0" w:color="auto"/>
        <w:left w:val="none" w:sz="0" w:space="0" w:color="auto"/>
        <w:bottom w:val="none" w:sz="0" w:space="0" w:color="auto"/>
        <w:right w:val="none" w:sz="0" w:space="0" w:color="auto"/>
      </w:divBdr>
    </w:div>
    <w:div w:id="2060469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0" Type="http://schemas.openxmlformats.org/officeDocument/2006/relationships/chart" Target="charts/chart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kaaaa\Downloads\series-150822%20(1).csv"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spPr>
            <a:ln w="22225" cap="rnd" cmpd="sng" algn="ctr">
              <a:solidFill>
                <a:schemeClr val="dk1">
                  <a:tint val="88500"/>
                </a:schemeClr>
              </a:solidFill>
              <a:round/>
            </a:ln>
            <a:effectLst/>
          </c:spPr>
          <c:marker>
            <c:symbol val="none"/>
          </c:marker>
          <c:dLbls>
            <c:delete val="1"/>
          </c:dLbls>
          <c:cat>
            <c:strRef>
              <c:f>'series-150822 (1)'!$A$244:$A$264</c:f>
              <c:strCache>
                <c:ptCount val="21"/>
                <c:pt idx="0">
                  <c:v>2017 Q1</c:v>
                </c:pt>
                <c:pt idx="1">
                  <c:v>2017 Q2</c:v>
                </c:pt>
                <c:pt idx="2">
                  <c:v>2017 Q3</c:v>
                </c:pt>
                <c:pt idx="3">
                  <c:v>2017 Q4</c:v>
                </c:pt>
                <c:pt idx="4">
                  <c:v>2018 Q1</c:v>
                </c:pt>
                <c:pt idx="5">
                  <c:v>2018 Q2</c:v>
                </c:pt>
                <c:pt idx="6">
                  <c:v>2018 Q3</c:v>
                </c:pt>
                <c:pt idx="7">
                  <c:v>2018 Q4</c:v>
                </c:pt>
                <c:pt idx="8">
                  <c:v>2019 Q1</c:v>
                </c:pt>
                <c:pt idx="9">
                  <c:v>2019 Q2</c:v>
                </c:pt>
                <c:pt idx="10">
                  <c:v>2019 Q3</c:v>
                </c:pt>
                <c:pt idx="11">
                  <c:v>2019 Q4</c:v>
                </c:pt>
                <c:pt idx="12">
                  <c:v>2020 Q1</c:v>
                </c:pt>
                <c:pt idx="13">
                  <c:v>2020 Q2</c:v>
                </c:pt>
                <c:pt idx="14">
                  <c:v>2020 Q3</c:v>
                </c:pt>
                <c:pt idx="15">
                  <c:v>2020 Q4</c:v>
                </c:pt>
                <c:pt idx="16">
                  <c:v>2021 Q1</c:v>
                </c:pt>
                <c:pt idx="17">
                  <c:v>2021 Q2</c:v>
                </c:pt>
                <c:pt idx="18">
                  <c:v>2021 Q3</c:v>
                </c:pt>
                <c:pt idx="19">
                  <c:v>2021 Q4</c:v>
                </c:pt>
                <c:pt idx="20">
                  <c:v>2022 Q1</c:v>
                </c:pt>
              </c:strCache>
            </c:strRef>
          </c:cat>
          <c:val>
            <c:numRef>
              <c:f>'series-150822 (1)'!$B$244:$B$264</c:f>
              <c:numCache>
                <c:formatCode>General</c:formatCode>
                <c:ptCount val="21"/>
                <c:pt idx="0">
                  <c:v>4.5999999999999999E-2</c:v>
                </c:pt>
                <c:pt idx="1">
                  <c:v>4.4000000000000004E-2</c:v>
                </c:pt>
                <c:pt idx="2">
                  <c:v>4.2999999999999997E-2</c:v>
                </c:pt>
                <c:pt idx="3">
                  <c:v>4.4000000000000004E-2</c:v>
                </c:pt>
                <c:pt idx="4">
                  <c:v>4.2000000000000003E-2</c:v>
                </c:pt>
                <c:pt idx="5">
                  <c:v>0.04</c:v>
                </c:pt>
                <c:pt idx="6">
                  <c:v>4.0999999999999995E-2</c:v>
                </c:pt>
                <c:pt idx="7">
                  <c:v>0.04</c:v>
                </c:pt>
                <c:pt idx="8">
                  <c:v>3.7999999999999999E-2</c:v>
                </c:pt>
                <c:pt idx="9">
                  <c:v>3.9E-2</c:v>
                </c:pt>
                <c:pt idx="10">
                  <c:v>3.7999999999999999E-2</c:v>
                </c:pt>
                <c:pt idx="11">
                  <c:v>3.7999999999999999E-2</c:v>
                </c:pt>
                <c:pt idx="12">
                  <c:v>0.04</c:v>
                </c:pt>
                <c:pt idx="13">
                  <c:v>4.0999999999999995E-2</c:v>
                </c:pt>
                <c:pt idx="14">
                  <c:v>4.9000000000000002E-2</c:v>
                </c:pt>
                <c:pt idx="15">
                  <c:v>5.2000000000000005E-2</c:v>
                </c:pt>
                <c:pt idx="16">
                  <c:v>4.9000000000000002E-2</c:v>
                </c:pt>
                <c:pt idx="17">
                  <c:v>4.7E-2</c:v>
                </c:pt>
                <c:pt idx="18">
                  <c:v>4.2999999999999997E-2</c:v>
                </c:pt>
                <c:pt idx="19">
                  <c:v>0.04</c:v>
                </c:pt>
                <c:pt idx="20">
                  <c:v>3.7000000000000005E-2</c:v>
                </c:pt>
              </c:numCache>
            </c:numRef>
          </c:val>
          <c:smooth val="0"/>
          <c:extLst>
            <c:ext xmlns:c16="http://schemas.microsoft.com/office/drawing/2014/chart" uri="{C3380CC4-5D6E-409C-BE32-E72D297353CC}">
              <c16:uniqueId val="{00000000-89F7-4B01-939F-1DA5F6851C6C}"/>
            </c:ext>
          </c:extLst>
        </c:ser>
        <c:dLbls>
          <c:dLblPos val="t"/>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217576512"/>
        <c:axId val="1217591904"/>
      </c:lineChart>
      <c:catAx>
        <c:axId val="1217576512"/>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2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217591904"/>
        <c:crosses val="autoZero"/>
        <c:auto val="1"/>
        <c:lblAlgn val="ctr"/>
        <c:lblOffset val="100"/>
        <c:noMultiLvlLbl val="0"/>
      </c:catAx>
      <c:valAx>
        <c:axId val="1217591904"/>
        <c:scaling>
          <c:orientation val="minMax"/>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217576512"/>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562ac9a-d29e-41d7-869d-77594d573656">
  <we:reference id="wa104382081" version="1.46.0.0" store="en-US" storeType="OMEX"/>
  <we:alternateReferences>
    <we:reference id="WA104382081" version="1.46.0.0" store="en-US" storeType="OMEX"/>
  </we:alternateReferences>
  <we:properties>
    <we:property name="MENDELEY_CITATIONS" val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FE0B6979E1FC149B74D20E4D5113B73" ma:contentTypeVersion="15" ma:contentTypeDescription="Create a new document." ma:contentTypeScope="" ma:versionID="e5cda6d78b57a6e93b88b9ed8288e9ca">
  <xsd:schema xmlns:xsd="http://www.w3.org/2001/XMLSchema" xmlns:xs="http://www.w3.org/2001/XMLSchema" xmlns:p="http://schemas.microsoft.com/office/2006/metadata/properties" xmlns:ns3="c6aea5be-70f5-4345-8dde-6a4bbf6289de" xmlns:ns4="aa29cb3a-1229-4478-a613-e82a8485737f" targetNamespace="http://schemas.microsoft.com/office/2006/metadata/properties" ma:root="true" ma:fieldsID="05a8de29b306f87e8603fa0497edcdb6" ns3:_="" ns4:_="">
    <xsd:import namespace="c6aea5be-70f5-4345-8dde-6a4bbf6289de"/>
    <xsd:import namespace="aa29cb3a-1229-4478-a613-e82a8485737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LengthInSecond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6aea5be-70f5-4345-8dde-6a4bbf6289d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Length (seconds)" ma:internalName="MediaLengthInSeconds" ma:readOnly="true">
      <xsd:simpleType>
        <xsd:restriction base="dms:Unknown"/>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29cb3a-1229-4478-a613-e82a8485737f"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c6aea5be-70f5-4345-8dde-6a4bbf6289de"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3AA0AC1-E7C9-4036-82B0-7160DB7153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6aea5be-70f5-4345-8dde-6a4bbf6289de"/>
    <ds:schemaRef ds:uri="aa29cb3a-1229-4478-a613-e82a848573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764024-BDFB-4BF8-83E4-7E7D3F3B4DF7}">
  <ds:schemaRefs>
    <ds:schemaRef ds:uri="http://schemas.microsoft.com/office/2006/metadata/properties"/>
    <ds:schemaRef ds:uri="http://schemas.microsoft.com/office/infopath/2007/PartnerControls"/>
    <ds:schemaRef ds:uri="c6aea5be-70f5-4345-8dde-6a4bbf6289de"/>
  </ds:schemaRefs>
</ds:datastoreItem>
</file>

<file path=customXml/itemProps3.xml><?xml version="1.0" encoding="utf-8"?>
<ds:datastoreItem xmlns:ds="http://schemas.openxmlformats.org/officeDocument/2006/customXml" ds:itemID="{A5A192E4-38E7-4092-8583-26E04E4818E7}">
  <ds:schemaRefs>
    <ds:schemaRef ds:uri="http://schemas.openxmlformats.org/officeDocument/2006/bibliography"/>
  </ds:schemaRefs>
</ds:datastoreItem>
</file>

<file path=customXml/itemProps4.xml><?xml version="1.0" encoding="utf-8"?>
<ds:datastoreItem xmlns:ds="http://schemas.openxmlformats.org/officeDocument/2006/customXml" ds:itemID="{38AC82C4-3A85-4BCB-B730-BE0D19DDA9C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39</Pages>
  <Words>86585</Words>
  <Characters>493536</Characters>
  <Application>Microsoft Office Word</Application>
  <DocSecurity>0</DocSecurity>
  <Lines>4112</Lines>
  <Paragraphs>1157</Paragraphs>
  <ScaleCrop>false</ScaleCrop>
  <Company/>
  <LinksUpToDate>false</LinksUpToDate>
  <CharactersWithSpaces>578964</CharactersWithSpaces>
  <SharedDoc>false</SharedDoc>
  <HLinks>
    <vt:vector size="6" baseType="variant">
      <vt:variant>
        <vt:i4>4325434</vt:i4>
      </vt:variant>
      <vt:variant>
        <vt:i4>0</vt:i4>
      </vt:variant>
      <vt:variant>
        <vt:i4>0</vt:i4>
      </vt:variant>
      <vt:variant>
        <vt:i4>5</vt:i4>
      </vt:variant>
      <vt:variant>
        <vt:lpwstr>mailto:3052053@ads.qub.ac.uk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Karl Matikonis</dc:creator>
  <cp:keywords/>
  <dc:description/>
  <cp:lastModifiedBy>Karl Matikonis</cp:lastModifiedBy>
  <cp:revision>200</cp:revision>
  <cp:lastPrinted>2022-09-04T15:44:00Z</cp:lastPrinted>
  <dcterms:created xsi:type="dcterms:W3CDTF">2023-02-12T15:07:00Z</dcterms:created>
  <dcterms:modified xsi:type="dcterms:W3CDTF">2023-02-20T10:18:00Z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http://www.zotero.org/styles/sage-harvard</vt:lpwstr>
  </property>
  <property fmtid="{D5CDD505-2E9C-101B-9397-08002B2CF9AE}" pid="4" name="Mendeley Recent Style Id 9_1">
    <vt:lpwstr>http://www.zotero.org/styles/sage-harvard</vt:lpwstr>
  </property>
  <property fmtid="{D5CDD505-2E9C-101B-9397-08002B2CF9AE}" pid="5" name="Mendeley Recent Style Name 9_1">
    <vt:lpwstr>SAGE - Harvard</vt:lpwstr>
  </property>
  <property fmtid="{D5CDD505-2E9C-101B-9397-08002B2CF9AE}" pid="6" name="Mendeley Unique User Id_1">
    <vt:lpwstr>100a71ba-81a4-3730-aaef-76151e0913db</vt:lpwstr>
  </property>
  <property fmtid="{D5CDD505-2E9C-101B-9397-08002B2CF9AE}" pid="7" name="Mendeley Recent Style Id 0_1">
    <vt:lpwstr>http://www.zotero.org/styles/american-medical-association</vt:lpwstr>
  </property>
  <property fmtid="{D5CDD505-2E9C-101B-9397-08002B2CF9AE}" pid="8" name="Mendeley Recent Style Name 0_1">
    <vt:lpwstr>American Medical Association 11th edition</vt:lpwstr>
  </property>
  <property fmtid="{D5CDD505-2E9C-101B-9397-08002B2CF9AE}" pid="9" name="Mendeley Recent Style Id 1_1">
    <vt:lpwstr>http://www.zotero.org/styles/apa</vt:lpwstr>
  </property>
  <property fmtid="{D5CDD505-2E9C-101B-9397-08002B2CF9AE}" pid="10" name="Mendeley Recent Style Name 1_1">
    <vt:lpwstr>American Psychological Association 7th edition</vt:lpwstr>
  </property>
  <property fmtid="{D5CDD505-2E9C-101B-9397-08002B2CF9AE}" pid="11" name="Mendeley Recent Style Id 2_1">
    <vt:lpwstr>http://www.zotero.org/styles/chicago-fullnote-bibliography</vt:lpwstr>
  </property>
  <property fmtid="{D5CDD505-2E9C-101B-9397-08002B2CF9AE}" pid="12" name="Mendeley Recent Style Name 2_1">
    <vt:lpwstr>Chicago Manual of Style 17th edition (full note)</vt:lpwstr>
  </property>
  <property fmtid="{D5CDD505-2E9C-101B-9397-08002B2CF9AE}" pid="13" name="Mendeley Recent Style Id 3_1">
    <vt:lpwstr>http://www.zotero.org/styles/harvard-cite-them-right</vt:lpwstr>
  </property>
  <property fmtid="{D5CDD505-2E9C-101B-9397-08002B2CF9AE}" pid="14" name="Mendeley Recent Style Name 3_1">
    <vt:lpwstr>Cite Them Right 10th edition - Harvard</vt:lpwstr>
  </property>
  <property fmtid="{D5CDD505-2E9C-101B-9397-08002B2CF9AE}" pid="15" name="Mendeley Recent Style Id 4_1">
    <vt:lpwstr>http://www.zotero.org/styles/ieee</vt:lpwstr>
  </property>
  <property fmtid="{D5CDD505-2E9C-101B-9397-08002B2CF9AE}" pid="16" name="Mendeley Recent Style Name 4_1">
    <vt:lpwstr>IEEE</vt:lpwstr>
  </property>
  <property fmtid="{D5CDD505-2E9C-101B-9397-08002B2CF9AE}" pid="17" name="Mendeley Recent Style Id 5_1">
    <vt:lpwstr>http://www.zotero.org/styles/harvard-manchester-metropolitan-university</vt:lpwstr>
  </property>
  <property fmtid="{D5CDD505-2E9C-101B-9397-08002B2CF9AE}" pid="18" name="Mendeley Recent Style Name 5_1">
    <vt:lpwstr>Manchester Metropolitan University - Harvard</vt:lpwstr>
  </property>
  <property fmtid="{D5CDD505-2E9C-101B-9397-08002B2CF9AE}" pid="19" name="Mendeley Recent Style Id 6_1">
    <vt:lpwstr>http://www.zotero.org/styles/modern-humanities-research-association</vt:lpwstr>
  </property>
  <property fmtid="{D5CDD505-2E9C-101B-9397-08002B2CF9AE}" pid="20" name="Mendeley Recent Style Name 6_1">
    <vt:lpwstr>Modern Humanities Research Association 3rd edition (note with bibliography)</vt:lpwstr>
  </property>
  <property fmtid="{D5CDD505-2E9C-101B-9397-08002B2CF9AE}" pid="21" name="Mendeley Recent Style Id 7_1">
    <vt:lpwstr>http://www.zotero.org/styles/modern-language-association</vt:lpwstr>
  </property>
  <property fmtid="{D5CDD505-2E9C-101B-9397-08002B2CF9AE}" pid="22" name="Mendeley Recent Style Name 7_1">
    <vt:lpwstr>Modern Language Association 8th edition</vt:lpwstr>
  </property>
  <property fmtid="{D5CDD505-2E9C-101B-9397-08002B2CF9AE}" pid="23" name="Mendeley Recent Style Id 8_1">
    <vt:lpwstr>http://www.zotero.org/styles/nature</vt:lpwstr>
  </property>
  <property fmtid="{D5CDD505-2E9C-101B-9397-08002B2CF9AE}" pid="24" name="Mendeley Recent Style Name 8_1">
    <vt:lpwstr>Nature</vt:lpwstr>
  </property>
  <property fmtid="{D5CDD505-2E9C-101B-9397-08002B2CF9AE}" pid="25" name="ContentTypeId">
    <vt:lpwstr>0x010100BFE0B6979E1FC149B74D20E4D5113B73</vt:lpwstr>
  </property>
</Properties>
</file>